
<file path=[Content_Types].xml><?xml version="1.0" encoding="utf-8"?>
<Types xmlns="http://schemas.openxmlformats.org/package/2006/content-types">
  <Default Extension="bin" ContentType="application/vnd.openxmlformats-officedocument.oleObject"/>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7C3B54" w14:textId="77777777" w:rsidR="00D67378" w:rsidRPr="006431C4" w:rsidRDefault="00442569" w:rsidP="00D232E1">
      <w:pPr>
        <w:pStyle w:val="Tekstpodstawowy"/>
        <w:shd w:val="clear" w:color="auto" w:fill="FFFFFF" w:themeFill="background1"/>
        <w:tabs>
          <w:tab w:val="clear" w:pos="360"/>
          <w:tab w:val="left" w:pos="142"/>
        </w:tabs>
        <w:spacing w:line="240" w:lineRule="auto"/>
        <w:jc w:val="both"/>
        <w:rPr>
          <w:rFonts w:cs="Arial"/>
        </w:rPr>
      </w:pPr>
      <w:bookmarkStart w:id="0" w:name="_Hlk111545863"/>
      <w:bookmarkEnd w:id="0"/>
      <w:r w:rsidRPr="006431C4">
        <w:rPr>
          <w:rFonts w:cs="Arial"/>
          <w:noProof/>
          <w:szCs w:val="20"/>
        </w:rPr>
        <w:drawing>
          <wp:anchor distT="0" distB="0" distL="114300" distR="114300" simplePos="0" relativeHeight="251665408" behindDoc="0" locked="0" layoutInCell="1" allowOverlap="1" wp14:anchorId="5251A596" wp14:editId="214A4AA8">
            <wp:simplePos x="0" y="0"/>
            <wp:positionH relativeFrom="column">
              <wp:posOffset>4377055</wp:posOffset>
            </wp:positionH>
            <wp:positionV relativeFrom="paragraph">
              <wp:posOffset>-100965</wp:posOffset>
            </wp:positionV>
            <wp:extent cx="2035810" cy="724535"/>
            <wp:effectExtent l="0" t="0" r="0" b="0"/>
            <wp:wrapNone/>
            <wp:docPr id="85" name="Obraz 85" descr="renov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enova_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35810" cy="724535"/>
                    </a:xfrm>
                    <a:prstGeom prst="rect">
                      <a:avLst/>
                    </a:prstGeom>
                    <a:noFill/>
                    <a:ln>
                      <a:noFill/>
                    </a:ln>
                  </pic:spPr>
                </pic:pic>
              </a:graphicData>
            </a:graphic>
            <wp14:sizeRelH relativeFrom="page">
              <wp14:pctWidth>0</wp14:pctWidth>
            </wp14:sizeRelH>
            <wp14:sizeRelV relativeFrom="page">
              <wp14:pctHeight>0</wp14:pctHeight>
            </wp14:sizeRelV>
          </wp:anchor>
        </w:drawing>
      </w:r>
      <w:r w:rsidR="00157937" w:rsidRPr="006431C4">
        <w:rPr>
          <w:rFonts w:cs="Arial"/>
          <w:noProof/>
        </w:rPr>
        <mc:AlternateContent>
          <mc:Choice Requires="wps">
            <w:drawing>
              <wp:anchor distT="0" distB="0" distL="114300" distR="114300" simplePos="0" relativeHeight="251661312" behindDoc="0" locked="0" layoutInCell="1" allowOverlap="1" wp14:anchorId="3A1ECD5F" wp14:editId="4AB99425">
                <wp:simplePos x="0" y="0"/>
                <wp:positionH relativeFrom="column">
                  <wp:posOffset>79375</wp:posOffset>
                </wp:positionH>
                <wp:positionV relativeFrom="paragraph">
                  <wp:posOffset>-328930</wp:posOffset>
                </wp:positionV>
                <wp:extent cx="2033270" cy="483870"/>
                <wp:effectExtent l="0" t="0" r="0" b="0"/>
                <wp:wrapNone/>
                <wp:docPr id="5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3270" cy="483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7D96C" w14:textId="137B6263" w:rsidR="0031684C" w:rsidRPr="00B94CEF" w:rsidRDefault="0031684C" w:rsidP="00D67378">
                            <w:pPr>
                              <w:pStyle w:val="Tabelka"/>
                              <w:rPr>
                                <w:rFonts w:ascii="Arial" w:hAnsi="Arial" w:cs="Arial"/>
                              </w:rPr>
                            </w:pPr>
                            <w:bookmarkStart w:id="1" w:name="_Toc245531294"/>
                            <w:bookmarkStart w:id="2" w:name="_Toc245531321"/>
                            <w:r w:rsidRPr="00B94CEF">
                              <w:rPr>
                                <w:rFonts w:ascii="Arial" w:hAnsi="Arial" w:cs="Arial"/>
                              </w:rPr>
                              <w:t>EGZEMPLARZ NR</w:t>
                            </w:r>
                            <w:bookmarkEnd w:id="1"/>
                            <w:bookmarkEnd w:id="2"/>
                            <w:r>
                              <w:rPr>
                                <w:rFonts w:ascii="Arial" w:hAnsi="Arial" w:cs="Arial"/>
                              </w:rPr>
                              <w:t xml:space="preserve"> </w:t>
                            </w:r>
                            <w:r w:rsidR="00CF1E7D">
                              <w:rPr>
                                <w:rFonts w:ascii="Arial" w:hAnsi="Arial" w:cs="Arial"/>
                              </w:rPr>
                              <w:t>1</w:t>
                            </w:r>
                          </w:p>
                          <w:p w14:paraId="418CA940" w14:textId="77777777" w:rsidR="0031684C" w:rsidRPr="00B94CEF" w:rsidRDefault="0031684C" w:rsidP="00D67378">
                            <w:pPr>
                              <w:pStyle w:val="Tabelka"/>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1ECD5F" id="_x0000_t202" coordsize="21600,21600" o:spt="202" path="m,l,21600r21600,l21600,xe">
                <v:stroke joinstyle="miter"/>
                <v:path gradientshapeok="t" o:connecttype="rect"/>
              </v:shapetype>
              <v:shape id="Text Box 3" o:spid="_x0000_s1026" type="#_x0000_t202" style="position:absolute;left:0;text-align:left;margin-left:6.25pt;margin-top:-25.9pt;width:160.1pt;height:38.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" filled="f" stroked="f">
                <v:textbox>
                  <w:txbxContent>
                    <w:p w14:paraId="08E7D96C" w14:textId="137B6263" w:rsidR="0031684C" w:rsidRPr="00B94CEF" w:rsidRDefault="0031684C" w:rsidP="00D67378">
                      <w:pPr>
                        <w:pStyle w:val="Tabelka"/>
                        <w:rPr>
                          <w:rFonts w:ascii="Arial" w:hAnsi="Arial" w:cs="Arial"/>
                        </w:rPr>
                      </w:pPr>
                      <w:bookmarkStart w:id="3" w:name="_Toc245531294"/>
                      <w:bookmarkStart w:id="4" w:name="_Toc245531321"/>
                      <w:r w:rsidRPr="00B94CEF">
                        <w:rPr>
                          <w:rFonts w:ascii="Arial" w:hAnsi="Arial" w:cs="Arial"/>
                        </w:rPr>
                        <w:t>EGZEMPLARZ NR</w:t>
                      </w:r>
                      <w:bookmarkEnd w:id="3"/>
                      <w:bookmarkEnd w:id="4"/>
                      <w:r>
                        <w:rPr>
                          <w:rFonts w:ascii="Arial" w:hAnsi="Arial" w:cs="Arial"/>
                        </w:rPr>
                        <w:t xml:space="preserve"> </w:t>
                      </w:r>
                      <w:r w:rsidR="00CF1E7D">
                        <w:rPr>
                          <w:rFonts w:ascii="Arial" w:hAnsi="Arial" w:cs="Arial"/>
                        </w:rPr>
                        <w:t>1</w:t>
                      </w:r>
                    </w:p>
                    <w:p w14:paraId="418CA940" w14:textId="77777777" w:rsidR="0031684C" w:rsidRPr="00B94CEF" w:rsidRDefault="0031684C" w:rsidP="00D67378">
                      <w:pPr>
                        <w:pStyle w:val="Tabelka"/>
                        <w:rPr>
                          <w:rFonts w:ascii="Arial" w:hAnsi="Arial" w:cs="Arial"/>
                        </w:rPr>
                      </w:pPr>
                    </w:p>
                  </w:txbxContent>
                </v:textbox>
              </v:shape>
            </w:pict>
          </mc:Fallback>
        </mc:AlternateContent>
      </w:r>
    </w:p>
    <w:p w14:paraId="66FCB89D"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08435A98"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1AF740DA"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1A7FB78D" w14:textId="6938F5DD" w:rsidR="00D67378" w:rsidRDefault="00D67378" w:rsidP="00D232E1">
      <w:pPr>
        <w:shd w:val="clear" w:color="auto" w:fill="FFFFFF" w:themeFill="background1"/>
        <w:tabs>
          <w:tab w:val="left" w:pos="142"/>
        </w:tabs>
        <w:spacing w:line="240" w:lineRule="auto"/>
        <w:jc w:val="both"/>
        <w:rPr>
          <w:rFonts w:cs="Arial"/>
          <w:szCs w:val="20"/>
        </w:rPr>
      </w:pPr>
    </w:p>
    <w:p w14:paraId="493D0DCE" w14:textId="77777777" w:rsidR="00747F93" w:rsidRPr="006431C4" w:rsidRDefault="00747F93" w:rsidP="00D232E1">
      <w:pPr>
        <w:shd w:val="clear" w:color="auto" w:fill="FFFFFF" w:themeFill="background1"/>
        <w:tabs>
          <w:tab w:val="left" w:pos="142"/>
        </w:tabs>
        <w:spacing w:line="240" w:lineRule="auto"/>
        <w:jc w:val="both"/>
        <w:rPr>
          <w:rFonts w:cs="Arial"/>
          <w:szCs w:val="20"/>
        </w:rPr>
      </w:pPr>
    </w:p>
    <w:p w14:paraId="30B15339" w14:textId="77777777" w:rsidR="00D67378" w:rsidRPr="006431C4" w:rsidRDefault="006473A1" w:rsidP="00D232E1">
      <w:pPr>
        <w:shd w:val="clear" w:color="auto" w:fill="FFFFFF" w:themeFill="background1"/>
        <w:tabs>
          <w:tab w:val="left" w:pos="142"/>
        </w:tabs>
        <w:spacing w:line="240" w:lineRule="auto"/>
        <w:jc w:val="both"/>
        <w:rPr>
          <w:rFonts w:cs="Arial"/>
          <w:szCs w:val="20"/>
        </w:rPr>
      </w:pPr>
      <w:r w:rsidRPr="006431C4">
        <w:rPr>
          <w:rFonts w:cs="Arial"/>
          <w:noProof/>
          <w:szCs w:val="20"/>
        </w:rPr>
        <mc:AlternateContent>
          <mc:Choice Requires="wps">
            <w:drawing>
              <wp:anchor distT="0" distB="0" distL="114300" distR="114300" simplePos="0" relativeHeight="251664384" behindDoc="0" locked="0" layoutInCell="1" allowOverlap="1" wp14:anchorId="4C753917" wp14:editId="142CAC18">
                <wp:simplePos x="0" y="0"/>
                <wp:positionH relativeFrom="column">
                  <wp:posOffset>14605</wp:posOffset>
                </wp:positionH>
                <wp:positionV relativeFrom="paragraph">
                  <wp:posOffset>98425</wp:posOffset>
                </wp:positionV>
                <wp:extent cx="6653529" cy="1433194"/>
                <wp:effectExtent l="0" t="0" r="14605" b="15240"/>
                <wp:wrapNone/>
                <wp:docPr id="5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3529" cy="1433194"/>
                        </a:xfrm>
                        <a:prstGeom prst="rect">
                          <a:avLst/>
                        </a:prstGeom>
                        <a:solidFill>
                          <a:srgbClr val="FFFFFF"/>
                        </a:solidFill>
                        <a:ln w="15875">
                          <a:solidFill>
                            <a:srgbClr val="FFFFFF"/>
                          </a:solidFill>
                          <a:miter lim="800000"/>
                          <a:headEnd/>
                          <a:tailEnd/>
                        </a:ln>
                      </wps:spPr>
                      <wps:txbx>
                        <w:txbxContent>
                          <w:p w14:paraId="62273F8D" w14:textId="10D2C294" w:rsidR="0031684C" w:rsidRPr="008F2704" w:rsidRDefault="0031684C" w:rsidP="008F2704">
                            <w:pPr>
                              <w:pStyle w:val="Tabelka"/>
                              <w:jc w:val="center"/>
                              <w:rPr>
                                <w:rFonts w:ascii="Arial" w:eastAsia="Batang" w:hAnsi="Arial" w:cs="Arial"/>
                                <w:sz w:val="52"/>
                                <w:szCs w:val="52"/>
                                <w:u w:val="single"/>
                              </w:rPr>
                            </w:pPr>
                            <w:r>
                              <w:rPr>
                                <w:rFonts w:ascii="Arial" w:eastAsia="Batang" w:hAnsi="Arial" w:cs="Arial"/>
                                <w:sz w:val="52"/>
                                <w:szCs w:val="52"/>
                                <w:u w:val="single"/>
                              </w:rPr>
                              <w:t>SZCZEGÓŁOWE SPECYFIKACJE TECHNICZNE</w:t>
                            </w:r>
                            <w:r w:rsidRPr="00B94CEF">
                              <w:rPr>
                                <w:rFonts w:ascii="Arial" w:eastAsia="Batang" w:hAnsi="Arial" w:cs="Arial"/>
                                <w:sz w:val="52"/>
                                <w:szCs w:val="52"/>
                                <w:u w:val="single"/>
                              </w:rPr>
                              <w:t xml:space="preserve"> WYKONANIA I ODBIORU ROBÓT BUDOWALNYCH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C753917" id="Text Box 4" o:spid="_x0000_s1027" type="#_x0000_t202" style="position:absolute;left:0;text-align:left;margin-left:1.15pt;margin-top:7.75pt;width:523.9pt;height:112.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" strokecolor="white" strokeweight="1.25pt">
                <v:textbox>
                  <w:txbxContent>
                    <w:p w14:paraId="62273F8D" w14:textId="10D2C294" w:rsidR="0031684C" w:rsidRPr="008F2704" w:rsidRDefault="0031684C" w:rsidP="008F2704">
                      <w:pPr>
                        <w:pStyle w:val="Tabelka"/>
                        <w:jc w:val="center"/>
                        <w:rPr>
                          <w:rFonts w:ascii="Arial" w:eastAsia="Batang" w:hAnsi="Arial" w:cs="Arial"/>
                          <w:sz w:val="52"/>
                          <w:szCs w:val="52"/>
                          <w:u w:val="single"/>
                        </w:rPr>
                      </w:pPr>
                      <w:r>
                        <w:rPr>
                          <w:rFonts w:ascii="Arial" w:eastAsia="Batang" w:hAnsi="Arial" w:cs="Arial"/>
                          <w:sz w:val="52"/>
                          <w:szCs w:val="52"/>
                          <w:u w:val="single"/>
                        </w:rPr>
                        <w:t>SZCZEGÓŁOWE SPECYFIKACJE TECHNICZNE</w:t>
                      </w:r>
                      <w:r w:rsidRPr="00B94CEF">
                        <w:rPr>
                          <w:rFonts w:ascii="Arial" w:eastAsia="Batang" w:hAnsi="Arial" w:cs="Arial"/>
                          <w:sz w:val="52"/>
                          <w:szCs w:val="52"/>
                          <w:u w:val="single"/>
                        </w:rPr>
                        <w:t xml:space="preserve"> WYKONANIA I ODBIORU ROBÓT BUDOWALNYCH</w:t>
                      </w:r>
                    </w:p>
                  </w:txbxContent>
                </v:textbox>
              </v:shape>
            </w:pict>
          </mc:Fallback>
        </mc:AlternateContent>
      </w:r>
    </w:p>
    <w:p w14:paraId="1DD271A0"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2D5DB848"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7F735B9F"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078EEF2E"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117A7A7A"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22B947BB"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39018742" w14:textId="77777777" w:rsidR="00D67378" w:rsidRPr="006431C4" w:rsidRDefault="00D67378" w:rsidP="00D232E1">
      <w:pPr>
        <w:shd w:val="clear" w:color="auto" w:fill="FFFFFF" w:themeFill="background1"/>
        <w:tabs>
          <w:tab w:val="left" w:pos="142"/>
        </w:tabs>
        <w:spacing w:line="240" w:lineRule="auto"/>
        <w:jc w:val="both"/>
        <w:rPr>
          <w:rFonts w:cs="Arial"/>
          <w:szCs w:val="20"/>
        </w:rPr>
      </w:pPr>
    </w:p>
    <w:p w14:paraId="0AAEBCE8" w14:textId="77777777" w:rsidR="00BA4CB3" w:rsidRPr="006431C4" w:rsidRDefault="00BA4CB3" w:rsidP="00D232E1">
      <w:pPr>
        <w:shd w:val="clear" w:color="auto" w:fill="FFFFFF" w:themeFill="background1"/>
        <w:tabs>
          <w:tab w:val="left" w:pos="142"/>
        </w:tabs>
        <w:spacing w:line="240" w:lineRule="auto"/>
        <w:jc w:val="both"/>
        <w:rPr>
          <w:rFonts w:cs="Arial"/>
          <w:szCs w:val="20"/>
        </w:rPr>
      </w:pPr>
    </w:p>
    <w:p w14:paraId="6C91C028" w14:textId="77777777" w:rsidR="00BA4CB3" w:rsidRPr="006431C4" w:rsidRDefault="00BA4CB3" w:rsidP="008F2704">
      <w:pPr>
        <w:shd w:val="clear" w:color="auto" w:fill="FFFFFF" w:themeFill="background1"/>
        <w:tabs>
          <w:tab w:val="left" w:pos="142"/>
        </w:tabs>
        <w:spacing w:after="240" w:line="240" w:lineRule="auto"/>
        <w:jc w:val="both"/>
        <w:rPr>
          <w:rFonts w:cs="Arial"/>
          <w:szCs w:val="20"/>
        </w:rPr>
      </w:pPr>
    </w:p>
    <w:p w14:paraId="2E85C15C" w14:textId="733F237A" w:rsidR="00442569" w:rsidRDefault="00442569" w:rsidP="00D232E1">
      <w:pPr>
        <w:shd w:val="clear" w:color="auto" w:fill="FFFFFF" w:themeFill="background1"/>
        <w:tabs>
          <w:tab w:val="left" w:pos="142"/>
        </w:tabs>
        <w:spacing w:line="240" w:lineRule="auto"/>
        <w:jc w:val="both"/>
        <w:rPr>
          <w:rFonts w:cs="Arial"/>
          <w:szCs w:val="20"/>
        </w:rPr>
      </w:pPr>
    </w:p>
    <w:p w14:paraId="5840F27C" w14:textId="471F6F07" w:rsidR="00747F93" w:rsidRDefault="00747F93" w:rsidP="00D232E1">
      <w:pPr>
        <w:shd w:val="clear" w:color="auto" w:fill="FFFFFF" w:themeFill="background1"/>
        <w:tabs>
          <w:tab w:val="left" w:pos="142"/>
        </w:tabs>
        <w:spacing w:line="240" w:lineRule="auto"/>
        <w:jc w:val="both"/>
        <w:rPr>
          <w:rFonts w:cs="Arial"/>
          <w:szCs w:val="20"/>
        </w:rPr>
      </w:pPr>
    </w:p>
    <w:p w14:paraId="1BF32B5F" w14:textId="5B952D3A" w:rsidR="00747F93" w:rsidRDefault="00747F93" w:rsidP="00D232E1">
      <w:pPr>
        <w:shd w:val="clear" w:color="auto" w:fill="FFFFFF" w:themeFill="background1"/>
        <w:tabs>
          <w:tab w:val="left" w:pos="142"/>
        </w:tabs>
        <w:spacing w:line="240" w:lineRule="auto"/>
        <w:jc w:val="both"/>
        <w:rPr>
          <w:rFonts w:cs="Arial"/>
          <w:szCs w:val="20"/>
        </w:rPr>
      </w:pPr>
    </w:p>
    <w:p w14:paraId="04F4E5F0" w14:textId="77777777" w:rsidR="00747F93" w:rsidRPr="006431C4" w:rsidRDefault="00747F93" w:rsidP="00D232E1">
      <w:pPr>
        <w:shd w:val="clear" w:color="auto" w:fill="FFFFFF" w:themeFill="background1"/>
        <w:tabs>
          <w:tab w:val="left" w:pos="142"/>
        </w:tabs>
        <w:spacing w:line="240" w:lineRule="auto"/>
        <w:jc w:val="both"/>
        <w:rPr>
          <w:rFonts w:cs="Arial"/>
          <w:szCs w:val="20"/>
        </w:rPr>
      </w:pPr>
    </w:p>
    <w:tbl>
      <w:tblPr>
        <w:tblpPr w:leftFromText="141" w:rightFromText="141" w:vertAnchor="text" w:horzAnchor="margin" w:tblpXSpec="center" w:tblpY="74"/>
        <w:tblW w:w="1017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235"/>
        <w:gridCol w:w="7937"/>
      </w:tblGrid>
      <w:tr w:rsidR="00275462" w:rsidRPr="006431C4" w14:paraId="2E2A33D3" w14:textId="77777777" w:rsidTr="00B235DC">
        <w:trPr>
          <w:trHeight w:val="850"/>
        </w:trPr>
        <w:tc>
          <w:tcPr>
            <w:tcW w:w="2235" w:type="dxa"/>
            <w:tcBorders>
              <w:top w:val="double" w:sz="4" w:space="0" w:color="auto"/>
              <w:bottom w:val="double" w:sz="4" w:space="0" w:color="auto"/>
              <w:right w:val="double" w:sz="4" w:space="0" w:color="auto"/>
            </w:tcBorders>
            <w:vAlign w:val="center"/>
          </w:tcPr>
          <w:p w14:paraId="5C579F97" w14:textId="77777777" w:rsidR="00275462" w:rsidRPr="006431C4" w:rsidRDefault="00275462" w:rsidP="00F05F5E">
            <w:pPr>
              <w:shd w:val="clear" w:color="auto" w:fill="FFFFFF" w:themeFill="background1"/>
              <w:spacing w:line="240" w:lineRule="auto"/>
              <w:jc w:val="both"/>
              <w:rPr>
                <w:rFonts w:cs="Arial"/>
                <w:b/>
                <w:szCs w:val="20"/>
              </w:rPr>
            </w:pPr>
            <w:r w:rsidRPr="006431C4">
              <w:rPr>
                <w:rFonts w:cs="Arial"/>
                <w:b/>
                <w:szCs w:val="20"/>
              </w:rPr>
              <w:t>Nazwa obiektu:</w:t>
            </w:r>
          </w:p>
        </w:tc>
        <w:tc>
          <w:tcPr>
            <w:tcW w:w="7937" w:type="dxa"/>
            <w:tcBorders>
              <w:top w:val="double" w:sz="4" w:space="0" w:color="auto"/>
              <w:left w:val="double" w:sz="4" w:space="0" w:color="auto"/>
              <w:bottom w:val="double" w:sz="4" w:space="0" w:color="auto"/>
            </w:tcBorders>
            <w:vAlign w:val="center"/>
          </w:tcPr>
          <w:p w14:paraId="7A446D83" w14:textId="67E4096E" w:rsidR="00DD5EAB" w:rsidRPr="00747F93" w:rsidRDefault="00747F93" w:rsidP="00747F93">
            <w:pPr>
              <w:pStyle w:val="Tabelkastrtytuowa"/>
              <w:rPr>
                <w:sz w:val="22"/>
                <w:szCs w:val="22"/>
              </w:rPr>
            </w:pPr>
            <w:r w:rsidRPr="00747F93">
              <w:rPr>
                <w:sz w:val="22"/>
                <w:szCs w:val="22"/>
              </w:rPr>
              <w:t xml:space="preserve">Przebudowa drogi wojewódzkiej nr 957 w miejscowości Jabłonka </w:t>
            </w:r>
            <w:r w:rsidRPr="00747F93">
              <w:rPr>
                <w:sz w:val="22"/>
                <w:szCs w:val="22"/>
              </w:rPr>
              <w:br/>
              <w:t>odc. referencyjny 100 w km 9+073.78 - 9+279.58 (budowa chodnika)</w:t>
            </w:r>
          </w:p>
        </w:tc>
      </w:tr>
      <w:tr w:rsidR="00275462" w:rsidRPr="006431C4" w14:paraId="33805E85" w14:textId="77777777" w:rsidTr="00747F93">
        <w:trPr>
          <w:trHeight w:val="1780"/>
        </w:trPr>
        <w:tc>
          <w:tcPr>
            <w:tcW w:w="2235" w:type="dxa"/>
            <w:tcBorders>
              <w:top w:val="double" w:sz="4" w:space="0" w:color="auto"/>
              <w:bottom w:val="double" w:sz="4" w:space="0" w:color="auto"/>
              <w:right w:val="double" w:sz="4" w:space="0" w:color="auto"/>
            </w:tcBorders>
            <w:vAlign w:val="center"/>
          </w:tcPr>
          <w:p w14:paraId="2412FB99" w14:textId="77777777" w:rsidR="00275462" w:rsidRPr="006431C4" w:rsidRDefault="00275462" w:rsidP="00F05F5E">
            <w:pPr>
              <w:shd w:val="clear" w:color="auto" w:fill="FFFFFF" w:themeFill="background1"/>
              <w:spacing w:line="240" w:lineRule="auto"/>
              <w:jc w:val="both"/>
              <w:rPr>
                <w:rFonts w:cs="Arial"/>
                <w:b/>
                <w:szCs w:val="20"/>
              </w:rPr>
            </w:pPr>
            <w:r w:rsidRPr="006431C4">
              <w:rPr>
                <w:rFonts w:cs="Arial"/>
                <w:b/>
                <w:szCs w:val="20"/>
              </w:rPr>
              <w:t>Adres obiektu:</w:t>
            </w:r>
          </w:p>
        </w:tc>
        <w:tc>
          <w:tcPr>
            <w:tcW w:w="7937" w:type="dxa"/>
            <w:tcBorders>
              <w:top w:val="double" w:sz="4" w:space="0" w:color="auto"/>
              <w:left w:val="double" w:sz="4" w:space="0" w:color="auto"/>
              <w:bottom w:val="double" w:sz="4" w:space="0" w:color="auto"/>
            </w:tcBorders>
            <w:vAlign w:val="center"/>
          </w:tcPr>
          <w:p w14:paraId="42F167CB" w14:textId="77777777" w:rsidR="00747F93" w:rsidRPr="00747F93" w:rsidRDefault="00747F93" w:rsidP="00747F93">
            <w:pPr>
              <w:pStyle w:val="Tabelkastrtytuowa"/>
              <w:rPr>
                <w:sz w:val="20"/>
                <w:szCs w:val="20"/>
              </w:rPr>
            </w:pPr>
          </w:p>
          <w:p w14:paraId="4227B29C" w14:textId="77777777" w:rsidR="00747F93" w:rsidRPr="00747F93" w:rsidRDefault="00747F93" w:rsidP="00747F93">
            <w:pPr>
              <w:pStyle w:val="Tabelkastrtytuowa"/>
              <w:rPr>
                <w:sz w:val="20"/>
                <w:szCs w:val="20"/>
              </w:rPr>
            </w:pPr>
            <w:r w:rsidRPr="00747F93">
              <w:rPr>
                <w:sz w:val="20"/>
                <w:szCs w:val="20"/>
              </w:rPr>
              <w:t>Woj. Małopolskie, Powiat Nowotarski, Jednostka ewidencyjna: Jabłonka</w:t>
            </w:r>
          </w:p>
          <w:p w14:paraId="5E13AA7D" w14:textId="79D3E02F" w:rsidR="00F245A5" w:rsidRPr="00747F93" w:rsidRDefault="00747F93" w:rsidP="00747F93">
            <w:pPr>
              <w:pStyle w:val="Tabelkastrtytuowa"/>
              <w:rPr>
                <w:sz w:val="20"/>
                <w:szCs w:val="20"/>
              </w:rPr>
            </w:pPr>
            <w:r w:rsidRPr="00747F93">
              <w:rPr>
                <w:sz w:val="20"/>
                <w:szCs w:val="20"/>
              </w:rPr>
              <w:t>Obręb: Jabłonka dz. ew. nr: 1079/2</w:t>
            </w:r>
          </w:p>
        </w:tc>
      </w:tr>
      <w:tr w:rsidR="00275462" w:rsidRPr="006431C4" w14:paraId="477F152E" w14:textId="77777777" w:rsidTr="00B235DC">
        <w:trPr>
          <w:trHeight w:val="850"/>
        </w:trPr>
        <w:tc>
          <w:tcPr>
            <w:tcW w:w="2235" w:type="dxa"/>
            <w:tcBorders>
              <w:top w:val="double" w:sz="4" w:space="0" w:color="auto"/>
              <w:bottom w:val="double" w:sz="4" w:space="0" w:color="auto"/>
              <w:right w:val="double" w:sz="4" w:space="0" w:color="auto"/>
            </w:tcBorders>
            <w:vAlign w:val="center"/>
          </w:tcPr>
          <w:p w14:paraId="5EB6D760" w14:textId="77777777" w:rsidR="00275462" w:rsidRPr="006431C4" w:rsidRDefault="00275462" w:rsidP="00F05F5E">
            <w:pPr>
              <w:shd w:val="clear" w:color="auto" w:fill="FFFFFF" w:themeFill="background1"/>
              <w:spacing w:line="240" w:lineRule="auto"/>
              <w:jc w:val="both"/>
              <w:rPr>
                <w:rFonts w:cs="Arial"/>
                <w:b/>
                <w:szCs w:val="20"/>
              </w:rPr>
            </w:pPr>
            <w:r w:rsidRPr="006431C4">
              <w:rPr>
                <w:rFonts w:cs="Arial"/>
                <w:b/>
                <w:szCs w:val="20"/>
              </w:rPr>
              <w:t>Inwestor:</w:t>
            </w:r>
          </w:p>
        </w:tc>
        <w:tc>
          <w:tcPr>
            <w:tcW w:w="7937" w:type="dxa"/>
            <w:tcBorders>
              <w:top w:val="double" w:sz="4" w:space="0" w:color="auto"/>
              <w:left w:val="double" w:sz="4" w:space="0" w:color="auto"/>
              <w:bottom w:val="double" w:sz="4" w:space="0" w:color="auto"/>
            </w:tcBorders>
            <w:vAlign w:val="center"/>
          </w:tcPr>
          <w:p w14:paraId="5A27E4BD" w14:textId="4BE6F9B8" w:rsidR="00275462" w:rsidRPr="00747F93" w:rsidRDefault="00747F93" w:rsidP="0051253A">
            <w:pPr>
              <w:pStyle w:val="Tabelkastrtytuowa"/>
              <w:rPr>
                <w:b w:val="0"/>
                <w:sz w:val="20"/>
                <w:szCs w:val="20"/>
              </w:rPr>
            </w:pPr>
            <w:r w:rsidRPr="00747F93">
              <w:rPr>
                <w:b w:val="0"/>
                <w:sz w:val="20"/>
                <w:szCs w:val="20"/>
              </w:rPr>
              <w:t>Gmina Jabłonka</w:t>
            </w:r>
            <w:r w:rsidRPr="00747F93">
              <w:rPr>
                <w:b w:val="0"/>
                <w:sz w:val="20"/>
                <w:szCs w:val="20"/>
              </w:rPr>
              <w:br/>
              <w:t>ul. 3-go Maja 1</w:t>
            </w:r>
            <w:r w:rsidRPr="00747F93">
              <w:rPr>
                <w:b w:val="0"/>
                <w:sz w:val="20"/>
                <w:szCs w:val="20"/>
              </w:rPr>
              <w:br/>
              <w:t>34-480 Jabłonka</w:t>
            </w:r>
          </w:p>
        </w:tc>
      </w:tr>
      <w:tr w:rsidR="00275462" w:rsidRPr="006431C4" w14:paraId="6BD2B623" w14:textId="77777777" w:rsidTr="00B235DC">
        <w:trPr>
          <w:trHeight w:val="1134"/>
        </w:trPr>
        <w:tc>
          <w:tcPr>
            <w:tcW w:w="2235" w:type="dxa"/>
            <w:tcBorders>
              <w:top w:val="double" w:sz="4" w:space="0" w:color="auto"/>
              <w:bottom w:val="double" w:sz="4" w:space="0" w:color="auto"/>
              <w:right w:val="double" w:sz="4" w:space="0" w:color="auto"/>
            </w:tcBorders>
            <w:vAlign w:val="center"/>
          </w:tcPr>
          <w:p w14:paraId="715C5C7A" w14:textId="77777777" w:rsidR="00275462" w:rsidRPr="006431C4" w:rsidRDefault="00275462" w:rsidP="00F05F5E">
            <w:pPr>
              <w:shd w:val="clear" w:color="auto" w:fill="FFFFFF" w:themeFill="background1"/>
              <w:spacing w:line="240" w:lineRule="auto"/>
              <w:jc w:val="both"/>
              <w:rPr>
                <w:rFonts w:cs="Arial"/>
                <w:b/>
                <w:szCs w:val="20"/>
              </w:rPr>
            </w:pPr>
            <w:r w:rsidRPr="006431C4">
              <w:rPr>
                <w:rFonts w:cs="Arial"/>
                <w:b/>
                <w:szCs w:val="20"/>
              </w:rPr>
              <w:t>Podstawa opracowania:</w:t>
            </w:r>
          </w:p>
        </w:tc>
        <w:tc>
          <w:tcPr>
            <w:tcW w:w="7937" w:type="dxa"/>
            <w:tcBorders>
              <w:top w:val="double" w:sz="4" w:space="0" w:color="auto"/>
              <w:left w:val="double" w:sz="4" w:space="0" w:color="auto"/>
              <w:bottom w:val="double" w:sz="4" w:space="0" w:color="auto"/>
            </w:tcBorders>
            <w:vAlign w:val="center"/>
          </w:tcPr>
          <w:p w14:paraId="7F549B31" w14:textId="77777777" w:rsidR="00275462" w:rsidRPr="003E4804" w:rsidRDefault="00275462" w:rsidP="00F05F5E">
            <w:pPr>
              <w:shd w:val="clear" w:color="auto" w:fill="FFFFFF" w:themeFill="background1"/>
              <w:spacing w:line="240" w:lineRule="auto"/>
              <w:jc w:val="both"/>
              <w:rPr>
                <w:rFonts w:cs="Arial"/>
                <w:szCs w:val="20"/>
              </w:rPr>
            </w:pPr>
            <w:r w:rsidRPr="003E4804">
              <w:rPr>
                <w:rFonts w:cs="Arial"/>
                <w:szCs w:val="20"/>
              </w:rPr>
              <w:t>Ogólne Specyfikacje Techniczne wydane przez Branżowy Zakład Doświadczalny Budownictwa Drogowego i Mostowego</w:t>
            </w:r>
          </w:p>
        </w:tc>
      </w:tr>
      <w:tr w:rsidR="00275462" w:rsidRPr="006431C4" w14:paraId="3CC962EB" w14:textId="77777777" w:rsidTr="00B235DC">
        <w:trPr>
          <w:trHeight w:val="1134"/>
        </w:trPr>
        <w:tc>
          <w:tcPr>
            <w:tcW w:w="2235" w:type="dxa"/>
            <w:tcBorders>
              <w:top w:val="double" w:sz="4" w:space="0" w:color="auto"/>
              <w:bottom w:val="double" w:sz="4" w:space="0" w:color="auto"/>
              <w:right w:val="double" w:sz="4" w:space="0" w:color="auto"/>
            </w:tcBorders>
            <w:vAlign w:val="center"/>
          </w:tcPr>
          <w:p w14:paraId="0DA248FD" w14:textId="59CB856B" w:rsidR="00275462" w:rsidRPr="006431C4" w:rsidRDefault="00681742" w:rsidP="00681742">
            <w:pPr>
              <w:shd w:val="clear" w:color="auto" w:fill="FFFFFF" w:themeFill="background1"/>
              <w:spacing w:line="240" w:lineRule="auto"/>
              <w:rPr>
                <w:rFonts w:cs="Arial"/>
                <w:b/>
                <w:szCs w:val="20"/>
              </w:rPr>
            </w:pPr>
            <w:r>
              <w:rPr>
                <w:rFonts w:cs="Arial"/>
                <w:b/>
                <w:szCs w:val="20"/>
              </w:rPr>
              <w:t xml:space="preserve">Wspólny </w:t>
            </w:r>
            <w:r w:rsidR="00275462" w:rsidRPr="006431C4">
              <w:rPr>
                <w:rFonts w:cs="Arial"/>
                <w:b/>
                <w:szCs w:val="20"/>
              </w:rPr>
              <w:t>słownik zamówień CPV</w:t>
            </w:r>
          </w:p>
        </w:tc>
        <w:tc>
          <w:tcPr>
            <w:tcW w:w="7937" w:type="dxa"/>
            <w:tcBorders>
              <w:top w:val="double" w:sz="4" w:space="0" w:color="auto"/>
              <w:left w:val="double" w:sz="4" w:space="0" w:color="auto"/>
              <w:bottom w:val="double" w:sz="4" w:space="0" w:color="auto"/>
            </w:tcBorders>
            <w:vAlign w:val="center"/>
          </w:tcPr>
          <w:p w14:paraId="010A541F" w14:textId="77777777" w:rsidR="001523C5" w:rsidRPr="001523C5" w:rsidRDefault="001523C5" w:rsidP="001523C5">
            <w:pPr>
              <w:shd w:val="clear" w:color="auto" w:fill="FFFFFF" w:themeFill="background1"/>
              <w:spacing w:line="240" w:lineRule="auto"/>
              <w:jc w:val="both"/>
              <w:rPr>
                <w:rFonts w:cs="Arial"/>
                <w:szCs w:val="20"/>
              </w:rPr>
            </w:pPr>
            <w:r w:rsidRPr="001523C5">
              <w:rPr>
                <w:rFonts w:cs="Arial"/>
                <w:szCs w:val="20"/>
              </w:rPr>
              <w:t>45100000-8 Przygotowanie terenu pod budowę</w:t>
            </w:r>
          </w:p>
          <w:p w14:paraId="2839644B" w14:textId="2CAD2418" w:rsidR="002C5361" w:rsidRPr="006431C4" w:rsidRDefault="001523C5" w:rsidP="002C5361">
            <w:pPr>
              <w:shd w:val="clear" w:color="auto" w:fill="FFFFFF" w:themeFill="background1"/>
              <w:spacing w:line="240" w:lineRule="auto"/>
              <w:jc w:val="both"/>
              <w:rPr>
                <w:rFonts w:cs="Arial"/>
                <w:szCs w:val="20"/>
              </w:rPr>
            </w:pPr>
            <w:r w:rsidRPr="001523C5">
              <w:rPr>
                <w:rFonts w:cs="Arial"/>
                <w:szCs w:val="20"/>
              </w:rPr>
              <w:t>45233140-2 Roboty drogowe</w:t>
            </w:r>
          </w:p>
        </w:tc>
      </w:tr>
      <w:tr w:rsidR="00275462" w:rsidRPr="006431C4" w14:paraId="45695CEE" w14:textId="77777777" w:rsidTr="00B235DC">
        <w:trPr>
          <w:trHeight w:val="283"/>
        </w:trPr>
        <w:tc>
          <w:tcPr>
            <w:tcW w:w="2235" w:type="dxa"/>
            <w:tcBorders>
              <w:top w:val="double" w:sz="4" w:space="0" w:color="auto"/>
              <w:bottom w:val="double" w:sz="4" w:space="0" w:color="auto"/>
              <w:right w:val="double" w:sz="4" w:space="0" w:color="auto"/>
            </w:tcBorders>
            <w:vAlign w:val="center"/>
          </w:tcPr>
          <w:p w14:paraId="14E4AAC3" w14:textId="45EB9ECD" w:rsidR="00275462" w:rsidRPr="006431C4" w:rsidRDefault="00275462" w:rsidP="00991529">
            <w:pPr>
              <w:shd w:val="clear" w:color="auto" w:fill="FFFFFF" w:themeFill="background1"/>
              <w:spacing w:line="240" w:lineRule="auto"/>
              <w:rPr>
                <w:rFonts w:cs="Arial"/>
                <w:b/>
                <w:szCs w:val="20"/>
              </w:rPr>
            </w:pPr>
            <w:r w:rsidRPr="006431C4">
              <w:rPr>
                <w:rFonts w:cs="Arial"/>
                <w:b/>
                <w:szCs w:val="20"/>
              </w:rPr>
              <w:t>Współpraca</w:t>
            </w:r>
            <w:r w:rsidR="00991529">
              <w:rPr>
                <w:rFonts w:cs="Arial"/>
                <w:b/>
                <w:szCs w:val="20"/>
              </w:rPr>
              <w:t xml:space="preserve"> i </w:t>
            </w:r>
            <w:r w:rsidR="00096AA8" w:rsidRPr="006431C4">
              <w:rPr>
                <w:rFonts w:cs="Arial"/>
                <w:b/>
                <w:szCs w:val="20"/>
              </w:rPr>
              <w:t>opracowanie</w:t>
            </w:r>
            <w:r w:rsidRPr="006431C4">
              <w:rPr>
                <w:rFonts w:cs="Arial"/>
                <w:b/>
                <w:szCs w:val="20"/>
              </w:rPr>
              <w:t>:</w:t>
            </w:r>
          </w:p>
        </w:tc>
        <w:tc>
          <w:tcPr>
            <w:tcW w:w="7937" w:type="dxa"/>
            <w:tcBorders>
              <w:top w:val="double" w:sz="4" w:space="0" w:color="auto"/>
              <w:left w:val="double" w:sz="4" w:space="0" w:color="auto"/>
              <w:bottom w:val="double" w:sz="4" w:space="0" w:color="auto"/>
            </w:tcBorders>
            <w:vAlign w:val="center"/>
          </w:tcPr>
          <w:p w14:paraId="2377C911" w14:textId="3B15CDE3" w:rsidR="00275462" w:rsidRPr="006431C4" w:rsidRDefault="002B6B85" w:rsidP="00F05F5E">
            <w:pPr>
              <w:shd w:val="clear" w:color="auto" w:fill="FFFFFF" w:themeFill="background1"/>
              <w:spacing w:line="240" w:lineRule="auto"/>
              <w:jc w:val="both"/>
              <w:rPr>
                <w:rFonts w:cs="Arial"/>
                <w:szCs w:val="20"/>
              </w:rPr>
            </w:pPr>
            <w:r>
              <w:rPr>
                <w:rFonts w:cs="Arial"/>
                <w:szCs w:val="20"/>
              </w:rPr>
              <w:t>mgr inż. Michał Orzeł</w:t>
            </w:r>
          </w:p>
        </w:tc>
      </w:tr>
      <w:tr w:rsidR="00275462" w:rsidRPr="006431C4" w14:paraId="05188CA3" w14:textId="77777777" w:rsidTr="00B235DC">
        <w:trPr>
          <w:trHeight w:val="283"/>
        </w:trPr>
        <w:tc>
          <w:tcPr>
            <w:tcW w:w="2235" w:type="dxa"/>
            <w:tcBorders>
              <w:top w:val="double" w:sz="4" w:space="0" w:color="auto"/>
              <w:bottom w:val="double" w:sz="4" w:space="0" w:color="auto"/>
              <w:right w:val="double" w:sz="4" w:space="0" w:color="auto"/>
            </w:tcBorders>
            <w:vAlign w:val="center"/>
          </w:tcPr>
          <w:p w14:paraId="761EE26F" w14:textId="77777777" w:rsidR="00275462" w:rsidRPr="006431C4" w:rsidRDefault="00275462" w:rsidP="00F05F5E">
            <w:pPr>
              <w:shd w:val="clear" w:color="auto" w:fill="FFFFFF" w:themeFill="background1"/>
              <w:spacing w:line="240" w:lineRule="auto"/>
              <w:jc w:val="both"/>
              <w:rPr>
                <w:rFonts w:cs="Arial"/>
                <w:b/>
                <w:szCs w:val="20"/>
              </w:rPr>
            </w:pPr>
            <w:r w:rsidRPr="006431C4">
              <w:rPr>
                <w:rFonts w:cs="Arial"/>
                <w:b/>
                <w:szCs w:val="20"/>
              </w:rPr>
              <w:t>Data opracowania:</w:t>
            </w:r>
          </w:p>
        </w:tc>
        <w:tc>
          <w:tcPr>
            <w:tcW w:w="7937" w:type="dxa"/>
            <w:tcBorders>
              <w:top w:val="double" w:sz="4" w:space="0" w:color="auto"/>
              <w:left w:val="double" w:sz="4" w:space="0" w:color="auto"/>
              <w:bottom w:val="double" w:sz="4" w:space="0" w:color="auto"/>
            </w:tcBorders>
            <w:vAlign w:val="center"/>
          </w:tcPr>
          <w:p w14:paraId="19E1C393" w14:textId="7B405E57" w:rsidR="00275462" w:rsidRPr="006431C4" w:rsidRDefault="00526154" w:rsidP="00F05F5E">
            <w:pPr>
              <w:shd w:val="clear" w:color="auto" w:fill="FFFFFF" w:themeFill="background1"/>
              <w:spacing w:line="240" w:lineRule="auto"/>
              <w:jc w:val="both"/>
              <w:rPr>
                <w:rFonts w:cs="Arial"/>
                <w:szCs w:val="20"/>
              </w:rPr>
            </w:pPr>
            <w:r>
              <w:rPr>
                <w:rFonts w:cs="Arial"/>
                <w:szCs w:val="20"/>
              </w:rPr>
              <w:t>Październik</w:t>
            </w:r>
            <w:r w:rsidR="002B6B85">
              <w:rPr>
                <w:rFonts w:cs="Arial"/>
                <w:szCs w:val="20"/>
              </w:rPr>
              <w:t xml:space="preserve"> 2022 r.</w:t>
            </w:r>
          </w:p>
        </w:tc>
      </w:tr>
    </w:tbl>
    <w:p w14:paraId="01572003" w14:textId="77777777" w:rsidR="001523C5" w:rsidRDefault="001523C5" w:rsidP="001523C5">
      <w:pPr>
        <w:shd w:val="clear" w:color="auto" w:fill="FFFFFF" w:themeFill="background1"/>
        <w:tabs>
          <w:tab w:val="left" w:pos="142"/>
        </w:tabs>
        <w:spacing w:line="240" w:lineRule="auto"/>
        <w:jc w:val="both"/>
        <w:rPr>
          <w:rFonts w:cs="Arial"/>
          <w:szCs w:val="20"/>
        </w:rPr>
      </w:pPr>
    </w:p>
    <w:p w14:paraId="30F49246" w14:textId="77777777" w:rsidR="00D07ACA" w:rsidRDefault="00D07ACA" w:rsidP="001523C5">
      <w:pPr>
        <w:shd w:val="clear" w:color="auto" w:fill="FFFFFF" w:themeFill="background1"/>
        <w:tabs>
          <w:tab w:val="left" w:pos="142"/>
        </w:tabs>
        <w:spacing w:line="240" w:lineRule="auto"/>
        <w:jc w:val="both"/>
        <w:rPr>
          <w:rFonts w:cs="Arial"/>
          <w:szCs w:val="20"/>
        </w:rPr>
        <w:sectPr w:rsidR="00D07ACA" w:rsidSect="002C5361">
          <w:headerReference w:type="default" r:id="rId9"/>
          <w:footerReference w:type="even" r:id="rId10"/>
          <w:footerReference w:type="default" r:id="rId11"/>
          <w:footerReference w:type="first" r:id="rId12"/>
          <w:pgSz w:w="11906" w:h="16838" w:code="9"/>
          <w:pgMar w:top="993" w:right="424" w:bottom="993" w:left="567" w:header="426" w:footer="517" w:gutter="0"/>
          <w:pgNumType w:start="1"/>
          <w:cols w:space="708"/>
          <w:titlePg/>
          <w:docGrid w:linePitch="360"/>
        </w:sectPr>
      </w:pPr>
    </w:p>
    <w:p w14:paraId="3C67750E" w14:textId="77777777" w:rsidR="00110298" w:rsidRDefault="00110298" w:rsidP="001523C5">
      <w:pPr>
        <w:shd w:val="clear" w:color="auto" w:fill="FFFFFF" w:themeFill="background1"/>
        <w:tabs>
          <w:tab w:val="left" w:pos="142"/>
        </w:tabs>
        <w:spacing w:line="240" w:lineRule="auto"/>
        <w:jc w:val="both"/>
        <w:rPr>
          <w:rFonts w:cs="Arial"/>
          <w:szCs w:val="20"/>
        </w:rPr>
        <w:sectPr w:rsidR="00110298" w:rsidSect="001E7ACB">
          <w:pgSz w:w="11906" w:h="16838" w:code="9"/>
          <w:pgMar w:top="993" w:right="424" w:bottom="993" w:left="567" w:header="426" w:footer="517" w:gutter="0"/>
          <w:pgNumType w:start="2"/>
          <w:cols w:space="708"/>
          <w:docGrid w:linePitch="360"/>
        </w:sectPr>
      </w:pPr>
    </w:p>
    <w:p w14:paraId="0FF8A36A" w14:textId="77777777" w:rsidR="00BA4CB3" w:rsidRPr="006431C4" w:rsidRDefault="00E43C33"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lastRenderedPageBreak/>
        <w:t>SPIS SPECYFIKACJI</w:t>
      </w:r>
    </w:p>
    <w:p w14:paraId="5C6415E8" w14:textId="49C098ED" w:rsidR="00F62D0A" w:rsidRDefault="000163D2">
      <w:pPr>
        <w:pStyle w:val="Spistreci1"/>
        <w:rPr>
          <w:rFonts w:asciiTheme="minorHAnsi" w:eastAsiaTheme="minorEastAsia" w:hAnsiTheme="minorHAnsi" w:cstheme="minorBidi"/>
          <w:b w:val="0"/>
          <w:sz w:val="22"/>
          <w:szCs w:val="22"/>
        </w:rPr>
      </w:pPr>
      <w:r w:rsidRPr="006431C4">
        <w:rPr>
          <w:rFonts w:cs="Arial"/>
          <w:szCs w:val="20"/>
        </w:rPr>
        <w:fldChar w:fldCharType="begin"/>
      </w:r>
      <w:r w:rsidR="008F74BE" w:rsidRPr="006431C4">
        <w:rPr>
          <w:rFonts w:cs="Arial"/>
          <w:szCs w:val="20"/>
        </w:rPr>
        <w:instrText xml:space="preserve"> TOC \h \z \u \t "Nagłówek 4;1;Tytuł;1" </w:instrText>
      </w:r>
      <w:r w:rsidRPr="006431C4">
        <w:rPr>
          <w:rFonts w:cs="Arial"/>
          <w:szCs w:val="20"/>
        </w:rPr>
        <w:fldChar w:fldCharType="separate"/>
      </w:r>
      <w:hyperlink w:anchor="_Toc111635968" w:history="1">
        <w:r w:rsidR="00F62D0A" w:rsidRPr="00D61DBD">
          <w:rPr>
            <w:rStyle w:val="Hipercze"/>
            <w:rFonts w:cs="Arial"/>
          </w:rPr>
          <w:t>D-M-00.00.00 – WYMAGANIA OGÓLNE</w:t>
        </w:r>
        <w:r w:rsidR="00F62D0A">
          <w:rPr>
            <w:webHidden/>
          </w:rPr>
          <w:tab/>
        </w:r>
        <w:r w:rsidR="00F62D0A">
          <w:rPr>
            <w:webHidden/>
          </w:rPr>
          <w:fldChar w:fldCharType="begin"/>
        </w:r>
        <w:r w:rsidR="00F62D0A">
          <w:rPr>
            <w:webHidden/>
          </w:rPr>
          <w:instrText xml:space="preserve"> PAGEREF _Toc111635968 \h </w:instrText>
        </w:r>
        <w:r w:rsidR="00F62D0A">
          <w:rPr>
            <w:webHidden/>
          </w:rPr>
        </w:r>
        <w:r w:rsidR="00F62D0A">
          <w:rPr>
            <w:webHidden/>
          </w:rPr>
          <w:fldChar w:fldCharType="separate"/>
        </w:r>
        <w:r w:rsidR="008D66D8">
          <w:rPr>
            <w:webHidden/>
          </w:rPr>
          <w:t>4</w:t>
        </w:r>
        <w:r w:rsidR="00F62D0A">
          <w:rPr>
            <w:webHidden/>
          </w:rPr>
          <w:fldChar w:fldCharType="end"/>
        </w:r>
      </w:hyperlink>
    </w:p>
    <w:p w14:paraId="06A95946" w14:textId="09EC6FBC" w:rsidR="00F62D0A" w:rsidRDefault="008D66D8">
      <w:pPr>
        <w:pStyle w:val="Spistreci1"/>
        <w:rPr>
          <w:rFonts w:asciiTheme="minorHAnsi" w:eastAsiaTheme="minorEastAsia" w:hAnsiTheme="minorHAnsi" w:cstheme="minorBidi"/>
          <w:b w:val="0"/>
          <w:sz w:val="22"/>
          <w:szCs w:val="22"/>
        </w:rPr>
      </w:pPr>
      <w:hyperlink w:anchor="_Toc111635969" w:history="1">
        <w:r w:rsidR="00F62D0A" w:rsidRPr="00D61DBD">
          <w:rPr>
            <w:rStyle w:val="Hipercze"/>
            <w:rFonts w:cs="Arial"/>
          </w:rPr>
          <w:t>D-01.01.01 - ODTWORZENIE  TRASY I  PUNKTÓW  WYSOKOŚCIOWYCH</w:t>
        </w:r>
        <w:r w:rsidR="00F62D0A">
          <w:rPr>
            <w:webHidden/>
          </w:rPr>
          <w:tab/>
        </w:r>
        <w:r w:rsidR="00F62D0A">
          <w:rPr>
            <w:webHidden/>
          </w:rPr>
          <w:fldChar w:fldCharType="begin"/>
        </w:r>
        <w:r w:rsidR="00F62D0A">
          <w:rPr>
            <w:webHidden/>
          </w:rPr>
          <w:instrText xml:space="preserve"> PAGEREF _Toc111635969 \h </w:instrText>
        </w:r>
        <w:r w:rsidR="00F62D0A">
          <w:rPr>
            <w:webHidden/>
          </w:rPr>
        </w:r>
        <w:r w:rsidR="00F62D0A">
          <w:rPr>
            <w:webHidden/>
          </w:rPr>
          <w:fldChar w:fldCharType="separate"/>
        </w:r>
        <w:r>
          <w:rPr>
            <w:webHidden/>
          </w:rPr>
          <w:t>15</w:t>
        </w:r>
        <w:r w:rsidR="00F62D0A">
          <w:rPr>
            <w:webHidden/>
          </w:rPr>
          <w:fldChar w:fldCharType="end"/>
        </w:r>
      </w:hyperlink>
    </w:p>
    <w:p w14:paraId="29D28CCD" w14:textId="354BD53D" w:rsidR="00F62D0A" w:rsidRDefault="008D66D8">
      <w:pPr>
        <w:pStyle w:val="Spistreci1"/>
        <w:rPr>
          <w:rFonts w:asciiTheme="minorHAnsi" w:eastAsiaTheme="minorEastAsia" w:hAnsiTheme="minorHAnsi" w:cstheme="minorBidi"/>
          <w:b w:val="0"/>
          <w:sz w:val="22"/>
          <w:szCs w:val="22"/>
        </w:rPr>
      </w:pPr>
      <w:hyperlink w:anchor="_Toc111635970" w:history="1">
        <w:r w:rsidR="00F62D0A" w:rsidRPr="00D61DBD">
          <w:rPr>
            <w:rStyle w:val="Hipercze"/>
            <w:rFonts w:cs="Arial"/>
          </w:rPr>
          <w:t>D-01.01.01b –WYNIESIENIE  I  STABILIZACJA GRANIC  PASA  DROGOWEGO</w:t>
        </w:r>
        <w:r w:rsidR="00F62D0A">
          <w:rPr>
            <w:webHidden/>
          </w:rPr>
          <w:tab/>
        </w:r>
        <w:r w:rsidR="00F62D0A">
          <w:rPr>
            <w:webHidden/>
          </w:rPr>
          <w:fldChar w:fldCharType="begin"/>
        </w:r>
        <w:r w:rsidR="00F62D0A">
          <w:rPr>
            <w:webHidden/>
          </w:rPr>
          <w:instrText xml:space="preserve"> PAGEREF _Toc111635970 \h </w:instrText>
        </w:r>
        <w:r w:rsidR="00F62D0A">
          <w:rPr>
            <w:webHidden/>
          </w:rPr>
        </w:r>
        <w:r w:rsidR="00F62D0A">
          <w:rPr>
            <w:webHidden/>
          </w:rPr>
          <w:fldChar w:fldCharType="separate"/>
        </w:r>
        <w:r>
          <w:rPr>
            <w:webHidden/>
          </w:rPr>
          <w:t>18</w:t>
        </w:r>
        <w:r w:rsidR="00F62D0A">
          <w:rPr>
            <w:webHidden/>
          </w:rPr>
          <w:fldChar w:fldCharType="end"/>
        </w:r>
      </w:hyperlink>
    </w:p>
    <w:p w14:paraId="0D705B0F" w14:textId="74026642" w:rsidR="00F62D0A" w:rsidRDefault="008D66D8">
      <w:pPr>
        <w:pStyle w:val="Spistreci1"/>
        <w:rPr>
          <w:rFonts w:asciiTheme="minorHAnsi" w:eastAsiaTheme="minorEastAsia" w:hAnsiTheme="minorHAnsi" w:cstheme="minorBidi"/>
          <w:b w:val="0"/>
          <w:sz w:val="22"/>
          <w:szCs w:val="22"/>
        </w:rPr>
      </w:pPr>
      <w:hyperlink w:anchor="_Toc111635971" w:history="1">
        <w:r w:rsidR="00F62D0A" w:rsidRPr="00D61DBD">
          <w:rPr>
            <w:rStyle w:val="Hipercze"/>
            <w:rFonts w:cs="Arial"/>
          </w:rPr>
          <w:t>D-01.02.01 - USUNIĘCIE DRZEW I KRZAKÓW</w:t>
        </w:r>
        <w:r w:rsidR="00F62D0A">
          <w:rPr>
            <w:webHidden/>
          </w:rPr>
          <w:tab/>
        </w:r>
        <w:r w:rsidR="00F62D0A">
          <w:rPr>
            <w:webHidden/>
          </w:rPr>
          <w:fldChar w:fldCharType="begin"/>
        </w:r>
        <w:r w:rsidR="00F62D0A">
          <w:rPr>
            <w:webHidden/>
          </w:rPr>
          <w:instrText xml:space="preserve"> PAGEREF _Toc111635971 \h </w:instrText>
        </w:r>
        <w:r w:rsidR="00F62D0A">
          <w:rPr>
            <w:webHidden/>
          </w:rPr>
        </w:r>
        <w:r w:rsidR="00F62D0A">
          <w:rPr>
            <w:webHidden/>
          </w:rPr>
          <w:fldChar w:fldCharType="separate"/>
        </w:r>
        <w:r>
          <w:rPr>
            <w:webHidden/>
          </w:rPr>
          <w:t>22</w:t>
        </w:r>
        <w:r w:rsidR="00F62D0A">
          <w:rPr>
            <w:webHidden/>
          </w:rPr>
          <w:fldChar w:fldCharType="end"/>
        </w:r>
      </w:hyperlink>
    </w:p>
    <w:p w14:paraId="2A6205F9" w14:textId="4B1C7B19" w:rsidR="00F62D0A" w:rsidRDefault="008D66D8">
      <w:pPr>
        <w:pStyle w:val="Spistreci1"/>
        <w:rPr>
          <w:rFonts w:asciiTheme="minorHAnsi" w:eastAsiaTheme="minorEastAsia" w:hAnsiTheme="minorHAnsi" w:cstheme="minorBidi"/>
          <w:b w:val="0"/>
          <w:sz w:val="22"/>
          <w:szCs w:val="22"/>
        </w:rPr>
      </w:pPr>
      <w:hyperlink w:anchor="_Toc111635972" w:history="1">
        <w:r w:rsidR="00F62D0A" w:rsidRPr="00D61DBD">
          <w:rPr>
            <w:rStyle w:val="Hipercze"/>
            <w:rFonts w:cs="Arial"/>
          </w:rPr>
          <w:t>D-01.02.02 - ZDJĘCIE WARSTWY HUMUSU</w:t>
        </w:r>
        <w:r w:rsidR="00F62D0A">
          <w:rPr>
            <w:webHidden/>
          </w:rPr>
          <w:tab/>
        </w:r>
        <w:r w:rsidR="00F62D0A">
          <w:rPr>
            <w:webHidden/>
          </w:rPr>
          <w:fldChar w:fldCharType="begin"/>
        </w:r>
        <w:r w:rsidR="00F62D0A">
          <w:rPr>
            <w:webHidden/>
          </w:rPr>
          <w:instrText xml:space="preserve"> PAGEREF _Toc111635972 \h </w:instrText>
        </w:r>
        <w:r w:rsidR="00F62D0A">
          <w:rPr>
            <w:webHidden/>
          </w:rPr>
        </w:r>
        <w:r w:rsidR="00F62D0A">
          <w:rPr>
            <w:webHidden/>
          </w:rPr>
          <w:fldChar w:fldCharType="separate"/>
        </w:r>
        <w:r>
          <w:rPr>
            <w:webHidden/>
          </w:rPr>
          <w:t>24</w:t>
        </w:r>
        <w:r w:rsidR="00F62D0A">
          <w:rPr>
            <w:webHidden/>
          </w:rPr>
          <w:fldChar w:fldCharType="end"/>
        </w:r>
      </w:hyperlink>
    </w:p>
    <w:p w14:paraId="0D8BEBCA" w14:textId="2DAAC69F" w:rsidR="00F62D0A" w:rsidRDefault="008D66D8">
      <w:pPr>
        <w:pStyle w:val="Spistreci1"/>
        <w:rPr>
          <w:rFonts w:asciiTheme="minorHAnsi" w:eastAsiaTheme="minorEastAsia" w:hAnsiTheme="minorHAnsi" w:cstheme="minorBidi"/>
          <w:b w:val="0"/>
          <w:sz w:val="22"/>
          <w:szCs w:val="22"/>
        </w:rPr>
      </w:pPr>
      <w:hyperlink w:anchor="_Toc111635973" w:history="1">
        <w:r w:rsidR="00F62D0A" w:rsidRPr="00D61DBD">
          <w:rPr>
            <w:rStyle w:val="Hipercze"/>
            <w:rFonts w:cs="Arial"/>
          </w:rPr>
          <w:t>D–01.02.01a – OCHRONA  ISTNIEJĄCYCH  DRZEW W  OKRESIE  BUDOWY  DROGI</w:t>
        </w:r>
        <w:r w:rsidR="00F62D0A">
          <w:rPr>
            <w:webHidden/>
          </w:rPr>
          <w:tab/>
        </w:r>
        <w:r w:rsidR="00F62D0A">
          <w:rPr>
            <w:webHidden/>
          </w:rPr>
          <w:fldChar w:fldCharType="begin"/>
        </w:r>
        <w:r w:rsidR="00F62D0A">
          <w:rPr>
            <w:webHidden/>
          </w:rPr>
          <w:instrText xml:space="preserve"> PAGEREF _Toc111635973 \h </w:instrText>
        </w:r>
        <w:r w:rsidR="00F62D0A">
          <w:rPr>
            <w:webHidden/>
          </w:rPr>
        </w:r>
        <w:r w:rsidR="00F62D0A">
          <w:rPr>
            <w:webHidden/>
          </w:rPr>
          <w:fldChar w:fldCharType="separate"/>
        </w:r>
        <w:r>
          <w:rPr>
            <w:webHidden/>
          </w:rPr>
          <w:t>26</w:t>
        </w:r>
        <w:r w:rsidR="00F62D0A">
          <w:rPr>
            <w:webHidden/>
          </w:rPr>
          <w:fldChar w:fldCharType="end"/>
        </w:r>
      </w:hyperlink>
    </w:p>
    <w:p w14:paraId="4BE15F0D" w14:textId="0FD5F23C" w:rsidR="00F62D0A" w:rsidRDefault="008D66D8">
      <w:pPr>
        <w:pStyle w:val="Spistreci1"/>
        <w:rPr>
          <w:rFonts w:asciiTheme="minorHAnsi" w:eastAsiaTheme="minorEastAsia" w:hAnsiTheme="minorHAnsi" w:cstheme="minorBidi"/>
          <w:b w:val="0"/>
          <w:sz w:val="22"/>
          <w:szCs w:val="22"/>
        </w:rPr>
      </w:pPr>
      <w:hyperlink w:anchor="_Toc111635974" w:history="1">
        <w:r w:rsidR="00F62D0A" w:rsidRPr="00D61DBD">
          <w:rPr>
            <w:rStyle w:val="Hipercze"/>
            <w:rFonts w:cs="Arial"/>
          </w:rPr>
          <w:t>D-01.02.04 - ROZBIÓRKA ELEMENTÓW DRÓG, OGRODZEŃ I PRZEPUSTÓW</w:t>
        </w:r>
        <w:r w:rsidR="00F62D0A">
          <w:rPr>
            <w:webHidden/>
          </w:rPr>
          <w:tab/>
        </w:r>
        <w:r w:rsidR="00F62D0A">
          <w:rPr>
            <w:webHidden/>
          </w:rPr>
          <w:fldChar w:fldCharType="begin"/>
        </w:r>
        <w:r w:rsidR="00F62D0A">
          <w:rPr>
            <w:webHidden/>
          </w:rPr>
          <w:instrText xml:space="preserve"> PAGEREF _Toc111635974 \h </w:instrText>
        </w:r>
        <w:r w:rsidR="00F62D0A">
          <w:rPr>
            <w:webHidden/>
          </w:rPr>
        </w:r>
        <w:r w:rsidR="00F62D0A">
          <w:rPr>
            <w:webHidden/>
          </w:rPr>
          <w:fldChar w:fldCharType="separate"/>
        </w:r>
        <w:r>
          <w:rPr>
            <w:webHidden/>
          </w:rPr>
          <w:t>33</w:t>
        </w:r>
        <w:r w:rsidR="00F62D0A">
          <w:rPr>
            <w:webHidden/>
          </w:rPr>
          <w:fldChar w:fldCharType="end"/>
        </w:r>
      </w:hyperlink>
    </w:p>
    <w:p w14:paraId="2008582E" w14:textId="1E44D72D" w:rsidR="00F62D0A" w:rsidRDefault="008D66D8">
      <w:pPr>
        <w:pStyle w:val="Spistreci1"/>
        <w:rPr>
          <w:rFonts w:asciiTheme="minorHAnsi" w:eastAsiaTheme="minorEastAsia" w:hAnsiTheme="minorHAnsi" w:cstheme="minorBidi"/>
          <w:b w:val="0"/>
          <w:sz w:val="22"/>
          <w:szCs w:val="22"/>
        </w:rPr>
      </w:pPr>
      <w:hyperlink w:anchor="_Toc111635975" w:history="1">
        <w:r w:rsidR="00F62D0A" w:rsidRPr="00D61DBD">
          <w:rPr>
            <w:rStyle w:val="Hipercze"/>
            <w:rFonts w:cs="Arial"/>
          </w:rPr>
          <w:t>D-02.00.00 - ROBOTY ZIEMNE. WYMAGANIA OGÓLNE</w:t>
        </w:r>
        <w:r w:rsidR="00F62D0A">
          <w:rPr>
            <w:webHidden/>
          </w:rPr>
          <w:tab/>
        </w:r>
        <w:r w:rsidR="00F62D0A">
          <w:rPr>
            <w:webHidden/>
          </w:rPr>
          <w:fldChar w:fldCharType="begin"/>
        </w:r>
        <w:r w:rsidR="00F62D0A">
          <w:rPr>
            <w:webHidden/>
          </w:rPr>
          <w:instrText xml:space="preserve"> PAGEREF _Toc111635975 \h </w:instrText>
        </w:r>
        <w:r w:rsidR="00F62D0A">
          <w:rPr>
            <w:webHidden/>
          </w:rPr>
        </w:r>
        <w:r w:rsidR="00F62D0A">
          <w:rPr>
            <w:webHidden/>
          </w:rPr>
          <w:fldChar w:fldCharType="separate"/>
        </w:r>
        <w:r>
          <w:rPr>
            <w:webHidden/>
          </w:rPr>
          <w:t>36</w:t>
        </w:r>
        <w:r w:rsidR="00F62D0A">
          <w:rPr>
            <w:webHidden/>
          </w:rPr>
          <w:fldChar w:fldCharType="end"/>
        </w:r>
      </w:hyperlink>
    </w:p>
    <w:p w14:paraId="7B2BAA1C" w14:textId="578D4100" w:rsidR="00F62D0A" w:rsidRDefault="008D66D8">
      <w:pPr>
        <w:pStyle w:val="Spistreci1"/>
        <w:rPr>
          <w:rFonts w:asciiTheme="minorHAnsi" w:eastAsiaTheme="minorEastAsia" w:hAnsiTheme="minorHAnsi" w:cstheme="minorBidi"/>
          <w:b w:val="0"/>
          <w:sz w:val="22"/>
          <w:szCs w:val="22"/>
        </w:rPr>
      </w:pPr>
      <w:hyperlink w:anchor="_Toc111635976" w:history="1">
        <w:r w:rsidR="00F62D0A" w:rsidRPr="00D61DBD">
          <w:rPr>
            <w:rStyle w:val="Hipercze"/>
            <w:rFonts w:cs="Arial"/>
          </w:rPr>
          <w:t>D-02.01.01 - WYKONANIE WYKOPÓW W GRUNTACH NIESKALISTYCH</w:t>
        </w:r>
        <w:r w:rsidR="00F62D0A">
          <w:rPr>
            <w:webHidden/>
          </w:rPr>
          <w:tab/>
        </w:r>
        <w:r w:rsidR="00F62D0A">
          <w:rPr>
            <w:webHidden/>
          </w:rPr>
          <w:fldChar w:fldCharType="begin"/>
        </w:r>
        <w:r w:rsidR="00F62D0A">
          <w:rPr>
            <w:webHidden/>
          </w:rPr>
          <w:instrText xml:space="preserve"> PAGEREF _Toc111635976 \h </w:instrText>
        </w:r>
        <w:r w:rsidR="00F62D0A">
          <w:rPr>
            <w:webHidden/>
          </w:rPr>
        </w:r>
        <w:r w:rsidR="00F62D0A">
          <w:rPr>
            <w:webHidden/>
          </w:rPr>
          <w:fldChar w:fldCharType="separate"/>
        </w:r>
        <w:r>
          <w:rPr>
            <w:webHidden/>
          </w:rPr>
          <w:t>48</w:t>
        </w:r>
        <w:r w:rsidR="00F62D0A">
          <w:rPr>
            <w:webHidden/>
          </w:rPr>
          <w:fldChar w:fldCharType="end"/>
        </w:r>
      </w:hyperlink>
    </w:p>
    <w:p w14:paraId="5529E65D" w14:textId="5CF5C7A6" w:rsidR="00F62D0A" w:rsidRDefault="008D66D8">
      <w:pPr>
        <w:pStyle w:val="Spistreci1"/>
        <w:rPr>
          <w:rFonts w:asciiTheme="minorHAnsi" w:eastAsiaTheme="minorEastAsia" w:hAnsiTheme="minorHAnsi" w:cstheme="minorBidi"/>
          <w:b w:val="0"/>
          <w:sz w:val="22"/>
          <w:szCs w:val="22"/>
        </w:rPr>
      </w:pPr>
      <w:hyperlink w:anchor="_Toc111635977" w:history="1">
        <w:r w:rsidR="00F62D0A" w:rsidRPr="00D61DBD">
          <w:rPr>
            <w:rStyle w:val="Hipercze"/>
            <w:rFonts w:cs="Arial"/>
          </w:rPr>
          <w:t>D-02.03.01- WYKONANIE NASYPÓW</w:t>
        </w:r>
        <w:r w:rsidR="00F62D0A">
          <w:rPr>
            <w:webHidden/>
          </w:rPr>
          <w:tab/>
        </w:r>
        <w:r w:rsidR="00F62D0A">
          <w:rPr>
            <w:webHidden/>
          </w:rPr>
          <w:fldChar w:fldCharType="begin"/>
        </w:r>
        <w:r w:rsidR="00F62D0A">
          <w:rPr>
            <w:webHidden/>
          </w:rPr>
          <w:instrText xml:space="preserve"> PAGEREF _Toc111635977 \h </w:instrText>
        </w:r>
        <w:r w:rsidR="00F62D0A">
          <w:rPr>
            <w:webHidden/>
          </w:rPr>
        </w:r>
        <w:r w:rsidR="00F62D0A">
          <w:rPr>
            <w:webHidden/>
          </w:rPr>
          <w:fldChar w:fldCharType="separate"/>
        </w:r>
        <w:r>
          <w:rPr>
            <w:webHidden/>
          </w:rPr>
          <w:t>51</w:t>
        </w:r>
        <w:r w:rsidR="00F62D0A">
          <w:rPr>
            <w:webHidden/>
          </w:rPr>
          <w:fldChar w:fldCharType="end"/>
        </w:r>
      </w:hyperlink>
    </w:p>
    <w:p w14:paraId="437750BB" w14:textId="7A97D600" w:rsidR="00F62D0A" w:rsidRDefault="008D66D8">
      <w:pPr>
        <w:pStyle w:val="Spistreci1"/>
        <w:rPr>
          <w:rFonts w:asciiTheme="minorHAnsi" w:eastAsiaTheme="minorEastAsia" w:hAnsiTheme="minorHAnsi" w:cstheme="minorBidi"/>
          <w:b w:val="0"/>
          <w:sz w:val="22"/>
          <w:szCs w:val="22"/>
        </w:rPr>
      </w:pPr>
      <w:hyperlink w:anchor="_Toc111635978" w:history="1">
        <w:r w:rsidR="00F62D0A" w:rsidRPr="00D61DBD">
          <w:rPr>
            <w:rStyle w:val="Hipercze"/>
            <w:rFonts w:cs="Arial"/>
          </w:rPr>
          <w:t>D-03.02.01 - KANALIZACJA DESZCZOWA</w:t>
        </w:r>
        <w:r w:rsidR="00F62D0A">
          <w:rPr>
            <w:webHidden/>
          </w:rPr>
          <w:tab/>
        </w:r>
        <w:r w:rsidR="00F62D0A">
          <w:rPr>
            <w:webHidden/>
          </w:rPr>
          <w:fldChar w:fldCharType="begin"/>
        </w:r>
        <w:r w:rsidR="00F62D0A">
          <w:rPr>
            <w:webHidden/>
          </w:rPr>
          <w:instrText xml:space="preserve"> PAGEREF _Toc111635978 \h </w:instrText>
        </w:r>
        <w:r w:rsidR="00F62D0A">
          <w:rPr>
            <w:webHidden/>
          </w:rPr>
        </w:r>
        <w:r w:rsidR="00F62D0A">
          <w:rPr>
            <w:webHidden/>
          </w:rPr>
          <w:fldChar w:fldCharType="separate"/>
        </w:r>
        <w:r>
          <w:rPr>
            <w:webHidden/>
          </w:rPr>
          <w:t>60</w:t>
        </w:r>
        <w:r w:rsidR="00F62D0A">
          <w:rPr>
            <w:webHidden/>
          </w:rPr>
          <w:fldChar w:fldCharType="end"/>
        </w:r>
      </w:hyperlink>
    </w:p>
    <w:p w14:paraId="5360F2B2" w14:textId="5E5F20F4" w:rsidR="00F62D0A" w:rsidRDefault="008D66D8">
      <w:pPr>
        <w:pStyle w:val="Spistreci1"/>
        <w:rPr>
          <w:rFonts w:asciiTheme="minorHAnsi" w:eastAsiaTheme="minorEastAsia" w:hAnsiTheme="minorHAnsi" w:cstheme="minorBidi"/>
          <w:b w:val="0"/>
          <w:sz w:val="22"/>
          <w:szCs w:val="22"/>
        </w:rPr>
      </w:pPr>
      <w:hyperlink w:anchor="_Toc111635979" w:history="1">
        <w:r w:rsidR="00F62D0A" w:rsidRPr="00D61DBD">
          <w:rPr>
            <w:rStyle w:val="Hipercze"/>
            <w:rFonts w:cs="Arial"/>
          </w:rPr>
          <w:t>D-04.03.01 – OCZYSZCZENIE I SKROPIENIE WARSTW KONSTRUKCYJNYCH</w:t>
        </w:r>
        <w:r w:rsidR="00F62D0A">
          <w:rPr>
            <w:webHidden/>
          </w:rPr>
          <w:tab/>
        </w:r>
        <w:r w:rsidR="00F62D0A">
          <w:rPr>
            <w:webHidden/>
          </w:rPr>
          <w:fldChar w:fldCharType="begin"/>
        </w:r>
        <w:r w:rsidR="00F62D0A">
          <w:rPr>
            <w:webHidden/>
          </w:rPr>
          <w:instrText xml:space="preserve"> PAGEREF _Toc111635979 \h </w:instrText>
        </w:r>
        <w:r w:rsidR="00F62D0A">
          <w:rPr>
            <w:webHidden/>
          </w:rPr>
        </w:r>
        <w:r w:rsidR="00F62D0A">
          <w:rPr>
            <w:webHidden/>
          </w:rPr>
          <w:fldChar w:fldCharType="separate"/>
        </w:r>
        <w:r>
          <w:rPr>
            <w:webHidden/>
          </w:rPr>
          <w:t>66</w:t>
        </w:r>
        <w:r w:rsidR="00F62D0A">
          <w:rPr>
            <w:webHidden/>
          </w:rPr>
          <w:fldChar w:fldCharType="end"/>
        </w:r>
      </w:hyperlink>
    </w:p>
    <w:p w14:paraId="494B6B8F" w14:textId="0674F2F8" w:rsidR="00F62D0A" w:rsidRDefault="008D66D8">
      <w:pPr>
        <w:pStyle w:val="Spistreci1"/>
        <w:rPr>
          <w:rFonts w:asciiTheme="minorHAnsi" w:eastAsiaTheme="minorEastAsia" w:hAnsiTheme="minorHAnsi" w:cstheme="minorBidi"/>
          <w:b w:val="0"/>
          <w:sz w:val="22"/>
          <w:szCs w:val="22"/>
        </w:rPr>
      </w:pPr>
      <w:hyperlink w:anchor="_Toc111635980" w:history="1">
        <w:r w:rsidR="00F62D0A" w:rsidRPr="00D61DBD">
          <w:rPr>
            <w:rStyle w:val="Hipercze"/>
            <w:rFonts w:cs="Arial"/>
          </w:rPr>
          <w:t>D-04.03.01a – POŁĄCZENIE MIĘDZYWARSTWOWE NAWIERZCHNI DROGOWEJ EMULSJĄ ASFALTOWĄ</w:t>
        </w:r>
        <w:r w:rsidR="00F62D0A">
          <w:rPr>
            <w:webHidden/>
          </w:rPr>
          <w:tab/>
        </w:r>
        <w:r w:rsidR="00F62D0A">
          <w:rPr>
            <w:webHidden/>
          </w:rPr>
          <w:fldChar w:fldCharType="begin"/>
        </w:r>
        <w:r w:rsidR="00F62D0A">
          <w:rPr>
            <w:webHidden/>
          </w:rPr>
          <w:instrText xml:space="preserve"> PAGEREF _Toc111635980 \h </w:instrText>
        </w:r>
        <w:r w:rsidR="00F62D0A">
          <w:rPr>
            <w:webHidden/>
          </w:rPr>
        </w:r>
        <w:r w:rsidR="00F62D0A">
          <w:rPr>
            <w:webHidden/>
          </w:rPr>
          <w:fldChar w:fldCharType="separate"/>
        </w:r>
        <w:r>
          <w:rPr>
            <w:webHidden/>
          </w:rPr>
          <w:t>68</w:t>
        </w:r>
        <w:r w:rsidR="00F62D0A">
          <w:rPr>
            <w:webHidden/>
          </w:rPr>
          <w:fldChar w:fldCharType="end"/>
        </w:r>
      </w:hyperlink>
    </w:p>
    <w:p w14:paraId="6D6A1F11" w14:textId="5AB7E720" w:rsidR="00F62D0A" w:rsidRDefault="008D66D8">
      <w:pPr>
        <w:pStyle w:val="Spistreci1"/>
        <w:rPr>
          <w:rFonts w:asciiTheme="minorHAnsi" w:eastAsiaTheme="minorEastAsia" w:hAnsiTheme="minorHAnsi" w:cstheme="minorBidi"/>
          <w:b w:val="0"/>
          <w:sz w:val="22"/>
          <w:szCs w:val="22"/>
        </w:rPr>
      </w:pPr>
      <w:hyperlink w:anchor="_Toc111635981" w:history="1">
        <w:r w:rsidR="00F62D0A" w:rsidRPr="00D61DBD">
          <w:rPr>
            <w:rStyle w:val="Hipercze"/>
            <w:rFonts w:cs="Arial"/>
          </w:rPr>
          <w:t>D-04.04.00a – PODŁOŻE ULEPSZONE Z MIESZANKI KRUSZYWA NIEZWIĄZANEGO</w:t>
        </w:r>
        <w:r w:rsidR="00F62D0A">
          <w:rPr>
            <w:webHidden/>
          </w:rPr>
          <w:tab/>
        </w:r>
        <w:r w:rsidR="00F62D0A">
          <w:rPr>
            <w:webHidden/>
          </w:rPr>
          <w:fldChar w:fldCharType="begin"/>
        </w:r>
        <w:r w:rsidR="00F62D0A">
          <w:rPr>
            <w:webHidden/>
          </w:rPr>
          <w:instrText xml:space="preserve"> PAGEREF _Toc111635981 \h </w:instrText>
        </w:r>
        <w:r w:rsidR="00F62D0A">
          <w:rPr>
            <w:webHidden/>
          </w:rPr>
        </w:r>
        <w:r w:rsidR="00F62D0A">
          <w:rPr>
            <w:webHidden/>
          </w:rPr>
          <w:fldChar w:fldCharType="separate"/>
        </w:r>
        <w:r>
          <w:rPr>
            <w:webHidden/>
          </w:rPr>
          <w:t>80</w:t>
        </w:r>
        <w:r w:rsidR="00F62D0A">
          <w:rPr>
            <w:webHidden/>
          </w:rPr>
          <w:fldChar w:fldCharType="end"/>
        </w:r>
      </w:hyperlink>
    </w:p>
    <w:p w14:paraId="1B36D261" w14:textId="686231FC" w:rsidR="00F62D0A" w:rsidRDefault="008D66D8">
      <w:pPr>
        <w:pStyle w:val="Spistreci1"/>
        <w:rPr>
          <w:rFonts w:asciiTheme="minorHAnsi" w:eastAsiaTheme="minorEastAsia" w:hAnsiTheme="minorHAnsi" w:cstheme="minorBidi"/>
          <w:b w:val="0"/>
          <w:sz w:val="22"/>
          <w:szCs w:val="22"/>
        </w:rPr>
      </w:pPr>
      <w:hyperlink w:anchor="_Toc111635982" w:history="1">
        <w:r w:rsidR="00F62D0A" w:rsidRPr="00D61DBD">
          <w:rPr>
            <w:rStyle w:val="Hipercze"/>
            <w:rFonts w:cs="Arial"/>
          </w:rPr>
          <w:t>D-04.04.02a – PODBUDOWA POMOCNICZA Z MIESZANKI KRUSZYWA NIEZWIĄZANEGO</w:t>
        </w:r>
        <w:r w:rsidR="00F62D0A">
          <w:rPr>
            <w:webHidden/>
          </w:rPr>
          <w:tab/>
        </w:r>
        <w:r w:rsidR="00F62D0A">
          <w:rPr>
            <w:webHidden/>
          </w:rPr>
          <w:fldChar w:fldCharType="begin"/>
        </w:r>
        <w:r w:rsidR="00F62D0A">
          <w:rPr>
            <w:webHidden/>
          </w:rPr>
          <w:instrText xml:space="preserve"> PAGEREF _Toc111635982 \h </w:instrText>
        </w:r>
        <w:r w:rsidR="00F62D0A">
          <w:rPr>
            <w:webHidden/>
          </w:rPr>
        </w:r>
        <w:r w:rsidR="00F62D0A">
          <w:rPr>
            <w:webHidden/>
          </w:rPr>
          <w:fldChar w:fldCharType="separate"/>
        </w:r>
        <w:r>
          <w:rPr>
            <w:webHidden/>
          </w:rPr>
          <w:t>96</w:t>
        </w:r>
        <w:r w:rsidR="00F62D0A">
          <w:rPr>
            <w:webHidden/>
          </w:rPr>
          <w:fldChar w:fldCharType="end"/>
        </w:r>
      </w:hyperlink>
    </w:p>
    <w:p w14:paraId="213188D0" w14:textId="0747EDA2" w:rsidR="00F62D0A" w:rsidRDefault="008D66D8">
      <w:pPr>
        <w:pStyle w:val="Spistreci1"/>
        <w:rPr>
          <w:rFonts w:asciiTheme="minorHAnsi" w:eastAsiaTheme="minorEastAsia" w:hAnsiTheme="minorHAnsi" w:cstheme="minorBidi"/>
          <w:b w:val="0"/>
          <w:sz w:val="22"/>
          <w:szCs w:val="22"/>
        </w:rPr>
      </w:pPr>
      <w:hyperlink w:anchor="_Toc111635983" w:history="1">
        <w:r w:rsidR="00F62D0A" w:rsidRPr="00D61DBD">
          <w:rPr>
            <w:rStyle w:val="Hipercze"/>
            <w:rFonts w:cs="Arial"/>
          </w:rPr>
          <w:t>D-04.04.02b – PODBUDOWA ZASADNICZA Z MIESZANKI KRUSZYWA NIEZWIĄZANEGO</w:t>
        </w:r>
        <w:r w:rsidR="00F62D0A">
          <w:rPr>
            <w:webHidden/>
          </w:rPr>
          <w:tab/>
        </w:r>
        <w:r w:rsidR="00F62D0A">
          <w:rPr>
            <w:webHidden/>
          </w:rPr>
          <w:fldChar w:fldCharType="begin"/>
        </w:r>
        <w:r w:rsidR="00F62D0A">
          <w:rPr>
            <w:webHidden/>
          </w:rPr>
          <w:instrText xml:space="preserve"> PAGEREF _Toc111635983 \h </w:instrText>
        </w:r>
        <w:r w:rsidR="00F62D0A">
          <w:rPr>
            <w:webHidden/>
          </w:rPr>
        </w:r>
        <w:r w:rsidR="00F62D0A">
          <w:rPr>
            <w:webHidden/>
          </w:rPr>
          <w:fldChar w:fldCharType="separate"/>
        </w:r>
        <w:r>
          <w:rPr>
            <w:webHidden/>
          </w:rPr>
          <w:t>112</w:t>
        </w:r>
        <w:r w:rsidR="00F62D0A">
          <w:rPr>
            <w:webHidden/>
          </w:rPr>
          <w:fldChar w:fldCharType="end"/>
        </w:r>
      </w:hyperlink>
    </w:p>
    <w:p w14:paraId="045A6889" w14:textId="19EB059F" w:rsidR="00F62D0A" w:rsidRDefault="008D66D8">
      <w:pPr>
        <w:pStyle w:val="Spistreci1"/>
        <w:rPr>
          <w:rFonts w:asciiTheme="minorHAnsi" w:eastAsiaTheme="minorEastAsia" w:hAnsiTheme="minorHAnsi" w:cstheme="minorBidi"/>
          <w:b w:val="0"/>
          <w:sz w:val="22"/>
          <w:szCs w:val="22"/>
        </w:rPr>
      </w:pPr>
      <w:hyperlink w:anchor="_Toc111635984" w:history="1">
        <w:r w:rsidR="00F62D0A" w:rsidRPr="00D61DBD">
          <w:rPr>
            <w:rStyle w:val="Hipercze"/>
            <w:rFonts w:cs="Arial"/>
          </w:rPr>
          <w:t>D-04.07.01a – PODBUDOWA Z BETONU ASFALTOWEGO WG WT-1 I WT-2</w:t>
        </w:r>
        <w:r w:rsidR="00F62D0A">
          <w:rPr>
            <w:webHidden/>
          </w:rPr>
          <w:tab/>
        </w:r>
        <w:r w:rsidR="00F62D0A">
          <w:rPr>
            <w:webHidden/>
          </w:rPr>
          <w:fldChar w:fldCharType="begin"/>
        </w:r>
        <w:r w:rsidR="00F62D0A">
          <w:rPr>
            <w:webHidden/>
          </w:rPr>
          <w:instrText xml:space="preserve"> PAGEREF _Toc111635984 \h </w:instrText>
        </w:r>
        <w:r w:rsidR="00F62D0A">
          <w:rPr>
            <w:webHidden/>
          </w:rPr>
        </w:r>
        <w:r w:rsidR="00F62D0A">
          <w:rPr>
            <w:webHidden/>
          </w:rPr>
          <w:fldChar w:fldCharType="separate"/>
        </w:r>
        <w:r>
          <w:rPr>
            <w:webHidden/>
          </w:rPr>
          <w:t>126</w:t>
        </w:r>
        <w:r w:rsidR="00F62D0A">
          <w:rPr>
            <w:webHidden/>
          </w:rPr>
          <w:fldChar w:fldCharType="end"/>
        </w:r>
      </w:hyperlink>
    </w:p>
    <w:p w14:paraId="1B690280" w14:textId="7AD66B3E" w:rsidR="00F62D0A" w:rsidRDefault="008D66D8">
      <w:pPr>
        <w:pStyle w:val="Spistreci1"/>
        <w:rPr>
          <w:rFonts w:asciiTheme="minorHAnsi" w:eastAsiaTheme="minorEastAsia" w:hAnsiTheme="minorHAnsi" w:cstheme="minorBidi"/>
          <w:b w:val="0"/>
          <w:sz w:val="22"/>
          <w:szCs w:val="22"/>
        </w:rPr>
      </w:pPr>
      <w:hyperlink w:anchor="_Toc111635985" w:history="1">
        <w:r w:rsidR="00F62D0A" w:rsidRPr="00D61DBD">
          <w:rPr>
            <w:rStyle w:val="Hipercze"/>
            <w:rFonts w:cs="Arial"/>
          </w:rPr>
          <w:t>D-05.03.05a – NAWIERZCHNIA Z BETONU ASFALTOWEGO. WARSTWA ŚCIERALNA wg WT-1 i WT-2</w:t>
        </w:r>
        <w:r w:rsidR="00F62D0A">
          <w:rPr>
            <w:webHidden/>
          </w:rPr>
          <w:tab/>
        </w:r>
        <w:r w:rsidR="00F62D0A">
          <w:rPr>
            <w:webHidden/>
          </w:rPr>
          <w:fldChar w:fldCharType="begin"/>
        </w:r>
        <w:r w:rsidR="00F62D0A">
          <w:rPr>
            <w:webHidden/>
          </w:rPr>
          <w:instrText xml:space="preserve"> PAGEREF _Toc111635985 \h </w:instrText>
        </w:r>
        <w:r w:rsidR="00F62D0A">
          <w:rPr>
            <w:webHidden/>
          </w:rPr>
        </w:r>
        <w:r w:rsidR="00F62D0A">
          <w:rPr>
            <w:webHidden/>
          </w:rPr>
          <w:fldChar w:fldCharType="separate"/>
        </w:r>
        <w:r>
          <w:rPr>
            <w:webHidden/>
          </w:rPr>
          <w:t>166</w:t>
        </w:r>
        <w:r w:rsidR="00F62D0A">
          <w:rPr>
            <w:webHidden/>
          </w:rPr>
          <w:fldChar w:fldCharType="end"/>
        </w:r>
      </w:hyperlink>
    </w:p>
    <w:p w14:paraId="26919ADB" w14:textId="54AAE0EC" w:rsidR="00F62D0A" w:rsidRDefault="008D66D8">
      <w:pPr>
        <w:pStyle w:val="Spistreci1"/>
        <w:rPr>
          <w:rFonts w:asciiTheme="minorHAnsi" w:eastAsiaTheme="minorEastAsia" w:hAnsiTheme="minorHAnsi" w:cstheme="minorBidi"/>
          <w:b w:val="0"/>
          <w:sz w:val="22"/>
          <w:szCs w:val="22"/>
        </w:rPr>
      </w:pPr>
      <w:hyperlink w:anchor="_Toc111635986" w:history="1">
        <w:r w:rsidR="00F62D0A" w:rsidRPr="00D61DBD">
          <w:rPr>
            <w:rStyle w:val="Hipercze"/>
            <w:rFonts w:cs="Arial"/>
          </w:rPr>
          <w:t>D-05.03.05b – NAWIERZCHNIA Z BETONU ASFALTOWEGO. WARSTWA WIĄŻĄCA i WYRÓWNAWCZA wg WT-1 i WT-2</w:t>
        </w:r>
        <w:r w:rsidR="00F62D0A">
          <w:rPr>
            <w:webHidden/>
          </w:rPr>
          <w:tab/>
        </w:r>
        <w:r w:rsidR="00F62D0A">
          <w:rPr>
            <w:webHidden/>
          </w:rPr>
          <w:fldChar w:fldCharType="begin"/>
        </w:r>
        <w:r w:rsidR="00F62D0A">
          <w:rPr>
            <w:webHidden/>
          </w:rPr>
          <w:instrText xml:space="preserve"> PAGEREF _Toc111635986 \h </w:instrText>
        </w:r>
        <w:r w:rsidR="00F62D0A">
          <w:rPr>
            <w:webHidden/>
          </w:rPr>
        </w:r>
        <w:r w:rsidR="00F62D0A">
          <w:rPr>
            <w:webHidden/>
          </w:rPr>
          <w:fldChar w:fldCharType="separate"/>
        </w:r>
        <w:r>
          <w:rPr>
            <w:webHidden/>
          </w:rPr>
          <w:t>192</w:t>
        </w:r>
        <w:r w:rsidR="00F62D0A">
          <w:rPr>
            <w:webHidden/>
          </w:rPr>
          <w:fldChar w:fldCharType="end"/>
        </w:r>
      </w:hyperlink>
    </w:p>
    <w:p w14:paraId="3AEE796F" w14:textId="653B157F" w:rsidR="00F62D0A" w:rsidRDefault="008D66D8">
      <w:pPr>
        <w:pStyle w:val="Spistreci1"/>
        <w:rPr>
          <w:rFonts w:asciiTheme="minorHAnsi" w:eastAsiaTheme="minorEastAsia" w:hAnsiTheme="minorHAnsi" w:cstheme="minorBidi"/>
          <w:b w:val="0"/>
          <w:sz w:val="22"/>
          <w:szCs w:val="22"/>
        </w:rPr>
      </w:pPr>
      <w:hyperlink w:anchor="_Toc111635987" w:history="1">
        <w:r w:rsidR="00F62D0A" w:rsidRPr="00D61DBD">
          <w:rPr>
            <w:rStyle w:val="Hipercze"/>
            <w:rFonts w:cs="Arial"/>
          </w:rPr>
          <w:t>D-05.03.11 - FREZOWANIE NAWIERZCHNI ASFALTOWYCH NA ZIMNO</w:t>
        </w:r>
        <w:r w:rsidR="00F62D0A">
          <w:rPr>
            <w:webHidden/>
          </w:rPr>
          <w:tab/>
        </w:r>
        <w:r w:rsidR="00F62D0A">
          <w:rPr>
            <w:webHidden/>
          </w:rPr>
          <w:fldChar w:fldCharType="begin"/>
        </w:r>
        <w:r w:rsidR="00F62D0A">
          <w:rPr>
            <w:webHidden/>
          </w:rPr>
          <w:instrText xml:space="preserve"> PAGEREF _Toc111635987 \h </w:instrText>
        </w:r>
        <w:r w:rsidR="00F62D0A">
          <w:rPr>
            <w:webHidden/>
          </w:rPr>
        </w:r>
        <w:r w:rsidR="00F62D0A">
          <w:rPr>
            <w:webHidden/>
          </w:rPr>
          <w:fldChar w:fldCharType="separate"/>
        </w:r>
        <w:r>
          <w:rPr>
            <w:webHidden/>
          </w:rPr>
          <w:t>219</w:t>
        </w:r>
        <w:r w:rsidR="00F62D0A">
          <w:rPr>
            <w:webHidden/>
          </w:rPr>
          <w:fldChar w:fldCharType="end"/>
        </w:r>
      </w:hyperlink>
    </w:p>
    <w:p w14:paraId="69B561CD" w14:textId="770B973D" w:rsidR="00F62D0A" w:rsidRDefault="008D66D8">
      <w:pPr>
        <w:pStyle w:val="Spistreci1"/>
        <w:rPr>
          <w:rFonts w:asciiTheme="minorHAnsi" w:eastAsiaTheme="minorEastAsia" w:hAnsiTheme="minorHAnsi" w:cstheme="minorBidi"/>
          <w:b w:val="0"/>
          <w:sz w:val="22"/>
          <w:szCs w:val="22"/>
        </w:rPr>
      </w:pPr>
      <w:hyperlink w:anchor="_Toc111635988" w:history="1">
        <w:r w:rsidR="00F62D0A" w:rsidRPr="00D61DBD">
          <w:rPr>
            <w:rStyle w:val="Hipercze"/>
            <w:rFonts w:cs="Arial"/>
          </w:rPr>
          <w:t>D-05.03.23a – NAWIERZCHNIA Z BETONOWEJ KOSTKI BRUKOWEJ DLA DRÓG I ULIC ORAZ PLACÓW I CHODNIKÓW</w:t>
        </w:r>
        <w:r w:rsidR="00F62D0A">
          <w:rPr>
            <w:webHidden/>
          </w:rPr>
          <w:tab/>
        </w:r>
        <w:r w:rsidR="00F62D0A">
          <w:rPr>
            <w:webHidden/>
          </w:rPr>
          <w:fldChar w:fldCharType="begin"/>
        </w:r>
        <w:r w:rsidR="00F62D0A">
          <w:rPr>
            <w:webHidden/>
          </w:rPr>
          <w:instrText xml:space="preserve"> PAGEREF _Toc111635988 \h </w:instrText>
        </w:r>
        <w:r w:rsidR="00F62D0A">
          <w:rPr>
            <w:webHidden/>
          </w:rPr>
        </w:r>
        <w:r w:rsidR="00F62D0A">
          <w:rPr>
            <w:webHidden/>
          </w:rPr>
          <w:fldChar w:fldCharType="separate"/>
        </w:r>
        <w:r>
          <w:rPr>
            <w:webHidden/>
          </w:rPr>
          <w:t>221</w:t>
        </w:r>
        <w:r w:rsidR="00F62D0A">
          <w:rPr>
            <w:webHidden/>
          </w:rPr>
          <w:fldChar w:fldCharType="end"/>
        </w:r>
      </w:hyperlink>
    </w:p>
    <w:p w14:paraId="6E75E470" w14:textId="69045C1F" w:rsidR="00F62D0A" w:rsidRDefault="008D66D8">
      <w:pPr>
        <w:pStyle w:val="Spistreci1"/>
        <w:rPr>
          <w:rFonts w:asciiTheme="minorHAnsi" w:eastAsiaTheme="minorEastAsia" w:hAnsiTheme="minorHAnsi" w:cstheme="minorBidi"/>
          <w:b w:val="0"/>
          <w:sz w:val="22"/>
          <w:szCs w:val="22"/>
        </w:rPr>
      </w:pPr>
      <w:hyperlink w:anchor="_Toc111635989" w:history="1">
        <w:r w:rsidR="00F62D0A" w:rsidRPr="00D61DBD">
          <w:rPr>
            <w:rStyle w:val="Hipercze"/>
            <w:rFonts w:cs="Arial"/>
          </w:rPr>
          <w:t>D-05.03.26g – POŁĄCZENIE NOWEJ KONSTRUKCJI NAWIERZCHNI Z NAWIERZCHNIĄ ISTNIEJĄCĄ</w:t>
        </w:r>
        <w:r w:rsidR="00F62D0A">
          <w:rPr>
            <w:webHidden/>
          </w:rPr>
          <w:tab/>
        </w:r>
        <w:r w:rsidR="00F62D0A">
          <w:rPr>
            <w:webHidden/>
          </w:rPr>
          <w:fldChar w:fldCharType="begin"/>
        </w:r>
        <w:r w:rsidR="00F62D0A">
          <w:rPr>
            <w:webHidden/>
          </w:rPr>
          <w:instrText xml:space="preserve"> PAGEREF _Toc111635989 \h </w:instrText>
        </w:r>
        <w:r w:rsidR="00F62D0A">
          <w:rPr>
            <w:webHidden/>
          </w:rPr>
        </w:r>
        <w:r w:rsidR="00F62D0A">
          <w:rPr>
            <w:webHidden/>
          </w:rPr>
          <w:fldChar w:fldCharType="separate"/>
        </w:r>
        <w:r>
          <w:rPr>
            <w:webHidden/>
          </w:rPr>
          <w:t>236</w:t>
        </w:r>
        <w:r w:rsidR="00F62D0A">
          <w:rPr>
            <w:webHidden/>
          </w:rPr>
          <w:fldChar w:fldCharType="end"/>
        </w:r>
      </w:hyperlink>
    </w:p>
    <w:p w14:paraId="3BC99D44" w14:textId="5D558B4F" w:rsidR="00F62D0A" w:rsidRDefault="008D66D8">
      <w:pPr>
        <w:pStyle w:val="Spistreci1"/>
        <w:rPr>
          <w:rFonts w:asciiTheme="minorHAnsi" w:eastAsiaTheme="minorEastAsia" w:hAnsiTheme="minorHAnsi" w:cstheme="minorBidi"/>
          <w:b w:val="0"/>
          <w:sz w:val="22"/>
          <w:szCs w:val="22"/>
        </w:rPr>
      </w:pPr>
      <w:hyperlink w:anchor="_Toc111635990" w:history="1">
        <w:r w:rsidR="00F62D0A" w:rsidRPr="00D61DBD">
          <w:rPr>
            <w:rStyle w:val="Hipercze"/>
            <w:rFonts w:cs="Arial"/>
          </w:rPr>
          <w:t>D-06.01.01 - UMOCNIENIE  POWIERZCHNIOWE SKARP, ROWÓW  I  ŚCIEKÓW</w:t>
        </w:r>
        <w:r w:rsidR="00F62D0A">
          <w:rPr>
            <w:webHidden/>
          </w:rPr>
          <w:tab/>
        </w:r>
        <w:r w:rsidR="00F62D0A">
          <w:rPr>
            <w:webHidden/>
          </w:rPr>
          <w:fldChar w:fldCharType="begin"/>
        </w:r>
        <w:r w:rsidR="00F62D0A">
          <w:rPr>
            <w:webHidden/>
          </w:rPr>
          <w:instrText xml:space="preserve"> PAGEREF _Toc111635990 \h </w:instrText>
        </w:r>
        <w:r w:rsidR="00F62D0A">
          <w:rPr>
            <w:webHidden/>
          </w:rPr>
        </w:r>
        <w:r w:rsidR="00F62D0A">
          <w:rPr>
            <w:webHidden/>
          </w:rPr>
          <w:fldChar w:fldCharType="separate"/>
        </w:r>
        <w:r>
          <w:rPr>
            <w:webHidden/>
          </w:rPr>
          <w:t>241</w:t>
        </w:r>
        <w:r w:rsidR="00F62D0A">
          <w:rPr>
            <w:webHidden/>
          </w:rPr>
          <w:fldChar w:fldCharType="end"/>
        </w:r>
      </w:hyperlink>
    </w:p>
    <w:p w14:paraId="40A307DB" w14:textId="447DD639" w:rsidR="00F62D0A" w:rsidRDefault="008D66D8">
      <w:pPr>
        <w:pStyle w:val="Spistreci1"/>
        <w:rPr>
          <w:rFonts w:asciiTheme="minorHAnsi" w:eastAsiaTheme="minorEastAsia" w:hAnsiTheme="minorHAnsi" w:cstheme="minorBidi"/>
          <w:b w:val="0"/>
          <w:sz w:val="22"/>
          <w:szCs w:val="22"/>
        </w:rPr>
      </w:pPr>
      <w:hyperlink w:anchor="_Toc111635991" w:history="1">
        <w:r w:rsidR="00F62D0A" w:rsidRPr="00D61DBD">
          <w:rPr>
            <w:rStyle w:val="Hipercze"/>
            <w:rFonts w:cs="Arial"/>
          </w:rPr>
          <w:t>D-07.02.01 – OZNAKOWANIE PIONOWE</w:t>
        </w:r>
        <w:r w:rsidR="00F62D0A">
          <w:rPr>
            <w:webHidden/>
          </w:rPr>
          <w:tab/>
        </w:r>
        <w:r w:rsidR="00F62D0A">
          <w:rPr>
            <w:webHidden/>
          </w:rPr>
          <w:fldChar w:fldCharType="begin"/>
        </w:r>
        <w:r w:rsidR="00F62D0A">
          <w:rPr>
            <w:webHidden/>
          </w:rPr>
          <w:instrText xml:space="preserve"> PAGEREF _Toc111635991 \h </w:instrText>
        </w:r>
        <w:r w:rsidR="00F62D0A">
          <w:rPr>
            <w:webHidden/>
          </w:rPr>
        </w:r>
        <w:r w:rsidR="00F62D0A">
          <w:rPr>
            <w:webHidden/>
          </w:rPr>
          <w:fldChar w:fldCharType="separate"/>
        </w:r>
        <w:r>
          <w:rPr>
            <w:webHidden/>
          </w:rPr>
          <w:t>244</w:t>
        </w:r>
        <w:r w:rsidR="00F62D0A">
          <w:rPr>
            <w:webHidden/>
          </w:rPr>
          <w:fldChar w:fldCharType="end"/>
        </w:r>
      </w:hyperlink>
    </w:p>
    <w:p w14:paraId="49712158" w14:textId="77F7361B" w:rsidR="00F62D0A" w:rsidRDefault="008D66D8">
      <w:pPr>
        <w:pStyle w:val="Spistreci1"/>
        <w:rPr>
          <w:rFonts w:asciiTheme="minorHAnsi" w:eastAsiaTheme="minorEastAsia" w:hAnsiTheme="minorHAnsi" w:cstheme="minorBidi"/>
          <w:b w:val="0"/>
          <w:sz w:val="22"/>
          <w:szCs w:val="22"/>
        </w:rPr>
      </w:pPr>
      <w:hyperlink w:anchor="_Toc111635992" w:history="1">
        <w:r w:rsidR="00F62D0A" w:rsidRPr="00D61DBD">
          <w:rPr>
            <w:rStyle w:val="Hipercze"/>
            <w:rFonts w:cs="Arial"/>
          </w:rPr>
          <w:t>D-08.01.01 - KRAWĘŻNIKI  BETONOWE</w:t>
        </w:r>
        <w:r w:rsidR="00F62D0A">
          <w:rPr>
            <w:webHidden/>
          </w:rPr>
          <w:tab/>
        </w:r>
        <w:r w:rsidR="00F62D0A">
          <w:rPr>
            <w:webHidden/>
          </w:rPr>
          <w:fldChar w:fldCharType="begin"/>
        </w:r>
        <w:r w:rsidR="00F62D0A">
          <w:rPr>
            <w:webHidden/>
          </w:rPr>
          <w:instrText xml:space="preserve"> PAGEREF _Toc111635992 \h </w:instrText>
        </w:r>
        <w:r w:rsidR="00F62D0A">
          <w:rPr>
            <w:webHidden/>
          </w:rPr>
        </w:r>
        <w:r w:rsidR="00F62D0A">
          <w:rPr>
            <w:webHidden/>
          </w:rPr>
          <w:fldChar w:fldCharType="separate"/>
        </w:r>
        <w:r>
          <w:rPr>
            <w:webHidden/>
          </w:rPr>
          <w:t>259</w:t>
        </w:r>
        <w:r w:rsidR="00F62D0A">
          <w:rPr>
            <w:webHidden/>
          </w:rPr>
          <w:fldChar w:fldCharType="end"/>
        </w:r>
      </w:hyperlink>
    </w:p>
    <w:p w14:paraId="1418FD12" w14:textId="723B1215" w:rsidR="00F62D0A" w:rsidRDefault="008D66D8">
      <w:pPr>
        <w:pStyle w:val="Spistreci1"/>
        <w:rPr>
          <w:rFonts w:asciiTheme="minorHAnsi" w:eastAsiaTheme="minorEastAsia" w:hAnsiTheme="minorHAnsi" w:cstheme="minorBidi"/>
          <w:b w:val="0"/>
          <w:sz w:val="22"/>
          <w:szCs w:val="22"/>
        </w:rPr>
      </w:pPr>
      <w:hyperlink w:anchor="_Toc111635993" w:history="1">
        <w:r w:rsidR="00F62D0A" w:rsidRPr="00D61DBD">
          <w:rPr>
            <w:rStyle w:val="Hipercze"/>
            <w:rFonts w:cs="Arial"/>
          </w:rPr>
          <w:t>D-08.01.01b – USTAWIENIE KRAWĘŻNIKÓW BETONOWYCH</w:t>
        </w:r>
        <w:r w:rsidR="00F62D0A">
          <w:rPr>
            <w:webHidden/>
          </w:rPr>
          <w:tab/>
        </w:r>
        <w:r w:rsidR="00F62D0A">
          <w:rPr>
            <w:webHidden/>
          </w:rPr>
          <w:fldChar w:fldCharType="begin"/>
        </w:r>
        <w:r w:rsidR="00F62D0A">
          <w:rPr>
            <w:webHidden/>
          </w:rPr>
          <w:instrText xml:space="preserve"> PAGEREF _Toc111635993 \h </w:instrText>
        </w:r>
        <w:r w:rsidR="00F62D0A">
          <w:rPr>
            <w:webHidden/>
          </w:rPr>
        </w:r>
        <w:r w:rsidR="00F62D0A">
          <w:rPr>
            <w:webHidden/>
          </w:rPr>
          <w:fldChar w:fldCharType="separate"/>
        </w:r>
        <w:r>
          <w:rPr>
            <w:webHidden/>
          </w:rPr>
          <w:t>264</w:t>
        </w:r>
        <w:r w:rsidR="00F62D0A">
          <w:rPr>
            <w:webHidden/>
          </w:rPr>
          <w:fldChar w:fldCharType="end"/>
        </w:r>
      </w:hyperlink>
    </w:p>
    <w:p w14:paraId="1DB155B0" w14:textId="100DF1E3" w:rsidR="00F62D0A" w:rsidRDefault="008D66D8">
      <w:pPr>
        <w:pStyle w:val="Spistreci1"/>
        <w:rPr>
          <w:rFonts w:asciiTheme="minorHAnsi" w:eastAsiaTheme="minorEastAsia" w:hAnsiTheme="minorHAnsi" w:cstheme="minorBidi"/>
          <w:b w:val="0"/>
          <w:sz w:val="22"/>
          <w:szCs w:val="22"/>
        </w:rPr>
      </w:pPr>
      <w:hyperlink w:anchor="_Toc111635994" w:history="1">
        <w:r w:rsidR="00F62D0A" w:rsidRPr="00D61DBD">
          <w:rPr>
            <w:rStyle w:val="Hipercze"/>
            <w:rFonts w:cs="Arial"/>
          </w:rPr>
          <w:t>D-08.02.02 - CHODNIK Z BRUKOWEJ KOSTKI BETONOWEJ</w:t>
        </w:r>
        <w:r w:rsidR="00F62D0A">
          <w:rPr>
            <w:webHidden/>
          </w:rPr>
          <w:tab/>
        </w:r>
        <w:r w:rsidR="00F62D0A">
          <w:rPr>
            <w:webHidden/>
          </w:rPr>
          <w:fldChar w:fldCharType="begin"/>
        </w:r>
        <w:r w:rsidR="00F62D0A">
          <w:rPr>
            <w:webHidden/>
          </w:rPr>
          <w:instrText xml:space="preserve"> PAGEREF _Toc111635994 \h </w:instrText>
        </w:r>
        <w:r w:rsidR="00F62D0A">
          <w:rPr>
            <w:webHidden/>
          </w:rPr>
        </w:r>
        <w:r w:rsidR="00F62D0A">
          <w:rPr>
            <w:webHidden/>
          </w:rPr>
          <w:fldChar w:fldCharType="separate"/>
        </w:r>
        <w:r>
          <w:rPr>
            <w:webHidden/>
          </w:rPr>
          <w:t>274</w:t>
        </w:r>
        <w:r w:rsidR="00F62D0A">
          <w:rPr>
            <w:webHidden/>
          </w:rPr>
          <w:fldChar w:fldCharType="end"/>
        </w:r>
      </w:hyperlink>
    </w:p>
    <w:p w14:paraId="3730F29E" w14:textId="1DBFD3E8" w:rsidR="00F62D0A" w:rsidRDefault="008D66D8">
      <w:pPr>
        <w:pStyle w:val="Spistreci1"/>
        <w:rPr>
          <w:rFonts w:asciiTheme="minorHAnsi" w:eastAsiaTheme="minorEastAsia" w:hAnsiTheme="minorHAnsi" w:cstheme="minorBidi"/>
          <w:b w:val="0"/>
          <w:sz w:val="22"/>
          <w:szCs w:val="22"/>
        </w:rPr>
      </w:pPr>
      <w:hyperlink w:anchor="_Toc111635995" w:history="1">
        <w:r w:rsidR="00F62D0A" w:rsidRPr="00D61DBD">
          <w:rPr>
            <w:rStyle w:val="Hipercze"/>
            <w:rFonts w:cs="Arial"/>
          </w:rPr>
          <w:t>D-08.03.01 - BETONOWE  OBRZEŻA  CHODNIKOWE</w:t>
        </w:r>
        <w:r w:rsidR="00F62D0A">
          <w:rPr>
            <w:webHidden/>
          </w:rPr>
          <w:tab/>
        </w:r>
        <w:r w:rsidR="00F62D0A">
          <w:rPr>
            <w:webHidden/>
          </w:rPr>
          <w:fldChar w:fldCharType="begin"/>
        </w:r>
        <w:r w:rsidR="00F62D0A">
          <w:rPr>
            <w:webHidden/>
          </w:rPr>
          <w:instrText xml:space="preserve"> PAGEREF _Toc111635995 \h </w:instrText>
        </w:r>
        <w:r w:rsidR="00F62D0A">
          <w:rPr>
            <w:webHidden/>
          </w:rPr>
        </w:r>
        <w:r w:rsidR="00F62D0A">
          <w:rPr>
            <w:webHidden/>
          </w:rPr>
          <w:fldChar w:fldCharType="separate"/>
        </w:r>
        <w:r>
          <w:rPr>
            <w:webHidden/>
          </w:rPr>
          <w:t>278</w:t>
        </w:r>
        <w:r w:rsidR="00F62D0A">
          <w:rPr>
            <w:webHidden/>
          </w:rPr>
          <w:fldChar w:fldCharType="end"/>
        </w:r>
      </w:hyperlink>
    </w:p>
    <w:p w14:paraId="6BD85B48" w14:textId="73528927" w:rsidR="00F62D0A" w:rsidRDefault="008D66D8">
      <w:pPr>
        <w:pStyle w:val="Spistreci1"/>
        <w:rPr>
          <w:rFonts w:asciiTheme="minorHAnsi" w:eastAsiaTheme="minorEastAsia" w:hAnsiTheme="minorHAnsi" w:cstheme="minorBidi"/>
          <w:b w:val="0"/>
          <w:sz w:val="22"/>
          <w:szCs w:val="22"/>
        </w:rPr>
      </w:pPr>
      <w:hyperlink w:anchor="_Toc111635996" w:history="1">
        <w:r w:rsidR="00F62D0A" w:rsidRPr="00D61DBD">
          <w:rPr>
            <w:rStyle w:val="Hipercze"/>
            <w:rFonts w:cs="Arial"/>
          </w:rPr>
          <w:t>D-09.01.01 – ZIELEŃ PRZYDROŻNA</w:t>
        </w:r>
        <w:r w:rsidR="00F62D0A">
          <w:rPr>
            <w:webHidden/>
          </w:rPr>
          <w:tab/>
        </w:r>
        <w:r w:rsidR="00F62D0A">
          <w:rPr>
            <w:webHidden/>
          </w:rPr>
          <w:fldChar w:fldCharType="begin"/>
        </w:r>
        <w:r w:rsidR="00F62D0A">
          <w:rPr>
            <w:webHidden/>
          </w:rPr>
          <w:instrText xml:space="preserve"> PAGEREF _Toc111635996 \h </w:instrText>
        </w:r>
        <w:r w:rsidR="00F62D0A">
          <w:rPr>
            <w:webHidden/>
          </w:rPr>
        </w:r>
        <w:r w:rsidR="00F62D0A">
          <w:rPr>
            <w:webHidden/>
          </w:rPr>
          <w:fldChar w:fldCharType="separate"/>
        </w:r>
        <w:r>
          <w:rPr>
            <w:webHidden/>
          </w:rPr>
          <w:t>281</w:t>
        </w:r>
        <w:r w:rsidR="00F62D0A">
          <w:rPr>
            <w:webHidden/>
          </w:rPr>
          <w:fldChar w:fldCharType="end"/>
        </w:r>
      </w:hyperlink>
    </w:p>
    <w:p w14:paraId="6632C8B9" w14:textId="6A9509B1" w:rsidR="00F62D0A" w:rsidRDefault="008D66D8">
      <w:pPr>
        <w:pStyle w:val="Spistreci1"/>
        <w:rPr>
          <w:rFonts w:asciiTheme="minorHAnsi" w:eastAsiaTheme="minorEastAsia" w:hAnsiTheme="minorHAnsi" w:cstheme="minorBidi"/>
          <w:b w:val="0"/>
          <w:sz w:val="22"/>
          <w:szCs w:val="22"/>
        </w:rPr>
      </w:pPr>
      <w:hyperlink w:anchor="_Toc111635997" w:history="1">
        <w:r w:rsidR="00F62D0A" w:rsidRPr="00D61DBD">
          <w:rPr>
            <w:rStyle w:val="Hipercze"/>
            <w:rFonts w:cs="Arial"/>
          </w:rPr>
          <w:t>D-10.07.01 – ZJAZDY DO GOSPODARSTW I NA DROGI BOCZNE</w:t>
        </w:r>
        <w:r w:rsidR="00F62D0A">
          <w:rPr>
            <w:webHidden/>
          </w:rPr>
          <w:tab/>
        </w:r>
        <w:r w:rsidR="00F62D0A">
          <w:rPr>
            <w:webHidden/>
          </w:rPr>
          <w:fldChar w:fldCharType="begin"/>
        </w:r>
        <w:r w:rsidR="00F62D0A">
          <w:rPr>
            <w:webHidden/>
          </w:rPr>
          <w:instrText xml:space="preserve"> PAGEREF _Toc111635997 \h </w:instrText>
        </w:r>
        <w:r w:rsidR="00F62D0A">
          <w:rPr>
            <w:webHidden/>
          </w:rPr>
        </w:r>
        <w:r w:rsidR="00F62D0A">
          <w:rPr>
            <w:webHidden/>
          </w:rPr>
          <w:fldChar w:fldCharType="separate"/>
        </w:r>
        <w:r>
          <w:rPr>
            <w:webHidden/>
          </w:rPr>
          <w:t>290</w:t>
        </w:r>
        <w:r w:rsidR="00F62D0A">
          <w:rPr>
            <w:webHidden/>
          </w:rPr>
          <w:fldChar w:fldCharType="end"/>
        </w:r>
      </w:hyperlink>
    </w:p>
    <w:p w14:paraId="454B4CE1" w14:textId="4467C144" w:rsidR="00F62D0A" w:rsidRDefault="008D66D8">
      <w:pPr>
        <w:pStyle w:val="Spistreci1"/>
        <w:rPr>
          <w:rFonts w:asciiTheme="minorHAnsi" w:eastAsiaTheme="minorEastAsia" w:hAnsiTheme="minorHAnsi" w:cstheme="minorBidi"/>
          <w:b w:val="0"/>
          <w:sz w:val="22"/>
          <w:szCs w:val="22"/>
        </w:rPr>
      </w:pPr>
      <w:hyperlink w:anchor="_Toc111635998" w:history="1">
        <w:r w:rsidR="00F62D0A" w:rsidRPr="00D61DBD">
          <w:rPr>
            <w:rStyle w:val="Hipercze"/>
            <w:rFonts w:cs="Arial"/>
          </w:rPr>
          <w:t>T-01.01.01 – KANAŁ TECHNOLOGICZNY</w:t>
        </w:r>
        <w:r w:rsidR="00F62D0A">
          <w:rPr>
            <w:webHidden/>
          </w:rPr>
          <w:tab/>
        </w:r>
        <w:r w:rsidR="00F62D0A">
          <w:rPr>
            <w:webHidden/>
          </w:rPr>
          <w:fldChar w:fldCharType="begin"/>
        </w:r>
        <w:r w:rsidR="00F62D0A">
          <w:rPr>
            <w:webHidden/>
          </w:rPr>
          <w:instrText xml:space="preserve"> PAGEREF _Toc111635998 \h </w:instrText>
        </w:r>
        <w:r w:rsidR="00F62D0A">
          <w:rPr>
            <w:webHidden/>
          </w:rPr>
        </w:r>
        <w:r w:rsidR="00F62D0A">
          <w:rPr>
            <w:webHidden/>
          </w:rPr>
          <w:fldChar w:fldCharType="separate"/>
        </w:r>
        <w:r>
          <w:rPr>
            <w:webHidden/>
          </w:rPr>
          <w:t>292</w:t>
        </w:r>
        <w:r w:rsidR="00F62D0A">
          <w:rPr>
            <w:webHidden/>
          </w:rPr>
          <w:fldChar w:fldCharType="end"/>
        </w:r>
      </w:hyperlink>
    </w:p>
    <w:p w14:paraId="69764AE3" w14:textId="74D12E40" w:rsidR="00BB5ADC" w:rsidRDefault="000163D2" w:rsidP="0031684C">
      <w:pPr>
        <w:shd w:val="clear" w:color="auto" w:fill="FFFFFF" w:themeFill="background1"/>
        <w:tabs>
          <w:tab w:val="left" w:pos="142"/>
          <w:tab w:val="right" w:leader="dot" w:pos="10915"/>
        </w:tabs>
        <w:spacing w:line="240" w:lineRule="auto"/>
        <w:jc w:val="both"/>
        <w:rPr>
          <w:rFonts w:cs="Arial"/>
          <w:szCs w:val="20"/>
        </w:rPr>
        <w:sectPr w:rsidR="00BB5ADC" w:rsidSect="001E7ACB">
          <w:pgSz w:w="11906" w:h="16838" w:code="9"/>
          <w:pgMar w:top="993" w:right="424" w:bottom="993" w:left="567" w:header="426" w:footer="517" w:gutter="0"/>
          <w:pgNumType w:start="3"/>
          <w:cols w:space="708"/>
          <w:docGrid w:linePitch="360"/>
        </w:sectPr>
      </w:pPr>
      <w:r w:rsidRPr="006431C4">
        <w:rPr>
          <w:rFonts w:cs="Arial"/>
          <w:szCs w:val="20"/>
        </w:rPr>
        <w:fldChar w:fldCharType="end"/>
      </w:r>
      <w:bookmarkStart w:id="5" w:name="_Toc88825491"/>
    </w:p>
    <w:p w14:paraId="639B4BD7" w14:textId="317ED320" w:rsidR="00763AC1" w:rsidRPr="001D601E" w:rsidRDefault="00763AC1" w:rsidP="00BE2485">
      <w:pPr>
        <w:pStyle w:val="Nagwek4"/>
        <w:shd w:val="clear" w:color="auto" w:fill="FFFFFF" w:themeFill="background1"/>
        <w:tabs>
          <w:tab w:val="left" w:pos="142"/>
        </w:tabs>
        <w:spacing w:line="240" w:lineRule="auto"/>
        <w:jc w:val="both"/>
        <w:rPr>
          <w:rFonts w:cs="Arial"/>
          <w:szCs w:val="20"/>
        </w:rPr>
      </w:pPr>
      <w:bookmarkStart w:id="6" w:name="_Toc111635968"/>
      <w:r w:rsidRPr="001D601E">
        <w:rPr>
          <w:rFonts w:cs="Arial"/>
          <w:szCs w:val="20"/>
        </w:rPr>
        <w:lastRenderedPageBreak/>
        <w:t>D-M-</w:t>
      </w:r>
      <w:r w:rsidR="00FC57D2">
        <w:rPr>
          <w:rFonts w:cs="Arial"/>
          <w:szCs w:val="20"/>
        </w:rPr>
        <w:t xml:space="preserve">00.00.00 – </w:t>
      </w:r>
      <w:r w:rsidRPr="001D601E">
        <w:rPr>
          <w:rFonts w:cs="Arial"/>
          <w:szCs w:val="20"/>
        </w:rPr>
        <w:t>WYMAGANIA OGÓLNE</w:t>
      </w:r>
      <w:bookmarkEnd w:id="5"/>
      <w:bookmarkEnd w:id="6"/>
    </w:p>
    <w:p w14:paraId="57B95238"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7" w:name="_Toc404150096"/>
      <w:bookmarkStart w:id="8" w:name="_Toc416830698"/>
      <w:bookmarkStart w:id="9" w:name="_Toc6881279"/>
      <w:bookmarkStart w:id="10" w:name="_Toc6882152"/>
      <w:r w:rsidRPr="001D601E">
        <w:rPr>
          <w:rFonts w:cs="Arial"/>
          <w:szCs w:val="20"/>
        </w:rPr>
        <w:t>1. WSTĘP</w:t>
      </w:r>
      <w:bookmarkEnd w:id="7"/>
      <w:bookmarkEnd w:id="8"/>
      <w:bookmarkEnd w:id="9"/>
      <w:bookmarkEnd w:id="10"/>
    </w:p>
    <w:p w14:paraId="7B940362"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1.1. Przedmiot SST</w:t>
      </w:r>
    </w:p>
    <w:p w14:paraId="7852CD05"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Przedmiotem niniejszej szczegółowej specyfikacji technicznej  są wymagania ogólne dotyczące wykonania i odbioru robót drogowych i mostowych.</w:t>
      </w:r>
    </w:p>
    <w:p w14:paraId="1B9033ED"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1.2. Zakres stosowania SST</w:t>
      </w:r>
    </w:p>
    <w:p w14:paraId="0624CF5C"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 xml:space="preserve">Niniejsza szczegółowa specyfikacja techniczna stanowi Dokument Przetargowy i Kontraktowy przy zlecaniu i realizacji robót dla inwestycji pn.: </w:t>
      </w:r>
    </w:p>
    <w:p w14:paraId="4D33C21B" w14:textId="15248816" w:rsidR="00763AC1" w:rsidRPr="001D601E" w:rsidRDefault="00763AC1" w:rsidP="00747F93">
      <w:pPr>
        <w:pStyle w:val="Stopka"/>
        <w:shd w:val="clear" w:color="auto" w:fill="FFFFFF" w:themeFill="background1"/>
        <w:tabs>
          <w:tab w:val="left" w:pos="142"/>
        </w:tabs>
        <w:spacing w:line="240" w:lineRule="auto"/>
        <w:jc w:val="both"/>
        <w:rPr>
          <w:rFonts w:cs="Arial"/>
          <w:szCs w:val="20"/>
        </w:rPr>
      </w:pPr>
      <w:r w:rsidRPr="001D601E">
        <w:rPr>
          <w:rFonts w:cs="Arial"/>
          <w:i/>
          <w:szCs w:val="20"/>
        </w:rPr>
        <w:fldChar w:fldCharType="begin"/>
      </w:r>
      <w:r w:rsidRPr="001D601E">
        <w:rPr>
          <w:rFonts w:cs="Arial"/>
          <w:i/>
          <w:szCs w:val="20"/>
        </w:rPr>
        <w:instrText xml:space="preserve"> AUTOTEXT  " Puste"  \* MERGEFORMAT </w:instrText>
      </w:r>
      <w:r w:rsidRPr="001D601E">
        <w:rPr>
          <w:rFonts w:cs="Arial"/>
          <w:i/>
          <w:szCs w:val="20"/>
        </w:rPr>
        <w:fldChar w:fldCharType="separate"/>
      </w:r>
      <w:sdt>
        <w:sdtPr>
          <w:rPr>
            <w:szCs w:val="20"/>
          </w:rPr>
          <w:alias w:val="Temat"/>
          <w:tag w:val=""/>
          <w:id w:val="-316263931"/>
          <w:placeholder>
            <w:docPart w:val="6D4C36B0F107466DA2ACB2B36F9550A0"/>
          </w:placeholder>
          <w:dataBinding w:prefixMappings="xmlns:ns0='http://purl.org/dc/elements/1.1/' xmlns:ns1='http://schemas.openxmlformats.org/package/2006/metadata/core-properties' " w:xpath="/ns1:coreProperties[1]/ns0:subject[1]" w:storeItemID="{6C3C8BC8-F283-45AE-878A-BAB7291924A1}"/>
          <w:text/>
        </w:sdtPr>
        <w:sdtEndPr/>
        <w:sdtContent>
          <w:r w:rsidR="00747F93">
            <w:rPr>
              <w:szCs w:val="20"/>
            </w:rPr>
            <w:t>„</w:t>
          </w:r>
          <w:r w:rsidR="00747F93" w:rsidRPr="00747F93">
            <w:rPr>
              <w:szCs w:val="20"/>
            </w:rPr>
            <w:t>Przebudowa drogi wojewódzkiej nr 957 w miejscowości Jabłonka odc. referencyjny 100 w km 9+073.78 - 9+279.58 (budowa chodnika) "</w:t>
          </w:r>
        </w:sdtContent>
      </w:sdt>
    </w:p>
    <w:p w14:paraId="55AA5CCD" w14:textId="77777777" w:rsidR="00763AC1" w:rsidRPr="001D601E" w:rsidRDefault="00763AC1" w:rsidP="00BE2485">
      <w:pPr>
        <w:pStyle w:val="Nagwek"/>
        <w:shd w:val="clear" w:color="auto" w:fill="FFFFFF" w:themeFill="background1"/>
        <w:tabs>
          <w:tab w:val="left" w:pos="142"/>
        </w:tabs>
        <w:spacing w:line="240" w:lineRule="auto"/>
        <w:jc w:val="both"/>
        <w:rPr>
          <w:rFonts w:cs="Arial"/>
          <w:b/>
          <w:szCs w:val="20"/>
        </w:rPr>
      </w:pPr>
      <w:r w:rsidRPr="001D601E">
        <w:rPr>
          <w:rFonts w:cs="Arial"/>
          <w:i/>
          <w:szCs w:val="20"/>
        </w:rPr>
        <w:fldChar w:fldCharType="end"/>
      </w:r>
      <w:r w:rsidRPr="001D601E">
        <w:rPr>
          <w:rFonts w:cs="Arial"/>
          <w:b/>
          <w:szCs w:val="20"/>
        </w:rPr>
        <w:t>1.3. Zakres robót objętych SST</w:t>
      </w:r>
    </w:p>
    <w:p w14:paraId="03B6F9E5"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 xml:space="preserve">Ustalenia zawarte w niniejszej szczegółowej specyfikacji obejmują wymagania ogólne, wspólne dla robót objętych specyfikacjami technicznymi dla poszczególnych asortymentów robót drogowych i mostowych. </w:t>
      </w:r>
    </w:p>
    <w:p w14:paraId="1D9D7C5E"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1.4. Określenia podstawowe</w:t>
      </w:r>
    </w:p>
    <w:p w14:paraId="3DB8E223"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Użyte w SST wymienione poniżej określenia należy rozumieć w każdym przypadku następująco:</w:t>
      </w:r>
    </w:p>
    <w:p w14:paraId="78C83732" w14:textId="77777777" w:rsidR="00763AC1" w:rsidRPr="001D601E" w:rsidRDefault="00763AC1" w:rsidP="00BE2485">
      <w:pPr>
        <w:pStyle w:val="tekstost"/>
        <w:shd w:val="clear" w:color="auto" w:fill="FFFFFF" w:themeFill="background1"/>
        <w:tabs>
          <w:tab w:val="left" w:pos="142"/>
          <w:tab w:val="left" w:pos="567"/>
        </w:tabs>
        <w:rPr>
          <w:rFonts w:ascii="Arial" w:hAnsi="Arial" w:cs="Arial"/>
        </w:rPr>
      </w:pPr>
      <w:r w:rsidRPr="001D601E">
        <w:rPr>
          <w:rFonts w:ascii="Arial" w:hAnsi="Arial" w:cs="Arial"/>
          <w:b/>
        </w:rPr>
        <w:t>1.4.1.</w:t>
      </w:r>
      <w:r w:rsidRPr="001D601E">
        <w:rPr>
          <w:rFonts w:ascii="Arial" w:hAnsi="Arial" w:cs="Arial"/>
        </w:rPr>
        <w:tab/>
        <w:t>Budowla drogowa - obiekt budowlany, nie będący budynkiem, stanowiący całość techniczno-użytkową (droga) albo jego część stanowiącą odrębny element konstrukcyjny lub technologiczny (obiekt mostowy, korpus ziemny, węzeł).</w:t>
      </w:r>
    </w:p>
    <w:p w14:paraId="33FA7B3E" w14:textId="77777777" w:rsidR="00763AC1" w:rsidRPr="001D601E" w:rsidRDefault="00763AC1" w:rsidP="00BE2485">
      <w:pPr>
        <w:pStyle w:val="tekstost"/>
        <w:shd w:val="clear" w:color="auto" w:fill="FFFFFF" w:themeFill="background1"/>
        <w:tabs>
          <w:tab w:val="left" w:pos="142"/>
          <w:tab w:val="left" w:pos="567"/>
        </w:tabs>
        <w:rPr>
          <w:rFonts w:ascii="Arial" w:hAnsi="Arial" w:cs="Arial"/>
        </w:rPr>
      </w:pPr>
      <w:r w:rsidRPr="001D601E">
        <w:rPr>
          <w:rFonts w:ascii="Arial" w:hAnsi="Arial" w:cs="Arial"/>
          <w:b/>
        </w:rPr>
        <w:t>1.4.2</w:t>
      </w:r>
      <w:r w:rsidRPr="001D601E">
        <w:rPr>
          <w:rFonts w:ascii="Arial" w:hAnsi="Arial" w:cs="Arial"/>
        </w:rPr>
        <w:t>.</w:t>
      </w:r>
      <w:r w:rsidRPr="001D601E">
        <w:rPr>
          <w:rFonts w:ascii="Arial" w:hAnsi="Arial" w:cs="Arial"/>
        </w:rPr>
        <w:tab/>
        <w:t>Chodnik - wyznaczony pas terenu przy jezdni lub odsunięty od jezdni, przeznaczony do ruchu pieszych.</w:t>
      </w:r>
    </w:p>
    <w:p w14:paraId="2B56B997" w14:textId="77777777" w:rsidR="00763AC1" w:rsidRPr="001D601E" w:rsidRDefault="00763AC1" w:rsidP="00BE2485">
      <w:pPr>
        <w:pStyle w:val="tekstost"/>
        <w:shd w:val="clear" w:color="auto" w:fill="FFFFFF" w:themeFill="background1"/>
        <w:tabs>
          <w:tab w:val="left" w:pos="142"/>
          <w:tab w:val="left" w:pos="567"/>
        </w:tabs>
        <w:rPr>
          <w:rFonts w:ascii="Arial" w:hAnsi="Arial" w:cs="Arial"/>
        </w:rPr>
      </w:pPr>
      <w:r w:rsidRPr="001D601E">
        <w:rPr>
          <w:rFonts w:ascii="Arial" w:hAnsi="Arial" w:cs="Arial"/>
          <w:b/>
        </w:rPr>
        <w:t>1.4.3.</w:t>
      </w:r>
      <w:r w:rsidRPr="001D601E">
        <w:rPr>
          <w:rFonts w:ascii="Arial" w:hAnsi="Arial" w:cs="Arial"/>
        </w:rPr>
        <w:tab/>
        <w:t>Długość mostu - odległość między zewnętrznymi krawędziami pomostu, a w przypadku mostów łukowych z nadsypką - odległość w świetle podstaw sklepienia mierzona w osi jezdni drogowej.</w:t>
      </w:r>
    </w:p>
    <w:p w14:paraId="391A94F2" w14:textId="77777777" w:rsidR="00763AC1" w:rsidRPr="001D601E" w:rsidRDefault="00763AC1" w:rsidP="00BE2485">
      <w:pPr>
        <w:pStyle w:val="tekstost"/>
        <w:shd w:val="clear" w:color="auto" w:fill="FFFFFF" w:themeFill="background1"/>
        <w:tabs>
          <w:tab w:val="left" w:pos="142"/>
          <w:tab w:val="left" w:pos="567"/>
        </w:tabs>
        <w:rPr>
          <w:rFonts w:ascii="Arial" w:hAnsi="Arial" w:cs="Arial"/>
        </w:rPr>
      </w:pPr>
      <w:r w:rsidRPr="001D601E">
        <w:rPr>
          <w:rFonts w:ascii="Arial" w:hAnsi="Arial" w:cs="Arial"/>
          <w:b/>
        </w:rPr>
        <w:t>1.4.4</w:t>
      </w:r>
      <w:r w:rsidRPr="001D601E">
        <w:rPr>
          <w:rFonts w:ascii="Arial" w:hAnsi="Arial" w:cs="Arial"/>
        </w:rPr>
        <w:t>.</w:t>
      </w:r>
      <w:r w:rsidRPr="001D601E">
        <w:rPr>
          <w:rFonts w:ascii="Arial" w:hAnsi="Arial" w:cs="Arial"/>
        </w:rPr>
        <w:tab/>
        <w:t>Droga - wydzielony pas terenu przeznaczony do ruchu lub postoju pojazdów oraz ruchu pieszych wraz z wszelkimi urządzeniami technicznymi związanymi z prowadzeniem i zabezpieczeniem ruchu.</w:t>
      </w:r>
    </w:p>
    <w:p w14:paraId="4BD0DF81" w14:textId="77777777" w:rsidR="00763AC1" w:rsidRPr="001D601E" w:rsidRDefault="00763AC1" w:rsidP="00BE2485">
      <w:pPr>
        <w:pStyle w:val="tekstost"/>
        <w:shd w:val="clear" w:color="auto" w:fill="FFFFFF" w:themeFill="background1"/>
        <w:tabs>
          <w:tab w:val="left" w:pos="142"/>
          <w:tab w:val="left" w:pos="567"/>
        </w:tabs>
        <w:rPr>
          <w:rFonts w:ascii="Arial" w:hAnsi="Arial" w:cs="Arial"/>
        </w:rPr>
      </w:pPr>
      <w:r w:rsidRPr="001D601E">
        <w:rPr>
          <w:rFonts w:ascii="Arial" w:hAnsi="Arial" w:cs="Arial"/>
          <w:b/>
        </w:rPr>
        <w:t>1.4.5</w:t>
      </w:r>
      <w:r w:rsidRPr="001D601E">
        <w:rPr>
          <w:rFonts w:ascii="Arial" w:hAnsi="Arial" w:cs="Arial"/>
        </w:rPr>
        <w:t>.</w:t>
      </w:r>
      <w:r w:rsidRPr="001D601E">
        <w:rPr>
          <w:rFonts w:ascii="Arial" w:hAnsi="Arial" w:cs="Arial"/>
        </w:rPr>
        <w:tab/>
        <w:t>Droga tymczasowa (montażowa) - droga specjalnie przygotowana, przeznaczona do ruchu pojazdów obsługujących zadanie budowlane na czas jego wykonania, przewidziana do usunięcia po jego zakończeniu.</w:t>
      </w:r>
    </w:p>
    <w:p w14:paraId="271B3EAB" w14:textId="77777777" w:rsidR="00763AC1" w:rsidRPr="001D601E" w:rsidRDefault="00763AC1" w:rsidP="00BE2485">
      <w:pPr>
        <w:pStyle w:val="tekstost"/>
        <w:shd w:val="clear" w:color="auto" w:fill="FFFFFF" w:themeFill="background1"/>
        <w:tabs>
          <w:tab w:val="left" w:pos="142"/>
          <w:tab w:val="left" w:pos="567"/>
        </w:tabs>
        <w:rPr>
          <w:rFonts w:ascii="Arial" w:hAnsi="Arial" w:cs="Arial"/>
        </w:rPr>
      </w:pPr>
      <w:r w:rsidRPr="001D601E">
        <w:rPr>
          <w:rFonts w:ascii="Arial" w:hAnsi="Arial" w:cs="Arial"/>
          <w:b/>
        </w:rPr>
        <w:t>1.4.6.</w:t>
      </w:r>
      <w:r w:rsidRPr="001D601E">
        <w:rPr>
          <w:rFonts w:ascii="Arial" w:hAnsi="Arial" w:cs="Arial"/>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5B3FE1B0"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1.4.7.</w:t>
      </w:r>
      <w:r w:rsidRPr="001D601E">
        <w:rPr>
          <w:rFonts w:ascii="Arial" w:hAnsi="Arial" w:cs="Arial"/>
        </w:rPr>
        <w:tab/>
        <w:t>Estakada - obiekt zbudowany nad przeszkodą terenową dla zapewnienia komunikacji drogowej i ruchu pieszego.</w:t>
      </w:r>
    </w:p>
    <w:p w14:paraId="3CC2064A"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1.4.8.</w:t>
      </w:r>
      <w:r w:rsidRPr="001D601E">
        <w:rPr>
          <w:rFonts w:ascii="Arial" w:hAnsi="Arial" w:cs="Arial"/>
        </w:rPr>
        <w:tab/>
        <w:t>Inżynier/Kierownik projektu – osoba wymieniona w danych kontraktowych (wyznaczona przez Zamawiającego, o której wyznaczeniu poinformowany jest Wykonawca), odpowiedzialna za nadzorowanie robót i administrowanie kontraktem.</w:t>
      </w:r>
    </w:p>
    <w:p w14:paraId="7A780731"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1.4.9.</w:t>
      </w:r>
      <w:r w:rsidRPr="001D601E">
        <w:rPr>
          <w:rFonts w:ascii="Arial" w:hAnsi="Arial" w:cs="Arial"/>
        </w:rPr>
        <w:tab/>
        <w:t>Jezdnia - część korony drogi przeznaczona do ruchu pojazdów.</w:t>
      </w:r>
    </w:p>
    <w:p w14:paraId="69B8D97C"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1.4.10.</w:t>
      </w:r>
      <w:r w:rsidRPr="001D601E">
        <w:rPr>
          <w:rFonts w:ascii="Arial" w:hAnsi="Arial" w:cs="Arial"/>
          <w:b/>
        </w:rPr>
        <w:tab/>
      </w:r>
      <w:r w:rsidRPr="001D601E">
        <w:rPr>
          <w:rFonts w:ascii="Arial" w:hAnsi="Arial" w:cs="Arial"/>
        </w:rPr>
        <w:t>Kierownik budowy - osoba wyznaczona przez Wykonawcę, upoważniona do kierowania robotami i do występowania w jego imieniu w sprawach realizacji kontraktu.</w:t>
      </w:r>
    </w:p>
    <w:p w14:paraId="737C5F75"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1.4.11.</w:t>
      </w:r>
      <w:r w:rsidRPr="001D601E">
        <w:rPr>
          <w:rFonts w:ascii="Arial" w:hAnsi="Arial" w:cs="Arial"/>
          <w:b/>
        </w:rPr>
        <w:tab/>
      </w:r>
      <w:r w:rsidRPr="001D601E">
        <w:rPr>
          <w:rFonts w:ascii="Arial" w:hAnsi="Arial" w:cs="Arial"/>
        </w:rPr>
        <w:t>Korona drogi - jezdnia (jezdnie) z poboczami lub chodnikami, zatokami, pasami awaryjnego postoju i pasami dzielącymi jezdnie.</w:t>
      </w:r>
    </w:p>
    <w:p w14:paraId="0566FD8C"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1.4.12.</w:t>
      </w:r>
      <w:r w:rsidRPr="001D601E">
        <w:rPr>
          <w:rFonts w:ascii="Arial" w:hAnsi="Arial" w:cs="Arial"/>
        </w:rPr>
        <w:tab/>
        <w:t>Konstrukcja nawierzchni - układ warstw nawierzchni wraz ze sposobem ich połączenia.</w:t>
      </w:r>
    </w:p>
    <w:p w14:paraId="5B19A904"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1.4.13.</w:t>
      </w:r>
      <w:r w:rsidRPr="001D601E">
        <w:rPr>
          <w:rFonts w:ascii="Arial" w:hAnsi="Arial" w:cs="Arial"/>
          <w:b/>
        </w:rPr>
        <w:tab/>
      </w:r>
      <w:r w:rsidRPr="001D601E">
        <w:rPr>
          <w:rFonts w:ascii="Arial" w:hAnsi="Arial" w:cs="Arial"/>
        </w:rPr>
        <w:t>Konstrukcja nośna (przęsło lub przęsła obiektu mostowego) - część obiektu oparta na podporach mostowych, tworząca ustrój niosący dla przeniesienia ruchu pojazdów lub pieszych.</w:t>
      </w:r>
    </w:p>
    <w:p w14:paraId="0275F166"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1.4.14.</w:t>
      </w:r>
      <w:r w:rsidRPr="001D601E">
        <w:rPr>
          <w:rFonts w:ascii="Arial" w:hAnsi="Arial" w:cs="Arial"/>
        </w:rPr>
        <w:tab/>
        <w:t>Korpus drogowy - nasyp lub ta część wykopu, która jest ograniczona koroną drogi i skarpami rowów.</w:t>
      </w:r>
    </w:p>
    <w:p w14:paraId="01BA7B99"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1.4.15.</w:t>
      </w:r>
      <w:r w:rsidRPr="001D601E">
        <w:rPr>
          <w:rFonts w:ascii="Arial" w:hAnsi="Arial" w:cs="Arial"/>
        </w:rPr>
        <w:tab/>
        <w:t>Koryto - element uformowany w korpusie drogowym w celu ułożenia w nim konstrukcji nawierzchni.</w:t>
      </w:r>
    </w:p>
    <w:p w14:paraId="6A245022"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1.4.16</w:t>
      </w:r>
      <w:r w:rsidRPr="001D601E">
        <w:rPr>
          <w:rFonts w:ascii="Arial" w:hAnsi="Arial" w:cs="Arial"/>
        </w:rPr>
        <w:t>.</w:t>
      </w:r>
      <w:r w:rsidRPr="001D601E">
        <w:rPr>
          <w:rFonts w:ascii="Arial" w:hAnsi="Arial" w:cs="Arial"/>
        </w:rPr>
        <w:tab/>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14:paraId="0E2317FE"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1.4.17.</w:t>
      </w:r>
      <w:r w:rsidRPr="001D601E">
        <w:rPr>
          <w:rFonts w:ascii="Arial" w:hAnsi="Arial" w:cs="Arial"/>
        </w:rPr>
        <w:tab/>
        <w:t>Laboratorium - drogowe lub inne laboratorium badawcze, zaakceptowane przez Zamawiającego, niezbędne do przeprowadzenia wszelkich badań i prób związanych z oceną jakości materiałów oraz robót.</w:t>
      </w:r>
    </w:p>
    <w:p w14:paraId="735C2FD4"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1.4.18.</w:t>
      </w:r>
      <w:r w:rsidRPr="001D601E">
        <w:rPr>
          <w:rFonts w:ascii="Arial" w:hAnsi="Arial" w:cs="Arial"/>
        </w:rPr>
        <w:tab/>
        <w:t>Materiały - wszelkie tworzywa niezbędne do wykonania robót, zgodne z dokumentacją projektową i specyfikacjami technicznymi, zaakceptowane przez Inżyniera/ Kierownika projektu.</w:t>
      </w:r>
    </w:p>
    <w:p w14:paraId="32A3DFF0"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1.4.19.</w:t>
      </w:r>
      <w:r w:rsidRPr="001D601E">
        <w:rPr>
          <w:rFonts w:ascii="Arial" w:hAnsi="Arial" w:cs="Arial"/>
        </w:rPr>
        <w:tab/>
        <w:t>Most - obiekt zbudowany nad przeszkodą wodną dla zapewnienia komunikacji drogowej i ruchu pieszego.</w:t>
      </w:r>
    </w:p>
    <w:p w14:paraId="53D2C0D8"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1.4.20.</w:t>
      </w:r>
      <w:r w:rsidRPr="001D601E">
        <w:rPr>
          <w:rFonts w:ascii="Arial" w:hAnsi="Arial" w:cs="Arial"/>
        </w:rPr>
        <w:t xml:space="preserve"> Nawierzchnia - warstwa lub zespół warstw służących do przejmowania i rozkładania obciążeń od ruchu na podłoże gruntowe i zapewniających dogodne warunki dla ruchu.</w:t>
      </w:r>
    </w:p>
    <w:p w14:paraId="573D0352" w14:textId="77777777" w:rsidR="00763AC1" w:rsidRPr="001D601E" w:rsidRDefault="00763AC1" w:rsidP="00BE2485">
      <w:pPr>
        <w:pStyle w:val="Lista3"/>
        <w:numPr>
          <w:ilvl w:val="0"/>
          <w:numId w:val="3"/>
        </w:numPr>
        <w:shd w:val="clear" w:color="auto" w:fill="FFFFFF" w:themeFill="background1"/>
        <w:tabs>
          <w:tab w:val="left" w:pos="142"/>
        </w:tabs>
        <w:spacing w:line="240" w:lineRule="auto"/>
        <w:ind w:left="0" w:firstLine="0"/>
        <w:jc w:val="both"/>
        <w:rPr>
          <w:rFonts w:cs="Arial"/>
          <w:szCs w:val="20"/>
        </w:rPr>
      </w:pPr>
      <w:r w:rsidRPr="001D601E">
        <w:rPr>
          <w:rFonts w:cs="Arial"/>
          <w:szCs w:val="20"/>
        </w:rPr>
        <w:t>Warstwa ścieralna - górna warstwa nawierzchni poddana bezpośrednio oddziaływaniu ruchu i czynników atmosferycznych.</w:t>
      </w:r>
    </w:p>
    <w:p w14:paraId="5AB54D5C" w14:textId="77777777" w:rsidR="00763AC1" w:rsidRPr="001D601E" w:rsidRDefault="00763AC1" w:rsidP="00BE2485">
      <w:pPr>
        <w:pStyle w:val="Lista3"/>
        <w:numPr>
          <w:ilvl w:val="0"/>
          <w:numId w:val="3"/>
        </w:numPr>
        <w:shd w:val="clear" w:color="auto" w:fill="FFFFFF" w:themeFill="background1"/>
        <w:tabs>
          <w:tab w:val="left" w:pos="142"/>
        </w:tabs>
        <w:spacing w:line="240" w:lineRule="auto"/>
        <w:ind w:left="0" w:firstLine="0"/>
        <w:jc w:val="both"/>
        <w:rPr>
          <w:rFonts w:cs="Arial"/>
          <w:szCs w:val="20"/>
        </w:rPr>
      </w:pPr>
      <w:r w:rsidRPr="001D601E">
        <w:rPr>
          <w:rFonts w:cs="Arial"/>
          <w:szCs w:val="20"/>
        </w:rPr>
        <w:t>Warstwa wiążąca - warstwa znajdująca się między warstwą ścieralną a podbudową, zapewniająca lepsze rozłożenie naprężeń w nawierzchni i przekazywanie ich na podbudowę.</w:t>
      </w:r>
    </w:p>
    <w:p w14:paraId="7865A3D3" w14:textId="77777777" w:rsidR="00763AC1" w:rsidRPr="001D601E" w:rsidRDefault="00763AC1" w:rsidP="00BE2485">
      <w:pPr>
        <w:pStyle w:val="Lista3"/>
        <w:numPr>
          <w:ilvl w:val="0"/>
          <w:numId w:val="3"/>
        </w:numPr>
        <w:shd w:val="clear" w:color="auto" w:fill="FFFFFF" w:themeFill="background1"/>
        <w:tabs>
          <w:tab w:val="left" w:pos="142"/>
        </w:tabs>
        <w:spacing w:line="240" w:lineRule="auto"/>
        <w:ind w:left="0" w:firstLine="0"/>
        <w:jc w:val="both"/>
        <w:rPr>
          <w:rFonts w:cs="Arial"/>
          <w:szCs w:val="20"/>
        </w:rPr>
      </w:pPr>
      <w:r w:rsidRPr="001D601E">
        <w:rPr>
          <w:rFonts w:cs="Arial"/>
          <w:szCs w:val="20"/>
        </w:rPr>
        <w:t>Warstwa wyrównawcza - warstwa służąca do wyrównania nierówności podbudowy lub profilu istniejącej nawierzchni.</w:t>
      </w:r>
    </w:p>
    <w:p w14:paraId="6E4ADAF3" w14:textId="77777777" w:rsidR="00763AC1" w:rsidRPr="001D601E" w:rsidRDefault="00763AC1" w:rsidP="00BE2485">
      <w:pPr>
        <w:pStyle w:val="Lista3"/>
        <w:numPr>
          <w:ilvl w:val="0"/>
          <w:numId w:val="3"/>
        </w:numPr>
        <w:shd w:val="clear" w:color="auto" w:fill="FFFFFF" w:themeFill="background1"/>
        <w:tabs>
          <w:tab w:val="left" w:pos="142"/>
        </w:tabs>
        <w:spacing w:line="240" w:lineRule="auto"/>
        <w:ind w:left="0" w:firstLine="0"/>
        <w:jc w:val="both"/>
        <w:rPr>
          <w:rFonts w:cs="Arial"/>
          <w:szCs w:val="20"/>
        </w:rPr>
      </w:pPr>
      <w:r w:rsidRPr="001D601E">
        <w:rPr>
          <w:rFonts w:cs="Arial"/>
          <w:szCs w:val="20"/>
        </w:rPr>
        <w:t>Podbudowa - dolna część nawierzchni służąca do przenoszenia obciążeń od ruchu na podłoże. Podbudowa może składać się z podbudowy zasadniczej i podbudowy pomocniczej.</w:t>
      </w:r>
    </w:p>
    <w:p w14:paraId="48BE7B83" w14:textId="77777777" w:rsidR="00763AC1" w:rsidRPr="001D601E" w:rsidRDefault="00763AC1" w:rsidP="00BE2485">
      <w:pPr>
        <w:pStyle w:val="Lista3"/>
        <w:numPr>
          <w:ilvl w:val="0"/>
          <w:numId w:val="3"/>
        </w:numPr>
        <w:shd w:val="clear" w:color="auto" w:fill="FFFFFF" w:themeFill="background1"/>
        <w:tabs>
          <w:tab w:val="left" w:pos="142"/>
        </w:tabs>
        <w:spacing w:line="240" w:lineRule="auto"/>
        <w:ind w:left="0" w:firstLine="0"/>
        <w:jc w:val="both"/>
        <w:rPr>
          <w:rFonts w:cs="Arial"/>
          <w:szCs w:val="20"/>
        </w:rPr>
      </w:pPr>
      <w:r w:rsidRPr="001D601E">
        <w:rPr>
          <w:rFonts w:cs="Arial"/>
          <w:szCs w:val="20"/>
        </w:rPr>
        <w:t>Podbudowa zasadnicza - górna część podbudowy spełniająca funkcje nośne w konstrukcji nawierzchni. Może ona składać się z jednej lub dwóch warstw.</w:t>
      </w:r>
    </w:p>
    <w:p w14:paraId="4E952555" w14:textId="77777777" w:rsidR="00763AC1" w:rsidRPr="001D601E" w:rsidRDefault="00763AC1" w:rsidP="00BE2485">
      <w:pPr>
        <w:pStyle w:val="Lista3"/>
        <w:numPr>
          <w:ilvl w:val="0"/>
          <w:numId w:val="3"/>
        </w:numPr>
        <w:shd w:val="clear" w:color="auto" w:fill="FFFFFF" w:themeFill="background1"/>
        <w:tabs>
          <w:tab w:val="left" w:pos="142"/>
        </w:tabs>
        <w:spacing w:line="240" w:lineRule="auto"/>
        <w:ind w:left="0" w:firstLine="0"/>
        <w:jc w:val="both"/>
        <w:rPr>
          <w:rFonts w:cs="Arial"/>
          <w:szCs w:val="20"/>
        </w:rPr>
      </w:pPr>
      <w:r w:rsidRPr="001D601E">
        <w:rPr>
          <w:rFonts w:cs="Arial"/>
          <w:szCs w:val="20"/>
        </w:rPr>
        <w:t>Podbudowa pomocnicza - dolna część podbudowy spełniająca, obok funkcji nośnych, funkcje zabezpieczenia nawierzchni przed działaniem wody, mrozu i przenikaniem cząstek podłoża. Może zawierać warstwę mrozoochronną, odsączającą lub odcinającą.</w:t>
      </w:r>
    </w:p>
    <w:p w14:paraId="4AC6186D" w14:textId="77777777" w:rsidR="00763AC1" w:rsidRPr="001D601E" w:rsidRDefault="00763AC1" w:rsidP="00BE2485">
      <w:pPr>
        <w:pStyle w:val="Lista3"/>
        <w:numPr>
          <w:ilvl w:val="0"/>
          <w:numId w:val="3"/>
        </w:numPr>
        <w:shd w:val="clear" w:color="auto" w:fill="FFFFFF" w:themeFill="background1"/>
        <w:tabs>
          <w:tab w:val="left" w:pos="142"/>
        </w:tabs>
        <w:spacing w:line="240" w:lineRule="auto"/>
        <w:ind w:left="0" w:firstLine="0"/>
        <w:jc w:val="both"/>
        <w:rPr>
          <w:rFonts w:cs="Arial"/>
          <w:szCs w:val="20"/>
        </w:rPr>
      </w:pPr>
      <w:r w:rsidRPr="001D601E">
        <w:rPr>
          <w:rFonts w:cs="Arial"/>
          <w:szCs w:val="20"/>
        </w:rPr>
        <w:lastRenderedPageBreak/>
        <w:t>Warstwa mrozoochronna - warstwa, której głównym zadaniem jest ochrona nawierzchni przed skutkami działania mrozu.</w:t>
      </w:r>
    </w:p>
    <w:p w14:paraId="2CA3F2AD" w14:textId="77777777" w:rsidR="00763AC1" w:rsidRPr="001D601E" w:rsidRDefault="00763AC1" w:rsidP="00BE2485">
      <w:pPr>
        <w:pStyle w:val="Lista3"/>
        <w:numPr>
          <w:ilvl w:val="0"/>
          <w:numId w:val="3"/>
        </w:numPr>
        <w:shd w:val="clear" w:color="auto" w:fill="FFFFFF" w:themeFill="background1"/>
        <w:tabs>
          <w:tab w:val="left" w:pos="142"/>
        </w:tabs>
        <w:spacing w:line="240" w:lineRule="auto"/>
        <w:ind w:left="0" w:firstLine="0"/>
        <w:jc w:val="both"/>
        <w:rPr>
          <w:rFonts w:cs="Arial"/>
          <w:szCs w:val="20"/>
        </w:rPr>
      </w:pPr>
      <w:r w:rsidRPr="001D601E">
        <w:rPr>
          <w:rFonts w:cs="Arial"/>
          <w:szCs w:val="20"/>
        </w:rPr>
        <w:t>Warstwa odcinająca - warstwa stosowana w celu uniemożliwienia przenikania cząstek drobnych gruntu do warstwy nawierzchni leżącej powyżej.</w:t>
      </w:r>
    </w:p>
    <w:p w14:paraId="28A1B1F6" w14:textId="77777777" w:rsidR="00763AC1" w:rsidRPr="001D601E" w:rsidRDefault="00763AC1" w:rsidP="00BE2485">
      <w:pPr>
        <w:pStyle w:val="Lista3"/>
        <w:numPr>
          <w:ilvl w:val="0"/>
          <w:numId w:val="3"/>
        </w:numPr>
        <w:shd w:val="clear" w:color="auto" w:fill="FFFFFF" w:themeFill="background1"/>
        <w:tabs>
          <w:tab w:val="left" w:pos="142"/>
        </w:tabs>
        <w:spacing w:line="240" w:lineRule="auto"/>
        <w:ind w:left="0" w:firstLine="0"/>
        <w:jc w:val="both"/>
        <w:rPr>
          <w:rFonts w:cs="Arial"/>
          <w:szCs w:val="20"/>
        </w:rPr>
      </w:pPr>
      <w:r w:rsidRPr="001D601E">
        <w:rPr>
          <w:rFonts w:cs="Arial"/>
          <w:szCs w:val="20"/>
        </w:rPr>
        <w:t>Warstwa odsączająca - warstwa służąca do odprowadzenia wody przedostającej się do nawierzchni.</w:t>
      </w:r>
    </w:p>
    <w:p w14:paraId="5E34FF69"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1.4.21.</w:t>
      </w:r>
      <w:r w:rsidRPr="001D601E">
        <w:rPr>
          <w:rFonts w:ascii="Arial" w:hAnsi="Arial" w:cs="Arial"/>
        </w:rPr>
        <w:tab/>
        <w:t>Niweleta - wysokościowe i geometryczne rozwinięcie na płaszczyźnie pionowego przekroju w osi drogi lub obiektu mostowego.</w:t>
      </w:r>
    </w:p>
    <w:p w14:paraId="32373F34"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1.4.22.</w:t>
      </w:r>
      <w:r w:rsidRPr="001D601E">
        <w:rPr>
          <w:rFonts w:ascii="Arial" w:hAnsi="Arial" w:cs="Arial"/>
        </w:rPr>
        <w:tab/>
        <w:t>Obiekt mostowy - most, wiadukt, estakada, tunel, kładka dla pieszych i przepust.</w:t>
      </w:r>
    </w:p>
    <w:p w14:paraId="0C80827D"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1.4.23.</w:t>
      </w:r>
      <w:r w:rsidRPr="001D601E">
        <w:rPr>
          <w:rFonts w:ascii="Arial" w:hAnsi="Arial" w:cs="Arial"/>
        </w:rPr>
        <w:tab/>
        <w:t>Objazd tymczasowy - droga specjalnie przygotowana i odpowiednio utrzymana do przeprowadzenia ruchu publicznego na okres budowy.</w:t>
      </w:r>
    </w:p>
    <w:p w14:paraId="391AABA9"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1.4.24.</w:t>
      </w:r>
      <w:r w:rsidRPr="001D601E">
        <w:rPr>
          <w:rFonts w:ascii="Arial" w:hAnsi="Arial" w:cs="Arial"/>
        </w:rPr>
        <w:tab/>
        <w:t>Odpowiednia (bliska) zgodność - zgodność wykonywanych robót z dopuszczonymi tolerancjami, a jeśli przedział tolerancji nie został określony - z przeciętnymi tolerancjami, przyjmowanymi zwyczajowo dla danego rodzaju robót budowlanych.</w:t>
      </w:r>
    </w:p>
    <w:p w14:paraId="4F38395A"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1.4.25.</w:t>
      </w:r>
      <w:r w:rsidRPr="001D601E">
        <w:rPr>
          <w:rFonts w:ascii="Arial" w:hAnsi="Arial" w:cs="Arial"/>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3AFD0C0F"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1.4.26.</w:t>
      </w:r>
      <w:r w:rsidRPr="001D601E">
        <w:rPr>
          <w:rFonts w:ascii="Arial" w:hAnsi="Arial" w:cs="Arial"/>
        </w:rPr>
        <w:tab/>
        <w:t>Pobocze - część korony drogi przeznaczona do chwilowego postoju pojazdów, umieszczenia urządzeń organizacji i bezpieczeństwa ruchu oraz do ruchu pieszych, służąca jednocześnie do bocznego oparcia konstrukcji nawierzchni.</w:t>
      </w:r>
    </w:p>
    <w:p w14:paraId="18C4778A"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1.4.27.</w:t>
      </w:r>
      <w:r w:rsidRPr="001D601E">
        <w:rPr>
          <w:rFonts w:ascii="Arial" w:hAnsi="Arial" w:cs="Arial"/>
        </w:rPr>
        <w:tab/>
        <w:t>Podłoże nawierzchni - grunt rodzimy lub nasypowy, leżący pod nawierzchnią do głębokości przemarzania.</w:t>
      </w:r>
    </w:p>
    <w:p w14:paraId="442AA5AD"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1.4.28.</w:t>
      </w:r>
      <w:r w:rsidRPr="001D601E">
        <w:rPr>
          <w:rFonts w:ascii="Arial" w:hAnsi="Arial" w:cs="Arial"/>
        </w:rPr>
        <w:tab/>
        <w:t>Podłoże ulepszone nawierzchni - górna warstwa podłoża, leżąca bezpośrednio pod nawierzchnią, ulepszona w celu umożliwienia przejęcia ruchu budowlanego i właściwego wykonania nawierzchni.</w:t>
      </w:r>
    </w:p>
    <w:p w14:paraId="3322AEB2"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1.4.29.</w:t>
      </w:r>
      <w:r w:rsidRPr="001D601E">
        <w:rPr>
          <w:rFonts w:ascii="Arial" w:hAnsi="Arial" w:cs="Arial"/>
          <w:b/>
        </w:rPr>
        <w:tab/>
      </w:r>
      <w:r w:rsidRPr="001D601E">
        <w:rPr>
          <w:rFonts w:ascii="Arial" w:hAnsi="Arial" w:cs="Arial"/>
        </w:rPr>
        <w:t>Polecenie Inżyniera/Kierownika projektu - wszelkie polecenia przekazane Wykonawcy przez Inżyniera/Kierownika projektu, w formie pisemnej, dotyczące sposobu realizacji robót lub innych spraw związanych z prowadzeniem budowy.</w:t>
      </w:r>
    </w:p>
    <w:p w14:paraId="5494BC21"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1.4.30.</w:t>
      </w:r>
      <w:r w:rsidRPr="001D601E">
        <w:rPr>
          <w:rFonts w:ascii="Arial" w:hAnsi="Arial" w:cs="Arial"/>
        </w:rPr>
        <w:tab/>
        <w:t>Projektant - uprawniona osoba prawna lub fizyczna będąca autorem dokumentacji projektowej.</w:t>
      </w:r>
    </w:p>
    <w:p w14:paraId="6902132E"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1.4.31.</w:t>
      </w:r>
      <w:r w:rsidRPr="001D601E">
        <w:rPr>
          <w:rFonts w:ascii="Arial" w:hAnsi="Arial" w:cs="Arial"/>
          <w:b/>
        </w:rPr>
        <w:tab/>
      </w:r>
      <w:r w:rsidRPr="001D601E">
        <w:rPr>
          <w:rFonts w:ascii="Arial" w:hAnsi="Arial" w:cs="Arial"/>
        </w:rPr>
        <w:t>Przedsięwzięcie budowlane - kompleksowa realizacja nowego połączenia drogowego lub całkowita modernizacja/przebudowa (zmiana parametrów geometrycznych trasy w planie i przekroju podłużnym) istniejącego połączenia.</w:t>
      </w:r>
    </w:p>
    <w:p w14:paraId="0FA6B9B5"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1.4.32.</w:t>
      </w:r>
      <w:r w:rsidRPr="001D601E">
        <w:rPr>
          <w:rFonts w:ascii="Arial" w:hAnsi="Arial" w:cs="Arial"/>
        </w:rPr>
        <w:tab/>
        <w:t>Przepust – budowla o przekroju poprzecznym zamkniętym, przeznaczona do przeprowadzenia cieku, szlaku wędrówek zwierząt dziko żyjących lub urządzeń technicznych przez korpus drogowy.</w:t>
      </w:r>
    </w:p>
    <w:p w14:paraId="0A2F211C"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1.4.33.</w:t>
      </w:r>
      <w:r w:rsidRPr="001D601E">
        <w:rPr>
          <w:rFonts w:ascii="Arial" w:hAnsi="Arial" w:cs="Arial"/>
        </w:rPr>
        <w:tab/>
        <w:t>Przeszkoda naturalna - element środowiska naturalnego, stanowiący utrudnienie w realizacji zadania budowlanego, na przykład dolina, bagno, rzeka, szlak wędrówek dzikich zwierząt itp.</w:t>
      </w:r>
    </w:p>
    <w:p w14:paraId="4D15E62B"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1.4.34.</w:t>
      </w:r>
      <w:r w:rsidRPr="001D601E">
        <w:rPr>
          <w:rFonts w:ascii="Arial" w:hAnsi="Arial" w:cs="Arial"/>
        </w:rPr>
        <w:tab/>
        <w:t>Przeszkoda sztuczna - dzieło ludzkie, stanowiące utrudnienie w realizacji zadania budowlanego, na przykład droga, kolej, rurociąg, kanał, ciąg pieszy lub rowerowy itp.</w:t>
      </w:r>
    </w:p>
    <w:p w14:paraId="5C2BE5E6"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1.4.35.</w:t>
      </w:r>
      <w:r w:rsidRPr="001D601E">
        <w:rPr>
          <w:rFonts w:ascii="Arial" w:hAnsi="Arial" w:cs="Arial"/>
        </w:rPr>
        <w:tab/>
        <w:t>Przetargowa dokumentacja projektowa - część dokumentacji projektowej, która wskazuje lokalizację, charakterystykę i wymiary obiektu będącego przedmiotem robót.</w:t>
      </w:r>
    </w:p>
    <w:p w14:paraId="1B1F8013"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1.4.36</w:t>
      </w:r>
      <w:r w:rsidRPr="001D601E">
        <w:rPr>
          <w:rFonts w:ascii="Arial" w:hAnsi="Arial" w:cs="Arial"/>
        </w:rPr>
        <w:t>.</w:t>
      </w:r>
      <w:r w:rsidRPr="001D601E">
        <w:rPr>
          <w:rFonts w:ascii="Arial" w:hAnsi="Arial" w:cs="Arial"/>
        </w:rPr>
        <w:tab/>
        <w:t>Przyczółek - skrajna podpora obiektu mostowego. Może składać się z pełnej ściany, słupów lub innych form konstrukcyjnych, np. skrzyń, komór.</w:t>
      </w:r>
    </w:p>
    <w:p w14:paraId="22811260"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1.4.37.</w:t>
      </w:r>
      <w:r w:rsidRPr="001D601E">
        <w:rPr>
          <w:rFonts w:ascii="Arial" w:hAnsi="Arial" w:cs="Arial"/>
        </w:rPr>
        <w:tab/>
        <w:t>Rekultywacja - roboty mające na celu uporządkowanie i przywrócenie pierwotnych funkcji terenom naruszonym w czasie realizacji zadania budowlanego.</w:t>
      </w:r>
    </w:p>
    <w:p w14:paraId="4CAAAC90"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1.4.38.</w:t>
      </w:r>
      <w:r w:rsidRPr="001D601E">
        <w:rPr>
          <w:rFonts w:ascii="Arial" w:hAnsi="Arial" w:cs="Arial"/>
        </w:rPr>
        <w:tab/>
        <w:t>Rozpiętość teoretyczna - odległość między punktami podparcia (łożyskami), przęsła mostowego.</w:t>
      </w:r>
    </w:p>
    <w:p w14:paraId="4AAAF949"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1.4.39.</w:t>
      </w:r>
      <w:r w:rsidRPr="001D601E">
        <w:rPr>
          <w:rFonts w:ascii="Arial" w:hAnsi="Arial" w:cs="Arial"/>
        </w:rPr>
        <w:tab/>
        <w:t>Szerokość całkowita obiektu (mostu / wiaduktu) - odległość między zewnętrznymi krawędziami konstrukcji obiektu, mierzona w linii prostopadłej do osi podłużnej, obejmuje całkowitą szerokość konstrukcyjną ustroju niosącego.</w:t>
      </w:r>
    </w:p>
    <w:p w14:paraId="1C2A51B8"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1.4.40.</w:t>
      </w:r>
      <w:r w:rsidRPr="001D601E">
        <w:rPr>
          <w:rFonts w:ascii="Arial" w:hAnsi="Arial" w:cs="Arial"/>
        </w:rPr>
        <w:tab/>
        <w:t>Szerokość użytkowa obiektu - szerokość jezdni (nawierzchni) przeznaczona dla poszczególnych rodzajów ruchu oraz szerokość chodników mierzona w świetle poręczy mostowych z wyłączeniem konstrukcji przy jezdni dołem oddzielającej ruch kołowy od ruchu pieszego.</w:t>
      </w:r>
    </w:p>
    <w:p w14:paraId="1E8DBE69"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1.4.41.</w:t>
      </w:r>
      <w:r w:rsidRPr="001D601E">
        <w:rPr>
          <w:rFonts w:ascii="Arial" w:hAnsi="Arial" w:cs="Arial"/>
        </w:rPr>
        <w:tab/>
        <w:t>Ślepy kosztorys - wykaz robót z podaniem ich ilości (przedmiarem) w kolejności technologicznej ich wykonania.</w:t>
      </w:r>
    </w:p>
    <w:p w14:paraId="3ECE8F52"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1.4.42.</w:t>
      </w:r>
      <w:r w:rsidRPr="001D601E">
        <w:rPr>
          <w:rFonts w:ascii="Arial" w:hAnsi="Arial" w:cs="Arial"/>
        </w:rPr>
        <w:tab/>
        <w:t>Teren budowy - teren udostępniony przez Zamawiającego dla wykonania na nim robót oraz inne miejsca wymienione w kontrakcie jako tworzące część terenu budowy.</w:t>
      </w:r>
    </w:p>
    <w:p w14:paraId="155D1A14"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1.4.43.</w:t>
      </w:r>
      <w:r w:rsidRPr="001D601E">
        <w:rPr>
          <w:rFonts w:ascii="Arial" w:hAnsi="Arial" w:cs="Arial"/>
        </w:rPr>
        <w:tab/>
        <w:t>Tunel - obiekt zagłębiony poniżej poziomu terenu dla zapewnienia komunikacji drogowej i ruchu pieszego.</w:t>
      </w:r>
    </w:p>
    <w:p w14:paraId="2FBE2A36"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1.4.44.</w:t>
      </w:r>
      <w:r w:rsidRPr="001D601E">
        <w:rPr>
          <w:rFonts w:ascii="Arial" w:hAnsi="Arial" w:cs="Arial"/>
        </w:rPr>
        <w:tab/>
        <w:t>Wiadukt - obiekt zbudowany nad linią kolejową lub inną drogą dla bezkolizyjnego zapewnienia komunikacji drogowej i ruchu pieszego.</w:t>
      </w:r>
    </w:p>
    <w:p w14:paraId="2D663542" w14:textId="77777777" w:rsidR="00763AC1" w:rsidRPr="001D601E" w:rsidRDefault="00763AC1" w:rsidP="00BE2485">
      <w:pPr>
        <w:pStyle w:val="tekstost"/>
        <w:shd w:val="clear" w:color="auto" w:fill="FFFFFF" w:themeFill="background1"/>
        <w:tabs>
          <w:tab w:val="left" w:pos="142"/>
          <w:tab w:val="left" w:pos="624"/>
        </w:tabs>
        <w:rPr>
          <w:rFonts w:ascii="Arial" w:hAnsi="Arial" w:cs="Arial"/>
        </w:rPr>
      </w:pPr>
      <w:r w:rsidRPr="001D601E">
        <w:rPr>
          <w:rFonts w:ascii="Arial" w:hAnsi="Arial" w:cs="Arial"/>
          <w:b/>
        </w:rPr>
        <w:t>1.4.45.</w:t>
      </w:r>
      <w:r w:rsidRPr="001D601E">
        <w:rPr>
          <w:rFonts w:ascii="Arial" w:hAnsi="Arial" w:cs="Arial"/>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4515DE12"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1.5. Ogólne wymagania dotyczące robót</w:t>
      </w:r>
    </w:p>
    <w:p w14:paraId="72F5421C"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jest odpowiedzialny za jakość wykonanych robót, bezpieczeństwo wszelkich czynności na terenie budowy, metody użyte przy budowie oraz za ich zgodność z dokumentacją projektową i poleceniami Inżyniera/Kierownika projektu.</w:t>
      </w:r>
    </w:p>
    <w:p w14:paraId="45F629C0"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1.5.1.</w:t>
      </w:r>
      <w:r w:rsidRPr="001D601E">
        <w:rPr>
          <w:szCs w:val="20"/>
        </w:rPr>
        <w:t xml:space="preserve"> Przekazanie terenu budowy</w:t>
      </w:r>
    </w:p>
    <w:p w14:paraId="0FAC9514"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w:t>
      </w:r>
    </w:p>
    <w:p w14:paraId="6ADFCA13"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Na Wykonawcy spoczywa odpowiedzialność za ochronę przekazanych mu punktów pomiarowych do chwili odbioru ostatecznego robót. Uszkodzone lub zniszczone znaki geodezyjne Wykonawca odtworzy i utrwali na własny koszt.</w:t>
      </w:r>
    </w:p>
    <w:p w14:paraId="26582261"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lastRenderedPageBreak/>
        <w:t>1.5.2.</w:t>
      </w:r>
      <w:r w:rsidRPr="001D601E">
        <w:rPr>
          <w:szCs w:val="20"/>
        </w:rPr>
        <w:t xml:space="preserve"> Dokumentacja projektowa</w:t>
      </w:r>
    </w:p>
    <w:p w14:paraId="1E2BB73C"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Dokumentacja projektowa będzie zawierać rysunki, obliczenia i dokumenty, zgodne z wykazem podanym w szczegółowych warunkach umowy, uwzględniającym podział na dokumentację projektową:</w:t>
      </w:r>
    </w:p>
    <w:p w14:paraId="0E214407" w14:textId="77777777" w:rsidR="00763AC1" w:rsidRPr="001D601E" w:rsidRDefault="00763AC1"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Zamawiającego; wykaz pozycji, które stanowią przetargową dokumentację projektową oraz projektową dokumentację wykonawczą (techniczną) i zostaną przekazane Wykonawcy,</w:t>
      </w:r>
    </w:p>
    <w:p w14:paraId="2D3B821B" w14:textId="77777777" w:rsidR="00763AC1" w:rsidRPr="001D601E" w:rsidRDefault="00763AC1"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Wykonawcy; wykaz zawierający spis dokumentacji projektowej, którą Wykonawca opracuje w ramach ceny kontraktowej.</w:t>
      </w:r>
    </w:p>
    <w:p w14:paraId="5EFB1D2C"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1.5.3.</w:t>
      </w:r>
      <w:r w:rsidRPr="001D601E">
        <w:rPr>
          <w:szCs w:val="20"/>
        </w:rPr>
        <w:t xml:space="preserve"> Zgodność robót z dokumentacją projektową</w:t>
      </w:r>
    </w:p>
    <w:p w14:paraId="629B193E"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Dokumentacja projektowa i wszystkie dodatkowe dokumenty przekazane Wykonawcy przez Inżyniera/Kierownika projektu stanowią część umowy, a wymagania określone w choćby jednym z nich są obowiązujące dla Wykonawcy tak jakby zawarte były w całej dokumentacji.</w:t>
      </w:r>
    </w:p>
    <w:p w14:paraId="73244DD1"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przypadku rozbieżności w ustaleniach poszczególnych dokumentów obowiązuje kolejność ich ważności wymieniona w „Kontraktowych warunkach ogólnych” („Ogólnych warunkach umowy”).</w:t>
      </w:r>
    </w:p>
    <w:p w14:paraId="52CA3326"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nie może wykorzystywać błędów lub opuszczeń w dokumentach kontraktowych, a o ich wykryciu winien natychmiast powiadomić Inżyniera/Kierownika projektu, który podejmie decyzję o wprowadzeniu odpowiednich zmian i poprawek.</w:t>
      </w:r>
    </w:p>
    <w:p w14:paraId="32192C1F"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przypadku rozbieżności, wymiary podane na piśmie są ważniejsze od wymiarów określonych na podstawie odczytu ze skali rysunku.</w:t>
      </w:r>
    </w:p>
    <w:p w14:paraId="0ABE69A5"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Wszystkie wykonane roboty i dostarczone materiały będą zgodne z dokumentacją projektową.</w:t>
      </w:r>
    </w:p>
    <w:p w14:paraId="45E7A440"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Dane określone w dokumentacji projektowej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629505C3"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przypadku, gdy materiały lub roboty nie będą w pełni zgodne z dokumentacją projektową i wpłynie to na niezadowalającą jakość elementu budowli, to takie materiały zostaną zastąpione innymi, a elementy budowli rozebrane i wykonane ponownie na koszt Wykonawcy.</w:t>
      </w:r>
    </w:p>
    <w:p w14:paraId="0A0AF3DE"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1.5.4.</w:t>
      </w:r>
      <w:r w:rsidRPr="001D601E">
        <w:rPr>
          <w:szCs w:val="20"/>
        </w:rPr>
        <w:t xml:space="preserve"> Zabezpieczenie terenu budowy</w:t>
      </w:r>
    </w:p>
    <w:p w14:paraId="613A3FF2" w14:textId="77777777" w:rsidR="00763AC1" w:rsidRPr="001D601E" w:rsidRDefault="00763AC1" w:rsidP="00BE2485">
      <w:pPr>
        <w:pStyle w:val="Lista-kontynuacja2"/>
        <w:shd w:val="clear" w:color="auto" w:fill="FFFFFF" w:themeFill="background1"/>
        <w:tabs>
          <w:tab w:val="left" w:pos="142"/>
        </w:tabs>
        <w:spacing w:after="0" w:line="240" w:lineRule="auto"/>
        <w:ind w:left="0"/>
        <w:jc w:val="both"/>
        <w:rPr>
          <w:rFonts w:cs="Arial"/>
          <w:szCs w:val="20"/>
        </w:rPr>
      </w:pPr>
      <w:r w:rsidRPr="001D601E">
        <w:rPr>
          <w:rFonts w:cs="Arial"/>
          <w:szCs w:val="20"/>
        </w:rPr>
        <w:t>Roboty modernizacyjne/ przebudowa i remontowe („pod   ruchem”)</w:t>
      </w:r>
    </w:p>
    <w:p w14:paraId="12B41EE1"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231149CC"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6948E974"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czasie wykonywania robót Wykonawca dostarczy, zainstaluje i będzie obsługiwał wszystkie tymczasowe urządzenia zabezpieczające takie jak: zapory, światła ostrzegawcze, sygnały, itp., zapewniając w ten sposób bezpieczeństwo pojazdów i pieszych.</w:t>
      </w:r>
    </w:p>
    <w:p w14:paraId="2D30F8E2"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zapewni stałe warunki widoczności w dzień i w nocy tych zapór i znaków, dla których jest to nieodzowne ze względów bezpieczeństwa.</w:t>
      </w:r>
    </w:p>
    <w:p w14:paraId="4AC8C59A"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Wszystkie znaki, zapory i inne urządzenia zabezpieczające będą akceptowane przez Inżyniera/Kierownika projektu.</w:t>
      </w:r>
    </w:p>
    <w:p w14:paraId="13517413"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36DEA930"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Koszt zabezpieczenia terenu budowy nie podlega odrębnej zapłacie i przyjmuje się, że jest włączony w cenę kontraktową.</w:t>
      </w:r>
    </w:p>
    <w:p w14:paraId="170D5754" w14:textId="77777777" w:rsidR="00763AC1" w:rsidRPr="001D601E" w:rsidRDefault="00763AC1" w:rsidP="00BE2485">
      <w:pPr>
        <w:pStyle w:val="Lista3"/>
        <w:numPr>
          <w:ilvl w:val="0"/>
          <w:numId w:val="5"/>
        </w:numPr>
        <w:shd w:val="clear" w:color="auto" w:fill="FFFFFF" w:themeFill="background1"/>
        <w:tabs>
          <w:tab w:val="left" w:pos="142"/>
        </w:tabs>
        <w:spacing w:line="240" w:lineRule="auto"/>
        <w:ind w:left="0" w:firstLine="0"/>
        <w:jc w:val="both"/>
        <w:rPr>
          <w:rFonts w:cs="Arial"/>
          <w:szCs w:val="20"/>
        </w:rPr>
      </w:pPr>
      <w:r w:rsidRPr="001D601E">
        <w:rPr>
          <w:rFonts w:cs="Arial"/>
          <w:szCs w:val="20"/>
        </w:rPr>
        <w:t>Roboty o charakterze inwestycyjnym</w:t>
      </w:r>
    </w:p>
    <w:p w14:paraId="75DBF087"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jest zobowiązany do zabezpieczenia terenu budowy w okresie trwania realizacji kontraktu aż do zakończenia i odbioru ostatecznego robót.</w:t>
      </w:r>
    </w:p>
    <w:p w14:paraId="11A76208"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dostarczy, zainstaluje i będzie utrzymywać tymczasowe urządzenia zabezpieczające, w tym: ogrodzenia, poręcze, oświetlenie, sygnały i znaki ostrzegawcze oraz  wszelkie inne środki niezbędne do ochrony robót, wygody społeczności i innych.</w:t>
      </w:r>
    </w:p>
    <w:p w14:paraId="5D689177"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miejscach przylegających do dróg otwartych dla ruchu, Wykonawca ogrodzi lub wyraźnie oznakuje teren budowy, w sposób uzgodniony z Inżynierem/Kierownikiem projektu.</w:t>
      </w:r>
    </w:p>
    <w:p w14:paraId="0FA163CA"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Wjazdy i wyjazdy z terenu budowy przeznaczone dla pojazdów i maszyn pracujących przy realizacji robót, Wykonawca odpowiednio oznakuje w sposób uzgodniony z Inżynierem/Kierownikiem projektu.</w:t>
      </w:r>
    </w:p>
    <w:p w14:paraId="3D7E02E4"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2641BBBF"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Koszt zabezpieczenia terenu budowy nie podlega odrębnej zapłacie i przyjmuje się, że jest włączony w cenę kontraktową.</w:t>
      </w:r>
    </w:p>
    <w:p w14:paraId="42CC5CD6"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1.5.5.</w:t>
      </w:r>
      <w:r w:rsidRPr="001D601E">
        <w:rPr>
          <w:szCs w:val="20"/>
        </w:rPr>
        <w:t xml:space="preserve"> Ochrona środowiska w czasie wykonywania robót</w:t>
      </w:r>
    </w:p>
    <w:p w14:paraId="35125E67"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ma obowiązek znać i stosować w czasie prowadzenia robót wszelkie przepisy dotyczące ochrony środowiska naturalnego.</w:t>
      </w:r>
    </w:p>
    <w:p w14:paraId="1CBC5509" w14:textId="77777777" w:rsidR="00763AC1" w:rsidRPr="001D601E" w:rsidRDefault="00763AC1" w:rsidP="00BE2485">
      <w:pPr>
        <w:pStyle w:val="Tekstpodstawowywcity"/>
        <w:shd w:val="clear" w:color="auto" w:fill="FFFFFF" w:themeFill="background1"/>
        <w:tabs>
          <w:tab w:val="left" w:pos="142"/>
        </w:tabs>
        <w:spacing w:line="240" w:lineRule="auto"/>
        <w:ind w:firstLine="0"/>
        <w:jc w:val="both"/>
        <w:rPr>
          <w:rFonts w:cs="Arial"/>
          <w:sz w:val="20"/>
          <w:szCs w:val="20"/>
        </w:rPr>
      </w:pPr>
      <w:r w:rsidRPr="001D601E">
        <w:rPr>
          <w:rFonts w:cs="Arial"/>
          <w:sz w:val="20"/>
          <w:szCs w:val="20"/>
        </w:rPr>
        <w:lastRenderedPageBreak/>
        <w:t>W okresie trwania budowy i wykańczania robót Wykonawca będzie:</w:t>
      </w:r>
    </w:p>
    <w:p w14:paraId="0016F5EB" w14:textId="77777777" w:rsidR="00763AC1" w:rsidRPr="001D601E" w:rsidRDefault="00763AC1" w:rsidP="00BE2485">
      <w:pPr>
        <w:pStyle w:val="Lista3"/>
        <w:numPr>
          <w:ilvl w:val="0"/>
          <w:numId w:val="6"/>
        </w:numPr>
        <w:shd w:val="clear" w:color="auto" w:fill="FFFFFF" w:themeFill="background1"/>
        <w:tabs>
          <w:tab w:val="left" w:pos="142"/>
        </w:tabs>
        <w:spacing w:line="240" w:lineRule="auto"/>
        <w:ind w:left="0" w:firstLine="0"/>
        <w:jc w:val="both"/>
        <w:rPr>
          <w:rFonts w:cs="Arial"/>
          <w:szCs w:val="20"/>
        </w:rPr>
      </w:pPr>
      <w:r w:rsidRPr="001D601E">
        <w:rPr>
          <w:rFonts w:cs="Arial"/>
          <w:szCs w:val="20"/>
        </w:rPr>
        <w:t>utrzymywać teren budowy i wykopy w stanie bez wody stojącej,</w:t>
      </w:r>
    </w:p>
    <w:p w14:paraId="0BE4DBF7" w14:textId="77777777" w:rsidR="00763AC1" w:rsidRPr="001D601E" w:rsidRDefault="00763AC1" w:rsidP="00BE2485">
      <w:pPr>
        <w:pStyle w:val="Lista3"/>
        <w:numPr>
          <w:ilvl w:val="0"/>
          <w:numId w:val="6"/>
        </w:numPr>
        <w:shd w:val="clear" w:color="auto" w:fill="FFFFFF" w:themeFill="background1"/>
        <w:tabs>
          <w:tab w:val="left" w:pos="142"/>
        </w:tabs>
        <w:spacing w:line="240" w:lineRule="auto"/>
        <w:ind w:left="0" w:firstLine="0"/>
        <w:jc w:val="both"/>
        <w:rPr>
          <w:rFonts w:cs="Arial"/>
          <w:szCs w:val="20"/>
        </w:rPr>
      </w:pPr>
      <w:r w:rsidRPr="001D601E">
        <w:rPr>
          <w:rFonts w:cs="Arial"/>
          <w:szCs w:val="20"/>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14:paraId="65D750EC" w14:textId="77777777" w:rsidR="00763AC1" w:rsidRPr="001D601E" w:rsidRDefault="00763AC1" w:rsidP="00BE2485">
      <w:pPr>
        <w:pStyle w:val="Tekstpodstawowy"/>
        <w:shd w:val="clear" w:color="auto" w:fill="FFFFFF" w:themeFill="background1"/>
        <w:tabs>
          <w:tab w:val="clear" w:pos="360"/>
          <w:tab w:val="left" w:pos="142"/>
        </w:tabs>
        <w:spacing w:line="240" w:lineRule="auto"/>
        <w:jc w:val="both"/>
        <w:rPr>
          <w:rFonts w:cs="Arial"/>
          <w:sz w:val="20"/>
          <w:szCs w:val="20"/>
        </w:rPr>
      </w:pPr>
      <w:r w:rsidRPr="001D601E">
        <w:rPr>
          <w:rFonts w:cs="Arial"/>
          <w:sz w:val="20"/>
          <w:szCs w:val="20"/>
        </w:rPr>
        <w:t>Stosując się do tych wymagań będzie miał szczególny wzgląd na:</w:t>
      </w:r>
    </w:p>
    <w:p w14:paraId="10484C17" w14:textId="77777777" w:rsidR="00763AC1" w:rsidRPr="001D601E" w:rsidRDefault="00763AC1" w:rsidP="00BE2485">
      <w:pPr>
        <w:pStyle w:val="Lista3"/>
        <w:numPr>
          <w:ilvl w:val="0"/>
          <w:numId w:val="7"/>
        </w:numPr>
        <w:shd w:val="clear" w:color="auto" w:fill="FFFFFF" w:themeFill="background1"/>
        <w:tabs>
          <w:tab w:val="left" w:pos="142"/>
        </w:tabs>
        <w:spacing w:line="240" w:lineRule="auto"/>
        <w:ind w:left="0" w:firstLine="0"/>
        <w:jc w:val="both"/>
        <w:rPr>
          <w:rFonts w:cs="Arial"/>
          <w:szCs w:val="20"/>
        </w:rPr>
      </w:pPr>
      <w:r w:rsidRPr="001D601E">
        <w:rPr>
          <w:rFonts w:cs="Arial"/>
          <w:szCs w:val="20"/>
        </w:rPr>
        <w:t>lokalizację baz, warsztatów, magazynów, składowisk, ukopów i dróg dojazdowych,</w:t>
      </w:r>
    </w:p>
    <w:p w14:paraId="409BD444" w14:textId="77777777" w:rsidR="00763AC1" w:rsidRPr="001D601E" w:rsidRDefault="00763AC1" w:rsidP="00BE2485">
      <w:pPr>
        <w:pStyle w:val="Lista3"/>
        <w:numPr>
          <w:ilvl w:val="0"/>
          <w:numId w:val="7"/>
        </w:numPr>
        <w:shd w:val="clear" w:color="auto" w:fill="FFFFFF" w:themeFill="background1"/>
        <w:tabs>
          <w:tab w:val="left" w:pos="142"/>
        </w:tabs>
        <w:spacing w:line="240" w:lineRule="auto"/>
        <w:ind w:left="0" w:firstLine="0"/>
        <w:jc w:val="both"/>
        <w:rPr>
          <w:rFonts w:cs="Arial"/>
          <w:szCs w:val="20"/>
        </w:rPr>
      </w:pPr>
      <w:r w:rsidRPr="001D601E">
        <w:rPr>
          <w:rFonts w:cs="Arial"/>
          <w:szCs w:val="20"/>
        </w:rPr>
        <w:t>środki ostrożności i zabezpieczenia przed:</w:t>
      </w:r>
    </w:p>
    <w:p w14:paraId="352AFA3D" w14:textId="77777777" w:rsidR="00763AC1" w:rsidRPr="001D601E" w:rsidRDefault="00763AC1" w:rsidP="00BE2485">
      <w:pPr>
        <w:pStyle w:val="Lista4"/>
        <w:numPr>
          <w:ilvl w:val="0"/>
          <w:numId w:val="8"/>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zanieczyszczeniem zbiorników i cieków wodnych pyłami lub substancjami toksycznymi,</w:t>
      </w:r>
    </w:p>
    <w:p w14:paraId="4CCEBF37" w14:textId="77777777" w:rsidR="00763AC1" w:rsidRPr="001D601E" w:rsidRDefault="00763AC1" w:rsidP="00BE2485">
      <w:pPr>
        <w:pStyle w:val="Lista4"/>
        <w:numPr>
          <w:ilvl w:val="0"/>
          <w:numId w:val="8"/>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zanieczyszczeniem powietrza pyłami i gazami,</w:t>
      </w:r>
    </w:p>
    <w:p w14:paraId="328A7EA4" w14:textId="77777777" w:rsidR="00763AC1" w:rsidRPr="001D601E" w:rsidRDefault="00763AC1" w:rsidP="00BE2485">
      <w:pPr>
        <w:pStyle w:val="Lista4"/>
        <w:numPr>
          <w:ilvl w:val="0"/>
          <w:numId w:val="8"/>
        </w:numPr>
        <w:shd w:val="clear" w:color="auto" w:fill="FFFFFF" w:themeFill="background1"/>
        <w:tabs>
          <w:tab w:val="left" w:pos="142"/>
        </w:tabs>
        <w:spacing w:line="240" w:lineRule="auto"/>
        <w:ind w:left="0" w:firstLine="0"/>
        <w:jc w:val="both"/>
        <w:rPr>
          <w:rFonts w:cs="Arial"/>
          <w:szCs w:val="20"/>
        </w:rPr>
      </w:pPr>
      <w:r w:rsidRPr="001D601E">
        <w:rPr>
          <w:rFonts w:cs="Arial"/>
          <w:szCs w:val="20"/>
        </w:rPr>
        <w:t>możliwością powstania pożaru.</w:t>
      </w:r>
    </w:p>
    <w:p w14:paraId="0629355E"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1.5.6.</w:t>
      </w:r>
      <w:r w:rsidRPr="001D601E">
        <w:rPr>
          <w:szCs w:val="20"/>
        </w:rPr>
        <w:t xml:space="preserve"> Ochrona przeciwpożarowa</w:t>
      </w:r>
    </w:p>
    <w:p w14:paraId="75F11E2D"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będzie przestrzegać przepisy ochrony przeciwpożarowej.</w:t>
      </w:r>
    </w:p>
    <w:p w14:paraId="3E1FAC0B"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będzie utrzymywać, wymagany na podstawie odpowiednich przepisów sprawny sprzęt przeciwpożarowy, na terenie baz produkcyjnych, w pomieszczeniach biurowych, mieszkalnych, magazynach oraz w maszynach i pojazdach.</w:t>
      </w:r>
    </w:p>
    <w:p w14:paraId="6017FA09"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Materiały łatwopalne będą składowane w sposób zgodny z odpowiednimi przepisami i zabezpieczone przed dostępem osób trzecich.</w:t>
      </w:r>
    </w:p>
    <w:p w14:paraId="12E01585"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będzie odpowiedzialny za wszelkie straty spowodowane pożarem wywołanym jako rezultat realizacji robót albo przez personel Wykonawcy.</w:t>
      </w:r>
    </w:p>
    <w:p w14:paraId="39A65886"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1.5.7.</w:t>
      </w:r>
      <w:r w:rsidRPr="001D601E">
        <w:rPr>
          <w:szCs w:val="20"/>
        </w:rPr>
        <w:t xml:space="preserve"> Materiały szkodliwe dla otoczenia</w:t>
      </w:r>
    </w:p>
    <w:p w14:paraId="3D9ED1EA"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Materiały, które w sposób trwały są szkodliwe dla otoczenia, nie będą dopuszczone do użycia.</w:t>
      </w:r>
    </w:p>
    <w:p w14:paraId="10E7D18E"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Nie dopuszcza się użycia materiałów wywołujących szkodliwe promieniowanie o stężeniu większym od dopuszczalnego, określonego odpowiednimi przepisami.</w:t>
      </w:r>
    </w:p>
    <w:p w14:paraId="285EFC5E"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Wszelkie materiały odpadowe użyte do robót będą miały aprobatę techniczną wydaną przez uprawnioną jednostkę, jednoznacznie określającą brak szkodliwego oddziaływania tych materiałów na środowisko.</w:t>
      </w:r>
    </w:p>
    <w:p w14:paraId="5F047C6F"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4A26A9CE"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Jeżeli Wykonawca użył materiałów szkodliwych dla otoczenia zgodnie ze specyfikacjami, a ich użycie spowodowało jakiekolwiek zagrożenie środowiska, to konsekwencje tego poniesie Zamawiający.</w:t>
      </w:r>
    </w:p>
    <w:p w14:paraId="484D2ADD"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1.5.8.</w:t>
      </w:r>
      <w:r w:rsidRPr="001D601E">
        <w:rPr>
          <w:szCs w:val="20"/>
        </w:rPr>
        <w:t xml:space="preserve"> Ochrona własności publicznej i prywatnej</w:t>
      </w:r>
    </w:p>
    <w:p w14:paraId="537230C2"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5EC55F76"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54EC1BAA"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00EE34E2"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14:paraId="4D6F79B3"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1.5.9.</w:t>
      </w:r>
      <w:r w:rsidRPr="001D601E">
        <w:rPr>
          <w:szCs w:val="20"/>
        </w:rPr>
        <w:t xml:space="preserve"> Ograniczenie obciążeń osi pojazdów</w:t>
      </w:r>
    </w:p>
    <w:p w14:paraId="489C9953"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3AB2ED87"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1.5.10.</w:t>
      </w:r>
      <w:r w:rsidRPr="001D601E">
        <w:rPr>
          <w:szCs w:val="20"/>
        </w:rPr>
        <w:t xml:space="preserve"> Bezpieczeństwo i higiena pracy</w:t>
      </w:r>
    </w:p>
    <w:p w14:paraId="7D4F2EDA"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Podczas realizacji robót Wykonawca będzie przestrzegać przepisów dotyczących bezpieczeństwa i higieny pracy.</w:t>
      </w:r>
    </w:p>
    <w:p w14:paraId="61C56717"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szczególności Wykonawca ma obowiązek zadbać, aby personel nie wykonywał pracy w warunkach niebezpiecznych, szkodliwych dla zdrowia oraz nie spełniających odpowiednich wymagań sanitarnych.</w:t>
      </w:r>
    </w:p>
    <w:p w14:paraId="6D10CDF8"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lastRenderedPageBreak/>
        <w:t>Wykonawca zapewni i będzie utrzymywał wszelkie urządzenia zabezpieczające, socjalne oraz sprzęt i odpowiednią odzież dla ochrony życia i zdrowia osób zatrudnionych na budowie oraz dla zapewnienia bezpieczeństwa publicznego.</w:t>
      </w:r>
    </w:p>
    <w:p w14:paraId="38BAA386"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Uznaje się, że wszelkie koszty związane z wypełnieniem wymagań określonych powyżej nie podlegają odrębnej zapłacie i są uwzględnione w cenie kontraktowej.</w:t>
      </w:r>
    </w:p>
    <w:p w14:paraId="6B200C0A"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1.5.11.</w:t>
      </w:r>
      <w:r w:rsidRPr="001D601E">
        <w:rPr>
          <w:szCs w:val="20"/>
        </w:rPr>
        <w:t xml:space="preserve"> Ochrona i utrzymanie robót</w:t>
      </w:r>
    </w:p>
    <w:p w14:paraId="477ADCF5"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bookmarkStart w:id="11" w:name="_Toc412518567"/>
      <w:r w:rsidRPr="001D601E">
        <w:rPr>
          <w:szCs w:val="20"/>
        </w:rPr>
        <w:t>Wykonawca będzie odpowiadał za ochronę robót i za wszelkie materiały i urządzenia używane do robót od daty rozpoczęcia do daty wydania potwierdzenia zakończenia robót przez Inżyniera/Kierownika projektu.</w:t>
      </w:r>
      <w:bookmarkEnd w:id="11"/>
    </w:p>
    <w:p w14:paraId="4F7B90A0"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będzie utrzymywać roboty do czasu odbioru ostatecznego. Utrzymanie powinno być prowadzone w taki sposób, aby budowla drogowa lub jej elementy były w zadowalającym stanie przez cały czas, do momentu odbioru ostatecznego.</w:t>
      </w:r>
    </w:p>
    <w:p w14:paraId="526819FF"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Jeśli Wykonawca w jakimkolwiek czasie zaniedba utrzymanie, to na polecenie Inżyniera/Kierownika projektu powinien rozpocząć roboty utrzymaniowe nie później niż w 24 godziny po otrzymaniu tego polecenia.</w:t>
      </w:r>
    </w:p>
    <w:p w14:paraId="7EBA3D99"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r w:rsidRPr="001D601E">
        <w:rPr>
          <w:b w:val="0"/>
          <w:szCs w:val="20"/>
        </w:rPr>
        <w:t>1.5.12.</w:t>
      </w:r>
      <w:r w:rsidRPr="001D601E">
        <w:rPr>
          <w:szCs w:val="20"/>
        </w:rPr>
        <w:t xml:space="preserve"> Stosowanie się do prawa i innych przepisów</w:t>
      </w:r>
    </w:p>
    <w:p w14:paraId="49DA2159"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503E3C75"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7EA22845" w14:textId="77777777" w:rsidR="00763AC1" w:rsidRPr="001D601E" w:rsidRDefault="00763AC1" w:rsidP="00BE2485">
      <w:pPr>
        <w:pStyle w:val="Lista2"/>
        <w:shd w:val="clear" w:color="auto" w:fill="FFFFFF" w:themeFill="background1"/>
        <w:tabs>
          <w:tab w:val="left" w:pos="142"/>
        </w:tabs>
        <w:spacing w:line="240" w:lineRule="auto"/>
        <w:ind w:left="0" w:firstLine="0"/>
        <w:jc w:val="both"/>
        <w:rPr>
          <w:rFonts w:cs="Arial"/>
          <w:szCs w:val="20"/>
        </w:rPr>
      </w:pPr>
      <w:r w:rsidRPr="001D601E">
        <w:rPr>
          <w:rFonts w:cs="Arial"/>
          <w:b/>
          <w:szCs w:val="20"/>
        </w:rPr>
        <w:t>1.5.13.</w:t>
      </w:r>
      <w:r w:rsidRPr="001D601E">
        <w:rPr>
          <w:rFonts w:cs="Arial"/>
          <w:b/>
          <w:szCs w:val="20"/>
        </w:rPr>
        <w:tab/>
      </w:r>
      <w:r w:rsidRPr="001D601E">
        <w:rPr>
          <w:rFonts w:cs="Arial"/>
          <w:szCs w:val="20"/>
        </w:rPr>
        <w:t>Równoważność norm i zbiorów przepisów prawnych</w:t>
      </w:r>
    </w:p>
    <w:p w14:paraId="2DEFE21E"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66C266E6" w14:textId="77777777" w:rsidR="00763AC1" w:rsidRPr="001D601E" w:rsidRDefault="00763AC1" w:rsidP="00BE2485">
      <w:pPr>
        <w:pStyle w:val="Lista2"/>
        <w:shd w:val="clear" w:color="auto" w:fill="FFFFFF" w:themeFill="background1"/>
        <w:tabs>
          <w:tab w:val="left" w:pos="142"/>
        </w:tabs>
        <w:spacing w:line="240" w:lineRule="auto"/>
        <w:ind w:left="0" w:firstLine="0"/>
        <w:jc w:val="both"/>
        <w:rPr>
          <w:rFonts w:cs="Arial"/>
          <w:szCs w:val="20"/>
        </w:rPr>
      </w:pPr>
      <w:r w:rsidRPr="001D601E">
        <w:rPr>
          <w:rFonts w:cs="Arial"/>
          <w:b/>
          <w:szCs w:val="20"/>
        </w:rPr>
        <w:t>1.5.14.</w:t>
      </w:r>
      <w:r w:rsidRPr="001D601E">
        <w:rPr>
          <w:rFonts w:cs="Arial"/>
          <w:szCs w:val="20"/>
        </w:rPr>
        <w:tab/>
        <w:t>Wykopaliska</w:t>
      </w:r>
    </w:p>
    <w:p w14:paraId="4AF262C4"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14:paraId="4FC3D18B" w14:textId="77777777" w:rsidR="00763AC1" w:rsidRPr="001D601E" w:rsidRDefault="00763AC1" w:rsidP="00BE2485">
      <w:pPr>
        <w:pStyle w:val="Lista"/>
        <w:shd w:val="clear" w:color="auto" w:fill="FFFFFF" w:themeFill="background1"/>
        <w:tabs>
          <w:tab w:val="left" w:pos="142"/>
        </w:tabs>
        <w:spacing w:line="240" w:lineRule="auto"/>
        <w:ind w:left="0" w:firstLine="0"/>
        <w:jc w:val="both"/>
        <w:rPr>
          <w:rFonts w:cs="Arial"/>
          <w:b/>
          <w:szCs w:val="20"/>
        </w:rPr>
      </w:pPr>
      <w:r w:rsidRPr="001D601E">
        <w:rPr>
          <w:rFonts w:cs="Arial"/>
          <w:b/>
          <w:szCs w:val="20"/>
        </w:rPr>
        <w:t>1.6.</w:t>
      </w:r>
      <w:r w:rsidRPr="001D601E">
        <w:rPr>
          <w:rFonts w:cs="Arial"/>
          <w:b/>
          <w:szCs w:val="20"/>
        </w:rPr>
        <w:tab/>
        <w:t>Zaplecze Zamawiającego (</w:t>
      </w:r>
      <w:r w:rsidRPr="001D601E">
        <w:rPr>
          <w:rFonts w:cs="Arial"/>
          <w:szCs w:val="20"/>
        </w:rPr>
        <w:t>o ile warunki kontraktu przewidują realizację</w:t>
      </w:r>
      <w:r w:rsidRPr="001D601E">
        <w:rPr>
          <w:rFonts w:cs="Arial"/>
          <w:b/>
          <w:szCs w:val="20"/>
        </w:rPr>
        <w:t>)</w:t>
      </w:r>
    </w:p>
    <w:p w14:paraId="264AA142"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zobowiązany jest zabezpieczyć Zamawiającemu, pomieszczenia biurowe, sprzęt, transport oraz inne urządzenia towarzyszące, zgodnie z wymaganiami podanymi w D-M-00.00.01 „Zaplecze Zamawiającego”.</w:t>
      </w:r>
    </w:p>
    <w:p w14:paraId="181919B3"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12" w:name="_Toc416830699"/>
      <w:bookmarkStart w:id="13" w:name="_Toc6881280"/>
      <w:bookmarkStart w:id="14" w:name="_Toc6882153"/>
      <w:r w:rsidRPr="001D601E">
        <w:rPr>
          <w:rFonts w:cs="Arial"/>
          <w:szCs w:val="20"/>
        </w:rPr>
        <w:t>2. MATERIAŁY</w:t>
      </w:r>
      <w:bookmarkEnd w:id="12"/>
      <w:bookmarkEnd w:id="13"/>
      <w:bookmarkEnd w:id="14"/>
    </w:p>
    <w:p w14:paraId="15FBAEC3"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2.1. Źródła uzyskania materiałów</w:t>
      </w:r>
    </w:p>
    <w:p w14:paraId="736C344C"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14:paraId="191F3010"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Zatwierdzenie partii materiałów z danego źródła nie oznacza automatycznie, że wszelkie materiały z danego źródła uzyskają zatwierdzenie.</w:t>
      </w:r>
    </w:p>
    <w:p w14:paraId="5C839161"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zobowiązany jest do prowadzenia badań w celu wykazania, że materiały uzyskane z dopuszczonego źródła w sposób ciągły spełniają wymagania w czasie realizacji robót.</w:t>
      </w:r>
    </w:p>
    <w:p w14:paraId="3E6D1F96"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2.2. Pozyskiwanie materiałów miejscowych</w:t>
      </w:r>
    </w:p>
    <w:p w14:paraId="7B61A62A"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14:paraId="6C308FF1"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14:paraId="1E0F05F7"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ponosi odpowiedzialność za spełnienie wymagań ilościowych i jakościowych materiałów pochodzących ze źródeł miejscowych.</w:t>
      </w:r>
    </w:p>
    <w:p w14:paraId="4164A07C"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ponosi wszystkie koszty, z tytułu wydobycia materiałów, dzierżawy i inne jakie okażą się potrzebne w związku  z dostarczeniem materiałów do robót.</w:t>
      </w:r>
    </w:p>
    <w:p w14:paraId="4C6D8106"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lastRenderedPageBreak/>
        <w:t>Humus i nadkład czasowo zdjęte z terenu wykopów, dokopów i miejsc pozyskania materiałów miejscowych będą formowane w hałdy i wykorzystane przy zasypce i rekultywacji terenu po ukończeniu robót.</w:t>
      </w:r>
    </w:p>
    <w:p w14:paraId="1FFBA410"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Wszystkie odpowiednie materiały pozyskane z wykopów na terenie budowy lub z innych miejsc wskazanych w dokumentach umowy będą wykorzystane do robót lub odwiezione na odkład odpowiednio do wymagań umowy lub wskazań Inżyniera/Kierownika projektu.</w:t>
      </w:r>
    </w:p>
    <w:p w14:paraId="13D1CE56"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nie będzie prowadzić żadnych wykopów w obrębie terenu budowy poza tymi, które zostały wyszczególnione w dokumentach umowy, chyba, że uzyska na to pisemną zgodę Inżyniera/Kierownika projektu.</w:t>
      </w:r>
    </w:p>
    <w:p w14:paraId="72E56885"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Eksploatacja źródeł materiałów będzie zgodna z wszelkimi regulacjami prawnymi obowiązującymi na danym obszarze.</w:t>
      </w:r>
    </w:p>
    <w:p w14:paraId="65E7A7C2"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2.3. Materiały nie odpowiadające wymaganiom</w:t>
      </w:r>
    </w:p>
    <w:p w14:paraId="031B979F"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14:paraId="54944F94"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Każdy rodzaj robót, w którym znajdują się nie zbadane i nie zaakceptowane materiały, Wykonawca wykonuje na własne ryzyko, licząc się z jego nieprzyjęciem, usunięciem  i niezapłaceniem</w:t>
      </w:r>
    </w:p>
    <w:p w14:paraId="58BDD009"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2.4. Wariantowe stosowanie materiałów</w:t>
      </w:r>
    </w:p>
    <w:p w14:paraId="04E2D000"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Jeśli dokumentacja projektowa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0C52449A"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2.5. Przechowywanie i składowanie materiałów</w:t>
      </w:r>
    </w:p>
    <w:p w14:paraId="4B1E8F0D"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zapewni, aby tymczasowo składowane materiały, do czasu gdy będą one użyte do robót, były zabezpieczone przed zanieczyszczeniami, zachowały swoją jakość i właściwości i były dostępne do kontroli przez Inżyniera/Kierownika projektu.</w:t>
      </w:r>
    </w:p>
    <w:p w14:paraId="6E62CE05"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5F869006"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2.6. Inspekcja wytwórni materiałów</w:t>
      </w:r>
    </w:p>
    <w:p w14:paraId="485019E9"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43FED06B"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przypadku, gdy Inżynier/Kierownik projektu będzie przeprowadzał inspekcję wytwórni, muszą być spełnione następujące warunki:</w:t>
      </w:r>
    </w:p>
    <w:p w14:paraId="218E6B5F" w14:textId="77777777" w:rsidR="00763AC1" w:rsidRPr="001D601E" w:rsidRDefault="00763AC1" w:rsidP="00BE2485">
      <w:pPr>
        <w:pStyle w:val="Lista2"/>
        <w:numPr>
          <w:ilvl w:val="0"/>
          <w:numId w:val="9"/>
        </w:numPr>
        <w:shd w:val="clear" w:color="auto" w:fill="FFFFFF" w:themeFill="background1"/>
        <w:tabs>
          <w:tab w:val="left" w:pos="142"/>
        </w:tabs>
        <w:spacing w:line="240" w:lineRule="auto"/>
        <w:ind w:left="0" w:firstLine="0"/>
        <w:jc w:val="both"/>
        <w:rPr>
          <w:rFonts w:cs="Arial"/>
          <w:szCs w:val="20"/>
        </w:rPr>
      </w:pPr>
      <w:r w:rsidRPr="001D601E">
        <w:rPr>
          <w:rFonts w:cs="Arial"/>
          <w:szCs w:val="20"/>
        </w:rPr>
        <w:t>Inżynier/Kierownik projektu będzie miał zapewnioną współpracę i pomoc Wykonawcy oraz producenta materiałów w czasie przeprowadzania inspekcji,</w:t>
      </w:r>
    </w:p>
    <w:p w14:paraId="6FB9CE76" w14:textId="77777777" w:rsidR="00763AC1" w:rsidRPr="001D601E" w:rsidRDefault="00763AC1" w:rsidP="00BE2485">
      <w:pPr>
        <w:pStyle w:val="Lista2"/>
        <w:numPr>
          <w:ilvl w:val="0"/>
          <w:numId w:val="9"/>
        </w:numPr>
        <w:shd w:val="clear" w:color="auto" w:fill="FFFFFF" w:themeFill="background1"/>
        <w:tabs>
          <w:tab w:val="left" w:pos="142"/>
        </w:tabs>
        <w:spacing w:line="240" w:lineRule="auto"/>
        <w:ind w:left="0" w:firstLine="0"/>
        <w:jc w:val="both"/>
        <w:rPr>
          <w:rFonts w:cs="Arial"/>
          <w:szCs w:val="20"/>
        </w:rPr>
      </w:pPr>
      <w:r w:rsidRPr="001D601E">
        <w:rPr>
          <w:rFonts w:cs="Arial"/>
          <w:szCs w:val="20"/>
        </w:rPr>
        <w:t>Inżynier/Kierownik projektu będzie miał wolny dostęp, w dowolnym czasie, do tych części wytwórni, gdzie odbywa się produkcja materiałów przeznaczonych do realizacji robót,</w:t>
      </w:r>
    </w:p>
    <w:p w14:paraId="4632727D" w14:textId="77777777" w:rsidR="00763AC1" w:rsidRPr="001D601E" w:rsidRDefault="00763AC1" w:rsidP="00BE2485">
      <w:pPr>
        <w:pStyle w:val="Lista2"/>
        <w:numPr>
          <w:ilvl w:val="0"/>
          <w:numId w:val="9"/>
        </w:numPr>
        <w:shd w:val="clear" w:color="auto" w:fill="FFFFFF" w:themeFill="background1"/>
        <w:tabs>
          <w:tab w:val="left" w:pos="142"/>
        </w:tabs>
        <w:spacing w:line="240" w:lineRule="auto"/>
        <w:ind w:left="0" w:firstLine="0"/>
        <w:jc w:val="both"/>
        <w:rPr>
          <w:rFonts w:cs="Arial"/>
          <w:szCs w:val="20"/>
        </w:rPr>
      </w:pPr>
      <w:r w:rsidRPr="001D601E">
        <w:rPr>
          <w:rFonts w:cs="Arial"/>
          <w:szCs w:val="20"/>
        </w:rPr>
        <w:t>Jeżeli produkcja odbywa się w miejscu nie należącym do Wykonawcy, Wykonawca uzyska dla Inżyniera/Kierownika projektu zezwolenie dla przeprowadzenia inspekcji i badań w tych miejscach.</w:t>
      </w:r>
    </w:p>
    <w:p w14:paraId="185EF55D"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15" w:name="_Toc416830700"/>
      <w:bookmarkStart w:id="16" w:name="_Toc6881281"/>
      <w:bookmarkStart w:id="17" w:name="_Toc6882154"/>
      <w:r w:rsidRPr="001D601E">
        <w:rPr>
          <w:rFonts w:cs="Arial"/>
          <w:szCs w:val="20"/>
        </w:rPr>
        <w:t>3. Sprzęt</w:t>
      </w:r>
      <w:bookmarkEnd w:id="15"/>
      <w:bookmarkEnd w:id="16"/>
      <w:bookmarkEnd w:id="17"/>
    </w:p>
    <w:p w14:paraId="0DF79CFF"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PZJ lub projekcie organizacji robót, zaakceptowanym przez Inżyniera/Kierownika projektu; w przypadku braku ustaleń w wymienionych wyżej dokumentach, sprzęt powinien być uzgodniony i zaakceptowany przez Inżyniera/Kierownika projektu.</w:t>
      </w:r>
    </w:p>
    <w:p w14:paraId="6F4E9C8E"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Liczba i wydajność sprzętu powinny gwarantować przeprowadzenie robót, zgodnie z zasadami określonymi w dokumentacji projektowej i wskazaniach Inżyniera/ Kierownika projektu.</w:t>
      </w:r>
    </w:p>
    <w:p w14:paraId="35D8DD16"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Sprzęt będący własnością Wykonawcy lub wynajęty do wykonania robót ma być utrzymywany w dobrym stanie i gotowości do pracy. Powinien być zgodny z normami ochrony środowiska i przepisami dotyczącymi jego użytkowania.</w:t>
      </w:r>
    </w:p>
    <w:p w14:paraId="5BA6653D"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dostarczy Inżynierowi/Kierownikowi projektu kopie dokumentów potwierdzających dopuszczenie sprzętu do użytkowania i badań okresowych, tam gdzie jest to wymagane przepisami.</w:t>
      </w:r>
    </w:p>
    <w:p w14:paraId="1986C39B"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będzie konserwować sprzęt jak również naprawiać lub wymieniać sprzęt niesprawny.</w:t>
      </w:r>
    </w:p>
    <w:p w14:paraId="620AE11B"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Jeżeli dokumentacja projektowa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14:paraId="566AB3CE"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Jakikolwiek sprzęt, maszyny, urządzenia i narzędzia nie gwarantujące zachowania warunków umowy, zostaną przez Inżyniera/Kierownika projektu zdyskwalifikowane i nie dopuszczone do robót.</w:t>
      </w:r>
    </w:p>
    <w:p w14:paraId="5680CE5C"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18" w:name="_Toc416830701"/>
      <w:bookmarkStart w:id="19" w:name="_Toc6881282"/>
      <w:bookmarkStart w:id="20" w:name="_Toc6882155"/>
      <w:r w:rsidRPr="001D601E">
        <w:rPr>
          <w:rFonts w:cs="Arial"/>
          <w:szCs w:val="20"/>
        </w:rPr>
        <w:t>4. Transport</w:t>
      </w:r>
      <w:bookmarkEnd w:id="18"/>
      <w:bookmarkEnd w:id="19"/>
      <w:bookmarkEnd w:id="20"/>
    </w:p>
    <w:p w14:paraId="2679882C"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jest zobowiązany do stosowania jedynie takich środków transportu, które nie wpłyną niekorzystnie na jakość wykonywanych robót i właściwości przewożonych materiałów.</w:t>
      </w:r>
    </w:p>
    <w:p w14:paraId="1F69D747"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Liczba środków transportu powinna zapewniać prowadzenie robót zgodnie z zasadami określonymi w dokumentacji projektowej i wskazaniach Inżyniera/ Kierownika projektu, w terminie przewidzianym umową.</w:t>
      </w:r>
    </w:p>
    <w:p w14:paraId="3A7489B9"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lastRenderedPageBreak/>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14:paraId="23D44A43"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będzie usuwać na bieżąco, na własny koszt, wszelkie zanieczyszczenia, uszkodzenia spowodowane jego pojazdami na drogach publicznych oraz dojazdach do terenu budowy.</w:t>
      </w:r>
    </w:p>
    <w:p w14:paraId="2231ADD4"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21" w:name="_Toc416830702"/>
      <w:bookmarkStart w:id="22" w:name="_Toc6881283"/>
      <w:bookmarkStart w:id="23" w:name="_Toc6882156"/>
      <w:r w:rsidRPr="001D601E">
        <w:rPr>
          <w:rFonts w:cs="Arial"/>
          <w:szCs w:val="20"/>
        </w:rPr>
        <w:t>5. wykonanie robót</w:t>
      </w:r>
      <w:bookmarkEnd w:id="21"/>
      <w:bookmarkEnd w:id="22"/>
      <w:bookmarkEnd w:id="23"/>
    </w:p>
    <w:p w14:paraId="66E66E69"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 xml:space="preserve">Wykonawca jest odpowiedzialny za prowadzenie robót zgodnie z warunkami umowy oraz za jakość zastosowanych materiałów i wykonywanych robót, za ich zgodność z dokumentacją projektową, </w:t>
      </w:r>
      <w:proofErr w:type="spellStart"/>
      <w:r w:rsidRPr="001D601E">
        <w:rPr>
          <w:rFonts w:ascii="Arial" w:hAnsi="Arial" w:cs="Arial"/>
        </w:rPr>
        <w:t>wymaganiam</w:t>
      </w:r>
      <w:proofErr w:type="spellEnd"/>
      <w:r w:rsidRPr="001D601E">
        <w:rPr>
          <w:rFonts w:ascii="Arial" w:hAnsi="Arial" w:cs="Arial"/>
        </w:rPr>
        <w:t>, PZJ, projektem organizacji robót opracowanym przez Wykonawcę oraz poleceniami Inżyniera/Kierownika projektu.</w:t>
      </w:r>
    </w:p>
    <w:p w14:paraId="3126AE87"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Wykonawca jest odpowiedzialny za stosowane metody wykonywania robót.</w:t>
      </w:r>
    </w:p>
    <w:p w14:paraId="3402389A"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Wykonawca jest odpowiedzialny za dokładne wytyczenie w planie i wyznaczenie wysokości wszystkich elementów robót zgodnie z wymiarami i rzędnymi określonymi w dokumentacji projektowej lub przekazanymi na piśmie przez Inżyniera/Kierownika projektu.</w:t>
      </w:r>
    </w:p>
    <w:p w14:paraId="54423154"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14:paraId="0A6B4500"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Sprawdzenie wytyczenia robót lub wyznaczenia wysokości przez Inżyniera/ Kierownika projektu nie zwalnia Wykonawcy od odpowiedzialności za ich dokładność.</w:t>
      </w:r>
    </w:p>
    <w:p w14:paraId="5042D08A"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Decyzje Inżyniera/Kierownika projektu dotyczące akceptacji lub odrzucenia materiałów i elementów robót będą oparte na wymaganiach określonych w dokumentach umowy, dokumentacji projektowej,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2E47192C"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Polecenia Inżyniera/Kierownika projektu powinny być wykonywane przez Wykonawcę w czasie określonym przez Inżyniera/Kierownika projektu, pod groźbą zatrzymania robót. Skutki finansowe z tego tytułu poniesie Wykonawca.</w:t>
      </w:r>
    </w:p>
    <w:p w14:paraId="789D7B0E"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24" w:name="_Toc416830703"/>
      <w:bookmarkStart w:id="25" w:name="_Toc6881284"/>
      <w:bookmarkStart w:id="26" w:name="_Toc6882157"/>
      <w:r w:rsidRPr="001D601E">
        <w:rPr>
          <w:rFonts w:cs="Arial"/>
          <w:szCs w:val="20"/>
        </w:rPr>
        <w:t>6. Kontrola jakości robót</w:t>
      </w:r>
      <w:bookmarkEnd w:id="24"/>
      <w:bookmarkEnd w:id="25"/>
      <w:bookmarkEnd w:id="26"/>
    </w:p>
    <w:p w14:paraId="4C86D2A1"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 xml:space="preserve">6.1. Program zapewnienia jakości </w:t>
      </w:r>
    </w:p>
    <w:p w14:paraId="6B4B3EC8"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 xml:space="preserve">Wykonawca jest zobowiązany opracować i przedstawić do akceptacji Inżyniera/ Kierownika projektu program zapewnienia jakości. W programie zapewnienia jakości Wykonawca powinien określić, zamierzony sposób wykonywania robót, możliwości techniczne, kadrowe i plan organizacji robót gwarantujący wykonanie robót zgodnie z dokumentacją projektową oraz ustaleniami. </w:t>
      </w:r>
    </w:p>
    <w:p w14:paraId="40B465C2"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Program zapewnienia jakości powinien zawierać:</w:t>
      </w:r>
    </w:p>
    <w:p w14:paraId="63B09AEB"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a) część ogólną opisującą:</w:t>
      </w:r>
    </w:p>
    <w:p w14:paraId="0934023D"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organizację wykonania robót, w tym terminy i sposób prowadzenia robót,</w:t>
      </w:r>
    </w:p>
    <w:p w14:paraId="2B46A1F9"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organizację ruchu na budowie wraz z oznakowaniem robót,</w:t>
      </w:r>
    </w:p>
    <w:p w14:paraId="4FC08FB1"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sposób zapewnienia bhp.,</w:t>
      </w:r>
    </w:p>
    <w:p w14:paraId="29556905"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wykaz zespołów roboczych, ich kwalifikacje i przygotowanie praktyczne,</w:t>
      </w:r>
    </w:p>
    <w:p w14:paraId="4CAAB7FD"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wykaz osób odpowiedzialnych za jakość i terminowość wykonania poszczególnych elementów robót,</w:t>
      </w:r>
    </w:p>
    <w:p w14:paraId="4C613036"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system (sposób i procedurę) proponowanej kontroli i sterowania jakością wykonywanych robót,</w:t>
      </w:r>
    </w:p>
    <w:p w14:paraId="47837683"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wyposażenie w sprzęt i urządzenia do pomiarów i kontroli (opis laboratorium własnego lub laboratorium, któremu Wykonawca zamierza zlecić prowadzenie badań),</w:t>
      </w:r>
    </w:p>
    <w:p w14:paraId="196652D6"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14:paraId="0584AE04"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b) część szczegółową opisującą dla każdego asortymentu robót:</w:t>
      </w:r>
    </w:p>
    <w:p w14:paraId="4E1493DD"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wykaz maszyn i urządzeń stosowanych na budowie z ich parametrami technicznymi oraz wyposażeniem w mechanizmy do sterowania i urządzenia pomiarowo-kontrolne,</w:t>
      </w:r>
    </w:p>
    <w:p w14:paraId="067958E9"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rodzaje i ilość środków transportu oraz urządzeń do magazynowania i załadunku materiałów, spoiw, lepiszczy, kruszyw itp.,</w:t>
      </w:r>
    </w:p>
    <w:p w14:paraId="78548B07"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sposób zabezpieczenia i ochrony ładunków przed utratą ich właściwości w czasie transportu,</w:t>
      </w:r>
    </w:p>
    <w:p w14:paraId="5E668813"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sposób i procedurę pomiarów i badań (rodzaj i częstotliwość, pobieranie próbek, legalizacja i sprawdzanie urządzeń, itp.) prowadzonych podczas dostaw materiałów, wytwarzania mieszanek i wykonywania poszczególnych elementów robót,</w:t>
      </w:r>
    </w:p>
    <w:p w14:paraId="1E7F168C"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sposób postępowania z materiałami i robotami nie odpowiadającymi wymaganiom.</w:t>
      </w:r>
    </w:p>
    <w:p w14:paraId="0C90C3F1"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6.2. Zasady kontroli jakości robót</w:t>
      </w:r>
    </w:p>
    <w:p w14:paraId="28B9A82E"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Celem kontroli robót będzie takie sterowanie ich przygotowaniem i wykonaniem, aby osiągnąć założoną jakość robót.</w:t>
      </w:r>
    </w:p>
    <w:p w14:paraId="7575A5F4"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3D6C7927"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Przed zatwierdzeniem systemu kontroli Inżynier/Kierownik projektu może zażądać od Wykonawcy przeprowadzenia badań w celu zademonstrowania, że poziom ich wykonywania jest zadowalający.</w:t>
      </w:r>
    </w:p>
    <w:p w14:paraId="05709C39"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Wykonawca będzie przeprowadzać pomiary i badania materiałów oraz robót z częstotliwością zapewniającą stwierdzenie, że roboty wykonano zgodnie z wymaganiami zawartymi w dokumentacji projektowej</w:t>
      </w:r>
    </w:p>
    <w:p w14:paraId="4C25DC05"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lastRenderedPageBreak/>
        <w:t>Minimalne wymagania co do zakresu badań i ich częstotliwość są określone w  normach i wytycznych. W przypadku, gdy nie zostały one tam określone, Inżynier/ Kierownik projektu ustali jaki zakres kontroli jest konieczny, aby zapewnić wykonanie robót zgodnie z umową.</w:t>
      </w:r>
    </w:p>
    <w:p w14:paraId="63769730"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Wykonawca dostarczy Inżynierowi/Kierownikowi projektu świadectwa, że wszystkie stosowane urządzenia i sprzęt badawczy posiadają ważną legalizację, zostały prawidłowo wykalibrowane i odpowiadają wymaganiom norm określających procedury badań.</w:t>
      </w:r>
    </w:p>
    <w:p w14:paraId="5792F171"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Inżynier/Kierownik projektu będzie mieć nieograniczony dostęp do pomieszczeń laboratoryjnych, w celu ich inspekcji.</w:t>
      </w:r>
    </w:p>
    <w:p w14:paraId="3B455032"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14:paraId="6D226754"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Wszystkie koszty związane z organizowaniem i prowadzeniem badań materiałów ponosi Wykonawca.</w:t>
      </w:r>
    </w:p>
    <w:p w14:paraId="5BE2E133"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6.3. Pobieranie próbek</w:t>
      </w:r>
    </w:p>
    <w:p w14:paraId="29E639B8"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Próbki będą pobierane losowo. Zaleca się stosowanie statystycznych metod pobierania próbek, opartych na zasadzie, że wszystkie jednostkowe elementy produkcji mogą być z jednakowym prawdopodobieństwem wytypowane do badań.</w:t>
      </w:r>
    </w:p>
    <w:p w14:paraId="004119AB"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Inżynier/Kierownik projektu będzie mieć zapewnioną możliwość udziału w             pobieraniu próbek.</w:t>
      </w:r>
    </w:p>
    <w:p w14:paraId="5C827615"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14:paraId="13F8EFFB"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501B24B5"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6.4. Badania i pomiary</w:t>
      </w:r>
    </w:p>
    <w:p w14:paraId="3C5C1A42"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Wszystkie badania i pomiary będą przeprowadzone zgodnie z wymaganiami norm. W przypadku, gdy normy nie obejmują jakiegokolwiek badania wymaganego w SST, stosować można wytyczne krajowe, albo inne procedury, zaakceptowane przez Inżyniera/ Kierownika projektu.</w:t>
      </w:r>
    </w:p>
    <w:p w14:paraId="34681C09"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Przed przystąpieniem do pomiarów lub badań, Wykonawca powiadomi Inżyniera/ Kierownika projektu o rodzaju, miejscu i terminie pomiaru lub badania. Po wykonaniu pomiaru lub badania, Wykonawca przedstawi na piśmie ich wyniki do akceptacji Inżyniera/ Kierownika projektu.</w:t>
      </w:r>
    </w:p>
    <w:p w14:paraId="190858BE"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6.5. Raporty z badań</w:t>
      </w:r>
    </w:p>
    <w:p w14:paraId="704131D5"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Wykonawca będzie przekazywać Inżynierowi/Kierownikowi projektu kopie raportów z wynikami badań jak najszybciej, nie później jednak niż w terminie określonym w programie zapewnienia jakości.</w:t>
      </w:r>
    </w:p>
    <w:p w14:paraId="1021BD28"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Wyniki badań (kopie) będą przekazywane Inżynierowi/Kierownikowi projektu na formularzach według dostarczonego przez niego wzoru lub innych, przez niego zaaprobowanych.</w:t>
      </w:r>
    </w:p>
    <w:p w14:paraId="796255E9"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6.6. Badania prowadzone przez Inżyniera/Kierownika projektu</w:t>
      </w:r>
    </w:p>
    <w:p w14:paraId="4C86B631"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Inżynier/Kierownik projektu jest uprawniony do dokonywania kontroli, pobierania próbek i badania materiałów w miejscu ich wytwarzania/pozyskiwania, a Wykonawca i producent materiałów powinien udzielić mu niezbędnej pomocy.</w:t>
      </w:r>
    </w:p>
    <w:p w14:paraId="67085B07" w14:textId="77777777" w:rsidR="00763AC1" w:rsidRPr="001D601E" w:rsidRDefault="00763AC1" w:rsidP="00BE2485">
      <w:pPr>
        <w:pStyle w:val="tekstost"/>
        <w:shd w:val="clear" w:color="auto" w:fill="FFFFFF" w:themeFill="background1"/>
        <w:tabs>
          <w:tab w:val="left" w:pos="142"/>
        </w:tabs>
        <w:rPr>
          <w:rFonts w:ascii="Arial" w:hAnsi="Arial" w:cs="Arial"/>
          <w:u w:val="single"/>
        </w:rPr>
      </w:pPr>
      <w:r w:rsidRPr="001D601E">
        <w:rPr>
          <w:rFonts w:ascii="Arial" w:hAnsi="Arial" w:cs="Arial"/>
        </w:rPr>
        <w:t>Inżynier/Kierownik projektu,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14:paraId="46990498"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 Może również zlecić, sam lub poprzez Wykonawcę, przeprowadzenie powtórnych lub dodatkowych badań niezależnemu laboratorium. W takim przypadku całkowite koszty powtórnych lub dodatkowych badań i pobierania próbek poniesione zostaną przez Wykonawcę.</w:t>
      </w:r>
    </w:p>
    <w:p w14:paraId="77520804"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6.7. Certyfikaty i deklaracje</w:t>
      </w:r>
    </w:p>
    <w:p w14:paraId="210A88A0"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Inżynier/Kierownik projektu może dopuścić do użycia tylko te materiały, które posiadają:</w:t>
      </w:r>
    </w:p>
    <w:p w14:paraId="2C282FAD" w14:textId="77777777" w:rsidR="00763AC1" w:rsidRPr="001D601E" w:rsidRDefault="00763AC1" w:rsidP="00BE2485">
      <w:pPr>
        <w:pStyle w:val="tekstost"/>
        <w:numPr>
          <w:ilvl w:val="0"/>
          <w:numId w:val="10"/>
        </w:numPr>
        <w:shd w:val="clear" w:color="auto" w:fill="FFFFFF" w:themeFill="background1"/>
        <w:tabs>
          <w:tab w:val="left" w:pos="142"/>
        </w:tabs>
        <w:ind w:left="0" w:firstLine="0"/>
        <w:rPr>
          <w:rFonts w:ascii="Arial" w:hAnsi="Arial" w:cs="Arial"/>
        </w:rPr>
      </w:pPr>
      <w:r w:rsidRPr="001D601E">
        <w:rPr>
          <w:rFonts w:ascii="Arial" w:hAnsi="Arial" w:cs="Arial"/>
        </w:rPr>
        <w:t>certyfikat na znak bezpieczeństwa wykazujący, że zapewniono zgodność z kryteriami technicznymi określonymi na podstawie Polskich Norm, aprobat technicznych oraz właściwych przepisów i dokumentów technicznych,</w:t>
      </w:r>
    </w:p>
    <w:p w14:paraId="1CB9D99D" w14:textId="77777777" w:rsidR="00763AC1" w:rsidRPr="001D601E" w:rsidRDefault="00763AC1" w:rsidP="00BE2485">
      <w:pPr>
        <w:pStyle w:val="tekstost"/>
        <w:numPr>
          <w:ilvl w:val="0"/>
          <w:numId w:val="10"/>
        </w:numPr>
        <w:shd w:val="clear" w:color="auto" w:fill="FFFFFF" w:themeFill="background1"/>
        <w:tabs>
          <w:tab w:val="left" w:pos="142"/>
        </w:tabs>
        <w:ind w:left="0" w:firstLine="0"/>
        <w:rPr>
          <w:rFonts w:ascii="Arial" w:hAnsi="Arial" w:cs="Arial"/>
        </w:rPr>
      </w:pPr>
      <w:r w:rsidRPr="001D601E">
        <w:rPr>
          <w:rFonts w:ascii="Arial" w:hAnsi="Arial" w:cs="Arial"/>
        </w:rPr>
        <w:t>deklarację zgodności lub certyfikat zgodności z:</w:t>
      </w:r>
    </w:p>
    <w:p w14:paraId="20DE26BE"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Polską Normą lub</w:t>
      </w:r>
    </w:p>
    <w:p w14:paraId="0580FE2D"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aprobatą techniczną, w przypadku wyrobów, dla których nie ustanowiono Polskiej Normy, jeżeli nie są objęte certyfikacją określoną w pkt 1</w:t>
      </w:r>
    </w:p>
    <w:p w14:paraId="40A3ABD6"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i które spełniają wymogi SST.</w:t>
      </w:r>
    </w:p>
    <w:p w14:paraId="62040004"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W przypadku materiałów, dla których ww. dokumenty są wymagane przez SST, każda partia dostarczona do robót będzie posiadać te dokumenty, określające w sposób jednoznaczny jej cechy.</w:t>
      </w:r>
    </w:p>
    <w:p w14:paraId="4E817A09"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Produkty przemysłowe muszą posiadać ww. dokumenty wydane przez producenta, a w razie potrzeby poparte wynikami badań wykonanych przez niego. Kopie wyników tych badań będą dostarczone przez Wykonawcę Inżynierowi/Kierownikowi projektu.</w:t>
      </w:r>
    </w:p>
    <w:p w14:paraId="58338A47"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Jakiekolwiek materiały, które nie spełniają tych wymagań będą odrzucone.</w:t>
      </w:r>
    </w:p>
    <w:p w14:paraId="4C4CABEB" w14:textId="77777777" w:rsidR="00763AC1" w:rsidRPr="001D601E" w:rsidRDefault="00763AC1"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lastRenderedPageBreak/>
        <w:t>6.8. Dokumenty budowy</w:t>
      </w:r>
    </w:p>
    <w:p w14:paraId="346C4651"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(1) Dziennik budowy</w:t>
      </w:r>
    </w:p>
    <w:p w14:paraId="38D25323"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77CC4B04"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Zapisy w dzienniku budowy będą dokonywane na bieżąco i będą dotyczyć przebiegu robót, stanu bezpieczeństwa ludzi i mienia oraz technicznej i gospodarczej strony budowy.</w:t>
      </w:r>
    </w:p>
    <w:p w14:paraId="7366C878"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492592B6"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Załączone do dziennika budowy protokoły i inne dokumenty będą oznaczone kolejnym numerem załącznika i opatrzone datą i podpisem Wykonawcy i Inżyniera/ Kierownika projektu.</w:t>
      </w:r>
    </w:p>
    <w:p w14:paraId="417A3858" w14:textId="77777777" w:rsidR="00763AC1" w:rsidRPr="001D601E" w:rsidRDefault="00763AC1" w:rsidP="00BE2485">
      <w:pPr>
        <w:pStyle w:val="tekstost"/>
        <w:numPr>
          <w:ilvl w:val="12"/>
          <w:numId w:val="0"/>
        </w:numPr>
        <w:shd w:val="clear" w:color="auto" w:fill="FFFFFF" w:themeFill="background1"/>
        <w:tabs>
          <w:tab w:val="left" w:pos="142"/>
        </w:tabs>
        <w:rPr>
          <w:rFonts w:ascii="Arial" w:hAnsi="Arial" w:cs="Arial"/>
        </w:rPr>
      </w:pPr>
      <w:r w:rsidRPr="001D601E">
        <w:rPr>
          <w:rFonts w:ascii="Arial" w:hAnsi="Arial" w:cs="Arial"/>
        </w:rPr>
        <w:t>Do dziennika budowy należy wpisywać w szczególności:</w:t>
      </w:r>
    </w:p>
    <w:p w14:paraId="08D054D9"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datę przekazania Wykonawcy terenu budowy,</w:t>
      </w:r>
    </w:p>
    <w:p w14:paraId="3B53CA3F"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datę przekazania przez Zamawiającego dokumentacji projektowej,</w:t>
      </w:r>
    </w:p>
    <w:p w14:paraId="18829C52"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datę uzgodnienia przez Inżyniera/Kierownika projektu programu zapewnienia jakości i harmonogramów robót,</w:t>
      </w:r>
    </w:p>
    <w:p w14:paraId="65B3A990"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terminy rozpoczęcia i zakończenia poszczególnych elementów robót,</w:t>
      </w:r>
    </w:p>
    <w:p w14:paraId="387CE6DC"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przebieg robót, trudności i przeszkody w ich prowadzeniu, okresy i przyczyny przerw w robotach,</w:t>
      </w:r>
    </w:p>
    <w:p w14:paraId="2AB14ED4"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uwagi i polecenia Inżyniera/Kierownika projektu,</w:t>
      </w:r>
    </w:p>
    <w:p w14:paraId="6F29EABD"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daty zarządzenia wstrzymania robót, z podaniem powodu,</w:t>
      </w:r>
    </w:p>
    <w:p w14:paraId="361F38B1"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zgłoszenia i daty odbiorów robót zanikających i ulegających zakryciu, częściowych                i ostatecznych odbiorów robót,</w:t>
      </w:r>
    </w:p>
    <w:p w14:paraId="66CEA4A8"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wyjaśnienia, uwagi i propozycje Wykonawcy,</w:t>
      </w:r>
    </w:p>
    <w:p w14:paraId="208FB060"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stan pogody i temperaturę powietrza w okresie wykonywania robót podlegających ograniczeniom lub wymaganiom szczególnym w związku z warunkami klimatycznymi,</w:t>
      </w:r>
    </w:p>
    <w:p w14:paraId="436E2991"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zgodność rzeczywistych warunków geotechnicznych z ich opisem w dokumentacji projektowej,</w:t>
      </w:r>
    </w:p>
    <w:p w14:paraId="743D7F95"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dane dotyczące czynności geodezyjnych (pomiarowych) dokonywanych przed i w trakcie wykonywania robót,</w:t>
      </w:r>
    </w:p>
    <w:p w14:paraId="76546426"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dane dotyczące sposobu wykonywania zabezpieczenia robót,</w:t>
      </w:r>
    </w:p>
    <w:p w14:paraId="1E92EABC"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dane dotyczące jakości materiałów, pobierania próbek oraz wyniki przeprowadzonych badań z podaniem, kto je przeprowadzał,</w:t>
      </w:r>
    </w:p>
    <w:p w14:paraId="0543FB8D"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wyniki prób poszczególnych elementów budowli z podaniem, kto je przeprowadzał,</w:t>
      </w:r>
    </w:p>
    <w:p w14:paraId="1C160E1E"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inne istotne informacje o przebiegu robót.</w:t>
      </w:r>
    </w:p>
    <w:p w14:paraId="152849BA"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Propozycje, uwagi i wyjaśnienia Wykonawcy, wpisane do dziennika budowy będą przedłożone Inżynierowi/Kierownikowi projektu do ustosunkowania się.</w:t>
      </w:r>
    </w:p>
    <w:p w14:paraId="45A11A38"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Decyzje Inżyniera/Kierownika projektu wpisane do dziennika budowy Wykonawca podpisuje z zaznaczeniem ich przyjęcia lub zajęciem stanowiska.</w:t>
      </w:r>
    </w:p>
    <w:p w14:paraId="5077B248"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Wpis projektanta do dziennika budowy obliguje Inżyniera/Kierownika projektu do ustosunkowania się. Projektant nie jest jednak stroną umowy i nie ma uprawnień do wydawania poleceń Wykonawcy robót.</w:t>
      </w:r>
    </w:p>
    <w:p w14:paraId="1AFF4921"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(2) Książka obmiarów</w:t>
      </w:r>
    </w:p>
    <w:p w14:paraId="4EA529B7"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Książka obmiarów stanowi dokument pozwalający na rozliczenie faktycznego postępu każdego z elementów robót. Obmiary wykonanych robót przeprowadza się w sposób ciągły w jednostkach przyjętych w kosztorysie i wpisuje do książki obmiarów.</w:t>
      </w:r>
    </w:p>
    <w:p w14:paraId="313E2A32" w14:textId="77777777" w:rsidR="00763AC1" w:rsidRPr="001D601E" w:rsidRDefault="00763AC1" w:rsidP="00BE2485">
      <w:pPr>
        <w:pStyle w:val="tekstost"/>
        <w:keepNext/>
        <w:shd w:val="clear" w:color="auto" w:fill="FFFFFF" w:themeFill="background1"/>
        <w:tabs>
          <w:tab w:val="left" w:pos="142"/>
        </w:tabs>
        <w:rPr>
          <w:rFonts w:ascii="Arial" w:hAnsi="Arial" w:cs="Arial"/>
        </w:rPr>
      </w:pPr>
      <w:r w:rsidRPr="001D601E">
        <w:rPr>
          <w:rFonts w:ascii="Arial" w:hAnsi="Arial" w:cs="Arial"/>
        </w:rPr>
        <w:t>(3) Dokumenty laboratoryjne</w:t>
      </w:r>
    </w:p>
    <w:p w14:paraId="38E59C67"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5BADE5E5"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(4) Pozostałe dokumenty budowy</w:t>
      </w:r>
    </w:p>
    <w:p w14:paraId="39597129"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Do dokumentów budowy zalicza się, oprócz wymienionych w punktach (1) - (3) następujące dokumenty:</w:t>
      </w:r>
    </w:p>
    <w:p w14:paraId="37570C1C" w14:textId="77777777" w:rsidR="00763AC1" w:rsidRPr="001D601E" w:rsidRDefault="00763AC1" w:rsidP="00BE2485">
      <w:pPr>
        <w:pStyle w:val="tekstost"/>
        <w:numPr>
          <w:ilvl w:val="0"/>
          <w:numId w:val="11"/>
        </w:numPr>
        <w:shd w:val="clear" w:color="auto" w:fill="FFFFFF" w:themeFill="background1"/>
        <w:tabs>
          <w:tab w:val="left" w:pos="142"/>
        </w:tabs>
        <w:ind w:left="0" w:firstLine="0"/>
        <w:rPr>
          <w:rFonts w:ascii="Arial" w:hAnsi="Arial" w:cs="Arial"/>
        </w:rPr>
      </w:pPr>
      <w:r w:rsidRPr="001D601E">
        <w:rPr>
          <w:rFonts w:ascii="Arial" w:hAnsi="Arial" w:cs="Arial"/>
        </w:rPr>
        <w:t>pozwolenie na realizację zadania budowlanego,</w:t>
      </w:r>
    </w:p>
    <w:p w14:paraId="21785C53" w14:textId="77777777" w:rsidR="00763AC1" w:rsidRPr="001D601E" w:rsidRDefault="00763AC1" w:rsidP="00BE2485">
      <w:pPr>
        <w:pStyle w:val="tekstost"/>
        <w:numPr>
          <w:ilvl w:val="0"/>
          <w:numId w:val="11"/>
        </w:numPr>
        <w:shd w:val="clear" w:color="auto" w:fill="FFFFFF" w:themeFill="background1"/>
        <w:tabs>
          <w:tab w:val="left" w:pos="142"/>
        </w:tabs>
        <w:ind w:left="0" w:firstLine="0"/>
        <w:rPr>
          <w:rFonts w:ascii="Arial" w:hAnsi="Arial" w:cs="Arial"/>
        </w:rPr>
      </w:pPr>
      <w:r w:rsidRPr="001D601E">
        <w:rPr>
          <w:rFonts w:ascii="Arial" w:hAnsi="Arial" w:cs="Arial"/>
        </w:rPr>
        <w:t>protokoły przekazania terenu budowy,</w:t>
      </w:r>
    </w:p>
    <w:p w14:paraId="217AA0F0" w14:textId="77777777" w:rsidR="00763AC1" w:rsidRPr="001D601E" w:rsidRDefault="00763AC1" w:rsidP="00BE2485">
      <w:pPr>
        <w:pStyle w:val="tekstost"/>
        <w:numPr>
          <w:ilvl w:val="0"/>
          <w:numId w:val="11"/>
        </w:numPr>
        <w:shd w:val="clear" w:color="auto" w:fill="FFFFFF" w:themeFill="background1"/>
        <w:tabs>
          <w:tab w:val="left" w:pos="142"/>
        </w:tabs>
        <w:ind w:left="0" w:firstLine="0"/>
        <w:rPr>
          <w:rFonts w:ascii="Arial" w:hAnsi="Arial" w:cs="Arial"/>
        </w:rPr>
      </w:pPr>
      <w:r w:rsidRPr="001D601E">
        <w:rPr>
          <w:rFonts w:ascii="Arial" w:hAnsi="Arial" w:cs="Arial"/>
        </w:rPr>
        <w:t>umowy cywilno-prawne z osobami trzecimi i inne umowy cywilno-prawne,</w:t>
      </w:r>
    </w:p>
    <w:p w14:paraId="787CE748" w14:textId="77777777" w:rsidR="00763AC1" w:rsidRPr="001D601E" w:rsidRDefault="00763AC1" w:rsidP="00BE2485">
      <w:pPr>
        <w:pStyle w:val="tekstost"/>
        <w:numPr>
          <w:ilvl w:val="0"/>
          <w:numId w:val="11"/>
        </w:numPr>
        <w:shd w:val="clear" w:color="auto" w:fill="FFFFFF" w:themeFill="background1"/>
        <w:tabs>
          <w:tab w:val="left" w:pos="142"/>
        </w:tabs>
        <w:ind w:left="0" w:firstLine="0"/>
        <w:rPr>
          <w:rFonts w:ascii="Arial" w:hAnsi="Arial" w:cs="Arial"/>
        </w:rPr>
      </w:pPr>
      <w:r w:rsidRPr="001D601E">
        <w:rPr>
          <w:rFonts w:ascii="Arial" w:hAnsi="Arial" w:cs="Arial"/>
        </w:rPr>
        <w:t>protokoły odbioru robót,</w:t>
      </w:r>
    </w:p>
    <w:p w14:paraId="6AC1BC06" w14:textId="77777777" w:rsidR="00763AC1" w:rsidRPr="001D601E" w:rsidRDefault="00763AC1" w:rsidP="00BE2485">
      <w:pPr>
        <w:pStyle w:val="tekstost"/>
        <w:numPr>
          <w:ilvl w:val="0"/>
          <w:numId w:val="11"/>
        </w:numPr>
        <w:shd w:val="clear" w:color="auto" w:fill="FFFFFF" w:themeFill="background1"/>
        <w:tabs>
          <w:tab w:val="left" w:pos="142"/>
        </w:tabs>
        <w:ind w:left="0" w:firstLine="0"/>
        <w:rPr>
          <w:rFonts w:ascii="Arial" w:hAnsi="Arial" w:cs="Arial"/>
        </w:rPr>
      </w:pPr>
      <w:r w:rsidRPr="001D601E">
        <w:rPr>
          <w:rFonts w:ascii="Arial" w:hAnsi="Arial" w:cs="Arial"/>
        </w:rPr>
        <w:t>protokoły z narad i ustaleń,</w:t>
      </w:r>
    </w:p>
    <w:p w14:paraId="25573096" w14:textId="77777777" w:rsidR="00763AC1" w:rsidRPr="001D601E" w:rsidRDefault="00763AC1" w:rsidP="00BE2485">
      <w:pPr>
        <w:pStyle w:val="tekstost"/>
        <w:numPr>
          <w:ilvl w:val="0"/>
          <w:numId w:val="11"/>
        </w:numPr>
        <w:shd w:val="clear" w:color="auto" w:fill="FFFFFF" w:themeFill="background1"/>
        <w:tabs>
          <w:tab w:val="left" w:pos="142"/>
        </w:tabs>
        <w:ind w:left="0" w:firstLine="0"/>
        <w:rPr>
          <w:rFonts w:ascii="Arial" w:hAnsi="Arial" w:cs="Arial"/>
        </w:rPr>
      </w:pPr>
      <w:r w:rsidRPr="001D601E">
        <w:rPr>
          <w:rFonts w:ascii="Arial" w:hAnsi="Arial" w:cs="Arial"/>
        </w:rPr>
        <w:t>korespondencję na budowie.</w:t>
      </w:r>
    </w:p>
    <w:p w14:paraId="1CEFAE61"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(5) Przechowywanie dokumentów budowy</w:t>
      </w:r>
    </w:p>
    <w:p w14:paraId="32018872"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Dokumenty budowy będą przechowywane na terenie budowy w miejscu odpowiednio zabezpieczonym.</w:t>
      </w:r>
    </w:p>
    <w:p w14:paraId="7FDC42A5"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Zaginięcie któregokolwiek z dokumentów budowy spowoduje jego natychmiastowe odtworzenie w formie przewidzianej prawem.</w:t>
      </w:r>
    </w:p>
    <w:p w14:paraId="3FF5ADDA"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Wszelkie dokumenty budowy będą zawsze dostępne dla Inżyniera/Kierownika projektu i przedstawiane do wglądu na życzenie Zamawiającego.</w:t>
      </w:r>
    </w:p>
    <w:p w14:paraId="4F1B4C0D"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27" w:name="_Toc416830704"/>
      <w:bookmarkStart w:id="28" w:name="_Toc6881285"/>
      <w:bookmarkStart w:id="29" w:name="_Toc6882158"/>
      <w:r w:rsidRPr="001D601E">
        <w:rPr>
          <w:rFonts w:cs="Arial"/>
          <w:szCs w:val="20"/>
        </w:rPr>
        <w:lastRenderedPageBreak/>
        <w:t>7. obmiar robót</w:t>
      </w:r>
      <w:bookmarkEnd w:id="27"/>
      <w:bookmarkEnd w:id="28"/>
      <w:bookmarkEnd w:id="29"/>
    </w:p>
    <w:p w14:paraId="65416FFA"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7.1. Ogólne zasady obmiaru robót</w:t>
      </w:r>
    </w:p>
    <w:p w14:paraId="1A71C12F"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Obmiar robót będzie określać faktyczny zakres wykonywanych robót zgodnie z dokumentacją projektową, w jednostkach ustalonych w kosztorysie.</w:t>
      </w:r>
    </w:p>
    <w:p w14:paraId="190CE91D"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Obmiaru robót dokonuje Wykonawca po pisemnym powiadomieniu Inżyniera/ Kierownika projektu o zakresie obmierzanych robót i terminie obmiaru, co najmniej na 3 dni przed tym terminem.</w:t>
      </w:r>
    </w:p>
    <w:p w14:paraId="1F57CA7D"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Wyniki obmiaru będą wpisane do książki obmiarów.</w:t>
      </w:r>
    </w:p>
    <w:p w14:paraId="05FFE5CB"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Jakikolwiek błąd lub przeoczenie (opuszczenie) w ilościach podanych w ślepym kosztorysie lub gdzie indziej w SST nie zwalnia Wykonawcy od obowiązku ukończenia wszystkich robót. Błędne dane zostaną poprawione wg instrukcji Inżyniera/Kierownika projektu na piśmie.</w:t>
      </w:r>
    </w:p>
    <w:p w14:paraId="451F620E"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Obmiar gotowych robót będzie przeprowadzony z częstością wymaganą do celu miesięcznej płatności na rzecz Wykonawcy lub w innym czasie określonym w umowie lub oczekiwanym przez Wykonawcę i Inżyniera/Kierownika projektu.</w:t>
      </w:r>
    </w:p>
    <w:p w14:paraId="60018D99"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7.2. Zasady określania ilości robót i materiałów</w:t>
      </w:r>
    </w:p>
    <w:p w14:paraId="36A2109B"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Długości i odległości pomiędzy wyszczególnionymi punktami skrajnymi będą obmierzone poziomo wzdłuż linii osiowej.</w:t>
      </w:r>
    </w:p>
    <w:p w14:paraId="0263E4FA"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Jeśli SST właściwe dla danych robót nie wymagają tego inaczej, objętości będą wyliczone w m</w:t>
      </w:r>
      <w:r w:rsidRPr="001D601E">
        <w:rPr>
          <w:rFonts w:ascii="Arial" w:hAnsi="Arial" w:cs="Arial"/>
          <w:vertAlign w:val="superscript"/>
        </w:rPr>
        <w:t>3</w:t>
      </w:r>
      <w:r w:rsidRPr="001D601E">
        <w:rPr>
          <w:rFonts w:ascii="Arial" w:hAnsi="Arial" w:cs="Arial"/>
        </w:rPr>
        <w:t xml:space="preserve"> jako długość pomnożona przez średni przekrój.</w:t>
      </w:r>
    </w:p>
    <w:p w14:paraId="4D53F60E"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Ilości, które mają być obmierzone wagowo, będą ważone w tonach lub kilogramach zgodnie z wymaganiami SST.</w:t>
      </w:r>
    </w:p>
    <w:p w14:paraId="29134983"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7.3. Urządzenia i sprzęt pomiarowy</w:t>
      </w:r>
    </w:p>
    <w:p w14:paraId="63F7E993"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Wszystkie urządzenia i sprzęt pomiarowy, stosowany w czasie obmiaru robót będą zaakceptowane przez Inżyniera/Kierownika projektu.</w:t>
      </w:r>
    </w:p>
    <w:p w14:paraId="38C89514"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Urządzenia i sprzęt pomiarowy zostaną dostarczone przez Wykonawcę. Jeżeli urządzenia te lub sprzęt wymagają badań atestujących to Wykonawca będzie posiadać ważne świadectwa legalizacji.</w:t>
      </w:r>
    </w:p>
    <w:p w14:paraId="020BF098"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Wszystkie urządzenia pomiarowe będą przez Wykonawcę utrzymywane w dobrym stanie, w całym okresie trwania robót.</w:t>
      </w:r>
    </w:p>
    <w:p w14:paraId="1F199FE8"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7.4. Wagi i zasady ważenia</w:t>
      </w:r>
    </w:p>
    <w:p w14:paraId="351852F6"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Wykonawca dostarczy i zainstaluje urządzenia wagowe odpowiadające odnośnym wymaganiom SST Będzie utrzymywać to wyposażenie zapewniając w sposób ciągły zachowanie dokładności wg norm zatwierdzonych przez Inżyniera/Kierownika projektu.</w:t>
      </w:r>
    </w:p>
    <w:p w14:paraId="01338362"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7.5. Czas przeprowadzenia obmiaru</w:t>
      </w:r>
    </w:p>
    <w:p w14:paraId="3043FC2D"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Obmiary będą przeprowadzone przed częściowym lub ostatecznym odbiorem odcinków robót, a także w przypadku występowania dłuższej przerwy w robotach.</w:t>
      </w:r>
    </w:p>
    <w:p w14:paraId="3B2E1F51"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Obmiar robót zanikających przeprowadza się w czasie ich wykonywania.</w:t>
      </w:r>
    </w:p>
    <w:p w14:paraId="73744B04"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Obmiar robót podlegających zakryciu przeprowadza się przed ich zakryciem.</w:t>
      </w:r>
    </w:p>
    <w:p w14:paraId="4F6EBFDB"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Roboty pomiarowe do obmiaru oraz nieodzowne obliczenia będą wykonane w sposób zrozumiały i jednoznaczny.</w:t>
      </w:r>
    </w:p>
    <w:p w14:paraId="66C30182"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621DC6F8"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30" w:name="_Toc416830705"/>
      <w:bookmarkStart w:id="31" w:name="_Toc6881286"/>
      <w:bookmarkStart w:id="32" w:name="_Toc6882159"/>
      <w:r w:rsidRPr="001D601E">
        <w:rPr>
          <w:rFonts w:cs="Arial"/>
          <w:szCs w:val="20"/>
        </w:rPr>
        <w:t>8. odbiór robót</w:t>
      </w:r>
      <w:bookmarkEnd w:id="30"/>
      <w:bookmarkEnd w:id="31"/>
      <w:bookmarkEnd w:id="32"/>
    </w:p>
    <w:p w14:paraId="2B6703C4"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8.1. Rodzaje odbiorów robót</w:t>
      </w:r>
    </w:p>
    <w:p w14:paraId="2A0850B8"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W zależności od ustaleń odpowiednich SST, roboty podlegają następującym etapom odbioru:</w:t>
      </w:r>
    </w:p>
    <w:p w14:paraId="1C0D6682" w14:textId="77777777" w:rsidR="00763AC1" w:rsidRPr="001D601E" w:rsidRDefault="00763AC1" w:rsidP="00BE2485">
      <w:pPr>
        <w:pStyle w:val="tekstost"/>
        <w:numPr>
          <w:ilvl w:val="0"/>
          <w:numId w:val="12"/>
        </w:numPr>
        <w:shd w:val="clear" w:color="auto" w:fill="FFFFFF" w:themeFill="background1"/>
        <w:tabs>
          <w:tab w:val="left" w:pos="142"/>
        </w:tabs>
        <w:ind w:left="0" w:firstLine="0"/>
        <w:rPr>
          <w:rFonts w:ascii="Arial" w:hAnsi="Arial" w:cs="Arial"/>
        </w:rPr>
      </w:pPr>
      <w:r w:rsidRPr="001D601E">
        <w:rPr>
          <w:rFonts w:ascii="Arial" w:hAnsi="Arial" w:cs="Arial"/>
        </w:rPr>
        <w:t>odbiorowi robót zanikających i ulegających zakryciu,</w:t>
      </w:r>
    </w:p>
    <w:p w14:paraId="49223D87" w14:textId="77777777" w:rsidR="00763AC1" w:rsidRPr="001D601E" w:rsidRDefault="00763AC1" w:rsidP="00BE2485">
      <w:pPr>
        <w:pStyle w:val="tekstost"/>
        <w:numPr>
          <w:ilvl w:val="0"/>
          <w:numId w:val="12"/>
        </w:numPr>
        <w:shd w:val="clear" w:color="auto" w:fill="FFFFFF" w:themeFill="background1"/>
        <w:tabs>
          <w:tab w:val="left" w:pos="142"/>
        </w:tabs>
        <w:ind w:left="0" w:firstLine="0"/>
        <w:rPr>
          <w:rFonts w:ascii="Arial" w:hAnsi="Arial" w:cs="Arial"/>
        </w:rPr>
      </w:pPr>
      <w:r w:rsidRPr="001D601E">
        <w:rPr>
          <w:rFonts w:ascii="Arial" w:hAnsi="Arial" w:cs="Arial"/>
        </w:rPr>
        <w:t>odbiorowi częściowemu,</w:t>
      </w:r>
    </w:p>
    <w:p w14:paraId="419F35A4" w14:textId="77777777" w:rsidR="00763AC1" w:rsidRPr="001D601E" w:rsidRDefault="00763AC1" w:rsidP="00BE2485">
      <w:pPr>
        <w:pStyle w:val="tekstost"/>
        <w:numPr>
          <w:ilvl w:val="0"/>
          <w:numId w:val="12"/>
        </w:numPr>
        <w:shd w:val="clear" w:color="auto" w:fill="FFFFFF" w:themeFill="background1"/>
        <w:tabs>
          <w:tab w:val="left" w:pos="142"/>
        </w:tabs>
        <w:ind w:left="0" w:firstLine="0"/>
        <w:rPr>
          <w:rFonts w:ascii="Arial" w:hAnsi="Arial" w:cs="Arial"/>
        </w:rPr>
      </w:pPr>
      <w:r w:rsidRPr="001D601E">
        <w:rPr>
          <w:rFonts w:ascii="Arial" w:hAnsi="Arial" w:cs="Arial"/>
        </w:rPr>
        <w:t>odbiorowi ostatecznemu,</w:t>
      </w:r>
    </w:p>
    <w:p w14:paraId="13D9A701" w14:textId="77777777" w:rsidR="00763AC1" w:rsidRPr="001D601E" w:rsidRDefault="00763AC1" w:rsidP="00BE2485">
      <w:pPr>
        <w:pStyle w:val="tekstost"/>
        <w:numPr>
          <w:ilvl w:val="0"/>
          <w:numId w:val="12"/>
        </w:numPr>
        <w:shd w:val="clear" w:color="auto" w:fill="FFFFFF" w:themeFill="background1"/>
        <w:tabs>
          <w:tab w:val="left" w:pos="142"/>
        </w:tabs>
        <w:ind w:left="0" w:firstLine="0"/>
        <w:rPr>
          <w:rFonts w:ascii="Arial" w:hAnsi="Arial" w:cs="Arial"/>
        </w:rPr>
      </w:pPr>
      <w:r w:rsidRPr="001D601E">
        <w:rPr>
          <w:rFonts w:ascii="Arial" w:hAnsi="Arial" w:cs="Arial"/>
        </w:rPr>
        <w:t>odbiorowi pogwarancyjnemu.</w:t>
      </w:r>
    </w:p>
    <w:p w14:paraId="1FE87D59"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8.2. Odbiór robót zanikających i ulegających zakryciu</w:t>
      </w:r>
    </w:p>
    <w:p w14:paraId="351D8AB6"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Odbiór robót zanikających i ulegających zakryciu polega na finalnej ocenie ilości i jakości wykonywanych robót, które w dalszym procesie realizacji ulegną zakryciu.</w:t>
      </w:r>
    </w:p>
    <w:p w14:paraId="495F379E"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Odbiór robót zanikających i ulegających zakryciu będzie dokonany w czasie umożliwiającym wykonanie ewentualnych korekt i poprawek bez hamowania ogólnego postępu robót.</w:t>
      </w:r>
    </w:p>
    <w:p w14:paraId="64E57785"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Odbioru robót dokonuje Inżynier/Kierownik projektu.</w:t>
      </w:r>
    </w:p>
    <w:p w14:paraId="52272253"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425CB167"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Jakość i ilość robót ulegających zakryciu ocenia Inżynier/Kierownik projektu na podstawie dokumentów zawierających komplet wyników badań laboratoryjnych i w oparciu o przeprowadzone pomiary, w konfrontacji z dokumentacją projektową, SST i uprzednimi ustaleniami.</w:t>
      </w:r>
    </w:p>
    <w:p w14:paraId="790EA1CB"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8.3. Odbiór częściowy</w:t>
      </w:r>
    </w:p>
    <w:p w14:paraId="4161DFBC"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Odbiór  częściowy polega na ocenie ilości i jakości wykonanych części robót. Odbioru częściowego robót dokonuje się wg zasad jak przy odbiorze ostatecznym robót. Odbioru robót dokonuje Inżynier/Kierownik projektu.</w:t>
      </w:r>
    </w:p>
    <w:p w14:paraId="62D0F3DB"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8.4. Odbiór ostateczny robót</w:t>
      </w:r>
    </w:p>
    <w:p w14:paraId="0527FA1F" w14:textId="77777777" w:rsidR="00763AC1" w:rsidRPr="001D601E" w:rsidRDefault="00763AC1" w:rsidP="00BE2485">
      <w:pPr>
        <w:pStyle w:val="Lista3"/>
        <w:shd w:val="clear" w:color="auto" w:fill="FFFFFF" w:themeFill="background1"/>
        <w:tabs>
          <w:tab w:val="left" w:pos="142"/>
        </w:tabs>
        <w:spacing w:line="240" w:lineRule="auto"/>
        <w:ind w:left="0" w:firstLine="0"/>
        <w:jc w:val="both"/>
        <w:rPr>
          <w:rFonts w:cs="Arial"/>
          <w:szCs w:val="20"/>
        </w:rPr>
      </w:pPr>
      <w:r w:rsidRPr="001D601E">
        <w:rPr>
          <w:rFonts w:cs="Arial"/>
          <w:b/>
          <w:szCs w:val="20"/>
        </w:rPr>
        <w:t>8.4.1.</w:t>
      </w:r>
      <w:r w:rsidRPr="001D601E">
        <w:rPr>
          <w:rFonts w:cs="Arial"/>
          <w:szCs w:val="20"/>
        </w:rPr>
        <w:tab/>
        <w:t>Zasady odbioru ostatecznego robót</w:t>
      </w:r>
    </w:p>
    <w:p w14:paraId="69B31767"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Odbiór ostateczny polega na finalnej ocenie rzeczywistego wykonania robót w odniesieniu do ich ilości, jakości i wartości.</w:t>
      </w:r>
    </w:p>
    <w:p w14:paraId="1695C7B3"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Całkowite zakończenie robót oraz gotowość do odbioru ostatecznego będzie stwierdzona przez Wykonawcę wpisem do dziennika budowy z bezzwłocznym powiadomieniem na piśmie o tym fakcie Inżyniera/Kierownika projektu.</w:t>
      </w:r>
    </w:p>
    <w:p w14:paraId="0B1AEC7B"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lastRenderedPageBreak/>
        <w:t>Odbiór ostateczny robót nastąpi w terminie ustalonym w dokumentach umowy, licząc od dnia potwierdzenia przez Inżyniera/Kierownika projektu zakończenia robót i przyjęcia dokumentów, o których mowa w punkcie 8.4.2.</w:t>
      </w:r>
    </w:p>
    <w:p w14:paraId="22EEE4FB"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14:paraId="41D330CC"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toku odbioru ostatecznego robót komisja zapozna się z realizacją ustaleń przyjętych w trakcie odbiorów robót zanikających i ulegających zakryciu, zwłaszcza w zakresie wykonania robót uzupełniających i robót poprawkowych.</w:t>
      </w:r>
    </w:p>
    <w:p w14:paraId="5E03E41D"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przypadkach niewykonania wyznaczonych robót poprawkowych lub robót uzupełniających w warstwie ścieralnej lub robotach wykończeniowych, komisja przerwie swoje czynności i ustali nowy termin odbioru ostatecznego.</w:t>
      </w:r>
    </w:p>
    <w:p w14:paraId="56531CDA"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14:paraId="4D86BBC0" w14:textId="77777777" w:rsidR="00763AC1" w:rsidRPr="001D601E" w:rsidRDefault="00763AC1" w:rsidP="00BE2485">
      <w:pPr>
        <w:pStyle w:val="Nagwek3"/>
        <w:shd w:val="clear" w:color="auto" w:fill="FFFFFF" w:themeFill="background1"/>
        <w:tabs>
          <w:tab w:val="left" w:pos="142"/>
        </w:tabs>
        <w:spacing w:line="240" w:lineRule="auto"/>
        <w:jc w:val="both"/>
        <w:rPr>
          <w:szCs w:val="20"/>
        </w:rPr>
      </w:pPr>
      <w:bookmarkStart w:id="33" w:name="_Toc412518599"/>
      <w:r w:rsidRPr="001D601E">
        <w:rPr>
          <w:b w:val="0"/>
          <w:szCs w:val="20"/>
        </w:rPr>
        <w:t>8.4.2.</w:t>
      </w:r>
      <w:r w:rsidRPr="001D601E">
        <w:rPr>
          <w:szCs w:val="20"/>
        </w:rPr>
        <w:t xml:space="preserve"> Dokumenty do odbioru ostatecznego</w:t>
      </w:r>
      <w:bookmarkEnd w:id="33"/>
    </w:p>
    <w:p w14:paraId="44DD8573"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Podstawowym dokumentem do dokonania odbioru ostatecznego robót jest protokół odbioru ostatecznego robót sporządzony wg wzoru ustalonego przez Zamawiającego.</w:t>
      </w:r>
    </w:p>
    <w:p w14:paraId="0155584F" w14:textId="77777777" w:rsidR="00763AC1" w:rsidRPr="001D601E" w:rsidRDefault="00763AC1" w:rsidP="00BE2485">
      <w:pPr>
        <w:pStyle w:val="Tekstpodstawowywcity"/>
        <w:shd w:val="clear" w:color="auto" w:fill="FFFFFF" w:themeFill="background1"/>
        <w:tabs>
          <w:tab w:val="left" w:pos="142"/>
        </w:tabs>
        <w:spacing w:line="240" w:lineRule="auto"/>
        <w:ind w:firstLine="0"/>
        <w:jc w:val="both"/>
        <w:rPr>
          <w:rFonts w:cs="Arial"/>
          <w:sz w:val="20"/>
          <w:szCs w:val="20"/>
        </w:rPr>
      </w:pPr>
      <w:r w:rsidRPr="001D601E">
        <w:rPr>
          <w:rFonts w:cs="Arial"/>
          <w:sz w:val="20"/>
          <w:szCs w:val="20"/>
        </w:rPr>
        <w:t>Do odbioru ostatecznego Wykonawca jest zobowiązany przygotować następujące dokumenty:</w:t>
      </w:r>
    </w:p>
    <w:p w14:paraId="422985C6" w14:textId="77777777" w:rsidR="00763AC1" w:rsidRPr="001D601E" w:rsidRDefault="00763AC1" w:rsidP="00BE2485">
      <w:pPr>
        <w:pStyle w:val="Lista4"/>
        <w:numPr>
          <w:ilvl w:val="0"/>
          <w:numId w:val="13"/>
        </w:numPr>
        <w:shd w:val="clear" w:color="auto" w:fill="FFFFFF" w:themeFill="background1"/>
        <w:tabs>
          <w:tab w:val="left" w:pos="142"/>
        </w:tabs>
        <w:spacing w:line="240" w:lineRule="auto"/>
        <w:ind w:left="0" w:firstLine="0"/>
        <w:jc w:val="both"/>
        <w:rPr>
          <w:rFonts w:cs="Arial"/>
          <w:szCs w:val="20"/>
        </w:rPr>
      </w:pPr>
      <w:r w:rsidRPr="001D601E">
        <w:rPr>
          <w:rFonts w:cs="Arial"/>
          <w:szCs w:val="20"/>
        </w:rPr>
        <w:t>dokumentację projektową podstawową z naniesionymi zmianami oraz dodatkową, jeśli została sporządzona w trakcie realizacji umowy,</w:t>
      </w:r>
    </w:p>
    <w:p w14:paraId="4DFDC3D0" w14:textId="77777777" w:rsidR="00763AC1" w:rsidRPr="001D601E" w:rsidRDefault="00763AC1" w:rsidP="00BE2485">
      <w:pPr>
        <w:pStyle w:val="Lista4"/>
        <w:numPr>
          <w:ilvl w:val="0"/>
          <w:numId w:val="13"/>
        </w:numPr>
        <w:shd w:val="clear" w:color="auto" w:fill="FFFFFF" w:themeFill="background1"/>
        <w:tabs>
          <w:tab w:val="left" w:pos="142"/>
        </w:tabs>
        <w:spacing w:line="240" w:lineRule="auto"/>
        <w:ind w:left="0" w:firstLine="0"/>
        <w:jc w:val="both"/>
        <w:rPr>
          <w:rFonts w:cs="Arial"/>
          <w:szCs w:val="20"/>
        </w:rPr>
      </w:pPr>
      <w:r w:rsidRPr="001D601E">
        <w:rPr>
          <w:rFonts w:cs="Arial"/>
          <w:szCs w:val="20"/>
        </w:rPr>
        <w:t>szczegółowe specyfikacje techniczne (podstawowe z dokumentów umowy i ew. uzupełniające lub zamienne),</w:t>
      </w:r>
    </w:p>
    <w:p w14:paraId="1B4DE16D" w14:textId="77777777" w:rsidR="00763AC1" w:rsidRPr="001D601E" w:rsidRDefault="00763AC1" w:rsidP="00BE2485">
      <w:pPr>
        <w:pStyle w:val="Lista4"/>
        <w:numPr>
          <w:ilvl w:val="0"/>
          <w:numId w:val="13"/>
        </w:numPr>
        <w:shd w:val="clear" w:color="auto" w:fill="FFFFFF" w:themeFill="background1"/>
        <w:tabs>
          <w:tab w:val="left" w:pos="142"/>
        </w:tabs>
        <w:spacing w:line="240" w:lineRule="auto"/>
        <w:ind w:left="0" w:firstLine="0"/>
        <w:jc w:val="both"/>
        <w:rPr>
          <w:rFonts w:cs="Arial"/>
          <w:szCs w:val="20"/>
        </w:rPr>
      </w:pPr>
      <w:r w:rsidRPr="001D601E">
        <w:rPr>
          <w:rFonts w:cs="Arial"/>
          <w:szCs w:val="20"/>
        </w:rPr>
        <w:t>recepty i ustalenia technologiczne,</w:t>
      </w:r>
    </w:p>
    <w:p w14:paraId="15CDC46E" w14:textId="77777777" w:rsidR="00763AC1" w:rsidRPr="001D601E" w:rsidRDefault="00763AC1" w:rsidP="00BE2485">
      <w:pPr>
        <w:pStyle w:val="Lista4"/>
        <w:numPr>
          <w:ilvl w:val="0"/>
          <w:numId w:val="13"/>
        </w:numPr>
        <w:shd w:val="clear" w:color="auto" w:fill="FFFFFF" w:themeFill="background1"/>
        <w:tabs>
          <w:tab w:val="left" w:pos="142"/>
        </w:tabs>
        <w:spacing w:line="240" w:lineRule="auto"/>
        <w:ind w:left="0" w:firstLine="0"/>
        <w:jc w:val="both"/>
        <w:rPr>
          <w:rFonts w:cs="Arial"/>
          <w:szCs w:val="20"/>
        </w:rPr>
      </w:pPr>
      <w:r w:rsidRPr="001D601E">
        <w:rPr>
          <w:rFonts w:cs="Arial"/>
          <w:szCs w:val="20"/>
        </w:rPr>
        <w:t>dzienniki budowy i książki obmiarów (oryginały),</w:t>
      </w:r>
    </w:p>
    <w:p w14:paraId="11F55B6C" w14:textId="77777777" w:rsidR="00763AC1" w:rsidRPr="001D601E" w:rsidRDefault="00763AC1" w:rsidP="00BE2485">
      <w:pPr>
        <w:pStyle w:val="Lista-kontynuacja4"/>
        <w:shd w:val="clear" w:color="auto" w:fill="FFFFFF" w:themeFill="background1"/>
        <w:tabs>
          <w:tab w:val="left" w:pos="142"/>
        </w:tabs>
        <w:spacing w:after="0" w:line="240" w:lineRule="auto"/>
        <w:ind w:left="0"/>
        <w:jc w:val="both"/>
        <w:rPr>
          <w:rFonts w:cs="Arial"/>
          <w:szCs w:val="20"/>
        </w:rPr>
      </w:pPr>
      <w:r w:rsidRPr="001D601E">
        <w:rPr>
          <w:rFonts w:cs="Arial"/>
          <w:szCs w:val="20"/>
        </w:rPr>
        <w:t>wyniki pomiarów kontrolnych oraz badań i oznaczeń laboratoryjnych, zgodne z SST          i ew. PZJ,</w:t>
      </w:r>
    </w:p>
    <w:p w14:paraId="0CC0FF33" w14:textId="77777777" w:rsidR="00763AC1" w:rsidRPr="001D601E" w:rsidRDefault="00763AC1" w:rsidP="00BE2485">
      <w:pPr>
        <w:pStyle w:val="Lista4"/>
        <w:numPr>
          <w:ilvl w:val="0"/>
          <w:numId w:val="13"/>
        </w:numPr>
        <w:shd w:val="clear" w:color="auto" w:fill="FFFFFF" w:themeFill="background1"/>
        <w:tabs>
          <w:tab w:val="left" w:pos="142"/>
        </w:tabs>
        <w:spacing w:line="240" w:lineRule="auto"/>
        <w:ind w:left="0" w:firstLine="0"/>
        <w:jc w:val="both"/>
        <w:rPr>
          <w:rFonts w:cs="Arial"/>
          <w:szCs w:val="20"/>
        </w:rPr>
      </w:pPr>
      <w:r w:rsidRPr="001D601E">
        <w:rPr>
          <w:rFonts w:cs="Arial"/>
          <w:szCs w:val="20"/>
        </w:rPr>
        <w:t>deklaracje zgodności lub certyfikaty zgodności wbudowanych materiałów zgodnie z SST i ew. PZJ,</w:t>
      </w:r>
    </w:p>
    <w:p w14:paraId="630B0D82" w14:textId="77777777" w:rsidR="00763AC1" w:rsidRPr="001D601E" w:rsidRDefault="00763AC1" w:rsidP="00BE2485">
      <w:pPr>
        <w:pStyle w:val="Lista4"/>
        <w:numPr>
          <w:ilvl w:val="0"/>
          <w:numId w:val="13"/>
        </w:numPr>
        <w:shd w:val="clear" w:color="auto" w:fill="FFFFFF" w:themeFill="background1"/>
        <w:tabs>
          <w:tab w:val="left" w:pos="142"/>
        </w:tabs>
        <w:spacing w:line="240" w:lineRule="auto"/>
        <w:ind w:left="0" w:firstLine="0"/>
        <w:jc w:val="both"/>
        <w:rPr>
          <w:rFonts w:cs="Arial"/>
          <w:szCs w:val="20"/>
        </w:rPr>
      </w:pPr>
      <w:r w:rsidRPr="001D601E">
        <w:rPr>
          <w:rFonts w:cs="Arial"/>
          <w:szCs w:val="20"/>
        </w:rPr>
        <w:t>opinię technologiczną sporządzoną na podstawie wszystkich wyników badań i pomiarów załączonych do dokumentów odbioru, wykonanych zgodnie z SST i PZJ,</w:t>
      </w:r>
    </w:p>
    <w:p w14:paraId="3A122718" w14:textId="77777777" w:rsidR="00763AC1" w:rsidRPr="001D601E" w:rsidRDefault="00763AC1" w:rsidP="00BE2485">
      <w:pPr>
        <w:pStyle w:val="Lista4"/>
        <w:numPr>
          <w:ilvl w:val="0"/>
          <w:numId w:val="13"/>
        </w:numPr>
        <w:shd w:val="clear" w:color="auto" w:fill="FFFFFF" w:themeFill="background1"/>
        <w:tabs>
          <w:tab w:val="left" w:pos="142"/>
        </w:tabs>
        <w:spacing w:line="240" w:lineRule="auto"/>
        <w:ind w:left="0" w:firstLine="0"/>
        <w:jc w:val="both"/>
        <w:rPr>
          <w:rFonts w:cs="Arial"/>
          <w:szCs w:val="20"/>
        </w:rPr>
      </w:pPr>
      <w:r w:rsidRPr="001D601E">
        <w:rPr>
          <w:rFonts w:cs="Arial"/>
          <w:szCs w:val="20"/>
        </w:rPr>
        <w:t>rysunki (dokumentacje) na wykonanie robót towarzyszących (np. na przełożenie linii telefonicznej, energetycznej, gazowej, oświetlenia itp.) oraz protokoły odbioru i przekazania tych robót właścicielom urządzeń,</w:t>
      </w:r>
    </w:p>
    <w:p w14:paraId="657288A7" w14:textId="77777777" w:rsidR="00763AC1" w:rsidRPr="001D601E" w:rsidRDefault="00763AC1" w:rsidP="00BE2485">
      <w:pPr>
        <w:pStyle w:val="Lista4"/>
        <w:numPr>
          <w:ilvl w:val="0"/>
          <w:numId w:val="13"/>
        </w:numPr>
        <w:shd w:val="clear" w:color="auto" w:fill="FFFFFF" w:themeFill="background1"/>
        <w:tabs>
          <w:tab w:val="left" w:pos="142"/>
        </w:tabs>
        <w:spacing w:line="240" w:lineRule="auto"/>
        <w:ind w:left="0" w:firstLine="0"/>
        <w:jc w:val="both"/>
        <w:rPr>
          <w:rFonts w:cs="Arial"/>
          <w:szCs w:val="20"/>
        </w:rPr>
      </w:pPr>
      <w:r w:rsidRPr="001D601E">
        <w:rPr>
          <w:rFonts w:cs="Arial"/>
          <w:szCs w:val="20"/>
        </w:rPr>
        <w:t>geodezyjną inwentaryzację powykonawczą robót i sieci uzbrojenia terenu,</w:t>
      </w:r>
    </w:p>
    <w:p w14:paraId="75F14CB3" w14:textId="77777777" w:rsidR="00763AC1" w:rsidRPr="001D601E" w:rsidRDefault="00763AC1" w:rsidP="00BE2485">
      <w:pPr>
        <w:pStyle w:val="Lista4"/>
        <w:numPr>
          <w:ilvl w:val="0"/>
          <w:numId w:val="13"/>
        </w:numPr>
        <w:shd w:val="clear" w:color="auto" w:fill="FFFFFF" w:themeFill="background1"/>
        <w:tabs>
          <w:tab w:val="left" w:pos="142"/>
        </w:tabs>
        <w:spacing w:line="240" w:lineRule="auto"/>
        <w:ind w:left="0" w:firstLine="0"/>
        <w:jc w:val="both"/>
        <w:rPr>
          <w:rFonts w:cs="Arial"/>
          <w:szCs w:val="20"/>
        </w:rPr>
      </w:pPr>
      <w:r w:rsidRPr="001D601E">
        <w:rPr>
          <w:rFonts w:cs="Arial"/>
          <w:szCs w:val="20"/>
        </w:rPr>
        <w:t>kopię mapy zasadniczej powstałej w wyniku geodezyjnej inwentaryzacji powykonawczej.</w:t>
      </w:r>
    </w:p>
    <w:p w14:paraId="45186DA8"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przypadku, gdy wg komisji, roboty pod względem przygotowania dokumentacyjnego nie będą gotowe do odbioru ostatecznego, komisja w porozumieniu z Wykonawcą wyznaczy ponowny termin odbioru ostatecznego robót.</w:t>
      </w:r>
    </w:p>
    <w:p w14:paraId="55339EF8"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Wszystkie zarządzone przez komisję roboty poprawkowe lub uzupełniające będą zestawione wg wzoru ustalonego przez Zamawiającego.</w:t>
      </w:r>
    </w:p>
    <w:p w14:paraId="3866813C"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Termin wykonania robót poprawkowych i robót uzupełniających wyznaczy komisja.</w:t>
      </w:r>
    </w:p>
    <w:p w14:paraId="4F78BF46"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8.5. Odbiór pogwarancyjny</w:t>
      </w:r>
    </w:p>
    <w:p w14:paraId="664ED085"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Odbiór pogwarancyjny polega na ocenie wykonanych robót związanych z usunięciem wad stwierdzonych przy odbiorze ostatecznym i zaistniałych w okresie gwarancyjnym.</w:t>
      </w:r>
    </w:p>
    <w:p w14:paraId="78A27453" w14:textId="77777777" w:rsidR="00763AC1" w:rsidRPr="001D601E" w:rsidRDefault="00763AC1"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Odbiór pogwarancyjny będzie dokonany na podstawie oceny wizualnej obiektu z uwzględnieniem zasad opisanych w punkcie 8.4 „Odbiór ostateczny robót”.</w:t>
      </w:r>
    </w:p>
    <w:p w14:paraId="0B559795"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34" w:name="_Toc416830706"/>
      <w:bookmarkStart w:id="35" w:name="_Toc6881287"/>
      <w:bookmarkStart w:id="36" w:name="_Toc6882160"/>
      <w:r w:rsidRPr="001D601E">
        <w:rPr>
          <w:rFonts w:cs="Arial"/>
          <w:szCs w:val="20"/>
        </w:rPr>
        <w:t>9. podstawa płatności</w:t>
      </w:r>
      <w:bookmarkEnd w:id="34"/>
      <w:bookmarkEnd w:id="35"/>
      <w:bookmarkEnd w:id="36"/>
    </w:p>
    <w:p w14:paraId="6DA4D351"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9.1. Ustalenia ogólne</w:t>
      </w:r>
    </w:p>
    <w:p w14:paraId="674BC05C"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Podstawą płatności jest cena jednostkowa skalkulowana przez Wykonawcę za jednostkę obmiarową ustaloną dla danej pozycji kosztorysu.</w:t>
      </w:r>
    </w:p>
    <w:p w14:paraId="601F8607"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Dla pozycji kosztorysowych wycenionych ryczałtowo podstawą płatności jest wartość (kwota) podana przez Wykonawcę w danej pozycji kosztorysu.</w:t>
      </w:r>
    </w:p>
    <w:p w14:paraId="34659701"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Cena jednostkowa lub kwota ryczałtowa pozycji kosztorysowej będzie uwzględniać wszystkie czynności, wymagania i badania składające się na jej wykonanie, określone dla tej roboty w SST i w dokumentacji projektowej.</w:t>
      </w:r>
    </w:p>
    <w:p w14:paraId="385EE0BF"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Ceny jednostkowe lub kwoty ryczałtowe robót będą obejmować:</w:t>
      </w:r>
    </w:p>
    <w:p w14:paraId="2AE0E1FE"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robociznę bezpośrednią wraz z towarzyszącymi kosztami,</w:t>
      </w:r>
    </w:p>
    <w:p w14:paraId="104AA89D"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wartość zużytych materiałów wraz z kosztami zakupu, magazynowania, ewentualnych ubytków i transportu na teren budowy,</w:t>
      </w:r>
    </w:p>
    <w:p w14:paraId="1B3352A0"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wartość pracy sprzętu wraz z towarzyszącymi kosztami,</w:t>
      </w:r>
    </w:p>
    <w:p w14:paraId="1AF57176"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koszty pośrednie, zysk kalkulacyjny i ryzyko,</w:t>
      </w:r>
    </w:p>
    <w:p w14:paraId="550E6B39" w14:textId="77777777" w:rsidR="00763AC1" w:rsidRPr="001D601E" w:rsidRDefault="00763AC1" w:rsidP="00BE2485">
      <w:pPr>
        <w:pStyle w:val="tekstost"/>
        <w:numPr>
          <w:ilvl w:val="0"/>
          <w:numId w:val="4"/>
        </w:numPr>
        <w:shd w:val="clear" w:color="auto" w:fill="FFFFFF" w:themeFill="background1"/>
        <w:tabs>
          <w:tab w:val="left" w:pos="142"/>
        </w:tabs>
        <w:ind w:left="0" w:firstLine="0"/>
        <w:rPr>
          <w:rFonts w:ascii="Arial" w:hAnsi="Arial" w:cs="Arial"/>
        </w:rPr>
      </w:pPr>
      <w:r w:rsidRPr="001D601E">
        <w:rPr>
          <w:rFonts w:ascii="Arial" w:hAnsi="Arial" w:cs="Arial"/>
        </w:rPr>
        <w:t>podatki obliczone zgodnie z obowiązującymi przepisami.</w:t>
      </w:r>
    </w:p>
    <w:p w14:paraId="25343BC1"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Do cen jednostkowych nie należy wliczać podatku VAT.</w:t>
      </w:r>
    </w:p>
    <w:p w14:paraId="5FE530FB"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9.2. Warunki umowy i wymagania ogólne D-M-00.00.00</w:t>
      </w:r>
    </w:p>
    <w:p w14:paraId="7694ED2A"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Koszt dostosowania się do wymagań warunków umowy i wymagań ogólnych zawartych w D-M-00.00.00 obejmuje wszystkie warunki określone w ww. dokumentach, a nie wyszczególnione w kosztorysie.</w:t>
      </w:r>
    </w:p>
    <w:p w14:paraId="4A5B583F" w14:textId="77777777" w:rsidR="00763AC1" w:rsidRPr="001D601E" w:rsidRDefault="00763AC1"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9.3. Objazdy, przejazdy i organizacja ruchu</w:t>
      </w:r>
    </w:p>
    <w:p w14:paraId="2D55499F"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Koszt  wybudowania objazdów/przejazdów i organizacji ruchu obejmuje:</w:t>
      </w:r>
    </w:p>
    <w:p w14:paraId="3BF61F58" w14:textId="77777777" w:rsidR="00763AC1" w:rsidRPr="001D601E" w:rsidRDefault="00763AC1" w:rsidP="00BE2485">
      <w:pPr>
        <w:pStyle w:val="tekstost"/>
        <w:numPr>
          <w:ilvl w:val="0"/>
          <w:numId w:val="14"/>
        </w:numPr>
        <w:shd w:val="clear" w:color="auto" w:fill="FFFFFF" w:themeFill="background1"/>
        <w:tabs>
          <w:tab w:val="left" w:pos="142"/>
        </w:tabs>
        <w:ind w:left="0" w:firstLine="0"/>
        <w:rPr>
          <w:rFonts w:ascii="Arial" w:hAnsi="Arial" w:cs="Arial"/>
        </w:rPr>
      </w:pPr>
      <w:r w:rsidRPr="001D601E">
        <w:rPr>
          <w:rFonts w:ascii="Arial" w:hAnsi="Arial" w:cs="Arial"/>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6C1D50DA" w14:textId="77777777" w:rsidR="00763AC1" w:rsidRPr="001D601E" w:rsidRDefault="00763AC1" w:rsidP="00BE2485">
      <w:pPr>
        <w:pStyle w:val="tekstost"/>
        <w:numPr>
          <w:ilvl w:val="0"/>
          <w:numId w:val="14"/>
        </w:numPr>
        <w:shd w:val="clear" w:color="auto" w:fill="FFFFFF" w:themeFill="background1"/>
        <w:tabs>
          <w:tab w:val="left" w:pos="142"/>
        </w:tabs>
        <w:ind w:left="0" w:firstLine="0"/>
        <w:rPr>
          <w:rFonts w:ascii="Arial" w:hAnsi="Arial" w:cs="Arial"/>
        </w:rPr>
      </w:pPr>
      <w:r w:rsidRPr="001D601E">
        <w:rPr>
          <w:rFonts w:ascii="Arial" w:hAnsi="Arial" w:cs="Arial"/>
        </w:rPr>
        <w:lastRenderedPageBreak/>
        <w:t>ustawienie tymczasowego oznakowania i oświetlenia zgodnie z wymaganiami bezpieczeństwa ruchu,</w:t>
      </w:r>
    </w:p>
    <w:p w14:paraId="3BB3ABE3" w14:textId="77777777" w:rsidR="00763AC1" w:rsidRPr="001D601E" w:rsidRDefault="00763AC1" w:rsidP="00BE2485">
      <w:pPr>
        <w:pStyle w:val="tekstost"/>
        <w:numPr>
          <w:ilvl w:val="0"/>
          <w:numId w:val="14"/>
        </w:numPr>
        <w:shd w:val="clear" w:color="auto" w:fill="FFFFFF" w:themeFill="background1"/>
        <w:tabs>
          <w:tab w:val="left" w:pos="142"/>
        </w:tabs>
        <w:ind w:left="0" w:firstLine="0"/>
        <w:rPr>
          <w:rFonts w:ascii="Arial" w:hAnsi="Arial" w:cs="Arial"/>
        </w:rPr>
      </w:pPr>
      <w:r w:rsidRPr="001D601E">
        <w:rPr>
          <w:rFonts w:ascii="Arial" w:hAnsi="Arial" w:cs="Arial"/>
        </w:rPr>
        <w:t>©opłaty/dzierżawy terenu,</w:t>
      </w:r>
    </w:p>
    <w:p w14:paraId="76D6047E" w14:textId="77777777" w:rsidR="00763AC1" w:rsidRPr="001D601E" w:rsidRDefault="00763AC1" w:rsidP="00BE2485">
      <w:pPr>
        <w:pStyle w:val="tekstost"/>
        <w:numPr>
          <w:ilvl w:val="0"/>
          <w:numId w:val="14"/>
        </w:numPr>
        <w:shd w:val="clear" w:color="auto" w:fill="FFFFFF" w:themeFill="background1"/>
        <w:tabs>
          <w:tab w:val="left" w:pos="142"/>
        </w:tabs>
        <w:ind w:left="0" w:firstLine="0"/>
        <w:rPr>
          <w:rFonts w:ascii="Arial" w:hAnsi="Arial" w:cs="Arial"/>
        </w:rPr>
      </w:pPr>
      <w:r w:rsidRPr="001D601E">
        <w:rPr>
          <w:rFonts w:ascii="Arial" w:hAnsi="Arial" w:cs="Arial"/>
        </w:rPr>
        <w:t>przygotowanie terenu,</w:t>
      </w:r>
    </w:p>
    <w:p w14:paraId="0B775E99" w14:textId="77777777" w:rsidR="00763AC1" w:rsidRPr="001D601E" w:rsidRDefault="00763AC1" w:rsidP="00BE2485">
      <w:pPr>
        <w:pStyle w:val="tekstost"/>
        <w:numPr>
          <w:ilvl w:val="0"/>
          <w:numId w:val="14"/>
        </w:numPr>
        <w:shd w:val="clear" w:color="auto" w:fill="FFFFFF" w:themeFill="background1"/>
        <w:tabs>
          <w:tab w:val="left" w:pos="142"/>
        </w:tabs>
        <w:ind w:left="0" w:firstLine="0"/>
        <w:rPr>
          <w:rFonts w:ascii="Arial" w:hAnsi="Arial" w:cs="Arial"/>
        </w:rPr>
      </w:pPr>
      <w:r w:rsidRPr="001D601E">
        <w:rPr>
          <w:rFonts w:ascii="Arial" w:hAnsi="Arial" w:cs="Arial"/>
        </w:rPr>
        <w:t>konstrukcję tymczasowej nawierzchni, ramp, chodników, krawężników, barier, oznakowań i drenażu,</w:t>
      </w:r>
    </w:p>
    <w:p w14:paraId="7D74BAC4" w14:textId="77777777" w:rsidR="00763AC1" w:rsidRPr="001D601E" w:rsidRDefault="00763AC1" w:rsidP="00BE2485">
      <w:pPr>
        <w:pStyle w:val="tekstost"/>
        <w:numPr>
          <w:ilvl w:val="0"/>
          <w:numId w:val="14"/>
        </w:numPr>
        <w:shd w:val="clear" w:color="auto" w:fill="FFFFFF" w:themeFill="background1"/>
        <w:tabs>
          <w:tab w:val="left" w:pos="142"/>
        </w:tabs>
        <w:ind w:left="0" w:firstLine="0"/>
        <w:rPr>
          <w:rFonts w:ascii="Arial" w:hAnsi="Arial" w:cs="Arial"/>
        </w:rPr>
      </w:pPr>
      <w:r w:rsidRPr="001D601E">
        <w:rPr>
          <w:rFonts w:ascii="Arial" w:hAnsi="Arial" w:cs="Arial"/>
        </w:rPr>
        <w:t>tymczasową przebudowę urządzeń obcych.</w:t>
      </w:r>
    </w:p>
    <w:p w14:paraId="022DF156"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Koszt utrzymania objazdów/przejazdów i organizacji ruchu obejmuje:</w:t>
      </w:r>
    </w:p>
    <w:p w14:paraId="379014BC" w14:textId="77777777" w:rsidR="00763AC1" w:rsidRPr="001D601E" w:rsidRDefault="00763AC1" w:rsidP="00BE2485">
      <w:pPr>
        <w:pStyle w:val="tekstost"/>
        <w:numPr>
          <w:ilvl w:val="0"/>
          <w:numId w:val="15"/>
        </w:numPr>
        <w:shd w:val="clear" w:color="auto" w:fill="FFFFFF" w:themeFill="background1"/>
        <w:tabs>
          <w:tab w:val="left" w:pos="142"/>
        </w:tabs>
        <w:ind w:left="0" w:firstLine="0"/>
        <w:rPr>
          <w:rFonts w:ascii="Arial" w:hAnsi="Arial" w:cs="Arial"/>
        </w:rPr>
      </w:pPr>
      <w:r w:rsidRPr="001D601E">
        <w:rPr>
          <w:rFonts w:ascii="Arial" w:hAnsi="Arial" w:cs="Arial"/>
        </w:rPr>
        <w:t>oczyszczanie, przestawienie, przykrycie i usunięcie tymczasowych oznakowań pionowych, poziomych, barier i świateł,</w:t>
      </w:r>
    </w:p>
    <w:p w14:paraId="2D783562" w14:textId="77777777" w:rsidR="00763AC1" w:rsidRPr="001D601E" w:rsidRDefault="00763AC1" w:rsidP="00BE2485">
      <w:pPr>
        <w:pStyle w:val="tekstost"/>
        <w:numPr>
          <w:ilvl w:val="0"/>
          <w:numId w:val="15"/>
        </w:numPr>
        <w:shd w:val="clear" w:color="auto" w:fill="FFFFFF" w:themeFill="background1"/>
        <w:tabs>
          <w:tab w:val="left" w:pos="142"/>
        </w:tabs>
        <w:ind w:left="0" w:firstLine="0"/>
        <w:rPr>
          <w:rFonts w:ascii="Arial" w:hAnsi="Arial" w:cs="Arial"/>
        </w:rPr>
      </w:pPr>
      <w:r w:rsidRPr="001D601E">
        <w:rPr>
          <w:rFonts w:ascii="Arial" w:hAnsi="Arial" w:cs="Arial"/>
        </w:rPr>
        <w:t>utrzymanie płynności ruchu publicznego.</w:t>
      </w:r>
    </w:p>
    <w:p w14:paraId="77A4CD36" w14:textId="77777777" w:rsidR="00763AC1" w:rsidRPr="001D601E" w:rsidRDefault="00763AC1" w:rsidP="00BE2485">
      <w:pPr>
        <w:pStyle w:val="tekstost"/>
        <w:shd w:val="clear" w:color="auto" w:fill="FFFFFF" w:themeFill="background1"/>
        <w:tabs>
          <w:tab w:val="left" w:pos="142"/>
        </w:tabs>
        <w:rPr>
          <w:rFonts w:ascii="Arial" w:hAnsi="Arial" w:cs="Arial"/>
        </w:rPr>
      </w:pPr>
      <w:r w:rsidRPr="001D601E">
        <w:rPr>
          <w:rFonts w:ascii="Arial" w:hAnsi="Arial" w:cs="Arial"/>
        </w:rPr>
        <w:t>Koszt likwidacji objazdów/przejazdów i organizacji ruchu obejmuje:</w:t>
      </w:r>
    </w:p>
    <w:p w14:paraId="08617DF1" w14:textId="77777777" w:rsidR="00763AC1" w:rsidRPr="001D601E" w:rsidRDefault="00763AC1" w:rsidP="00BE2485">
      <w:pPr>
        <w:pStyle w:val="tekstost"/>
        <w:numPr>
          <w:ilvl w:val="0"/>
          <w:numId w:val="16"/>
        </w:numPr>
        <w:shd w:val="clear" w:color="auto" w:fill="FFFFFF" w:themeFill="background1"/>
        <w:tabs>
          <w:tab w:val="left" w:pos="142"/>
        </w:tabs>
        <w:ind w:left="0" w:firstLine="0"/>
        <w:rPr>
          <w:rFonts w:ascii="Arial" w:hAnsi="Arial" w:cs="Arial"/>
        </w:rPr>
      </w:pPr>
      <w:r w:rsidRPr="001D601E">
        <w:rPr>
          <w:rFonts w:ascii="Arial" w:hAnsi="Arial" w:cs="Arial"/>
        </w:rPr>
        <w:t>usunięcie wbudowanych materiałów i oznakowania,</w:t>
      </w:r>
    </w:p>
    <w:p w14:paraId="1F293AA1" w14:textId="77777777" w:rsidR="00763AC1" w:rsidRPr="001D601E" w:rsidRDefault="00763AC1" w:rsidP="00BE2485">
      <w:pPr>
        <w:pStyle w:val="tekstost"/>
        <w:numPr>
          <w:ilvl w:val="0"/>
          <w:numId w:val="16"/>
        </w:numPr>
        <w:shd w:val="clear" w:color="auto" w:fill="FFFFFF" w:themeFill="background1"/>
        <w:tabs>
          <w:tab w:val="left" w:pos="142"/>
        </w:tabs>
        <w:ind w:left="0" w:firstLine="0"/>
        <w:rPr>
          <w:rFonts w:ascii="Arial" w:hAnsi="Arial" w:cs="Arial"/>
        </w:rPr>
      </w:pPr>
      <w:r w:rsidRPr="001D601E">
        <w:rPr>
          <w:rFonts w:ascii="Arial" w:hAnsi="Arial" w:cs="Arial"/>
        </w:rPr>
        <w:t>doprowadzenie terenu do stanu pierwotnego.</w:t>
      </w:r>
    </w:p>
    <w:p w14:paraId="0BBAEF2F" w14:textId="77777777" w:rsidR="00763AC1" w:rsidRPr="001D601E" w:rsidRDefault="00763AC1" w:rsidP="00BE2485">
      <w:pPr>
        <w:pStyle w:val="Nagwek1"/>
        <w:shd w:val="clear" w:color="auto" w:fill="FFFFFF" w:themeFill="background1"/>
        <w:tabs>
          <w:tab w:val="left" w:pos="142"/>
        </w:tabs>
        <w:spacing w:line="240" w:lineRule="auto"/>
        <w:jc w:val="both"/>
        <w:rPr>
          <w:rFonts w:cs="Arial"/>
          <w:szCs w:val="20"/>
        </w:rPr>
      </w:pPr>
      <w:bookmarkStart w:id="37" w:name="_Toc416830707"/>
      <w:bookmarkStart w:id="38" w:name="_Toc6881288"/>
      <w:bookmarkStart w:id="39" w:name="_Toc6882161"/>
      <w:r w:rsidRPr="001D601E">
        <w:rPr>
          <w:rFonts w:cs="Arial"/>
          <w:szCs w:val="20"/>
        </w:rPr>
        <w:t>10. przepisy związane</w:t>
      </w:r>
      <w:bookmarkEnd w:id="37"/>
      <w:bookmarkEnd w:id="38"/>
      <w:bookmarkEnd w:id="39"/>
    </w:p>
    <w:p w14:paraId="1D76967F" w14:textId="77777777" w:rsidR="00763AC1" w:rsidRPr="001D601E" w:rsidRDefault="00763AC1" w:rsidP="00BE2485">
      <w:pPr>
        <w:pStyle w:val="tekstost"/>
        <w:numPr>
          <w:ilvl w:val="0"/>
          <w:numId w:val="17"/>
        </w:numPr>
        <w:shd w:val="clear" w:color="auto" w:fill="FFFFFF" w:themeFill="background1"/>
        <w:tabs>
          <w:tab w:val="left" w:pos="142"/>
        </w:tabs>
        <w:ind w:left="0" w:firstLine="0"/>
        <w:rPr>
          <w:rFonts w:ascii="Arial" w:hAnsi="Arial" w:cs="Arial"/>
        </w:rPr>
      </w:pPr>
      <w:r w:rsidRPr="001D601E">
        <w:rPr>
          <w:rFonts w:ascii="Arial" w:hAnsi="Arial" w:cs="Arial"/>
        </w:rPr>
        <w:t>Ustawa z dnia 7 lipca 1994 r. - Prawo budowlane (Dz. U. Nr 89, poz. 414 z później</w:t>
      </w:r>
      <w:r w:rsidRPr="001D601E">
        <w:rPr>
          <w:rFonts w:ascii="Arial" w:hAnsi="Arial" w:cs="Arial"/>
        </w:rPr>
        <w:softHyphen/>
        <w:t>szymi zmianami).</w:t>
      </w:r>
    </w:p>
    <w:p w14:paraId="6978575B" w14:textId="77777777" w:rsidR="00763AC1" w:rsidRPr="001D601E" w:rsidRDefault="00763AC1" w:rsidP="00BE2485">
      <w:pPr>
        <w:pStyle w:val="tekstost"/>
        <w:numPr>
          <w:ilvl w:val="0"/>
          <w:numId w:val="17"/>
        </w:numPr>
        <w:shd w:val="clear" w:color="auto" w:fill="FFFFFF" w:themeFill="background1"/>
        <w:tabs>
          <w:tab w:val="left" w:pos="142"/>
        </w:tabs>
        <w:ind w:left="0" w:firstLine="0"/>
        <w:rPr>
          <w:rFonts w:ascii="Arial" w:hAnsi="Arial" w:cs="Arial"/>
        </w:rPr>
      </w:pPr>
      <w:r w:rsidRPr="001D601E">
        <w:rPr>
          <w:rFonts w:ascii="Arial" w:hAnsi="Arial" w:cs="Arial"/>
        </w:rPr>
        <w:t>Zarządzenie Ministra Infrastruktury z dnia 19 listopada 2001 r. w sprawie dziennika budowy, montażu i rozbiórki oraz tablicy informacyjnej (Dz. U. Nr 138, poz. 1555).</w:t>
      </w:r>
    </w:p>
    <w:p w14:paraId="703D903E" w14:textId="48BC3A5D" w:rsidR="0021146B" w:rsidRPr="006431C4" w:rsidRDefault="00763AC1" w:rsidP="00BE2485">
      <w:pPr>
        <w:shd w:val="clear" w:color="auto" w:fill="FFFFFF" w:themeFill="background1"/>
        <w:tabs>
          <w:tab w:val="left" w:pos="142"/>
          <w:tab w:val="right" w:leader="dot" w:pos="10915"/>
        </w:tabs>
        <w:spacing w:line="240" w:lineRule="auto"/>
        <w:jc w:val="both"/>
        <w:rPr>
          <w:rFonts w:cs="Arial"/>
          <w:szCs w:val="20"/>
        </w:rPr>
      </w:pPr>
      <w:r w:rsidRPr="001D601E">
        <w:rPr>
          <w:rFonts w:cs="Arial"/>
        </w:rPr>
        <w:t>Ustawa z dnia 21 marca 1985 r. o drogach publicznych (Dz. U. Nr 14, poz. 60 z późniejszymi zmianami).</w:t>
      </w:r>
    </w:p>
    <w:p w14:paraId="63D4F249" w14:textId="7F601B79" w:rsidR="00D402EF" w:rsidRPr="00411FBF" w:rsidRDefault="003E6D9A" w:rsidP="00BE2485">
      <w:pPr>
        <w:keepNext/>
        <w:shd w:val="clear" w:color="auto" w:fill="FFFFFF" w:themeFill="background1"/>
        <w:tabs>
          <w:tab w:val="left" w:pos="142"/>
        </w:tabs>
        <w:spacing w:before="240" w:after="240" w:line="240" w:lineRule="auto"/>
        <w:jc w:val="both"/>
        <w:outlineLvl w:val="3"/>
        <w:rPr>
          <w:rFonts w:cs="Arial"/>
          <w:b/>
          <w:sz w:val="24"/>
        </w:rPr>
      </w:pPr>
      <w:r w:rsidRPr="00411FBF">
        <w:rPr>
          <w:rFonts w:cs="Arial"/>
          <w:b/>
          <w:bCs/>
          <w:sz w:val="24"/>
        </w:rPr>
        <w:t>D-01.0</w:t>
      </w:r>
      <w:r w:rsidR="00C602A7">
        <w:rPr>
          <w:rFonts w:cs="Arial"/>
          <w:b/>
          <w:bCs/>
          <w:sz w:val="24"/>
        </w:rPr>
        <w:t>0</w:t>
      </w:r>
      <w:r w:rsidRPr="00411FBF">
        <w:rPr>
          <w:rFonts w:cs="Arial"/>
          <w:b/>
          <w:bCs/>
          <w:sz w:val="24"/>
        </w:rPr>
        <w:t>.0</w:t>
      </w:r>
      <w:r w:rsidR="00C602A7">
        <w:rPr>
          <w:rFonts w:cs="Arial"/>
          <w:b/>
          <w:bCs/>
          <w:sz w:val="24"/>
        </w:rPr>
        <w:t>0</w:t>
      </w:r>
      <w:r w:rsidR="00FA010E" w:rsidRPr="00411FBF">
        <w:rPr>
          <w:rFonts w:cs="Arial"/>
          <w:b/>
          <w:bCs/>
          <w:sz w:val="24"/>
        </w:rPr>
        <w:t xml:space="preserve"> </w:t>
      </w:r>
      <w:r w:rsidR="00882315" w:rsidRPr="00411FBF">
        <w:rPr>
          <w:rFonts w:cs="Arial"/>
          <w:b/>
          <w:bCs/>
          <w:sz w:val="24"/>
        </w:rPr>
        <w:t xml:space="preserve">– </w:t>
      </w:r>
      <w:r w:rsidRPr="00411FBF">
        <w:rPr>
          <w:rFonts w:cs="Arial"/>
          <w:b/>
          <w:bCs/>
          <w:sz w:val="24"/>
        </w:rPr>
        <w:t>ROBOTY PRZYGOTOWAWCZE</w:t>
      </w:r>
    </w:p>
    <w:p w14:paraId="6B703821" w14:textId="77777777" w:rsidR="008F714E" w:rsidRPr="001D601E" w:rsidRDefault="008F714E" w:rsidP="00BE2485">
      <w:pPr>
        <w:pStyle w:val="Nagwek4"/>
        <w:shd w:val="clear" w:color="auto" w:fill="FFFFFF" w:themeFill="background1"/>
        <w:tabs>
          <w:tab w:val="left" w:pos="142"/>
        </w:tabs>
        <w:spacing w:line="240" w:lineRule="auto"/>
        <w:jc w:val="both"/>
        <w:rPr>
          <w:rFonts w:cs="Arial"/>
          <w:szCs w:val="20"/>
        </w:rPr>
      </w:pPr>
      <w:bookmarkStart w:id="40" w:name="_Toc88825492"/>
      <w:bookmarkStart w:id="41" w:name="_Toc111635969"/>
      <w:r w:rsidRPr="001D601E">
        <w:rPr>
          <w:rFonts w:cs="Arial"/>
          <w:szCs w:val="20"/>
        </w:rPr>
        <w:t>D-01.01.01 - ODTWORZENIE  TRASY I  PUNKTÓW  WYSOKOŚCIOWYCH</w:t>
      </w:r>
      <w:bookmarkEnd w:id="40"/>
      <w:bookmarkEnd w:id="41"/>
    </w:p>
    <w:p w14:paraId="4B263BF4"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1. WSTĘP</w:t>
      </w:r>
    </w:p>
    <w:p w14:paraId="14D6E41F"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1.1.Przedmiot SST</w:t>
      </w:r>
    </w:p>
    <w:p w14:paraId="12FA42FF"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Przedmiotem niniejszej szczegółowej specyfikacji technicznej są wymagania dotyczące wykonania i odbioru robót związanych z odtworzeniem trasy drogowej i jej punktów wysokościowych.</w:t>
      </w:r>
    </w:p>
    <w:p w14:paraId="25E8D9ED"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1.2. Zakres stosowania SST</w:t>
      </w:r>
    </w:p>
    <w:p w14:paraId="70FD0FCB"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2080594609"/>
        <w:placeholder>
          <w:docPart w:val="5FB4974F35C44262B52AA7BE2BAC538F"/>
        </w:placeholder>
        <w:dataBinding w:prefixMappings="xmlns:ns0='http://purl.org/dc/elements/1.1/' xmlns:ns1='http://schemas.openxmlformats.org/package/2006/metadata/core-properties' " w:xpath="/ns1:coreProperties[1]/ns0:subject[1]" w:storeItemID="{6C3C8BC8-F283-45AE-878A-BAB7291924A1}"/>
        <w:text/>
      </w:sdtPr>
      <w:sdtEndPr/>
      <w:sdtContent>
        <w:p w14:paraId="3753CF84" w14:textId="36F93E18" w:rsidR="008F714E" w:rsidRPr="001D601E" w:rsidRDefault="00484E05" w:rsidP="00BE2485">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254CBCAB"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1.3. Zakres robót objętych SST</w:t>
      </w:r>
    </w:p>
    <w:p w14:paraId="0BEEAB10"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Ustalenia zawarte w niniejszej szczegółowej specyfikacji dotyczą zasad prowadzenia robót związanych z wszystkimi czynnościami umożliwiającymi i mającymi na celu odtworzenie w terenie przebiegu trasy drogowej oraz położenia obiektów inżynierskich.</w:t>
      </w:r>
    </w:p>
    <w:p w14:paraId="5E254E77" w14:textId="77777777" w:rsidR="008F714E" w:rsidRPr="001D601E" w:rsidRDefault="008F714E"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b/>
          <w:szCs w:val="20"/>
        </w:rPr>
        <w:t>1.3.1.</w:t>
      </w:r>
      <w:r w:rsidRPr="001D601E">
        <w:rPr>
          <w:rFonts w:cs="Arial"/>
          <w:b/>
          <w:szCs w:val="20"/>
        </w:rPr>
        <w:tab/>
      </w:r>
      <w:r w:rsidRPr="001D601E">
        <w:rPr>
          <w:rFonts w:cs="Arial"/>
          <w:szCs w:val="20"/>
        </w:rPr>
        <w:t>Odtworzenie trasy i punktów wysokościowych</w:t>
      </w:r>
    </w:p>
    <w:p w14:paraId="58401A46" w14:textId="77777777" w:rsidR="008F714E" w:rsidRPr="001D601E" w:rsidRDefault="008F714E" w:rsidP="00BE2485">
      <w:pPr>
        <w:pStyle w:val="Lista-kontynuacja4"/>
        <w:shd w:val="clear" w:color="auto" w:fill="FFFFFF" w:themeFill="background1"/>
        <w:tabs>
          <w:tab w:val="left" w:pos="142"/>
        </w:tabs>
        <w:spacing w:after="0" w:line="240" w:lineRule="auto"/>
        <w:ind w:left="0"/>
        <w:jc w:val="both"/>
        <w:rPr>
          <w:rFonts w:cs="Arial"/>
          <w:szCs w:val="20"/>
        </w:rPr>
      </w:pPr>
      <w:r w:rsidRPr="001D601E">
        <w:rPr>
          <w:rFonts w:cs="Arial"/>
          <w:szCs w:val="20"/>
        </w:rPr>
        <w:t>W zakres robót pomiarowych, związanych z odtworzeniem trasy i punktów wysokościowych wchodzą:</w:t>
      </w:r>
    </w:p>
    <w:p w14:paraId="2E3CD09D" w14:textId="77777777" w:rsidR="008F714E" w:rsidRPr="001D601E" w:rsidRDefault="008F714E" w:rsidP="00BE2485">
      <w:pPr>
        <w:pStyle w:val="Lista5"/>
        <w:numPr>
          <w:ilvl w:val="0"/>
          <w:numId w:val="18"/>
        </w:numPr>
        <w:shd w:val="clear" w:color="auto" w:fill="FFFFFF" w:themeFill="background1"/>
        <w:tabs>
          <w:tab w:val="left" w:pos="142"/>
        </w:tabs>
        <w:spacing w:line="240" w:lineRule="auto"/>
        <w:ind w:left="0" w:firstLine="0"/>
        <w:jc w:val="both"/>
        <w:rPr>
          <w:rFonts w:cs="Arial"/>
          <w:szCs w:val="20"/>
        </w:rPr>
      </w:pPr>
      <w:r w:rsidRPr="001D601E">
        <w:rPr>
          <w:rFonts w:cs="Arial"/>
          <w:szCs w:val="20"/>
        </w:rPr>
        <w:t>sprawdzenie wyznaczenia sytuacyjnego i wysokościowego punktów głównych osi trasy   i punktów wysokościowych,</w:t>
      </w:r>
    </w:p>
    <w:p w14:paraId="6E1BE110" w14:textId="77777777" w:rsidR="008F714E" w:rsidRPr="001D601E" w:rsidRDefault="008F714E" w:rsidP="00BE2485">
      <w:pPr>
        <w:pStyle w:val="Lista5"/>
        <w:numPr>
          <w:ilvl w:val="0"/>
          <w:numId w:val="18"/>
        </w:numPr>
        <w:shd w:val="clear" w:color="auto" w:fill="FFFFFF" w:themeFill="background1"/>
        <w:tabs>
          <w:tab w:val="left" w:pos="142"/>
        </w:tabs>
        <w:spacing w:line="240" w:lineRule="auto"/>
        <w:ind w:left="0" w:firstLine="0"/>
        <w:jc w:val="both"/>
        <w:rPr>
          <w:rFonts w:cs="Arial"/>
          <w:szCs w:val="20"/>
        </w:rPr>
      </w:pPr>
      <w:r w:rsidRPr="001D601E">
        <w:rPr>
          <w:rFonts w:cs="Arial"/>
          <w:szCs w:val="20"/>
        </w:rPr>
        <w:t>uzupełnienie osi trasy dodatkowymi punktami (wyznaczenie osi),</w:t>
      </w:r>
    </w:p>
    <w:p w14:paraId="3E960E56" w14:textId="77777777" w:rsidR="008F714E" w:rsidRPr="001D601E" w:rsidRDefault="008F714E" w:rsidP="00BE2485">
      <w:pPr>
        <w:pStyle w:val="Lista5"/>
        <w:numPr>
          <w:ilvl w:val="0"/>
          <w:numId w:val="18"/>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wyznaczenie dodatkowych punktów wysokościowych (reperów roboczych),</w:t>
      </w:r>
    </w:p>
    <w:p w14:paraId="1DB0C5E5" w14:textId="77777777" w:rsidR="008F714E" w:rsidRPr="001D601E" w:rsidRDefault="008F714E" w:rsidP="00BE2485">
      <w:pPr>
        <w:pStyle w:val="Lista5"/>
        <w:numPr>
          <w:ilvl w:val="0"/>
          <w:numId w:val="18"/>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wyznaczenie przekrojów poprzecznych,</w:t>
      </w:r>
    </w:p>
    <w:p w14:paraId="21A4B510" w14:textId="77777777" w:rsidR="008F714E" w:rsidRPr="001D601E" w:rsidRDefault="008F714E" w:rsidP="00BE2485">
      <w:pPr>
        <w:pStyle w:val="Lista5"/>
        <w:numPr>
          <w:ilvl w:val="0"/>
          <w:numId w:val="18"/>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zastabilizowanie punktów w sposób trwały, ochrona ich przed zniszczeniem oraz oznakowanie w sposób ułatwiający odszukanie i ewentualne odtworzenie.</w:t>
      </w:r>
    </w:p>
    <w:p w14:paraId="46C2FC9B" w14:textId="77777777" w:rsidR="008F714E" w:rsidRPr="001D601E" w:rsidRDefault="008F714E"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b/>
          <w:szCs w:val="20"/>
        </w:rPr>
        <w:t>1.3.2.</w:t>
      </w:r>
      <w:r w:rsidRPr="001D601E">
        <w:rPr>
          <w:rFonts w:cs="Arial"/>
          <w:b/>
          <w:szCs w:val="20"/>
        </w:rPr>
        <w:tab/>
      </w:r>
      <w:r w:rsidRPr="001D601E">
        <w:rPr>
          <w:rFonts w:cs="Arial"/>
          <w:szCs w:val="20"/>
        </w:rPr>
        <w:t>Wyznaczenie obiektów mostowych</w:t>
      </w:r>
    </w:p>
    <w:p w14:paraId="41619F53"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Wyznaczenie obiektów mostowych obejmuje sprawdzenie wyznaczenia osi obiektu i punktów wysokościowych, zastabilizowanie ich w sposób trwały, ochronę ich przed zniszczeniem, oznakowanie w sposób ułatwiający odszukanie i ewentualne odtworzenie oraz wyznaczenie usytuowania obiektu (kontur, podpory, punkty).</w:t>
      </w:r>
    </w:p>
    <w:p w14:paraId="592A04E6"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1.4. Określenia podstawowe</w:t>
      </w:r>
    </w:p>
    <w:p w14:paraId="3C0ACBEA" w14:textId="77777777" w:rsidR="008F714E" w:rsidRPr="001D601E" w:rsidRDefault="008F714E"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b/>
          <w:szCs w:val="20"/>
        </w:rPr>
        <w:t>1.4.1.</w:t>
      </w:r>
      <w:r w:rsidRPr="001D601E">
        <w:rPr>
          <w:rFonts w:cs="Arial"/>
          <w:b/>
          <w:szCs w:val="20"/>
        </w:rPr>
        <w:tab/>
      </w:r>
      <w:r w:rsidRPr="001D601E">
        <w:rPr>
          <w:rFonts w:cs="Arial"/>
          <w:szCs w:val="20"/>
        </w:rPr>
        <w:t>Punkty główne trasy - punkty załamania osi trasy, punkty kierunkowe oraz początkowy i końcowy punkt trasy.</w:t>
      </w:r>
    </w:p>
    <w:p w14:paraId="053D9A1E" w14:textId="77777777" w:rsidR="008F714E" w:rsidRPr="001D601E" w:rsidRDefault="008F714E"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b/>
          <w:szCs w:val="20"/>
        </w:rPr>
        <w:t>1.4.2.</w:t>
      </w:r>
      <w:r w:rsidRPr="001D601E">
        <w:rPr>
          <w:rFonts w:cs="Arial"/>
          <w:b/>
          <w:szCs w:val="20"/>
        </w:rPr>
        <w:tab/>
      </w:r>
      <w:r w:rsidRPr="001D601E">
        <w:rPr>
          <w:rFonts w:cs="Arial"/>
          <w:szCs w:val="20"/>
        </w:rPr>
        <w:t>Pozostałe określenia podstawowe są zgodne z obowiązującymi, odpowiednimi polskimi normami i z definicjami podanymi w SST D-M-00.00.00 „Wymagania ogólne” pkt 1.4.</w:t>
      </w:r>
    </w:p>
    <w:p w14:paraId="274E16AA"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1.5. Ogólne wymagania dotyczące robót</w:t>
      </w:r>
    </w:p>
    <w:p w14:paraId="79C84036"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robót podano w SST D-M-00.00.00 „Wymagania ogólne” pkt 1.5.</w:t>
      </w:r>
    </w:p>
    <w:p w14:paraId="12544A43"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2. MATERIAŁY</w:t>
      </w:r>
    </w:p>
    <w:p w14:paraId="46B19C85"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2.1. Ogólne wymagania dotyczące materiałów</w:t>
      </w:r>
    </w:p>
    <w:p w14:paraId="26CE6C4A"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materiałów, ich pozyskiwania i składowania podano w SST D-M-00.00.00 „Wymagania ogólne” pkt 2.</w:t>
      </w:r>
    </w:p>
    <w:p w14:paraId="581D21C8"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2.2. Rodzaje materiałów</w:t>
      </w:r>
    </w:p>
    <w:p w14:paraId="70A5D9C2"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 utrwalenia punktów głównych trasy należy stosować pale drewniane z gwoździem lub prętem stalowym, słupki betonowe albo rury metalowe o długości około 0,50 metra.</w:t>
      </w:r>
    </w:p>
    <w:p w14:paraId="259FDB18"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Pale drewniane umieszczone poza granicą robót ziemnych, w sąsiedztwie punktów załamania trasy, powinny mieć średnicę od  0,15 do 0,20 m  i długość od 1,5 do 1,7 m.</w:t>
      </w:r>
    </w:p>
    <w:p w14:paraId="00A4E5B0"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 stabilizacji pozostałych punktów należy stosować paliki drewniane średnicy od 0,05 do 0,08 m i długości około 0,30 m, a dla punktów utrwalanych w istniejącej nawierzchni bolce stalowe średnicy 5 mm i długości od  0,04 do 0,05 m.</w:t>
      </w:r>
    </w:p>
    <w:p w14:paraId="510C4CBB"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„Świadki” powinny mieć długość około 0,50 m i przekrój prostokątny.</w:t>
      </w:r>
    </w:p>
    <w:p w14:paraId="5FE879D3"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lastRenderedPageBreak/>
        <w:t>3. SPRZĘT</w:t>
      </w:r>
    </w:p>
    <w:p w14:paraId="74967B6D"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3.1. Ogólne wymagania dotyczące sprzętu</w:t>
      </w:r>
    </w:p>
    <w:p w14:paraId="4C09F464"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sprzętu podano w SST D-M-00.00.00 „Wymagania ogólne” pkt 3.</w:t>
      </w:r>
    </w:p>
    <w:p w14:paraId="34F17A78"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3.2. Sprzęt pomiarowy</w:t>
      </w:r>
    </w:p>
    <w:p w14:paraId="2EF414C7" w14:textId="77777777" w:rsidR="008F714E" w:rsidRPr="001D601E" w:rsidRDefault="008F714E" w:rsidP="00BE2485">
      <w:pPr>
        <w:pStyle w:val="Lista-kontynuacja3"/>
        <w:shd w:val="clear" w:color="auto" w:fill="FFFFFF" w:themeFill="background1"/>
        <w:tabs>
          <w:tab w:val="left" w:pos="142"/>
        </w:tabs>
        <w:spacing w:after="0" w:line="240" w:lineRule="auto"/>
        <w:ind w:left="0"/>
        <w:jc w:val="both"/>
        <w:rPr>
          <w:rFonts w:cs="Arial"/>
          <w:szCs w:val="20"/>
        </w:rPr>
      </w:pPr>
      <w:r w:rsidRPr="001D601E">
        <w:rPr>
          <w:rFonts w:cs="Arial"/>
          <w:szCs w:val="20"/>
        </w:rPr>
        <w:t>Do odtworzenia sytuacyjnego trasy i punktów wysokościowych należy stosować następujący sprzęt:</w:t>
      </w:r>
    </w:p>
    <w:p w14:paraId="64CDDF32"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teodolity lub tachimetry,</w:t>
      </w:r>
    </w:p>
    <w:p w14:paraId="48F87740"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niwelatory,</w:t>
      </w:r>
    </w:p>
    <w:p w14:paraId="7F03B647"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dalmierze,</w:t>
      </w:r>
    </w:p>
    <w:p w14:paraId="4C74AE70"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tyczki,</w:t>
      </w:r>
    </w:p>
    <w:p w14:paraId="3354E737"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łaty,</w:t>
      </w:r>
    </w:p>
    <w:p w14:paraId="5B36EB5E"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taśmy stalowe, szpilki.</w:t>
      </w:r>
    </w:p>
    <w:p w14:paraId="64F04C70"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Sprzęt stosowany do odtworzenia trasy drogowej i jej punktów wysokościowych powinien gwarantować uzyskanie wymaganej dokładności pomiaru.</w:t>
      </w:r>
    </w:p>
    <w:p w14:paraId="71B155FA"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4. TRANSPORT</w:t>
      </w:r>
    </w:p>
    <w:p w14:paraId="3B3C4A3D"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4.1. Ogólne wymagania dotyczące transportu</w:t>
      </w:r>
    </w:p>
    <w:p w14:paraId="12F8C7BA"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transportu podano w SST D-M-00.00.00 „Wymagania ogólne” pkt 4.</w:t>
      </w:r>
    </w:p>
    <w:p w14:paraId="6D12DB92"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4.2. Transport sprzętu i materiałów</w:t>
      </w:r>
    </w:p>
    <w:p w14:paraId="077E684E"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Sprzęt i materiały do odtworzenia trasy można przewozić dowolnymi środkami transportu.</w:t>
      </w:r>
    </w:p>
    <w:p w14:paraId="177419FB"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5. WYKONANIE ROBÓT</w:t>
      </w:r>
    </w:p>
    <w:p w14:paraId="5C157B03"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5.1. Ogólne zasady wykonania robót</w:t>
      </w:r>
    </w:p>
    <w:p w14:paraId="3F1D1135"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wykonania robót podano w SST D-M-00.00.00 „Wymagania ogólne” pkt 5.</w:t>
      </w:r>
    </w:p>
    <w:p w14:paraId="592A0667"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5.2. Zasady wykonywania prac pomiarowych</w:t>
      </w:r>
    </w:p>
    <w:p w14:paraId="3C4489B1"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Prace pomiarowe powinny być wykonane zgodnie z obowiązującymi Instrukcjami GUGiK (od 1 do 7).</w:t>
      </w:r>
    </w:p>
    <w:p w14:paraId="2C6310D6"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Przed przystąpieniem do robót Wykonawca powinien przejąć od Zamawiającego dane zawierające lokalizację i współrzędne punktów głównych trasy oraz reperów.</w:t>
      </w:r>
    </w:p>
    <w:p w14:paraId="6F89AACB"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oparciu o materiały dostarczone przez Zamawiającego, Wykonawca powinien przeprowadzić obliczenia i pomiary geodezyjne niezbędne do szczegółowego wytyczenia robót.</w:t>
      </w:r>
    </w:p>
    <w:p w14:paraId="0F6A31C6"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Prace pomiarowe powinny być wykonane przez osoby posiadające odpowiednie kwalifikacje i uprawnienia.</w:t>
      </w:r>
    </w:p>
    <w:p w14:paraId="78042E80"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powinien natychmiast poinformować Inżyniera o wszelkich błędach wykrytych w wytyczeniu punktów głównych trasy i (lub) reperów roboczych. Błędy te powinny być usunięte na koszt Zamawiającego.</w:t>
      </w:r>
    </w:p>
    <w:p w14:paraId="5378DFD5"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5F2FC79E"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Wszystkie roboty, które bazują na pomiarach Wykonawcy, nie mogą być rozpoczęte przed zaakceptowaniem wyników pomiarów przez Inżyniera.</w:t>
      </w:r>
    </w:p>
    <w:p w14:paraId="4709DF0D"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60BEC9B7"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124D6313"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Wszystkie pozostałe prace pomiarowe konieczne dla prawidłowej realizacji robót należą do obowiązków Wykonawcy.</w:t>
      </w:r>
    </w:p>
    <w:p w14:paraId="3DDE9177"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5.3. Sprawdzenie wyznaczenia punktów głównych osi trasy i punktów</w:t>
      </w:r>
    </w:p>
    <w:p w14:paraId="1E7F5999"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wysokościowych</w:t>
      </w:r>
    </w:p>
    <w:p w14:paraId="169D147B" w14:textId="77777777" w:rsidR="008F714E" w:rsidRPr="001D601E" w:rsidRDefault="008F714E" w:rsidP="00BE2485">
      <w:pPr>
        <w:shd w:val="clear" w:color="auto" w:fill="FFFFFF" w:themeFill="background1"/>
        <w:tabs>
          <w:tab w:val="left" w:pos="142"/>
        </w:tabs>
        <w:spacing w:line="240" w:lineRule="auto"/>
        <w:jc w:val="both"/>
        <w:rPr>
          <w:rFonts w:cs="Arial"/>
          <w:szCs w:val="20"/>
        </w:rPr>
      </w:pPr>
      <w:r w:rsidRPr="001D601E">
        <w:rPr>
          <w:rFonts w:cs="Arial"/>
          <w:b/>
          <w:szCs w:val="20"/>
        </w:rPr>
        <w:tab/>
      </w:r>
      <w:r w:rsidRPr="001D601E">
        <w:rPr>
          <w:rFonts w:cs="Arial"/>
          <w:szCs w:val="20"/>
        </w:rPr>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23277A9E" w14:textId="77777777" w:rsidR="008F714E" w:rsidRPr="001D601E" w:rsidRDefault="008F714E" w:rsidP="00BE2485">
      <w:pPr>
        <w:shd w:val="clear" w:color="auto" w:fill="FFFFFF" w:themeFill="background1"/>
        <w:tabs>
          <w:tab w:val="left" w:pos="142"/>
        </w:tabs>
        <w:spacing w:line="240" w:lineRule="auto"/>
        <w:jc w:val="both"/>
        <w:rPr>
          <w:rFonts w:cs="Arial"/>
          <w:szCs w:val="20"/>
        </w:rPr>
      </w:pPr>
      <w:r w:rsidRPr="001D601E">
        <w:rPr>
          <w:rFonts w:cs="Arial"/>
          <w:szCs w:val="20"/>
        </w:rPr>
        <w:tab/>
        <w:t>Zamawiający powinien założyć robocze punkty wysokościowe (repery robocze) wzdłuż osi trasy drogowej, a także przy każdym obiekcie inżynierskim.</w:t>
      </w:r>
    </w:p>
    <w:p w14:paraId="3C97C143" w14:textId="77777777" w:rsidR="008F714E" w:rsidRPr="001D601E" w:rsidRDefault="008F714E" w:rsidP="00BE2485">
      <w:pPr>
        <w:shd w:val="clear" w:color="auto" w:fill="FFFFFF" w:themeFill="background1"/>
        <w:tabs>
          <w:tab w:val="left" w:pos="142"/>
        </w:tabs>
        <w:spacing w:line="240" w:lineRule="auto"/>
        <w:jc w:val="both"/>
        <w:rPr>
          <w:rFonts w:cs="Arial"/>
          <w:szCs w:val="20"/>
        </w:rPr>
      </w:pPr>
      <w:r w:rsidRPr="001D601E">
        <w:rPr>
          <w:rFonts w:cs="Arial"/>
          <w:szCs w:val="20"/>
        </w:rPr>
        <w:tab/>
        <w:t>Maksymalna odległość między reperami roboczymi wzdłuż trasy drogowej w terenie płaskim powinna wynosić 500 metrów, natomiast w terenie falistym i górskim powinna być odpowiednio zmniejszona, zależnie od jego konfiguracji.</w:t>
      </w:r>
    </w:p>
    <w:p w14:paraId="24DDF438" w14:textId="77777777" w:rsidR="008F714E" w:rsidRPr="001D601E" w:rsidRDefault="008F714E" w:rsidP="00BE2485">
      <w:pPr>
        <w:shd w:val="clear" w:color="auto" w:fill="FFFFFF" w:themeFill="background1"/>
        <w:tabs>
          <w:tab w:val="left" w:pos="142"/>
        </w:tabs>
        <w:spacing w:line="240" w:lineRule="auto"/>
        <w:jc w:val="both"/>
        <w:rPr>
          <w:rFonts w:cs="Arial"/>
          <w:szCs w:val="20"/>
        </w:rPr>
      </w:pPr>
      <w:r w:rsidRPr="001D601E">
        <w:rPr>
          <w:rFonts w:cs="Arial"/>
          <w:szCs w:val="20"/>
        </w:rPr>
        <w:tab/>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14:paraId="71EEC9C1" w14:textId="77777777" w:rsidR="008F714E" w:rsidRPr="001D601E" w:rsidRDefault="008F714E" w:rsidP="00BE2485">
      <w:pPr>
        <w:shd w:val="clear" w:color="auto" w:fill="FFFFFF" w:themeFill="background1"/>
        <w:tabs>
          <w:tab w:val="left" w:pos="142"/>
        </w:tabs>
        <w:spacing w:line="240" w:lineRule="auto"/>
        <w:jc w:val="both"/>
        <w:rPr>
          <w:rFonts w:cs="Arial"/>
          <w:szCs w:val="20"/>
        </w:rPr>
      </w:pPr>
      <w:r w:rsidRPr="001D601E">
        <w:rPr>
          <w:rFonts w:cs="Arial"/>
          <w:szCs w:val="20"/>
        </w:rPr>
        <w:tab/>
        <w:t>Rzędne reperów roboczych należy określać z taką dokładnością, aby średni błąd niwelacji po wyrównaniu był mniejszy od 4 mm/km, stosując niwelację podwójną w nawiązaniu do reperów państwowych.</w:t>
      </w:r>
    </w:p>
    <w:p w14:paraId="70BEE0E7" w14:textId="77777777" w:rsidR="008F714E" w:rsidRPr="001D601E" w:rsidRDefault="008F714E" w:rsidP="00BE2485">
      <w:pPr>
        <w:shd w:val="clear" w:color="auto" w:fill="FFFFFF" w:themeFill="background1"/>
        <w:tabs>
          <w:tab w:val="left" w:pos="142"/>
        </w:tabs>
        <w:spacing w:line="240" w:lineRule="auto"/>
        <w:jc w:val="both"/>
        <w:rPr>
          <w:rFonts w:cs="Arial"/>
          <w:szCs w:val="20"/>
        </w:rPr>
      </w:pPr>
      <w:r w:rsidRPr="001D601E">
        <w:rPr>
          <w:rFonts w:cs="Arial"/>
          <w:szCs w:val="20"/>
        </w:rPr>
        <w:tab/>
        <w:t>Repery robocze powinny być wyposażone w dodatkowe oznaczenia, zawierające wyraźne i jednoznaczne określenie nazwy reperu i jego rzędnej.</w:t>
      </w:r>
    </w:p>
    <w:p w14:paraId="65C6FE6B"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lastRenderedPageBreak/>
        <w:t>5.4. Odtworzenie osi trasy</w:t>
      </w:r>
    </w:p>
    <w:p w14:paraId="1E1B3C7E"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Tyczenie osi trasy należy wykonać w oparciu o dokumentację projektową oraz inne dane geodezyjne przekazane przez Zamawiającego, przy wykorzystaniu sieci poligonizacji państwowej albo innej osnowy geodezyjnej, określonej w dokumentacji projektowej.</w:t>
      </w:r>
    </w:p>
    <w:p w14:paraId="15EC7DA6"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Oś trasy powinna być wyznaczona w punktach głównych i w punktach pośrednich w odległości zależnej od charakterystyki terenu i ukształtowania trasy, lecz nie rzadziej niż co 50 metrów.</w:t>
      </w:r>
    </w:p>
    <w:p w14:paraId="2C9D14E9"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w:t>
      </w:r>
    </w:p>
    <w:p w14:paraId="2137ECB0"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 utrwalenia osi trasy w terenie należy użyć materiałów wymienionych w pkt 2.2.</w:t>
      </w:r>
    </w:p>
    <w:p w14:paraId="797FDEB2"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Usunięcie pali z osi trasy jest dopuszczalne tylko wówczas, gdy Wykonawca robót zastąpi je odpowiednimi palami po obu stronach osi, umieszczonych poza granicą robót.</w:t>
      </w:r>
    </w:p>
    <w:p w14:paraId="398F4CCC"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5.5. Wyznaczenie przekrojów poprzecznych</w:t>
      </w:r>
    </w:p>
    <w:p w14:paraId="49820AF2"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1CEAC1C7"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14:paraId="7518BD4A"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Profilowanie przekrojów poprzecznych musi umożliwiać wykonanie nasypów i wykopów o kształcie zgodnym z dokumentacją projektową.</w:t>
      </w:r>
    </w:p>
    <w:p w14:paraId="5122C375"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5.6. Wyznaczenie położenia obiektów mostowych</w:t>
      </w:r>
    </w:p>
    <w:p w14:paraId="3DB137D8" w14:textId="77777777" w:rsidR="008F714E" w:rsidRPr="001D601E" w:rsidRDefault="008F714E" w:rsidP="00BE2485">
      <w:pPr>
        <w:pStyle w:val="Lista-kontynuacja3"/>
        <w:shd w:val="clear" w:color="auto" w:fill="FFFFFF" w:themeFill="background1"/>
        <w:tabs>
          <w:tab w:val="left" w:pos="142"/>
        </w:tabs>
        <w:spacing w:after="0" w:line="240" w:lineRule="auto"/>
        <w:ind w:left="0"/>
        <w:jc w:val="both"/>
        <w:rPr>
          <w:rFonts w:cs="Arial"/>
          <w:szCs w:val="20"/>
        </w:rPr>
      </w:pPr>
      <w:r w:rsidRPr="001D601E">
        <w:rPr>
          <w:rFonts w:cs="Arial"/>
          <w:szCs w:val="20"/>
        </w:rPr>
        <w:t>Dla każdego z obiektów mostowych należy wyznaczyć jego położenie w terenie poprzez:</w:t>
      </w:r>
    </w:p>
    <w:p w14:paraId="52B8393A" w14:textId="77777777" w:rsidR="008F714E" w:rsidRPr="001D601E" w:rsidRDefault="008F714E" w:rsidP="00BE2485">
      <w:pPr>
        <w:pStyle w:val="Lista4"/>
        <w:numPr>
          <w:ilvl w:val="0"/>
          <w:numId w:val="19"/>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wytyczenie osi obiektu,</w:t>
      </w:r>
    </w:p>
    <w:p w14:paraId="00784529" w14:textId="77777777" w:rsidR="008F714E" w:rsidRPr="001D601E" w:rsidRDefault="008F714E" w:rsidP="00BE2485">
      <w:pPr>
        <w:pStyle w:val="Lista4"/>
        <w:numPr>
          <w:ilvl w:val="0"/>
          <w:numId w:val="19"/>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wytyczenie punktów określających usytuowanie (kontur) obiektu, w szczególności przyczółków i filarów mostów i wiaduktów.</w:t>
      </w:r>
    </w:p>
    <w:p w14:paraId="2101D644"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przypadku mostów i wiaduktów dokumentacja projektowa powinna zawierać opis odpowiedniej osnowy realizacyjnej do wytyczenia tych obiektów.</w:t>
      </w:r>
    </w:p>
    <w:p w14:paraId="5E85B429"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Położenie obiektu w planie należy określić z dokładnością określoną w                punkcie 5.4.</w:t>
      </w:r>
    </w:p>
    <w:p w14:paraId="4A5D7CD9"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6. KONTROLA JAKOŚCI ROBÓT</w:t>
      </w:r>
    </w:p>
    <w:p w14:paraId="7F8B5ADC"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6.1. Ogólne zasady kontroli jakości robót</w:t>
      </w:r>
    </w:p>
    <w:p w14:paraId="20299572"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kontroli jakości robót podano w SST D-M-00.00.00 „Wymagania ogólne” pkt 6.</w:t>
      </w:r>
    </w:p>
    <w:p w14:paraId="76570310"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6.2. Kontrola jakości prac pomiarowych</w:t>
      </w:r>
    </w:p>
    <w:p w14:paraId="031D760D"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Kontrolę jakości prac pomiarowych związanych z odtworzeniem trasy i punktów wysokościowych należy prowadzić według ogólnych zasad określonych w instrukcjach i wytycznych GUGiK (1,2,3,4,5,6,7) zgodnie z wymaganiami podanymi w pkt 5.4.</w:t>
      </w:r>
    </w:p>
    <w:p w14:paraId="1C46804E"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7. OBMIAR ROBÓT</w:t>
      </w:r>
    </w:p>
    <w:p w14:paraId="57B4F0ED"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7.1. Ogólne zasady obmiaru robót</w:t>
      </w:r>
    </w:p>
    <w:p w14:paraId="538B949B"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obmiaru robót podano w SST D-M-00.00.00 „Wymagania ogólne” pkt 7.</w:t>
      </w:r>
    </w:p>
    <w:p w14:paraId="2CD0D65A"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7.2. Jednostka obmiarowa</w:t>
      </w:r>
    </w:p>
    <w:p w14:paraId="62BBFE94"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Jednostką obmiarową jest km (kilometr) odtworzonej trasy w terenie.</w:t>
      </w:r>
    </w:p>
    <w:p w14:paraId="61226355"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Obmiar robót związanych z wyznaczeniem obiektów jest częścią obmiaru robót mostowych.</w:t>
      </w:r>
    </w:p>
    <w:p w14:paraId="7F499F79"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8. ODBIÓR ROBÓT</w:t>
      </w:r>
    </w:p>
    <w:p w14:paraId="4677DEDE"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8.1. Ogólne zasady odbioru robót</w:t>
      </w:r>
    </w:p>
    <w:p w14:paraId="7FADB280"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odbioru robót podano w SST D-M-00.00.00 „Wymagania ogólne” pkt 8.</w:t>
      </w:r>
    </w:p>
    <w:p w14:paraId="45A5E01F"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8.2. Sposób odbioru robót</w:t>
      </w:r>
    </w:p>
    <w:p w14:paraId="0793D66A"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Odbiór robót związanych z odtworzeniem trasy w terenie następuje na podstawie szkiców i dzienników pomiarów geodezyjnych lub protokołu z kontroli geodezyjnej, które Wykonawca przedkłada Inżynierowi.</w:t>
      </w:r>
    </w:p>
    <w:p w14:paraId="4D95491E"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9. PODSTAWA PŁATNOŚCI</w:t>
      </w:r>
    </w:p>
    <w:p w14:paraId="7322EEF8"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9.1. Ogólne ustalenia dotyczące podstawy płatności</w:t>
      </w:r>
    </w:p>
    <w:p w14:paraId="1E368F97"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ustalenia dotyczące podstawy płatności podano w SST D-M-00.00.00 „Wymagania ogólne” pkt 9.</w:t>
      </w:r>
    </w:p>
    <w:p w14:paraId="2E2F521F" w14:textId="77777777" w:rsidR="008F714E" w:rsidRPr="001D601E" w:rsidRDefault="008F714E"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9.2. Cena jednostki obmiarowej</w:t>
      </w:r>
    </w:p>
    <w:p w14:paraId="686E46ED" w14:textId="77777777" w:rsidR="008F714E" w:rsidRPr="001D601E" w:rsidRDefault="008F714E" w:rsidP="00BE2485">
      <w:pPr>
        <w:pStyle w:val="Lista-kontynuacja3"/>
        <w:shd w:val="clear" w:color="auto" w:fill="FFFFFF" w:themeFill="background1"/>
        <w:tabs>
          <w:tab w:val="left" w:pos="142"/>
        </w:tabs>
        <w:spacing w:after="0" w:line="240" w:lineRule="auto"/>
        <w:ind w:left="0"/>
        <w:jc w:val="both"/>
        <w:rPr>
          <w:rFonts w:cs="Arial"/>
          <w:szCs w:val="20"/>
        </w:rPr>
      </w:pPr>
      <w:r w:rsidRPr="001D601E">
        <w:rPr>
          <w:rFonts w:cs="Arial"/>
          <w:szCs w:val="20"/>
        </w:rPr>
        <w:t>Cena 1 km wykonania robót obejmuje:</w:t>
      </w:r>
    </w:p>
    <w:p w14:paraId="69A3DFDE"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sprawdzenie wyznaczenia punktów głównych osi trasy i punktów wysokościowych,</w:t>
      </w:r>
    </w:p>
    <w:p w14:paraId="4ED02575"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uzupełnienie osi trasy dodatkowymi punktami,</w:t>
      </w:r>
    </w:p>
    <w:p w14:paraId="2239E33B"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wyznaczenie dodatkowych punktów wysokościowych,</w:t>
      </w:r>
    </w:p>
    <w:p w14:paraId="21CF0D3A"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wyznaczenie przekrojów poprzecznych z ewentualnym wytyczeniem dodatkowych przekrojów,</w:t>
      </w:r>
    </w:p>
    <w:p w14:paraId="1F3B25CA" w14:textId="77777777" w:rsidR="008F714E" w:rsidRPr="001D601E" w:rsidRDefault="008F714E"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zastabilizowanie punktów w sposób trwały, ochrona ich przed zniszczeniem i oznakowanie ułatwiające odszukanie i ewentualne odtworzenie.</w:t>
      </w:r>
    </w:p>
    <w:p w14:paraId="3B25874E" w14:textId="77777777" w:rsidR="008F714E" w:rsidRPr="001D601E" w:rsidRDefault="008F714E"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Płatność robót związanych z wyznaczeniem obiektów mostowych jest ujęta w koszcie robót mostowych.</w:t>
      </w:r>
    </w:p>
    <w:p w14:paraId="29C49BC5" w14:textId="77777777" w:rsidR="008F714E" w:rsidRPr="001D601E" w:rsidRDefault="008F714E"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10. PRZEPISY ZWIĄZANE</w:t>
      </w:r>
    </w:p>
    <w:p w14:paraId="7698A5A3" w14:textId="77777777" w:rsidR="008F714E" w:rsidRPr="001D601E" w:rsidRDefault="008F714E" w:rsidP="00BE2485">
      <w:pPr>
        <w:pStyle w:val="Lista3"/>
        <w:numPr>
          <w:ilvl w:val="0"/>
          <w:numId w:val="20"/>
        </w:numPr>
        <w:shd w:val="clear" w:color="auto" w:fill="FFFFFF" w:themeFill="background1"/>
        <w:tabs>
          <w:tab w:val="left" w:pos="142"/>
        </w:tabs>
        <w:spacing w:line="240" w:lineRule="auto"/>
        <w:ind w:left="0" w:firstLine="0"/>
        <w:jc w:val="both"/>
        <w:rPr>
          <w:rFonts w:cs="Arial"/>
          <w:szCs w:val="20"/>
        </w:rPr>
      </w:pPr>
      <w:r w:rsidRPr="001D601E">
        <w:rPr>
          <w:rFonts w:cs="Arial"/>
          <w:szCs w:val="20"/>
        </w:rPr>
        <w:t>Instrukcja techniczna 0-1. Ogólne zasady wykonywania prac geodezyjnych.</w:t>
      </w:r>
    </w:p>
    <w:p w14:paraId="59174C95" w14:textId="77777777" w:rsidR="008F714E" w:rsidRPr="001D601E" w:rsidRDefault="008F714E" w:rsidP="00BE2485">
      <w:pPr>
        <w:pStyle w:val="Lista3"/>
        <w:numPr>
          <w:ilvl w:val="0"/>
          <w:numId w:val="20"/>
        </w:numPr>
        <w:shd w:val="clear" w:color="auto" w:fill="FFFFFF" w:themeFill="background1"/>
        <w:tabs>
          <w:tab w:val="left" w:pos="142"/>
        </w:tabs>
        <w:spacing w:line="240" w:lineRule="auto"/>
        <w:ind w:left="0" w:firstLine="0"/>
        <w:jc w:val="both"/>
        <w:rPr>
          <w:rFonts w:cs="Arial"/>
          <w:szCs w:val="20"/>
        </w:rPr>
      </w:pPr>
      <w:r w:rsidRPr="001D601E">
        <w:rPr>
          <w:rFonts w:cs="Arial"/>
          <w:szCs w:val="20"/>
        </w:rPr>
        <w:t>Instrukcja techniczna G-3. Geodezyjna obsługa inwestycji, Główny Urząd Geodezji i Kartografii, Warszawa 1979.</w:t>
      </w:r>
    </w:p>
    <w:p w14:paraId="6DE1DF65" w14:textId="77777777" w:rsidR="008F714E" w:rsidRPr="001D601E" w:rsidRDefault="008F714E" w:rsidP="00BE2485">
      <w:pPr>
        <w:pStyle w:val="Lista3"/>
        <w:numPr>
          <w:ilvl w:val="0"/>
          <w:numId w:val="20"/>
        </w:numPr>
        <w:shd w:val="clear" w:color="auto" w:fill="FFFFFF" w:themeFill="background1"/>
        <w:tabs>
          <w:tab w:val="left" w:pos="142"/>
        </w:tabs>
        <w:spacing w:line="240" w:lineRule="auto"/>
        <w:ind w:left="0" w:firstLine="0"/>
        <w:jc w:val="both"/>
        <w:rPr>
          <w:rFonts w:cs="Arial"/>
          <w:szCs w:val="20"/>
        </w:rPr>
      </w:pPr>
      <w:r w:rsidRPr="001D601E">
        <w:rPr>
          <w:rFonts w:cs="Arial"/>
          <w:szCs w:val="20"/>
        </w:rPr>
        <w:lastRenderedPageBreak/>
        <w:t>Instrukcja techniczna G-1. Geodezyjna osnowa pozioma, GUGiK 1978.</w:t>
      </w:r>
    </w:p>
    <w:p w14:paraId="0D441BC8" w14:textId="77777777" w:rsidR="008F714E" w:rsidRPr="001D601E" w:rsidRDefault="008F714E" w:rsidP="00BE2485">
      <w:pPr>
        <w:pStyle w:val="Lista3"/>
        <w:numPr>
          <w:ilvl w:val="0"/>
          <w:numId w:val="20"/>
        </w:numPr>
        <w:shd w:val="clear" w:color="auto" w:fill="FFFFFF" w:themeFill="background1"/>
        <w:tabs>
          <w:tab w:val="left" w:pos="142"/>
        </w:tabs>
        <w:spacing w:line="240" w:lineRule="auto"/>
        <w:ind w:left="0" w:firstLine="0"/>
        <w:jc w:val="both"/>
        <w:rPr>
          <w:rFonts w:cs="Arial"/>
          <w:szCs w:val="20"/>
        </w:rPr>
      </w:pPr>
      <w:r w:rsidRPr="001D601E">
        <w:rPr>
          <w:rFonts w:cs="Arial"/>
          <w:szCs w:val="20"/>
        </w:rPr>
        <w:t>Instrukcja techniczna G-2. Wysokościowa osnowa geodezyjna, GUGiK 1983.</w:t>
      </w:r>
    </w:p>
    <w:p w14:paraId="08EA8553" w14:textId="77777777" w:rsidR="008F714E" w:rsidRPr="001D601E" w:rsidRDefault="008F714E" w:rsidP="00BE2485">
      <w:pPr>
        <w:pStyle w:val="Lista3"/>
        <w:numPr>
          <w:ilvl w:val="0"/>
          <w:numId w:val="20"/>
        </w:numPr>
        <w:shd w:val="clear" w:color="auto" w:fill="FFFFFF" w:themeFill="background1"/>
        <w:tabs>
          <w:tab w:val="left" w:pos="142"/>
        </w:tabs>
        <w:spacing w:line="240" w:lineRule="auto"/>
        <w:ind w:left="0" w:firstLine="0"/>
        <w:jc w:val="both"/>
        <w:rPr>
          <w:rFonts w:cs="Arial"/>
          <w:szCs w:val="20"/>
        </w:rPr>
      </w:pPr>
      <w:r w:rsidRPr="001D601E">
        <w:rPr>
          <w:rFonts w:cs="Arial"/>
          <w:szCs w:val="20"/>
        </w:rPr>
        <w:t>Instrukcja techniczna G-4. Pomiary sytuacyjne i wysokościowe, GUGiK 1979.</w:t>
      </w:r>
    </w:p>
    <w:p w14:paraId="28098770" w14:textId="77777777" w:rsidR="008F714E" w:rsidRPr="001D601E" w:rsidRDefault="008F714E" w:rsidP="00BE2485">
      <w:pPr>
        <w:pStyle w:val="Lista3"/>
        <w:numPr>
          <w:ilvl w:val="0"/>
          <w:numId w:val="20"/>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Wytyczne techniczne G-3.2. Pomiary realizacyjne, GUGiK 1983.</w:t>
      </w:r>
    </w:p>
    <w:p w14:paraId="109D95B4" w14:textId="77777777" w:rsidR="008F714E" w:rsidRPr="001D601E" w:rsidRDefault="008F714E" w:rsidP="00BE2485">
      <w:pPr>
        <w:pStyle w:val="Lista3"/>
        <w:numPr>
          <w:ilvl w:val="0"/>
          <w:numId w:val="20"/>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Wytyczne techniczne G-3.1. Osnowy realizacyjne, GUGiK 1983.</w:t>
      </w:r>
    </w:p>
    <w:p w14:paraId="69FFEDA3" w14:textId="77777777" w:rsidR="008F714E" w:rsidRPr="001D601E" w:rsidRDefault="008F714E" w:rsidP="00BE2485">
      <w:pPr>
        <w:pStyle w:val="Nagwek4"/>
        <w:shd w:val="clear" w:color="auto" w:fill="FFFFFF" w:themeFill="background1"/>
        <w:tabs>
          <w:tab w:val="left" w:pos="142"/>
        </w:tabs>
        <w:spacing w:before="240" w:line="240" w:lineRule="auto"/>
        <w:jc w:val="both"/>
        <w:rPr>
          <w:rFonts w:cs="Arial"/>
          <w:szCs w:val="20"/>
        </w:rPr>
      </w:pPr>
      <w:bookmarkStart w:id="42" w:name="_Toc88825493"/>
      <w:bookmarkStart w:id="43" w:name="_Toc111635970"/>
      <w:r w:rsidRPr="001D601E">
        <w:rPr>
          <w:rFonts w:cs="Arial"/>
          <w:szCs w:val="20"/>
        </w:rPr>
        <w:t>D-01.01.01b –WYNIESIENIE  I  STABILIZACJA GRANIC  PASA  DROGOWEGO</w:t>
      </w:r>
      <w:bookmarkEnd w:id="42"/>
      <w:bookmarkEnd w:id="43"/>
    </w:p>
    <w:p w14:paraId="1A4C76C2" w14:textId="77777777" w:rsidR="008F714E" w:rsidRPr="001D601E" w:rsidRDefault="008F714E" w:rsidP="00BE2485">
      <w:pPr>
        <w:shd w:val="clear" w:color="auto" w:fill="FFFFFF" w:themeFill="background1"/>
        <w:spacing w:line="240" w:lineRule="auto"/>
        <w:jc w:val="both"/>
      </w:pPr>
      <w:r w:rsidRPr="001D601E">
        <w:t>1. WSTĘP</w:t>
      </w:r>
    </w:p>
    <w:p w14:paraId="0274C393" w14:textId="77777777" w:rsidR="008F714E" w:rsidRPr="001D601E" w:rsidRDefault="008F714E" w:rsidP="00BE2485">
      <w:pPr>
        <w:shd w:val="clear" w:color="auto" w:fill="FFFFFF" w:themeFill="background1"/>
        <w:spacing w:line="240" w:lineRule="auto"/>
        <w:jc w:val="both"/>
      </w:pPr>
      <w:r w:rsidRPr="001D601E">
        <w:t>1.1. Przedmiot SST</w:t>
      </w:r>
    </w:p>
    <w:p w14:paraId="547FA2BC" w14:textId="77777777" w:rsidR="008F714E" w:rsidRPr="001D601E" w:rsidRDefault="008F714E" w:rsidP="00BE2485">
      <w:pPr>
        <w:shd w:val="clear" w:color="auto" w:fill="FFFFFF" w:themeFill="background1"/>
        <w:spacing w:line="240" w:lineRule="auto"/>
        <w:jc w:val="both"/>
      </w:pPr>
      <w:r w:rsidRPr="001D601E">
        <w:t>Przedmiotem niniejszej szczegółowej specyfikacji technicznej są wymagania dotyczące wykonania i odbioru robót związanych z wyniesieniem i stabilizacją granic pasa drogowego.</w:t>
      </w:r>
    </w:p>
    <w:p w14:paraId="3F92F951" w14:textId="77777777" w:rsidR="008F714E" w:rsidRPr="001D601E" w:rsidRDefault="008F714E" w:rsidP="00BE2485">
      <w:pPr>
        <w:shd w:val="clear" w:color="auto" w:fill="FFFFFF" w:themeFill="background1"/>
        <w:spacing w:line="240" w:lineRule="auto"/>
        <w:jc w:val="both"/>
      </w:pPr>
      <w:r w:rsidRPr="001D601E">
        <w:t>1.2. Zakres stosowania SST</w:t>
      </w:r>
    </w:p>
    <w:p w14:paraId="04735BF1" w14:textId="77777777" w:rsidR="008F714E" w:rsidRPr="001D601E" w:rsidRDefault="008F714E" w:rsidP="00BE2485">
      <w:pPr>
        <w:shd w:val="clear" w:color="auto" w:fill="FFFFFF" w:themeFill="background1"/>
        <w:spacing w:line="240" w:lineRule="auto"/>
        <w:jc w:val="both"/>
      </w:pPr>
      <w:r w:rsidRPr="001D601E">
        <w:t xml:space="preserve">Niniejsza szczegółowa specyfikacja techniczna stanowi Dokument Przetargowy i Kontraktowy przy zlecaniu i realizacji robót dla inwestycji pn.: </w:t>
      </w:r>
    </w:p>
    <w:sdt>
      <w:sdtPr>
        <w:alias w:val="Temat"/>
        <w:tag w:val=""/>
        <w:id w:val="723030090"/>
        <w:placeholder>
          <w:docPart w:val="E512AE4E0A4846E48B8F8C120F328341"/>
        </w:placeholder>
        <w:dataBinding w:prefixMappings="xmlns:ns0='http://purl.org/dc/elements/1.1/' xmlns:ns1='http://schemas.openxmlformats.org/package/2006/metadata/core-properties' " w:xpath="/ns1:coreProperties[1]/ns0:subject[1]" w:storeItemID="{6C3C8BC8-F283-45AE-878A-BAB7291924A1}"/>
        <w:text/>
      </w:sdtPr>
      <w:sdtEndPr/>
      <w:sdtContent>
        <w:p w14:paraId="589AD2EA" w14:textId="3889DE21" w:rsidR="008F714E" w:rsidRPr="001D601E" w:rsidRDefault="00484E05" w:rsidP="00BE2485">
          <w:pPr>
            <w:shd w:val="clear" w:color="auto" w:fill="FFFFFF" w:themeFill="background1"/>
            <w:spacing w:line="240" w:lineRule="auto"/>
            <w:jc w:val="both"/>
          </w:pPr>
          <w:r>
            <w:t>„Przebudowa drogi wojewódzkiej nr 957 w miejscowości Jabłonka odc. referencyjny 100 w km 9+073.78 - 9+279.58 (budowa chodnika) "</w:t>
          </w:r>
        </w:p>
      </w:sdtContent>
    </w:sdt>
    <w:p w14:paraId="469A34D9" w14:textId="77777777" w:rsidR="008F714E" w:rsidRPr="001D601E" w:rsidRDefault="008F714E" w:rsidP="00BE2485">
      <w:pPr>
        <w:shd w:val="clear" w:color="auto" w:fill="FFFFFF" w:themeFill="background1"/>
        <w:spacing w:line="240" w:lineRule="auto"/>
        <w:jc w:val="both"/>
      </w:pPr>
      <w:r w:rsidRPr="001D601E">
        <w:t>1.3. Zakres robót objętych SST</w:t>
      </w:r>
    </w:p>
    <w:p w14:paraId="24EA3A81" w14:textId="77777777" w:rsidR="008F714E" w:rsidRPr="001D601E" w:rsidRDefault="008F714E" w:rsidP="00BE2485">
      <w:pPr>
        <w:shd w:val="clear" w:color="auto" w:fill="FFFFFF" w:themeFill="background1"/>
        <w:spacing w:line="240" w:lineRule="auto"/>
        <w:jc w:val="both"/>
      </w:pPr>
      <w:r w:rsidRPr="001D601E">
        <w:t>Ustalenia zawarte w niniejszej specyfikacji dotyczą zasad prowadzenia robót związanych z wykonaniem i odbiorem wyniesienia i stabilizacji granic pasa drogowego przeznaczonego do umieszczenia w nim drogi i związanych z nią urządzeń. Stabilizacja granic pasa polega na wyznaczeniu i utrwaleniu w terenie znakami z trwałego materiału punktów określających przebieg granic pasa drogowego.</w:t>
      </w:r>
    </w:p>
    <w:p w14:paraId="48D34041" w14:textId="77777777" w:rsidR="008F714E" w:rsidRPr="001D601E" w:rsidRDefault="008F714E" w:rsidP="00BE2485">
      <w:pPr>
        <w:shd w:val="clear" w:color="auto" w:fill="FFFFFF" w:themeFill="background1"/>
        <w:spacing w:line="240" w:lineRule="auto"/>
        <w:jc w:val="both"/>
        <w:rPr>
          <w:b/>
          <w:bCs/>
        </w:rPr>
      </w:pPr>
      <w:r w:rsidRPr="001D601E">
        <w:rPr>
          <w:b/>
          <w:bCs/>
        </w:rPr>
        <w:t>1.4. Określenia podstawowe</w:t>
      </w:r>
    </w:p>
    <w:p w14:paraId="6B54CBD6" w14:textId="77777777" w:rsidR="008F714E" w:rsidRPr="001D601E" w:rsidRDefault="008F714E" w:rsidP="00BE2485">
      <w:pPr>
        <w:shd w:val="clear" w:color="auto" w:fill="FFFFFF" w:themeFill="background1"/>
        <w:spacing w:line="240" w:lineRule="auto"/>
        <w:jc w:val="both"/>
      </w:pPr>
      <w:r w:rsidRPr="001D601E">
        <w:rPr>
          <w:b/>
          <w:bCs/>
        </w:rPr>
        <w:t>1.4.1. </w:t>
      </w:r>
      <w:r w:rsidRPr="001D601E">
        <w:t>Pas drogowy – wydzielony liniami granicznymi pas terenu przeznaczony do umieszczenia w nim drogi i związanych z nią urządzeń.</w:t>
      </w:r>
    </w:p>
    <w:p w14:paraId="2F1CC2DC" w14:textId="77777777" w:rsidR="008F714E" w:rsidRPr="001D601E" w:rsidRDefault="008F714E" w:rsidP="00BE2485">
      <w:pPr>
        <w:shd w:val="clear" w:color="auto" w:fill="FFFFFF" w:themeFill="background1"/>
        <w:spacing w:line="240" w:lineRule="auto"/>
        <w:jc w:val="both"/>
      </w:pPr>
      <w:r w:rsidRPr="001D601E">
        <w:rPr>
          <w:b/>
          <w:bCs/>
        </w:rPr>
        <w:t>1.4.2.</w:t>
      </w:r>
      <w:r w:rsidRPr="001D601E">
        <w:t> Linia graniczna – linia oddzielająca tereny, będące przedmiotem odrębnej własności, składająca się najczęściej z odcinków prostych łączących punkty graniczne.</w:t>
      </w:r>
    </w:p>
    <w:p w14:paraId="7D6C3DF8" w14:textId="77777777" w:rsidR="008F714E" w:rsidRPr="001D601E" w:rsidRDefault="008F714E" w:rsidP="00BE2485">
      <w:pPr>
        <w:shd w:val="clear" w:color="auto" w:fill="FFFFFF" w:themeFill="background1"/>
        <w:spacing w:line="240" w:lineRule="auto"/>
        <w:jc w:val="both"/>
      </w:pPr>
      <w:r w:rsidRPr="001D601E">
        <w:rPr>
          <w:b/>
          <w:bCs/>
        </w:rPr>
        <w:t>1.4.3.</w:t>
      </w:r>
      <w:r w:rsidRPr="001D601E">
        <w:rPr>
          <w:b/>
          <w:bCs/>
          <w:i/>
          <w:iCs/>
        </w:rPr>
        <w:t> </w:t>
      </w:r>
      <w:r w:rsidRPr="001D601E">
        <w:t>Punkt graniczny – punkt określający przebieg granicy nieruchomości, znajdujący się na załamaniach linii granicznej.</w:t>
      </w:r>
    </w:p>
    <w:p w14:paraId="3C92614F" w14:textId="77777777" w:rsidR="008F714E" w:rsidRPr="001D601E" w:rsidRDefault="008F714E" w:rsidP="00BE2485">
      <w:pPr>
        <w:shd w:val="clear" w:color="auto" w:fill="FFFFFF" w:themeFill="background1"/>
        <w:spacing w:line="240" w:lineRule="auto"/>
        <w:jc w:val="both"/>
      </w:pPr>
      <w:r w:rsidRPr="001D601E">
        <w:rPr>
          <w:b/>
          <w:bCs/>
        </w:rPr>
        <w:t>1.4.4.</w:t>
      </w:r>
      <w:r w:rsidRPr="001D601E">
        <w:t> Znak graniczny – znak z trwałego materiału umieszczony w punkcie granicznym.</w:t>
      </w:r>
    </w:p>
    <w:p w14:paraId="56ABE43F" w14:textId="77777777" w:rsidR="008F714E" w:rsidRPr="001D601E" w:rsidRDefault="008F714E" w:rsidP="00BE2485">
      <w:pPr>
        <w:shd w:val="clear" w:color="auto" w:fill="FFFFFF" w:themeFill="background1"/>
        <w:spacing w:line="240" w:lineRule="auto"/>
        <w:jc w:val="both"/>
      </w:pPr>
      <w:r w:rsidRPr="001D601E">
        <w:rPr>
          <w:b/>
          <w:bCs/>
        </w:rPr>
        <w:t>1.4.5. </w:t>
      </w:r>
      <w:r w:rsidRPr="001D601E">
        <w:t>Świadek punktu granicznego – widoczny znak z trwałego materiału wystający ponad teren i usytuowany w linii granicznej w pobliżu znaku granicznego.</w:t>
      </w:r>
    </w:p>
    <w:p w14:paraId="1B6028D8" w14:textId="77777777" w:rsidR="008F714E" w:rsidRPr="001D601E" w:rsidRDefault="008F714E" w:rsidP="00BE2485">
      <w:pPr>
        <w:shd w:val="clear" w:color="auto" w:fill="FFFFFF" w:themeFill="background1"/>
        <w:spacing w:line="240" w:lineRule="auto"/>
        <w:jc w:val="both"/>
      </w:pPr>
      <w:r w:rsidRPr="001D601E">
        <w:rPr>
          <w:b/>
          <w:bCs/>
        </w:rPr>
        <w:t>1.4.6. </w:t>
      </w:r>
      <w:r w:rsidRPr="001D601E">
        <w:t>Stabilizacja granic pasa drogowego – wyznaczenie i utrwalenie w terenie znakami granicznymi punktów granicznych projektowanego pasa.</w:t>
      </w:r>
    </w:p>
    <w:p w14:paraId="530BA5C8" w14:textId="77777777" w:rsidR="008F714E" w:rsidRPr="001D601E" w:rsidRDefault="008F714E" w:rsidP="00BE2485">
      <w:pPr>
        <w:shd w:val="clear" w:color="auto" w:fill="FFFFFF" w:themeFill="background1"/>
        <w:spacing w:line="240" w:lineRule="auto"/>
        <w:jc w:val="both"/>
      </w:pPr>
      <w:r w:rsidRPr="001D601E">
        <w:rPr>
          <w:b/>
          <w:bCs/>
        </w:rPr>
        <w:t>1.4.7. </w:t>
      </w:r>
      <w:r w:rsidRPr="001D601E">
        <w:t>Pozostałe określenia podstawowe są zgodne z obowiązującymi, odpowiednimi polskimi normami, definicjami podanymi w SST D-M-00.00.00 „Wymagania ogólne” [1] pkt 1.4 oraz przepisami geodezyjnymi i kartograficznymi. </w:t>
      </w:r>
    </w:p>
    <w:p w14:paraId="00E3D628" w14:textId="77777777" w:rsidR="008F714E" w:rsidRPr="001D601E" w:rsidRDefault="008F714E" w:rsidP="00BE2485">
      <w:pPr>
        <w:shd w:val="clear" w:color="auto" w:fill="FFFFFF" w:themeFill="background1"/>
        <w:spacing w:line="240" w:lineRule="auto"/>
        <w:jc w:val="both"/>
        <w:rPr>
          <w:b/>
          <w:bCs/>
        </w:rPr>
      </w:pPr>
      <w:r w:rsidRPr="001D601E">
        <w:rPr>
          <w:b/>
          <w:bCs/>
        </w:rPr>
        <w:t>1.5.Ogólne wymagania dotyczące robót</w:t>
      </w:r>
    </w:p>
    <w:p w14:paraId="3F9B709B" w14:textId="77777777" w:rsidR="008F714E" w:rsidRPr="001D601E" w:rsidRDefault="008F714E" w:rsidP="00BE2485">
      <w:pPr>
        <w:shd w:val="clear" w:color="auto" w:fill="FFFFFF" w:themeFill="background1"/>
        <w:spacing w:line="240" w:lineRule="auto"/>
        <w:jc w:val="both"/>
      </w:pPr>
      <w:r w:rsidRPr="001D601E">
        <w:t>Ogólne wymagania dotyczące robót podano w SST D-M-00.00.00 „Wymagania ogólne” [1], pkt 1.5.</w:t>
      </w:r>
    </w:p>
    <w:p w14:paraId="493BCD5D" w14:textId="77777777" w:rsidR="008F714E" w:rsidRPr="001D601E" w:rsidRDefault="008F714E" w:rsidP="00BE2485">
      <w:pPr>
        <w:shd w:val="clear" w:color="auto" w:fill="FFFFFF" w:themeFill="background1"/>
        <w:spacing w:line="240" w:lineRule="auto"/>
        <w:jc w:val="both"/>
        <w:rPr>
          <w:b/>
          <w:bCs/>
        </w:rPr>
      </w:pPr>
      <w:r w:rsidRPr="001D601E">
        <w:rPr>
          <w:b/>
          <w:bCs/>
        </w:rPr>
        <w:t>2. MATERIAŁY</w:t>
      </w:r>
    </w:p>
    <w:p w14:paraId="16425309" w14:textId="77777777" w:rsidR="008F714E" w:rsidRPr="001D601E" w:rsidRDefault="008F714E" w:rsidP="00BE2485">
      <w:pPr>
        <w:shd w:val="clear" w:color="auto" w:fill="FFFFFF" w:themeFill="background1"/>
        <w:spacing w:line="240" w:lineRule="auto"/>
        <w:jc w:val="both"/>
        <w:rPr>
          <w:b/>
          <w:bCs/>
        </w:rPr>
      </w:pPr>
      <w:r w:rsidRPr="001D601E">
        <w:rPr>
          <w:b/>
          <w:bCs/>
        </w:rPr>
        <w:t>2.1. Ogólne wymagania dotyczące materiałów</w:t>
      </w:r>
    </w:p>
    <w:p w14:paraId="0978497A" w14:textId="77777777" w:rsidR="008F714E" w:rsidRPr="001D601E" w:rsidRDefault="008F714E" w:rsidP="00BE2485">
      <w:pPr>
        <w:shd w:val="clear" w:color="auto" w:fill="FFFFFF" w:themeFill="background1"/>
        <w:spacing w:line="240" w:lineRule="auto"/>
        <w:jc w:val="both"/>
      </w:pPr>
      <w:r w:rsidRPr="001D601E">
        <w:t>Ogólne wymagania dotyczące materiałów, ich pozyskiwania i składowania, podano w SST D-M-00.00.00 „Wymagania ogólne” [1] pkt 2.</w:t>
      </w:r>
    </w:p>
    <w:p w14:paraId="66A7928D" w14:textId="77777777" w:rsidR="008F714E" w:rsidRPr="001D601E" w:rsidRDefault="008F714E" w:rsidP="00BE2485">
      <w:pPr>
        <w:shd w:val="clear" w:color="auto" w:fill="FFFFFF" w:themeFill="background1"/>
        <w:spacing w:line="240" w:lineRule="auto"/>
        <w:jc w:val="both"/>
        <w:rPr>
          <w:b/>
          <w:bCs/>
        </w:rPr>
      </w:pPr>
      <w:r w:rsidRPr="001D601E">
        <w:rPr>
          <w:b/>
          <w:bCs/>
        </w:rPr>
        <w:t>2.2. Materiały do wykonania robót</w:t>
      </w:r>
    </w:p>
    <w:p w14:paraId="45AE2522" w14:textId="77777777" w:rsidR="008F714E" w:rsidRPr="001D601E" w:rsidRDefault="008F714E" w:rsidP="00BE2485">
      <w:pPr>
        <w:shd w:val="clear" w:color="auto" w:fill="FFFFFF" w:themeFill="background1"/>
        <w:spacing w:line="240" w:lineRule="auto"/>
        <w:jc w:val="both"/>
      </w:pPr>
      <w:r w:rsidRPr="001D601E">
        <w:rPr>
          <w:b/>
          <w:bCs/>
        </w:rPr>
        <w:t>2.2.1. </w:t>
      </w:r>
      <w:r w:rsidRPr="001D601E">
        <w:t>Rodzaje materiałów</w:t>
      </w:r>
    </w:p>
    <w:p w14:paraId="44D35122" w14:textId="77777777" w:rsidR="008F714E" w:rsidRPr="001D601E" w:rsidRDefault="008F714E" w:rsidP="00BE2485">
      <w:pPr>
        <w:shd w:val="clear" w:color="auto" w:fill="FFFFFF" w:themeFill="background1"/>
        <w:spacing w:line="240" w:lineRule="auto"/>
        <w:jc w:val="both"/>
      </w:pPr>
      <w:r w:rsidRPr="001D601E">
        <w:t>                Materiały do wykonania robót powinny być zgodne z ustaleniami warunków kontraktu, dokumentacji projektowej lub ST. Do nich należą:</w:t>
      </w:r>
    </w:p>
    <w:p w14:paraId="79DC5FA3" w14:textId="77777777" w:rsidR="008F714E" w:rsidRPr="001D601E" w:rsidRDefault="008F714E" w:rsidP="00BE2485">
      <w:pPr>
        <w:shd w:val="clear" w:color="auto" w:fill="FFFFFF" w:themeFill="background1"/>
        <w:spacing w:line="240" w:lineRule="auto"/>
        <w:jc w:val="both"/>
      </w:pPr>
      <w:r w:rsidRPr="001D601E">
        <w:t>–          słupki betonowe do utrwalenia granic pasa drogowego,</w:t>
      </w:r>
    </w:p>
    <w:p w14:paraId="164DEBB3" w14:textId="77777777" w:rsidR="008F714E" w:rsidRPr="001D601E" w:rsidRDefault="008F714E" w:rsidP="00BE2485">
      <w:pPr>
        <w:shd w:val="clear" w:color="auto" w:fill="FFFFFF" w:themeFill="background1"/>
        <w:spacing w:line="240" w:lineRule="auto"/>
        <w:jc w:val="both"/>
      </w:pPr>
      <w:r w:rsidRPr="001D601E">
        <w:t>–          materiały pomocnicze.</w:t>
      </w:r>
    </w:p>
    <w:p w14:paraId="4657F2B1" w14:textId="77777777" w:rsidR="008F714E" w:rsidRPr="001D601E" w:rsidRDefault="008F714E" w:rsidP="00BE2485">
      <w:pPr>
        <w:shd w:val="clear" w:color="auto" w:fill="FFFFFF" w:themeFill="background1"/>
        <w:spacing w:line="240" w:lineRule="auto"/>
        <w:jc w:val="both"/>
      </w:pPr>
      <w:r w:rsidRPr="001D601E">
        <w:rPr>
          <w:b/>
          <w:bCs/>
        </w:rPr>
        <w:t>2.2.2. </w:t>
      </w:r>
      <w:r w:rsidRPr="001D601E">
        <w:t>Znaki graniczne i świadki punku granicznego</w:t>
      </w:r>
    </w:p>
    <w:p w14:paraId="370640C6" w14:textId="77777777" w:rsidR="008F714E" w:rsidRPr="001D601E" w:rsidRDefault="008F714E" w:rsidP="00BE2485">
      <w:pPr>
        <w:shd w:val="clear" w:color="auto" w:fill="FFFFFF" w:themeFill="background1"/>
        <w:spacing w:line="240" w:lineRule="auto"/>
        <w:jc w:val="both"/>
      </w:pPr>
      <w:r w:rsidRPr="001D601E">
        <w:t>                Znak graniczny jest geodezyjnym słupkiem z betonu C 20/25, najczęściej w postaci ściętego ostrosłupa o kwadratowej podstawie z wyrytym na górze krzyżem (patrz załącznik, rys. 1).</w:t>
      </w:r>
    </w:p>
    <w:p w14:paraId="05EFC8EB" w14:textId="77777777" w:rsidR="008F714E" w:rsidRPr="001D601E" w:rsidRDefault="008F714E" w:rsidP="00BE2485">
      <w:pPr>
        <w:shd w:val="clear" w:color="auto" w:fill="FFFFFF" w:themeFill="background1"/>
        <w:spacing w:line="240" w:lineRule="auto"/>
        <w:jc w:val="both"/>
      </w:pPr>
      <w:r w:rsidRPr="001D601E">
        <w:t>                Świadek punktu granicznego jest słupkiem z betonu C 20/25 o długości 100 cm  i przekroju poprzecznym 10 × 12 cm. Słupek zbrojony jest czterema prętami średnicy 10 mm. Słupek w części nadziemnej długości 50 cm na barwę żółtą. W części nadziemnej znajduje się napis wklęsły na głębokość 0,5 cm z czarnymi literami wysokości 7 cm PAS  DROGOWY (patrz załącznik, rys. 2).</w:t>
      </w:r>
    </w:p>
    <w:p w14:paraId="5AFBA2CE" w14:textId="77777777" w:rsidR="008F714E" w:rsidRPr="001D601E" w:rsidRDefault="008F714E" w:rsidP="00BE2485">
      <w:pPr>
        <w:shd w:val="clear" w:color="auto" w:fill="FFFFFF" w:themeFill="background1"/>
        <w:spacing w:line="240" w:lineRule="auto"/>
        <w:jc w:val="both"/>
      </w:pPr>
      <w:r w:rsidRPr="001D601E">
        <w:t>                Wbudowane materiały słupków powinny charakteryzować się wytrzymałością na ściskanie dla betonu C 20/25, nasiąkliwością poniżej 5% oraz mrozoodpornością i wodoszczelnością. Wykonawca wytwarzający samodzielnie słupki powinien wykonać badania próbek betonu i przedstawić wyniki badań Inżynierowi.</w:t>
      </w:r>
    </w:p>
    <w:p w14:paraId="02A1A4F6" w14:textId="77777777" w:rsidR="008F714E" w:rsidRPr="001D601E" w:rsidRDefault="008F714E" w:rsidP="00BE2485">
      <w:pPr>
        <w:shd w:val="clear" w:color="auto" w:fill="FFFFFF" w:themeFill="background1"/>
        <w:spacing w:line="240" w:lineRule="auto"/>
        <w:jc w:val="both"/>
      </w:pPr>
      <w:r w:rsidRPr="001D601E">
        <w:t>                Gotowe wyroby powinny być wolne od spękań, wykruszeń i ubytków, a powierzchnie powinny być gładkie, bez śladów po pęcherzach powietrznych.</w:t>
      </w:r>
    </w:p>
    <w:p w14:paraId="0E4228F8" w14:textId="77777777" w:rsidR="008F714E" w:rsidRPr="001D601E" w:rsidRDefault="008F714E" w:rsidP="00BE2485">
      <w:pPr>
        <w:shd w:val="clear" w:color="auto" w:fill="FFFFFF" w:themeFill="background1"/>
        <w:spacing w:line="240" w:lineRule="auto"/>
        <w:jc w:val="both"/>
      </w:pPr>
      <w:r w:rsidRPr="001D601E">
        <w:rPr>
          <w:b/>
          <w:bCs/>
        </w:rPr>
        <w:t>2.2.3. </w:t>
      </w:r>
      <w:r w:rsidRPr="001D601E">
        <w:t>Materiały pomocnicze</w:t>
      </w:r>
    </w:p>
    <w:p w14:paraId="1B2A5D08" w14:textId="77777777" w:rsidR="008F714E" w:rsidRPr="001D601E" w:rsidRDefault="008F714E" w:rsidP="00BE2485">
      <w:pPr>
        <w:shd w:val="clear" w:color="auto" w:fill="FFFFFF" w:themeFill="background1"/>
        <w:spacing w:line="240" w:lineRule="auto"/>
        <w:jc w:val="both"/>
      </w:pPr>
      <w:r w:rsidRPr="001D601E">
        <w:t>                Do materiałów pomocniczych mogą należeć:</w:t>
      </w:r>
    </w:p>
    <w:p w14:paraId="433FC975" w14:textId="77777777" w:rsidR="008F714E" w:rsidRPr="001D601E" w:rsidRDefault="008F714E" w:rsidP="00BE2485">
      <w:pPr>
        <w:shd w:val="clear" w:color="auto" w:fill="FFFFFF" w:themeFill="background1"/>
        <w:spacing w:line="240" w:lineRule="auto"/>
        <w:jc w:val="both"/>
      </w:pPr>
      <w:r w:rsidRPr="001D601E">
        <w:t>–          pręty stalowe, rurki itp. zastępujące słupki betonowe, w przypadkach wyjątkowych,</w:t>
      </w:r>
    </w:p>
    <w:p w14:paraId="01206746" w14:textId="77777777" w:rsidR="008F714E" w:rsidRPr="001D601E" w:rsidRDefault="008F714E" w:rsidP="00BE2485">
      <w:pPr>
        <w:shd w:val="clear" w:color="auto" w:fill="FFFFFF" w:themeFill="background1"/>
        <w:spacing w:line="240" w:lineRule="auto"/>
        <w:jc w:val="both"/>
      </w:pPr>
      <w:r w:rsidRPr="001D601E">
        <w:t>–          piasek, mieszanka naturalna gruntowa do obsypki słupków betonowych, w przypadkach wyjątkowych</w:t>
      </w:r>
    </w:p>
    <w:p w14:paraId="53268CC5" w14:textId="77777777" w:rsidR="008F714E" w:rsidRPr="001D601E" w:rsidRDefault="008F714E" w:rsidP="00BE2485">
      <w:pPr>
        <w:shd w:val="clear" w:color="auto" w:fill="FFFFFF" w:themeFill="background1"/>
        <w:spacing w:line="240" w:lineRule="auto"/>
        <w:jc w:val="both"/>
        <w:rPr>
          <w:b/>
          <w:bCs/>
        </w:rPr>
      </w:pPr>
      <w:r w:rsidRPr="001D601E">
        <w:rPr>
          <w:b/>
          <w:bCs/>
        </w:rPr>
        <w:t>3. SPRZĘT</w:t>
      </w:r>
    </w:p>
    <w:p w14:paraId="08F33F15" w14:textId="77777777" w:rsidR="008F714E" w:rsidRPr="001D601E" w:rsidRDefault="008F714E" w:rsidP="00BE2485">
      <w:pPr>
        <w:shd w:val="clear" w:color="auto" w:fill="FFFFFF" w:themeFill="background1"/>
        <w:spacing w:line="240" w:lineRule="auto"/>
        <w:jc w:val="both"/>
        <w:rPr>
          <w:b/>
          <w:bCs/>
        </w:rPr>
      </w:pPr>
      <w:r w:rsidRPr="001D601E">
        <w:rPr>
          <w:b/>
          <w:bCs/>
        </w:rPr>
        <w:t>3.1. Ogólne wymagania dotyczące sprzętu</w:t>
      </w:r>
    </w:p>
    <w:p w14:paraId="76C7BB94" w14:textId="77777777" w:rsidR="008F714E" w:rsidRPr="001D601E" w:rsidRDefault="008F714E" w:rsidP="00BE2485">
      <w:pPr>
        <w:shd w:val="clear" w:color="auto" w:fill="FFFFFF" w:themeFill="background1"/>
        <w:spacing w:line="240" w:lineRule="auto"/>
        <w:jc w:val="both"/>
      </w:pPr>
      <w:r w:rsidRPr="001D601E">
        <w:lastRenderedPageBreak/>
        <w:t>Ogólne wymagania dotyczące sprzętu podano w SST D-M-00.00.00 „Wymagania ogólne”[1], pkt 3.</w:t>
      </w:r>
    </w:p>
    <w:p w14:paraId="67740A62" w14:textId="77777777" w:rsidR="008F714E" w:rsidRPr="001D601E" w:rsidRDefault="008F714E" w:rsidP="00BE2485">
      <w:pPr>
        <w:shd w:val="clear" w:color="auto" w:fill="FFFFFF" w:themeFill="background1"/>
        <w:spacing w:line="240" w:lineRule="auto"/>
        <w:jc w:val="both"/>
        <w:rPr>
          <w:b/>
          <w:bCs/>
        </w:rPr>
      </w:pPr>
      <w:r w:rsidRPr="001D601E">
        <w:rPr>
          <w:b/>
          <w:bCs/>
        </w:rPr>
        <w:t>3.2. Sprzęt stosowany do wykonania robót</w:t>
      </w:r>
    </w:p>
    <w:p w14:paraId="69BF47E9" w14:textId="77777777" w:rsidR="008F714E" w:rsidRPr="001D601E" w:rsidRDefault="008F714E" w:rsidP="00BE2485">
      <w:pPr>
        <w:shd w:val="clear" w:color="auto" w:fill="FFFFFF" w:themeFill="background1"/>
        <w:spacing w:line="240" w:lineRule="auto"/>
        <w:jc w:val="both"/>
      </w:pPr>
      <w:r w:rsidRPr="001D601E">
        <w:t>  Przy wykonywaniu robót Wykonawca, w zależności od potrzeb, powinien wykazać się możliwością korzystania ze sprzętu, który pozwoli na osiągnięcie wymaganych dokładności przy pracach pomiarowych i kartograficznych.</w:t>
      </w:r>
    </w:p>
    <w:p w14:paraId="6A36AE94" w14:textId="77777777" w:rsidR="008F714E" w:rsidRPr="001D601E" w:rsidRDefault="008F714E" w:rsidP="00BE2485">
      <w:pPr>
        <w:shd w:val="clear" w:color="auto" w:fill="FFFFFF" w:themeFill="background1"/>
        <w:spacing w:line="240" w:lineRule="auto"/>
        <w:jc w:val="both"/>
      </w:pPr>
      <w:r w:rsidRPr="001D601E">
        <w:t> Do wykonania prac pomiarowych należy stosować sprzęt i narzędzia określone w wytycznych technicznych, obowiązujących w geodezji i kartografii [2÷9]. Przy stabilizowaniu linii granicznej znakami granicznymi należy stosować sprzęt zaproponowany przez Wykonawcę, zaakceptowany przez Inżyniera. Do prac obliczeniowych i kartograficznych zaleca się stosować sprzęt komputerowy z odpowiednim oprogramowaniem.</w:t>
      </w:r>
    </w:p>
    <w:p w14:paraId="4ED4440C" w14:textId="77777777" w:rsidR="008F714E" w:rsidRPr="001D601E" w:rsidRDefault="008F714E" w:rsidP="00BE2485">
      <w:pPr>
        <w:shd w:val="clear" w:color="auto" w:fill="FFFFFF" w:themeFill="background1"/>
        <w:spacing w:line="240" w:lineRule="auto"/>
        <w:jc w:val="both"/>
        <w:rPr>
          <w:b/>
          <w:bCs/>
        </w:rPr>
      </w:pPr>
      <w:r w:rsidRPr="001D601E">
        <w:rPr>
          <w:b/>
          <w:bCs/>
        </w:rPr>
        <w:t>4. TRANSPORT</w:t>
      </w:r>
    </w:p>
    <w:p w14:paraId="404369DC" w14:textId="77777777" w:rsidR="008F714E" w:rsidRPr="001D601E" w:rsidRDefault="008F714E" w:rsidP="00BE2485">
      <w:pPr>
        <w:shd w:val="clear" w:color="auto" w:fill="FFFFFF" w:themeFill="background1"/>
        <w:spacing w:line="240" w:lineRule="auto"/>
        <w:jc w:val="both"/>
        <w:rPr>
          <w:b/>
          <w:bCs/>
        </w:rPr>
      </w:pPr>
      <w:r w:rsidRPr="001D601E">
        <w:rPr>
          <w:b/>
          <w:bCs/>
        </w:rPr>
        <w:t>4.1. Ogólne wymagania dotyczące transportu</w:t>
      </w:r>
    </w:p>
    <w:p w14:paraId="7540ED2B" w14:textId="77777777" w:rsidR="008F714E" w:rsidRPr="001D601E" w:rsidRDefault="008F714E" w:rsidP="00BE2485">
      <w:pPr>
        <w:shd w:val="clear" w:color="auto" w:fill="FFFFFF" w:themeFill="background1"/>
        <w:spacing w:line="240" w:lineRule="auto"/>
        <w:jc w:val="both"/>
      </w:pPr>
      <w:r w:rsidRPr="001D601E">
        <w:t>                Ogólne wymagania dotyczące transportu podano w SST D-M-00.00.00 „Wymagania ogólne” [1] pkt 4.</w:t>
      </w:r>
    </w:p>
    <w:p w14:paraId="56D77910" w14:textId="77777777" w:rsidR="008F714E" w:rsidRPr="001D601E" w:rsidRDefault="008F714E" w:rsidP="00BE2485">
      <w:pPr>
        <w:shd w:val="clear" w:color="auto" w:fill="FFFFFF" w:themeFill="background1"/>
        <w:spacing w:line="240" w:lineRule="auto"/>
        <w:jc w:val="both"/>
        <w:rPr>
          <w:b/>
          <w:bCs/>
        </w:rPr>
      </w:pPr>
      <w:r w:rsidRPr="001D601E">
        <w:rPr>
          <w:b/>
          <w:bCs/>
        </w:rPr>
        <w:t>4.2. Transport materiałów</w:t>
      </w:r>
    </w:p>
    <w:p w14:paraId="234C5120" w14:textId="77777777" w:rsidR="008F714E" w:rsidRPr="001D601E" w:rsidRDefault="008F714E" w:rsidP="00BE2485">
      <w:pPr>
        <w:shd w:val="clear" w:color="auto" w:fill="FFFFFF" w:themeFill="background1"/>
        <w:spacing w:line="240" w:lineRule="auto"/>
        <w:jc w:val="both"/>
      </w:pPr>
      <w:r w:rsidRPr="001D601E">
        <w:t>                Materiały, w tym znaki graniczne i świadki punktu granicznego, można przewozić dowolnymi środkami transportu w pozycji poziomej, w warunkach zabezpieczających je przed przemieszczeniem się i uszkodzeniem.</w:t>
      </w:r>
    </w:p>
    <w:p w14:paraId="41D10B32" w14:textId="77777777" w:rsidR="008F714E" w:rsidRPr="001D601E" w:rsidRDefault="008F714E" w:rsidP="00BE2485">
      <w:pPr>
        <w:shd w:val="clear" w:color="auto" w:fill="FFFFFF" w:themeFill="background1"/>
        <w:spacing w:line="240" w:lineRule="auto"/>
        <w:jc w:val="both"/>
        <w:rPr>
          <w:b/>
          <w:bCs/>
        </w:rPr>
      </w:pPr>
      <w:r w:rsidRPr="001D601E">
        <w:rPr>
          <w:b/>
          <w:bCs/>
        </w:rPr>
        <w:t>5. WYKONANIE ROBÓT</w:t>
      </w:r>
    </w:p>
    <w:p w14:paraId="0BA75D73" w14:textId="77777777" w:rsidR="008F714E" w:rsidRPr="001D601E" w:rsidRDefault="008F714E" w:rsidP="00BE2485">
      <w:pPr>
        <w:shd w:val="clear" w:color="auto" w:fill="FFFFFF" w:themeFill="background1"/>
        <w:spacing w:line="240" w:lineRule="auto"/>
        <w:jc w:val="both"/>
        <w:rPr>
          <w:b/>
          <w:bCs/>
        </w:rPr>
      </w:pPr>
      <w:r w:rsidRPr="001D601E">
        <w:rPr>
          <w:b/>
          <w:bCs/>
        </w:rPr>
        <w:t>5.1. Ogólne zasady wykonania robót</w:t>
      </w:r>
    </w:p>
    <w:p w14:paraId="2EB8C7EA" w14:textId="77777777" w:rsidR="008F714E" w:rsidRPr="001D601E" w:rsidRDefault="008F714E" w:rsidP="00BE2485">
      <w:pPr>
        <w:shd w:val="clear" w:color="auto" w:fill="FFFFFF" w:themeFill="background1"/>
        <w:spacing w:line="240" w:lineRule="auto"/>
        <w:jc w:val="both"/>
      </w:pPr>
      <w:r w:rsidRPr="001D601E">
        <w:t>                Ogólne zasady wykonania robót podano w SST D-M-00.00.00 „Wymagania ogólne” [1] pkt 5.</w:t>
      </w:r>
    </w:p>
    <w:p w14:paraId="01DA2C43" w14:textId="77777777" w:rsidR="008F714E" w:rsidRPr="001D601E" w:rsidRDefault="008F714E" w:rsidP="00BE2485">
      <w:pPr>
        <w:shd w:val="clear" w:color="auto" w:fill="FFFFFF" w:themeFill="background1"/>
        <w:spacing w:line="240" w:lineRule="auto"/>
        <w:jc w:val="both"/>
        <w:rPr>
          <w:b/>
          <w:bCs/>
        </w:rPr>
      </w:pPr>
      <w:r w:rsidRPr="001D601E">
        <w:rPr>
          <w:b/>
          <w:bCs/>
        </w:rPr>
        <w:t>5.2. Zasady wykonywania robót</w:t>
      </w:r>
    </w:p>
    <w:p w14:paraId="29E0A80F" w14:textId="77777777" w:rsidR="008F714E" w:rsidRPr="001D601E" w:rsidRDefault="008F714E" w:rsidP="00BE2485">
      <w:pPr>
        <w:shd w:val="clear" w:color="auto" w:fill="FFFFFF" w:themeFill="background1"/>
        <w:spacing w:line="240" w:lineRule="auto"/>
        <w:jc w:val="both"/>
      </w:pPr>
      <w:r w:rsidRPr="001D601E">
        <w:t>Sposób wykonania robót powinien być zgodny z warunkami kontraktu,  dokumentacją projektową i ST. W przypadku braku wystarczających danych można korzystać z ustaleń podanych w niniejszej specyfikacji oraz z informacji podanych w załączniku.</w:t>
      </w:r>
    </w:p>
    <w:p w14:paraId="2A9C1740" w14:textId="77777777" w:rsidR="008F714E" w:rsidRPr="001D601E" w:rsidRDefault="008F714E" w:rsidP="00BE2485">
      <w:pPr>
        <w:shd w:val="clear" w:color="auto" w:fill="FFFFFF" w:themeFill="background1"/>
        <w:spacing w:line="240" w:lineRule="auto"/>
        <w:jc w:val="both"/>
      </w:pPr>
      <w:r w:rsidRPr="001D601E">
        <w:t>                Podstawowe czynności przy wykonywaniu robót obejmują:</w:t>
      </w:r>
    </w:p>
    <w:p w14:paraId="4134CDE3" w14:textId="77777777" w:rsidR="008F714E" w:rsidRPr="001D601E" w:rsidRDefault="008F714E" w:rsidP="00BE2485">
      <w:pPr>
        <w:shd w:val="clear" w:color="auto" w:fill="FFFFFF" w:themeFill="background1"/>
        <w:spacing w:line="240" w:lineRule="auto"/>
        <w:jc w:val="both"/>
      </w:pPr>
      <w:r w:rsidRPr="001D601E">
        <w:t>1.    prace przygotowawcze,</w:t>
      </w:r>
    </w:p>
    <w:p w14:paraId="21CB5CED" w14:textId="77777777" w:rsidR="008F714E" w:rsidRPr="001D601E" w:rsidRDefault="008F714E" w:rsidP="00BE2485">
      <w:pPr>
        <w:shd w:val="clear" w:color="auto" w:fill="FFFFFF" w:themeFill="background1"/>
        <w:spacing w:line="240" w:lineRule="auto"/>
        <w:jc w:val="both"/>
      </w:pPr>
      <w:r w:rsidRPr="001D601E">
        <w:t>2.    stabilizacja granic pasa drogowego,</w:t>
      </w:r>
    </w:p>
    <w:p w14:paraId="11B8B350" w14:textId="77777777" w:rsidR="008F714E" w:rsidRPr="001D601E" w:rsidRDefault="008F714E" w:rsidP="00BE2485">
      <w:pPr>
        <w:shd w:val="clear" w:color="auto" w:fill="FFFFFF" w:themeFill="background1"/>
        <w:spacing w:line="240" w:lineRule="auto"/>
        <w:jc w:val="both"/>
      </w:pPr>
      <w:r w:rsidRPr="001D601E">
        <w:t>3.    prace kameralne.</w:t>
      </w:r>
    </w:p>
    <w:p w14:paraId="75C3B4EA" w14:textId="77777777" w:rsidR="008F714E" w:rsidRPr="001D601E" w:rsidRDefault="008F714E" w:rsidP="00BE2485">
      <w:pPr>
        <w:shd w:val="clear" w:color="auto" w:fill="FFFFFF" w:themeFill="background1"/>
        <w:spacing w:line="240" w:lineRule="auto"/>
        <w:jc w:val="both"/>
        <w:rPr>
          <w:b/>
          <w:bCs/>
        </w:rPr>
      </w:pPr>
      <w:r w:rsidRPr="001D601E">
        <w:rPr>
          <w:b/>
          <w:bCs/>
        </w:rPr>
        <w:t>5.3. Odpowiedzialność Wykonawcy prac</w:t>
      </w:r>
    </w:p>
    <w:p w14:paraId="70005F54" w14:textId="77777777" w:rsidR="008F714E" w:rsidRPr="001D601E" w:rsidRDefault="008F714E" w:rsidP="00BE2485">
      <w:pPr>
        <w:shd w:val="clear" w:color="auto" w:fill="FFFFFF" w:themeFill="background1"/>
        <w:spacing w:line="240" w:lineRule="auto"/>
        <w:jc w:val="both"/>
      </w:pPr>
      <w:r w:rsidRPr="001D601E">
        <w:t>                Wykonawca jest odpowiedzialny za jakość prac oraz zgodność ich wykonania z obowiązującymi przepisami prawnymi i technicznymi, ustaleniami ST oraz poleceniami Inżyniera.</w:t>
      </w:r>
    </w:p>
    <w:p w14:paraId="59561020" w14:textId="77777777" w:rsidR="008F714E" w:rsidRPr="001D601E" w:rsidRDefault="008F714E" w:rsidP="00BE2485">
      <w:pPr>
        <w:shd w:val="clear" w:color="auto" w:fill="FFFFFF" w:themeFill="background1"/>
        <w:spacing w:line="240" w:lineRule="auto"/>
        <w:jc w:val="both"/>
      </w:pPr>
      <w:r w:rsidRPr="001D601E">
        <w:t>                Wykonawca jest zobowiązany do ochrony przed uszkodzeniem lub zniszczeniem własności prywatnej i publicznej. W razie wyrządzenia szkód, Wykonawca zobowiązany jest do ich naprawienia lub wypłacenia odszkodowania.</w:t>
      </w:r>
    </w:p>
    <w:p w14:paraId="55B58A25" w14:textId="77777777" w:rsidR="008F714E" w:rsidRPr="001D601E" w:rsidRDefault="008F714E" w:rsidP="00BE2485">
      <w:pPr>
        <w:shd w:val="clear" w:color="auto" w:fill="FFFFFF" w:themeFill="background1"/>
        <w:spacing w:line="240" w:lineRule="auto"/>
        <w:jc w:val="both"/>
      </w:pPr>
      <w:r w:rsidRPr="001D601E">
        <w:t>                Pracami geodezyjnymi i kartograficznymi powinna kierować i sprawować nad nimi bezpośredni nadzór i kontrolę osoba posiadająca odpowiednie uprawnienia zawodowe, zgodnie z wymaganiami przepisów ustawy Prawo geodezyjne i kartograficzne [10].</w:t>
      </w:r>
    </w:p>
    <w:p w14:paraId="30818436" w14:textId="77777777" w:rsidR="008F714E" w:rsidRPr="001D601E" w:rsidRDefault="008F714E" w:rsidP="00BE2485">
      <w:pPr>
        <w:shd w:val="clear" w:color="auto" w:fill="FFFFFF" w:themeFill="background1"/>
        <w:spacing w:line="240" w:lineRule="auto"/>
        <w:jc w:val="both"/>
      </w:pPr>
      <w:r w:rsidRPr="001D601E">
        <w:t>                Podczas prac geodezyjnych należy zwrócić szczególną uwagę na zachowanie w stanie nienaruszonym i nieprzesuwanie punktów geodezyjnych w terenie, które podlegają ochronie w trybie przepisów ustawy Prawo geodezyjne i kartograficzne [10].</w:t>
      </w:r>
    </w:p>
    <w:p w14:paraId="73B9CC21" w14:textId="77777777" w:rsidR="008F714E" w:rsidRPr="001D601E" w:rsidRDefault="008F714E" w:rsidP="00BE2485">
      <w:pPr>
        <w:shd w:val="clear" w:color="auto" w:fill="FFFFFF" w:themeFill="background1"/>
        <w:spacing w:line="240" w:lineRule="auto"/>
        <w:jc w:val="both"/>
        <w:rPr>
          <w:b/>
          <w:bCs/>
        </w:rPr>
      </w:pPr>
      <w:r w:rsidRPr="001D601E">
        <w:rPr>
          <w:b/>
          <w:bCs/>
        </w:rPr>
        <w:t>5.4. Prace przygotowawcze</w:t>
      </w:r>
    </w:p>
    <w:p w14:paraId="39D8F6E3" w14:textId="77777777" w:rsidR="008F714E" w:rsidRPr="001D601E" w:rsidRDefault="008F714E" w:rsidP="00BE2485">
      <w:pPr>
        <w:shd w:val="clear" w:color="auto" w:fill="FFFFFF" w:themeFill="background1"/>
        <w:spacing w:line="240" w:lineRule="auto"/>
        <w:jc w:val="both"/>
      </w:pPr>
      <w:r w:rsidRPr="001D601E">
        <w:t>                Prace przygotowawcze obejmują:</w:t>
      </w:r>
    </w:p>
    <w:p w14:paraId="538447B1" w14:textId="77777777" w:rsidR="008F714E" w:rsidRPr="001D601E" w:rsidRDefault="008F714E" w:rsidP="00BE2485">
      <w:pPr>
        <w:shd w:val="clear" w:color="auto" w:fill="FFFFFF" w:themeFill="background1"/>
        <w:spacing w:line="240" w:lineRule="auto"/>
        <w:jc w:val="both"/>
      </w:pPr>
      <w:r w:rsidRPr="001D601E">
        <w:t>–          zebranie niezbędnych materiałów i informacji, w tym uzyskanie z ośrodka dokumentacji danych dotyczących osnowy geodezyjnej i mapy zasadniczej, pobranie z właściwego urzędu danych z katastru nieruchomości, dokonanie badania ksiąg wieczystych stwierdzających stan prawny nieruchomości, a następnie analiza i ocena zebranych materiałów,</w:t>
      </w:r>
    </w:p>
    <w:p w14:paraId="14BF3A5A" w14:textId="77777777" w:rsidR="008F714E" w:rsidRPr="001D601E" w:rsidRDefault="008F714E" w:rsidP="00BE2485">
      <w:pPr>
        <w:shd w:val="clear" w:color="auto" w:fill="FFFFFF" w:themeFill="background1"/>
        <w:spacing w:line="240" w:lineRule="auto"/>
        <w:jc w:val="both"/>
      </w:pPr>
      <w:r w:rsidRPr="001D601E">
        <w:t>–          wywiad w terenie, mający na celu odszukanie punktów istniejącej osnowy poziomej i oczyszczenie widoczności między punktami oraz ewentualne uzupełnienie punktów osnowy,</w:t>
      </w:r>
    </w:p>
    <w:p w14:paraId="072E5B80" w14:textId="77777777" w:rsidR="008F714E" w:rsidRPr="001D601E" w:rsidRDefault="008F714E" w:rsidP="00BE2485">
      <w:pPr>
        <w:shd w:val="clear" w:color="auto" w:fill="FFFFFF" w:themeFill="background1"/>
        <w:spacing w:line="240" w:lineRule="auto"/>
        <w:jc w:val="both"/>
      </w:pPr>
      <w:r w:rsidRPr="001D601E">
        <w:t>–          przygotowanie osnowy do prac pomiarowych,</w:t>
      </w:r>
    </w:p>
    <w:p w14:paraId="1878F7F2" w14:textId="77777777" w:rsidR="008F714E" w:rsidRPr="001D601E" w:rsidRDefault="008F714E" w:rsidP="00BE2485">
      <w:pPr>
        <w:shd w:val="clear" w:color="auto" w:fill="FFFFFF" w:themeFill="background1"/>
        <w:spacing w:line="240" w:lineRule="auto"/>
        <w:jc w:val="both"/>
      </w:pPr>
      <w:r w:rsidRPr="001D601E">
        <w:t>–          wstępne opracowanie projektu podziału nieruchomości, biorąc pod uwagę punkty załamania projektowanych granic pasa drogowego podane w załączniku mapowym dokumentacji projektowej albo zasady określania tych punktów podane przez Zamawiającego.</w:t>
      </w:r>
    </w:p>
    <w:p w14:paraId="73CCCC76" w14:textId="77777777" w:rsidR="008F714E" w:rsidRPr="001D601E" w:rsidRDefault="008F714E" w:rsidP="00BE2485">
      <w:pPr>
        <w:shd w:val="clear" w:color="auto" w:fill="FFFFFF" w:themeFill="background1"/>
        <w:spacing w:line="240" w:lineRule="auto"/>
        <w:jc w:val="both"/>
      </w:pPr>
      <w:r w:rsidRPr="001D601E">
        <w:t>W wyniku prac przygotowawczych powinien powstać projekt granic pasa drogowego wkartowany na mapę, uzgodniony z Zamawiającym i właścicielami nieruchomości, a następnie zamarkowany w terenie za pomocą palików.</w:t>
      </w:r>
    </w:p>
    <w:p w14:paraId="12CCCAFF" w14:textId="77777777" w:rsidR="008F714E" w:rsidRPr="001D601E" w:rsidRDefault="008F714E" w:rsidP="00BE2485">
      <w:pPr>
        <w:shd w:val="clear" w:color="auto" w:fill="FFFFFF" w:themeFill="background1"/>
        <w:spacing w:line="240" w:lineRule="auto"/>
        <w:jc w:val="both"/>
        <w:rPr>
          <w:b/>
          <w:bCs/>
        </w:rPr>
      </w:pPr>
      <w:r w:rsidRPr="001D601E">
        <w:rPr>
          <w:b/>
          <w:bCs/>
        </w:rPr>
        <w:t>5.5. Stabilizacja granic pasa drogowego</w:t>
      </w:r>
    </w:p>
    <w:p w14:paraId="5594637D" w14:textId="77777777" w:rsidR="008F714E" w:rsidRPr="001D601E" w:rsidRDefault="008F714E" w:rsidP="00BE2485">
      <w:pPr>
        <w:shd w:val="clear" w:color="auto" w:fill="FFFFFF" w:themeFill="background1"/>
        <w:spacing w:line="240" w:lineRule="auto"/>
        <w:jc w:val="both"/>
      </w:pPr>
      <w:r w:rsidRPr="001D601E">
        <w:t>                Ostateczne wyznaczenie i utrwalenie w terenie znakami granicznymi punktów granicznych projektowanego pasa drogowego Wykonawca dokonuje w obecności osób zainteresowanych, po uzyskaniu ostatecznej decyzji zatwierdzającej projekt podziału nieruchomości.</w:t>
      </w:r>
    </w:p>
    <w:p w14:paraId="38B99DDC" w14:textId="77777777" w:rsidR="008F714E" w:rsidRPr="001D601E" w:rsidRDefault="008F714E" w:rsidP="00BE2485">
      <w:pPr>
        <w:shd w:val="clear" w:color="auto" w:fill="FFFFFF" w:themeFill="background1"/>
        <w:spacing w:line="240" w:lineRule="auto"/>
        <w:jc w:val="both"/>
      </w:pPr>
      <w:r w:rsidRPr="001D601E">
        <w:t>                Stabilizację punktów granicznych należy wykonać geodezyjnymi znakami granicznymi z krzyżem (zakupionymi lub wykonanymi wg pktu 2.2.2). Stabilizacji podlegają wszystkie punkty załamania granicy pasa drogowego oraz odcinki proste o maksymalnej długości 200 m. Znaki graniczne powinny być wkopane do takiej głębokości, aby wystawały do 10 cm ponad teren.</w:t>
      </w:r>
    </w:p>
    <w:p w14:paraId="43E9C688" w14:textId="77777777" w:rsidR="008F714E" w:rsidRPr="001D601E" w:rsidRDefault="008F714E" w:rsidP="00BE2485">
      <w:pPr>
        <w:shd w:val="clear" w:color="auto" w:fill="FFFFFF" w:themeFill="background1"/>
        <w:spacing w:line="240" w:lineRule="auto"/>
        <w:jc w:val="both"/>
      </w:pPr>
      <w:r w:rsidRPr="001D601E">
        <w:t>                W odległości do 1 m od słupka znaku granicznego, w linii granicznej, należy wkopać świadek punktu granicznego, w odstępach do 200 m, z zachowaniem wizury pomiędzy sąsiednimi punktami. Świadek punktu granicznego powinien być wkopany w grunt na głębokość około 50 cm, tak aby część nadziemna barwy żółtej z wytłoczonym napisem „PAS  DROGOWY” wystawała 50 cm nad terenem.</w:t>
      </w:r>
    </w:p>
    <w:p w14:paraId="7A721F6D" w14:textId="77777777" w:rsidR="008F714E" w:rsidRPr="001D601E" w:rsidRDefault="008F714E" w:rsidP="00BE2485">
      <w:pPr>
        <w:shd w:val="clear" w:color="auto" w:fill="FFFFFF" w:themeFill="background1"/>
        <w:spacing w:line="240" w:lineRule="auto"/>
        <w:jc w:val="both"/>
      </w:pPr>
      <w:r w:rsidRPr="001D601E">
        <w:t xml:space="preserve">                Roboty przy utrwaleniu w terenie słupków zaleca się wykonywać poprzez nawiercenie ręcznym świdrem otworu w gruncie, dla znaku granicznego o wielkości dostosowanej do słupka znaku, a dla świadka punktu granicznego na głębokość 50 cm o średnicy 20÷40 cm. Słupki obsypuje się gruntem rodzimym i zagęszcza. W przypadku gdy grunt </w:t>
      </w:r>
      <w:r w:rsidRPr="001D601E">
        <w:lastRenderedPageBreak/>
        <w:t>rodzimy jest spoisty lub zbrylony, tak że nie ma możliwości szczelnego obsypania słupka, należy do tego celu wykorzystać piasek lub mieszankę naturalną. Nadmiar materiału gruntowego z otworu należy rozplantować.</w:t>
      </w:r>
    </w:p>
    <w:p w14:paraId="072C9881" w14:textId="77777777" w:rsidR="008F714E" w:rsidRPr="001D601E" w:rsidRDefault="008F714E" w:rsidP="00BE2485">
      <w:pPr>
        <w:shd w:val="clear" w:color="auto" w:fill="FFFFFF" w:themeFill="background1"/>
        <w:spacing w:line="240" w:lineRule="auto"/>
        <w:jc w:val="both"/>
      </w:pPr>
      <w:r w:rsidRPr="001D601E">
        <w:t>                W przypadku gdy niemożliwa jest trwała stabilizacja punktu, należy zastąpić go innym elementem zamontowanym w podłożu (np. prętem stalowym, rurką). Taki punkt należy opisać oraz sporządzić szkic topograficzny określający jego położenie.</w:t>
      </w:r>
    </w:p>
    <w:p w14:paraId="54E342BC" w14:textId="77777777" w:rsidR="008F714E" w:rsidRPr="001D601E" w:rsidRDefault="008F714E" w:rsidP="00BE2485">
      <w:pPr>
        <w:shd w:val="clear" w:color="auto" w:fill="FFFFFF" w:themeFill="background1"/>
        <w:spacing w:line="240" w:lineRule="auto"/>
        <w:jc w:val="both"/>
      </w:pPr>
      <w:r w:rsidRPr="001D601E">
        <w:t>                Podczas prac Wykonawca ma zachować w stanie nienaruszonym wszystkie punkty pomiarowe.</w:t>
      </w:r>
    </w:p>
    <w:p w14:paraId="2D841724" w14:textId="77777777" w:rsidR="008F714E" w:rsidRPr="001D601E" w:rsidRDefault="008F714E" w:rsidP="00BE2485">
      <w:pPr>
        <w:shd w:val="clear" w:color="auto" w:fill="FFFFFF" w:themeFill="background1"/>
        <w:spacing w:line="240" w:lineRule="auto"/>
        <w:jc w:val="both"/>
      </w:pPr>
      <w:r w:rsidRPr="001D601E">
        <w:t>                Z czynności stabilizacji granic pasa drogowego Wykonawca sporządza protokół okazania znaków granicznych właścicielom nieruchomości.</w:t>
      </w:r>
    </w:p>
    <w:p w14:paraId="3F7888AF" w14:textId="77777777" w:rsidR="008F714E" w:rsidRPr="001D601E" w:rsidRDefault="008F714E" w:rsidP="00BE2485">
      <w:pPr>
        <w:shd w:val="clear" w:color="auto" w:fill="FFFFFF" w:themeFill="background1"/>
        <w:spacing w:line="240" w:lineRule="auto"/>
        <w:jc w:val="both"/>
        <w:rPr>
          <w:b/>
          <w:bCs/>
        </w:rPr>
      </w:pPr>
      <w:r w:rsidRPr="001D601E">
        <w:rPr>
          <w:b/>
          <w:bCs/>
        </w:rPr>
        <w:t>5.6. Prace kameralne</w:t>
      </w:r>
    </w:p>
    <w:p w14:paraId="0E207BCB" w14:textId="77777777" w:rsidR="008F714E" w:rsidRPr="001D601E" w:rsidRDefault="008F714E" w:rsidP="00BE2485">
      <w:pPr>
        <w:shd w:val="clear" w:color="auto" w:fill="FFFFFF" w:themeFill="background1"/>
        <w:spacing w:line="240" w:lineRule="auto"/>
        <w:jc w:val="both"/>
      </w:pPr>
      <w:r w:rsidRPr="001D601E">
        <w:t>                Do prac kameralnych przy stabilizacji granic pasa drogowego, zgodnie z warunkami kontraktu, mogą należeć:</w:t>
      </w:r>
    </w:p>
    <w:p w14:paraId="0F39C289" w14:textId="77777777" w:rsidR="008F714E" w:rsidRPr="001D601E" w:rsidRDefault="008F714E" w:rsidP="00BE2485">
      <w:pPr>
        <w:shd w:val="clear" w:color="auto" w:fill="FFFFFF" w:themeFill="background1"/>
        <w:spacing w:line="240" w:lineRule="auto"/>
        <w:jc w:val="both"/>
      </w:pPr>
      <w:r w:rsidRPr="001D601E">
        <w:t>–          obliczenia współrzędnych punktów granicznych, powierzchni działek, uzupełnienia mapy zasadniczej, sporządzenia mapy uzupełniającej do mapy katastralnej, sporządzenia wykazu zmian gruntowych, skompletowania dokumentacji podziału nieruchomości,</w:t>
      </w:r>
    </w:p>
    <w:p w14:paraId="35E8C68E" w14:textId="77777777" w:rsidR="008F714E" w:rsidRPr="001D601E" w:rsidRDefault="008F714E" w:rsidP="00BE2485">
      <w:pPr>
        <w:shd w:val="clear" w:color="auto" w:fill="FFFFFF" w:themeFill="background1"/>
        <w:spacing w:line="240" w:lineRule="auto"/>
        <w:jc w:val="both"/>
      </w:pPr>
      <w:r w:rsidRPr="001D601E">
        <w:t>–          sporządzenie dokumentacji z podziałem na: akta postępowania dla Wykonawcy, dokumentację techniczną dla Zamawiającego, dokumentację techniczną dla ośrodka dokumentacji, dokumentację przeznaczoną dla organu prowadzącego kataster nieruchomości,</w:t>
      </w:r>
    </w:p>
    <w:p w14:paraId="3E1605AF" w14:textId="77777777" w:rsidR="008F714E" w:rsidRPr="001D601E" w:rsidRDefault="008F714E" w:rsidP="00BE2485">
      <w:pPr>
        <w:shd w:val="clear" w:color="auto" w:fill="FFFFFF" w:themeFill="background1"/>
        <w:spacing w:line="240" w:lineRule="auto"/>
        <w:jc w:val="both"/>
      </w:pPr>
      <w:r w:rsidRPr="001D601E">
        <w:t>–          uzyskanie decyzji o podziale nieruchomości.</w:t>
      </w:r>
    </w:p>
    <w:p w14:paraId="6DE4EB14" w14:textId="77777777" w:rsidR="008F714E" w:rsidRPr="001D601E" w:rsidRDefault="008F714E" w:rsidP="00BE2485">
      <w:pPr>
        <w:shd w:val="clear" w:color="auto" w:fill="FFFFFF" w:themeFill="background1"/>
        <w:spacing w:line="240" w:lineRule="auto"/>
        <w:jc w:val="both"/>
      </w:pPr>
      <w:r w:rsidRPr="001D601E">
        <w:t>Jeśli Zamawiający nie ustali inaczej to skład dokumentacji dla Zamawiającego może zawierać:</w:t>
      </w:r>
    </w:p>
    <w:p w14:paraId="021B5CAC" w14:textId="77777777" w:rsidR="008F714E" w:rsidRPr="001D601E" w:rsidRDefault="008F714E" w:rsidP="00BE2485">
      <w:pPr>
        <w:shd w:val="clear" w:color="auto" w:fill="FFFFFF" w:themeFill="background1"/>
        <w:spacing w:line="240" w:lineRule="auto"/>
        <w:jc w:val="both"/>
      </w:pPr>
      <w:r w:rsidRPr="001D601E">
        <w:t>–          opis i mapę z wykazem zmian gruntowych i wykazem synchronizacyjnym (gdy w księdze wieczystej nieruchomość podlegająca podziałowi posiada inne oznaczenia niż w katastrze nieruchomości),</w:t>
      </w:r>
    </w:p>
    <w:p w14:paraId="6EBEF671" w14:textId="77777777" w:rsidR="008F714E" w:rsidRPr="001D601E" w:rsidRDefault="008F714E" w:rsidP="00BE2485">
      <w:pPr>
        <w:shd w:val="clear" w:color="auto" w:fill="FFFFFF" w:themeFill="background1"/>
        <w:spacing w:line="240" w:lineRule="auto"/>
        <w:jc w:val="both"/>
      </w:pPr>
      <w:r w:rsidRPr="001D601E">
        <w:t>–          ostateczną decyzję zatwierdzającą projekt podziału wraz z załącznikiem mapowym,</w:t>
      </w:r>
    </w:p>
    <w:p w14:paraId="2F014397" w14:textId="77777777" w:rsidR="008F714E" w:rsidRPr="001D601E" w:rsidRDefault="008F714E" w:rsidP="00BE2485">
      <w:pPr>
        <w:shd w:val="clear" w:color="auto" w:fill="FFFFFF" w:themeFill="background1"/>
        <w:spacing w:line="240" w:lineRule="auto"/>
        <w:jc w:val="both"/>
      </w:pPr>
      <w:r w:rsidRPr="001D601E">
        <w:t>–          wyniki prac obliczeniowych i kartograficznych na komputerowych nośnikach informacji: wtórniki mapy zasadniczej uzupełnione o granice pasa drogowego, wykazy współrzędnych punktów geodezyjnej osnowy  poziomej ze szkicem osnowy i opisami topograficznymi punktów, wykazy współrzędnych punktów granicznych pasa drogowego, mapę zbiorczą z podziałem na nieruchomości i wykazem zmian gruntowych, kopie decyzji zatwierdzających projekt podziału nieruchomości, kopie wyciągów z dokumentów stwierdzających tytuły własności do nieruchomości.</w:t>
      </w:r>
    </w:p>
    <w:p w14:paraId="5E8AD00B" w14:textId="77777777" w:rsidR="008F714E" w:rsidRPr="001D601E" w:rsidRDefault="008F714E" w:rsidP="00BE2485">
      <w:pPr>
        <w:shd w:val="clear" w:color="auto" w:fill="FFFFFF" w:themeFill="background1"/>
        <w:spacing w:line="240" w:lineRule="auto"/>
        <w:jc w:val="both"/>
        <w:rPr>
          <w:b/>
          <w:bCs/>
        </w:rPr>
      </w:pPr>
      <w:r w:rsidRPr="001D601E">
        <w:rPr>
          <w:b/>
          <w:bCs/>
        </w:rPr>
        <w:t>6. KONTROLA JAKOŚCI ROBÓT</w:t>
      </w:r>
    </w:p>
    <w:p w14:paraId="0E5C2E2F" w14:textId="77777777" w:rsidR="008F714E" w:rsidRPr="001D601E" w:rsidRDefault="008F714E" w:rsidP="00BE2485">
      <w:pPr>
        <w:shd w:val="clear" w:color="auto" w:fill="FFFFFF" w:themeFill="background1"/>
        <w:spacing w:line="240" w:lineRule="auto"/>
        <w:jc w:val="both"/>
        <w:rPr>
          <w:b/>
          <w:bCs/>
        </w:rPr>
      </w:pPr>
      <w:r w:rsidRPr="001D601E">
        <w:rPr>
          <w:b/>
          <w:bCs/>
        </w:rPr>
        <w:t>6.1. Ogólne zasady kontroli jakości robót</w:t>
      </w:r>
    </w:p>
    <w:p w14:paraId="0164820B" w14:textId="77777777" w:rsidR="008F714E" w:rsidRPr="001D601E" w:rsidRDefault="008F714E" w:rsidP="00BE2485">
      <w:pPr>
        <w:shd w:val="clear" w:color="auto" w:fill="FFFFFF" w:themeFill="background1"/>
        <w:spacing w:line="240" w:lineRule="auto"/>
        <w:jc w:val="both"/>
      </w:pPr>
      <w:r w:rsidRPr="001D601E">
        <w:t>                Ogólne zasady kontroli jakości robót podano w SST   D-M-00.00.00 „Wymagania ogólne” [1] pkt 6.</w:t>
      </w:r>
    </w:p>
    <w:p w14:paraId="07DD7F9F" w14:textId="77777777" w:rsidR="008F714E" w:rsidRPr="001D601E" w:rsidRDefault="008F714E" w:rsidP="00BE2485">
      <w:pPr>
        <w:shd w:val="clear" w:color="auto" w:fill="FFFFFF" w:themeFill="background1"/>
        <w:spacing w:line="240" w:lineRule="auto"/>
        <w:jc w:val="both"/>
        <w:rPr>
          <w:b/>
          <w:bCs/>
        </w:rPr>
      </w:pPr>
      <w:r w:rsidRPr="001D601E">
        <w:rPr>
          <w:b/>
          <w:bCs/>
        </w:rPr>
        <w:t>6.2. Badania przed przystąpieniem do robót</w:t>
      </w:r>
    </w:p>
    <w:p w14:paraId="57759CE6" w14:textId="77777777" w:rsidR="008F714E" w:rsidRPr="001D601E" w:rsidRDefault="008F714E" w:rsidP="00BE2485">
      <w:pPr>
        <w:shd w:val="clear" w:color="auto" w:fill="FFFFFF" w:themeFill="background1"/>
        <w:spacing w:line="240" w:lineRule="auto"/>
        <w:jc w:val="both"/>
      </w:pPr>
      <w:r w:rsidRPr="001D601E">
        <w:t>                Przed przystąpieniem do robót Wykonawca powinien:</w:t>
      </w:r>
    </w:p>
    <w:p w14:paraId="56111A5A" w14:textId="77777777" w:rsidR="008F714E" w:rsidRPr="001D601E" w:rsidRDefault="008F714E" w:rsidP="00BE2485">
      <w:pPr>
        <w:shd w:val="clear" w:color="auto" w:fill="FFFFFF" w:themeFill="background1"/>
        <w:spacing w:line="240" w:lineRule="auto"/>
        <w:jc w:val="both"/>
      </w:pPr>
      <w:r w:rsidRPr="001D601E">
        <w:t>-      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692CDB57" w14:textId="77777777" w:rsidR="008F714E" w:rsidRPr="001D601E" w:rsidRDefault="008F714E" w:rsidP="00BE2485">
      <w:pPr>
        <w:shd w:val="clear" w:color="auto" w:fill="FFFFFF" w:themeFill="background1"/>
        <w:spacing w:line="240" w:lineRule="auto"/>
        <w:jc w:val="both"/>
      </w:pPr>
      <w:r w:rsidRPr="001D601E">
        <w:t>-      ew. wykonać własne badania właściwości materiałów przeznaczonych do wykonania robót, określone przez Inżyniera,</w:t>
      </w:r>
    </w:p>
    <w:p w14:paraId="78E780FA" w14:textId="77777777" w:rsidR="008F714E" w:rsidRPr="001D601E" w:rsidRDefault="008F714E" w:rsidP="00BE2485">
      <w:pPr>
        <w:shd w:val="clear" w:color="auto" w:fill="FFFFFF" w:themeFill="background1"/>
        <w:spacing w:line="240" w:lineRule="auto"/>
        <w:jc w:val="both"/>
      </w:pPr>
      <w:r w:rsidRPr="001D601E">
        <w:t>-      sprawdzić cechy zewnętrzne gotowych materiałów.</w:t>
      </w:r>
    </w:p>
    <w:p w14:paraId="644BF7FF" w14:textId="77777777" w:rsidR="008F714E" w:rsidRPr="001D601E" w:rsidRDefault="008F714E" w:rsidP="00BE2485">
      <w:pPr>
        <w:shd w:val="clear" w:color="auto" w:fill="FFFFFF" w:themeFill="background1"/>
        <w:spacing w:line="240" w:lineRule="auto"/>
        <w:jc w:val="both"/>
      </w:pPr>
      <w:r w:rsidRPr="001D601E">
        <w:t>                Wszystkie dokumenty oraz wyniki badań Wykonawca przedstawia Inżynierowi do akceptacji.</w:t>
      </w:r>
    </w:p>
    <w:p w14:paraId="5175D12B" w14:textId="77777777" w:rsidR="008F714E" w:rsidRPr="001D601E" w:rsidRDefault="008F714E" w:rsidP="00BE2485">
      <w:pPr>
        <w:shd w:val="clear" w:color="auto" w:fill="FFFFFF" w:themeFill="background1"/>
        <w:spacing w:line="240" w:lineRule="auto"/>
        <w:jc w:val="both"/>
        <w:rPr>
          <w:b/>
          <w:bCs/>
        </w:rPr>
      </w:pPr>
      <w:r w:rsidRPr="001D601E">
        <w:rPr>
          <w:b/>
          <w:bCs/>
        </w:rPr>
        <w:t>6.3. Kontrola jakości prac geodezyjnych i kartograficznych</w:t>
      </w:r>
    </w:p>
    <w:p w14:paraId="2FE64F2A" w14:textId="77777777" w:rsidR="008F714E" w:rsidRPr="001D601E" w:rsidRDefault="008F714E" w:rsidP="00BE2485">
      <w:pPr>
        <w:shd w:val="clear" w:color="auto" w:fill="FFFFFF" w:themeFill="background1"/>
        <w:spacing w:line="240" w:lineRule="auto"/>
        <w:jc w:val="both"/>
      </w:pPr>
      <w:r w:rsidRPr="001D601E">
        <w:t>                Kontrolę jakości prac przy stabilizacji granic pasa drogowego należy prowadzić według zasad określonych w instrukcjach i wytycznych GUGIK [2÷9] w nawiązaniu do wymagań podanych w punkcie 5.</w:t>
      </w:r>
    </w:p>
    <w:p w14:paraId="3177D15B" w14:textId="77777777" w:rsidR="008F714E" w:rsidRPr="001D601E" w:rsidRDefault="008F714E" w:rsidP="00BE2485">
      <w:pPr>
        <w:shd w:val="clear" w:color="auto" w:fill="FFFFFF" w:themeFill="background1"/>
        <w:spacing w:line="240" w:lineRule="auto"/>
        <w:jc w:val="both"/>
        <w:rPr>
          <w:b/>
          <w:bCs/>
        </w:rPr>
      </w:pPr>
      <w:r w:rsidRPr="001D601E">
        <w:rPr>
          <w:b/>
          <w:bCs/>
        </w:rPr>
        <w:t>7. OBMIAR ROBOT</w:t>
      </w:r>
    </w:p>
    <w:p w14:paraId="5CA75464" w14:textId="77777777" w:rsidR="008F714E" w:rsidRPr="001D601E" w:rsidRDefault="008F714E" w:rsidP="00BE2485">
      <w:pPr>
        <w:shd w:val="clear" w:color="auto" w:fill="FFFFFF" w:themeFill="background1"/>
        <w:spacing w:line="240" w:lineRule="auto"/>
        <w:jc w:val="both"/>
        <w:rPr>
          <w:b/>
          <w:bCs/>
        </w:rPr>
      </w:pPr>
      <w:r w:rsidRPr="001D601E">
        <w:rPr>
          <w:b/>
          <w:bCs/>
        </w:rPr>
        <w:t>7.1. Ogólne zasady obmiaru robót</w:t>
      </w:r>
    </w:p>
    <w:p w14:paraId="1A5D7358" w14:textId="77777777" w:rsidR="008F714E" w:rsidRPr="001D601E" w:rsidRDefault="008F714E" w:rsidP="00BE2485">
      <w:pPr>
        <w:shd w:val="clear" w:color="auto" w:fill="FFFFFF" w:themeFill="background1"/>
        <w:spacing w:line="240" w:lineRule="auto"/>
        <w:jc w:val="both"/>
      </w:pPr>
      <w:r w:rsidRPr="001D601E">
        <w:t>                Ogólne zasady obmiaru robót podano w SST  D-M-00.00.00 „Wymagania ogólne” [1] pkt 7.</w:t>
      </w:r>
    </w:p>
    <w:p w14:paraId="0E1EC9D8" w14:textId="77777777" w:rsidR="008F714E" w:rsidRPr="001D601E" w:rsidRDefault="008F714E" w:rsidP="00BE2485">
      <w:pPr>
        <w:shd w:val="clear" w:color="auto" w:fill="FFFFFF" w:themeFill="background1"/>
        <w:spacing w:line="240" w:lineRule="auto"/>
        <w:jc w:val="both"/>
        <w:rPr>
          <w:b/>
          <w:bCs/>
        </w:rPr>
      </w:pPr>
      <w:r w:rsidRPr="001D601E">
        <w:rPr>
          <w:b/>
          <w:bCs/>
        </w:rPr>
        <w:t>7.2. Jednostka obmiarowa</w:t>
      </w:r>
    </w:p>
    <w:p w14:paraId="4E3212E6" w14:textId="77777777" w:rsidR="008F714E" w:rsidRPr="001D601E" w:rsidRDefault="008F714E" w:rsidP="00BE2485">
      <w:pPr>
        <w:shd w:val="clear" w:color="auto" w:fill="FFFFFF" w:themeFill="background1"/>
        <w:spacing w:line="240" w:lineRule="auto"/>
        <w:jc w:val="both"/>
      </w:pPr>
      <w:r w:rsidRPr="001D601E">
        <w:t>                Jednostką obmiarową jest:</w:t>
      </w:r>
    </w:p>
    <w:p w14:paraId="720BDA91" w14:textId="77777777" w:rsidR="008F714E" w:rsidRPr="001D601E" w:rsidRDefault="008F714E" w:rsidP="00BE2485">
      <w:pPr>
        <w:shd w:val="clear" w:color="auto" w:fill="FFFFFF" w:themeFill="background1"/>
        <w:spacing w:line="240" w:lineRule="auto"/>
        <w:jc w:val="both"/>
      </w:pPr>
      <w:r w:rsidRPr="001D601E">
        <w:t>–          wkopany (zastabilizowany) znak graniczny – sztuka (szt.),</w:t>
      </w:r>
    </w:p>
    <w:p w14:paraId="4BCCE4C9" w14:textId="77777777" w:rsidR="008F714E" w:rsidRPr="001D601E" w:rsidRDefault="008F714E" w:rsidP="00BE2485">
      <w:pPr>
        <w:shd w:val="clear" w:color="auto" w:fill="FFFFFF" w:themeFill="background1"/>
        <w:spacing w:line="240" w:lineRule="auto"/>
        <w:jc w:val="both"/>
      </w:pPr>
      <w:r w:rsidRPr="001D601E">
        <w:t>–          wkopany (zastabilizowany) świadek punktu granicznego – sztuka (szt.).</w:t>
      </w:r>
    </w:p>
    <w:p w14:paraId="0E71D375" w14:textId="77777777" w:rsidR="008F714E" w:rsidRPr="001D601E" w:rsidRDefault="008F714E" w:rsidP="00BE2485">
      <w:pPr>
        <w:shd w:val="clear" w:color="auto" w:fill="FFFFFF" w:themeFill="background1"/>
        <w:spacing w:line="240" w:lineRule="auto"/>
        <w:jc w:val="both"/>
        <w:rPr>
          <w:b/>
          <w:bCs/>
        </w:rPr>
      </w:pPr>
      <w:r w:rsidRPr="001D601E">
        <w:rPr>
          <w:b/>
          <w:bCs/>
        </w:rPr>
        <w:t> 8. ODBIÓR ROBÓT</w:t>
      </w:r>
    </w:p>
    <w:p w14:paraId="3FC9DA37" w14:textId="77777777" w:rsidR="008F714E" w:rsidRPr="001D601E" w:rsidRDefault="008F714E" w:rsidP="00BE2485">
      <w:pPr>
        <w:shd w:val="clear" w:color="auto" w:fill="FFFFFF" w:themeFill="background1"/>
        <w:spacing w:line="240" w:lineRule="auto"/>
        <w:jc w:val="both"/>
        <w:rPr>
          <w:b/>
          <w:bCs/>
        </w:rPr>
      </w:pPr>
      <w:r w:rsidRPr="001D601E">
        <w:rPr>
          <w:b/>
          <w:bCs/>
        </w:rPr>
        <w:t>8.1. Ogólne zasady odbioru robót</w:t>
      </w:r>
    </w:p>
    <w:p w14:paraId="3DC537FD" w14:textId="77777777" w:rsidR="008F714E" w:rsidRPr="001D601E" w:rsidRDefault="008F714E" w:rsidP="00BE2485">
      <w:pPr>
        <w:shd w:val="clear" w:color="auto" w:fill="FFFFFF" w:themeFill="background1"/>
        <w:spacing w:line="240" w:lineRule="auto"/>
        <w:jc w:val="both"/>
      </w:pPr>
      <w:r w:rsidRPr="001D601E">
        <w:t>                Ogólne zasady odbioru robót podano w SST  D-M-00.00.00 „Wymagania ogólne” [1] pkt 8.</w:t>
      </w:r>
    </w:p>
    <w:p w14:paraId="5201ADBD" w14:textId="77777777" w:rsidR="008F714E" w:rsidRPr="001D601E" w:rsidRDefault="008F714E" w:rsidP="00BE2485">
      <w:pPr>
        <w:shd w:val="clear" w:color="auto" w:fill="FFFFFF" w:themeFill="background1"/>
        <w:spacing w:line="240" w:lineRule="auto"/>
        <w:jc w:val="both"/>
        <w:rPr>
          <w:b/>
          <w:bCs/>
        </w:rPr>
      </w:pPr>
      <w:r w:rsidRPr="001D601E">
        <w:rPr>
          <w:b/>
          <w:bCs/>
        </w:rPr>
        <w:t>8.2. Sposób odbioru robót</w:t>
      </w:r>
    </w:p>
    <w:p w14:paraId="25731AC8" w14:textId="77777777" w:rsidR="008F714E" w:rsidRPr="001D601E" w:rsidRDefault="008F714E" w:rsidP="00BE2485">
      <w:pPr>
        <w:shd w:val="clear" w:color="auto" w:fill="FFFFFF" w:themeFill="background1"/>
        <w:spacing w:line="240" w:lineRule="auto"/>
        <w:jc w:val="both"/>
      </w:pPr>
      <w:r w:rsidRPr="001D601E">
        <w:t>                Odbiór zastabilizowanego pasa drogowego odbywa się na podstawie dokumentacji otrzymanej przez Zamawiającego, pod warunkiem:</w:t>
      </w:r>
    </w:p>
    <w:p w14:paraId="4BD72C71" w14:textId="77777777" w:rsidR="008F714E" w:rsidRPr="001D601E" w:rsidRDefault="008F714E" w:rsidP="00BE2485">
      <w:pPr>
        <w:shd w:val="clear" w:color="auto" w:fill="FFFFFF" w:themeFill="background1"/>
        <w:spacing w:line="240" w:lineRule="auto"/>
        <w:jc w:val="both"/>
      </w:pPr>
      <w:r w:rsidRPr="001D601E">
        <w:t>–          kompletności operatu,</w:t>
      </w:r>
    </w:p>
    <w:p w14:paraId="18D0D753" w14:textId="77777777" w:rsidR="008F714E" w:rsidRPr="001D601E" w:rsidRDefault="008F714E" w:rsidP="00BE2485">
      <w:pPr>
        <w:shd w:val="clear" w:color="auto" w:fill="FFFFFF" w:themeFill="background1"/>
        <w:spacing w:line="240" w:lineRule="auto"/>
        <w:jc w:val="both"/>
      </w:pPr>
      <w:r w:rsidRPr="001D601E">
        <w:t>–          sprawdzenia w terenie poprawności zastabilizowanych punktów,</w:t>
      </w:r>
    </w:p>
    <w:p w14:paraId="1EE150B0" w14:textId="77777777" w:rsidR="008F714E" w:rsidRPr="001D601E" w:rsidRDefault="008F714E" w:rsidP="00BE2485">
      <w:pPr>
        <w:shd w:val="clear" w:color="auto" w:fill="FFFFFF" w:themeFill="background1"/>
        <w:spacing w:line="240" w:lineRule="auto"/>
        <w:jc w:val="both"/>
      </w:pPr>
      <w:r w:rsidRPr="001D601E">
        <w:t>–          pomiaru kontrolnego wybranych punktów,</w:t>
      </w:r>
    </w:p>
    <w:p w14:paraId="44E138FE" w14:textId="77777777" w:rsidR="008F714E" w:rsidRPr="001D601E" w:rsidRDefault="008F714E" w:rsidP="00BE2485">
      <w:pPr>
        <w:shd w:val="clear" w:color="auto" w:fill="FFFFFF" w:themeFill="background1"/>
        <w:spacing w:line="240" w:lineRule="auto"/>
        <w:jc w:val="both"/>
      </w:pPr>
      <w:r w:rsidRPr="001D601E">
        <w:t>–          skonfrontowania danych zawartych w operacie z terenem.</w:t>
      </w:r>
    </w:p>
    <w:p w14:paraId="0F5445F0" w14:textId="77777777" w:rsidR="008F714E" w:rsidRPr="001D601E" w:rsidRDefault="008F714E" w:rsidP="00BE2485">
      <w:pPr>
        <w:shd w:val="clear" w:color="auto" w:fill="FFFFFF" w:themeFill="background1"/>
        <w:spacing w:line="240" w:lineRule="auto"/>
        <w:jc w:val="both"/>
        <w:rPr>
          <w:b/>
          <w:bCs/>
        </w:rPr>
      </w:pPr>
      <w:r w:rsidRPr="001D601E">
        <w:rPr>
          <w:b/>
          <w:bCs/>
        </w:rPr>
        <w:t>9. PODSTAWA PŁATNOŚCI</w:t>
      </w:r>
    </w:p>
    <w:p w14:paraId="2F0BBD9D" w14:textId="77777777" w:rsidR="008F714E" w:rsidRPr="001D601E" w:rsidRDefault="008F714E" w:rsidP="00BE2485">
      <w:pPr>
        <w:shd w:val="clear" w:color="auto" w:fill="FFFFFF" w:themeFill="background1"/>
        <w:spacing w:line="240" w:lineRule="auto"/>
        <w:jc w:val="both"/>
        <w:rPr>
          <w:b/>
          <w:bCs/>
        </w:rPr>
      </w:pPr>
      <w:r w:rsidRPr="001D601E">
        <w:rPr>
          <w:b/>
          <w:bCs/>
        </w:rPr>
        <w:t>9.1. Ogólne ustalenia dotyczące podstawy płatności</w:t>
      </w:r>
    </w:p>
    <w:p w14:paraId="7075F711" w14:textId="77777777" w:rsidR="008F714E" w:rsidRPr="001D601E" w:rsidRDefault="008F714E" w:rsidP="00BE2485">
      <w:pPr>
        <w:shd w:val="clear" w:color="auto" w:fill="FFFFFF" w:themeFill="background1"/>
        <w:spacing w:line="240" w:lineRule="auto"/>
        <w:jc w:val="both"/>
      </w:pPr>
      <w:r w:rsidRPr="001D601E">
        <w:t>                Ogólne ustalenia dotyczące podstawy płatności podano w SST D-M-00.00.00 „Wymagania ogólne” [1] pkt 9.</w:t>
      </w:r>
    </w:p>
    <w:p w14:paraId="78942881" w14:textId="77777777" w:rsidR="008F714E" w:rsidRPr="001D601E" w:rsidRDefault="008F714E" w:rsidP="00BE2485">
      <w:pPr>
        <w:shd w:val="clear" w:color="auto" w:fill="FFFFFF" w:themeFill="background1"/>
        <w:spacing w:line="240" w:lineRule="auto"/>
        <w:jc w:val="both"/>
        <w:rPr>
          <w:b/>
          <w:bCs/>
        </w:rPr>
      </w:pPr>
      <w:r w:rsidRPr="001D601E">
        <w:rPr>
          <w:b/>
          <w:bCs/>
        </w:rPr>
        <w:t>9.2. Cena jednostki obmiarowej</w:t>
      </w:r>
    </w:p>
    <w:p w14:paraId="66E2DB44" w14:textId="77777777" w:rsidR="008F714E" w:rsidRPr="001D601E" w:rsidRDefault="008F714E" w:rsidP="00BE2485">
      <w:pPr>
        <w:shd w:val="clear" w:color="auto" w:fill="FFFFFF" w:themeFill="background1"/>
        <w:spacing w:line="240" w:lineRule="auto"/>
        <w:jc w:val="both"/>
      </w:pPr>
      <w:r w:rsidRPr="001D601E">
        <w:t>                Cena wykonania  jednostki obmiarowej obejmuje:</w:t>
      </w:r>
    </w:p>
    <w:p w14:paraId="2802AA07" w14:textId="77777777" w:rsidR="008F714E" w:rsidRPr="001D601E" w:rsidRDefault="008F714E" w:rsidP="00BE2485">
      <w:pPr>
        <w:shd w:val="clear" w:color="auto" w:fill="FFFFFF" w:themeFill="background1"/>
        <w:spacing w:line="240" w:lineRule="auto"/>
        <w:jc w:val="both"/>
      </w:pPr>
      <w:r w:rsidRPr="001D601E">
        <w:t>-      prace pomiarowe i roboty przygotowawcze,</w:t>
      </w:r>
    </w:p>
    <w:p w14:paraId="09419EB8" w14:textId="77777777" w:rsidR="008F714E" w:rsidRPr="001D601E" w:rsidRDefault="008F714E" w:rsidP="00BE2485">
      <w:pPr>
        <w:shd w:val="clear" w:color="auto" w:fill="FFFFFF" w:themeFill="background1"/>
        <w:spacing w:line="240" w:lineRule="auto"/>
        <w:jc w:val="both"/>
      </w:pPr>
      <w:r w:rsidRPr="001D601E">
        <w:t>-      oznakowanie miejsca robót,</w:t>
      </w:r>
    </w:p>
    <w:p w14:paraId="3572B9F5" w14:textId="77777777" w:rsidR="008F714E" w:rsidRPr="001D601E" w:rsidRDefault="008F714E" w:rsidP="00BE2485">
      <w:pPr>
        <w:shd w:val="clear" w:color="auto" w:fill="FFFFFF" w:themeFill="background1"/>
        <w:spacing w:line="240" w:lineRule="auto"/>
        <w:jc w:val="both"/>
      </w:pPr>
      <w:r w:rsidRPr="001D601E">
        <w:lastRenderedPageBreak/>
        <w:t>-      dostarczenie materiałów i sprzętu,</w:t>
      </w:r>
    </w:p>
    <w:p w14:paraId="0D54BFED" w14:textId="77777777" w:rsidR="008F714E" w:rsidRPr="001D601E" w:rsidRDefault="008F714E" w:rsidP="00BE2485">
      <w:pPr>
        <w:shd w:val="clear" w:color="auto" w:fill="FFFFFF" w:themeFill="background1"/>
        <w:spacing w:line="240" w:lineRule="auto"/>
        <w:jc w:val="both"/>
      </w:pPr>
      <w:r w:rsidRPr="001D601E">
        <w:t>-      wyniesienie i stabilizację punktów granicznych i świadków,</w:t>
      </w:r>
    </w:p>
    <w:p w14:paraId="0753AB5C" w14:textId="77777777" w:rsidR="008F714E" w:rsidRPr="001D601E" w:rsidRDefault="008F714E" w:rsidP="00BE2485">
      <w:pPr>
        <w:shd w:val="clear" w:color="auto" w:fill="FFFFFF" w:themeFill="background1"/>
        <w:spacing w:line="240" w:lineRule="auto"/>
        <w:jc w:val="both"/>
      </w:pPr>
      <w:r w:rsidRPr="001D601E">
        <w:t>-      wykonanie innych czynności niezbędnych do realizacji robót,</w:t>
      </w:r>
    </w:p>
    <w:p w14:paraId="2FE1AE1B" w14:textId="77777777" w:rsidR="008F714E" w:rsidRPr="001D601E" w:rsidRDefault="008F714E" w:rsidP="00BE2485">
      <w:pPr>
        <w:shd w:val="clear" w:color="auto" w:fill="FFFFFF" w:themeFill="background1"/>
        <w:spacing w:line="240" w:lineRule="auto"/>
        <w:jc w:val="both"/>
      </w:pPr>
      <w:r w:rsidRPr="001D601E">
        <w:t>-      wykonanie operatu i prac kameralnych,</w:t>
      </w:r>
    </w:p>
    <w:p w14:paraId="7FE118CC" w14:textId="77777777" w:rsidR="008F714E" w:rsidRPr="001D601E" w:rsidRDefault="008F714E" w:rsidP="00BE2485">
      <w:pPr>
        <w:shd w:val="clear" w:color="auto" w:fill="FFFFFF" w:themeFill="background1"/>
        <w:spacing w:line="240" w:lineRule="auto"/>
        <w:jc w:val="both"/>
      </w:pPr>
      <w:r w:rsidRPr="001D601E">
        <w:t>-      pobranie niezbędnych materiałów ze składnicy ośrodka geodezji i kartografii,</w:t>
      </w:r>
    </w:p>
    <w:p w14:paraId="798145E3" w14:textId="77777777" w:rsidR="008F714E" w:rsidRPr="001D601E" w:rsidRDefault="008F714E" w:rsidP="00BE2485">
      <w:pPr>
        <w:shd w:val="clear" w:color="auto" w:fill="FFFFFF" w:themeFill="background1"/>
        <w:spacing w:line="240" w:lineRule="auto"/>
        <w:jc w:val="both"/>
      </w:pPr>
      <w:r w:rsidRPr="001D601E">
        <w:t>-      przeprowadzenie wymaganych pomiarów i badań sprawdzających,</w:t>
      </w:r>
    </w:p>
    <w:p w14:paraId="6F63185D" w14:textId="77777777" w:rsidR="008F714E" w:rsidRPr="001D601E" w:rsidRDefault="008F714E" w:rsidP="00BE2485">
      <w:pPr>
        <w:shd w:val="clear" w:color="auto" w:fill="FFFFFF" w:themeFill="background1"/>
        <w:spacing w:line="240" w:lineRule="auto"/>
        <w:jc w:val="both"/>
      </w:pPr>
      <w:r w:rsidRPr="001D601E">
        <w:t>-      koszt wszelkich odszkodowań,</w:t>
      </w:r>
    </w:p>
    <w:p w14:paraId="47AA8E36" w14:textId="77777777" w:rsidR="008F714E" w:rsidRPr="001D601E" w:rsidRDefault="008F714E" w:rsidP="00BE2485">
      <w:pPr>
        <w:shd w:val="clear" w:color="auto" w:fill="FFFFFF" w:themeFill="background1"/>
        <w:spacing w:line="240" w:lineRule="auto"/>
        <w:jc w:val="both"/>
      </w:pPr>
      <w:r w:rsidRPr="001D601E">
        <w:t>-      uporządkowanie terenu robót i jego otoczenia.</w:t>
      </w:r>
    </w:p>
    <w:p w14:paraId="751E9324" w14:textId="77777777" w:rsidR="008F714E" w:rsidRPr="001D601E" w:rsidRDefault="008F714E" w:rsidP="00BE2485">
      <w:pPr>
        <w:shd w:val="clear" w:color="auto" w:fill="FFFFFF" w:themeFill="background1"/>
        <w:spacing w:line="240" w:lineRule="auto"/>
        <w:jc w:val="both"/>
      </w:pPr>
      <w:r w:rsidRPr="001D601E">
        <w:t>Wszystkie roboty powinny być wykonane według wymagań warunków kontraktu, dokumentacji projektowej, ST, specyfikacji technicznej i postanowień Inżyniera.</w:t>
      </w:r>
    </w:p>
    <w:p w14:paraId="30FFD101" w14:textId="77777777" w:rsidR="008F714E" w:rsidRPr="001D601E" w:rsidRDefault="008F714E" w:rsidP="00BE2485">
      <w:pPr>
        <w:shd w:val="clear" w:color="auto" w:fill="FFFFFF" w:themeFill="background1"/>
        <w:spacing w:line="240" w:lineRule="auto"/>
        <w:jc w:val="both"/>
        <w:rPr>
          <w:b/>
          <w:bCs/>
        </w:rPr>
      </w:pPr>
      <w:r w:rsidRPr="001D601E">
        <w:rPr>
          <w:b/>
          <w:bCs/>
        </w:rPr>
        <w:t>10. PRZEPISY ZWIĄZANE</w:t>
      </w:r>
    </w:p>
    <w:p w14:paraId="6101CFD4" w14:textId="77777777" w:rsidR="008F714E" w:rsidRPr="001D601E" w:rsidRDefault="008F714E" w:rsidP="00BE2485">
      <w:pPr>
        <w:shd w:val="clear" w:color="auto" w:fill="FFFFFF" w:themeFill="background1"/>
        <w:spacing w:line="240" w:lineRule="auto"/>
        <w:jc w:val="both"/>
        <w:rPr>
          <w:b/>
          <w:bCs/>
        </w:rPr>
      </w:pPr>
      <w:r w:rsidRPr="001D601E">
        <w:rPr>
          <w:b/>
          <w:bCs/>
        </w:rPr>
        <w:t>10.1. Szczegółowe specyfikacje techniczne (SST)</w:t>
      </w:r>
    </w:p>
    <w:tbl>
      <w:tblPr>
        <w:tblW w:w="0" w:type="auto"/>
        <w:shd w:val="clear" w:color="auto" w:fill="EAEAEA"/>
        <w:tblCellMar>
          <w:left w:w="0" w:type="dxa"/>
          <w:right w:w="0" w:type="dxa"/>
        </w:tblCellMar>
        <w:tblLook w:val="04A0" w:firstRow="1" w:lastRow="0" w:firstColumn="1" w:lastColumn="0" w:noHBand="0" w:noVBand="1"/>
      </w:tblPr>
      <w:tblGrid>
        <w:gridCol w:w="354"/>
        <w:gridCol w:w="1843"/>
        <w:gridCol w:w="7159"/>
      </w:tblGrid>
      <w:tr w:rsidR="008F714E" w:rsidRPr="001D601E" w14:paraId="138D1982" w14:textId="77777777" w:rsidTr="009A0C1B">
        <w:tc>
          <w:tcPr>
            <w:tcW w:w="354" w:type="dxa"/>
            <w:shd w:val="clear" w:color="auto" w:fill="EAEAEA"/>
            <w:tcMar>
              <w:top w:w="0" w:type="dxa"/>
              <w:left w:w="70" w:type="dxa"/>
              <w:bottom w:w="0" w:type="dxa"/>
              <w:right w:w="70" w:type="dxa"/>
            </w:tcMar>
            <w:hideMark/>
          </w:tcPr>
          <w:p w14:paraId="1D8EE843" w14:textId="77777777" w:rsidR="008F714E" w:rsidRPr="001D601E" w:rsidRDefault="008F714E" w:rsidP="00BE2485">
            <w:pPr>
              <w:shd w:val="clear" w:color="auto" w:fill="FFFFFF" w:themeFill="background1"/>
              <w:spacing w:line="240" w:lineRule="auto"/>
              <w:jc w:val="both"/>
            </w:pPr>
            <w:r w:rsidRPr="001D601E">
              <w:t>1.</w:t>
            </w:r>
          </w:p>
        </w:tc>
        <w:tc>
          <w:tcPr>
            <w:tcW w:w="1843" w:type="dxa"/>
            <w:shd w:val="clear" w:color="auto" w:fill="EAEAEA"/>
            <w:tcMar>
              <w:top w:w="0" w:type="dxa"/>
              <w:left w:w="70" w:type="dxa"/>
              <w:bottom w:w="0" w:type="dxa"/>
              <w:right w:w="70" w:type="dxa"/>
            </w:tcMar>
            <w:hideMark/>
          </w:tcPr>
          <w:p w14:paraId="0E710991" w14:textId="77777777" w:rsidR="008F714E" w:rsidRPr="001D601E" w:rsidRDefault="008F714E" w:rsidP="00BE2485">
            <w:pPr>
              <w:shd w:val="clear" w:color="auto" w:fill="FFFFFF" w:themeFill="background1"/>
              <w:spacing w:line="240" w:lineRule="auto"/>
              <w:jc w:val="both"/>
            </w:pPr>
            <w:r w:rsidRPr="001D601E">
              <w:t> D-M-00.00.00</w:t>
            </w:r>
          </w:p>
        </w:tc>
        <w:tc>
          <w:tcPr>
            <w:tcW w:w="7159" w:type="dxa"/>
            <w:shd w:val="clear" w:color="auto" w:fill="EAEAEA"/>
            <w:tcMar>
              <w:top w:w="0" w:type="dxa"/>
              <w:left w:w="70" w:type="dxa"/>
              <w:bottom w:w="0" w:type="dxa"/>
              <w:right w:w="70" w:type="dxa"/>
            </w:tcMar>
            <w:hideMark/>
          </w:tcPr>
          <w:p w14:paraId="2188AE22" w14:textId="77777777" w:rsidR="008F714E" w:rsidRPr="001D601E" w:rsidRDefault="008F714E" w:rsidP="00BE2485">
            <w:pPr>
              <w:shd w:val="clear" w:color="auto" w:fill="FFFFFF" w:themeFill="background1"/>
              <w:spacing w:line="240" w:lineRule="auto"/>
              <w:jc w:val="both"/>
            </w:pPr>
            <w:r w:rsidRPr="001D601E">
              <w:t>Wymagania ogólne</w:t>
            </w:r>
          </w:p>
        </w:tc>
      </w:tr>
    </w:tbl>
    <w:p w14:paraId="27184AD3" w14:textId="77777777" w:rsidR="008F714E" w:rsidRPr="001D601E" w:rsidRDefault="008F714E" w:rsidP="00BE2485">
      <w:pPr>
        <w:shd w:val="clear" w:color="auto" w:fill="FFFFFF" w:themeFill="background1"/>
        <w:spacing w:line="240" w:lineRule="auto"/>
        <w:jc w:val="both"/>
        <w:rPr>
          <w:b/>
          <w:bCs/>
        </w:rPr>
      </w:pPr>
      <w:r w:rsidRPr="001D601E">
        <w:rPr>
          <w:b/>
          <w:bCs/>
        </w:rPr>
        <w:t>10.2. Instrukcje techniczne i wytyczne techniczne byłego Głównego Urzędu Geodezji i Kartografii lub Głównego Geodety Kraju</w:t>
      </w:r>
    </w:p>
    <w:p w14:paraId="69FB35C6" w14:textId="77777777" w:rsidR="008F714E" w:rsidRPr="001D601E" w:rsidRDefault="008F714E" w:rsidP="00BE2485">
      <w:pPr>
        <w:shd w:val="clear" w:color="auto" w:fill="FFFFFF" w:themeFill="background1"/>
        <w:spacing w:line="240" w:lineRule="auto"/>
        <w:jc w:val="both"/>
      </w:pPr>
      <w:r w:rsidRPr="001D601E">
        <w:t>Instrukcje techniczne:</w:t>
      </w:r>
    </w:p>
    <w:tbl>
      <w:tblPr>
        <w:tblW w:w="0" w:type="auto"/>
        <w:shd w:val="clear" w:color="auto" w:fill="EAEAEA"/>
        <w:tblCellMar>
          <w:left w:w="0" w:type="dxa"/>
          <w:right w:w="0" w:type="dxa"/>
        </w:tblCellMar>
        <w:tblLook w:val="04A0" w:firstRow="1" w:lastRow="0" w:firstColumn="1" w:lastColumn="0" w:noHBand="0" w:noVBand="1"/>
      </w:tblPr>
      <w:tblGrid>
        <w:gridCol w:w="392"/>
        <w:gridCol w:w="583"/>
        <w:gridCol w:w="8381"/>
      </w:tblGrid>
      <w:tr w:rsidR="008F714E" w:rsidRPr="001D601E" w14:paraId="76D5A6C1" w14:textId="77777777" w:rsidTr="009A0C1B">
        <w:tc>
          <w:tcPr>
            <w:tcW w:w="392" w:type="dxa"/>
            <w:shd w:val="clear" w:color="auto" w:fill="EAEAEA"/>
            <w:tcMar>
              <w:top w:w="0" w:type="dxa"/>
              <w:left w:w="108" w:type="dxa"/>
              <w:bottom w:w="0" w:type="dxa"/>
              <w:right w:w="108" w:type="dxa"/>
            </w:tcMar>
            <w:hideMark/>
          </w:tcPr>
          <w:p w14:paraId="654AE4D0" w14:textId="77777777" w:rsidR="008F714E" w:rsidRPr="001D601E" w:rsidRDefault="008F714E" w:rsidP="00BE2485">
            <w:pPr>
              <w:shd w:val="clear" w:color="auto" w:fill="FFFFFF" w:themeFill="background1"/>
              <w:spacing w:line="240" w:lineRule="auto"/>
              <w:jc w:val="both"/>
            </w:pPr>
            <w:r w:rsidRPr="001D601E">
              <w:t>2.</w:t>
            </w:r>
          </w:p>
        </w:tc>
        <w:tc>
          <w:tcPr>
            <w:tcW w:w="583" w:type="dxa"/>
            <w:shd w:val="clear" w:color="auto" w:fill="EAEAEA"/>
            <w:tcMar>
              <w:top w:w="0" w:type="dxa"/>
              <w:left w:w="108" w:type="dxa"/>
              <w:bottom w:w="0" w:type="dxa"/>
              <w:right w:w="108" w:type="dxa"/>
            </w:tcMar>
            <w:hideMark/>
          </w:tcPr>
          <w:p w14:paraId="0538F162" w14:textId="77777777" w:rsidR="008F714E" w:rsidRPr="001D601E" w:rsidRDefault="008F714E" w:rsidP="00BE2485">
            <w:pPr>
              <w:shd w:val="clear" w:color="auto" w:fill="FFFFFF" w:themeFill="background1"/>
              <w:spacing w:line="240" w:lineRule="auto"/>
              <w:jc w:val="both"/>
            </w:pPr>
            <w:r w:rsidRPr="001D601E">
              <w:t>0-1</w:t>
            </w:r>
          </w:p>
        </w:tc>
        <w:tc>
          <w:tcPr>
            <w:tcW w:w="8381" w:type="dxa"/>
            <w:shd w:val="clear" w:color="auto" w:fill="EAEAEA"/>
            <w:tcMar>
              <w:top w:w="0" w:type="dxa"/>
              <w:left w:w="108" w:type="dxa"/>
              <w:bottom w:w="0" w:type="dxa"/>
              <w:right w:w="108" w:type="dxa"/>
            </w:tcMar>
            <w:hideMark/>
          </w:tcPr>
          <w:p w14:paraId="7490ECB4" w14:textId="77777777" w:rsidR="008F714E" w:rsidRPr="001D601E" w:rsidRDefault="008F714E" w:rsidP="00BE2485">
            <w:pPr>
              <w:shd w:val="clear" w:color="auto" w:fill="FFFFFF" w:themeFill="background1"/>
              <w:spacing w:line="240" w:lineRule="auto"/>
              <w:jc w:val="both"/>
            </w:pPr>
            <w:r w:rsidRPr="001D601E">
              <w:t>Ogólne zasady wykonywania prac geodezyjnych</w:t>
            </w:r>
          </w:p>
        </w:tc>
      </w:tr>
      <w:tr w:rsidR="008F714E" w:rsidRPr="001D601E" w14:paraId="310CBEB2" w14:textId="77777777" w:rsidTr="009A0C1B">
        <w:tc>
          <w:tcPr>
            <w:tcW w:w="392" w:type="dxa"/>
            <w:shd w:val="clear" w:color="auto" w:fill="EAEAEA"/>
            <w:tcMar>
              <w:top w:w="0" w:type="dxa"/>
              <w:left w:w="108" w:type="dxa"/>
              <w:bottom w:w="0" w:type="dxa"/>
              <w:right w:w="108" w:type="dxa"/>
            </w:tcMar>
            <w:hideMark/>
          </w:tcPr>
          <w:p w14:paraId="7D6B3392" w14:textId="77777777" w:rsidR="008F714E" w:rsidRPr="001D601E" w:rsidRDefault="008F714E" w:rsidP="00BE2485">
            <w:pPr>
              <w:shd w:val="clear" w:color="auto" w:fill="FFFFFF" w:themeFill="background1"/>
              <w:spacing w:line="240" w:lineRule="auto"/>
              <w:jc w:val="both"/>
            </w:pPr>
            <w:r w:rsidRPr="001D601E">
              <w:t>3.</w:t>
            </w:r>
          </w:p>
        </w:tc>
        <w:tc>
          <w:tcPr>
            <w:tcW w:w="583" w:type="dxa"/>
            <w:shd w:val="clear" w:color="auto" w:fill="EAEAEA"/>
            <w:tcMar>
              <w:top w:w="0" w:type="dxa"/>
              <w:left w:w="108" w:type="dxa"/>
              <w:bottom w:w="0" w:type="dxa"/>
              <w:right w:w="108" w:type="dxa"/>
            </w:tcMar>
            <w:hideMark/>
          </w:tcPr>
          <w:p w14:paraId="14A652D1" w14:textId="77777777" w:rsidR="008F714E" w:rsidRPr="001D601E" w:rsidRDefault="008F714E" w:rsidP="00BE2485">
            <w:pPr>
              <w:shd w:val="clear" w:color="auto" w:fill="FFFFFF" w:themeFill="background1"/>
              <w:spacing w:line="240" w:lineRule="auto"/>
              <w:jc w:val="both"/>
            </w:pPr>
            <w:r w:rsidRPr="001D601E">
              <w:t>0-3</w:t>
            </w:r>
          </w:p>
        </w:tc>
        <w:tc>
          <w:tcPr>
            <w:tcW w:w="8381" w:type="dxa"/>
            <w:shd w:val="clear" w:color="auto" w:fill="EAEAEA"/>
            <w:tcMar>
              <w:top w:w="0" w:type="dxa"/>
              <w:left w:w="108" w:type="dxa"/>
              <w:bottom w:w="0" w:type="dxa"/>
              <w:right w:w="108" w:type="dxa"/>
            </w:tcMar>
            <w:hideMark/>
          </w:tcPr>
          <w:p w14:paraId="4BC3C942" w14:textId="77777777" w:rsidR="008F714E" w:rsidRPr="001D601E" w:rsidRDefault="008F714E" w:rsidP="00BE2485">
            <w:pPr>
              <w:shd w:val="clear" w:color="auto" w:fill="FFFFFF" w:themeFill="background1"/>
              <w:spacing w:line="240" w:lineRule="auto"/>
              <w:jc w:val="both"/>
            </w:pPr>
            <w:r w:rsidRPr="001D601E">
              <w:t>Zasady kompletowania dokumentacji geodezyjnej i kartograficznej</w:t>
            </w:r>
          </w:p>
        </w:tc>
      </w:tr>
      <w:tr w:rsidR="008F714E" w:rsidRPr="001D601E" w14:paraId="3C332D09" w14:textId="77777777" w:rsidTr="009A0C1B">
        <w:tc>
          <w:tcPr>
            <w:tcW w:w="392" w:type="dxa"/>
            <w:shd w:val="clear" w:color="auto" w:fill="EAEAEA"/>
            <w:tcMar>
              <w:top w:w="0" w:type="dxa"/>
              <w:left w:w="108" w:type="dxa"/>
              <w:bottom w:w="0" w:type="dxa"/>
              <w:right w:w="108" w:type="dxa"/>
            </w:tcMar>
            <w:hideMark/>
          </w:tcPr>
          <w:p w14:paraId="50FC84B6" w14:textId="77777777" w:rsidR="008F714E" w:rsidRPr="001D601E" w:rsidRDefault="008F714E" w:rsidP="00BE2485">
            <w:pPr>
              <w:shd w:val="clear" w:color="auto" w:fill="FFFFFF" w:themeFill="background1"/>
              <w:spacing w:line="240" w:lineRule="auto"/>
              <w:jc w:val="both"/>
            </w:pPr>
            <w:r w:rsidRPr="001D601E">
              <w:t>4.</w:t>
            </w:r>
          </w:p>
        </w:tc>
        <w:tc>
          <w:tcPr>
            <w:tcW w:w="583" w:type="dxa"/>
            <w:shd w:val="clear" w:color="auto" w:fill="EAEAEA"/>
            <w:tcMar>
              <w:top w:w="0" w:type="dxa"/>
              <w:left w:w="108" w:type="dxa"/>
              <w:bottom w:w="0" w:type="dxa"/>
              <w:right w:w="108" w:type="dxa"/>
            </w:tcMar>
            <w:hideMark/>
          </w:tcPr>
          <w:p w14:paraId="027C0FFD" w14:textId="77777777" w:rsidR="008F714E" w:rsidRPr="001D601E" w:rsidRDefault="008F714E" w:rsidP="00BE2485">
            <w:pPr>
              <w:shd w:val="clear" w:color="auto" w:fill="FFFFFF" w:themeFill="background1"/>
              <w:spacing w:line="240" w:lineRule="auto"/>
              <w:jc w:val="both"/>
            </w:pPr>
            <w:r w:rsidRPr="001D601E">
              <w:t>G-1</w:t>
            </w:r>
          </w:p>
        </w:tc>
        <w:tc>
          <w:tcPr>
            <w:tcW w:w="8381" w:type="dxa"/>
            <w:shd w:val="clear" w:color="auto" w:fill="EAEAEA"/>
            <w:tcMar>
              <w:top w:w="0" w:type="dxa"/>
              <w:left w:w="108" w:type="dxa"/>
              <w:bottom w:w="0" w:type="dxa"/>
              <w:right w:w="108" w:type="dxa"/>
            </w:tcMar>
            <w:hideMark/>
          </w:tcPr>
          <w:p w14:paraId="6C7E1687" w14:textId="77777777" w:rsidR="008F714E" w:rsidRPr="001D601E" w:rsidRDefault="008F714E" w:rsidP="00BE2485">
            <w:pPr>
              <w:shd w:val="clear" w:color="auto" w:fill="FFFFFF" w:themeFill="background1"/>
              <w:spacing w:line="240" w:lineRule="auto"/>
              <w:jc w:val="both"/>
            </w:pPr>
            <w:r w:rsidRPr="001D601E">
              <w:t>Geodezyjna osnowa pozioma</w:t>
            </w:r>
          </w:p>
        </w:tc>
      </w:tr>
      <w:tr w:rsidR="008F714E" w:rsidRPr="001D601E" w14:paraId="50F5C170" w14:textId="77777777" w:rsidTr="009A0C1B">
        <w:tc>
          <w:tcPr>
            <w:tcW w:w="392" w:type="dxa"/>
            <w:shd w:val="clear" w:color="auto" w:fill="EAEAEA"/>
            <w:tcMar>
              <w:top w:w="0" w:type="dxa"/>
              <w:left w:w="108" w:type="dxa"/>
              <w:bottom w:w="0" w:type="dxa"/>
              <w:right w:w="108" w:type="dxa"/>
            </w:tcMar>
            <w:hideMark/>
          </w:tcPr>
          <w:p w14:paraId="125383B8" w14:textId="77777777" w:rsidR="008F714E" w:rsidRPr="001D601E" w:rsidRDefault="008F714E" w:rsidP="00BE2485">
            <w:pPr>
              <w:shd w:val="clear" w:color="auto" w:fill="FFFFFF" w:themeFill="background1"/>
              <w:spacing w:line="240" w:lineRule="auto"/>
              <w:jc w:val="both"/>
            </w:pPr>
            <w:r w:rsidRPr="001D601E">
              <w:t>5.</w:t>
            </w:r>
          </w:p>
        </w:tc>
        <w:tc>
          <w:tcPr>
            <w:tcW w:w="583" w:type="dxa"/>
            <w:shd w:val="clear" w:color="auto" w:fill="EAEAEA"/>
            <w:tcMar>
              <w:top w:w="0" w:type="dxa"/>
              <w:left w:w="108" w:type="dxa"/>
              <w:bottom w:w="0" w:type="dxa"/>
              <w:right w:w="108" w:type="dxa"/>
            </w:tcMar>
            <w:hideMark/>
          </w:tcPr>
          <w:p w14:paraId="28F0EE54" w14:textId="77777777" w:rsidR="008F714E" w:rsidRPr="001D601E" w:rsidRDefault="008F714E" w:rsidP="00BE2485">
            <w:pPr>
              <w:shd w:val="clear" w:color="auto" w:fill="FFFFFF" w:themeFill="background1"/>
              <w:spacing w:line="240" w:lineRule="auto"/>
              <w:jc w:val="both"/>
            </w:pPr>
            <w:r w:rsidRPr="001D601E">
              <w:t>G-4</w:t>
            </w:r>
          </w:p>
        </w:tc>
        <w:tc>
          <w:tcPr>
            <w:tcW w:w="8381" w:type="dxa"/>
            <w:shd w:val="clear" w:color="auto" w:fill="EAEAEA"/>
            <w:tcMar>
              <w:top w:w="0" w:type="dxa"/>
              <w:left w:w="108" w:type="dxa"/>
              <w:bottom w:w="0" w:type="dxa"/>
              <w:right w:w="108" w:type="dxa"/>
            </w:tcMar>
            <w:hideMark/>
          </w:tcPr>
          <w:p w14:paraId="3DF3E71B" w14:textId="77777777" w:rsidR="008F714E" w:rsidRPr="001D601E" w:rsidRDefault="008F714E" w:rsidP="00BE2485">
            <w:pPr>
              <w:shd w:val="clear" w:color="auto" w:fill="FFFFFF" w:themeFill="background1"/>
              <w:spacing w:line="240" w:lineRule="auto"/>
              <w:jc w:val="both"/>
            </w:pPr>
            <w:r w:rsidRPr="001D601E">
              <w:t>Pomiary sytuacyjne i wysokościowe</w:t>
            </w:r>
          </w:p>
        </w:tc>
      </w:tr>
      <w:tr w:rsidR="008F714E" w:rsidRPr="001D601E" w14:paraId="5631680E" w14:textId="77777777" w:rsidTr="009A0C1B">
        <w:tc>
          <w:tcPr>
            <w:tcW w:w="392" w:type="dxa"/>
            <w:shd w:val="clear" w:color="auto" w:fill="EAEAEA"/>
            <w:tcMar>
              <w:top w:w="0" w:type="dxa"/>
              <w:left w:w="108" w:type="dxa"/>
              <w:bottom w:w="0" w:type="dxa"/>
              <w:right w:w="108" w:type="dxa"/>
            </w:tcMar>
            <w:hideMark/>
          </w:tcPr>
          <w:p w14:paraId="7F0ABC3A" w14:textId="77777777" w:rsidR="008F714E" w:rsidRPr="001D601E" w:rsidRDefault="008F714E" w:rsidP="00BE2485">
            <w:pPr>
              <w:shd w:val="clear" w:color="auto" w:fill="FFFFFF" w:themeFill="background1"/>
              <w:spacing w:line="240" w:lineRule="auto"/>
              <w:jc w:val="both"/>
            </w:pPr>
            <w:r w:rsidRPr="001D601E">
              <w:t>6.</w:t>
            </w:r>
          </w:p>
        </w:tc>
        <w:tc>
          <w:tcPr>
            <w:tcW w:w="583" w:type="dxa"/>
            <w:shd w:val="clear" w:color="auto" w:fill="EAEAEA"/>
            <w:tcMar>
              <w:top w:w="0" w:type="dxa"/>
              <w:left w:w="108" w:type="dxa"/>
              <w:bottom w:w="0" w:type="dxa"/>
              <w:right w:w="108" w:type="dxa"/>
            </w:tcMar>
            <w:hideMark/>
          </w:tcPr>
          <w:p w14:paraId="59E3F567" w14:textId="77777777" w:rsidR="008F714E" w:rsidRPr="001D601E" w:rsidRDefault="008F714E" w:rsidP="00BE2485">
            <w:pPr>
              <w:shd w:val="clear" w:color="auto" w:fill="FFFFFF" w:themeFill="background1"/>
              <w:spacing w:line="240" w:lineRule="auto"/>
              <w:jc w:val="both"/>
            </w:pPr>
            <w:r w:rsidRPr="001D601E">
              <w:t>K-1</w:t>
            </w:r>
          </w:p>
        </w:tc>
        <w:tc>
          <w:tcPr>
            <w:tcW w:w="8381" w:type="dxa"/>
            <w:shd w:val="clear" w:color="auto" w:fill="EAEAEA"/>
            <w:tcMar>
              <w:top w:w="0" w:type="dxa"/>
              <w:left w:w="108" w:type="dxa"/>
              <w:bottom w:w="0" w:type="dxa"/>
              <w:right w:w="108" w:type="dxa"/>
            </w:tcMar>
            <w:hideMark/>
          </w:tcPr>
          <w:p w14:paraId="194A65D5" w14:textId="77777777" w:rsidR="008F714E" w:rsidRPr="001D601E" w:rsidRDefault="008F714E" w:rsidP="00BE2485">
            <w:pPr>
              <w:shd w:val="clear" w:color="auto" w:fill="FFFFFF" w:themeFill="background1"/>
              <w:spacing w:line="240" w:lineRule="auto"/>
              <w:jc w:val="both"/>
            </w:pPr>
            <w:r w:rsidRPr="001D601E">
              <w:t>Mapa zasadnicza</w:t>
            </w:r>
          </w:p>
        </w:tc>
      </w:tr>
    </w:tbl>
    <w:p w14:paraId="4071CC75" w14:textId="77777777" w:rsidR="008F714E" w:rsidRPr="001D601E" w:rsidRDefault="008F714E" w:rsidP="00BE2485">
      <w:pPr>
        <w:shd w:val="clear" w:color="auto" w:fill="FFFFFF" w:themeFill="background1"/>
        <w:spacing w:line="240" w:lineRule="auto"/>
        <w:jc w:val="both"/>
      </w:pPr>
      <w:r w:rsidRPr="001D601E">
        <w:t>Wytyczne techniczne</w:t>
      </w:r>
    </w:p>
    <w:tbl>
      <w:tblPr>
        <w:tblW w:w="0" w:type="auto"/>
        <w:shd w:val="clear" w:color="auto" w:fill="EAEAEA"/>
        <w:tblCellMar>
          <w:left w:w="0" w:type="dxa"/>
          <w:right w:w="0" w:type="dxa"/>
        </w:tblCellMar>
        <w:tblLook w:val="04A0" w:firstRow="1" w:lastRow="0" w:firstColumn="1" w:lastColumn="0" w:noHBand="0" w:noVBand="1"/>
      </w:tblPr>
      <w:tblGrid>
        <w:gridCol w:w="392"/>
        <w:gridCol w:w="709"/>
        <w:gridCol w:w="8255"/>
      </w:tblGrid>
      <w:tr w:rsidR="008F714E" w:rsidRPr="001D601E" w14:paraId="1A882189" w14:textId="77777777" w:rsidTr="009A0C1B">
        <w:tc>
          <w:tcPr>
            <w:tcW w:w="392" w:type="dxa"/>
            <w:shd w:val="clear" w:color="auto" w:fill="EAEAEA"/>
            <w:tcMar>
              <w:top w:w="0" w:type="dxa"/>
              <w:left w:w="108" w:type="dxa"/>
              <w:bottom w:w="0" w:type="dxa"/>
              <w:right w:w="108" w:type="dxa"/>
            </w:tcMar>
            <w:hideMark/>
          </w:tcPr>
          <w:p w14:paraId="68BD8981" w14:textId="77777777" w:rsidR="008F714E" w:rsidRPr="001D601E" w:rsidRDefault="008F714E" w:rsidP="00BE2485">
            <w:pPr>
              <w:shd w:val="clear" w:color="auto" w:fill="FFFFFF" w:themeFill="background1"/>
              <w:spacing w:line="240" w:lineRule="auto"/>
              <w:jc w:val="both"/>
            </w:pPr>
            <w:r w:rsidRPr="001D601E">
              <w:t>7.</w:t>
            </w:r>
          </w:p>
        </w:tc>
        <w:tc>
          <w:tcPr>
            <w:tcW w:w="709" w:type="dxa"/>
            <w:shd w:val="clear" w:color="auto" w:fill="EAEAEA"/>
            <w:tcMar>
              <w:top w:w="0" w:type="dxa"/>
              <w:left w:w="108" w:type="dxa"/>
              <w:bottom w:w="0" w:type="dxa"/>
              <w:right w:w="108" w:type="dxa"/>
            </w:tcMar>
            <w:hideMark/>
          </w:tcPr>
          <w:p w14:paraId="4A51145F" w14:textId="77777777" w:rsidR="008F714E" w:rsidRPr="001D601E" w:rsidRDefault="008F714E" w:rsidP="00BE2485">
            <w:pPr>
              <w:shd w:val="clear" w:color="auto" w:fill="FFFFFF" w:themeFill="background1"/>
              <w:spacing w:line="240" w:lineRule="auto"/>
              <w:jc w:val="both"/>
            </w:pPr>
            <w:r w:rsidRPr="001D601E">
              <w:t>G-1.9</w:t>
            </w:r>
          </w:p>
        </w:tc>
        <w:tc>
          <w:tcPr>
            <w:tcW w:w="8255" w:type="dxa"/>
            <w:shd w:val="clear" w:color="auto" w:fill="EAEAEA"/>
            <w:tcMar>
              <w:top w:w="0" w:type="dxa"/>
              <w:left w:w="108" w:type="dxa"/>
              <w:bottom w:w="0" w:type="dxa"/>
              <w:right w:w="108" w:type="dxa"/>
            </w:tcMar>
            <w:hideMark/>
          </w:tcPr>
          <w:p w14:paraId="238759AE" w14:textId="77777777" w:rsidR="008F714E" w:rsidRPr="001D601E" w:rsidRDefault="008F714E" w:rsidP="00BE2485">
            <w:pPr>
              <w:shd w:val="clear" w:color="auto" w:fill="FFFFFF" w:themeFill="background1"/>
              <w:spacing w:line="240" w:lineRule="auto"/>
              <w:jc w:val="both"/>
            </w:pPr>
            <w:r w:rsidRPr="001D601E">
              <w:t>Katalog znaków geodezyjnych oraz zasady stabilizacji punktów</w:t>
            </w:r>
          </w:p>
        </w:tc>
      </w:tr>
      <w:tr w:rsidR="008F714E" w:rsidRPr="001D601E" w14:paraId="5F9B3809" w14:textId="77777777" w:rsidTr="009A0C1B">
        <w:tc>
          <w:tcPr>
            <w:tcW w:w="392" w:type="dxa"/>
            <w:shd w:val="clear" w:color="auto" w:fill="EAEAEA"/>
            <w:tcMar>
              <w:top w:w="0" w:type="dxa"/>
              <w:left w:w="108" w:type="dxa"/>
              <w:bottom w:w="0" w:type="dxa"/>
              <w:right w:w="108" w:type="dxa"/>
            </w:tcMar>
            <w:hideMark/>
          </w:tcPr>
          <w:p w14:paraId="737B3685" w14:textId="77777777" w:rsidR="008F714E" w:rsidRPr="001D601E" w:rsidRDefault="008F714E" w:rsidP="00BE2485">
            <w:pPr>
              <w:shd w:val="clear" w:color="auto" w:fill="FFFFFF" w:themeFill="background1"/>
              <w:spacing w:line="240" w:lineRule="auto"/>
              <w:jc w:val="both"/>
            </w:pPr>
            <w:r w:rsidRPr="001D601E">
              <w:t>8.</w:t>
            </w:r>
          </w:p>
        </w:tc>
        <w:tc>
          <w:tcPr>
            <w:tcW w:w="709" w:type="dxa"/>
            <w:shd w:val="clear" w:color="auto" w:fill="EAEAEA"/>
            <w:tcMar>
              <w:top w:w="0" w:type="dxa"/>
              <w:left w:w="108" w:type="dxa"/>
              <w:bottom w:w="0" w:type="dxa"/>
              <w:right w:w="108" w:type="dxa"/>
            </w:tcMar>
            <w:hideMark/>
          </w:tcPr>
          <w:p w14:paraId="58E77D88" w14:textId="77777777" w:rsidR="008F714E" w:rsidRPr="001D601E" w:rsidRDefault="008F714E" w:rsidP="00BE2485">
            <w:pPr>
              <w:shd w:val="clear" w:color="auto" w:fill="FFFFFF" w:themeFill="background1"/>
              <w:spacing w:line="240" w:lineRule="auto"/>
              <w:jc w:val="both"/>
            </w:pPr>
            <w:r w:rsidRPr="001D601E">
              <w:t>G-1.5</w:t>
            </w:r>
          </w:p>
        </w:tc>
        <w:tc>
          <w:tcPr>
            <w:tcW w:w="8255" w:type="dxa"/>
            <w:shd w:val="clear" w:color="auto" w:fill="EAEAEA"/>
            <w:tcMar>
              <w:top w:w="0" w:type="dxa"/>
              <w:left w:w="108" w:type="dxa"/>
              <w:bottom w:w="0" w:type="dxa"/>
              <w:right w:w="108" w:type="dxa"/>
            </w:tcMar>
            <w:hideMark/>
          </w:tcPr>
          <w:p w14:paraId="43C7B5EE" w14:textId="77777777" w:rsidR="008F714E" w:rsidRPr="001D601E" w:rsidRDefault="008F714E" w:rsidP="00BE2485">
            <w:pPr>
              <w:shd w:val="clear" w:color="auto" w:fill="FFFFFF" w:themeFill="background1"/>
              <w:spacing w:line="240" w:lineRule="auto"/>
              <w:jc w:val="both"/>
            </w:pPr>
            <w:r w:rsidRPr="001D601E">
              <w:t>Szczegółowa osnowa pozioma, projektowanie, pomiar i opracowanie wyników</w:t>
            </w:r>
          </w:p>
        </w:tc>
      </w:tr>
      <w:tr w:rsidR="008F714E" w:rsidRPr="001D601E" w14:paraId="19E4F554" w14:textId="77777777" w:rsidTr="009A0C1B">
        <w:tc>
          <w:tcPr>
            <w:tcW w:w="392" w:type="dxa"/>
            <w:shd w:val="clear" w:color="auto" w:fill="EAEAEA"/>
            <w:tcMar>
              <w:top w:w="0" w:type="dxa"/>
              <w:left w:w="108" w:type="dxa"/>
              <w:bottom w:w="0" w:type="dxa"/>
              <w:right w:w="108" w:type="dxa"/>
            </w:tcMar>
            <w:hideMark/>
          </w:tcPr>
          <w:p w14:paraId="60C1A389" w14:textId="77777777" w:rsidR="008F714E" w:rsidRPr="001D601E" w:rsidRDefault="008F714E" w:rsidP="00BE2485">
            <w:pPr>
              <w:shd w:val="clear" w:color="auto" w:fill="FFFFFF" w:themeFill="background1"/>
              <w:spacing w:line="240" w:lineRule="auto"/>
              <w:jc w:val="both"/>
            </w:pPr>
            <w:r w:rsidRPr="001D601E">
              <w:t>9.</w:t>
            </w:r>
          </w:p>
        </w:tc>
        <w:tc>
          <w:tcPr>
            <w:tcW w:w="709" w:type="dxa"/>
            <w:shd w:val="clear" w:color="auto" w:fill="EAEAEA"/>
            <w:tcMar>
              <w:top w:w="0" w:type="dxa"/>
              <w:left w:w="108" w:type="dxa"/>
              <w:bottom w:w="0" w:type="dxa"/>
              <w:right w:w="108" w:type="dxa"/>
            </w:tcMar>
            <w:hideMark/>
          </w:tcPr>
          <w:p w14:paraId="7FAB98AE" w14:textId="77777777" w:rsidR="008F714E" w:rsidRPr="001D601E" w:rsidRDefault="008F714E" w:rsidP="00BE2485">
            <w:pPr>
              <w:shd w:val="clear" w:color="auto" w:fill="FFFFFF" w:themeFill="background1"/>
              <w:spacing w:line="240" w:lineRule="auto"/>
              <w:jc w:val="both"/>
            </w:pPr>
            <w:r w:rsidRPr="001D601E">
              <w:t>K-1.2</w:t>
            </w:r>
          </w:p>
        </w:tc>
        <w:tc>
          <w:tcPr>
            <w:tcW w:w="8255" w:type="dxa"/>
            <w:shd w:val="clear" w:color="auto" w:fill="EAEAEA"/>
            <w:tcMar>
              <w:top w:w="0" w:type="dxa"/>
              <w:left w:w="108" w:type="dxa"/>
              <w:bottom w:w="0" w:type="dxa"/>
              <w:right w:w="108" w:type="dxa"/>
            </w:tcMar>
            <w:hideMark/>
          </w:tcPr>
          <w:p w14:paraId="750D4A36" w14:textId="77777777" w:rsidR="008F714E" w:rsidRPr="001D601E" w:rsidRDefault="008F714E" w:rsidP="00BE2485">
            <w:pPr>
              <w:shd w:val="clear" w:color="auto" w:fill="FFFFFF" w:themeFill="background1"/>
              <w:spacing w:line="240" w:lineRule="auto"/>
              <w:jc w:val="both"/>
            </w:pPr>
            <w:r w:rsidRPr="001D601E">
              <w:t>Mapa zasadnicza. Aktualizacja i modernizacja</w:t>
            </w:r>
          </w:p>
        </w:tc>
      </w:tr>
    </w:tbl>
    <w:p w14:paraId="7FA446CB" w14:textId="77777777" w:rsidR="008F714E" w:rsidRPr="001D601E" w:rsidRDefault="008F714E" w:rsidP="00BE2485">
      <w:pPr>
        <w:shd w:val="clear" w:color="auto" w:fill="FFFFFF" w:themeFill="background1"/>
        <w:spacing w:line="240" w:lineRule="auto"/>
        <w:jc w:val="both"/>
        <w:rPr>
          <w:b/>
          <w:bCs/>
        </w:rPr>
      </w:pPr>
      <w:r w:rsidRPr="001D601E">
        <w:rPr>
          <w:b/>
          <w:bCs/>
        </w:rPr>
        <w:t>10.3. Inne dokumenty</w:t>
      </w:r>
    </w:p>
    <w:p w14:paraId="5C3CCB30" w14:textId="77777777" w:rsidR="008F714E" w:rsidRPr="001D601E" w:rsidRDefault="008F714E" w:rsidP="00BE2485">
      <w:pPr>
        <w:shd w:val="clear" w:color="auto" w:fill="FFFFFF" w:themeFill="background1"/>
        <w:spacing w:line="240" w:lineRule="auto"/>
        <w:jc w:val="both"/>
      </w:pPr>
      <w:r w:rsidRPr="001D601E">
        <w:t>10.    Ustawa z dnia 17 maja 1989 r. Prawo geodezyjne i kartograficzne. Tekst jednolity – Dz.U. nr 240 z dnia 24 listopada 2005 r., poz. 2026 i 2027 z późniejszymi zmianami</w:t>
      </w:r>
    </w:p>
    <w:p w14:paraId="234BCA94" w14:textId="77777777" w:rsidR="008F714E" w:rsidRPr="001D601E" w:rsidRDefault="008F714E" w:rsidP="00BE2485">
      <w:pPr>
        <w:shd w:val="clear" w:color="auto" w:fill="FFFFFF" w:themeFill="background1"/>
        <w:spacing w:line="240" w:lineRule="auto"/>
        <w:jc w:val="both"/>
      </w:pPr>
    </w:p>
    <w:p w14:paraId="2DA756F3" w14:textId="77777777" w:rsidR="008F714E" w:rsidRPr="001D601E" w:rsidRDefault="008F714E" w:rsidP="00BE2485">
      <w:pPr>
        <w:shd w:val="clear" w:color="auto" w:fill="FFFFFF" w:themeFill="background1"/>
        <w:spacing w:line="240" w:lineRule="auto"/>
        <w:jc w:val="both"/>
        <w:rPr>
          <w:b/>
          <w:bCs/>
        </w:rPr>
      </w:pPr>
      <w:r w:rsidRPr="001D601E">
        <w:rPr>
          <w:b/>
          <w:bCs/>
        </w:rPr>
        <w:t>11. ZAŁĄCZNIK</w:t>
      </w:r>
    </w:p>
    <w:p w14:paraId="07BF7130" w14:textId="77777777" w:rsidR="008F714E" w:rsidRPr="001D601E" w:rsidRDefault="008F714E" w:rsidP="00BE2485">
      <w:pPr>
        <w:shd w:val="clear" w:color="auto" w:fill="FFFFFF" w:themeFill="background1"/>
        <w:spacing w:line="240" w:lineRule="auto"/>
        <w:jc w:val="both"/>
      </w:pPr>
      <w:r w:rsidRPr="001D601E">
        <w:rPr>
          <w:b/>
          <w:bCs/>
        </w:rPr>
        <w:t>PRZYKŁADY  SŁUPKÓW  DO  UTRWALENIA  GRANIC  PASA  DROGOWEGO</w:t>
      </w:r>
    </w:p>
    <w:p w14:paraId="5665E7CC" w14:textId="77777777" w:rsidR="008F714E" w:rsidRPr="001D601E" w:rsidRDefault="008F714E" w:rsidP="00BE2485">
      <w:pPr>
        <w:shd w:val="clear" w:color="auto" w:fill="FFFFFF" w:themeFill="background1"/>
        <w:spacing w:line="240" w:lineRule="auto"/>
        <w:jc w:val="both"/>
      </w:pPr>
      <w:r w:rsidRPr="001D601E">
        <w:t>Rys. 1. Znak graniczny</w:t>
      </w:r>
    </w:p>
    <w:tbl>
      <w:tblPr>
        <w:tblW w:w="0" w:type="auto"/>
        <w:shd w:val="clear" w:color="auto" w:fill="EAEAEA"/>
        <w:tblCellMar>
          <w:left w:w="0" w:type="dxa"/>
          <w:right w:w="0" w:type="dxa"/>
        </w:tblCellMar>
        <w:tblLook w:val="04A0" w:firstRow="1" w:lastRow="0" w:firstColumn="1" w:lastColumn="0" w:noHBand="0" w:noVBand="1"/>
      </w:tblPr>
      <w:tblGrid>
        <w:gridCol w:w="4716"/>
        <w:gridCol w:w="4001"/>
      </w:tblGrid>
      <w:tr w:rsidR="008F714E" w:rsidRPr="001D601E" w14:paraId="60837A44" w14:textId="77777777" w:rsidTr="009A0C1B">
        <w:tc>
          <w:tcPr>
            <w:tcW w:w="3510" w:type="dxa"/>
            <w:shd w:val="clear" w:color="auto" w:fill="EAEAEA"/>
            <w:tcMar>
              <w:top w:w="0" w:type="dxa"/>
              <w:left w:w="108" w:type="dxa"/>
              <w:bottom w:w="0" w:type="dxa"/>
              <w:right w:w="108" w:type="dxa"/>
            </w:tcMar>
            <w:hideMark/>
          </w:tcPr>
          <w:p w14:paraId="1E7A6124" w14:textId="77777777" w:rsidR="008F714E" w:rsidRPr="001D601E" w:rsidRDefault="008F714E" w:rsidP="00BE2485">
            <w:pPr>
              <w:shd w:val="clear" w:color="auto" w:fill="FFFFFF" w:themeFill="background1"/>
              <w:spacing w:line="240" w:lineRule="auto"/>
              <w:jc w:val="both"/>
            </w:pPr>
            <w:r w:rsidRPr="001D601E">
              <w:rPr>
                <w:noProof/>
              </w:rPr>
              <w:drawing>
                <wp:inline distT="0" distB="0" distL="0" distR="0" wp14:anchorId="304CDC30" wp14:editId="0FA7F64E">
                  <wp:extent cx="2857500" cy="1600200"/>
                  <wp:effectExtent l="0" t="0" r="0" b="0"/>
                  <wp:docPr id="1" name="Obraz 1" descr="Y:\SPECYFIKACJE TECHNICZNE\2016 drogowe roboty inwestycyjne\ost\Przygotowawcze\d010101b_pliki\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SPECYFIKACJE TECHNICZNE\2016 drogowe roboty inwestycyjne\ost\Przygotowawcze\d010101b_pliki\image004.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7500" cy="1600200"/>
                          </a:xfrm>
                          <a:prstGeom prst="rect">
                            <a:avLst/>
                          </a:prstGeom>
                          <a:noFill/>
                          <a:ln>
                            <a:noFill/>
                          </a:ln>
                        </pic:spPr>
                      </pic:pic>
                    </a:graphicData>
                  </a:graphic>
                </wp:inline>
              </w:drawing>
            </w:r>
          </w:p>
        </w:tc>
        <w:tc>
          <w:tcPr>
            <w:tcW w:w="4001" w:type="dxa"/>
            <w:shd w:val="clear" w:color="auto" w:fill="EAEAEA"/>
            <w:tcMar>
              <w:top w:w="0" w:type="dxa"/>
              <w:left w:w="108" w:type="dxa"/>
              <w:bottom w:w="0" w:type="dxa"/>
              <w:right w:w="108" w:type="dxa"/>
            </w:tcMar>
            <w:hideMark/>
          </w:tcPr>
          <w:p w14:paraId="57ED685C" w14:textId="77777777" w:rsidR="008F714E" w:rsidRPr="001D601E" w:rsidRDefault="008F714E" w:rsidP="00BE2485">
            <w:pPr>
              <w:shd w:val="clear" w:color="auto" w:fill="FFFFFF" w:themeFill="background1"/>
              <w:spacing w:line="240" w:lineRule="auto"/>
              <w:jc w:val="both"/>
            </w:pPr>
            <w:r w:rsidRPr="001D601E">
              <w:t> </w:t>
            </w:r>
          </w:p>
          <w:p w14:paraId="49C979CC" w14:textId="77777777" w:rsidR="008F714E" w:rsidRPr="001D601E" w:rsidRDefault="008F714E" w:rsidP="00BE2485">
            <w:pPr>
              <w:shd w:val="clear" w:color="auto" w:fill="FFFFFF" w:themeFill="background1"/>
              <w:spacing w:line="240" w:lineRule="auto"/>
              <w:jc w:val="both"/>
            </w:pPr>
            <w:r w:rsidRPr="001D601E">
              <w:t>W niektórych przypadkach pod znakiem granicznym umieszcza się butelkę szklaną, cegłę z naciętym krzyżem, rurkę drenarską itp. w celu potwierdzenia lokalizacji pierwotnego miejsca znaku</w:t>
            </w:r>
          </w:p>
          <w:p w14:paraId="515261EC" w14:textId="77777777" w:rsidR="008F714E" w:rsidRPr="001D601E" w:rsidRDefault="008F714E" w:rsidP="00BE2485">
            <w:pPr>
              <w:shd w:val="clear" w:color="auto" w:fill="FFFFFF" w:themeFill="background1"/>
              <w:spacing w:line="240" w:lineRule="auto"/>
              <w:jc w:val="both"/>
            </w:pPr>
            <w:r w:rsidRPr="001D601E">
              <w:t> </w:t>
            </w:r>
          </w:p>
        </w:tc>
      </w:tr>
    </w:tbl>
    <w:p w14:paraId="2EF6733F" w14:textId="77777777" w:rsidR="008F714E" w:rsidRPr="001D601E" w:rsidRDefault="008F714E" w:rsidP="00BE2485">
      <w:pPr>
        <w:shd w:val="clear" w:color="auto" w:fill="FFFFFF" w:themeFill="background1"/>
        <w:spacing w:line="240" w:lineRule="auto"/>
        <w:jc w:val="both"/>
      </w:pPr>
      <w:r w:rsidRPr="001D601E">
        <w:t> </w:t>
      </w:r>
    </w:p>
    <w:p w14:paraId="3FB00AFC" w14:textId="77777777" w:rsidR="008F714E" w:rsidRPr="001D601E" w:rsidRDefault="008F714E" w:rsidP="00BE2485">
      <w:pPr>
        <w:shd w:val="clear" w:color="auto" w:fill="FFFFFF" w:themeFill="background1"/>
        <w:spacing w:line="240" w:lineRule="auto"/>
        <w:jc w:val="both"/>
      </w:pPr>
      <w:r w:rsidRPr="001D601E">
        <w:t> </w:t>
      </w:r>
    </w:p>
    <w:p w14:paraId="5FA229E1" w14:textId="77777777" w:rsidR="008F714E" w:rsidRDefault="008F714E" w:rsidP="00BE2485">
      <w:pPr>
        <w:shd w:val="clear" w:color="auto" w:fill="FFFFFF" w:themeFill="background1"/>
        <w:spacing w:line="240" w:lineRule="auto"/>
        <w:jc w:val="both"/>
      </w:pPr>
      <w:r w:rsidRPr="001D601E">
        <w:t>Rys. 2. Świadek punktu granicznego</w:t>
      </w:r>
    </w:p>
    <w:p w14:paraId="723040C1" w14:textId="77777777" w:rsidR="0006313C" w:rsidRPr="001D601E" w:rsidRDefault="0006313C" w:rsidP="00BE2485">
      <w:pPr>
        <w:shd w:val="clear" w:color="auto" w:fill="FFFFFF" w:themeFill="background1"/>
        <w:spacing w:line="240" w:lineRule="auto"/>
        <w:jc w:val="both"/>
      </w:pPr>
    </w:p>
    <w:tbl>
      <w:tblPr>
        <w:tblW w:w="0" w:type="auto"/>
        <w:shd w:val="clear" w:color="auto" w:fill="EAEAEA"/>
        <w:tblCellMar>
          <w:left w:w="0" w:type="dxa"/>
          <w:right w:w="0" w:type="dxa"/>
        </w:tblCellMar>
        <w:tblLook w:val="04A0" w:firstRow="1" w:lastRow="0" w:firstColumn="1" w:lastColumn="0" w:noHBand="0" w:noVBand="1"/>
      </w:tblPr>
      <w:tblGrid>
        <w:gridCol w:w="3221"/>
        <w:gridCol w:w="2526"/>
      </w:tblGrid>
      <w:tr w:rsidR="008F714E" w:rsidRPr="001D601E" w14:paraId="333C6DCB" w14:textId="77777777" w:rsidTr="009A0C1B">
        <w:tc>
          <w:tcPr>
            <w:tcW w:w="3221" w:type="dxa"/>
            <w:shd w:val="clear" w:color="auto" w:fill="EAEAEA"/>
            <w:tcMar>
              <w:top w:w="0" w:type="dxa"/>
              <w:left w:w="108" w:type="dxa"/>
              <w:bottom w:w="0" w:type="dxa"/>
              <w:right w:w="108" w:type="dxa"/>
            </w:tcMar>
            <w:hideMark/>
          </w:tcPr>
          <w:p w14:paraId="6B2D8FC0" w14:textId="77777777" w:rsidR="008F714E" w:rsidRPr="001D601E" w:rsidRDefault="008F714E" w:rsidP="00BE2485">
            <w:pPr>
              <w:shd w:val="clear" w:color="auto" w:fill="FFFFFF" w:themeFill="background1"/>
              <w:spacing w:line="240" w:lineRule="auto"/>
              <w:jc w:val="both"/>
            </w:pPr>
            <w:r w:rsidRPr="001D601E">
              <w:lastRenderedPageBreak/>
              <w:t> </w:t>
            </w:r>
          </w:p>
          <w:p w14:paraId="4DF0B1FC" w14:textId="77777777" w:rsidR="008F714E" w:rsidRPr="001D601E" w:rsidRDefault="008F714E" w:rsidP="00BE2485">
            <w:pPr>
              <w:shd w:val="clear" w:color="auto" w:fill="FFFFFF" w:themeFill="background1"/>
              <w:spacing w:line="240" w:lineRule="auto"/>
              <w:jc w:val="both"/>
            </w:pPr>
            <w:r w:rsidRPr="001D601E">
              <w:t> </w:t>
            </w:r>
          </w:p>
          <w:p w14:paraId="25E8E67E" w14:textId="77777777" w:rsidR="008F714E" w:rsidRPr="001D601E" w:rsidRDefault="008F714E" w:rsidP="00BE2485">
            <w:pPr>
              <w:shd w:val="clear" w:color="auto" w:fill="FFFFFF" w:themeFill="background1"/>
              <w:spacing w:line="240" w:lineRule="auto"/>
              <w:jc w:val="both"/>
            </w:pPr>
            <w:r w:rsidRPr="001D601E">
              <w:t>Część nadziemna jest barwy żółtej z wytłoczonym czarnym napisem „PAS  DROGOWY”</w:t>
            </w:r>
          </w:p>
          <w:p w14:paraId="72DF305C" w14:textId="77777777" w:rsidR="008F714E" w:rsidRPr="001D601E" w:rsidRDefault="008F714E" w:rsidP="00BE2485">
            <w:pPr>
              <w:shd w:val="clear" w:color="auto" w:fill="FFFFFF" w:themeFill="background1"/>
              <w:spacing w:line="240" w:lineRule="auto"/>
              <w:jc w:val="both"/>
            </w:pPr>
            <w:r w:rsidRPr="001D601E">
              <w:t> </w:t>
            </w:r>
          </w:p>
          <w:p w14:paraId="774F2949" w14:textId="77777777" w:rsidR="008F714E" w:rsidRPr="001D601E" w:rsidRDefault="008F714E" w:rsidP="00BE2485">
            <w:pPr>
              <w:shd w:val="clear" w:color="auto" w:fill="FFFFFF" w:themeFill="background1"/>
              <w:spacing w:line="240" w:lineRule="auto"/>
              <w:jc w:val="both"/>
            </w:pPr>
            <w:r w:rsidRPr="001D601E">
              <w:t> </w:t>
            </w:r>
          </w:p>
          <w:p w14:paraId="32EFDD11" w14:textId="77777777" w:rsidR="008F714E" w:rsidRPr="001D601E" w:rsidRDefault="008F714E" w:rsidP="00BE2485">
            <w:pPr>
              <w:shd w:val="clear" w:color="auto" w:fill="FFFFFF" w:themeFill="background1"/>
              <w:spacing w:line="240" w:lineRule="auto"/>
              <w:jc w:val="both"/>
            </w:pPr>
            <w:r w:rsidRPr="001D601E">
              <w:t> </w:t>
            </w:r>
          </w:p>
          <w:p w14:paraId="37009F48" w14:textId="77777777" w:rsidR="008F714E" w:rsidRPr="001D601E" w:rsidRDefault="008F714E" w:rsidP="00BE2485">
            <w:pPr>
              <w:shd w:val="clear" w:color="auto" w:fill="FFFFFF" w:themeFill="background1"/>
              <w:spacing w:line="240" w:lineRule="auto"/>
              <w:jc w:val="both"/>
            </w:pPr>
            <w:r w:rsidRPr="001D601E">
              <w:t> </w:t>
            </w:r>
          </w:p>
          <w:p w14:paraId="2DEB5949" w14:textId="77777777" w:rsidR="008F714E" w:rsidRPr="001D601E" w:rsidRDefault="008F714E" w:rsidP="00BE2485">
            <w:pPr>
              <w:shd w:val="clear" w:color="auto" w:fill="FFFFFF" w:themeFill="background1"/>
              <w:spacing w:line="240" w:lineRule="auto"/>
              <w:jc w:val="both"/>
            </w:pPr>
            <w:r w:rsidRPr="001D601E">
              <w:t> </w:t>
            </w:r>
          </w:p>
          <w:p w14:paraId="38CD0DFA" w14:textId="77777777" w:rsidR="008F714E" w:rsidRPr="001D601E" w:rsidRDefault="008F714E" w:rsidP="00BE2485">
            <w:pPr>
              <w:shd w:val="clear" w:color="auto" w:fill="FFFFFF" w:themeFill="background1"/>
              <w:spacing w:line="240" w:lineRule="auto"/>
              <w:jc w:val="both"/>
            </w:pPr>
            <w:r w:rsidRPr="001D601E">
              <w:t> </w:t>
            </w:r>
          </w:p>
          <w:p w14:paraId="2D9DFC19" w14:textId="77777777" w:rsidR="008F714E" w:rsidRPr="001D601E" w:rsidRDefault="008F714E" w:rsidP="00BE2485">
            <w:pPr>
              <w:shd w:val="clear" w:color="auto" w:fill="FFFFFF" w:themeFill="background1"/>
              <w:spacing w:line="240" w:lineRule="auto"/>
              <w:jc w:val="both"/>
            </w:pPr>
            <w:r w:rsidRPr="001D601E">
              <w:t> </w:t>
            </w:r>
          </w:p>
          <w:p w14:paraId="20DD217A" w14:textId="77777777" w:rsidR="008F714E" w:rsidRPr="001D601E" w:rsidRDefault="008F714E" w:rsidP="00BE2485">
            <w:pPr>
              <w:shd w:val="clear" w:color="auto" w:fill="FFFFFF" w:themeFill="background1"/>
              <w:spacing w:line="240" w:lineRule="auto"/>
              <w:jc w:val="both"/>
            </w:pPr>
            <w:r w:rsidRPr="001D601E">
              <w:t> </w:t>
            </w:r>
          </w:p>
          <w:p w14:paraId="5E5A095B" w14:textId="77777777" w:rsidR="008F714E" w:rsidRPr="001D601E" w:rsidRDefault="008F714E" w:rsidP="00BE2485">
            <w:pPr>
              <w:shd w:val="clear" w:color="auto" w:fill="FFFFFF" w:themeFill="background1"/>
              <w:spacing w:line="240" w:lineRule="auto"/>
              <w:jc w:val="both"/>
            </w:pPr>
            <w:r w:rsidRPr="001D601E">
              <w:t> </w:t>
            </w:r>
          </w:p>
          <w:p w14:paraId="3F25BF33" w14:textId="77777777" w:rsidR="008F714E" w:rsidRPr="001D601E" w:rsidRDefault="008F714E" w:rsidP="00BE2485">
            <w:pPr>
              <w:shd w:val="clear" w:color="auto" w:fill="FFFFFF" w:themeFill="background1"/>
              <w:spacing w:line="240" w:lineRule="auto"/>
              <w:jc w:val="both"/>
            </w:pPr>
            <w:r w:rsidRPr="001D601E">
              <w:t>Część podziemna świadka, osadzana w gruncie, zabezpieczona jest lepikiem</w:t>
            </w:r>
          </w:p>
          <w:p w14:paraId="2624EAE2" w14:textId="77777777" w:rsidR="008F714E" w:rsidRPr="001D601E" w:rsidRDefault="008F714E" w:rsidP="00BE2485">
            <w:pPr>
              <w:shd w:val="clear" w:color="auto" w:fill="FFFFFF" w:themeFill="background1"/>
              <w:spacing w:line="240" w:lineRule="auto"/>
              <w:jc w:val="both"/>
            </w:pPr>
            <w:r w:rsidRPr="001D601E">
              <w:t> </w:t>
            </w:r>
          </w:p>
        </w:tc>
        <w:tc>
          <w:tcPr>
            <w:tcW w:w="1990" w:type="dxa"/>
            <w:shd w:val="clear" w:color="auto" w:fill="EAEAEA"/>
            <w:tcMar>
              <w:top w:w="0" w:type="dxa"/>
              <w:left w:w="108" w:type="dxa"/>
              <w:bottom w:w="0" w:type="dxa"/>
              <w:right w:w="108" w:type="dxa"/>
            </w:tcMar>
            <w:hideMark/>
          </w:tcPr>
          <w:p w14:paraId="7153B465" w14:textId="77777777" w:rsidR="008F714E" w:rsidRPr="001D601E" w:rsidRDefault="008F714E" w:rsidP="00BE2485">
            <w:pPr>
              <w:shd w:val="clear" w:color="auto" w:fill="FFFFFF" w:themeFill="background1"/>
              <w:spacing w:line="240" w:lineRule="auto"/>
              <w:jc w:val="both"/>
            </w:pPr>
            <w:r w:rsidRPr="001D601E">
              <w:rPr>
                <w:noProof/>
              </w:rPr>
              <w:drawing>
                <wp:inline distT="0" distB="0" distL="0" distR="0" wp14:anchorId="39A0D226" wp14:editId="69AABE0A">
                  <wp:extent cx="1466850" cy="3295650"/>
                  <wp:effectExtent l="0" t="0" r="0" b="0"/>
                  <wp:docPr id="2" name="Obraz 2" descr="Y:\SPECYFIKACJE TECHNICZNE\2016 drogowe roboty inwestycyjne\ost\Przygotowawcze\d010101b_pliki\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SPECYFIKACJE TECHNICZNE\2016 drogowe roboty inwestycyjne\ost\Przygotowawcze\d010101b_pliki\image00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66850" cy="3295650"/>
                          </a:xfrm>
                          <a:prstGeom prst="rect">
                            <a:avLst/>
                          </a:prstGeom>
                          <a:noFill/>
                          <a:ln>
                            <a:noFill/>
                          </a:ln>
                        </pic:spPr>
                      </pic:pic>
                    </a:graphicData>
                  </a:graphic>
                </wp:inline>
              </w:drawing>
            </w:r>
          </w:p>
        </w:tc>
      </w:tr>
    </w:tbl>
    <w:p w14:paraId="2F6FF807" w14:textId="77777777" w:rsidR="00FF5C9A" w:rsidRPr="001D601E" w:rsidRDefault="00FF5C9A" w:rsidP="00BE2485">
      <w:pPr>
        <w:pStyle w:val="Nagwek4"/>
        <w:shd w:val="clear" w:color="auto" w:fill="FFFFFF" w:themeFill="background1"/>
        <w:tabs>
          <w:tab w:val="left" w:pos="142"/>
        </w:tabs>
        <w:spacing w:before="240" w:line="240" w:lineRule="auto"/>
        <w:jc w:val="both"/>
        <w:rPr>
          <w:rFonts w:cs="Arial"/>
          <w:szCs w:val="20"/>
        </w:rPr>
      </w:pPr>
      <w:bookmarkStart w:id="44" w:name="_Toc88825494"/>
      <w:bookmarkStart w:id="45" w:name="_Toc111635971"/>
      <w:r w:rsidRPr="00AB1845">
        <w:rPr>
          <w:rFonts w:cs="Arial"/>
          <w:szCs w:val="20"/>
        </w:rPr>
        <w:t>D-01.02.01 - USUNIĘCIE DRZEW I KRZAKÓW</w:t>
      </w:r>
      <w:bookmarkEnd w:id="44"/>
      <w:bookmarkEnd w:id="45"/>
    </w:p>
    <w:p w14:paraId="758B020D"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 WSTĘP</w:t>
      </w:r>
    </w:p>
    <w:p w14:paraId="70DAA0EF"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1.1. Przedmiot SST</w:t>
      </w:r>
    </w:p>
    <w:p w14:paraId="0E5CE68A"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AB1845">
        <w:rPr>
          <w:rFonts w:cs="Arial"/>
          <w:szCs w:val="20"/>
        </w:rPr>
        <w:t>Przedmiotem niniejszej szczegółowej specyfikacji techniczn</w:t>
      </w:r>
      <w:r>
        <w:rPr>
          <w:rFonts w:cs="Arial"/>
          <w:szCs w:val="20"/>
        </w:rPr>
        <w:t xml:space="preserve">ej </w:t>
      </w:r>
      <w:r w:rsidRPr="00AB1845">
        <w:rPr>
          <w:rFonts w:cs="Arial"/>
          <w:szCs w:val="20"/>
        </w:rPr>
        <w:t>są wymagania dotyczące wykonania i odbioru robót związanych z usunięciem drzew i krzaków.</w:t>
      </w:r>
    </w:p>
    <w:p w14:paraId="1D04FD66"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1.2. Zakres stosowania SST</w:t>
      </w:r>
    </w:p>
    <w:p w14:paraId="6379ED8C"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1617564265"/>
        <w:placeholder>
          <w:docPart w:val="B03CB96B7D95487DBFCFA2DAD942A5F7"/>
        </w:placeholder>
        <w:dataBinding w:prefixMappings="xmlns:ns0='http://purl.org/dc/elements/1.1/' xmlns:ns1='http://schemas.openxmlformats.org/package/2006/metadata/core-properties' " w:xpath="/ns1:coreProperties[1]/ns0:subject[1]" w:storeItemID="{6C3C8BC8-F283-45AE-878A-BAB7291924A1}"/>
        <w:text/>
      </w:sdtPr>
      <w:sdtEndPr/>
      <w:sdtContent>
        <w:p w14:paraId="579AF63D" w14:textId="209AB7E4" w:rsidR="00FF5C9A" w:rsidRPr="001D601E" w:rsidRDefault="00484E05" w:rsidP="00BE2485">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6EE56EF4"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1.3. Zakres robót objętych SST</w:t>
      </w:r>
    </w:p>
    <w:p w14:paraId="72DE7CF3"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Ustalenia zawarte</w:t>
      </w:r>
      <w:r w:rsidRPr="00AB1845">
        <w:rPr>
          <w:rFonts w:cs="Arial"/>
          <w:szCs w:val="20"/>
        </w:rPr>
        <w:t xml:space="preserve"> </w:t>
      </w:r>
      <w:r w:rsidRPr="00462D74">
        <w:rPr>
          <w:rFonts w:cs="Arial"/>
          <w:szCs w:val="20"/>
        </w:rPr>
        <w:t>w niniejszej szczegółowej specyfikacji dotyczą zasad prowadzenia robót związanych z usunięciem drzew i krzaków, wykonywanych w ramach robót przygotowawczych.</w:t>
      </w:r>
    </w:p>
    <w:p w14:paraId="5C6C6F49"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1.4. Określenia podstawowe</w:t>
      </w:r>
    </w:p>
    <w:p w14:paraId="46F62AD8"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Stosowane określenia podstawowe są zgodne z obowiązującymi, odpowiednimi polskimi normami oraz z definicjami podanymi w SST D-M-00.00.00 „Wymagania ogólne” pkt 1.4.</w:t>
      </w:r>
    </w:p>
    <w:p w14:paraId="6CD68CD0"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1.5. Ogólne wymagania dotyczące robót</w:t>
      </w:r>
    </w:p>
    <w:p w14:paraId="7DE4FA6D"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Ogólne wymagania dotyczące robót podano w SST D-M-00.00.00 „Wymagania ogólne” pkt 1.5.</w:t>
      </w:r>
    </w:p>
    <w:p w14:paraId="546812F8" w14:textId="77777777" w:rsidR="00FF5C9A" w:rsidRPr="00462D74" w:rsidRDefault="00FF5C9A" w:rsidP="00BE2485">
      <w:pPr>
        <w:pStyle w:val="Nagwek1"/>
        <w:shd w:val="clear" w:color="auto" w:fill="FFFFFF" w:themeFill="background1"/>
        <w:tabs>
          <w:tab w:val="left" w:pos="142"/>
        </w:tabs>
        <w:spacing w:line="240" w:lineRule="auto"/>
        <w:jc w:val="both"/>
        <w:rPr>
          <w:rFonts w:cs="Arial"/>
          <w:szCs w:val="20"/>
        </w:rPr>
      </w:pPr>
      <w:r w:rsidRPr="00462D74">
        <w:rPr>
          <w:rFonts w:cs="Arial"/>
          <w:szCs w:val="20"/>
        </w:rPr>
        <w:t>2. MATERIAŁY</w:t>
      </w:r>
    </w:p>
    <w:p w14:paraId="37AC992C"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Nie występują.</w:t>
      </w:r>
    </w:p>
    <w:p w14:paraId="737D0818" w14:textId="77777777" w:rsidR="00FF5C9A" w:rsidRPr="00462D74" w:rsidRDefault="00FF5C9A" w:rsidP="00BE2485">
      <w:pPr>
        <w:pStyle w:val="Nagwek1"/>
        <w:shd w:val="clear" w:color="auto" w:fill="FFFFFF" w:themeFill="background1"/>
        <w:tabs>
          <w:tab w:val="left" w:pos="142"/>
        </w:tabs>
        <w:spacing w:line="240" w:lineRule="auto"/>
        <w:jc w:val="both"/>
        <w:rPr>
          <w:rFonts w:cs="Arial"/>
          <w:szCs w:val="20"/>
        </w:rPr>
      </w:pPr>
      <w:r w:rsidRPr="00462D74">
        <w:rPr>
          <w:rFonts w:cs="Arial"/>
          <w:szCs w:val="20"/>
        </w:rPr>
        <w:t>3. SPRZĘT</w:t>
      </w:r>
    </w:p>
    <w:p w14:paraId="1EAC7C21"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3.1. Ogólne wymagania dotyczące sprzętu</w:t>
      </w:r>
    </w:p>
    <w:p w14:paraId="5A22B7C2"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Ogólne wymagania dotyczące sprzętu podano w SST D-M-00.00.00 „Wymagania ogólne” pkt 3.</w:t>
      </w:r>
    </w:p>
    <w:p w14:paraId="00F0690B"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3.2. Sprzęt do usuwania drzew i krzaków</w:t>
      </w:r>
    </w:p>
    <w:p w14:paraId="21FA7D20" w14:textId="77777777" w:rsidR="00FF5C9A" w:rsidRPr="00462D74" w:rsidRDefault="00FF5C9A" w:rsidP="00BE2485">
      <w:pPr>
        <w:pStyle w:val="Lista-kontynuacja3"/>
        <w:shd w:val="clear" w:color="auto" w:fill="FFFFFF" w:themeFill="background1"/>
        <w:tabs>
          <w:tab w:val="left" w:pos="142"/>
        </w:tabs>
        <w:spacing w:after="0" w:line="240" w:lineRule="auto"/>
        <w:ind w:left="0"/>
        <w:jc w:val="both"/>
        <w:rPr>
          <w:rFonts w:cs="Arial"/>
          <w:szCs w:val="20"/>
        </w:rPr>
      </w:pPr>
      <w:r w:rsidRPr="00462D74">
        <w:rPr>
          <w:rFonts w:cs="Arial"/>
          <w:szCs w:val="20"/>
        </w:rPr>
        <w:t>Do wykonywania robót związanych z usunięciem drzew i krzaków należy stosować:</w:t>
      </w:r>
    </w:p>
    <w:p w14:paraId="219EFBF6" w14:textId="77777777" w:rsidR="00FF5C9A" w:rsidRPr="00462D74"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b/>
          <w:szCs w:val="20"/>
        </w:rPr>
      </w:pPr>
      <w:r w:rsidRPr="00462D74">
        <w:rPr>
          <w:rFonts w:cs="Arial"/>
          <w:szCs w:val="20"/>
        </w:rPr>
        <w:t>piły mechaniczne,</w:t>
      </w:r>
    </w:p>
    <w:p w14:paraId="6B34C858" w14:textId="77777777" w:rsidR="00FF5C9A" w:rsidRPr="00462D74"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b/>
          <w:szCs w:val="20"/>
        </w:rPr>
      </w:pPr>
      <w:r w:rsidRPr="00462D74">
        <w:rPr>
          <w:rFonts w:cs="Arial"/>
          <w:szCs w:val="20"/>
        </w:rPr>
        <w:t>specjalne maszyny przeznaczone do karczowania pni oraz ich usunięcia z pasa drogowego,</w:t>
      </w:r>
    </w:p>
    <w:p w14:paraId="62F6D476" w14:textId="77777777" w:rsidR="00FF5C9A" w:rsidRPr="00462D74"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b/>
          <w:szCs w:val="20"/>
        </w:rPr>
      </w:pPr>
      <w:r w:rsidRPr="00462D74">
        <w:rPr>
          <w:rFonts w:cs="Arial"/>
          <w:szCs w:val="20"/>
        </w:rPr>
        <w:t>spycharki,</w:t>
      </w:r>
    </w:p>
    <w:p w14:paraId="32419819" w14:textId="77777777" w:rsidR="00FF5C9A" w:rsidRPr="00462D74"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b/>
          <w:szCs w:val="20"/>
        </w:rPr>
      </w:pPr>
      <w:r w:rsidRPr="00462D74">
        <w:rPr>
          <w:rFonts w:cs="Arial"/>
          <w:szCs w:val="20"/>
        </w:rPr>
        <w:t>koparki lub ciągniki ze specjalnym osprzętem do prowadzenia prac związanych z wyrębem drzew.</w:t>
      </w:r>
    </w:p>
    <w:p w14:paraId="1974B9C5" w14:textId="77777777" w:rsidR="00FF5C9A" w:rsidRPr="00462D74" w:rsidRDefault="00FF5C9A" w:rsidP="00BE2485">
      <w:pPr>
        <w:pStyle w:val="Nagwek1"/>
        <w:shd w:val="clear" w:color="auto" w:fill="FFFFFF" w:themeFill="background1"/>
        <w:tabs>
          <w:tab w:val="left" w:pos="142"/>
        </w:tabs>
        <w:spacing w:line="240" w:lineRule="auto"/>
        <w:jc w:val="both"/>
        <w:rPr>
          <w:rFonts w:cs="Arial"/>
          <w:szCs w:val="20"/>
        </w:rPr>
      </w:pPr>
      <w:r w:rsidRPr="00462D74">
        <w:rPr>
          <w:rFonts w:cs="Arial"/>
          <w:szCs w:val="20"/>
        </w:rPr>
        <w:t>4. TRANSPORT</w:t>
      </w:r>
    </w:p>
    <w:p w14:paraId="2E07875F"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4.1. Ogólne wymagania dotyczące transportu</w:t>
      </w:r>
    </w:p>
    <w:p w14:paraId="71E101F4"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Ogólne wymagania dotyczące transportu podano w SST D-M-00.00.00 „Wymagania ogólne” pkt 4.</w:t>
      </w:r>
    </w:p>
    <w:p w14:paraId="6014E18E"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4.2. Transport pni i karpiny</w:t>
      </w:r>
    </w:p>
    <w:p w14:paraId="1C1DDE6D"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Pnie, karpinę oraz gałęzie należy przewozić transportem samochodowym.</w:t>
      </w:r>
    </w:p>
    <w:p w14:paraId="40EACD45"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Pnie przedstawiające wartość jako materiał użytkowy (np. budowlany, meblarski itp.) powinny być transportowane w sposób nie powodujący ich uszkodzeń.</w:t>
      </w:r>
    </w:p>
    <w:p w14:paraId="0AD1A976" w14:textId="77777777" w:rsidR="00FF5C9A" w:rsidRPr="00462D74" w:rsidRDefault="00FF5C9A" w:rsidP="00BE2485">
      <w:pPr>
        <w:pStyle w:val="Nagwek1"/>
        <w:shd w:val="clear" w:color="auto" w:fill="FFFFFF" w:themeFill="background1"/>
        <w:tabs>
          <w:tab w:val="left" w:pos="142"/>
        </w:tabs>
        <w:spacing w:line="240" w:lineRule="auto"/>
        <w:jc w:val="both"/>
        <w:rPr>
          <w:rFonts w:cs="Arial"/>
          <w:szCs w:val="20"/>
        </w:rPr>
      </w:pPr>
      <w:r w:rsidRPr="00462D74">
        <w:rPr>
          <w:rFonts w:cs="Arial"/>
          <w:szCs w:val="20"/>
        </w:rPr>
        <w:t>5. WYKONANIE ROBÓT</w:t>
      </w:r>
    </w:p>
    <w:p w14:paraId="285EBBBB"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5.1. Ogólne zasady wykonania robót</w:t>
      </w:r>
    </w:p>
    <w:p w14:paraId="5554C0AF"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Ogólne zasady wykonania robót podano w SST D-M-00.00.00 „Wymagania ogólne” pkt 5.</w:t>
      </w:r>
    </w:p>
    <w:p w14:paraId="2F70EBEB"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lastRenderedPageBreak/>
        <w:t>5.2. Zasady oczyszczania terenu z drzew i krzaków</w:t>
      </w:r>
    </w:p>
    <w:p w14:paraId="1A1750E5"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Roboty związane z usunięciem drzew i krzaków obejmują wycięcie i wykarczowanie drzew i krzaków, wywiezienie pni, karpiny i gałęzi poza teren budowy na wskazane miejsce, zasypanie dołów oraz ewentualne spalenie na miejscu pozostałości po wykarczowaniu.</w:t>
      </w:r>
    </w:p>
    <w:p w14:paraId="0B870F5A"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Teren pod budowę drogi w pasie robót ziemnych, w miejscach dokopów i w innych miejscach wskazanych w dokumentacji projektowej, powinien być oczyszczony z drzew i krzaków.</w:t>
      </w:r>
    </w:p>
    <w:p w14:paraId="57649EF9"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Zgoda na prace związane z usunięciem drzew i krzaków powinna być uzyskana przez  Zamawiającego.</w:t>
      </w:r>
    </w:p>
    <w:p w14:paraId="4A33A7E6"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Wycinkę drzew o właściwościach materiału użytkowego należy wykonywać w tzw. sezonie rębnym, ustalonym przez Inżyniera.</w:t>
      </w:r>
    </w:p>
    <w:p w14:paraId="3ABCFC8B"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W miejscach dokopów i tych wykopów, z których grunt jest przeznaczony do wbudowania w nasypy, teren należy oczyścić z roślinności, wykarczować pnie i usunąć korzenie tak, aby zawartość części organicznych w gruntach przeznaczonych do wbudowania w nasypy nie przekraczała 2%.</w:t>
      </w:r>
    </w:p>
    <w:p w14:paraId="7F31401A"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 xml:space="preserve">W miejscach nasypów teren należy oczyścić tak, aby części roślinności nie znajdowały się na głębokości do </w:t>
      </w:r>
      <w:smartTag w:uri="urn:schemas-microsoft-com:office:smarttags" w:element="metricconverter">
        <w:smartTagPr>
          <w:attr w:name="ProductID" w:val="60 cm"/>
        </w:smartTagPr>
        <w:r w:rsidRPr="00462D74">
          <w:rPr>
            <w:rFonts w:cs="Arial"/>
            <w:szCs w:val="20"/>
          </w:rPr>
          <w:t>60 cm</w:t>
        </w:r>
      </w:smartTag>
      <w:r w:rsidRPr="00462D74">
        <w:rPr>
          <w:rFonts w:cs="Arial"/>
          <w:szCs w:val="20"/>
        </w:rPr>
        <w:t xml:space="preserve"> poniżej niwelety robót ziemnych i linii skarp nasypu, z wyjątkiem przypadków podanych w punkcie 5.3.</w:t>
      </w:r>
    </w:p>
    <w:p w14:paraId="1F751CF5"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14:paraId="6AE4B20D"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5.3. Usunięcie drzew i krzaków</w:t>
      </w:r>
    </w:p>
    <w:p w14:paraId="628F8EC3"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b/>
          <w:szCs w:val="20"/>
        </w:rPr>
      </w:pPr>
      <w:r w:rsidRPr="00462D74">
        <w:rPr>
          <w:rFonts w:cs="Arial"/>
          <w:szCs w:val="20"/>
        </w:rPr>
        <w:t>Pnie drzew i krzaków znajdujące się w pasie robót ziemnych, powinny być wykarczowane, za wyjątkiem następujących przypadków:</w:t>
      </w:r>
    </w:p>
    <w:p w14:paraId="3864BA5D" w14:textId="77777777" w:rsidR="00FF5C9A" w:rsidRPr="00462D74" w:rsidRDefault="00FF5C9A" w:rsidP="00BE2485">
      <w:pPr>
        <w:pStyle w:val="Lista4"/>
        <w:numPr>
          <w:ilvl w:val="0"/>
          <w:numId w:val="42"/>
        </w:numPr>
        <w:shd w:val="clear" w:color="auto" w:fill="FFFFFF" w:themeFill="background1"/>
        <w:tabs>
          <w:tab w:val="left" w:pos="142"/>
        </w:tabs>
        <w:spacing w:line="240" w:lineRule="auto"/>
        <w:ind w:left="0" w:firstLine="0"/>
        <w:jc w:val="both"/>
        <w:rPr>
          <w:rFonts w:cs="Arial"/>
          <w:szCs w:val="20"/>
        </w:rPr>
      </w:pPr>
      <w:r w:rsidRPr="00462D74">
        <w:rPr>
          <w:rFonts w:cs="Arial"/>
          <w:szCs w:val="20"/>
        </w:rPr>
        <w:t xml:space="preserve">w obrębie nasypów - jeżeli średnica pni jest mniejsza od </w:t>
      </w:r>
      <w:smartTag w:uri="urn:schemas-microsoft-com:office:smarttags" w:element="metricconverter">
        <w:smartTagPr>
          <w:attr w:name="ProductID" w:val="8 cm"/>
        </w:smartTagPr>
        <w:r w:rsidRPr="00462D74">
          <w:rPr>
            <w:rFonts w:cs="Arial"/>
            <w:szCs w:val="20"/>
          </w:rPr>
          <w:t>8 cm</w:t>
        </w:r>
      </w:smartTag>
      <w:r w:rsidRPr="00462D74">
        <w:rPr>
          <w:rFonts w:cs="Arial"/>
          <w:szCs w:val="20"/>
        </w:rPr>
        <w:t xml:space="preserve"> i istniejąca rzędna terenu w tym miejscu znajduje się co najmniej </w:t>
      </w:r>
      <w:smartTag w:uri="urn:schemas-microsoft-com:office:smarttags" w:element="metricconverter">
        <w:smartTagPr>
          <w:attr w:name="ProductID" w:val="2 metry"/>
        </w:smartTagPr>
        <w:r w:rsidRPr="00462D74">
          <w:rPr>
            <w:rFonts w:cs="Arial"/>
            <w:szCs w:val="20"/>
          </w:rPr>
          <w:t>2 metry</w:t>
        </w:r>
      </w:smartTag>
      <w:r w:rsidRPr="00462D74">
        <w:rPr>
          <w:rFonts w:cs="Arial"/>
          <w:szCs w:val="20"/>
        </w:rPr>
        <w:t xml:space="preserve"> od powierzchni projektowanej korony drogi albo powierzchni skarpy nasypu. Pnie pozostawione pod nasypami powinny być ścięte nie wyżej niż </w:t>
      </w:r>
      <w:smartTag w:uri="urn:schemas-microsoft-com:office:smarttags" w:element="metricconverter">
        <w:smartTagPr>
          <w:attr w:name="ProductID" w:val="10 cm"/>
        </w:smartTagPr>
        <w:r w:rsidRPr="00462D74">
          <w:rPr>
            <w:rFonts w:cs="Arial"/>
            <w:szCs w:val="20"/>
          </w:rPr>
          <w:t>10 cm</w:t>
        </w:r>
      </w:smartTag>
      <w:r w:rsidRPr="00462D74">
        <w:rPr>
          <w:rFonts w:cs="Arial"/>
          <w:szCs w:val="20"/>
        </w:rPr>
        <w:t xml:space="preserve"> ponad powierzchnią terenu. Powyższe odstępstwo od ogólnej zasady, wymagającej karczowania pni, nie ma zastosowania, jeżeli przewidziano stopniowanie powierzchni terenu pod podstawę nasypu,</w:t>
      </w:r>
    </w:p>
    <w:p w14:paraId="0B4E4E5E" w14:textId="77777777" w:rsidR="00FF5C9A" w:rsidRPr="00462D74" w:rsidRDefault="00FF5C9A" w:rsidP="00BE2485">
      <w:pPr>
        <w:pStyle w:val="Lista4"/>
        <w:numPr>
          <w:ilvl w:val="0"/>
          <w:numId w:val="42"/>
        </w:numPr>
        <w:shd w:val="clear" w:color="auto" w:fill="FFFFFF" w:themeFill="background1"/>
        <w:tabs>
          <w:tab w:val="left" w:pos="142"/>
        </w:tabs>
        <w:spacing w:line="240" w:lineRule="auto"/>
        <w:ind w:left="0" w:firstLine="0"/>
        <w:jc w:val="both"/>
        <w:rPr>
          <w:rFonts w:cs="Arial"/>
          <w:szCs w:val="20"/>
        </w:rPr>
      </w:pPr>
      <w:r w:rsidRPr="00462D74">
        <w:rPr>
          <w:rFonts w:cs="Arial"/>
          <w:szCs w:val="20"/>
        </w:rPr>
        <w:t>w obrębie wyokrąglenia skarpy wykopu przecinającego się z terenem. W tym przypadku pnie powinny być ścięte równo z powierzchnią skarpy albo poniżej jej poziomu.</w:t>
      </w:r>
    </w:p>
    <w:p w14:paraId="562111B0"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Poza miejscami wykopów doły po wykarczowanych pniach należy wypełnić gruntem przydatnym do budowy nasypów i zagęścić, zgodnie z wymaganiami zawartymi w SST D-02.00.00 „Roboty ziemne”.</w:t>
      </w:r>
    </w:p>
    <w:p w14:paraId="4DB066DA"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Doły w obrębie przewidywanych wykopów, należy tymczasowo zabezpieczyć przed gromadzeniem się w nich wody.</w:t>
      </w:r>
    </w:p>
    <w:p w14:paraId="036691D7"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Wykonawca ma obowiązek prowadzenia robót w taki sposób, aby drzewa przedstawiające wartość jako materiał użytkowy (np. budowlany, meblarski itp.) nie utraciły tej właściwości w czasie robót.</w:t>
      </w:r>
    </w:p>
    <w:p w14:paraId="10F59404"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Młode drzewa i inne rośliny przewidziane do ponownego sadzenia powinny być wykopane z dużą ostrożnością, w sposób który nie spowoduje trwałych uszkodzeń, a następnie zasadzone w odpowiednim gruncie.</w:t>
      </w:r>
    </w:p>
    <w:p w14:paraId="383C05B1"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5.4. Zniszczenie pozostałości po usuniętej roślinności</w:t>
      </w:r>
    </w:p>
    <w:p w14:paraId="71B31F87"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Sposób zniszczenia pozostałości po usuniętej roślinności powinien być zgodny z ustaleniami SST lub wskazaniami Inżyniera.</w:t>
      </w:r>
    </w:p>
    <w:p w14:paraId="7FCD8223"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14:paraId="0A0681EA"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Jeżeli dopuszczono spalanie roślinności usuniętej w czasie robót przygotowawczych Wykonawca ma obowiązek zadbać, aby odbyło się ono z zachowaniem wszystkich wymogów bezpieczeństwa i odpowiednich przepisów.</w:t>
      </w:r>
    </w:p>
    <w:p w14:paraId="36B2919A"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14:paraId="7B887F22"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Inżyniera, w którym będzie możliwe dalsze spalanie.</w:t>
      </w:r>
    </w:p>
    <w:p w14:paraId="3E82326A"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 xml:space="preserve">Pozostałości po spaleniu powinny być usunięte przez Wykonawcę z terenu budowy. Jeśli pozostałości po spaleniu, za zgodą Inżyniera, są zakopywane na terenie budowy, to powinny być one układane w warstwach. Każda warstwa powinna być przykryta warstwą gruntu. Ostatnia warstwa powinna być przykryta warstwą gruntu o grubości co najmniej </w:t>
      </w:r>
      <w:smartTag w:uri="urn:schemas-microsoft-com:office:smarttags" w:element="metricconverter">
        <w:smartTagPr>
          <w:attr w:name="ProductID" w:val="30 cm"/>
        </w:smartTagPr>
        <w:r w:rsidRPr="00462D74">
          <w:rPr>
            <w:rFonts w:cs="Arial"/>
            <w:szCs w:val="20"/>
          </w:rPr>
          <w:t>30 cm</w:t>
        </w:r>
      </w:smartTag>
      <w:r w:rsidRPr="00462D74">
        <w:rPr>
          <w:rFonts w:cs="Arial"/>
          <w:szCs w:val="20"/>
        </w:rPr>
        <w:t xml:space="preserve"> i powinna być odpowiednio wyrównana i zagęszczona. Pozostałości po spaleniu nie mogą być zakopywane pod rowami odwadniającymi ani pod jakimikolwiek obszarami, na których odbywa się przepływ wód powierzchniowych.</w:t>
      </w:r>
    </w:p>
    <w:p w14:paraId="23D4D81D" w14:textId="77777777" w:rsidR="00FF5C9A" w:rsidRPr="00462D74" w:rsidRDefault="00FF5C9A" w:rsidP="00BE2485">
      <w:pPr>
        <w:pStyle w:val="Nagwek1"/>
        <w:shd w:val="clear" w:color="auto" w:fill="FFFFFF" w:themeFill="background1"/>
        <w:tabs>
          <w:tab w:val="left" w:pos="142"/>
        </w:tabs>
        <w:spacing w:line="240" w:lineRule="auto"/>
        <w:jc w:val="both"/>
        <w:rPr>
          <w:rFonts w:cs="Arial"/>
          <w:szCs w:val="20"/>
        </w:rPr>
      </w:pPr>
      <w:r w:rsidRPr="00462D74">
        <w:rPr>
          <w:rFonts w:cs="Arial"/>
          <w:szCs w:val="20"/>
        </w:rPr>
        <w:t>6. KONTROLA JAKOŚCI ROBÓT</w:t>
      </w:r>
    </w:p>
    <w:p w14:paraId="37738E94"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6.1. Ogólne zasady kontroli jakości robót</w:t>
      </w:r>
    </w:p>
    <w:p w14:paraId="67318686"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Ogólne zasady kontroli jakości robót podano w SST D-M-00.00.00 „Wymagania ogólne” pkt 6.</w:t>
      </w:r>
    </w:p>
    <w:p w14:paraId="7202BCCF"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6.2. Kontrola robót przy usuwaniu drzew i krzaków</w:t>
      </w:r>
    </w:p>
    <w:p w14:paraId="6E12543F"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Sprawdzenie jakości robót polega na wizualnej ocenie kompletności usunięcia roślinności, wykarczowania korzeni i zasypania dołów. Zagęszczenie gruntu wypełniającego doły powinno spełniać odpowiednie wymagania określone w SST                      D-02.00.00 „Roboty ziemne”.</w:t>
      </w:r>
    </w:p>
    <w:p w14:paraId="5036E940" w14:textId="77777777" w:rsidR="00FF5C9A" w:rsidRPr="00462D74" w:rsidRDefault="00FF5C9A" w:rsidP="00BE2485">
      <w:pPr>
        <w:pStyle w:val="Nagwek1"/>
        <w:shd w:val="clear" w:color="auto" w:fill="FFFFFF" w:themeFill="background1"/>
        <w:tabs>
          <w:tab w:val="left" w:pos="142"/>
        </w:tabs>
        <w:spacing w:line="240" w:lineRule="auto"/>
        <w:jc w:val="both"/>
        <w:rPr>
          <w:rFonts w:cs="Arial"/>
          <w:szCs w:val="20"/>
        </w:rPr>
      </w:pPr>
      <w:r w:rsidRPr="00462D74">
        <w:rPr>
          <w:rFonts w:cs="Arial"/>
          <w:szCs w:val="20"/>
        </w:rPr>
        <w:lastRenderedPageBreak/>
        <w:t>7. OBMIAR ROBÓT</w:t>
      </w:r>
    </w:p>
    <w:p w14:paraId="659F1989"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7.1. Ogólne zasady obmiaru robót</w:t>
      </w:r>
    </w:p>
    <w:p w14:paraId="23A37C15"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Ogólne zasady obmiaru robót podano w SST D-M-00.00.00 „Wymagania ogólne” pkt 7.</w:t>
      </w:r>
    </w:p>
    <w:p w14:paraId="51DBE6E7" w14:textId="77777777" w:rsidR="00FF5C9A" w:rsidRPr="00462D74" w:rsidRDefault="00FF5C9A" w:rsidP="00BE2485">
      <w:pPr>
        <w:pStyle w:val="Nagwek2"/>
        <w:shd w:val="clear" w:color="auto" w:fill="FFFFFF" w:themeFill="background1"/>
        <w:tabs>
          <w:tab w:val="left" w:pos="142"/>
        </w:tabs>
        <w:spacing w:line="240" w:lineRule="auto"/>
        <w:jc w:val="both"/>
        <w:rPr>
          <w:rFonts w:cs="Arial"/>
          <w:szCs w:val="20"/>
        </w:rPr>
      </w:pPr>
      <w:r w:rsidRPr="00462D74">
        <w:rPr>
          <w:rFonts w:cs="Arial"/>
          <w:szCs w:val="20"/>
        </w:rPr>
        <w:t>7.2. Jednostka obmiarowa</w:t>
      </w:r>
    </w:p>
    <w:p w14:paraId="7C360B60" w14:textId="77777777" w:rsidR="00FF5C9A" w:rsidRPr="00462D74" w:rsidRDefault="00FF5C9A" w:rsidP="00BE2485">
      <w:pPr>
        <w:pStyle w:val="Lista-kontynuacja3"/>
        <w:shd w:val="clear" w:color="auto" w:fill="FFFFFF" w:themeFill="background1"/>
        <w:tabs>
          <w:tab w:val="left" w:pos="142"/>
        </w:tabs>
        <w:spacing w:after="0" w:line="240" w:lineRule="auto"/>
        <w:ind w:left="0"/>
        <w:jc w:val="both"/>
        <w:rPr>
          <w:rFonts w:cs="Arial"/>
          <w:szCs w:val="20"/>
        </w:rPr>
      </w:pPr>
      <w:r w:rsidRPr="00462D74">
        <w:rPr>
          <w:rFonts w:cs="Arial"/>
          <w:szCs w:val="20"/>
        </w:rPr>
        <w:t>Jednostką obmiarową robót związanych z usunięciem drzew i krzaków jest:</w:t>
      </w:r>
    </w:p>
    <w:p w14:paraId="405F4B73" w14:textId="77777777" w:rsidR="00FF5C9A" w:rsidRPr="00462D74"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462D74">
        <w:rPr>
          <w:rFonts w:cs="Arial"/>
          <w:szCs w:val="20"/>
        </w:rPr>
        <w:t>dla drzew</w:t>
      </w:r>
      <w:r w:rsidRPr="00462D74">
        <w:rPr>
          <w:rFonts w:cs="Arial"/>
          <w:szCs w:val="20"/>
        </w:rPr>
        <w:tab/>
        <w:t>- sztuka,</w:t>
      </w:r>
    </w:p>
    <w:p w14:paraId="22DE5212" w14:textId="77777777" w:rsidR="00FF5C9A" w:rsidRPr="00462D74"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462D74">
        <w:rPr>
          <w:rFonts w:cs="Arial"/>
          <w:szCs w:val="20"/>
        </w:rPr>
        <w:t>dla krzaków</w:t>
      </w:r>
      <w:r w:rsidRPr="00462D74">
        <w:rPr>
          <w:rFonts w:cs="Arial"/>
          <w:szCs w:val="20"/>
        </w:rPr>
        <w:tab/>
        <w:t>- hektar.</w:t>
      </w:r>
    </w:p>
    <w:p w14:paraId="45FF4778" w14:textId="77777777" w:rsidR="00FF5C9A" w:rsidRPr="00462D74"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462D74">
        <w:rPr>
          <w:rFonts w:cs="Arial"/>
          <w:szCs w:val="20"/>
        </w:rPr>
        <w:t>8. ODBIÓR ROBÓT</w:t>
      </w:r>
    </w:p>
    <w:p w14:paraId="6D6592A5" w14:textId="77777777" w:rsidR="00FF5C9A" w:rsidRPr="00462D74"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462D74">
        <w:rPr>
          <w:rFonts w:cs="Arial"/>
          <w:szCs w:val="20"/>
        </w:rPr>
        <w:t>8.1. Ogólne zasady odbioru robót</w:t>
      </w:r>
    </w:p>
    <w:p w14:paraId="6CB7ABCA"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Ogólne zasady odbioru robót podano w SST D-M-00.00.00 „Wymagania ogólne” pkt 8.</w:t>
      </w:r>
    </w:p>
    <w:p w14:paraId="5D465B4B" w14:textId="77777777" w:rsidR="00FF5C9A" w:rsidRPr="00462D74"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462D74">
        <w:rPr>
          <w:rFonts w:cs="Arial"/>
          <w:szCs w:val="20"/>
        </w:rPr>
        <w:t>8.2. Odbiór robót zanikających i ulegających zakryciu</w:t>
      </w:r>
    </w:p>
    <w:p w14:paraId="6F293046"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Odbiorowi robót zanikających i ulegających zakryciu podlega sprawdzenie dołów po wykarczowanych pniach, przed ich zasypaniem.</w:t>
      </w:r>
    </w:p>
    <w:p w14:paraId="1A2DDA14" w14:textId="77777777" w:rsidR="00FF5C9A" w:rsidRPr="00462D74"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462D74">
        <w:rPr>
          <w:rFonts w:cs="Arial"/>
          <w:szCs w:val="20"/>
        </w:rPr>
        <w:t>9. PODSTAWA PŁATNOŚCI</w:t>
      </w:r>
    </w:p>
    <w:p w14:paraId="6C13F36D" w14:textId="77777777" w:rsidR="00FF5C9A" w:rsidRPr="00462D74"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462D74">
        <w:rPr>
          <w:rFonts w:cs="Arial"/>
          <w:szCs w:val="20"/>
        </w:rPr>
        <w:t>9.1. Ogólne ustalenia dotyczące podstawy płatności</w:t>
      </w:r>
    </w:p>
    <w:p w14:paraId="546E8559"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Ogólne ustalenia dotyczące podstawy płatności podano w SST D-M-00.00.00 „Wymagania ogólne” pkt 9.</w:t>
      </w:r>
    </w:p>
    <w:p w14:paraId="2EFE7EC6" w14:textId="77777777" w:rsidR="00FF5C9A" w:rsidRPr="00462D74"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462D74">
        <w:rPr>
          <w:rFonts w:cs="Arial"/>
          <w:szCs w:val="20"/>
        </w:rPr>
        <w:t>9.2. Cena jednostki obmiarowej</w:t>
      </w:r>
    </w:p>
    <w:p w14:paraId="74524ACB"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Płatność należy przyjmować na podstawie jednostek obmiarowych według pkt 7.</w:t>
      </w:r>
    </w:p>
    <w:p w14:paraId="140C37EC" w14:textId="77777777" w:rsidR="00FF5C9A" w:rsidRPr="00462D74" w:rsidRDefault="00FF5C9A" w:rsidP="00BE2485">
      <w:pPr>
        <w:pStyle w:val="Tekstpodstawowywcity"/>
        <w:shd w:val="clear" w:color="auto" w:fill="FFFFFF" w:themeFill="background1"/>
        <w:tabs>
          <w:tab w:val="left" w:pos="142"/>
        </w:tabs>
        <w:spacing w:line="240" w:lineRule="auto"/>
        <w:ind w:firstLine="0"/>
        <w:jc w:val="both"/>
        <w:rPr>
          <w:rFonts w:cs="Arial"/>
          <w:sz w:val="20"/>
          <w:szCs w:val="20"/>
        </w:rPr>
      </w:pPr>
      <w:r w:rsidRPr="00462D74">
        <w:rPr>
          <w:rFonts w:cs="Arial"/>
          <w:sz w:val="20"/>
          <w:szCs w:val="20"/>
        </w:rPr>
        <w:t>Cena wykonania robót obejmuje:</w:t>
      </w:r>
    </w:p>
    <w:p w14:paraId="33CA1B0C" w14:textId="77777777" w:rsidR="00FF5C9A" w:rsidRPr="00462D74" w:rsidRDefault="00FF5C9A"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462D74">
        <w:rPr>
          <w:rFonts w:cs="Arial"/>
          <w:szCs w:val="20"/>
        </w:rPr>
        <w:t>wycięcie i wykarczowanie drzew i krzaków,</w:t>
      </w:r>
    </w:p>
    <w:p w14:paraId="6B7C6BAE" w14:textId="77777777" w:rsidR="00FF5C9A" w:rsidRPr="00462D74" w:rsidRDefault="00FF5C9A"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462D74">
        <w:rPr>
          <w:rFonts w:cs="Arial"/>
          <w:szCs w:val="20"/>
        </w:rPr>
        <w:t>wywiezienie pni, karpiny i gałęzi poza teren budowy lub przerobienie gałęzi na korę drzewną, względnie spalenie na miejscu pozostałości po wykarczowaniu,</w:t>
      </w:r>
    </w:p>
    <w:p w14:paraId="1F3BE7A0" w14:textId="77777777" w:rsidR="00FF5C9A" w:rsidRPr="00462D74" w:rsidRDefault="00FF5C9A"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462D74">
        <w:rPr>
          <w:rFonts w:cs="Arial"/>
          <w:szCs w:val="20"/>
        </w:rPr>
        <w:t>zasypanie dołów,</w:t>
      </w:r>
    </w:p>
    <w:p w14:paraId="5831B0E0" w14:textId="77777777" w:rsidR="00FF5C9A" w:rsidRPr="00462D74" w:rsidRDefault="00FF5C9A"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462D74">
        <w:rPr>
          <w:rFonts w:cs="Arial"/>
          <w:szCs w:val="20"/>
        </w:rPr>
        <w:t>uporządkowanie miejsca prowadzonych robót.</w:t>
      </w:r>
    </w:p>
    <w:p w14:paraId="055B73B8" w14:textId="77777777" w:rsidR="00FF5C9A" w:rsidRPr="00462D74"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462D74">
        <w:rPr>
          <w:rFonts w:cs="Arial"/>
          <w:szCs w:val="20"/>
        </w:rPr>
        <w:t>10. przepisy związane</w:t>
      </w:r>
    </w:p>
    <w:p w14:paraId="2073145D" w14:textId="77777777" w:rsidR="00FF5C9A" w:rsidRPr="00462D74"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462D74">
        <w:rPr>
          <w:rFonts w:cs="Arial"/>
          <w:szCs w:val="20"/>
        </w:rPr>
        <w:t>Nie występują.</w:t>
      </w:r>
    </w:p>
    <w:p w14:paraId="29683B77" w14:textId="77777777" w:rsidR="00FF5C9A" w:rsidRPr="001D601E" w:rsidRDefault="00FF5C9A" w:rsidP="00BE2485">
      <w:pPr>
        <w:pStyle w:val="Nagwek4"/>
        <w:shd w:val="clear" w:color="auto" w:fill="FFFFFF" w:themeFill="background1"/>
        <w:tabs>
          <w:tab w:val="left" w:pos="142"/>
        </w:tabs>
        <w:spacing w:before="240" w:line="240" w:lineRule="auto"/>
        <w:jc w:val="both"/>
        <w:rPr>
          <w:rFonts w:cs="Arial"/>
          <w:szCs w:val="20"/>
        </w:rPr>
      </w:pPr>
      <w:bookmarkStart w:id="46" w:name="_Toc88825495"/>
      <w:bookmarkStart w:id="47" w:name="_Toc111635972"/>
      <w:r>
        <w:rPr>
          <w:rFonts w:cs="Arial"/>
          <w:szCs w:val="20"/>
        </w:rPr>
        <w:t xml:space="preserve">D-01.02.02 - ZDJĘCIE WARSTWY </w:t>
      </w:r>
      <w:r w:rsidRPr="001D601E">
        <w:rPr>
          <w:rFonts w:cs="Arial"/>
          <w:szCs w:val="20"/>
        </w:rPr>
        <w:t>HUMUSU</w:t>
      </w:r>
      <w:bookmarkEnd w:id="46"/>
      <w:bookmarkEnd w:id="47"/>
      <w:r w:rsidRPr="001D601E">
        <w:rPr>
          <w:rFonts w:cs="Arial"/>
          <w:szCs w:val="20"/>
        </w:rPr>
        <w:t xml:space="preserve"> </w:t>
      </w:r>
    </w:p>
    <w:p w14:paraId="1EBE15FB"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 WSTĘP</w:t>
      </w:r>
    </w:p>
    <w:p w14:paraId="7D5DF82D"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1.1. Przedmiot SST</w:t>
      </w:r>
    </w:p>
    <w:p w14:paraId="1906C6D1"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Przedmiotem niniejszej szczegółowej specyfikacji technicznej  są wymagania dotyczące wykonania i odbioru robót związanych ze zdjęciem warstwy humusu i/lub darniny.</w:t>
      </w:r>
    </w:p>
    <w:p w14:paraId="34060C21"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1.2. Zakres stosowania SST</w:t>
      </w:r>
    </w:p>
    <w:p w14:paraId="670C1D69"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2025513738"/>
        <w:placeholder>
          <w:docPart w:val="E5294303935B41D195FBC12902DF6E9E"/>
        </w:placeholder>
        <w:dataBinding w:prefixMappings="xmlns:ns0='http://purl.org/dc/elements/1.1/' xmlns:ns1='http://schemas.openxmlformats.org/package/2006/metadata/core-properties' " w:xpath="/ns1:coreProperties[1]/ns0:subject[1]" w:storeItemID="{6C3C8BC8-F283-45AE-878A-BAB7291924A1}"/>
        <w:text/>
      </w:sdtPr>
      <w:sdtEndPr/>
      <w:sdtContent>
        <w:p w14:paraId="56D133AA" w14:textId="197B1AFD" w:rsidR="00FF5C9A" w:rsidRPr="001D601E" w:rsidRDefault="00484E05" w:rsidP="00BE2485">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32B7D787"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1.3. Zakres robót objętych SST</w:t>
      </w:r>
    </w:p>
    <w:p w14:paraId="51D4168E"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Ustalenia zawarte w niniejszej szczegółowej specyfikacji dotyczą zasad prowadzenia robót związanych ze zdjęciem warstwy humusu i/lub darniny, wykonywanych w ramach robót przygotowawczych.</w:t>
      </w:r>
    </w:p>
    <w:p w14:paraId="50722E7C"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1.4. Określenia podstawowe</w:t>
      </w:r>
    </w:p>
    <w:p w14:paraId="476E3046"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Stosowane określenia podstawowe są zgodne z obowiązującymi, odpowiednimi polskimi normami oraz z definicjami podanymi w SST D-M-00.00.00 „Wymagania ogólne” pkt 1.4.</w:t>
      </w:r>
    </w:p>
    <w:p w14:paraId="693ED67A"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1.5. Ogólne wymagania dotyczące robót</w:t>
      </w:r>
    </w:p>
    <w:p w14:paraId="2AB6F97D"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robót podano w SST D-M-00.00.00 „Wymagania ogólne” pkt 1.5.</w:t>
      </w:r>
    </w:p>
    <w:p w14:paraId="488DEADB"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2. MATERIAŁY</w:t>
      </w:r>
    </w:p>
    <w:p w14:paraId="0777A11D"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Nie występują.</w:t>
      </w:r>
    </w:p>
    <w:p w14:paraId="136C88F0"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3. SPRZĘT</w:t>
      </w:r>
    </w:p>
    <w:p w14:paraId="45CE29E4"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3.1. Ogólne wymagania dotyczące sprzętu</w:t>
      </w:r>
    </w:p>
    <w:p w14:paraId="1129ED58"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sprzętu podano w SST D-M-00.00.00 „Wymagania ogólne” pkt 3.</w:t>
      </w:r>
    </w:p>
    <w:p w14:paraId="1082F076"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3.2. Sprzęt do zdjęcia humusu i/lub darniny</w:t>
      </w:r>
    </w:p>
    <w:p w14:paraId="0A4F87C8"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 wykonania robót związanych ze zdjęciem warstwy humusu lub/i darniny nie nadającej się do powtórnego użycia należy stosować:</w:t>
      </w:r>
    </w:p>
    <w:p w14:paraId="2818BDE1" w14:textId="77777777" w:rsidR="00FF5C9A" w:rsidRPr="001D601E"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równiarki,</w:t>
      </w:r>
    </w:p>
    <w:p w14:paraId="58391962" w14:textId="77777777" w:rsidR="00FF5C9A" w:rsidRPr="001D601E"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spycharki,</w:t>
      </w:r>
    </w:p>
    <w:p w14:paraId="218FAABB" w14:textId="77777777" w:rsidR="00FF5C9A" w:rsidRPr="001D601E"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łopaty, szpadle i inny sprzęt do ręcznego wykonywania robót ziemnych - w miejscach, gdzie prawidłowe wykonanie robót sprzętem zmechanizowanym nie jest możliwe,</w:t>
      </w:r>
    </w:p>
    <w:p w14:paraId="1F959184" w14:textId="77777777" w:rsidR="00FF5C9A" w:rsidRPr="001D601E"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koparki i samochody samowyładowcze - w przypadku transportu na odległość wymagającą zastosowania takiego sprzętu.</w:t>
      </w:r>
    </w:p>
    <w:p w14:paraId="47FC36AA"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 wykonania robót związanych ze zdjęciem warstwy darniny nadającej się do powtórnego użycia, należy stosować:</w:t>
      </w:r>
    </w:p>
    <w:p w14:paraId="31C9FD10" w14:textId="77777777" w:rsidR="00FF5C9A" w:rsidRPr="001D601E"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noże do cięcia darniny według zasad określonych w p. 5.3,</w:t>
      </w:r>
    </w:p>
    <w:p w14:paraId="2CFE1878" w14:textId="77777777" w:rsidR="00FF5C9A" w:rsidRPr="001D601E"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łopaty i szpadle.</w:t>
      </w:r>
    </w:p>
    <w:p w14:paraId="2AFD7C47"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lastRenderedPageBreak/>
        <w:t>4. TRANSPORT</w:t>
      </w:r>
    </w:p>
    <w:p w14:paraId="59956A9C" w14:textId="77777777" w:rsidR="00FF5C9A" w:rsidRPr="001D601E" w:rsidRDefault="00FF5C9A" w:rsidP="00BE2485">
      <w:pPr>
        <w:pStyle w:val="Lista3"/>
        <w:shd w:val="clear" w:color="auto" w:fill="FFFFFF" w:themeFill="background1"/>
        <w:tabs>
          <w:tab w:val="left" w:pos="142"/>
        </w:tabs>
        <w:spacing w:line="240" w:lineRule="auto"/>
        <w:ind w:left="0" w:firstLine="0"/>
        <w:jc w:val="both"/>
        <w:rPr>
          <w:rFonts w:cs="Arial"/>
          <w:szCs w:val="20"/>
        </w:rPr>
      </w:pPr>
      <w:r w:rsidRPr="001D601E">
        <w:rPr>
          <w:rFonts w:cs="Arial"/>
          <w:szCs w:val="20"/>
        </w:rPr>
        <w:t>4.1.</w:t>
      </w:r>
      <w:r w:rsidRPr="001D601E">
        <w:rPr>
          <w:rFonts w:cs="Arial"/>
          <w:szCs w:val="20"/>
        </w:rPr>
        <w:tab/>
        <w:t>Ogólne wymagania dotyczące transportu</w:t>
      </w:r>
    </w:p>
    <w:p w14:paraId="5427D310"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transportu podano w SST D-M-00.00.00 „Wymagania ogólne” pkt 4.</w:t>
      </w:r>
    </w:p>
    <w:p w14:paraId="16D8F856"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4.2. Transport humusu i darniny</w:t>
      </w:r>
    </w:p>
    <w:p w14:paraId="1CBBC7D2"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Humus należy przemieszczać z zastosowaniem równiarek lub spycharek albo przewozić transportem samochodowym. Wybór środka transportu zależy od odległości, warunków lokalnych i przeznaczenia humusu.</w:t>
      </w:r>
    </w:p>
    <w:p w14:paraId="6AED8F30"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Darninę należy przewozić transportem samochodowym. W przypadku darniny przeznaczonej do powtórnego zastosowania, powinna ona być transportowana w sposób nie powodujący uszkodzeń.</w:t>
      </w:r>
    </w:p>
    <w:p w14:paraId="369B24B7"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5. WYKONANIE ROBÓT</w:t>
      </w:r>
    </w:p>
    <w:p w14:paraId="78DC591E"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5.1. Ogólne zasady wykonania robót</w:t>
      </w:r>
    </w:p>
    <w:p w14:paraId="3853CF88"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wykonania robót podano w SST D-M-00.00.00 „Wymagania ogólne” pkt 5.</w:t>
      </w:r>
    </w:p>
    <w:p w14:paraId="024D6329"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Teren pod budowę drogi w pasie robót ziemnych, w miejscach dokopów i w innych miejscach wskazanych w dokumentacji projektowej powinien być oczyszczony z humusu i/lub darniny.</w:t>
      </w:r>
    </w:p>
    <w:p w14:paraId="6DE1CBB2"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5.2. Zdjęcie warstwy humusu</w:t>
      </w:r>
    </w:p>
    <w:p w14:paraId="0A506787"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Warstwa humusu powinna być zdjęta z przeznaczeniem do późniejszego użycia przy umacnianiu skarp, zakładaniu trawników, sadzeniu drzew i krzewów oraz do innych czynności określonych w dokumentacji projektowej. Zagospodarowanie nadmiaru humusu powinno być wykonane zgodnie z ustaleniami SST lub wskazaniami Inżyniera.</w:t>
      </w:r>
    </w:p>
    <w:p w14:paraId="49A053D3"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14:paraId="26BC9ED2"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Warstwę humusu należy zdjąć z powierzchni całego pasa robót ziemnych oraz w innych miejscach określonych w dokumentacji projektowej lub wskazanych przez Inżyniera.</w:t>
      </w:r>
    </w:p>
    <w:p w14:paraId="2D25979C"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Grubość zdejmowanej warstwy humusu (zależna od głębokości jego zalegania, wysokości nasypu, potrzeb jego wykorzystania na budowie itp.) powinna być zgodna z ustaleniami dokumentacji projektowej lub wskazana przez Inżyniera, według faktycznego stanu występowania. Stan faktyczny będzie stanowił podstawę do rozliczenia czynności związanych ze zdjęciem warstwy humusu.</w:t>
      </w:r>
    </w:p>
    <w:p w14:paraId="163613CA"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14:paraId="33A1F73D"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5.3. Zdjęcie darniny</w:t>
      </w:r>
    </w:p>
    <w:p w14:paraId="6796A43E"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Jeżeli powierzchnia terenu w obrębie pasa przeznaczonego pod budowę trasy drogowej jest pokryta darniną przeznaczoną do umocnienia skarp, darninę należy zdjąć w sposób, który nie spowoduje jej uszkodzeń i przechowywać w odpowiednich warunkach do czasu wykorzystania.</w:t>
      </w:r>
    </w:p>
    <w:p w14:paraId="1927CA7F"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Wysokie trawy powinny być skoszone przed zdjęciem darniny. Darninę należy ciąć w regularne, prostokątne pasy o szerokości około 0,30 metra lub w kwadraty o długości boku około 0,30 metra. Grubość darniny powinna wynosić od 0,05 do 0,10 metra.</w:t>
      </w:r>
    </w:p>
    <w:p w14:paraId="26903A29"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Należy dążyć do jak najszybszego użycia pozyskanej darniny. Jeżeli darnina przed powtórnym wykorzystaniem musi być składowana, to zaleca się jej rozłożenie na gruncie rodzimym. Jeżeli brak miejsca na takie rozłożenie darniny, to należy ją magazynować w regularnych pryzmach. W porze rozwoju roślin darninę należy składować w warstwach trawą do dołu. W pozostałym okresie darninę należy składować warstwami na przemian trawą do góry i trawą do dołu. Czas składowania darniny przed wbudowaniem nie powinien przekraczać 4 tygodni.</w:t>
      </w:r>
    </w:p>
    <w:p w14:paraId="06141070"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Darninę nie nadającą się do powtórnego wykorzystania należy usunąć mechanicznie, z zastosowaniem równiarek lub spycharek i przewieźć na miejsce wskazane przez Inżyniera.</w:t>
      </w:r>
    </w:p>
    <w:p w14:paraId="4AC74E7C"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6. KONTROLA JAKOŚCI ROBÓT</w:t>
      </w:r>
    </w:p>
    <w:p w14:paraId="5B1AD4EB"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6.1. Ogólne zasady kontroli jakości robót</w:t>
      </w:r>
    </w:p>
    <w:p w14:paraId="2F672E76"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kontroli jakości robót podano w SST D-M-00.00.00 „Wymagania ogólne” pkt 6.</w:t>
      </w:r>
    </w:p>
    <w:p w14:paraId="246E3EB5"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6.2. Kontrola usunięcia humusu lub/i darniny</w:t>
      </w:r>
    </w:p>
    <w:p w14:paraId="3468776D"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Sprawdzenie jakości robót polega na wizualnej ocenie kompletności usunięcia humusu lub/i darniny.</w:t>
      </w:r>
    </w:p>
    <w:p w14:paraId="26BA69FD"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7. OBMIAR ROBÓT</w:t>
      </w:r>
    </w:p>
    <w:p w14:paraId="5880DD22"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7.1. Ogólne zasady obmiaru robót</w:t>
      </w:r>
    </w:p>
    <w:p w14:paraId="62B05377"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obmiaru robót podano w SST D-M-00.00.00 „Wymagania ogólne”      pkt 7.</w:t>
      </w:r>
    </w:p>
    <w:p w14:paraId="217EEE93"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7.2. Jednostka obmiarowa</w:t>
      </w:r>
    </w:p>
    <w:p w14:paraId="1D9337EC"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Jednostką obmiarową jest m</w:t>
      </w:r>
      <w:r w:rsidRPr="001D601E">
        <w:rPr>
          <w:rFonts w:cs="Arial"/>
          <w:szCs w:val="20"/>
          <w:vertAlign w:val="superscript"/>
        </w:rPr>
        <w:t>2</w:t>
      </w:r>
      <w:r w:rsidRPr="001D601E">
        <w:rPr>
          <w:rFonts w:cs="Arial"/>
          <w:szCs w:val="20"/>
        </w:rPr>
        <w:t xml:space="preserve"> (metr kwadratowy) zdjętej warstwy humusu lub/i darniny.</w:t>
      </w:r>
    </w:p>
    <w:p w14:paraId="33D52D41"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8. ODBIÓR ROBÓT</w:t>
      </w:r>
    </w:p>
    <w:p w14:paraId="1435EC42"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odbioru robót podano w SST D-M-00.00.00 „Wymagania ogólne”          pkt 8.</w:t>
      </w:r>
    </w:p>
    <w:p w14:paraId="73B56B0D"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9. PODSTAWA PŁATNOŚCI</w:t>
      </w:r>
    </w:p>
    <w:p w14:paraId="11D8D214"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9.1. Ogólne ustalenia dotyczące podstawy płatności</w:t>
      </w:r>
    </w:p>
    <w:p w14:paraId="46000296" w14:textId="77777777" w:rsidR="00FF5C9A" w:rsidRPr="001D601E" w:rsidRDefault="00FF5C9A"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ustalenia dotyczące podstawy płatności podano w SST D-M-00.00.00 „Wymagania ogólne” pkt 9.</w:t>
      </w:r>
    </w:p>
    <w:p w14:paraId="09700C9D" w14:textId="77777777" w:rsidR="00FF5C9A" w:rsidRPr="001D601E" w:rsidRDefault="00FF5C9A"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9.2. Cena jednostki obmiarowej</w:t>
      </w:r>
    </w:p>
    <w:p w14:paraId="2AA08787" w14:textId="77777777" w:rsidR="00FF5C9A" w:rsidRPr="001D601E" w:rsidRDefault="00FF5C9A" w:rsidP="00BE2485">
      <w:pPr>
        <w:pStyle w:val="Lista-kontynuacja3"/>
        <w:shd w:val="clear" w:color="auto" w:fill="FFFFFF" w:themeFill="background1"/>
        <w:tabs>
          <w:tab w:val="left" w:pos="142"/>
        </w:tabs>
        <w:spacing w:after="0" w:line="240" w:lineRule="auto"/>
        <w:ind w:left="0"/>
        <w:jc w:val="both"/>
        <w:rPr>
          <w:rFonts w:cs="Arial"/>
          <w:szCs w:val="20"/>
        </w:rPr>
      </w:pPr>
      <w:r w:rsidRPr="001D601E">
        <w:rPr>
          <w:rFonts w:cs="Arial"/>
          <w:szCs w:val="20"/>
        </w:rPr>
        <w:t>Cena 1 m</w:t>
      </w:r>
      <w:r w:rsidRPr="001D601E">
        <w:rPr>
          <w:rFonts w:cs="Arial"/>
          <w:szCs w:val="20"/>
          <w:vertAlign w:val="superscript"/>
        </w:rPr>
        <w:t>2</w:t>
      </w:r>
      <w:r w:rsidRPr="001D601E">
        <w:rPr>
          <w:rFonts w:cs="Arial"/>
          <w:szCs w:val="20"/>
        </w:rPr>
        <w:t xml:space="preserve"> wykonania robót obejmuje:</w:t>
      </w:r>
    </w:p>
    <w:p w14:paraId="6B7C0B20" w14:textId="77777777" w:rsidR="00FF5C9A" w:rsidRPr="001D601E"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zdjęcie humusu wraz z hałdowaniem w pryzmy wzdłuż drogi lub odwiezieniem na odkład,</w:t>
      </w:r>
    </w:p>
    <w:p w14:paraId="10C3B69A" w14:textId="77777777" w:rsidR="00FF5C9A" w:rsidRPr="001D601E" w:rsidRDefault="00FF5C9A"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zdjęcie darniny z ewentualnym odwiezieniem i składowaniem jej w regularnych pryzmach.</w:t>
      </w:r>
    </w:p>
    <w:p w14:paraId="3F40DBAE" w14:textId="77777777" w:rsidR="00FF5C9A" w:rsidRPr="001D601E" w:rsidRDefault="00FF5C9A"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lastRenderedPageBreak/>
        <w:t>10. przepisy związane</w:t>
      </w:r>
    </w:p>
    <w:p w14:paraId="1A9AC35A" w14:textId="363882B8" w:rsidR="00763AC1" w:rsidRDefault="00FF5C9A" w:rsidP="00BE2485">
      <w:pPr>
        <w:shd w:val="clear" w:color="auto" w:fill="FFFFFF" w:themeFill="background1"/>
        <w:tabs>
          <w:tab w:val="left" w:pos="142"/>
        </w:tabs>
        <w:spacing w:after="240" w:line="240" w:lineRule="auto"/>
        <w:jc w:val="both"/>
        <w:rPr>
          <w:rFonts w:cs="Arial"/>
          <w:szCs w:val="20"/>
        </w:rPr>
      </w:pPr>
      <w:r w:rsidRPr="001D601E">
        <w:rPr>
          <w:rFonts w:cs="Arial"/>
          <w:szCs w:val="20"/>
        </w:rPr>
        <w:t>Nie występują.</w:t>
      </w:r>
    </w:p>
    <w:p w14:paraId="21E9802C" w14:textId="77777777" w:rsidR="00335A32" w:rsidRDefault="00335A32" w:rsidP="00335A32">
      <w:pPr>
        <w:pStyle w:val="Nagwek4"/>
        <w:shd w:val="clear" w:color="auto" w:fill="FFFFFF" w:themeFill="background1"/>
        <w:tabs>
          <w:tab w:val="left" w:pos="142"/>
        </w:tabs>
        <w:spacing w:before="240" w:line="240" w:lineRule="auto"/>
        <w:jc w:val="both"/>
        <w:rPr>
          <w:rFonts w:cs="Arial"/>
          <w:szCs w:val="20"/>
        </w:rPr>
      </w:pPr>
      <w:bookmarkStart w:id="48" w:name="_Toc111635973"/>
      <w:r>
        <w:rPr>
          <w:rFonts w:cs="Arial"/>
          <w:szCs w:val="20"/>
        </w:rPr>
        <w:t>D–</w:t>
      </w:r>
      <w:r w:rsidRPr="00780017">
        <w:rPr>
          <w:rFonts w:cs="Arial"/>
          <w:szCs w:val="20"/>
        </w:rPr>
        <w:t>01.02.01a</w:t>
      </w:r>
      <w:r>
        <w:rPr>
          <w:rFonts w:cs="Arial"/>
          <w:szCs w:val="20"/>
        </w:rPr>
        <w:t xml:space="preserve"> – </w:t>
      </w:r>
      <w:r w:rsidRPr="00780017">
        <w:rPr>
          <w:rFonts w:cs="Arial"/>
          <w:szCs w:val="20"/>
        </w:rPr>
        <w:t>OCHRONA  ISTNIEJĄCYCH  DRZEW W  OKRESIE  BUDOWY  DROGI</w:t>
      </w:r>
      <w:bookmarkEnd w:id="48"/>
    </w:p>
    <w:p w14:paraId="15E6DBDF" w14:textId="77777777" w:rsidR="00335A32" w:rsidRPr="00BE636F" w:rsidRDefault="00335A32" w:rsidP="00335A32">
      <w:pPr>
        <w:pStyle w:val="Nagwek1"/>
        <w:spacing w:line="240" w:lineRule="auto"/>
        <w:rPr>
          <w:rFonts w:cs="Arial"/>
          <w:szCs w:val="20"/>
        </w:rPr>
      </w:pPr>
      <w:bookmarkStart w:id="49" w:name="_Toc164048098"/>
      <w:r w:rsidRPr="00BE636F">
        <w:rPr>
          <w:rFonts w:cs="Arial"/>
          <w:szCs w:val="20"/>
        </w:rPr>
        <w:t>1. WSTĘP</w:t>
      </w:r>
      <w:bookmarkEnd w:id="49"/>
    </w:p>
    <w:p w14:paraId="548DC337" w14:textId="77777777" w:rsidR="00335A32" w:rsidRPr="00BE636F" w:rsidRDefault="00335A32" w:rsidP="00335A32">
      <w:pPr>
        <w:pStyle w:val="Nagwek2"/>
        <w:spacing w:line="240" w:lineRule="auto"/>
        <w:rPr>
          <w:rFonts w:cs="Arial"/>
          <w:szCs w:val="20"/>
        </w:rPr>
      </w:pPr>
      <w:r w:rsidRPr="00BE636F">
        <w:rPr>
          <w:rFonts w:cs="Arial"/>
          <w:szCs w:val="20"/>
        </w:rPr>
        <w:t>1.1. Przedmiot SST</w:t>
      </w:r>
    </w:p>
    <w:p w14:paraId="5D870093" w14:textId="77777777" w:rsidR="00335A32" w:rsidRPr="00BE636F" w:rsidRDefault="00335A32" w:rsidP="00335A32">
      <w:pPr>
        <w:pStyle w:val="Tekstpodstawowy"/>
        <w:spacing w:line="240" w:lineRule="auto"/>
        <w:ind w:firstLine="708"/>
        <w:rPr>
          <w:rFonts w:cs="Arial"/>
          <w:sz w:val="20"/>
          <w:szCs w:val="20"/>
        </w:rPr>
      </w:pPr>
      <w:r w:rsidRPr="00BE636F">
        <w:rPr>
          <w:rFonts w:cs="Arial"/>
          <w:sz w:val="20"/>
          <w:szCs w:val="20"/>
        </w:rPr>
        <w:t>Przedmiotem niniejszej szczegółowej specyfikacji technicznej (SST) są wymagania dotyczące wykonania i odbioru robót budowlanych związanych z ochroną istniejących drzew w okresie budowy drogi.</w:t>
      </w:r>
    </w:p>
    <w:p w14:paraId="1F2E0150" w14:textId="77777777" w:rsidR="00335A32" w:rsidRPr="00BE636F" w:rsidRDefault="00335A32" w:rsidP="00335A32">
      <w:pPr>
        <w:pStyle w:val="Nagwek2"/>
        <w:spacing w:line="240" w:lineRule="auto"/>
        <w:rPr>
          <w:rFonts w:cs="Arial"/>
          <w:szCs w:val="20"/>
        </w:rPr>
      </w:pPr>
      <w:r w:rsidRPr="00BE636F">
        <w:rPr>
          <w:rFonts w:cs="Arial"/>
          <w:szCs w:val="20"/>
        </w:rPr>
        <w:t>1.2. Zakres stosowania SST</w:t>
      </w:r>
    </w:p>
    <w:p w14:paraId="42F521D8" w14:textId="2FFE0459" w:rsidR="00335A32" w:rsidRPr="00BE636F" w:rsidRDefault="00335A32" w:rsidP="00335A32">
      <w:pPr>
        <w:spacing w:line="240" w:lineRule="auto"/>
        <w:ind w:firstLine="708"/>
        <w:rPr>
          <w:rFonts w:cs="Arial"/>
          <w:szCs w:val="20"/>
        </w:rPr>
      </w:pPr>
      <w:r w:rsidRPr="00BE636F">
        <w:rPr>
          <w:rFonts w:cs="Arial"/>
          <w:szCs w:val="20"/>
        </w:rPr>
        <w:t xml:space="preserve">Niniejsza szczegółowa specyfikacja techniczna stanowi Dokument Przetargowy i Kontraktowy przy zlecaniu i realizacji robót dla inwestycji pn.:. </w:t>
      </w:r>
      <w:sdt>
        <w:sdtPr>
          <w:alias w:val="Tytuł"/>
          <w:id w:val="19711730"/>
          <w:placeholder>
            <w:docPart w:val="3EC2626229444E359D48CB645AB4118F"/>
          </w:placeholder>
          <w:dataBinding w:prefixMappings="xmlns:ns0='http://purl.org/dc/elements/1.1/' xmlns:ns1='http://schemas.openxmlformats.org/package/2006/metadata/core-properties' " w:xpath="/ns1:coreProperties[1]/ns0:title[1]" w:storeItemID="{6C3C8BC8-F283-45AE-878A-BAB7291924A1}"/>
          <w:text/>
        </w:sdtPr>
        <w:sdtEndPr/>
        <w:sdtContent>
          <w:r w:rsidR="00483F00" w:rsidRPr="00483F00">
            <w:t>„Rozbudowa drogi powiatowej nr 1444K Uszew - Nowy Wiśnicz (ul. Podzamcze, ul. Zamkowa, ul. Olchawska) - Nieznanowice w km 14+421.00 - 15+416.00 wraz z budową chodnika w m. Nieszkowice Wielkie”</w:t>
          </w:r>
        </w:sdtContent>
      </w:sdt>
    </w:p>
    <w:p w14:paraId="512035C2" w14:textId="77777777" w:rsidR="00335A32" w:rsidRPr="00BE636F" w:rsidRDefault="00335A32" w:rsidP="00335A32">
      <w:pPr>
        <w:pStyle w:val="Nagwek2"/>
        <w:spacing w:line="240" w:lineRule="auto"/>
        <w:rPr>
          <w:rFonts w:cs="Arial"/>
          <w:szCs w:val="20"/>
        </w:rPr>
      </w:pPr>
      <w:r w:rsidRPr="00BE636F">
        <w:rPr>
          <w:rFonts w:cs="Arial"/>
          <w:szCs w:val="20"/>
        </w:rPr>
        <w:t>1.3. Zakres robót objętych SST</w:t>
      </w:r>
    </w:p>
    <w:p w14:paraId="5BBB2898" w14:textId="77777777" w:rsidR="00335A32" w:rsidRPr="00BE636F" w:rsidRDefault="00335A32" w:rsidP="00335A32">
      <w:pPr>
        <w:pStyle w:val="Tekstpodstawowy"/>
        <w:spacing w:line="240" w:lineRule="auto"/>
        <w:ind w:firstLine="709"/>
        <w:rPr>
          <w:rFonts w:cs="Arial"/>
          <w:sz w:val="20"/>
          <w:szCs w:val="20"/>
        </w:rPr>
      </w:pPr>
      <w:r w:rsidRPr="00BE636F">
        <w:rPr>
          <w:rFonts w:cs="Arial"/>
          <w:sz w:val="20"/>
          <w:szCs w:val="20"/>
        </w:rPr>
        <w:t>Ustalenia zawarte w niniejszej specyfikacji  dotyczą zasad wykonania i odbioru robót trwających w okresie budowy drogi, związanych z ochroną i zabezpieczeniem istniejących drzew zlokalizowanych:</w:t>
      </w:r>
    </w:p>
    <w:p w14:paraId="3611363F" w14:textId="77777777" w:rsidR="00335A32" w:rsidRPr="00BE636F" w:rsidRDefault="00335A32" w:rsidP="00CF1E7D">
      <w:pPr>
        <w:pStyle w:val="Tekstpodstawowy"/>
        <w:numPr>
          <w:ilvl w:val="0"/>
          <w:numId w:val="234"/>
        </w:numPr>
        <w:tabs>
          <w:tab w:val="clear" w:pos="360"/>
        </w:tabs>
        <w:spacing w:line="240" w:lineRule="auto"/>
        <w:jc w:val="both"/>
        <w:rPr>
          <w:rFonts w:cs="Arial"/>
          <w:sz w:val="20"/>
          <w:szCs w:val="20"/>
        </w:rPr>
      </w:pPr>
      <w:r w:rsidRPr="00BE636F">
        <w:rPr>
          <w:rFonts w:cs="Arial"/>
          <w:sz w:val="20"/>
          <w:szCs w:val="20"/>
        </w:rPr>
        <w:t>w pasie wykonywania budowlanych robót drogowych, które dokumentacja projektowa, ST lub Inżynier przewiduje pozostawić po zakończeniu budowy,</w:t>
      </w:r>
    </w:p>
    <w:p w14:paraId="4D5ADF5C" w14:textId="77777777" w:rsidR="00335A32" w:rsidRPr="00BE636F" w:rsidRDefault="00335A32" w:rsidP="00CF1E7D">
      <w:pPr>
        <w:pStyle w:val="Tekstpodstawowy"/>
        <w:numPr>
          <w:ilvl w:val="0"/>
          <w:numId w:val="234"/>
        </w:numPr>
        <w:tabs>
          <w:tab w:val="clear" w:pos="360"/>
        </w:tabs>
        <w:spacing w:line="240" w:lineRule="auto"/>
        <w:jc w:val="both"/>
        <w:rPr>
          <w:rFonts w:cs="Arial"/>
          <w:sz w:val="20"/>
          <w:szCs w:val="20"/>
        </w:rPr>
      </w:pPr>
      <w:r w:rsidRPr="00BE636F">
        <w:rPr>
          <w:rFonts w:cs="Arial"/>
          <w:sz w:val="20"/>
          <w:szCs w:val="20"/>
        </w:rPr>
        <w:t>na terenie tymczasowych dróg dojazdowych do placu budowy, placów manewrowych i zaplecza budowy,</w:t>
      </w:r>
    </w:p>
    <w:p w14:paraId="3237A969" w14:textId="77777777" w:rsidR="00335A32" w:rsidRPr="00BE636F" w:rsidRDefault="00335A32" w:rsidP="00335A32">
      <w:pPr>
        <w:pStyle w:val="Tekstpodstawowy"/>
        <w:spacing w:line="240" w:lineRule="auto"/>
        <w:ind w:left="51"/>
        <w:rPr>
          <w:rFonts w:cs="Arial"/>
          <w:sz w:val="20"/>
          <w:szCs w:val="20"/>
        </w:rPr>
      </w:pPr>
      <w:r w:rsidRPr="00BE636F">
        <w:rPr>
          <w:rFonts w:cs="Arial"/>
          <w:sz w:val="20"/>
          <w:szCs w:val="20"/>
        </w:rPr>
        <w:t>z uwzględnieniem tymczasowego zabezpieczenia na okres budowy, stałego zabezpieczenia na okres po zakończeniu budowy i pielęgnacji drzew uszkodzonych w czasie prowadzenia robót.</w:t>
      </w:r>
    </w:p>
    <w:p w14:paraId="1C6AE495" w14:textId="77777777" w:rsidR="00335A32" w:rsidRPr="00BE636F" w:rsidRDefault="00335A32" w:rsidP="00335A32">
      <w:pPr>
        <w:pStyle w:val="Nagwek2"/>
        <w:spacing w:line="240" w:lineRule="auto"/>
        <w:rPr>
          <w:rFonts w:cs="Arial"/>
          <w:szCs w:val="20"/>
        </w:rPr>
      </w:pPr>
      <w:r w:rsidRPr="00BE636F">
        <w:rPr>
          <w:rFonts w:cs="Arial"/>
          <w:szCs w:val="20"/>
        </w:rPr>
        <w:t>1.4. Określenia podstawowe</w:t>
      </w:r>
    </w:p>
    <w:p w14:paraId="4BCFEDE3" w14:textId="77777777" w:rsidR="00335A32" w:rsidRPr="00BE636F" w:rsidRDefault="00335A32" w:rsidP="00335A32">
      <w:pPr>
        <w:spacing w:after="120" w:line="240" w:lineRule="auto"/>
        <w:rPr>
          <w:rFonts w:cs="Arial"/>
          <w:bCs/>
          <w:szCs w:val="20"/>
        </w:rPr>
      </w:pPr>
      <w:r w:rsidRPr="00BE636F">
        <w:rPr>
          <w:rFonts w:cs="Arial"/>
          <w:b/>
          <w:bCs/>
          <w:szCs w:val="20"/>
        </w:rPr>
        <w:t xml:space="preserve">1.4.1. </w:t>
      </w:r>
      <w:r w:rsidRPr="00BE636F">
        <w:rPr>
          <w:rFonts w:cs="Arial"/>
          <w:bCs/>
          <w:szCs w:val="20"/>
        </w:rPr>
        <w:t>Drzewo – roślina wieloletnia drzewiasta o silnie zdrewniałym pędzie głównym (pniu).</w:t>
      </w:r>
    </w:p>
    <w:p w14:paraId="02E5FB6E" w14:textId="77777777" w:rsidR="00335A32" w:rsidRPr="00BE636F" w:rsidRDefault="00335A32" w:rsidP="00335A32">
      <w:pPr>
        <w:spacing w:line="240" w:lineRule="auto"/>
        <w:rPr>
          <w:rFonts w:cs="Arial"/>
          <w:szCs w:val="20"/>
        </w:rPr>
      </w:pPr>
      <w:r w:rsidRPr="00BE636F">
        <w:rPr>
          <w:rFonts w:cs="Arial"/>
          <w:b/>
          <w:bCs/>
          <w:szCs w:val="20"/>
        </w:rPr>
        <w:t>1.4.2.</w:t>
      </w:r>
      <w:r w:rsidRPr="00BE636F">
        <w:rPr>
          <w:rFonts w:cs="Arial"/>
          <w:szCs w:val="20"/>
        </w:rPr>
        <w:t xml:space="preserve"> </w:t>
      </w:r>
      <w:r w:rsidRPr="00BE636F">
        <w:rPr>
          <w:rFonts w:cs="Arial"/>
          <w:bCs/>
          <w:iCs/>
          <w:szCs w:val="20"/>
        </w:rPr>
        <w:t>Korona – górna część drzewa utworzona przez jego pędy boczne.</w:t>
      </w:r>
    </w:p>
    <w:p w14:paraId="4BEB55E5" w14:textId="77777777" w:rsidR="00335A32" w:rsidRPr="00BE636F" w:rsidRDefault="00335A32" w:rsidP="00335A32">
      <w:pPr>
        <w:spacing w:before="120" w:after="120" w:line="240" w:lineRule="auto"/>
        <w:rPr>
          <w:rFonts w:cs="Arial"/>
          <w:szCs w:val="20"/>
        </w:rPr>
      </w:pPr>
      <w:r w:rsidRPr="00BE636F">
        <w:rPr>
          <w:rFonts w:cs="Arial"/>
          <w:b/>
          <w:bCs/>
          <w:szCs w:val="20"/>
        </w:rPr>
        <w:t>1.4.3.</w:t>
      </w:r>
      <w:r w:rsidRPr="00BE636F">
        <w:rPr>
          <w:rFonts w:cs="Arial"/>
          <w:b/>
          <w:i/>
          <w:szCs w:val="20"/>
        </w:rPr>
        <w:t xml:space="preserve"> </w:t>
      </w:r>
      <w:r w:rsidRPr="00BE636F">
        <w:rPr>
          <w:rFonts w:cs="Arial"/>
          <w:bCs/>
          <w:iCs/>
          <w:szCs w:val="20"/>
        </w:rPr>
        <w:t>Ziemia urodzajna – ziemia posiadająca właściwości zapewniające roślinom prawidłowy rozwój.</w:t>
      </w:r>
    </w:p>
    <w:p w14:paraId="1E4B0F1B" w14:textId="77777777" w:rsidR="00335A32" w:rsidRPr="00BE636F" w:rsidRDefault="00335A32" w:rsidP="00335A32">
      <w:pPr>
        <w:spacing w:line="240" w:lineRule="auto"/>
        <w:rPr>
          <w:rFonts w:cs="Arial"/>
          <w:szCs w:val="20"/>
        </w:rPr>
      </w:pPr>
      <w:r w:rsidRPr="00BE636F">
        <w:rPr>
          <w:rFonts w:cs="Arial"/>
          <w:b/>
          <w:bCs/>
          <w:szCs w:val="20"/>
        </w:rPr>
        <w:t>1.4.4.</w:t>
      </w:r>
      <w:r w:rsidRPr="00BE636F">
        <w:rPr>
          <w:rFonts w:cs="Arial"/>
          <w:szCs w:val="20"/>
        </w:rPr>
        <w:t xml:space="preserve"> </w:t>
      </w:r>
      <w:r w:rsidRPr="00BE636F">
        <w:rPr>
          <w:rFonts w:cs="Arial"/>
          <w:bCs/>
          <w:iCs/>
          <w:szCs w:val="20"/>
        </w:rPr>
        <w:t xml:space="preserve">Forma pienna – forma drzew z pniami wysokości od 1,8 do </w:t>
      </w:r>
      <w:smartTag w:uri="urn:schemas-microsoft-com:office:smarttags" w:element="metricconverter">
        <w:smartTagPr>
          <w:attr w:name="ProductID" w:val="2,2 m"/>
        </w:smartTagPr>
        <w:r w:rsidRPr="00BE636F">
          <w:rPr>
            <w:rFonts w:cs="Arial"/>
            <w:bCs/>
            <w:iCs/>
            <w:szCs w:val="20"/>
          </w:rPr>
          <w:t>2,2 m</w:t>
        </w:r>
      </w:smartTag>
      <w:r w:rsidRPr="00BE636F">
        <w:rPr>
          <w:rFonts w:cs="Arial"/>
          <w:bCs/>
          <w:iCs/>
          <w:szCs w:val="20"/>
        </w:rPr>
        <w:t>, z wyraźnym nie przyciętym przewodnikiem i uformowaną koroną.</w:t>
      </w:r>
      <w:r w:rsidRPr="00BE636F">
        <w:rPr>
          <w:rFonts w:cs="Arial"/>
          <w:szCs w:val="20"/>
        </w:rPr>
        <w:t xml:space="preserve"> </w:t>
      </w:r>
    </w:p>
    <w:p w14:paraId="408F5247" w14:textId="77777777" w:rsidR="00335A32" w:rsidRPr="00BE636F" w:rsidRDefault="00335A32" w:rsidP="00335A32">
      <w:pPr>
        <w:spacing w:before="120" w:after="120" w:line="240" w:lineRule="auto"/>
        <w:rPr>
          <w:rFonts w:cs="Arial"/>
          <w:szCs w:val="20"/>
        </w:rPr>
      </w:pPr>
      <w:r w:rsidRPr="00BE636F">
        <w:rPr>
          <w:rFonts w:cs="Arial"/>
          <w:b/>
          <w:bCs/>
          <w:szCs w:val="20"/>
        </w:rPr>
        <w:t xml:space="preserve">1.4.5. </w:t>
      </w:r>
      <w:r w:rsidRPr="00BE636F">
        <w:rPr>
          <w:rFonts w:cs="Arial"/>
          <w:bCs/>
          <w:iCs/>
          <w:szCs w:val="20"/>
        </w:rPr>
        <w:t>Bryła korzeniowa – uformowana bryła ziemi z przerastającymi ją korzeniami rośliny.</w:t>
      </w:r>
    </w:p>
    <w:p w14:paraId="555454F8" w14:textId="77777777" w:rsidR="00335A32" w:rsidRPr="00BE636F" w:rsidRDefault="00335A32" w:rsidP="00335A32">
      <w:pPr>
        <w:spacing w:line="240" w:lineRule="auto"/>
        <w:rPr>
          <w:rFonts w:cs="Arial"/>
          <w:szCs w:val="20"/>
        </w:rPr>
      </w:pPr>
      <w:r w:rsidRPr="00BE636F">
        <w:rPr>
          <w:rFonts w:cs="Arial"/>
          <w:b/>
          <w:bCs/>
          <w:szCs w:val="20"/>
        </w:rPr>
        <w:t xml:space="preserve">1.4.6. </w:t>
      </w:r>
      <w:r w:rsidRPr="00BE636F">
        <w:rPr>
          <w:rFonts w:cs="Arial"/>
          <w:szCs w:val="20"/>
        </w:rPr>
        <w:t xml:space="preserve">Pozostałe określenia podstawowe są zgodne z obowiązującymi, odpowiednimi polskimi normami i z definicjami podanymi w SST D-M-00.00.00 „Wymagania ogólne” [1] pkt 1.4.  </w:t>
      </w:r>
    </w:p>
    <w:p w14:paraId="1F4C8C81" w14:textId="77777777" w:rsidR="00335A32" w:rsidRPr="00BE636F" w:rsidRDefault="00335A32" w:rsidP="00335A32">
      <w:pPr>
        <w:pStyle w:val="Nagwek2"/>
        <w:spacing w:line="240" w:lineRule="auto"/>
        <w:rPr>
          <w:rFonts w:cs="Arial"/>
          <w:szCs w:val="20"/>
        </w:rPr>
      </w:pPr>
      <w:r w:rsidRPr="00BE636F">
        <w:rPr>
          <w:rFonts w:cs="Arial"/>
          <w:szCs w:val="20"/>
        </w:rPr>
        <w:t>1.5.Ogólne wymagania dotyczące robót</w:t>
      </w:r>
    </w:p>
    <w:p w14:paraId="56B7059B" w14:textId="77777777" w:rsidR="00335A32" w:rsidRPr="00BE636F" w:rsidRDefault="00335A32" w:rsidP="00335A32">
      <w:pPr>
        <w:spacing w:line="240" w:lineRule="auto"/>
        <w:ind w:firstLine="708"/>
        <w:rPr>
          <w:rFonts w:cs="Arial"/>
          <w:szCs w:val="20"/>
        </w:rPr>
      </w:pPr>
      <w:r w:rsidRPr="00BE636F">
        <w:rPr>
          <w:rFonts w:cs="Arial"/>
          <w:szCs w:val="20"/>
        </w:rPr>
        <w:t>Ogólne wymagania dotyczące robót podano w SST D-M-00.00.00 „Wymagania ogólne” [1], pkt 1.5.</w:t>
      </w:r>
    </w:p>
    <w:p w14:paraId="465EF5DB" w14:textId="77777777" w:rsidR="00335A32" w:rsidRPr="00BE636F" w:rsidRDefault="00335A32" w:rsidP="00335A32">
      <w:pPr>
        <w:pStyle w:val="Nagwek1"/>
        <w:spacing w:line="240" w:lineRule="auto"/>
        <w:rPr>
          <w:rFonts w:cs="Arial"/>
          <w:szCs w:val="20"/>
        </w:rPr>
      </w:pPr>
      <w:bookmarkStart w:id="50" w:name="_Toc150225703"/>
      <w:bookmarkStart w:id="51" w:name="_Toc164048099"/>
      <w:r w:rsidRPr="00BE636F">
        <w:rPr>
          <w:rFonts w:cs="Arial"/>
          <w:szCs w:val="20"/>
        </w:rPr>
        <w:t>2. MATERIAŁY</w:t>
      </w:r>
      <w:bookmarkEnd w:id="50"/>
      <w:bookmarkEnd w:id="51"/>
    </w:p>
    <w:p w14:paraId="440AB7A3" w14:textId="77777777" w:rsidR="00335A32" w:rsidRPr="00BE636F" w:rsidRDefault="00335A32" w:rsidP="00335A32">
      <w:pPr>
        <w:pStyle w:val="Nagwek2"/>
        <w:spacing w:line="240" w:lineRule="auto"/>
        <w:rPr>
          <w:rFonts w:cs="Arial"/>
          <w:szCs w:val="20"/>
        </w:rPr>
      </w:pPr>
      <w:r w:rsidRPr="00BE636F">
        <w:rPr>
          <w:rFonts w:cs="Arial"/>
          <w:szCs w:val="20"/>
        </w:rPr>
        <w:t>2.1. Ogólne wymagania dotyczące materiałów</w:t>
      </w:r>
    </w:p>
    <w:p w14:paraId="6A33C353" w14:textId="77777777" w:rsidR="00335A32" w:rsidRPr="00BE636F" w:rsidRDefault="00335A32" w:rsidP="00335A32">
      <w:pPr>
        <w:spacing w:line="240" w:lineRule="auto"/>
        <w:ind w:firstLine="708"/>
        <w:rPr>
          <w:rFonts w:cs="Arial"/>
          <w:szCs w:val="20"/>
        </w:rPr>
      </w:pPr>
      <w:r w:rsidRPr="00BE636F">
        <w:rPr>
          <w:rFonts w:cs="Arial"/>
          <w:szCs w:val="20"/>
        </w:rPr>
        <w:t>Ogólne wymagania dotyczące materiałów, ich pozyskiwania i składowania, podano w SST D-M-00.00.00 „Wymagania ogólne” [1] pkt 2.</w:t>
      </w:r>
    </w:p>
    <w:p w14:paraId="5ED9428F" w14:textId="77777777" w:rsidR="00335A32" w:rsidRPr="00BE636F" w:rsidRDefault="00335A32" w:rsidP="00335A32">
      <w:pPr>
        <w:pStyle w:val="Nagwek2"/>
        <w:spacing w:line="240" w:lineRule="auto"/>
        <w:rPr>
          <w:rFonts w:cs="Arial"/>
          <w:szCs w:val="20"/>
        </w:rPr>
      </w:pPr>
      <w:r w:rsidRPr="00BE636F">
        <w:rPr>
          <w:rFonts w:cs="Arial"/>
          <w:szCs w:val="20"/>
        </w:rPr>
        <w:t>2.2. Materiały do wykonania robót</w:t>
      </w:r>
    </w:p>
    <w:p w14:paraId="4FDB4802" w14:textId="77777777" w:rsidR="00335A32" w:rsidRPr="00BE636F" w:rsidRDefault="00335A32" w:rsidP="00335A32">
      <w:pPr>
        <w:spacing w:after="120" w:line="240" w:lineRule="auto"/>
        <w:rPr>
          <w:rFonts w:cs="Arial"/>
          <w:szCs w:val="20"/>
        </w:rPr>
      </w:pPr>
      <w:r w:rsidRPr="00BE636F">
        <w:rPr>
          <w:rFonts w:cs="Arial"/>
          <w:b/>
          <w:szCs w:val="20"/>
        </w:rPr>
        <w:t xml:space="preserve">2.2.1. </w:t>
      </w:r>
      <w:r w:rsidRPr="00BE636F">
        <w:rPr>
          <w:rFonts w:cs="Arial"/>
          <w:szCs w:val="20"/>
        </w:rPr>
        <w:t xml:space="preserve">Zgodność materiałów z dokumentacją projektową </w:t>
      </w:r>
    </w:p>
    <w:p w14:paraId="2A664952" w14:textId="77777777" w:rsidR="00335A32" w:rsidRPr="00BE636F" w:rsidRDefault="00335A32" w:rsidP="00335A32">
      <w:pPr>
        <w:spacing w:line="240" w:lineRule="auto"/>
        <w:rPr>
          <w:rFonts w:cs="Arial"/>
          <w:szCs w:val="20"/>
        </w:rPr>
      </w:pPr>
      <w:r w:rsidRPr="00BE636F">
        <w:rPr>
          <w:rFonts w:cs="Arial"/>
          <w:szCs w:val="20"/>
        </w:rPr>
        <w:tab/>
        <w:t>Materiały do wykonania robót powinny być zgodne z ustaleniami dokumentacji projektowej lub ST.</w:t>
      </w:r>
    </w:p>
    <w:p w14:paraId="3117AB67" w14:textId="77777777" w:rsidR="00335A32" w:rsidRPr="00BE636F" w:rsidRDefault="00335A32" w:rsidP="00335A32">
      <w:pPr>
        <w:spacing w:before="120" w:after="120" w:line="240" w:lineRule="auto"/>
        <w:rPr>
          <w:rFonts w:cs="Arial"/>
          <w:szCs w:val="20"/>
        </w:rPr>
      </w:pPr>
      <w:r w:rsidRPr="00BE636F">
        <w:rPr>
          <w:rFonts w:cs="Arial"/>
          <w:b/>
          <w:szCs w:val="20"/>
        </w:rPr>
        <w:t xml:space="preserve">2.2.2. </w:t>
      </w:r>
      <w:r w:rsidRPr="00BE636F">
        <w:rPr>
          <w:rFonts w:cs="Arial"/>
          <w:szCs w:val="20"/>
        </w:rPr>
        <w:t>Stosowane materiały</w:t>
      </w:r>
    </w:p>
    <w:p w14:paraId="7417555F" w14:textId="77777777" w:rsidR="00335A32" w:rsidRPr="00BE636F" w:rsidRDefault="00335A32" w:rsidP="00335A32">
      <w:pPr>
        <w:spacing w:line="240" w:lineRule="auto"/>
        <w:rPr>
          <w:rFonts w:cs="Arial"/>
          <w:szCs w:val="20"/>
        </w:rPr>
      </w:pPr>
      <w:r w:rsidRPr="00BE636F">
        <w:rPr>
          <w:rFonts w:cs="Arial"/>
          <w:szCs w:val="20"/>
        </w:rPr>
        <w:tab/>
        <w:t>Przy ochronie i zabezpieczeniu istniejących drzew w okresie budowy drogi można stosować następujące materiały:</w:t>
      </w:r>
    </w:p>
    <w:p w14:paraId="3E331E3D" w14:textId="77777777" w:rsidR="00335A32" w:rsidRPr="00BE636F" w:rsidRDefault="00335A32" w:rsidP="00335A32">
      <w:pPr>
        <w:spacing w:line="240" w:lineRule="auto"/>
        <w:rPr>
          <w:rFonts w:cs="Arial"/>
          <w:szCs w:val="20"/>
        </w:rPr>
      </w:pPr>
      <w:r w:rsidRPr="00BE636F">
        <w:rPr>
          <w:rFonts w:cs="Arial"/>
          <w:szCs w:val="20"/>
        </w:rPr>
        <w:t>a)   materiały do wykonania tymczasowej ochrony drzew, jak:</w:t>
      </w:r>
    </w:p>
    <w:p w14:paraId="4A1BE666" w14:textId="77777777" w:rsidR="00335A32" w:rsidRPr="00BE636F" w:rsidRDefault="00335A32" w:rsidP="00CF1E7D">
      <w:pPr>
        <w:numPr>
          <w:ilvl w:val="0"/>
          <w:numId w:val="235"/>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deski iglaste grubości min. </w:t>
      </w:r>
      <w:smartTag w:uri="urn:schemas-microsoft-com:office:smarttags" w:element="metricconverter">
        <w:smartTagPr>
          <w:attr w:name="ProductID" w:val="20 mm"/>
        </w:smartTagPr>
        <w:r w:rsidRPr="00BE636F">
          <w:rPr>
            <w:rFonts w:cs="Arial"/>
            <w:szCs w:val="20"/>
          </w:rPr>
          <w:t>20 mm</w:t>
        </w:r>
      </w:smartTag>
      <w:r w:rsidRPr="00BE636F">
        <w:rPr>
          <w:rFonts w:cs="Arial"/>
          <w:szCs w:val="20"/>
        </w:rPr>
        <w:t>, słupki drewniane, żerdzie, itp.,</w:t>
      </w:r>
    </w:p>
    <w:p w14:paraId="2B62A189" w14:textId="77777777" w:rsidR="00335A32" w:rsidRPr="00BE636F" w:rsidRDefault="00335A32" w:rsidP="00CF1E7D">
      <w:pPr>
        <w:numPr>
          <w:ilvl w:val="0"/>
          <w:numId w:val="235"/>
        </w:numPr>
        <w:overflowPunct w:val="0"/>
        <w:autoSpaceDE w:val="0"/>
        <w:autoSpaceDN w:val="0"/>
        <w:adjustRightInd w:val="0"/>
        <w:spacing w:line="240" w:lineRule="auto"/>
        <w:jc w:val="both"/>
        <w:textAlignment w:val="baseline"/>
        <w:rPr>
          <w:rFonts w:cs="Arial"/>
          <w:szCs w:val="20"/>
        </w:rPr>
      </w:pPr>
      <w:r w:rsidRPr="00BE636F">
        <w:rPr>
          <w:rFonts w:cs="Arial"/>
          <w:szCs w:val="20"/>
        </w:rPr>
        <w:t>maty słomiane,</w:t>
      </w:r>
    </w:p>
    <w:p w14:paraId="01DBCD61" w14:textId="77777777" w:rsidR="00335A32" w:rsidRPr="00BE636F" w:rsidRDefault="00335A32" w:rsidP="00CF1E7D">
      <w:pPr>
        <w:numPr>
          <w:ilvl w:val="0"/>
          <w:numId w:val="235"/>
        </w:numPr>
        <w:overflowPunct w:val="0"/>
        <w:autoSpaceDE w:val="0"/>
        <w:autoSpaceDN w:val="0"/>
        <w:adjustRightInd w:val="0"/>
        <w:spacing w:line="240" w:lineRule="auto"/>
        <w:jc w:val="both"/>
        <w:textAlignment w:val="baseline"/>
        <w:rPr>
          <w:rFonts w:cs="Arial"/>
          <w:szCs w:val="20"/>
        </w:rPr>
      </w:pPr>
      <w:r w:rsidRPr="00BE636F">
        <w:rPr>
          <w:rFonts w:cs="Arial"/>
          <w:szCs w:val="20"/>
        </w:rPr>
        <w:t>zużyte opony samochodowe,</w:t>
      </w:r>
    </w:p>
    <w:p w14:paraId="6862B616" w14:textId="77777777" w:rsidR="00335A32" w:rsidRPr="00BE636F" w:rsidRDefault="00335A32" w:rsidP="00CF1E7D">
      <w:pPr>
        <w:numPr>
          <w:ilvl w:val="0"/>
          <w:numId w:val="235"/>
        </w:numPr>
        <w:overflowPunct w:val="0"/>
        <w:autoSpaceDE w:val="0"/>
        <w:autoSpaceDN w:val="0"/>
        <w:adjustRightInd w:val="0"/>
        <w:spacing w:line="240" w:lineRule="auto"/>
        <w:jc w:val="both"/>
        <w:textAlignment w:val="baseline"/>
        <w:rPr>
          <w:rFonts w:cs="Arial"/>
          <w:szCs w:val="20"/>
        </w:rPr>
      </w:pPr>
      <w:r w:rsidRPr="00BE636F">
        <w:rPr>
          <w:rFonts w:cs="Arial"/>
          <w:szCs w:val="20"/>
        </w:rPr>
        <w:t>drut, taśmę stalową, gwoździe,</w:t>
      </w:r>
    </w:p>
    <w:p w14:paraId="2DF05E82" w14:textId="77777777" w:rsidR="00335A32" w:rsidRPr="00BE636F" w:rsidRDefault="00335A32" w:rsidP="00CF1E7D">
      <w:pPr>
        <w:numPr>
          <w:ilvl w:val="0"/>
          <w:numId w:val="235"/>
        </w:numPr>
        <w:overflowPunct w:val="0"/>
        <w:autoSpaceDE w:val="0"/>
        <w:autoSpaceDN w:val="0"/>
        <w:adjustRightInd w:val="0"/>
        <w:spacing w:line="240" w:lineRule="auto"/>
        <w:jc w:val="both"/>
        <w:textAlignment w:val="baseline"/>
        <w:rPr>
          <w:rFonts w:cs="Arial"/>
          <w:szCs w:val="20"/>
        </w:rPr>
      </w:pPr>
      <w:r w:rsidRPr="00BE636F">
        <w:rPr>
          <w:rFonts w:cs="Arial"/>
          <w:szCs w:val="20"/>
        </w:rPr>
        <w:t>wodę,</w:t>
      </w:r>
    </w:p>
    <w:p w14:paraId="79667D03" w14:textId="77777777" w:rsidR="00335A32" w:rsidRPr="00BE636F" w:rsidRDefault="00335A32" w:rsidP="00335A32">
      <w:pPr>
        <w:spacing w:line="240" w:lineRule="auto"/>
        <w:ind w:left="426" w:hanging="426"/>
        <w:rPr>
          <w:rFonts w:cs="Arial"/>
          <w:szCs w:val="20"/>
        </w:rPr>
      </w:pPr>
      <w:r w:rsidRPr="00BE636F">
        <w:rPr>
          <w:rFonts w:cs="Arial"/>
          <w:szCs w:val="20"/>
        </w:rPr>
        <w:t>b)   materiały do wykonania stałych konstrukcji ochronnych wokół drzew, według ustaleń dokumentacji projektowej, jak:</w:t>
      </w:r>
    </w:p>
    <w:p w14:paraId="6BD6C97C" w14:textId="77777777" w:rsidR="00335A32" w:rsidRPr="00BE636F" w:rsidRDefault="00335A32" w:rsidP="00CF1E7D">
      <w:pPr>
        <w:numPr>
          <w:ilvl w:val="0"/>
          <w:numId w:val="236"/>
        </w:numPr>
        <w:overflowPunct w:val="0"/>
        <w:autoSpaceDE w:val="0"/>
        <w:autoSpaceDN w:val="0"/>
        <w:adjustRightInd w:val="0"/>
        <w:spacing w:line="240" w:lineRule="auto"/>
        <w:jc w:val="both"/>
        <w:textAlignment w:val="baseline"/>
        <w:rPr>
          <w:rFonts w:cs="Arial"/>
          <w:szCs w:val="20"/>
        </w:rPr>
      </w:pPr>
      <w:r w:rsidRPr="00BE636F">
        <w:rPr>
          <w:rFonts w:cs="Arial"/>
          <w:szCs w:val="20"/>
        </w:rPr>
        <w:t>mury kamienne, np. z kamienia łamanego na zaprawie bądź na sucho,</w:t>
      </w:r>
    </w:p>
    <w:p w14:paraId="29FC7B61" w14:textId="77777777" w:rsidR="00335A32" w:rsidRPr="00BE636F" w:rsidRDefault="00335A32" w:rsidP="00CF1E7D">
      <w:pPr>
        <w:numPr>
          <w:ilvl w:val="0"/>
          <w:numId w:val="236"/>
        </w:numPr>
        <w:overflowPunct w:val="0"/>
        <w:autoSpaceDE w:val="0"/>
        <w:autoSpaceDN w:val="0"/>
        <w:adjustRightInd w:val="0"/>
        <w:spacing w:line="240" w:lineRule="auto"/>
        <w:jc w:val="both"/>
        <w:textAlignment w:val="baseline"/>
        <w:rPr>
          <w:rFonts w:cs="Arial"/>
          <w:szCs w:val="20"/>
        </w:rPr>
      </w:pPr>
      <w:r w:rsidRPr="00BE636F">
        <w:rPr>
          <w:rFonts w:cs="Arial"/>
          <w:szCs w:val="20"/>
        </w:rPr>
        <w:t>mury betonowe i ew. żelbetowe,</w:t>
      </w:r>
    </w:p>
    <w:p w14:paraId="56161047" w14:textId="77777777" w:rsidR="00335A32" w:rsidRPr="00BE636F" w:rsidRDefault="00335A32" w:rsidP="00CF1E7D">
      <w:pPr>
        <w:numPr>
          <w:ilvl w:val="0"/>
          <w:numId w:val="236"/>
        </w:numPr>
        <w:overflowPunct w:val="0"/>
        <w:autoSpaceDE w:val="0"/>
        <w:autoSpaceDN w:val="0"/>
        <w:adjustRightInd w:val="0"/>
        <w:spacing w:line="240" w:lineRule="auto"/>
        <w:jc w:val="both"/>
        <w:textAlignment w:val="baseline"/>
        <w:rPr>
          <w:rFonts w:cs="Arial"/>
          <w:szCs w:val="20"/>
        </w:rPr>
      </w:pPr>
      <w:r w:rsidRPr="00BE636F">
        <w:rPr>
          <w:rFonts w:cs="Arial"/>
          <w:szCs w:val="20"/>
        </w:rPr>
        <w:t>mury klinkierowe, z betonowej kostki brukowej, ew. ceglane i inne,</w:t>
      </w:r>
    </w:p>
    <w:p w14:paraId="277B5E0B" w14:textId="77777777" w:rsidR="00335A32" w:rsidRPr="00BE636F" w:rsidRDefault="00335A32" w:rsidP="00CF1E7D">
      <w:pPr>
        <w:numPr>
          <w:ilvl w:val="0"/>
          <w:numId w:val="236"/>
        </w:numPr>
        <w:overflowPunct w:val="0"/>
        <w:autoSpaceDE w:val="0"/>
        <w:autoSpaceDN w:val="0"/>
        <w:adjustRightInd w:val="0"/>
        <w:spacing w:line="240" w:lineRule="auto"/>
        <w:jc w:val="both"/>
        <w:textAlignment w:val="baseline"/>
        <w:rPr>
          <w:rFonts w:cs="Arial"/>
          <w:szCs w:val="20"/>
        </w:rPr>
      </w:pPr>
      <w:r w:rsidRPr="00BE636F">
        <w:rPr>
          <w:rFonts w:cs="Arial"/>
          <w:szCs w:val="20"/>
        </w:rPr>
        <w:t>pomosty zabezpieczające z rusztów stalowych, płyt betonowych, z ew. stopami fundamentowymi itp.,</w:t>
      </w:r>
    </w:p>
    <w:p w14:paraId="42D39534" w14:textId="77777777" w:rsidR="00335A32" w:rsidRPr="00BE636F" w:rsidRDefault="00335A32" w:rsidP="00335A32">
      <w:pPr>
        <w:spacing w:line="240" w:lineRule="auto"/>
        <w:rPr>
          <w:rFonts w:cs="Arial"/>
          <w:szCs w:val="20"/>
        </w:rPr>
      </w:pPr>
      <w:r w:rsidRPr="00BE636F">
        <w:rPr>
          <w:rFonts w:cs="Arial"/>
          <w:szCs w:val="20"/>
        </w:rPr>
        <w:t>c)   materiały pielęgnacyjne drzew uszkodzonych, jak:</w:t>
      </w:r>
    </w:p>
    <w:p w14:paraId="4A0FB120" w14:textId="77777777" w:rsidR="00335A32" w:rsidRPr="00BE636F" w:rsidRDefault="00335A32" w:rsidP="00CF1E7D">
      <w:pPr>
        <w:numPr>
          <w:ilvl w:val="0"/>
          <w:numId w:val="237"/>
        </w:numPr>
        <w:overflowPunct w:val="0"/>
        <w:autoSpaceDE w:val="0"/>
        <w:autoSpaceDN w:val="0"/>
        <w:adjustRightInd w:val="0"/>
        <w:spacing w:line="240" w:lineRule="auto"/>
        <w:jc w:val="both"/>
        <w:textAlignment w:val="baseline"/>
        <w:rPr>
          <w:rFonts w:cs="Arial"/>
          <w:szCs w:val="20"/>
        </w:rPr>
      </w:pPr>
      <w:r w:rsidRPr="00BE636F">
        <w:rPr>
          <w:rFonts w:cs="Arial"/>
          <w:szCs w:val="20"/>
        </w:rPr>
        <w:t>preparaty emulsyjne, powierzchniowe,</w:t>
      </w:r>
    </w:p>
    <w:p w14:paraId="570AEC2B" w14:textId="77777777" w:rsidR="00335A32" w:rsidRPr="00BE636F" w:rsidRDefault="00335A32" w:rsidP="00CF1E7D">
      <w:pPr>
        <w:numPr>
          <w:ilvl w:val="0"/>
          <w:numId w:val="237"/>
        </w:numPr>
        <w:overflowPunct w:val="0"/>
        <w:autoSpaceDE w:val="0"/>
        <w:autoSpaceDN w:val="0"/>
        <w:adjustRightInd w:val="0"/>
        <w:spacing w:line="240" w:lineRule="auto"/>
        <w:jc w:val="both"/>
        <w:textAlignment w:val="baseline"/>
        <w:rPr>
          <w:rFonts w:cs="Arial"/>
          <w:szCs w:val="20"/>
        </w:rPr>
      </w:pPr>
      <w:r w:rsidRPr="00BE636F">
        <w:rPr>
          <w:rFonts w:cs="Arial"/>
          <w:szCs w:val="20"/>
        </w:rPr>
        <w:t>środki impregnujące,</w:t>
      </w:r>
    </w:p>
    <w:p w14:paraId="59131BC4" w14:textId="77777777" w:rsidR="00335A32" w:rsidRPr="00BE636F" w:rsidRDefault="00335A32" w:rsidP="00CF1E7D">
      <w:pPr>
        <w:numPr>
          <w:ilvl w:val="0"/>
          <w:numId w:val="237"/>
        </w:numPr>
        <w:overflowPunct w:val="0"/>
        <w:autoSpaceDE w:val="0"/>
        <w:autoSpaceDN w:val="0"/>
        <w:adjustRightInd w:val="0"/>
        <w:spacing w:line="240" w:lineRule="auto"/>
        <w:jc w:val="both"/>
        <w:textAlignment w:val="baseline"/>
        <w:rPr>
          <w:rFonts w:cs="Arial"/>
          <w:szCs w:val="20"/>
        </w:rPr>
      </w:pPr>
      <w:r w:rsidRPr="00BE636F">
        <w:rPr>
          <w:rFonts w:cs="Arial"/>
          <w:szCs w:val="20"/>
        </w:rPr>
        <w:t>wodę.</w:t>
      </w:r>
    </w:p>
    <w:p w14:paraId="4D1D087E" w14:textId="77777777" w:rsidR="00335A32" w:rsidRPr="00BE636F" w:rsidRDefault="00335A32" w:rsidP="00335A32">
      <w:pPr>
        <w:spacing w:line="240" w:lineRule="auto"/>
        <w:ind w:firstLine="624"/>
        <w:rPr>
          <w:rFonts w:cs="Arial"/>
          <w:szCs w:val="20"/>
        </w:rPr>
      </w:pPr>
      <w:r w:rsidRPr="00BE636F">
        <w:rPr>
          <w:rFonts w:cs="Arial"/>
          <w:szCs w:val="20"/>
        </w:rPr>
        <w:t xml:space="preserve">Materiały stosowane do tymczasowej ochrony drzew i materiały pielęgnacyjne powinny być zaproponowane przez Wykonawcę i zaakceptowane przez Inżyniera. Wymagania dotyczące materiałów do wykonania stałych konstrukcji ochronnych wokół drzew, powinny odpowiadać ustaleniom dokumentacji projektowej, a w przypadku ich braku lub </w:t>
      </w:r>
      <w:r w:rsidRPr="00BE636F">
        <w:rPr>
          <w:rFonts w:cs="Arial"/>
          <w:szCs w:val="20"/>
        </w:rPr>
        <w:lastRenderedPageBreak/>
        <w:t>niepełnych danych mogą odpowiadać wymaganiom SST D-03.03.01 [4],  D-05.03.02 [5], D-05.03.23a [6], D-06.01.01 [7], D-09.01.01 [8], D-10.01.01 [9].</w:t>
      </w:r>
    </w:p>
    <w:p w14:paraId="6DDB9EE4" w14:textId="77777777" w:rsidR="00335A32" w:rsidRPr="00BE636F" w:rsidRDefault="00335A32" w:rsidP="00335A32">
      <w:pPr>
        <w:spacing w:line="240" w:lineRule="auto"/>
        <w:ind w:firstLine="624"/>
        <w:rPr>
          <w:rFonts w:cs="Arial"/>
          <w:szCs w:val="20"/>
        </w:rPr>
      </w:pPr>
      <w:r w:rsidRPr="00BE636F">
        <w:rPr>
          <w:rFonts w:cs="Arial"/>
          <w:szCs w:val="20"/>
        </w:rPr>
        <w:t>Zaleca się, aby:</w:t>
      </w:r>
    </w:p>
    <w:p w14:paraId="1D6B77DB" w14:textId="77777777" w:rsidR="00335A32" w:rsidRPr="00BE636F" w:rsidRDefault="00335A32" w:rsidP="00CF1E7D">
      <w:pPr>
        <w:numPr>
          <w:ilvl w:val="0"/>
          <w:numId w:val="238"/>
        </w:numPr>
        <w:overflowPunct w:val="0"/>
        <w:autoSpaceDE w:val="0"/>
        <w:autoSpaceDN w:val="0"/>
        <w:adjustRightInd w:val="0"/>
        <w:spacing w:line="240" w:lineRule="auto"/>
        <w:jc w:val="both"/>
        <w:textAlignment w:val="baseline"/>
        <w:rPr>
          <w:rFonts w:cs="Arial"/>
          <w:szCs w:val="20"/>
        </w:rPr>
      </w:pPr>
      <w:r w:rsidRPr="00BE636F">
        <w:rPr>
          <w:rFonts w:cs="Arial"/>
          <w:szCs w:val="20"/>
        </w:rPr>
        <w:t>elementy stalowe były ocynkowane lub w inny sposób zabezpieczone przed korozją,</w:t>
      </w:r>
    </w:p>
    <w:p w14:paraId="3EE1DD1B" w14:textId="77777777" w:rsidR="00335A32" w:rsidRPr="00BE636F" w:rsidRDefault="00335A32" w:rsidP="00CF1E7D">
      <w:pPr>
        <w:numPr>
          <w:ilvl w:val="0"/>
          <w:numId w:val="238"/>
        </w:numPr>
        <w:overflowPunct w:val="0"/>
        <w:autoSpaceDE w:val="0"/>
        <w:autoSpaceDN w:val="0"/>
        <w:adjustRightInd w:val="0"/>
        <w:spacing w:line="240" w:lineRule="auto"/>
        <w:jc w:val="both"/>
        <w:textAlignment w:val="baseline"/>
        <w:rPr>
          <w:rFonts w:cs="Arial"/>
          <w:szCs w:val="20"/>
        </w:rPr>
      </w:pPr>
      <w:r w:rsidRPr="00BE636F">
        <w:rPr>
          <w:rFonts w:cs="Arial"/>
          <w:szCs w:val="20"/>
        </w:rPr>
        <w:t>beton do drobnych elementów miał klasę co najmniej B 35.</w:t>
      </w:r>
    </w:p>
    <w:p w14:paraId="79EC38C2" w14:textId="77777777" w:rsidR="00335A32" w:rsidRPr="00BE636F" w:rsidRDefault="00335A32" w:rsidP="00335A32">
      <w:pPr>
        <w:pStyle w:val="Nagwek1"/>
        <w:spacing w:line="240" w:lineRule="auto"/>
        <w:rPr>
          <w:rFonts w:cs="Arial"/>
          <w:szCs w:val="20"/>
        </w:rPr>
      </w:pPr>
      <w:bookmarkStart w:id="52" w:name="_Toc149627768"/>
      <w:bookmarkStart w:id="53" w:name="_Toc150225704"/>
      <w:bookmarkStart w:id="54" w:name="_Toc164048100"/>
      <w:r w:rsidRPr="00BE636F">
        <w:rPr>
          <w:rFonts w:cs="Arial"/>
          <w:szCs w:val="20"/>
        </w:rPr>
        <w:t>3. SPRZĘT</w:t>
      </w:r>
      <w:bookmarkEnd w:id="52"/>
      <w:bookmarkEnd w:id="53"/>
      <w:bookmarkEnd w:id="54"/>
    </w:p>
    <w:p w14:paraId="764A7684" w14:textId="77777777" w:rsidR="00335A32" w:rsidRPr="00BE636F" w:rsidRDefault="00335A32" w:rsidP="00335A32">
      <w:pPr>
        <w:pStyle w:val="Nagwek2"/>
        <w:spacing w:line="240" w:lineRule="auto"/>
        <w:rPr>
          <w:rFonts w:cs="Arial"/>
          <w:szCs w:val="20"/>
        </w:rPr>
      </w:pPr>
      <w:r w:rsidRPr="00BE636F">
        <w:rPr>
          <w:rFonts w:cs="Arial"/>
          <w:szCs w:val="20"/>
        </w:rPr>
        <w:t>3.1. Ogólne wymagania dotyczące sprzętu</w:t>
      </w:r>
    </w:p>
    <w:p w14:paraId="21B19287" w14:textId="77777777" w:rsidR="00335A32" w:rsidRPr="00BE636F" w:rsidRDefault="00335A32" w:rsidP="00335A32">
      <w:pPr>
        <w:numPr>
          <w:ilvl w:val="12"/>
          <w:numId w:val="0"/>
        </w:numPr>
        <w:spacing w:line="240" w:lineRule="auto"/>
        <w:ind w:right="-143" w:firstLine="709"/>
        <w:rPr>
          <w:rFonts w:cs="Arial"/>
          <w:szCs w:val="20"/>
        </w:rPr>
      </w:pPr>
      <w:r w:rsidRPr="00BE636F">
        <w:rPr>
          <w:rFonts w:cs="Arial"/>
          <w:szCs w:val="20"/>
        </w:rPr>
        <w:t>Ogólne wymagania dotyczące sprzętu podano w SST D-M-00.00.00 „Wymagania ogólne”[1], pkt 3.</w:t>
      </w:r>
    </w:p>
    <w:p w14:paraId="344F002A" w14:textId="77777777" w:rsidR="00335A32" w:rsidRPr="00BE636F" w:rsidRDefault="00335A32" w:rsidP="00335A32">
      <w:pPr>
        <w:pStyle w:val="Nagwek2"/>
        <w:spacing w:line="240" w:lineRule="auto"/>
        <w:rPr>
          <w:rFonts w:cs="Arial"/>
          <w:szCs w:val="20"/>
        </w:rPr>
      </w:pPr>
      <w:r w:rsidRPr="00BE636F">
        <w:rPr>
          <w:rFonts w:cs="Arial"/>
          <w:szCs w:val="20"/>
        </w:rPr>
        <w:t>3.2. Sprzęt stosowany do wykonania robót</w:t>
      </w:r>
    </w:p>
    <w:p w14:paraId="55C60ACC" w14:textId="77777777" w:rsidR="00335A32" w:rsidRPr="00BE636F" w:rsidRDefault="00335A32" w:rsidP="00335A32">
      <w:pPr>
        <w:spacing w:line="240" w:lineRule="auto"/>
        <w:rPr>
          <w:rFonts w:cs="Arial"/>
          <w:szCs w:val="20"/>
        </w:rPr>
      </w:pPr>
      <w:r w:rsidRPr="00BE636F">
        <w:rPr>
          <w:rFonts w:cs="Arial"/>
          <w:szCs w:val="20"/>
        </w:rPr>
        <w:tab/>
        <w:t>Przy wykonywaniu robót Wykonawca, w zależności od potrzeb, powinien wykazać się możliwością korzystania ze sprzętu dostosowanego do przyjętej metody robót:</w:t>
      </w:r>
    </w:p>
    <w:p w14:paraId="29990F26" w14:textId="77777777" w:rsidR="00335A32" w:rsidRPr="00BE636F" w:rsidRDefault="00335A32" w:rsidP="00335A32">
      <w:pPr>
        <w:spacing w:line="240" w:lineRule="auto"/>
        <w:rPr>
          <w:rFonts w:cs="Arial"/>
          <w:szCs w:val="20"/>
        </w:rPr>
      </w:pPr>
      <w:r w:rsidRPr="00BE636F">
        <w:rPr>
          <w:rFonts w:cs="Arial"/>
          <w:szCs w:val="20"/>
        </w:rPr>
        <w:t>a)   sprzętu do tymczasowej ochrony drzew:</w:t>
      </w:r>
    </w:p>
    <w:p w14:paraId="6FE6F2E1" w14:textId="77777777" w:rsidR="00335A32" w:rsidRPr="00BE636F" w:rsidRDefault="00335A32" w:rsidP="00CF1E7D">
      <w:pPr>
        <w:numPr>
          <w:ilvl w:val="0"/>
          <w:numId w:val="239"/>
        </w:numPr>
        <w:overflowPunct w:val="0"/>
        <w:autoSpaceDE w:val="0"/>
        <w:autoSpaceDN w:val="0"/>
        <w:adjustRightInd w:val="0"/>
        <w:spacing w:line="240" w:lineRule="auto"/>
        <w:jc w:val="both"/>
        <w:textAlignment w:val="baseline"/>
        <w:rPr>
          <w:rFonts w:cs="Arial"/>
          <w:szCs w:val="20"/>
        </w:rPr>
      </w:pPr>
      <w:r w:rsidRPr="00BE636F">
        <w:rPr>
          <w:rFonts w:cs="Arial"/>
          <w:szCs w:val="20"/>
        </w:rPr>
        <w:t>ręcznego sprzętu do prac ziemnych jak szpadle, drągi, łopaty,</w:t>
      </w:r>
    </w:p>
    <w:p w14:paraId="0A0085EC" w14:textId="77777777" w:rsidR="00335A32" w:rsidRPr="00BE636F" w:rsidRDefault="00335A32" w:rsidP="00CF1E7D">
      <w:pPr>
        <w:numPr>
          <w:ilvl w:val="0"/>
          <w:numId w:val="239"/>
        </w:numPr>
        <w:overflowPunct w:val="0"/>
        <w:autoSpaceDE w:val="0"/>
        <w:autoSpaceDN w:val="0"/>
        <w:adjustRightInd w:val="0"/>
        <w:spacing w:line="240" w:lineRule="auto"/>
        <w:jc w:val="both"/>
        <w:textAlignment w:val="baseline"/>
        <w:rPr>
          <w:rFonts w:cs="Arial"/>
          <w:szCs w:val="20"/>
        </w:rPr>
      </w:pPr>
      <w:r w:rsidRPr="00BE636F">
        <w:rPr>
          <w:rFonts w:cs="Arial"/>
          <w:szCs w:val="20"/>
        </w:rPr>
        <w:t>samochodu skrzyniowego do transportu,</w:t>
      </w:r>
    </w:p>
    <w:p w14:paraId="511E5CAA" w14:textId="77777777" w:rsidR="00335A32" w:rsidRPr="00BE636F" w:rsidRDefault="00335A32" w:rsidP="00CF1E7D">
      <w:pPr>
        <w:numPr>
          <w:ilvl w:val="0"/>
          <w:numId w:val="239"/>
        </w:numPr>
        <w:overflowPunct w:val="0"/>
        <w:autoSpaceDE w:val="0"/>
        <w:autoSpaceDN w:val="0"/>
        <w:adjustRightInd w:val="0"/>
        <w:spacing w:line="240" w:lineRule="auto"/>
        <w:jc w:val="both"/>
        <w:textAlignment w:val="baseline"/>
        <w:rPr>
          <w:rFonts w:cs="Arial"/>
          <w:szCs w:val="20"/>
        </w:rPr>
      </w:pPr>
      <w:r w:rsidRPr="00BE636F">
        <w:rPr>
          <w:rFonts w:cs="Arial"/>
          <w:szCs w:val="20"/>
        </w:rPr>
        <w:t>sprzętu do podlewania, z ew. przewoźnymi zbiornikami do wody, ew. wiadrami, konewkami,</w:t>
      </w:r>
    </w:p>
    <w:p w14:paraId="14D5CCDD" w14:textId="77777777" w:rsidR="00335A32" w:rsidRPr="00BE636F" w:rsidRDefault="00335A32" w:rsidP="00CF1E7D">
      <w:pPr>
        <w:numPr>
          <w:ilvl w:val="0"/>
          <w:numId w:val="239"/>
        </w:numPr>
        <w:overflowPunct w:val="0"/>
        <w:autoSpaceDE w:val="0"/>
        <w:autoSpaceDN w:val="0"/>
        <w:adjustRightInd w:val="0"/>
        <w:spacing w:line="240" w:lineRule="auto"/>
        <w:jc w:val="both"/>
        <w:textAlignment w:val="baseline"/>
        <w:rPr>
          <w:rFonts w:cs="Arial"/>
          <w:szCs w:val="20"/>
        </w:rPr>
      </w:pPr>
      <w:r w:rsidRPr="00BE636F">
        <w:rPr>
          <w:rFonts w:cs="Arial"/>
          <w:szCs w:val="20"/>
        </w:rPr>
        <w:t>wyposażenia pomocniczego, drobnych narzędzi, drabin itp.,</w:t>
      </w:r>
    </w:p>
    <w:p w14:paraId="6920EB5C" w14:textId="77777777" w:rsidR="00335A32" w:rsidRPr="00BE636F" w:rsidRDefault="00335A32" w:rsidP="00335A32">
      <w:pPr>
        <w:spacing w:line="240" w:lineRule="auto"/>
        <w:rPr>
          <w:rFonts w:cs="Arial"/>
          <w:szCs w:val="20"/>
        </w:rPr>
      </w:pPr>
      <w:r w:rsidRPr="00BE636F">
        <w:rPr>
          <w:rFonts w:cs="Arial"/>
          <w:szCs w:val="20"/>
        </w:rPr>
        <w:t>b)   sprzętu do wykonania stałych konstrukcji ochronnych wokół drzew:</w:t>
      </w:r>
    </w:p>
    <w:p w14:paraId="2EF227A7" w14:textId="77777777" w:rsidR="00335A32" w:rsidRPr="00BE636F" w:rsidRDefault="00335A32" w:rsidP="00CF1E7D">
      <w:pPr>
        <w:numPr>
          <w:ilvl w:val="0"/>
          <w:numId w:val="240"/>
        </w:numPr>
        <w:overflowPunct w:val="0"/>
        <w:autoSpaceDE w:val="0"/>
        <w:autoSpaceDN w:val="0"/>
        <w:adjustRightInd w:val="0"/>
        <w:spacing w:line="240" w:lineRule="auto"/>
        <w:jc w:val="both"/>
        <w:textAlignment w:val="baseline"/>
        <w:rPr>
          <w:rFonts w:cs="Arial"/>
          <w:szCs w:val="20"/>
        </w:rPr>
      </w:pPr>
      <w:r w:rsidRPr="00BE636F">
        <w:rPr>
          <w:rFonts w:cs="Arial"/>
          <w:szCs w:val="20"/>
        </w:rPr>
        <w:t>wg ustaleń SST wymienionych w punkcie 2.2.2,</w:t>
      </w:r>
    </w:p>
    <w:p w14:paraId="1AE7F57B" w14:textId="77777777" w:rsidR="00335A32" w:rsidRPr="00BE636F" w:rsidRDefault="00335A32" w:rsidP="00335A32">
      <w:pPr>
        <w:spacing w:line="240" w:lineRule="auto"/>
        <w:rPr>
          <w:rFonts w:cs="Arial"/>
          <w:szCs w:val="20"/>
        </w:rPr>
      </w:pPr>
      <w:r w:rsidRPr="00BE636F">
        <w:rPr>
          <w:rFonts w:cs="Arial"/>
          <w:szCs w:val="20"/>
        </w:rPr>
        <w:t>c)   sprzętu do pielęgnacji drzew uszkodzonych:</w:t>
      </w:r>
    </w:p>
    <w:p w14:paraId="4FC131EB" w14:textId="77777777" w:rsidR="00335A32" w:rsidRPr="00BE636F" w:rsidRDefault="00335A32" w:rsidP="00CF1E7D">
      <w:pPr>
        <w:numPr>
          <w:ilvl w:val="0"/>
          <w:numId w:val="240"/>
        </w:numPr>
        <w:overflowPunct w:val="0"/>
        <w:autoSpaceDE w:val="0"/>
        <w:autoSpaceDN w:val="0"/>
        <w:adjustRightInd w:val="0"/>
        <w:spacing w:line="240" w:lineRule="auto"/>
        <w:jc w:val="both"/>
        <w:textAlignment w:val="baseline"/>
        <w:rPr>
          <w:rFonts w:cs="Arial"/>
          <w:szCs w:val="20"/>
        </w:rPr>
      </w:pPr>
      <w:r w:rsidRPr="00BE636F">
        <w:rPr>
          <w:rFonts w:cs="Arial"/>
          <w:szCs w:val="20"/>
        </w:rPr>
        <w:t>ręcznego sprzętu pomocniczego, jak: piły, sekatory, dłuta, noże, skrobaki,</w:t>
      </w:r>
    </w:p>
    <w:p w14:paraId="41A4F417" w14:textId="77777777" w:rsidR="00335A32" w:rsidRPr="00BE636F" w:rsidRDefault="00335A32" w:rsidP="00CF1E7D">
      <w:pPr>
        <w:numPr>
          <w:ilvl w:val="0"/>
          <w:numId w:val="240"/>
        </w:numPr>
        <w:overflowPunct w:val="0"/>
        <w:autoSpaceDE w:val="0"/>
        <w:autoSpaceDN w:val="0"/>
        <w:adjustRightInd w:val="0"/>
        <w:spacing w:line="240" w:lineRule="auto"/>
        <w:jc w:val="both"/>
        <w:textAlignment w:val="baseline"/>
        <w:rPr>
          <w:rFonts w:cs="Arial"/>
          <w:szCs w:val="20"/>
        </w:rPr>
      </w:pPr>
      <w:r w:rsidRPr="00BE636F">
        <w:rPr>
          <w:rFonts w:cs="Arial"/>
          <w:szCs w:val="20"/>
        </w:rPr>
        <w:t>ręcznego sprzętu do robót ziemnych, jak szpadle, łopaty itp.</w:t>
      </w:r>
    </w:p>
    <w:p w14:paraId="7034E986" w14:textId="77777777" w:rsidR="00335A32" w:rsidRPr="00BE636F" w:rsidRDefault="00335A32" w:rsidP="00335A32">
      <w:pPr>
        <w:spacing w:line="240" w:lineRule="auto"/>
        <w:ind w:firstLine="624"/>
        <w:rPr>
          <w:rFonts w:cs="Arial"/>
          <w:szCs w:val="20"/>
        </w:rPr>
      </w:pPr>
      <w:r w:rsidRPr="00BE636F">
        <w:rPr>
          <w:rFonts w:cs="Arial"/>
          <w:szCs w:val="20"/>
        </w:rPr>
        <w:t>Sprzęt powinien odpowiadać wymaganiom określonym w dokumentacji projektowej, ST, instrukcjach producentów lub propozycji Wykonawcy i powinien być zaakceptowany przez Inżyniera.</w:t>
      </w:r>
    </w:p>
    <w:p w14:paraId="38EFAB59" w14:textId="77777777" w:rsidR="00335A32" w:rsidRPr="00BE636F" w:rsidRDefault="00335A32" w:rsidP="00335A32">
      <w:pPr>
        <w:pStyle w:val="Nagwek1"/>
        <w:spacing w:line="240" w:lineRule="auto"/>
        <w:rPr>
          <w:rFonts w:cs="Arial"/>
          <w:szCs w:val="20"/>
        </w:rPr>
      </w:pPr>
      <w:bookmarkStart w:id="55" w:name="_Toc164048101"/>
      <w:r w:rsidRPr="00BE636F">
        <w:rPr>
          <w:rFonts w:cs="Arial"/>
          <w:szCs w:val="20"/>
        </w:rPr>
        <w:t>4. TRANSPORT</w:t>
      </w:r>
      <w:bookmarkEnd w:id="55"/>
    </w:p>
    <w:p w14:paraId="5D8D3DF0" w14:textId="77777777" w:rsidR="00335A32" w:rsidRPr="00BE636F" w:rsidRDefault="00335A32" w:rsidP="00335A32">
      <w:pPr>
        <w:pStyle w:val="Nagwek2"/>
        <w:numPr>
          <w:ilvl w:val="12"/>
          <w:numId w:val="0"/>
        </w:numPr>
        <w:spacing w:line="240" w:lineRule="auto"/>
        <w:rPr>
          <w:rFonts w:cs="Arial"/>
          <w:szCs w:val="20"/>
        </w:rPr>
      </w:pPr>
      <w:r w:rsidRPr="00BE636F">
        <w:rPr>
          <w:rFonts w:cs="Arial"/>
          <w:szCs w:val="20"/>
        </w:rPr>
        <w:t>4.1. Ogólne wymagania dotyczące transportu</w:t>
      </w:r>
    </w:p>
    <w:p w14:paraId="0E8DFA68" w14:textId="77777777" w:rsidR="00335A32" w:rsidRPr="00BE636F" w:rsidRDefault="00335A32" w:rsidP="00335A32">
      <w:pPr>
        <w:numPr>
          <w:ilvl w:val="12"/>
          <w:numId w:val="0"/>
        </w:numPr>
        <w:spacing w:line="240" w:lineRule="auto"/>
        <w:rPr>
          <w:rFonts w:cs="Arial"/>
          <w:szCs w:val="20"/>
        </w:rPr>
      </w:pPr>
      <w:r w:rsidRPr="00BE636F">
        <w:rPr>
          <w:rFonts w:cs="Arial"/>
          <w:szCs w:val="20"/>
        </w:rPr>
        <w:tab/>
        <w:t>Ogólne wymagania dotyczące transportu podano w SST D-M-00.00.00 „Wymagania ogólne” [1] pkt 4.</w:t>
      </w:r>
      <w:r w:rsidRPr="00BE636F">
        <w:rPr>
          <w:rFonts w:cs="Arial"/>
          <w:szCs w:val="20"/>
        </w:rPr>
        <w:tab/>
      </w:r>
    </w:p>
    <w:p w14:paraId="77CC0F91" w14:textId="77777777" w:rsidR="00335A32" w:rsidRPr="00BE636F" w:rsidRDefault="00335A32" w:rsidP="00335A32">
      <w:pPr>
        <w:pStyle w:val="Nagwek2"/>
        <w:spacing w:line="240" w:lineRule="auto"/>
        <w:rPr>
          <w:rFonts w:cs="Arial"/>
          <w:szCs w:val="20"/>
        </w:rPr>
      </w:pPr>
      <w:r w:rsidRPr="00BE636F">
        <w:rPr>
          <w:rFonts w:cs="Arial"/>
          <w:szCs w:val="20"/>
        </w:rPr>
        <w:t xml:space="preserve">4.2. Transport materiałów </w:t>
      </w:r>
    </w:p>
    <w:p w14:paraId="6A7E18D2" w14:textId="77777777" w:rsidR="00335A32" w:rsidRPr="00BE636F" w:rsidRDefault="00335A32" w:rsidP="00335A32">
      <w:pPr>
        <w:spacing w:line="240" w:lineRule="auto"/>
        <w:rPr>
          <w:rFonts w:cs="Arial"/>
          <w:szCs w:val="20"/>
        </w:rPr>
      </w:pPr>
      <w:r w:rsidRPr="00BE636F">
        <w:rPr>
          <w:rFonts w:cs="Arial"/>
          <w:szCs w:val="20"/>
        </w:rPr>
        <w:tab/>
        <w:t>Materiały do wykonania robót można przewozić dowolnymi środkami transportu, w warunkach zabezpieczających je przed zanieczyszczeniem, zmieszaniem z innymi materiałami i nadmiernym zawilgoceniem lub wysuszeniem.</w:t>
      </w:r>
    </w:p>
    <w:p w14:paraId="028B26E8" w14:textId="77777777" w:rsidR="00335A32" w:rsidRPr="00BE636F" w:rsidRDefault="00335A32" w:rsidP="00335A32">
      <w:pPr>
        <w:spacing w:line="240" w:lineRule="auto"/>
        <w:rPr>
          <w:rFonts w:cs="Arial"/>
          <w:szCs w:val="20"/>
        </w:rPr>
      </w:pPr>
      <w:r w:rsidRPr="00BE636F">
        <w:rPr>
          <w:rFonts w:cs="Arial"/>
          <w:szCs w:val="20"/>
        </w:rPr>
        <w:tab/>
        <w:t>Materiały do wykonania stałych konstrukcji ochronnych wokół drzew, wymagające specjalnego sposobu zabezpieczenia w czasie transportu, należy przewozić według ustaleń SST wymienionych w punkcie 2.2.2.</w:t>
      </w:r>
    </w:p>
    <w:p w14:paraId="2F603400" w14:textId="77777777" w:rsidR="00335A32" w:rsidRPr="00BE636F" w:rsidRDefault="00335A32" w:rsidP="00335A32">
      <w:pPr>
        <w:pStyle w:val="Nagwek1"/>
        <w:numPr>
          <w:ilvl w:val="12"/>
          <w:numId w:val="0"/>
        </w:numPr>
        <w:spacing w:line="240" w:lineRule="auto"/>
        <w:rPr>
          <w:rFonts w:cs="Arial"/>
          <w:szCs w:val="20"/>
        </w:rPr>
      </w:pPr>
      <w:bookmarkStart w:id="56" w:name="_Toc164048102"/>
      <w:r w:rsidRPr="00BE636F">
        <w:rPr>
          <w:rFonts w:cs="Arial"/>
          <w:szCs w:val="20"/>
        </w:rPr>
        <w:t>5. wykonanie robót</w:t>
      </w:r>
      <w:bookmarkEnd w:id="56"/>
    </w:p>
    <w:p w14:paraId="18B7B3CE" w14:textId="77777777" w:rsidR="00335A32" w:rsidRPr="00BE636F" w:rsidRDefault="00335A32" w:rsidP="00335A32">
      <w:pPr>
        <w:pStyle w:val="Nagwek2"/>
        <w:numPr>
          <w:ilvl w:val="12"/>
          <w:numId w:val="0"/>
        </w:numPr>
        <w:spacing w:line="240" w:lineRule="auto"/>
        <w:rPr>
          <w:rFonts w:cs="Arial"/>
          <w:szCs w:val="20"/>
        </w:rPr>
      </w:pPr>
      <w:r w:rsidRPr="00BE636F">
        <w:rPr>
          <w:rFonts w:cs="Arial"/>
          <w:szCs w:val="20"/>
        </w:rPr>
        <w:t>5.1. Ogólne zasady wykonania robót</w:t>
      </w:r>
    </w:p>
    <w:p w14:paraId="5A799B1C" w14:textId="77777777" w:rsidR="00335A32" w:rsidRPr="00BE636F" w:rsidRDefault="00335A32" w:rsidP="00335A32">
      <w:pPr>
        <w:numPr>
          <w:ilvl w:val="12"/>
          <w:numId w:val="0"/>
        </w:numPr>
        <w:spacing w:line="240" w:lineRule="auto"/>
        <w:rPr>
          <w:rFonts w:cs="Arial"/>
          <w:szCs w:val="20"/>
        </w:rPr>
      </w:pPr>
      <w:r w:rsidRPr="00BE636F">
        <w:rPr>
          <w:rFonts w:cs="Arial"/>
          <w:szCs w:val="20"/>
        </w:rPr>
        <w:tab/>
        <w:t>Ogólne zasady wykonania robót podano w SST D-M-00.00.00 „Wymagania ogólne” [1] pkt 5.</w:t>
      </w:r>
    </w:p>
    <w:p w14:paraId="064060A2" w14:textId="77777777" w:rsidR="00335A32" w:rsidRPr="00BE636F" w:rsidRDefault="00335A32" w:rsidP="00335A32">
      <w:pPr>
        <w:pStyle w:val="Nagwek2"/>
        <w:spacing w:line="240" w:lineRule="auto"/>
        <w:rPr>
          <w:rFonts w:cs="Arial"/>
          <w:szCs w:val="20"/>
        </w:rPr>
      </w:pPr>
      <w:r w:rsidRPr="00BE636F">
        <w:rPr>
          <w:rFonts w:cs="Arial"/>
          <w:szCs w:val="20"/>
        </w:rPr>
        <w:t>5.2. Zasady wykonywania robót</w:t>
      </w:r>
    </w:p>
    <w:p w14:paraId="6EC7EA0F" w14:textId="77777777" w:rsidR="00335A32" w:rsidRPr="00BE636F" w:rsidRDefault="00335A32" w:rsidP="00335A32">
      <w:pPr>
        <w:spacing w:line="240" w:lineRule="auto"/>
        <w:ind w:firstLine="709"/>
        <w:rPr>
          <w:rFonts w:cs="Arial"/>
          <w:szCs w:val="20"/>
        </w:rPr>
      </w:pPr>
      <w:r w:rsidRPr="00BE636F">
        <w:rPr>
          <w:rFonts w:cs="Arial"/>
          <w:szCs w:val="20"/>
        </w:rPr>
        <w:t>Sposób wykonania robót powinien być zgodny z dokumentacją projektową i ST. W przypadku braku wystarczających danych można korzystać z ustaleń podanych w niniejszej specyfikacji oraz z informacji podanych w załącznikach.</w:t>
      </w:r>
    </w:p>
    <w:p w14:paraId="066B3F08" w14:textId="77777777" w:rsidR="00335A32" w:rsidRPr="00BE636F" w:rsidRDefault="00335A32" w:rsidP="00335A32">
      <w:pPr>
        <w:spacing w:line="240" w:lineRule="auto"/>
        <w:rPr>
          <w:rFonts w:cs="Arial"/>
          <w:szCs w:val="20"/>
        </w:rPr>
      </w:pPr>
      <w:r w:rsidRPr="00BE636F">
        <w:rPr>
          <w:rFonts w:cs="Arial"/>
          <w:szCs w:val="20"/>
        </w:rPr>
        <w:tab/>
        <w:t>Podstawowe czynności przy wykonywaniu robót obejmują:</w:t>
      </w:r>
    </w:p>
    <w:p w14:paraId="5B5DD9DD" w14:textId="77777777" w:rsidR="00335A32" w:rsidRPr="00BE636F" w:rsidRDefault="00335A32" w:rsidP="00335A32">
      <w:pPr>
        <w:numPr>
          <w:ilvl w:val="0"/>
          <w:numId w:val="79"/>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roboty przygotowawcze, </w:t>
      </w:r>
    </w:p>
    <w:p w14:paraId="3A7BE9D3" w14:textId="77777777" w:rsidR="00335A32" w:rsidRPr="00BE636F" w:rsidRDefault="00335A32" w:rsidP="00335A32">
      <w:pPr>
        <w:numPr>
          <w:ilvl w:val="0"/>
          <w:numId w:val="79"/>
        </w:numPr>
        <w:overflowPunct w:val="0"/>
        <w:autoSpaceDE w:val="0"/>
        <w:autoSpaceDN w:val="0"/>
        <w:adjustRightInd w:val="0"/>
        <w:spacing w:line="240" w:lineRule="auto"/>
        <w:jc w:val="both"/>
        <w:textAlignment w:val="baseline"/>
        <w:rPr>
          <w:rFonts w:cs="Arial"/>
          <w:szCs w:val="20"/>
        </w:rPr>
      </w:pPr>
      <w:r w:rsidRPr="00BE636F">
        <w:rPr>
          <w:rFonts w:cs="Arial"/>
          <w:szCs w:val="20"/>
        </w:rPr>
        <w:t>roboty zabezpieczające drzewo lub czynności pielęgnacyjne,</w:t>
      </w:r>
    </w:p>
    <w:p w14:paraId="3EC604C4" w14:textId="77777777" w:rsidR="00335A32" w:rsidRPr="00BE636F" w:rsidRDefault="00335A32" w:rsidP="00335A32">
      <w:pPr>
        <w:numPr>
          <w:ilvl w:val="0"/>
          <w:numId w:val="79"/>
        </w:numPr>
        <w:overflowPunct w:val="0"/>
        <w:autoSpaceDE w:val="0"/>
        <w:autoSpaceDN w:val="0"/>
        <w:adjustRightInd w:val="0"/>
        <w:spacing w:line="240" w:lineRule="auto"/>
        <w:jc w:val="both"/>
        <w:textAlignment w:val="baseline"/>
        <w:rPr>
          <w:rFonts w:cs="Arial"/>
          <w:szCs w:val="20"/>
        </w:rPr>
      </w:pPr>
      <w:r w:rsidRPr="00BE636F">
        <w:rPr>
          <w:rFonts w:cs="Arial"/>
          <w:szCs w:val="20"/>
        </w:rPr>
        <w:t>roboty wykończeniowe.</w:t>
      </w:r>
    </w:p>
    <w:p w14:paraId="4DB1A71F" w14:textId="77777777" w:rsidR="00335A32" w:rsidRPr="00BE636F" w:rsidRDefault="00335A32" w:rsidP="00335A32">
      <w:pPr>
        <w:pStyle w:val="Nagwek2"/>
        <w:spacing w:line="240" w:lineRule="auto"/>
        <w:rPr>
          <w:rFonts w:cs="Arial"/>
          <w:szCs w:val="20"/>
        </w:rPr>
      </w:pPr>
      <w:r w:rsidRPr="00BE636F">
        <w:rPr>
          <w:rFonts w:cs="Arial"/>
          <w:szCs w:val="20"/>
        </w:rPr>
        <w:t>5.3. Roboty przygotowawcze</w:t>
      </w:r>
    </w:p>
    <w:p w14:paraId="33653AE3" w14:textId="77777777" w:rsidR="00335A32" w:rsidRPr="00BE636F" w:rsidRDefault="00335A32" w:rsidP="00335A32">
      <w:pPr>
        <w:spacing w:line="240" w:lineRule="auto"/>
        <w:rPr>
          <w:rFonts w:cs="Arial"/>
          <w:szCs w:val="20"/>
        </w:rPr>
      </w:pPr>
      <w:r w:rsidRPr="00BE636F">
        <w:rPr>
          <w:rFonts w:cs="Arial"/>
          <w:szCs w:val="20"/>
        </w:rPr>
        <w:tab/>
        <w:t>Przed przystąpieniem do robót należy, na podstawie dokumentacji projektowej,   ST lub wskazań Inżyniera:</w:t>
      </w:r>
    </w:p>
    <w:p w14:paraId="4D90DC26" w14:textId="77777777" w:rsidR="00335A32" w:rsidRPr="00BE636F" w:rsidRDefault="00335A32" w:rsidP="00335A32">
      <w:pPr>
        <w:numPr>
          <w:ilvl w:val="0"/>
          <w:numId w:val="80"/>
        </w:numPr>
        <w:overflowPunct w:val="0"/>
        <w:autoSpaceDE w:val="0"/>
        <w:autoSpaceDN w:val="0"/>
        <w:adjustRightInd w:val="0"/>
        <w:spacing w:line="240" w:lineRule="auto"/>
        <w:jc w:val="both"/>
        <w:textAlignment w:val="baseline"/>
        <w:rPr>
          <w:rFonts w:cs="Arial"/>
          <w:szCs w:val="20"/>
        </w:rPr>
      </w:pPr>
      <w:r w:rsidRPr="00BE636F">
        <w:rPr>
          <w:rFonts w:cs="Arial"/>
          <w:szCs w:val="20"/>
        </w:rPr>
        <w:t>ustalić lokalizację drzewa podlegającego zabezpieczeniu,</w:t>
      </w:r>
    </w:p>
    <w:p w14:paraId="495A74CC" w14:textId="77777777" w:rsidR="00335A32" w:rsidRPr="00BE636F" w:rsidRDefault="00335A32" w:rsidP="00335A32">
      <w:pPr>
        <w:numPr>
          <w:ilvl w:val="0"/>
          <w:numId w:val="80"/>
        </w:numPr>
        <w:overflowPunct w:val="0"/>
        <w:autoSpaceDE w:val="0"/>
        <w:autoSpaceDN w:val="0"/>
        <w:adjustRightInd w:val="0"/>
        <w:spacing w:line="240" w:lineRule="auto"/>
        <w:jc w:val="both"/>
        <w:textAlignment w:val="baseline"/>
        <w:rPr>
          <w:rFonts w:cs="Arial"/>
          <w:szCs w:val="20"/>
        </w:rPr>
      </w:pPr>
      <w:r w:rsidRPr="00BE636F">
        <w:rPr>
          <w:rFonts w:cs="Arial"/>
          <w:szCs w:val="20"/>
        </w:rPr>
        <w:t>szczegółowo wytyczyć roboty z danymi wysokościowymi przy stałych obiektach zabezpieczających drzewa,</w:t>
      </w:r>
    </w:p>
    <w:p w14:paraId="2E3F8B87" w14:textId="77777777" w:rsidR="00335A32" w:rsidRPr="00BE636F" w:rsidRDefault="00335A32" w:rsidP="00335A32">
      <w:pPr>
        <w:numPr>
          <w:ilvl w:val="0"/>
          <w:numId w:val="80"/>
        </w:numPr>
        <w:overflowPunct w:val="0"/>
        <w:autoSpaceDE w:val="0"/>
        <w:autoSpaceDN w:val="0"/>
        <w:adjustRightInd w:val="0"/>
        <w:spacing w:line="240" w:lineRule="auto"/>
        <w:jc w:val="both"/>
        <w:textAlignment w:val="baseline"/>
        <w:rPr>
          <w:rFonts w:cs="Arial"/>
          <w:szCs w:val="20"/>
        </w:rPr>
      </w:pPr>
      <w:r w:rsidRPr="00BE636F">
        <w:rPr>
          <w:rFonts w:cs="Arial"/>
          <w:szCs w:val="20"/>
        </w:rPr>
        <w:t>usunąć przeszkody, np. drzewa, krzaki, elementy ogrodzeń itd.</w:t>
      </w:r>
    </w:p>
    <w:p w14:paraId="56D89694" w14:textId="77777777" w:rsidR="00335A32" w:rsidRPr="00BE636F" w:rsidRDefault="00335A32" w:rsidP="00335A32">
      <w:pPr>
        <w:spacing w:line="240" w:lineRule="auto"/>
        <w:ind w:firstLine="709"/>
        <w:rPr>
          <w:rFonts w:cs="Arial"/>
          <w:szCs w:val="20"/>
        </w:rPr>
      </w:pPr>
      <w:r w:rsidRPr="00BE636F">
        <w:rPr>
          <w:rFonts w:cs="Arial"/>
          <w:szCs w:val="20"/>
        </w:rPr>
        <w:t>Zaleca się korzystanie z ustaleń SST D-01.00.00 [2] w zakresie niezbędnym do wykonania robót przygotowawczych oraz z ustaleń SST D-02.00.00 [3] przy występowaniu robót ziemnych.</w:t>
      </w:r>
    </w:p>
    <w:p w14:paraId="4E15921E" w14:textId="77777777" w:rsidR="00335A32" w:rsidRPr="00BE636F" w:rsidRDefault="00335A32" w:rsidP="00335A32">
      <w:pPr>
        <w:pStyle w:val="Nagwek2"/>
        <w:spacing w:line="240" w:lineRule="auto"/>
        <w:rPr>
          <w:rFonts w:cs="Arial"/>
          <w:szCs w:val="20"/>
        </w:rPr>
      </w:pPr>
      <w:r w:rsidRPr="00BE636F">
        <w:rPr>
          <w:rFonts w:cs="Arial"/>
          <w:szCs w:val="20"/>
        </w:rPr>
        <w:t>5.4. Tymczasowe zabezpieczenie drzew, na okres budowy</w:t>
      </w:r>
    </w:p>
    <w:p w14:paraId="2C936762" w14:textId="77777777" w:rsidR="00335A32" w:rsidRPr="00BE636F" w:rsidRDefault="00335A32" w:rsidP="00335A32">
      <w:pPr>
        <w:spacing w:line="240" w:lineRule="auto"/>
        <w:rPr>
          <w:rFonts w:cs="Arial"/>
          <w:szCs w:val="20"/>
        </w:rPr>
      </w:pPr>
      <w:r w:rsidRPr="00BE636F">
        <w:rPr>
          <w:rFonts w:cs="Arial"/>
          <w:szCs w:val="20"/>
        </w:rPr>
        <w:tab/>
        <w:t>Tymczasowe zabezpieczenie drzew, które pozostaną w terenie po zakończeniu robót drogowych , a są narażone na uszkodzenia w czasie robót budowlanych, wymaga wykonania wszystkich czynności:</w:t>
      </w:r>
    </w:p>
    <w:p w14:paraId="2DF1F651" w14:textId="77777777" w:rsidR="00335A32" w:rsidRPr="00BE636F" w:rsidRDefault="00335A32" w:rsidP="00CF1E7D">
      <w:pPr>
        <w:numPr>
          <w:ilvl w:val="0"/>
          <w:numId w:val="241"/>
        </w:numPr>
        <w:overflowPunct w:val="0"/>
        <w:autoSpaceDE w:val="0"/>
        <w:autoSpaceDN w:val="0"/>
        <w:adjustRightInd w:val="0"/>
        <w:spacing w:line="240" w:lineRule="auto"/>
        <w:jc w:val="both"/>
        <w:textAlignment w:val="baseline"/>
        <w:rPr>
          <w:rFonts w:cs="Arial"/>
          <w:szCs w:val="20"/>
        </w:rPr>
      </w:pPr>
      <w:r w:rsidRPr="00BE636F">
        <w:rPr>
          <w:rFonts w:cs="Arial"/>
          <w:szCs w:val="20"/>
        </w:rPr>
        <w:t>w sposób uniemożliwiający uszkodzenie mechaniczne drzew,</w:t>
      </w:r>
    </w:p>
    <w:p w14:paraId="3683417E" w14:textId="77777777" w:rsidR="00335A32" w:rsidRPr="00BE636F" w:rsidRDefault="00335A32" w:rsidP="00CF1E7D">
      <w:pPr>
        <w:numPr>
          <w:ilvl w:val="0"/>
          <w:numId w:val="241"/>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tylko ręcznie w zasięgu korony drzewa i w odległości co najmniej </w:t>
      </w:r>
      <w:smartTag w:uri="urn:schemas-microsoft-com:office:smarttags" w:element="metricconverter">
        <w:smartTagPr>
          <w:attr w:name="ProductID" w:val="2 m"/>
        </w:smartTagPr>
        <w:r w:rsidRPr="00BE636F">
          <w:rPr>
            <w:rFonts w:cs="Arial"/>
            <w:szCs w:val="20"/>
          </w:rPr>
          <w:t>2 m</w:t>
        </w:r>
      </w:smartTag>
      <w:r w:rsidRPr="00BE636F">
        <w:rPr>
          <w:rFonts w:cs="Arial"/>
          <w:szCs w:val="20"/>
        </w:rPr>
        <w:t xml:space="preserve"> na zewnątrz od obrysu korony drzewa, przy czym wyjątkowe zastosowanie sprzętu mechanicznego wymaga zgody Inżyniera.</w:t>
      </w:r>
    </w:p>
    <w:p w14:paraId="64743DDC" w14:textId="77777777" w:rsidR="00335A32" w:rsidRPr="00BE636F" w:rsidRDefault="00335A32" w:rsidP="00335A32">
      <w:pPr>
        <w:spacing w:line="240" w:lineRule="auto"/>
        <w:ind w:firstLine="709"/>
        <w:rPr>
          <w:rFonts w:cs="Arial"/>
          <w:szCs w:val="20"/>
        </w:rPr>
      </w:pPr>
      <w:r w:rsidRPr="00BE636F">
        <w:rPr>
          <w:rFonts w:cs="Arial"/>
          <w:szCs w:val="20"/>
        </w:rPr>
        <w:t xml:space="preserve">W zasięgu korony drzewa i w odległości co najmniej </w:t>
      </w:r>
      <w:smartTag w:uri="urn:schemas-microsoft-com:office:smarttags" w:element="metricconverter">
        <w:smartTagPr>
          <w:attr w:name="ProductID" w:val="2 m"/>
        </w:smartTagPr>
        <w:r w:rsidRPr="00BE636F">
          <w:rPr>
            <w:rFonts w:cs="Arial"/>
            <w:szCs w:val="20"/>
          </w:rPr>
          <w:t>2 m</w:t>
        </w:r>
      </w:smartTag>
      <w:r w:rsidRPr="00BE636F">
        <w:rPr>
          <w:rFonts w:cs="Arial"/>
          <w:szCs w:val="20"/>
        </w:rPr>
        <w:t xml:space="preserve"> na zewnątrz od obrysu korony drzewa (lub w strefie 4 × </w:t>
      </w:r>
      <w:smartTag w:uri="urn:schemas-microsoft-com:office:smarttags" w:element="metricconverter">
        <w:smartTagPr>
          <w:attr w:name="ProductID" w:val="4 m"/>
        </w:smartTagPr>
        <w:r w:rsidRPr="00BE636F">
          <w:rPr>
            <w:rFonts w:cs="Arial"/>
            <w:szCs w:val="20"/>
          </w:rPr>
          <w:t>4 m</w:t>
        </w:r>
      </w:smartTag>
      <w:r w:rsidRPr="00BE636F">
        <w:rPr>
          <w:rFonts w:cs="Arial"/>
          <w:szCs w:val="20"/>
        </w:rPr>
        <w:t xml:space="preserve"> wokół drzewa) nie powinno dopuścić się do:</w:t>
      </w:r>
    </w:p>
    <w:p w14:paraId="5A761EE0" w14:textId="77777777" w:rsidR="00335A32" w:rsidRPr="00BE636F" w:rsidRDefault="00335A32" w:rsidP="00CF1E7D">
      <w:pPr>
        <w:numPr>
          <w:ilvl w:val="0"/>
          <w:numId w:val="242"/>
        </w:numPr>
        <w:overflowPunct w:val="0"/>
        <w:autoSpaceDE w:val="0"/>
        <w:autoSpaceDN w:val="0"/>
        <w:adjustRightInd w:val="0"/>
        <w:spacing w:line="240" w:lineRule="auto"/>
        <w:jc w:val="both"/>
        <w:textAlignment w:val="baseline"/>
        <w:rPr>
          <w:rFonts w:cs="Arial"/>
          <w:szCs w:val="20"/>
        </w:rPr>
      </w:pPr>
      <w:r w:rsidRPr="00BE636F">
        <w:rPr>
          <w:rFonts w:cs="Arial"/>
          <w:szCs w:val="20"/>
        </w:rPr>
        <w:t>wykonania placów składowych i dróg dojazdowych,</w:t>
      </w:r>
    </w:p>
    <w:p w14:paraId="008B5E2E" w14:textId="77777777" w:rsidR="00335A32" w:rsidRPr="00BE636F" w:rsidRDefault="00335A32" w:rsidP="00CF1E7D">
      <w:pPr>
        <w:numPr>
          <w:ilvl w:val="0"/>
          <w:numId w:val="242"/>
        </w:numPr>
        <w:overflowPunct w:val="0"/>
        <w:autoSpaceDE w:val="0"/>
        <w:autoSpaceDN w:val="0"/>
        <w:adjustRightInd w:val="0"/>
        <w:spacing w:line="240" w:lineRule="auto"/>
        <w:jc w:val="both"/>
        <w:textAlignment w:val="baseline"/>
        <w:rPr>
          <w:rFonts w:cs="Arial"/>
          <w:szCs w:val="20"/>
        </w:rPr>
      </w:pPr>
      <w:r w:rsidRPr="00BE636F">
        <w:rPr>
          <w:rFonts w:cs="Arial"/>
          <w:szCs w:val="20"/>
        </w:rPr>
        <w:t>poruszania się sprzętu mechanicznego,</w:t>
      </w:r>
    </w:p>
    <w:p w14:paraId="7DA8C647" w14:textId="77777777" w:rsidR="00335A32" w:rsidRPr="00BE636F" w:rsidRDefault="00335A32" w:rsidP="00CF1E7D">
      <w:pPr>
        <w:numPr>
          <w:ilvl w:val="0"/>
          <w:numId w:val="242"/>
        </w:numPr>
        <w:overflowPunct w:val="0"/>
        <w:autoSpaceDE w:val="0"/>
        <w:autoSpaceDN w:val="0"/>
        <w:adjustRightInd w:val="0"/>
        <w:spacing w:line="240" w:lineRule="auto"/>
        <w:jc w:val="both"/>
        <w:textAlignment w:val="baseline"/>
        <w:rPr>
          <w:rFonts w:cs="Arial"/>
          <w:szCs w:val="20"/>
        </w:rPr>
      </w:pPr>
      <w:r w:rsidRPr="00BE636F">
        <w:rPr>
          <w:rFonts w:cs="Arial"/>
          <w:szCs w:val="20"/>
        </w:rPr>
        <w:t>składowania materiałów budowlanych,</w:t>
      </w:r>
    </w:p>
    <w:p w14:paraId="4ECB7B25" w14:textId="77777777" w:rsidR="00335A32" w:rsidRPr="00BE636F" w:rsidRDefault="00335A32" w:rsidP="00CF1E7D">
      <w:pPr>
        <w:numPr>
          <w:ilvl w:val="0"/>
          <w:numId w:val="242"/>
        </w:numPr>
        <w:overflowPunct w:val="0"/>
        <w:autoSpaceDE w:val="0"/>
        <w:autoSpaceDN w:val="0"/>
        <w:adjustRightInd w:val="0"/>
        <w:spacing w:line="240" w:lineRule="auto"/>
        <w:jc w:val="both"/>
        <w:textAlignment w:val="baseline"/>
        <w:rPr>
          <w:rFonts w:cs="Arial"/>
          <w:szCs w:val="20"/>
        </w:rPr>
      </w:pPr>
      <w:r w:rsidRPr="00BE636F">
        <w:rPr>
          <w:rFonts w:cs="Arial"/>
          <w:szCs w:val="20"/>
        </w:rPr>
        <w:t>zmian poziomu gruntu.</w:t>
      </w:r>
    </w:p>
    <w:p w14:paraId="6F40084A" w14:textId="77777777" w:rsidR="00335A32" w:rsidRPr="00BE636F" w:rsidRDefault="00335A32" w:rsidP="00335A32">
      <w:pPr>
        <w:spacing w:line="240" w:lineRule="auto"/>
        <w:ind w:firstLine="709"/>
        <w:rPr>
          <w:rFonts w:cs="Arial"/>
          <w:szCs w:val="20"/>
        </w:rPr>
      </w:pPr>
      <w:r w:rsidRPr="00BE636F">
        <w:rPr>
          <w:rFonts w:cs="Arial"/>
          <w:szCs w:val="20"/>
        </w:rPr>
        <w:t xml:space="preserve">Zaleca się, aby w strefie do </w:t>
      </w:r>
      <w:smartTag w:uri="urn:schemas-microsoft-com:office:smarttags" w:element="metricconverter">
        <w:smartTagPr>
          <w:attr w:name="ProductID" w:val="10 m"/>
        </w:smartTagPr>
        <w:r w:rsidRPr="00BE636F">
          <w:rPr>
            <w:rFonts w:cs="Arial"/>
            <w:szCs w:val="20"/>
          </w:rPr>
          <w:t>10 m</w:t>
        </w:r>
      </w:smartTag>
      <w:r w:rsidRPr="00BE636F">
        <w:rPr>
          <w:rFonts w:cs="Arial"/>
          <w:szCs w:val="20"/>
        </w:rPr>
        <w:t xml:space="preserve"> od pnia drzewa nie składować cementu, kruszywa, olejów, paliw i lepiszcz.</w:t>
      </w:r>
    </w:p>
    <w:p w14:paraId="068AF486" w14:textId="77777777" w:rsidR="00335A32" w:rsidRPr="00BE636F" w:rsidRDefault="00335A32" w:rsidP="00335A32">
      <w:pPr>
        <w:spacing w:line="240" w:lineRule="auto"/>
        <w:ind w:firstLine="709"/>
        <w:rPr>
          <w:rFonts w:cs="Arial"/>
          <w:szCs w:val="20"/>
        </w:rPr>
      </w:pPr>
      <w:r w:rsidRPr="00BE636F">
        <w:rPr>
          <w:rFonts w:cs="Arial"/>
          <w:szCs w:val="20"/>
        </w:rPr>
        <w:lastRenderedPageBreak/>
        <w:t>Zaleca się, aby roboty ziemne w obrębie korzeni drzewa nie były prowadzone w okresie wegetacji roślin, a szczególnie w okresie letnim. Najkorzystniejszym okresem do wykonania tych robót są miesiące od października do kwietnia.</w:t>
      </w:r>
    </w:p>
    <w:p w14:paraId="1BD3730D" w14:textId="77777777" w:rsidR="00335A32" w:rsidRPr="00BE636F" w:rsidRDefault="00335A32" w:rsidP="00335A32">
      <w:pPr>
        <w:spacing w:line="240" w:lineRule="auto"/>
        <w:ind w:firstLine="709"/>
        <w:rPr>
          <w:rFonts w:cs="Arial"/>
          <w:szCs w:val="20"/>
        </w:rPr>
      </w:pPr>
      <w:r w:rsidRPr="00BE636F">
        <w:rPr>
          <w:rFonts w:cs="Arial"/>
          <w:szCs w:val="20"/>
        </w:rPr>
        <w:t xml:space="preserve">Zaleca się, aby czasowe wykopy instalacyjne wykonywane w strefie korzeniowej drzew były wykonywane wyłącznie ręcznie. Za deskowaniem czasowego wąskiego wykopu powinno się wykonać osłonę korzeni w formie szczeliny o szerokości 0,3 ÷ </w:t>
      </w:r>
      <w:smartTag w:uri="urn:schemas-microsoft-com:office:smarttags" w:element="metricconverter">
        <w:smartTagPr>
          <w:attr w:name="ProductID" w:val="0,5 m"/>
        </w:smartTagPr>
        <w:r w:rsidRPr="00BE636F">
          <w:rPr>
            <w:rFonts w:cs="Arial"/>
            <w:szCs w:val="20"/>
          </w:rPr>
          <w:t>0,5 m</w:t>
        </w:r>
      </w:smartTag>
      <w:r w:rsidRPr="00BE636F">
        <w:rPr>
          <w:rFonts w:cs="Arial"/>
          <w:szCs w:val="20"/>
        </w:rPr>
        <w:t xml:space="preserve">  i głębokości 1,5 ÷ </w:t>
      </w:r>
      <w:smartTag w:uri="urn:schemas-microsoft-com:office:smarttags" w:element="metricconverter">
        <w:smartTagPr>
          <w:attr w:name="ProductID" w:val="2,0 m"/>
        </w:smartTagPr>
        <w:r w:rsidRPr="00BE636F">
          <w:rPr>
            <w:rFonts w:cs="Arial"/>
            <w:szCs w:val="20"/>
          </w:rPr>
          <w:t>2,0 m</w:t>
        </w:r>
      </w:smartTag>
      <w:r w:rsidRPr="00BE636F">
        <w:rPr>
          <w:rFonts w:cs="Arial"/>
          <w:szCs w:val="20"/>
        </w:rPr>
        <w:t xml:space="preserve">  wypełnionej kompostem i torfem. Wskazane jest wykonanie takiej osłony rok wcześniej niż właściwy wykop. Z osłon takich można zrezygnować pod warunkiem wykonania robót instalacyjnych poza okresem wegetacji roślin (patrz rys. 1).</w:t>
      </w:r>
    </w:p>
    <w:p w14:paraId="19F1804F" w14:textId="77777777" w:rsidR="00335A32" w:rsidRPr="00BE636F" w:rsidRDefault="00335A32" w:rsidP="00335A32">
      <w:pPr>
        <w:spacing w:line="240" w:lineRule="auto"/>
        <w:ind w:firstLine="709"/>
        <w:rPr>
          <w:rFonts w:cs="Arial"/>
          <w:szCs w:val="20"/>
        </w:rPr>
      </w:pPr>
      <w:r w:rsidRPr="00BE636F">
        <w:rPr>
          <w:rFonts w:cs="Arial"/>
          <w:szCs w:val="20"/>
        </w:rPr>
        <w:t>Zabezpieczenie drzewa na okres budowy drogi powinno obejmować:</w:t>
      </w:r>
    </w:p>
    <w:p w14:paraId="60D40E38" w14:textId="77777777" w:rsidR="00335A32" w:rsidRPr="00BE636F" w:rsidRDefault="00335A32" w:rsidP="00CF1E7D">
      <w:pPr>
        <w:numPr>
          <w:ilvl w:val="0"/>
          <w:numId w:val="243"/>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owinięcie pnia matami słomianymi (np. w ilości </w:t>
      </w:r>
      <w:smartTag w:uri="urn:schemas-microsoft-com:office:smarttags" w:element="metricconverter">
        <w:smartTagPr>
          <w:attr w:name="ProductID" w:val="4 m2"/>
        </w:smartTagPr>
        <w:r w:rsidRPr="00BE636F">
          <w:rPr>
            <w:rFonts w:cs="Arial"/>
            <w:szCs w:val="20"/>
          </w:rPr>
          <w:t>4 m</w:t>
        </w:r>
        <w:r w:rsidRPr="00BE636F">
          <w:rPr>
            <w:rFonts w:cs="Arial"/>
            <w:szCs w:val="20"/>
            <w:vertAlign w:val="superscript"/>
          </w:rPr>
          <w:t>2</w:t>
        </w:r>
      </w:smartTag>
      <w:r w:rsidRPr="00BE636F">
        <w:rPr>
          <w:rFonts w:cs="Arial"/>
          <w:szCs w:val="20"/>
        </w:rPr>
        <w:t xml:space="preserve"> na jeden pień) lub zużytymi oponami samochodowymi,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14:paraId="42326B09" w14:textId="77777777" w:rsidR="00335A32" w:rsidRPr="00BE636F" w:rsidRDefault="00335A32" w:rsidP="00CF1E7D">
      <w:pPr>
        <w:numPr>
          <w:ilvl w:val="0"/>
          <w:numId w:val="243"/>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przykrycie odkrytych korzeni matami słomianymi w ilości około </w:t>
      </w:r>
      <w:smartTag w:uri="urn:schemas-microsoft-com:office:smarttags" w:element="metricconverter">
        <w:smartTagPr>
          <w:attr w:name="ProductID" w:val="4 m2"/>
        </w:smartTagPr>
        <w:r w:rsidRPr="00BE636F">
          <w:rPr>
            <w:rFonts w:cs="Arial"/>
            <w:szCs w:val="20"/>
          </w:rPr>
          <w:t>4 m</w:t>
        </w:r>
        <w:r w:rsidRPr="00BE636F">
          <w:rPr>
            <w:rFonts w:cs="Arial"/>
            <w:szCs w:val="20"/>
            <w:vertAlign w:val="superscript"/>
          </w:rPr>
          <w:t>2</w:t>
        </w:r>
      </w:smartTag>
      <w:r w:rsidRPr="00BE636F">
        <w:rPr>
          <w:rFonts w:cs="Arial"/>
          <w:szCs w:val="20"/>
        </w:rPr>
        <w:t xml:space="preserve"> na jedno drzewo,</w:t>
      </w:r>
    </w:p>
    <w:p w14:paraId="2341194E" w14:textId="77777777" w:rsidR="00335A32" w:rsidRPr="00BE636F" w:rsidRDefault="00335A32" w:rsidP="00CF1E7D">
      <w:pPr>
        <w:numPr>
          <w:ilvl w:val="0"/>
          <w:numId w:val="243"/>
        </w:numPr>
        <w:overflowPunct w:val="0"/>
        <w:autoSpaceDE w:val="0"/>
        <w:autoSpaceDN w:val="0"/>
        <w:adjustRightInd w:val="0"/>
        <w:spacing w:line="240" w:lineRule="auto"/>
        <w:jc w:val="both"/>
        <w:textAlignment w:val="baseline"/>
        <w:rPr>
          <w:rFonts w:cs="Arial"/>
          <w:szCs w:val="20"/>
        </w:rPr>
      </w:pPr>
      <w:r w:rsidRPr="00BE636F">
        <w:rPr>
          <w:rFonts w:cs="Arial"/>
          <w:szCs w:val="20"/>
        </w:rPr>
        <w:t>podlewanie drzewa wodą w ilości około 20 dm</w:t>
      </w:r>
      <w:r w:rsidRPr="00BE636F">
        <w:rPr>
          <w:rFonts w:cs="Arial"/>
          <w:szCs w:val="20"/>
          <w:vertAlign w:val="superscript"/>
        </w:rPr>
        <w:t>3</w:t>
      </w:r>
      <w:r w:rsidRPr="00BE636F">
        <w:rPr>
          <w:rFonts w:cs="Arial"/>
          <w:szCs w:val="20"/>
        </w:rPr>
        <w:t xml:space="preserve"> na jedno drzewo przez cały okres trwania robót, w zależności od warunków atmosferycznych oraz wskazań Inżyniera.</w:t>
      </w:r>
    </w:p>
    <w:p w14:paraId="1374816E" w14:textId="77777777" w:rsidR="00335A32" w:rsidRPr="00BE636F" w:rsidRDefault="00335A32" w:rsidP="00335A32">
      <w:pPr>
        <w:spacing w:line="240" w:lineRule="auto"/>
        <w:ind w:firstLine="709"/>
        <w:rPr>
          <w:rFonts w:cs="Arial"/>
          <w:szCs w:val="20"/>
        </w:rPr>
      </w:pPr>
      <w:r w:rsidRPr="00BE636F">
        <w:rPr>
          <w:rFonts w:cs="Arial"/>
          <w:szCs w:val="20"/>
        </w:rPr>
        <w:t>Po zakończeniu robót należy wykonać demontaż zabezpieczenia drzewa, obejmujący:</w:t>
      </w:r>
    </w:p>
    <w:p w14:paraId="7796265C" w14:textId="77777777" w:rsidR="00335A32" w:rsidRPr="00BE636F" w:rsidRDefault="00335A32" w:rsidP="00CF1E7D">
      <w:pPr>
        <w:numPr>
          <w:ilvl w:val="0"/>
          <w:numId w:val="244"/>
        </w:numPr>
        <w:overflowPunct w:val="0"/>
        <w:autoSpaceDE w:val="0"/>
        <w:autoSpaceDN w:val="0"/>
        <w:adjustRightInd w:val="0"/>
        <w:spacing w:line="240" w:lineRule="auto"/>
        <w:jc w:val="both"/>
        <w:textAlignment w:val="baseline"/>
        <w:rPr>
          <w:rFonts w:cs="Arial"/>
          <w:szCs w:val="20"/>
        </w:rPr>
      </w:pPr>
      <w:r w:rsidRPr="00BE636F">
        <w:rPr>
          <w:rFonts w:cs="Arial"/>
          <w:szCs w:val="20"/>
        </w:rPr>
        <w:t>rozebranie konstrukcji zabezpieczającej drzewo,</w:t>
      </w:r>
    </w:p>
    <w:p w14:paraId="564A899D" w14:textId="77777777" w:rsidR="00335A32" w:rsidRPr="00BE636F" w:rsidRDefault="00335A32" w:rsidP="00CF1E7D">
      <w:pPr>
        <w:numPr>
          <w:ilvl w:val="0"/>
          <w:numId w:val="244"/>
        </w:numPr>
        <w:overflowPunct w:val="0"/>
        <w:autoSpaceDE w:val="0"/>
        <w:autoSpaceDN w:val="0"/>
        <w:adjustRightInd w:val="0"/>
        <w:spacing w:line="240" w:lineRule="auto"/>
        <w:jc w:val="both"/>
        <w:textAlignment w:val="baseline"/>
        <w:rPr>
          <w:rFonts w:cs="Arial"/>
          <w:szCs w:val="20"/>
        </w:rPr>
      </w:pPr>
      <w:r w:rsidRPr="00BE636F">
        <w:rPr>
          <w:rFonts w:cs="Arial"/>
          <w:szCs w:val="20"/>
        </w:rPr>
        <w:t>usunięcie materiałów zabezpieczających,</w:t>
      </w:r>
    </w:p>
    <w:p w14:paraId="048E1EFC" w14:textId="77777777" w:rsidR="00335A32" w:rsidRPr="00BE636F" w:rsidRDefault="00335A32" w:rsidP="00CF1E7D">
      <w:pPr>
        <w:numPr>
          <w:ilvl w:val="0"/>
          <w:numId w:val="244"/>
        </w:numPr>
        <w:overflowPunct w:val="0"/>
        <w:autoSpaceDE w:val="0"/>
        <w:autoSpaceDN w:val="0"/>
        <w:adjustRightInd w:val="0"/>
        <w:spacing w:line="240" w:lineRule="auto"/>
        <w:jc w:val="both"/>
        <w:textAlignment w:val="baseline"/>
        <w:rPr>
          <w:rFonts w:cs="Arial"/>
          <w:szCs w:val="20"/>
        </w:rPr>
      </w:pPr>
      <w:r w:rsidRPr="00BE636F">
        <w:rPr>
          <w:rFonts w:cs="Arial"/>
          <w:szCs w:val="20"/>
        </w:rPr>
        <w:t>lekkie spulchnienie ziemi w strefie korzeniowej drzewa.</w:t>
      </w:r>
    </w:p>
    <w:p w14:paraId="5B475FF2" w14:textId="77777777" w:rsidR="00335A32" w:rsidRPr="00BE636F" w:rsidRDefault="00335A32" w:rsidP="00335A32">
      <w:pPr>
        <w:pStyle w:val="Nagwek2"/>
        <w:spacing w:line="240" w:lineRule="auto"/>
        <w:rPr>
          <w:rFonts w:cs="Arial"/>
          <w:szCs w:val="20"/>
        </w:rPr>
      </w:pPr>
      <w:r w:rsidRPr="00BE636F">
        <w:rPr>
          <w:rFonts w:cs="Arial"/>
          <w:szCs w:val="20"/>
        </w:rPr>
        <w:t>5.5. Stałe zabezpieczenie drzew</w:t>
      </w:r>
    </w:p>
    <w:p w14:paraId="5C389BCE" w14:textId="77777777" w:rsidR="00335A32" w:rsidRPr="00BE636F" w:rsidRDefault="00335A32" w:rsidP="00335A32">
      <w:pPr>
        <w:spacing w:line="240" w:lineRule="auto"/>
        <w:rPr>
          <w:rFonts w:cs="Arial"/>
          <w:szCs w:val="20"/>
        </w:rPr>
      </w:pPr>
      <w:r w:rsidRPr="00BE636F">
        <w:rPr>
          <w:rFonts w:cs="Arial"/>
          <w:szCs w:val="20"/>
        </w:rPr>
        <w:tab/>
        <w:t>Drzewa, które dokumentacja projektowa przewiduje pozostawić po zakończeniu drogowych robót budowlanych, mogą podlegać:</w:t>
      </w:r>
    </w:p>
    <w:p w14:paraId="02BE2653" w14:textId="77777777" w:rsidR="00335A32" w:rsidRPr="00BE636F" w:rsidRDefault="00335A32" w:rsidP="00CF1E7D">
      <w:pPr>
        <w:numPr>
          <w:ilvl w:val="0"/>
          <w:numId w:val="245"/>
        </w:numPr>
        <w:overflowPunct w:val="0"/>
        <w:autoSpaceDE w:val="0"/>
        <w:autoSpaceDN w:val="0"/>
        <w:adjustRightInd w:val="0"/>
        <w:spacing w:line="240" w:lineRule="auto"/>
        <w:jc w:val="both"/>
        <w:textAlignment w:val="baseline"/>
        <w:rPr>
          <w:rFonts w:cs="Arial"/>
          <w:szCs w:val="20"/>
        </w:rPr>
      </w:pPr>
      <w:r w:rsidRPr="00BE636F">
        <w:rPr>
          <w:rFonts w:cs="Arial"/>
          <w:szCs w:val="20"/>
        </w:rPr>
        <w:t>tymczasowemu zabezpieczeniu, według punktu 5.4, jeśli poziom terenu wokół drzewa nie zmieni się,</w:t>
      </w:r>
    </w:p>
    <w:p w14:paraId="53D0F4A0" w14:textId="77777777" w:rsidR="00335A32" w:rsidRPr="00BE636F" w:rsidRDefault="00335A32" w:rsidP="00CF1E7D">
      <w:pPr>
        <w:numPr>
          <w:ilvl w:val="0"/>
          <w:numId w:val="245"/>
        </w:numPr>
        <w:overflowPunct w:val="0"/>
        <w:autoSpaceDE w:val="0"/>
        <w:autoSpaceDN w:val="0"/>
        <w:adjustRightInd w:val="0"/>
        <w:spacing w:line="240" w:lineRule="auto"/>
        <w:jc w:val="both"/>
        <w:textAlignment w:val="baseline"/>
        <w:rPr>
          <w:rFonts w:cs="Arial"/>
          <w:szCs w:val="20"/>
        </w:rPr>
      </w:pPr>
      <w:r w:rsidRPr="00BE636F">
        <w:rPr>
          <w:rFonts w:cs="Arial"/>
          <w:szCs w:val="20"/>
        </w:rPr>
        <w:t>niewielkim robotom ziemnym, przy nieznacznym obniżeniu lub podwyższeniu terenu wokół drzewa,</w:t>
      </w:r>
    </w:p>
    <w:p w14:paraId="124579FE" w14:textId="77777777" w:rsidR="00335A32" w:rsidRPr="00BE636F" w:rsidRDefault="00335A32" w:rsidP="00CF1E7D">
      <w:pPr>
        <w:numPr>
          <w:ilvl w:val="0"/>
          <w:numId w:val="245"/>
        </w:numPr>
        <w:overflowPunct w:val="0"/>
        <w:autoSpaceDE w:val="0"/>
        <w:autoSpaceDN w:val="0"/>
        <w:adjustRightInd w:val="0"/>
        <w:spacing w:line="240" w:lineRule="auto"/>
        <w:jc w:val="both"/>
        <w:textAlignment w:val="baseline"/>
        <w:rPr>
          <w:rFonts w:cs="Arial"/>
          <w:szCs w:val="20"/>
        </w:rPr>
      </w:pPr>
      <w:r w:rsidRPr="00BE636F">
        <w:rPr>
          <w:rFonts w:cs="Arial"/>
          <w:szCs w:val="20"/>
        </w:rPr>
        <w:t>obudowie stałymi konstrukcjami ochronnymi wokół drzewa, przy większych różnicach pomiędzy terenem istniejącym a projektowanym.</w:t>
      </w:r>
    </w:p>
    <w:p w14:paraId="0E65C3EB" w14:textId="77777777" w:rsidR="00335A32" w:rsidRPr="00BE636F" w:rsidRDefault="00335A32" w:rsidP="00335A32">
      <w:pPr>
        <w:spacing w:line="240" w:lineRule="auto"/>
        <w:ind w:firstLine="709"/>
        <w:rPr>
          <w:rFonts w:cs="Arial"/>
          <w:szCs w:val="20"/>
        </w:rPr>
      </w:pPr>
      <w:r w:rsidRPr="00BE636F">
        <w:rPr>
          <w:rFonts w:cs="Arial"/>
          <w:szCs w:val="20"/>
        </w:rPr>
        <w:t>Decyzja, dotycząca sposobu stałego zabezpieczenia każdego drzewa oraz rodzaju konstrukcji ochronnej wokół określonych drzew powinna być zawarta w dokumentacji projektowej. W przypadku niepełnych danych można przyjmować następujące rozwiązania, po akceptacji ich przez Inżyniera:</w:t>
      </w:r>
    </w:p>
    <w:p w14:paraId="7119BC26" w14:textId="77777777" w:rsidR="00335A32" w:rsidRPr="00BE636F" w:rsidRDefault="00335A32" w:rsidP="00CF1E7D">
      <w:pPr>
        <w:numPr>
          <w:ilvl w:val="0"/>
          <w:numId w:val="246"/>
        </w:numPr>
        <w:overflowPunct w:val="0"/>
        <w:autoSpaceDE w:val="0"/>
        <w:autoSpaceDN w:val="0"/>
        <w:adjustRightInd w:val="0"/>
        <w:spacing w:line="240" w:lineRule="auto"/>
        <w:jc w:val="both"/>
        <w:textAlignment w:val="baseline"/>
        <w:rPr>
          <w:rFonts w:cs="Arial"/>
          <w:szCs w:val="20"/>
        </w:rPr>
      </w:pPr>
      <w:r w:rsidRPr="00BE636F">
        <w:rPr>
          <w:rFonts w:cs="Arial"/>
          <w:szCs w:val="20"/>
        </w:rPr>
        <w:t>przy obniżeniu terenu o 1÷1,2 m można wokół drzewa pozostawić ścięty stożek gruntowy ze skarpami 1:1, ochraniający korzenie drzewa (patrz rys. 2a), ew. na skarpach może być rumosz skalny, otoczaki bądź kamienie,</w:t>
      </w:r>
    </w:p>
    <w:p w14:paraId="0353FD56" w14:textId="77777777" w:rsidR="00335A32" w:rsidRPr="00BE636F" w:rsidRDefault="00335A32" w:rsidP="00CF1E7D">
      <w:pPr>
        <w:numPr>
          <w:ilvl w:val="0"/>
          <w:numId w:val="246"/>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przy obniżeniu terenu ponad </w:t>
      </w:r>
      <w:smartTag w:uri="urn:schemas-microsoft-com:office:smarttags" w:element="metricconverter">
        <w:smartTagPr>
          <w:attr w:name="ProductID" w:val="1 m"/>
        </w:smartTagPr>
        <w:r w:rsidRPr="00BE636F">
          <w:rPr>
            <w:rFonts w:cs="Arial"/>
            <w:szCs w:val="20"/>
          </w:rPr>
          <w:t>1 m</w:t>
        </w:r>
      </w:smartTag>
      <w:r w:rsidRPr="00BE636F">
        <w:rPr>
          <w:rFonts w:cs="Arial"/>
          <w:szCs w:val="20"/>
        </w:rPr>
        <w:t>, wokół drzewa można wykonać ściankę oporową o kształcie okrągłym lub prostokątnym z kamienia, klinkieru, betonowej kostki brukowej lub betonu z otworami (patrz rys.2b). Wykonanie ścianki powinno odpowiadać wymaganiom SST D-10.01.01 [9],</w:t>
      </w:r>
    </w:p>
    <w:p w14:paraId="482A85B6" w14:textId="77777777" w:rsidR="00335A32" w:rsidRPr="00BE636F" w:rsidRDefault="00335A32" w:rsidP="00CF1E7D">
      <w:pPr>
        <w:numPr>
          <w:ilvl w:val="0"/>
          <w:numId w:val="246"/>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przy podwyższeniu terenu o 0,2 ÷ </w:t>
      </w:r>
      <w:smartTag w:uri="urn:schemas-microsoft-com:office:smarttags" w:element="metricconverter">
        <w:smartTagPr>
          <w:attr w:name="ProductID" w:val="0,4 m"/>
        </w:smartTagPr>
        <w:r w:rsidRPr="00BE636F">
          <w:rPr>
            <w:rFonts w:cs="Arial"/>
            <w:szCs w:val="20"/>
          </w:rPr>
          <w:t>0,4 m</w:t>
        </w:r>
      </w:smartTag>
      <w:r w:rsidRPr="00BE636F">
        <w:rPr>
          <w:rFonts w:cs="Arial"/>
          <w:szCs w:val="20"/>
        </w:rPr>
        <w:t>, a niekiedy większym, można wymodelować nieckę o łagodnym pochyleniu wokół drzewa pod warunkiem, że warunki miejscowe na to pozwolą, obsypując drzewo lekką ziemią (patrz rys. 3),</w:t>
      </w:r>
    </w:p>
    <w:p w14:paraId="22587D2D" w14:textId="77777777" w:rsidR="00335A32" w:rsidRPr="00BE636F" w:rsidRDefault="00335A32" w:rsidP="00CF1E7D">
      <w:pPr>
        <w:numPr>
          <w:ilvl w:val="0"/>
          <w:numId w:val="246"/>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przy podwyższeniu terenu o około </w:t>
      </w:r>
      <w:smartTag w:uri="urn:schemas-microsoft-com:office:smarttags" w:element="metricconverter">
        <w:smartTagPr>
          <w:attr w:name="ProductID" w:val="0,2 m"/>
        </w:smartTagPr>
        <w:r w:rsidRPr="00BE636F">
          <w:rPr>
            <w:rFonts w:cs="Arial"/>
            <w:szCs w:val="20"/>
          </w:rPr>
          <w:t>0,2 m</w:t>
        </w:r>
      </w:smartTag>
      <w:r w:rsidRPr="00BE636F">
        <w:rPr>
          <w:rFonts w:cs="Arial"/>
          <w:szCs w:val="20"/>
        </w:rPr>
        <w:t xml:space="preserve"> pnie drzew można obsypać ziemią ponad pierwotny poziom terenu,</w:t>
      </w:r>
    </w:p>
    <w:p w14:paraId="37C6DA99" w14:textId="77777777" w:rsidR="00335A32" w:rsidRPr="00BE636F" w:rsidRDefault="00335A32" w:rsidP="00CF1E7D">
      <w:pPr>
        <w:numPr>
          <w:ilvl w:val="0"/>
          <w:numId w:val="246"/>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przy podwyższeniu terenu o 0,2 ÷ </w:t>
      </w:r>
      <w:smartTag w:uri="urn:schemas-microsoft-com:office:smarttags" w:element="metricconverter">
        <w:smartTagPr>
          <w:attr w:name="ProductID" w:val="0,5 m"/>
        </w:smartTagPr>
        <w:r w:rsidRPr="00BE636F">
          <w:rPr>
            <w:rFonts w:cs="Arial"/>
            <w:szCs w:val="20"/>
          </w:rPr>
          <w:t>0,5 m</w:t>
        </w:r>
      </w:smartTag>
      <w:r w:rsidRPr="00BE636F">
        <w:rPr>
          <w:rFonts w:cs="Arial"/>
          <w:szCs w:val="20"/>
        </w:rPr>
        <w:t xml:space="preserve"> pnie drzew można obsypać ziemią, lecz z wykonaniem specjalnych napowietrzających warstw żwirowych i urządzeń (patrz            rys. 4), które można wykonać stosując się do zaleceń SST D-03.03.01 [4],</w:t>
      </w:r>
    </w:p>
    <w:p w14:paraId="62BD02B6" w14:textId="77777777" w:rsidR="00335A32" w:rsidRPr="00BE636F" w:rsidRDefault="00335A32" w:rsidP="00CF1E7D">
      <w:pPr>
        <w:numPr>
          <w:ilvl w:val="0"/>
          <w:numId w:val="246"/>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przy podwyższeniu terenu powyżej </w:t>
      </w:r>
      <w:smartTag w:uri="urn:schemas-microsoft-com:office:smarttags" w:element="metricconverter">
        <w:smartTagPr>
          <w:attr w:name="ProductID" w:val="0,5 m"/>
        </w:smartTagPr>
        <w:r w:rsidRPr="00BE636F">
          <w:rPr>
            <w:rFonts w:cs="Arial"/>
            <w:szCs w:val="20"/>
          </w:rPr>
          <w:t>0,5 m</w:t>
        </w:r>
      </w:smartTag>
      <w:r w:rsidRPr="00BE636F">
        <w:rPr>
          <w:rFonts w:cs="Arial"/>
          <w:szCs w:val="20"/>
        </w:rPr>
        <w:t xml:space="preserve"> wykonuje się mury lub studzienki zabezpieczające pień przed zasypaniem z urządzeniami napowietrzającymi (patrz             rys. 5), przy korzystaniu z zaleceń SST D-10.01.01 [9].</w:t>
      </w:r>
    </w:p>
    <w:p w14:paraId="081DE5E0" w14:textId="77777777" w:rsidR="00335A32" w:rsidRPr="00BE636F" w:rsidRDefault="00335A32" w:rsidP="00335A32">
      <w:pPr>
        <w:spacing w:line="240" w:lineRule="auto"/>
        <w:ind w:left="340"/>
        <w:rPr>
          <w:rFonts w:cs="Arial"/>
          <w:szCs w:val="20"/>
        </w:rPr>
      </w:pPr>
      <w:r w:rsidRPr="00BE636F">
        <w:rPr>
          <w:rFonts w:cs="Arial"/>
          <w:szCs w:val="20"/>
        </w:rPr>
        <w:t>W warunkach miejskich studzienkę można przykryć kratą.</w:t>
      </w:r>
    </w:p>
    <w:p w14:paraId="7E08691C" w14:textId="77777777" w:rsidR="00335A32" w:rsidRPr="00BE636F" w:rsidRDefault="00335A32" w:rsidP="00335A32">
      <w:pPr>
        <w:pStyle w:val="Nagwek2"/>
        <w:spacing w:line="240" w:lineRule="auto"/>
        <w:rPr>
          <w:rFonts w:cs="Arial"/>
          <w:szCs w:val="20"/>
        </w:rPr>
      </w:pPr>
      <w:r w:rsidRPr="00BE636F">
        <w:rPr>
          <w:rFonts w:cs="Arial"/>
          <w:szCs w:val="20"/>
        </w:rPr>
        <w:t>5.6. Pielęgnacja drzew, uszkodzonych w czasie prowadzenia robót budowlanych</w:t>
      </w:r>
    </w:p>
    <w:p w14:paraId="23B553DB" w14:textId="77777777" w:rsidR="00335A32" w:rsidRPr="00BE636F" w:rsidRDefault="00335A32" w:rsidP="00335A32">
      <w:pPr>
        <w:spacing w:line="240" w:lineRule="auto"/>
        <w:rPr>
          <w:rFonts w:cs="Arial"/>
          <w:szCs w:val="20"/>
        </w:rPr>
      </w:pPr>
      <w:r w:rsidRPr="00BE636F">
        <w:rPr>
          <w:rFonts w:cs="Arial"/>
          <w:szCs w:val="20"/>
        </w:rPr>
        <w:tab/>
        <w:t>Drzewa uszkodzone w czasie prowadzenia robót powinny być natychmiast poddane zabiegom pielęgnacyjnym.</w:t>
      </w:r>
    </w:p>
    <w:p w14:paraId="7E5EB59F" w14:textId="77777777" w:rsidR="00335A32" w:rsidRPr="00BE636F" w:rsidRDefault="00335A32" w:rsidP="00335A32">
      <w:pPr>
        <w:spacing w:line="240" w:lineRule="auto"/>
        <w:rPr>
          <w:rFonts w:cs="Arial"/>
          <w:szCs w:val="20"/>
        </w:rPr>
      </w:pPr>
      <w:r w:rsidRPr="00BE636F">
        <w:rPr>
          <w:rFonts w:cs="Arial"/>
          <w:szCs w:val="20"/>
        </w:rPr>
        <w:tab/>
        <w:t>Należy wykonać następujące zabiegi pielęgnacyjne uzależnione od rodzaju uszkodzenia:</w:t>
      </w:r>
    </w:p>
    <w:p w14:paraId="126A9664" w14:textId="77777777" w:rsidR="00335A32" w:rsidRPr="00BE636F" w:rsidRDefault="00335A32" w:rsidP="00335A32">
      <w:pPr>
        <w:spacing w:line="240" w:lineRule="auto"/>
        <w:rPr>
          <w:rFonts w:cs="Arial"/>
          <w:szCs w:val="20"/>
        </w:rPr>
      </w:pPr>
      <w:r w:rsidRPr="00BE636F">
        <w:rPr>
          <w:rFonts w:cs="Arial"/>
          <w:szCs w:val="20"/>
        </w:rPr>
        <w:t>a)  przy uszkodzeniu korzeni:</w:t>
      </w:r>
    </w:p>
    <w:p w14:paraId="1E183719" w14:textId="77777777" w:rsidR="00335A32" w:rsidRPr="00BE636F" w:rsidRDefault="00335A32" w:rsidP="00CF1E7D">
      <w:pPr>
        <w:numPr>
          <w:ilvl w:val="0"/>
          <w:numId w:val="247"/>
        </w:numPr>
        <w:overflowPunct w:val="0"/>
        <w:autoSpaceDE w:val="0"/>
        <w:autoSpaceDN w:val="0"/>
        <w:adjustRightInd w:val="0"/>
        <w:spacing w:line="240" w:lineRule="auto"/>
        <w:jc w:val="both"/>
        <w:textAlignment w:val="baseline"/>
        <w:rPr>
          <w:rFonts w:cs="Arial"/>
          <w:szCs w:val="20"/>
        </w:rPr>
      </w:pPr>
      <w:r w:rsidRPr="00BE636F">
        <w:rPr>
          <w:rFonts w:cs="Arial"/>
          <w:szCs w:val="20"/>
        </w:rPr>
        <w:t>zmniejszyć koronę drzewa, proporcjonalnie do ubytku korzeni,</w:t>
      </w:r>
    </w:p>
    <w:p w14:paraId="22067979" w14:textId="77777777" w:rsidR="00335A32" w:rsidRPr="00BE636F" w:rsidRDefault="00335A32" w:rsidP="00CF1E7D">
      <w:pPr>
        <w:numPr>
          <w:ilvl w:val="0"/>
          <w:numId w:val="247"/>
        </w:numPr>
        <w:overflowPunct w:val="0"/>
        <w:autoSpaceDE w:val="0"/>
        <w:autoSpaceDN w:val="0"/>
        <w:adjustRightInd w:val="0"/>
        <w:spacing w:line="240" w:lineRule="auto"/>
        <w:jc w:val="both"/>
        <w:textAlignment w:val="baseline"/>
        <w:rPr>
          <w:rFonts w:cs="Arial"/>
          <w:szCs w:val="20"/>
        </w:rPr>
      </w:pPr>
      <w:r w:rsidRPr="00BE636F">
        <w:rPr>
          <w:rFonts w:cs="Arial"/>
          <w:szCs w:val="20"/>
        </w:rPr>
        <w:t>wykonać cięcia sanitarne korzeni pod kątem prostym, dokonując cięcia tam, gdzie zaczyna się korzeń zdrowy (żywy),</w:t>
      </w:r>
    </w:p>
    <w:p w14:paraId="6D6EE40E" w14:textId="77777777" w:rsidR="00335A32" w:rsidRPr="00BE636F" w:rsidRDefault="00335A32" w:rsidP="00CF1E7D">
      <w:pPr>
        <w:numPr>
          <w:ilvl w:val="0"/>
          <w:numId w:val="247"/>
        </w:numPr>
        <w:overflowPunct w:val="0"/>
        <w:autoSpaceDE w:val="0"/>
        <w:autoSpaceDN w:val="0"/>
        <w:adjustRightInd w:val="0"/>
        <w:spacing w:line="240" w:lineRule="auto"/>
        <w:jc w:val="both"/>
        <w:textAlignment w:val="baseline"/>
        <w:rPr>
          <w:rFonts w:cs="Arial"/>
          <w:szCs w:val="20"/>
        </w:rPr>
      </w:pPr>
      <w:r w:rsidRPr="00BE636F">
        <w:rPr>
          <w:rFonts w:cs="Arial"/>
          <w:szCs w:val="20"/>
        </w:rPr>
        <w:t>zabezpieczyć powierzchnię ran preparatem impregnującym,</w:t>
      </w:r>
    </w:p>
    <w:p w14:paraId="522FE9C4" w14:textId="77777777" w:rsidR="00335A32" w:rsidRPr="00BE636F" w:rsidRDefault="00335A32" w:rsidP="00CF1E7D">
      <w:pPr>
        <w:numPr>
          <w:ilvl w:val="0"/>
          <w:numId w:val="247"/>
        </w:numPr>
        <w:overflowPunct w:val="0"/>
        <w:autoSpaceDE w:val="0"/>
        <w:autoSpaceDN w:val="0"/>
        <w:adjustRightInd w:val="0"/>
        <w:spacing w:line="240" w:lineRule="auto"/>
        <w:jc w:val="both"/>
        <w:textAlignment w:val="baseline"/>
        <w:rPr>
          <w:rFonts w:cs="Arial"/>
          <w:szCs w:val="20"/>
        </w:rPr>
      </w:pPr>
      <w:r w:rsidRPr="00BE636F">
        <w:rPr>
          <w:rFonts w:cs="Arial"/>
          <w:szCs w:val="20"/>
        </w:rPr>
        <w:t>posypać glebą na bieżąco zabezpieczone korzenie,</w:t>
      </w:r>
    </w:p>
    <w:p w14:paraId="1327E7A3" w14:textId="77777777" w:rsidR="00335A32" w:rsidRPr="00BE636F" w:rsidRDefault="00335A32" w:rsidP="00CF1E7D">
      <w:pPr>
        <w:numPr>
          <w:ilvl w:val="0"/>
          <w:numId w:val="247"/>
        </w:numPr>
        <w:overflowPunct w:val="0"/>
        <w:autoSpaceDE w:val="0"/>
        <w:autoSpaceDN w:val="0"/>
        <w:adjustRightInd w:val="0"/>
        <w:spacing w:line="240" w:lineRule="auto"/>
        <w:jc w:val="both"/>
        <w:textAlignment w:val="baseline"/>
        <w:rPr>
          <w:rFonts w:cs="Arial"/>
          <w:szCs w:val="20"/>
        </w:rPr>
      </w:pPr>
      <w:r w:rsidRPr="00BE636F">
        <w:rPr>
          <w:rFonts w:cs="Arial"/>
          <w:szCs w:val="20"/>
        </w:rPr>
        <w:t>zastąpić, przynajmniej w najbliższym otoczeniu uszkodzonych korzeni, dotychczasową ziemię glebą bardziej zasobną,</w:t>
      </w:r>
    </w:p>
    <w:p w14:paraId="7CEE0D1C" w14:textId="77777777" w:rsidR="00335A32" w:rsidRPr="00BE636F" w:rsidRDefault="00335A32" w:rsidP="00335A32">
      <w:pPr>
        <w:spacing w:line="240" w:lineRule="auto"/>
        <w:rPr>
          <w:rFonts w:cs="Arial"/>
          <w:szCs w:val="20"/>
        </w:rPr>
      </w:pPr>
      <w:r w:rsidRPr="00BE636F">
        <w:rPr>
          <w:rFonts w:cs="Arial"/>
          <w:szCs w:val="20"/>
        </w:rPr>
        <w:t>b)  przy uszkodzeniu gałęzi:</w:t>
      </w:r>
    </w:p>
    <w:p w14:paraId="5379F484" w14:textId="77777777" w:rsidR="00335A32" w:rsidRPr="00BE636F" w:rsidRDefault="00335A32" w:rsidP="00CF1E7D">
      <w:pPr>
        <w:numPr>
          <w:ilvl w:val="0"/>
          <w:numId w:val="248"/>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wykonywać cięcia gałęzi o średnicy powyżej </w:t>
      </w:r>
      <w:smartTag w:uri="urn:schemas-microsoft-com:office:smarttags" w:element="metricconverter">
        <w:smartTagPr>
          <w:attr w:name="ProductID" w:val="3 cm"/>
        </w:smartTagPr>
        <w:r w:rsidRPr="00BE636F">
          <w:rPr>
            <w:rFonts w:cs="Arial"/>
            <w:szCs w:val="20"/>
          </w:rPr>
          <w:t>3 cm</w:t>
        </w:r>
      </w:smartTag>
      <w:r w:rsidRPr="00BE636F">
        <w:rPr>
          <w:rFonts w:cs="Arial"/>
          <w:szCs w:val="20"/>
        </w:rPr>
        <w:t xml:space="preserve"> zawsze trzyetapowo,</w:t>
      </w:r>
    </w:p>
    <w:p w14:paraId="08A643D9" w14:textId="77777777" w:rsidR="00335A32" w:rsidRPr="00BE636F" w:rsidRDefault="00335A32" w:rsidP="00CF1E7D">
      <w:pPr>
        <w:numPr>
          <w:ilvl w:val="0"/>
          <w:numId w:val="248"/>
        </w:numPr>
        <w:overflowPunct w:val="0"/>
        <w:autoSpaceDE w:val="0"/>
        <w:autoSpaceDN w:val="0"/>
        <w:adjustRightInd w:val="0"/>
        <w:spacing w:line="240" w:lineRule="auto"/>
        <w:jc w:val="both"/>
        <w:textAlignment w:val="baseline"/>
        <w:rPr>
          <w:rFonts w:cs="Arial"/>
          <w:szCs w:val="20"/>
        </w:rPr>
      </w:pPr>
      <w:r w:rsidRPr="00BE636F">
        <w:rPr>
          <w:rFonts w:cs="Arial"/>
          <w:szCs w:val="20"/>
        </w:rPr>
        <w:t>zabezpieczyć natychmiast powstałą ranę po usunięciu żywej gałęzi:</w:t>
      </w:r>
    </w:p>
    <w:p w14:paraId="6D8591C7" w14:textId="77777777" w:rsidR="00335A32" w:rsidRPr="00BE636F" w:rsidRDefault="00335A32" w:rsidP="00CF1E7D">
      <w:pPr>
        <w:numPr>
          <w:ilvl w:val="1"/>
          <w:numId w:val="248"/>
        </w:numPr>
        <w:tabs>
          <w:tab w:val="clear" w:pos="1724"/>
        </w:tabs>
        <w:overflowPunct w:val="0"/>
        <w:autoSpaceDE w:val="0"/>
        <w:autoSpaceDN w:val="0"/>
        <w:adjustRightInd w:val="0"/>
        <w:spacing w:line="240" w:lineRule="auto"/>
        <w:ind w:left="851" w:hanging="218"/>
        <w:jc w:val="both"/>
        <w:textAlignment w:val="baseline"/>
        <w:rPr>
          <w:rFonts w:cs="Arial"/>
          <w:szCs w:val="20"/>
        </w:rPr>
      </w:pPr>
      <w:r w:rsidRPr="00BE636F">
        <w:rPr>
          <w:rFonts w:cs="Arial"/>
          <w:szCs w:val="20"/>
        </w:rPr>
        <w:t xml:space="preserve">o średnicy do </w:t>
      </w:r>
      <w:smartTag w:uri="urn:schemas-microsoft-com:office:smarttags" w:element="metricconverter">
        <w:smartTagPr>
          <w:attr w:name="ProductID" w:val="10 cm"/>
        </w:smartTagPr>
        <w:r w:rsidRPr="00BE636F">
          <w:rPr>
            <w:rFonts w:cs="Arial"/>
            <w:szCs w:val="20"/>
          </w:rPr>
          <w:t>10 cm</w:t>
        </w:r>
      </w:smartTag>
      <w:r w:rsidRPr="00BE636F">
        <w:rPr>
          <w:rFonts w:cs="Arial"/>
          <w:szCs w:val="20"/>
        </w:rPr>
        <w:t>, zasmarowując w całości preparatem o działaniu powierzchniowym,</w:t>
      </w:r>
    </w:p>
    <w:p w14:paraId="3836771B" w14:textId="77777777" w:rsidR="00335A32" w:rsidRPr="00BE636F" w:rsidRDefault="00335A32" w:rsidP="00CF1E7D">
      <w:pPr>
        <w:numPr>
          <w:ilvl w:val="1"/>
          <w:numId w:val="248"/>
        </w:numPr>
        <w:tabs>
          <w:tab w:val="clear" w:pos="1724"/>
        </w:tabs>
        <w:overflowPunct w:val="0"/>
        <w:autoSpaceDE w:val="0"/>
        <w:autoSpaceDN w:val="0"/>
        <w:adjustRightInd w:val="0"/>
        <w:spacing w:line="240" w:lineRule="auto"/>
        <w:ind w:left="851" w:hanging="218"/>
        <w:jc w:val="both"/>
        <w:textAlignment w:val="baseline"/>
        <w:rPr>
          <w:rFonts w:cs="Arial"/>
          <w:szCs w:val="20"/>
        </w:rPr>
      </w:pPr>
      <w:r w:rsidRPr="00BE636F">
        <w:rPr>
          <w:rFonts w:cs="Arial"/>
          <w:szCs w:val="20"/>
        </w:rPr>
        <w:t xml:space="preserve">o średnicy ponad </w:t>
      </w:r>
      <w:smartTag w:uri="urn:schemas-microsoft-com:office:smarttags" w:element="metricconverter">
        <w:smartTagPr>
          <w:attr w:name="ProductID" w:val="10 cm"/>
        </w:smartTagPr>
        <w:r w:rsidRPr="00BE636F">
          <w:rPr>
            <w:rFonts w:cs="Arial"/>
            <w:szCs w:val="20"/>
          </w:rPr>
          <w:t>10 cm</w:t>
        </w:r>
      </w:smartTag>
      <w:r w:rsidRPr="00BE636F">
        <w:rPr>
          <w:rFonts w:cs="Arial"/>
          <w:szCs w:val="20"/>
        </w:rPr>
        <w:t xml:space="preserve">, zabezpieczając dwuskładnikowo, tj. krawędzie rany (miejsca, z których będzie wyrastała tkanka żywa – kalus) i drewno czynne (pierścień o grubości 1,5 ÷ </w:t>
      </w:r>
      <w:smartTag w:uri="urn:schemas-microsoft-com:office:smarttags" w:element="metricconverter">
        <w:smartTagPr>
          <w:attr w:name="ProductID" w:val="2 cm"/>
        </w:smartTagPr>
        <w:r w:rsidRPr="00BE636F">
          <w:rPr>
            <w:rFonts w:cs="Arial"/>
            <w:szCs w:val="20"/>
          </w:rPr>
          <w:t>2 cm</w:t>
        </w:r>
      </w:smartTag>
      <w:r w:rsidRPr="00BE636F">
        <w:rPr>
          <w:rFonts w:cs="Arial"/>
          <w:szCs w:val="20"/>
        </w:rPr>
        <w:t>) – środkiem o działaniu powierzchniowym, a pozostałą część rany wewnątrz pierścienia – środkiem impregnującym,</w:t>
      </w:r>
    </w:p>
    <w:p w14:paraId="1C840B5F" w14:textId="77777777" w:rsidR="00335A32" w:rsidRPr="00BE636F" w:rsidRDefault="00335A32" w:rsidP="00335A32">
      <w:pPr>
        <w:spacing w:line="240" w:lineRule="auto"/>
        <w:rPr>
          <w:rFonts w:cs="Arial"/>
          <w:szCs w:val="20"/>
        </w:rPr>
      </w:pPr>
      <w:r w:rsidRPr="00BE636F">
        <w:rPr>
          <w:rFonts w:cs="Arial"/>
          <w:szCs w:val="20"/>
        </w:rPr>
        <w:t xml:space="preserve">c)  przy ubytkach powierzchniowych:  </w:t>
      </w:r>
    </w:p>
    <w:p w14:paraId="10B4F6B5" w14:textId="77777777" w:rsidR="00335A32" w:rsidRPr="00BE636F" w:rsidRDefault="00335A32" w:rsidP="00CF1E7D">
      <w:pPr>
        <w:numPr>
          <w:ilvl w:val="0"/>
          <w:numId w:val="247"/>
        </w:numPr>
        <w:overflowPunct w:val="0"/>
        <w:autoSpaceDE w:val="0"/>
        <w:autoSpaceDN w:val="0"/>
        <w:adjustRightInd w:val="0"/>
        <w:spacing w:line="240" w:lineRule="auto"/>
        <w:jc w:val="both"/>
        <w:textAlignment w:val="baseline"/>
        <w:rPr>
          <w:rFonts w:cs="Arial"/>
          <w:szCs w:val="20"/>
        </w:rPr>
      </w:pPr>
      <w:r w:rsidRPr="00BE636F">
        <w:rPr>
          <w:rFonts w:cs="Arial"/>
          <w:szCs w:val="20"/>
        </w:rPr>
        <w:t>wygładzić i uformować powierzchnię rany,</w:t>
      </w:r>
    </w:p>
    <w:p w14:paraId="09694444" w14:textId="77777777" w:rsidR="00335A32" w:rsidRPr="00BE636F" w:rsidRDefault="00335A32" w:rsidP="00CF1E7D">
      <w:pPr>
        <w:numPr>
          <w:ilvl w:val="0"/>
          <w:numId w:val="247"/>
        </w:numPr>
        <w:overflowPunct w:val="0"/>
        <w:autoSpaceDE w:val="0"/>
        <w:autoSpaceDN w:val="0"/>
        <w:adjustRightInd w:val="0"/>
        <w:spacing w:line="240" w:lineRule="auto"/>
        <w:jc w:val="both"/>
        <w:textAlignment w:val="baseline"/>
        <w:rPr>
          <w:rFonts w:cs="Arial"/>
          <w:szCs w:val="20"/>
        </w:rPr>
      </w:pPr>
      <w:r w:rsidRPr="00BE636F">
        <w:rPr>
          <w:rFonts w:cs="Arial"/>
          <w:szCs w:val="20"/>
        </w:rPr>
        <w:lastRenderedPageBreak/>
        <w:t>uformować krawędź rany (ubytku),</w:t>
      </w:r>
    </w:p>
    <w:p w14:paraId="266C9542" w14:textId="77777777" w:rsidR="00335A32" w:rsidRPr="00BE636F" w:rsidRDefault="00335A32" w:rsidP="00CF1E7D">
      <w:pPr>
        <w:numPr>
          <w:ilvl w:val="0"/>
          <w:numId w:val="247"/>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zabezpieczyć całą powierzchnię rany, z tym, że świeże rany zabezpieczyć jedynie przez zasmarowanie w całości preparatem emulsyjnym, powierzchniowym typu </w:t>
      </w:r>
      <w:proofErr w:type="spellStart"/>
      <w:r w:rsidRPr="00BE636F">
        <w:rPr>
          <w:rFonts w:cs="Arial"/>
          <w:szCs w:val="20"/>
        </w:rPr>
        <w:t>Dendromal</w:t>
      </w:r>
      <w:proofErr w:type="spellEnd"/>
      <w:r w:rsidRPr="00BE636F">
        <w:rPr>
          <w:rFonts w:cs="Arial"/>
          <w:szCs w:val="20"/>
        </w:rPr>
        <w:t xml:space="preserve">, Lak-Balsam lub </w:t>
      </w:r>
      <w:proofErr w:type="spellStart"/>
      <w:r w:rsidRPr="00BE636F">
        <w:rPr>
          <w:rFonts w:cs="Arial"/>
          <w:szCs w:val="20"/>
        </w:rPr>
        <w:t>Funaben</w:t>
      </w:r>
      <w:proofErr w:type="spellEnd"/>
      <w:r w:rsidRPr="00BE636F">
        <w:rPr>
          <w:rFonts w:cs="Arial"/>
          <w:szCs w:val="20"/>
        </w:rPr>
        <w:t>.</w:t>
      </w:r>
    </w:p>
    <w:p w14:paraId="2EA6D36E" w14:textId="77777777" w:rsidR="00335A32" w:rsidRPr="00BE636F" w:rsidRDefault="00335A32" w:rsidP="00335A32">
      <w:pPr>
        <w:pStyle w:val="Nagwek2"/>
        <w:spacing w:line="240" w:lineRule="auto"/>
        <w:rPr>
          <w:rFonts w:cs="Arial"/>
          <w:szCs w:val="20"/>
        </w:rPr>
      </w:pPr>
      <w:r w:rsidRPr="00BE636F">
        <w:rPr>
          <w:rFonts w:cs="Arial"/>
          <w:szCs w:val="20"/>
        </w:rPr>
        <w:t>5.7. Roboty wykończeniowe</w:t>
      </w:r>
    </w:p>
    <w:p w14:paraId="5109DD41" w14:textId="77777777" w:rsidR="00335A32" w:rsidRPr="00BE636F" w:rsidRDefault="00335A32" w:rsidP="00335A32">
      <w:pPr>
        <w:spacing w:line="240" w:lineRule="auto"/>
        <w:ind w:firstLine="709"/>
        <w:rPr>
          <w:rFonts w:cs="Arial"/>
          <w:szCs w:val="20"/>
        </w:rPr>
      </w:pPr>
      <w:r w:rsidRPr="00BE636F">
        <w:rPr>
          <w:rFonts w:cs="Arial"/>
          <w:szCs w:val="20"/>
        </w:rPr>
        <w:t>Roboty wykończeniowe powinny być zgodne z dokumentacją projektową i ST. Do robót wykończeniowych należą prace związane z dostosowaniem wykonanych robót do istniejących warunków terenowych, takie jak:</w:t>
      </w:r>
    </w:p>
    <w:p w14:paraId="0279EC98" w14:textId="77777777" w:rsidR="00335A32" w:rsidRPr="00BE636F" w:rsidRDefault="00335A32" w:rsidP="00335A32">
      <w:pPr>
        <w:numPr>
          <w:ilvl w:val="0"/>
          <w:numId w:val="4"/>
        </w:numPr>
        <w:overflowPunct w:val="0"/>
        <w:autoSpaceDE w:val="0"/>
        <w:autoSpaceDN w:val="0"/>
        <w:adjustRightInd w:val="0"/>
        <w:spacing w:line="240" w:lineRule="auto"/>
        <w:jc w:val="both"/>
        <w:textAlignment w:val="baseline"/>
        <w:rPr>
          <w:rFonts w:cs="Arial"/>
          <w:szCs w:val="20"/>
        </w:rPr>
      </w:pPr>
      <w:r w:rsidRPr="00BE636F">
        <w:rPr>
          <w:rFonts w:cs="Arial"/>
          <w:szCs w:val="20"/>
        </w:rPr>
        <w:t>odtworzenie przeszkód czasowo usuniętych,</w:t>
      </w:r>
    </w:p>
    <w:p w14:paraId="1A763EDD" w14:textId="77777777" w:rsidR="00335A32" w:rsidRPr="00BE636F" w:rsidRDefault="00335A32" w:rsidP="00335A32">
      <w:pPr>
        <w:numPr>
          <w:ilvl w:val="0"/>
          <w:numId w:val="4"/>
        </w:numPr>
        <w:overflowPunct w:val="0"/>
        <w:autoSpaceDE w:val="0"/>
        <w:autoSpaceDN w:val="0"/>
        <w:adjustRightInd w:val="0"/>
        <w:spacing w:line="240" w:lineRule="auto"/>
        <w:jc w:val="both"/>
        <w:textAlignment w:val="baseline"/>
        <w:rPr>
          <w:rFonts w:cs="Arial"/>
          <w:szCs w:val="20"/>
        </w:rPr>
      </w:pPr>
      <w:r w:rsidRPr="00BE636F">
        <w:rPr>
          <w:rFonts w:cs="Arial"/>
          <w:szCs w:val="20"/>
        </w:rPr>
        <w:t xml:space="preserve">niezbędne uzupełnienia zniszczonej w czasie robót roślinności, np. </w:t>
      </w:r>
      <w:proofErr w:type="spellStart"/>
      <w:r w:rsidRPr="00BE636F">
        <w:rPr>
          <w:rFonts w:cs="Arial"/>
          <w:szCs w:val="20"/>
        </w:rPr>
        <w:t>zatrawienia</w:t>
      </w:r>
      <w:proofErr w:type="spellEnd"/>
      <w:r w:rsidRPr="00BE636F">
        <w:rPr>
          <w:rFonts w:cs="Arial"/>
          <w:szCs w:val="20"/>
        </w:rPr>
        <w:t xml:space="preserve">,  </w:t>
      </w:r>
    </w:p>
    <w:p w14:paraId="45566E3E" w14:textId="77777777" w:rsidR="00335A32" w:rsidRPr="00BE636F" w:rsidRDefault="00335A32" w:rsidP="00335A32">
      <w:pPr>
        <w:numPr>
          <w:ilvl w:val="0"/>
          <w:numId w:val="4"/>
        </w:numPr>
        <w:overflowPunct w:val="0"/>
        <w:autoSpaceDE w:val="0"/>
        <w:autoSpaceDN w:val="0"/>
        <w:adjustRightInd w:val="0"/>
        <w:spacing w:line="240" w:lineRule="auto"/>
        <w:jc w:val="both"/>
        <w:textAlignment w:val="baseline"/>
        <w:rPr>
          <w:rFonts w:cs="Arial"/>
          <w:szCs w:val="20"/>
        </w:rPr>
      </w:pPr>
      <w:r w:rsidRPr="00BE636F">
        <w:rPr>
          <w:rFonts w:cs="Arial"/>
          <w:szCs w:val="20"/>
        </w:rPr>
        <w:t>roboty porządkujące otoczenie terenu robót.</w:t>
      </w:r>
    </w:p>
    <w:p w14:paraId="1FD015B8" w14:textId="77777777" w:rsidR="00335A32" w:rsidRPr="00BE636F" w:rsidRDefault="00335A32" w:rsidP="00335A32">
      <w:pPr>
        <w:pStyle w:val="Nagwek1"/>
        <w:spacing w:line="240" w:lineRule="auto"/>
        <w:rPr>
          <w:rFonts w:cs="Arial"/>
          <w:szCs w:val="20"/>
        </w:rPr>
      </w:pPr>
      <w:r w:rsidRPr="00BE636F">
        <w:rPr>
          <w:rFonts w:cs="Arial"/>
          <w:szCs w:val="20"/>
        </w:rPr>
        <w:t>6. KONTROLA JAKOŚCI ROBÓT</w:t>
      </w:r>
    </w:p>
    <w:p w14:paraId="0CDDFB7B" w14:textId="77777777" w:rsidR="00335A32" w:rsidRPr="00BE636F" w:rsidRDefault="00335A32" w:rsidP="00335A32">
      <w:pPr>
        <w:pStyle w:val="Nagwek2"/>
        <w:spacing w:line="240" w:lineRule="auto"/>
        <w:rPr>
          <w:rFonts w:cs="Arial"/>
          <w:szCs w:val="20"/>
        </w:rPr>
      </w:pPr>
      <w:r w:rsidRPr="00BE636F">
        <w:rPr>
          <w:rFonts w:cs="Arial"/>
          <w:szCs w:val="20"/>
        </w:rPr>
        <w:t>6.1. Ogólne zasady kontroli jakości robót</w:t>
      </w:r>
    </w:p>
    <w:p w14:paraId="3B0543AC" w14:textId="77777777" w:rsidR="00335A32" w:rsidRPr="00BE636F" w:rsidRDefault="00335A32" w:rsidP="00335A32">
      <w:pPr>
        <w:spacing w:line="240" w:lineRule="auto"/>
        <w:rPr>
          <w:rFonts w:cs="Arial"/>
          <w:szCs w:val="20"/>
        </w:rPr>
      </w:pPr>
      <w:r w:rsidRPr="00BE636F">
        <w:rPr>
          <w:rFonts w:cs="Arial"/>
          <w:szCs w:val="20"/>
        </w:rPr>
        <w:tab/>
        <w:t>Ogólne zasady kontroli jakości robót podano w SST D-M-00.00.00 „Wymagania ogólne” [1] pkt 6.</w:t>
      </w:r>
    </w:p>
    <w:p w14:paraId="5401FAD8" w14:textId="77777777" w:rsidR="00335A32" w:rsidRPr="00BE636F" w:rsidRDefault="00335A32" w:rsidP="00335A32">
      <w:pPr>
        <w:pStyle w:val="Nagwek2"/>
        <w:spacing w:line="240" w:lineRule="auto"/>
        <w:rPr>
          <w:rFonts w:cs="Arial"/>
          <w:szCs w:val="20"/>
        </w:rPr>
      </w:pPr>
      <w:r w:rsidRPr="00BE636F">
        <w:rPr>
          <w:rFonts w:cs="Arial"/>
          <w:szCs w:val="20"/>
        </w:rPr>
        <w:t>6.2. Badania  przed przystąpieniem do robót</w:t>
      </w:r>
    </w:p>
    <w:p w14:paraId="6B0116BE" w14:textId="77777777" w:rsidR="00335A32" w:rsidRPr="00BE636F" w:rsidRDefault="00335A32" w:rsidP="00335A32">
      <w:pPr>
        <w:spacing w:line="240" w:lineRule="auto"/>
        <w:rPr>
          <w:rFonts w:cs="Arial"/>
          <w:szCs w:val="20"/>
        </w:rPr>
      </w:pPr>
      <w:r w:rsidRPr="00BE636F">
        <w:rPr>
          <w:rFonts w:cs="Arial"/>
          <w:szCs w:val="20"/>
        </w:rPr>
        <w:tab/>
        <w:t>Przed przystąpieniem do robót Wykonawca powinien:</w:t>
      </w:r>
    </w:p>
    <w:p w14:paraId="23D274E8" w14:textId="77777777" w:rsidR="00335A32" w:rsidRPr="00BE636F" w:rsidRDefault="00335A32" w:rsidP="00CF1E7D">
      <w:pPr>
        <w:numPr>
          <w:ilvl w:val="0"/>
          <w:numId w:val="249"/>
        </w:numPr>
        <w:overflowPunct w:val="0"/>
        <w:autoSpaceDE w:val="0"/>
        <w:autoSpaceDN w:val="0"/>
        <w:adjustRightInd w:val="0"/>
        <w:spacing w:line="240" w:lineRule="auto"/>
        <w:jc w:val="both"/>
        <w:textAlignment w:val="baseline"/>
        <w:rPr>
          <w:rFonts w:cs="Arial"/>
          <w:szCs w:val="20"/>
        </w:rPr>
      </w:pPr>
      <w:r w:rsidRPr="00BE636F">
        <w:rPr>
          <w:rFonts w:cs="Arial"/>
          <w:szCs w:val="20"/>
        </w:rPr>
        <w:t>uzyskać wymagane dokumenty, dopuszczające wyroby budowlane do obrotu i powszechnego stosowania (aprobaty techniczne, certyfikaty zgodności, deklaracje zgodności, ew. badania materiałów wykonane przez dostawców itp.),</w:t>
      </w:r>
    </w:p>
    <w:p w14:paraId="5BDBA1C0" w14:textId="77777777" w:rsidR="00335A32" w:rsidRPr="00BE636F" w:rsidRDefault="00335A32" w:rsidP="00CF1E7D">
      <w:pPr>
        <w:numPr>
          <w:ilvl w:val="0"/>
          <w:numId w:val="249"/>
        </w:numPr>
        <w:overflowPunct w:val="0"/>
        <w:autoSpaceDE w:val="0"/>
        <w:autoSpaceDN w:val="0"/>
        <w:adjustRightInd w:val="0"/>
        <w:spacing w:line="240" w:lineRule="auto"/>
        <w:jc w:val="both"/>
        <w:textAlignment w:val="baseline"/>
        <w:rPr>
          <w:rFonts w:cs="Arial"/>
          <w:szCs w:val="20"/>
        </w:rPr>
      </w:pPr>
      <w:r w:rsidRPr="00BE636F">
        <w:rPr>
          <w:rFonts w:cs="Arial"/>
          <w:szCs w:val="20"/>
        </w:rPr>
        <w:t>ew. wykonać własne badania właściwości materiałów przeznaczonych do wykonania robót, określone w pkcie 2 lub ustalone przez Inżyniera,</w:t>
      </w:r>
    </w:p>
    <w:p w14:paraId="13D928CE" w14:textId="77777777" w:rsidR="00335A32" w:rsidRPr="00BE636F" w:rsidRDefault="00335A32" w:rsidP="00CF1E7D">
      <w:pPr>
        <w:numPr>
          <w:ilvl w:val="0"/>
          <w:numId w:val="249"/>
        </w:numPr>
        <w:overflowPunct w:val="0"/>
        <w:autoSpaceDE w:val="0"/>
        <w:autoSpaceDN w:val="0"/>
        <w:adjustRightInd w:val="0"/>
        <w:spacing w:line="240" w:lineRule="auto"/>
        <w:jc w:val="both"/>
        <w:textAlignment w:val="baseline"/>
        <w:rPr>
          <w:rFonts w:cs="Arial"/>
          <w:szCs w:val="20"/>
        </w:rPr>
      </w:pPr>
      <w:r w:rsidRPr="00BE636F">
        <w:rPr>
          <w:rFonts w:cs="Arial"/>
          <w:szCs w:val="20"/>
        </w:rPr>
        <w:t>sprawdzić cechy zewnętrzne gotowych materiałów z tworzyw i prefabrykowanych.</w:t>
      </w:r>
    </w:p>
    <w:p w14:paraId="0CFF2973" w14:textId="77777777" w:rsidR="00335A32" w:rsidRPr="00BE636F" w:rsidRDefault="00335A32" w:rsidP="00335A32">
      <w:pPr>
        <w:spacing w:line="240" w:lineRule="auto"/>
        <w:ind w:firstLine="709"/>
        <w:rPr>
          <w:rFonts w:cs="Arial"/>
          <w:szCs w:val="20"/>
        </w:rPr>
      </w:pPr>
      <w:r w:rsidRPr="00BE636F">
        <w:rPr>
          <w:rFonts w:cs="Arial"/>
          <w:szCs w:val="20"/>
        </w:rPr>
        <w:t>Wszystkie dokumenty oraz wyniki badań Wykonawca przedstawia Inżynierowi do akceptacji.</w:t>
      </w:r>
    </w:p>
    <w:p w14:paraId="33E5E69D" w14:textId="77777777" w:rsidR="00335A32" w:rsidRPr="00BE636F" w:rsidRDefault="00335A32" w:rsidP="00335A32">
      <w:pPr>
        <w:pStyle w:val="Nagwek2"/>
        <w:numPr>
          <w:ilvl w:val="12"/>
          <w:numId w:val="0"/>
        </w:numPr>
        <w:spacing w:line="240" w:lineRule="auto"/>
        <w:rPr>
          <w:rFonts w:cs="Arial"/>
          <w:szCs w:val="20"/>
        </w:rPr>
      </w:pPr>
      <w:r w:rsidRPr="00BE636F">
        <w:rPr>
          <w:rFonts w:cs="Arial"/>
          <w:szCs w:val="20"/>
        </w:rPr>
        <w:t>6.3. Badania w czasie robót</w:t>
      </w:r>
    </w:p>
    <w:p w14:paraId="15CCD39A" w14:textId="77777777" w:rsidR="00335A32" w:rsidRPr="00BE636F" w:rsidRDefault="00335A32" w:rsidP="00335A32">
      <w:pPr>
        <w:spacing w:after="120" w:line="240" w:lineRule="auto"/>
        <w:rPr>
          <w:rFonts w:cs="Arial"/>
          <w:szCs w:val="20"/>
        </w:rPr>
      </w:pPr>
      <w:r w:rsidRPr="00BE636F">
        <w:rPr>
          <w:rFonts w:cs="Arial"/>
          <w:b/>
          <w:szCs w:val="20"/>
        </w:rPr>
        <w:t xml:space="preserve">6.3.1. </w:t>
      </w:r>
      <w:r w:rsidRPr="00BE636F">
        <w:rPr>
          <w:rFonts w:cs="Arial"/>
          <w:szCs w:val="20"/>
        </w:rPr>
        <w:t>Badania wykonania tymczasowej ochrony drzew</w:t>
      </w:r>
    </w:p>
    <w:p w14:paraId="6DDE881E" w14:textId="77777777" w:rsidR="00335A32" w:rsidRPr="00BE636F" w:rsidRDefault="00335A32" w:rsidP="00335A32">
      <w:pPr>
        <w:spacing w:line="240" w:lineRule="auto"/>
        <w:rPr>
          <w:rFonts w:cs="Arial"/>
          <w:szCs w:val="20"/>
        </w:rPr>
      </w:pPr>
      <w:r w:rsidRPr="00BE636F">
        <w:rPr>
          <w:rFonts w:cs="Arial"/>
          <w:szCs w:val="20"/>
        </w:rPr>
        <w:tab/>
        <w:t>Badania wykonania tymczasowej ochrony drzew dotyczą sprawdzenia:</w:t>
      </w:r>
    </w:p>
    <w:p w14:paraId="0D18EA8D" w14:textId="77777777" w:rsidR="00335A32" w:rsidRPr="00BE636F" w:rsidRDefault="00335A32" w:rsidP="00CF1E7D">
      <w:pPr>
        <w:numPr>
          <w:ilvl w:val="0"/>
          <w:numId w:val="250"/>
        </w:numPr>
        <w:overflowPunct w:val="0"/>
        <w:autoSpaceDE w:val="0"/>
        <w:autoSpaceDN w:val="0"/>
        <w:adjustRightInd w:val="0"/>
        <w:spacing w:line="240" w:lineRule="auto"/>
        <w:jc w:val="both"/>
        <w:textAlignment w:val="baseline"/>
        <w:rPr>
          <w:rFonts w:cs="Arial"/>
          <w:szCs w:val="20"/>
        </w:rPr>
      </w:pPr>
      <w:r w:rsidRPr="00BE636F">
        <w:rPr>
          <w:rFonts w:cs="Arial"/>
          <w:szCs w:val="20"/>
        </w:rPr>
        <w:t>obudowy drzewa w zakresie spełniania warunków zabezpieczenia przed uszkodzeniami mechanicznymi, wymienionymi w pkcie 5.4,</w:t>
      </w:r>
    </w:p>
    <w:p w14:paraId="0FEADC3F" w14:textId="77777777" w:rsidR="00335A32" w:rsidRPr="00BE636F" w:rsidRDefault="00335A32" w:rsidP="00CF1E7D">
      <w:pPr>
        <w:numPr>
          <w:ilvl w:val="0"/>
          <w:numId w:val="250"/>
        </w:numPr>
        <w:overflowPunct w:val="0"/>
        <w:autoSpaceDE w:val="0"/>
        <w:autoSpaceDN w:val="0"/>
        <w:adjustRightInd w:val="0"/>
        <w:spacing w:line="240" w:lineRule="auto"/>
        <w:jc w:val="both"/>
        <w:textAlignment w:val="baseline"/>
        <w:rPr>
          <w:rFonts w:cs="Arial"/>
          <w:szCs w:val="20"/>
        </w:rPr>
      </w:pPr>
      <w:r w:rsidRPr="00BE636F">
        <w:rPr>
          <w:rFonts w:cs="Arial"/>
          <w:szCs w:val="20"/>
        </w:rPr>
        <w:t>zaopatrzenia drzewa w wodę i powietrze, zgodnie z pktem 5.4,</w:t>
      </w:r>
    </w:p>
    <w:p w14:paraId="40101921" w14:textId="77777777" w:rsidR="00335A32" w:rsidRPr="00BE636F" w:rsidRDefault="00335A32" w:rsidP="00CF1E7D">
      <w:pPr>
        <w:numPr>
          <w:ilvl w:val="0"/>
          <w:numId w:val="250"/>
        </w:numPr>
        <w:overflowPunct w:val="0"/>
        <w:autoSpaceDE w:val="0"/>
        <w:autoSpaceDN w:val="0"/>
        <w:adjustRightInd w:val="0"/>
        <w:spacing w:line="240" w:lineRule="auto"/>
        <w:jc w:val="both"/>
        <w:textAlignment w:val="baseline"/>
        <w:rPr>
          <w:rFonts w:cs="Arial"/>
          <w:szCs w:val="20"/>
        </w:rPr>
      </w:pPr>
      <w:r w:rsidRPr="00BE636F">
        <w:rPr>
          <w:rFonts w:cs="Arial"/>
          <w:szCs w:val="20"/>
        </w:rPr>
        <w:t>ewentualnych uszkodzeń drzewa, w tym pnia, korzeni i konarów, w czasie robót zabezpieczających.</w:t>
      </w:r>
    </w:p>
    <w:p w14:paraId="44A0E253" w14:textId="77777777" w:rsidR="00335A32" w:rsidRPr="00BE636F" w:rsidRDefault="00335A32" w:rsidP="00335A32">
      <w:pPr>
        <w:spacing w:before="120" w:after="120" w:line="240" w:lineRule="auto"/>
        <w:rPr>
          <w:rFonts w:cs="Arial"/>
          <w:szCs w:val="20"/>
        </w:rPr>
      </w:pPr>
      <w:r w:rsidRPr="00BE636F">
        <w:rPr>
          <w:rFonts w:cs="Arial"/>
          <w:b/>
          <w:szCs w:val="20"/>
        </w:rPr>
        <w:t xml:space="preserve">6.3.2. </w:t>
      </w:r>
      <w:r w:rsidRPr="00BE636F">
        <w:rPr>
          <w:rFonts w:cs="Arial"/>
          <w:szCs w:val="20"/>
        </w:rPr>
        <w:t>Badania w czasie robót stałego zabezpieczenia drzew</w:t>
      </w:r>
    </w:p>
    <w:p w14:paraId="6B177419" w14:textId="77777777" w:rsidR="00335A32" w:rsidRPr="00BE636F" w:rsidRDefault="00335A32" w:rsidP="00335A32">
      <w:pPr>
        <w:spacing w:line="240" w:lineRule="auto"/>
        <w:rPr>
          <w:rFonts w:cs="Arial"/>
          <w:szCs w:val="20"/>
        </w:rPr>
      </w:pPr>
      <w:r w:rsidRPr="00BE636F">
        <w:rPr>
          <w:rFonts w:cs="Arial"/>
          <w:szCs w:val="20"/>
        </w:rPr>
        <w:tab/>
        <w:t>W czasie robót przy stałym zabezpieczeniu drzew należy:</w:t>
      </w:r>
    </w:p>
    <w:p w14:paraId="7DCDDD23" w14:textId="77777777" w:rsidR="00335A32" w:rsidRPr="00BE636F" w:rsidRDefault="00335A32" w:rsidP="00CF1E7D">
      <w:pPr>
        <w:numPr>
          <w:ilvl w:val="0"/>
          <w:numId w:val="251"/>
        </w:numPr>
        <w:overflowPunct w:val="0"/>
        <w:autoSpaceDE w:val="0"/>
        <w:autoSpaceDN w:val="0"/>
        <w:adjustRightInd w:val="0"/>
        <w:spacing w:line="240" w:lineRule="auto"/>
        <w:jc w:val="both"/>
        <w:textAlignment w:val="baseline"/>
        <w:rPr>
          <w:rFonts w:cs="Arial"/>
          <w:szCs w:val="20"/>
        </w:rPr>
      </w:pPr>
      <w:r w:rsidRPr="00BE636F">
        <w:rPr>
          <w:rFonts w:cs="Arial"/>
          <w:szCs w:val="20"/>
        </w:rPr>
        <w:t>badać zgodność wykonania stałego zabezpieczenia drzewa z dokumentacją projektową, ST lub wymaganiami odpowiednich SST wymienionych w punkcie 5.5 niniejszej specyfikacji,</w:t>
      </w:r>
    </w:p>
    <w:p w14:paraId="5DA983DF" w14:textId="77777777" w:rsidR="00335A32" w:rsidRPr="00BE636F" w:rsidRDefault="00335A32" w:rsidP="00CF1E7D">
      <w:pPr>
        <w:numPr>
          <w:ilvl w:val="0"/>
          <w:numId w:val="251"/>
        </w:numPr>
        <w:overflowPunct w:val="0"/>
        <w:autoSpaceDE w:val="0"/>
        <w:autoSpaceDN w:val="0"/>
        <w:adjustRightInd w:val="0"/>
        <w:spacing w:line="240" w:lineRule="auto"/>
        <w:jc w:val="both"/>
        <w:textAlignment w:val="baseline"/>
        <w:rPr>
          <w:rFonts w:cs="Arial"/>
          <w:szCs w:val="20"/>
        </w:rPr>
      </w:pPr>
      <w:r w:rsidRPr="00BE636F">
        <w:rPr>
          <w:rFonts w:cs="Arial"/>
          <w:szCs w:val="20"/>
        </w:rPr>
        <w:t>sprawdzać ewentualne uszkodzenia drzewa w czasie robót.</w:t>
      </w:r>
    </w:p>
    <w:p w14:paraId="4B34DB1A" w14:textId="77777777" w:rsidR="00335A32" w:rsidRPr="00BE636F" w:rsidRDefault="00335A32" w:rsidP="00335A32">
      <w:pPr>
        <w:spacing w:before="120" w:after="120" w:line="240" w:lineRule="auto"/>
        <w:rPr>
          <w:rFonts w:cs="Arial"/>
          <w:szCs w:val="20"/>
        </w:rPr>
      </w:pPr>
      <w:r w:rsidRPr="00BE636F">
        <w:rPr>
          <w:rFonts w:cs="Arial"/>
          <w:b/>
          <w:szCs w:val="20"/>
        </w:rPr>
        <w:t xml:space="preserve">6.3.3. </w:t>
      </w:r>
      <w:r w:rsidRPr="00BE636F">
        <w:rPr>
          <w:rFonts w:cs="Arial"/>
          <w:szCs w:val="20"/>
        </w:rPr>
        <w:t>Badania robót pielęgnacyjnych drzew uszkodzonych</w:t>
      </w:r>
    </w:p>
    <w:p w14:paraId="45C64D29" w14:textId="77777777" w:rsidR="00335A32" w:rsidRPr="00BE636F" w:rsidRDefault="00335A32" w:rsidP="00335A32">
      <w:pPr>
        <w:spacing w:line="240" w:lineRule="auto"/>
        <w:rPr>
          <w:rFonts w:cs="Arial"/>
          <w:szCs w:val="20"/>
        </w:rPr>
      </w:pPr>
      <w:r w:rsidRPr="00BE636F">
        <w:rPr>
          <w:rFonts w:cs="Arial"/>
          <w:szCs w:val="20"/>
        </w:rPr>
        <w:tab/>
        <w:t>Roboty pielęgnacyjne drzew uszkodzonych w czasie budowy drogi polegają na sprawdzeniu, w nawiązaniu do ustaleń pktu 5.6:</w:t>
      </w:r>
    </w:p>
    <w:p w14:paraId="638AFA21" w14:textId="77777777" w:rsidR="00335A32" w:rsidRPr="00BE636F" w:rsidRDefault="00335A32" w:rsidP="00CF1E7D">
      <w:pPr>
        <w:numPr>
          <w:ilvl w:val="0"/>
          <w:numId w:val="252"/>
        </w:numPr>
        <w:overflowPunct w:val="0"/>
        <w:autoSpaceDE w:val="0"/>
        <w:autoSpaceDN w:val="0"/>
        <w:adjustRightInd w:val="0"/>
        <w:spacing w:line="240" w:lineRule="auto"/>
        <w:jc w:val="both"/>
        <w:textAlignment w:val="baseline"/>
        <w:rPr>
          <w:rFonts w:cs="Arial"/>
          <w:szCs w:val="20"/>
        </w:rPr>
      </w:pPr>
      <w:r w:rsidRPr="00BE636F">
        <w:rPr>
          <w:rFonts w:cs="Arial"/>
          <w:szCs w:val="20"/>
        </w:rPr>
        <w:t>prawidłowości wykonania cięć (korony, korzeni, gałęzi),</w:t>
      </w:r>
    </w:p>
    <w:p w14:paraId="65AAB4D4" w14:textId="77777777" w:rsidR="00335A32" w:rsidRPr="00BE636F" w:rsidRDefault="00335A32" w:rsidP="00CF1E7D">
      <w:pPr>
        <w:numPr>
          <w:ilvl w:val="0"/>
          <w:numId w:val="252"/>
        </w:numPr>
        <w:overflowPunct w:val="0"/>
        <w:autoSpaceDE w:val="0"/>
        <w:autoSpaceDN w:val="0"/>
        <w:adjustRightInd w:val="0"/>
        <w:spacing w:line="240" w:lineRule="auto"/>
        <w:jc w:val="both"/>
        <w:textAlignment w:val="baseline"/>
        <w:rPr>
          <w:rFonts w:cs="Arial"/>
          <w:szCs w:val="20"/>
        </w:rPr>
      </w:pPr>
      <w:r w:rsidRPr="00BE636F">
        <w:rPr>
          <w:rFonts w:cs="Arial"/>
          <w:szCs w:val="20"/>
        </w:rPr>
        <w:t>poprawności wykonania zabezpieczeń uszkodzonych fragmentów drzewa (ran),</w:t>
      </w:r>
    </w:p>
    <w:p w14:paraId="60E817FC" w14:textId="77777777" w:rsidR="00335A32" w:rsidRPr="00BE636F" w:rsidRDefault="00335A32" w:rsidP="00CF1E7D">
      <w:pPr>
        <w:numPr>
          <w:ilvl w:val="0"/>
          <w:numId w:val="252"/>
        </w:numPr>
        <w:overflowPunct w:val="0"/>
        <w:autoSpaceDE w:val="0"/>
        <w:autoSpaceDN w:val="0"/>
        <w:adjustRightInd w:val="0"/>
        <w:spacing w:line="240" w:lineRule="auto"/>
        <w:jc w:val="both"/>
        <w:textAlignment w:val="baseline"/>
        <w:rPr>
          <w:rFonts w:cs="Arial"/>
          <w:szCs w:val="20"/>
        </w:rPr>
      </w:pPr>
      <w:r w:rsidRPr="00BE636F">
        <w:rPr>
          <w:rFonts w:cs="Arial"/>
          <w:szCs w:val="20"/>
        </w:rPr>
        <w:t>zabezpieczeń glebą uszkodzonych korzeni,</w:t>
      </w:r>
    </w:p>
    <w:p w14:paraId="42ECF8C3" w14:textId="77777777" w:rsidR="00335A32" w:rsidRPr="00BE636F" w:rsidRDefault="00335A32" w:rsidP="00CF1E7D">
      <w:pPr>
        <w:numPr>
          <w:ilvl w:val="0"/>
          <w:numId w:val="252"/>
        </w:numPr>
        <w:overflowPunct w:val="0"/>
        <w:autoSpaceDE w:val="0"/>
        <w:autoSpaceDN w:val="0"/>
        <w:adjustRightInd w:val="0"/>
        <w:spacing w:line="240" w:lineRule="auto"/>
        <w:jc w:val="both"/>
        <w:textAlignment w:val="baseline"/>
        <w:rPr>
          <w:rFonts w:cs="Arial"/>
          <w:szCs w:val="20"/>
        </w:rPr>
      </w:pPr>
      <w:r w:rsidRPr="00BE636F">
        <w:rPr>
          <w:rFonts w:cs="Arial"/>
          <w:szCs w:val="20"/>
        </w:rPr>
        <w:t>stopnia zaopatrzenia drzewa w wodę i powietrze.</w:t>
      </w:r>
    </w:p>
    <w:p w14:paraId="18101EFE" w14:textId="77777777" w:rsidR="00335A32" w:rsidRPr="00BE636F" w:rsidRDefault="00335A32" w:rsidP="00335A32">
      <w:pPr>
        <w:pStyle w:val="Nagwek1"/>
        <w:spacing w:line="240" w:lineRule="auto"/>
        <w:rPr>
          <w:rFonts w:cs="Arial"/>
          <w:szCs w:val="20"/>
        </w:rPr>
      </w:pPr>
      <w:r w:rsidRPr="00BE636F">
        <w:rPr>
          <w:rFonts w:cs="Arial"/>
          <w:szCs w:val="20"/>
        </w:rPr>
        <w:t>7. OBMIAR ROBÓT</w:t>
      </w:r>
    </w:p>
    <w:p w14:paraId="3D81BB0F" w14:textId="77777777" w:rsidR="00335A32" w:rsidRPr="00BE636F" w:rsidRDefault="00335A32" w:rsidP="00335A32">
      <w:pPr>
        <w:pStyle w:val="Nagwek2"/>
        <w:spacing w:line="240" w:lineRule="auto"/>
        <w:rPr>
          <w:rFonts w:cs="Arial"/>
          <w:szCs w:val="20"/>
        </w:rPr>
      </w:pPr>
      <w:r w:rsidRPr="00BE636F">
        <w:rPr>
          <w:rFonts w:cs="Arial"/>
          <w:szCs w:val="20"/>
        </w:rPr>
        <w:t>7.1. Ogólne zasady obmiaru robót</w:t>
      </w:r>
    </w:p>
    <w:p w14:paraId="34F1FE8C" w14:textId="77777777" w:rsidR="00335A32" w:rsidRPr="00BE636F" w:rsidRDefault="00335A32" w:rsidP="00335A32">
      <w:pPr>
        <w:tabs>
          <w:tab w:val="left" w:pos="-709"/>
        </w:tabs>
        <w:spacing w:line="240" w:lineRule="auto"/>
        <w:rPr>
          <w:rFonts w:cs="Arial"/>
          <w:szCs w:val="20"/>
        </w:rPr>
      </w:pPr>
      <w:r w:rsidRPr="00BE636F">
        <w:rPr>
          <w:rFonts w:cs="Arial"/>
          <w:szCs w:val="20"/>
        </w:rPr>
        <w:tab/>
        <w:t>Ogólne zasady obmiaru robót podano w SST D-M-00.00.00 „Wymagania ogólne” [1]  pkt 7.</w:t>
      </w:r>
    </w:p>
    <w:p w14:paraId="42BF215E" w14:textId="77777777" w:rsidR="00335A32" w:rsidRPr="00BE636F" w:rsidRDefault="00335A32" w:rsidP="00335A32">
      <w:pPr>
        <w:pStyle w:val="Nagwek2"/>
        <w:spacing w:line="240" w:lineRule="auto"/>
        <w:rPr>
          <w:rFonts w:cs="Arial"/>
          <w:szCs w:val="20"/>
        </w:rPr>
      </w:pPr>
      <w:r w:rsidRPr="00BE636F">
        <w:rPr>
          <w:rFonts w:cs="Arial"/>
          <w:szCs w:val="20"/>
        </w:rPr>
        <w:t>7.2. Jednostka obmiarowa</w:t>
      </w:r>
    </w:p>
    <w:p w14:paraId="396FEB31" w14:textId="77777777" w:rsidR="00335A32" w:rsidRPr="00BE636F" w:rsidRDefault="00335A32" w:rsidP="00335A32">
      <w:pPr>
        <w:tabs>
          <w:tab w:val="left" w:pos="-709"/>
        </w:tabs>
        <w:spacing w:line="240" w:lineRule="auto"/>
        <w:rPr>
          <w:rFonts w:cs="Arial"/>
          <w:szCs w:val="20"/>
        </w:rPr>
      </w:pPr>
      <w:r w:rsidRPr="00BE636F">
        <w:rPr>
          <w:rFonts w:cs="Arial"/>
          <w:szCs w:val="20"/>
        </w:rPr>
        <w:tab/>
        <w:t>Jednostką obmiarową jest sztuka zabezpieczonego drzewa.</w:t>
      </w:r>
    </w:p>
    <w:p w14:paraId="159E7AB0" w14:textId="77777777" w:rsidR="00335A32" w:rsidRPr="00BE636F" w:rsidRDefault="00335A32" w:rsidP="00335A32">
      <w:pPr>
        <w:pStyle w:val="Nagwek1"/>
        <w:spacing w:line="240" w:lineRule="auto"/>
        <w:rPr>
          <w:rFonts w:cs="Arial"/>
          <w:szCs w:val="20"/>
        </w:rPr>
      </w:pPr>
      <w:r w:rsidRPr="00BE636F">
        <w:rPr>
          <w:rFonts w:cs="Arial"/>
          <w:szCs w:val="20"/>
        </w:rPr>
        <w:t>8. ODBIÓR ROBÓT</w:t>
      </w:r>
    </w:p>
    <w:p w14:paraId="7BD57B24" w14:textId="77777777" w:rsidR="00335A32" w:rsidRPr="00BE636F" w:rsidRDefault="00335A32" w:rsidP="00335A32">
      <w:pPr>
        <w:pStyle w:val="Nagwek2"/>
        <w:spacing w:line="240" w:lineRule="auto"/>
        <w:rPr>
          <w:rFonts w:cs="Arial"/>
          <w:szCs w:val="20"/>
        </w:rPr>
      </w:pPr>
      <w:r w:rsidRPr="00BE636F">
        <w:rPr>
          <w:rFonts w:cs="Arial"/>
          <w:szCs w:val="20"/>
        </w:rPr>
        <w:t>8.1. Ogólne zasady odbioru robót</w:t>
      </w:r>
    </w:p>
    <w:p w14:paraId="47E1FFAD" w14:textId="77777777" w:rsidR="00335A32" w:rsidRPr="00BE636F" w:rsidRDefault="00335A32" w:rsidP="00335A32">
      <w:pPr>
        <w:tabs>
          <w:tab w:val="left" w:pos="-709"/>
        </w:tabs>
        <w:spacing w:line="240" w:lineRule="auto"/>
        <w:rPr>
          <w:rFonts w:cs="Arial"/>
          <w:szCs w:val="20"/>
        </w:rPr>
      </w:pPr>
      <w:r w:rsidRPr="00BE636F">
        <w:rPr>
          <w:rFonts w:cs="Arial"/>
          <w:szCs w:val="20"/>
        </w:rPr>
        <w:tab/>
        <w:t>Ogólne zasady odbioru robót podano w SST D-M-00.00.00 „Wymagania ogólne” [1] pkt 8.</w:t>
      </w:r>
    </w:p>
    <w:p w14:paraId="441A6365" w14:textId="77777777" w:rsidR="00335A32" w:rsidRPr="00BE636F" w:rsidRDefault="00335A32" w:rsidP="00335A32">
      <w:pPr>
        <w:tabs>
          <w:tab w:val="left" w:pos="-709"/>
        </w:tabs>
        <w:spacing w:line="240" w:lineRule="auto"/>
        <w:rPr>
          <w:rFonts w:cs="Arial"/>
          <w:szCs w:val="20"/>
        </w:rPr>
      </w:pPr>
      <w:r w:rsidRPr="00BE636F">
        <w:rPr>
          <w:rFonts w:cs="Arial"/>
          <w:szCs w:val="20"/>
        </w:rPr>
        <w:tab/>
        <w:t>Roboty uznaje się za wykonane zgodnie z dokumentacją projektową, ST i wymaganiami Inżyniera, jeżeli wszystkie pomiary i badania z zachowaniem tolerancji wg pkt 6 dały wyniki pozytywne.</w:t>
      </w:r>
    </w:p>
    <w:p w14:paraId="4363E179" w14:textId="77777777" w:rsidR="00335A32" w:rsidRPr="00BE636F" w:rsidRDefault="00335A32" w:rsidP="00335A32">
      <w:pPr>
        <w:pStyle w:val="Nagwek2"/>
        <w:spacing w:line="240" w:lineRule="auto"/>
        <w:rPr>
          <w:rFonts w:cs="Arial"/>
          <w:szCs w:val="20"/>
        </w:rPr>
      </w:pPr>
      <w:r w:rsidRPr="00BE636F">
        <w:rPr>
          <w:rFonts w:cs="Arial"/>
          <w:szCs w:val="20"/>
        </w:rPr>
        <w:t>8.2. Odbiór robót zanikających i ulegających zakryciu</w:t>
      </w:r>
    </w:p>
    <w:p w14:paraId="69CDB93E" w14:textId="77777777" w:rsidR="00335A32" w:rsidRPr="00BE636F" w:rsidRDefault="00335A32" w:rsidP="00335A32">
      <w:pPr>
        <w:spacing w:line="240" w:lineRule="auto"/>
        <w:rPr>
          <w:rFonts w:cs="Arial"/>
          <w:szCs w:val="20"/>
        </w:rPr>
      </w:pPr>
      <w:r w:rsidRPr="00BE636F">
        <w:rPr>
          <w:rFonts w:cs="Arial"/>
          <w:szCs w:val="20"/>
        </w:rPr>
        <w:tab/>
        <w:t>Odbiorowi robót zanikających i ulegających zakryciu podlegają:</w:t>
      </w:r>
    </w:p>
    <w:p w14:paraId="14487B02" w14:textId="77777777" w:rsidR="00335A32" w:rsidRPr="00BE636F" w:rsidRDefault="00335A32" w:rsidP="00CF1E7D">
      <w:pPr>
        <w:numPr>
          <w:ilvl w:val="0"/>
          <w:numId w:val="254"/>
        </w:numPr>
        <w:tabs>
          <w:tab w:val="clear" w:pos="340"/>
          <w:tab w:val="num" w:pos="284"/>
        </w:tabs>
        <w:overflowPunct w:val="0"/>
        <w:autoSpaceDE w:val="0"/>
        <w:autoSpaceDN w:val="0"/>
        <w:adjustRightInd w:val="0"/>
        <w:spacing w:line="240" w:lineRule="auto"/>
        <w:ind w:left="284" w:hanging="284"/>
        <w:jc w:val="both"/>
        <w:textAlignment w:val="baseline"/>
        <w:rPr>
          <w:rFonts w:cs="Arial"/>
          <w:szCs w:val="20"/>
        </w:rPr>
      </w:pPr>
      <w:r w:rsidRPr="00BE636F">
        <w:rPr>
          <w:rFonts w:cs="Arial"/>
          <w:szCs w:val="20"/>
        </w:rPr>
        <w:t>w zakresie robót stałego zabezpieczenia drzew – roboty określone w odpowiednich SST, wymienionych w pkcie 5.5 niniejszej specyfikacji,</w:t>
      </w:r>
    </w:p>
    <w:p w14:paraId="3BA3BC64" w14:textId="77777777" w:rsidR="00335A32" w:rsidRPr="00BE636F" w:rsidRDefault="00335A32" w:rsidP="00CF1E7D">
      <w:pPr>
        <w:numPr>
          <w:ilvl w:val="0"/>
          <w:numId w:val="254"/>
        </w:numPr>
        <w:tabs>
          <w:tab w:val="clear" w:pos="340"/>
          <w:tab w:val="num" w:pos="284"/>
        </w:tabs>
        <w:overflowPunct w:val="0"/>
        <w:autoSpaceDE w:val="0"/>
        <w:autoSpaceDN w:val="0"/>
        <w:adjustRightInd w:val="0"/>
        <w:spacing w:line="240" w:lineRule="auto"/>
        <w:ind w:left="284" w:hanging="284"/>
        <w:jc w:val="both"/>
        <w:textAlignment w:val="baseline"/>
        <w:rPr>
          <w:rFonts w:cs="Arial"/>
          <w:szCs w:val="20"/>
        </w:rPr>
      </w:pPr>
      <w:r w:rsidRPr="00BE636F">
        <w:rPr>
          <w:rFonts w:cs="Arial"/>
          <w:szCs w:val="20"/>
        </w:rPr>
        <w:t>w zakresie robót pielęgnacyjnych drzew uszkodzonych – cięcie i zabezpieczenie uszkodzonych korzeni oraz wymiana gruntu w najbliższym otoczeniu uszkodzonych korzeni.</w:t>
      </w:r>
    </w:p>
    <w:p w14:paraId="137F18CE" w14:textId="77777777" w:rsidR="00335A32" w:rsidRPr="00BE636F" w:rsidRDefault="00335A32" w:rsidP="00335A32">
      <w:pPr>
        <w:pStyle w:val="Nagwek1"/>
        <w:spacing w:line="240" w:lineRule="auto"/>
        <w:rPr>
          <w:rFonts w:cs="Arial"/>
          <w:szCs w:val="20"/>
        </w:rPr>
      </w:pPr>
      <w:r w:rsidRPr="00BE636F">
        <w:rPr>
          <w:rFonts w:cs="Arial"/>
          <w:szCs w:val="20"/>
        </w:rPr>
        <w:t>9. PODSTAWA PŁATNOŚCI</w:t>
      </w:r>
    </w:p>
    <w:p w14:paraId="0DE74D76" w14:textId="77777777" w:rsidR="00335A32" w:rsidRPr="00BE636F" w:rsidRDefault="00335A32" w:rsidP="00335A32">
      <w:pPr>
        <w:pStyle w:val="Nagwek2"/>
        <w:spacing w:line="240" w:lineRule="auto"/>
        <w:rPr>
          <w:rFonts w:cs="Arial"/>
          <w:szCs w:val="20"/>
        </w:rPr>
      </w:pPr>
      <w:r w:rsidRPr="00BE636F">
        <w:rPr>
          <w:rFonts w:cs="Arial"/>
          <w:szCs w:val="20"/>
        </w:rPr>
        <w:t>9.1. Ogólne ustalenia dotyczące podstawy płatności</w:t>
      </w:r>
    </w:p>
    <w:p w14:paraId="7D936B4D" w14:textId="77777777" w:rsidR="00335A32" w:rsidRPr="00BE636F" w:rsidRDefault="00335A32" w:rsidP="00335A32">
      <w:pPr>
        <w:tabs>
          <w:tab w:val="left" w:pos="-709"/>
        </w:tabs>
        <w:spacing w:line="240" w:lineRule="auto"/>
        <w:rPr>
          <w:rFonts w:cs="Arial"/>
          <w:szCs w:val="20"/>
        </w:rPr>
      </w:pPr>
      <w:r w:rsidRPr="00BE636F">
        <w:rPr>
          <w:rFonts w:cs="Arial"/>
          <w:szCs w:val="20"/>
        </w:rPr>
        <w:tab/>
        <w:t xml:space="preserve">Ogólne  ustalenia  dotyczące  podstawy  płatności  podano   w </w:t>
      </w:r>
      <w:r w:rsidRPr="00BE636F">
        <w:rPr>
          <w:rFonts w:cs="Arial"/>
          <w:b/>
          <w:szCs w:val="20"/>
        </w:rPr>
        <w:t xml:space="preserve"> </w:t>
      </w:r>
      <w:r w:rsidRPr="00BE636F">
        <w:rPr>
          <w:rFonts w:cs="Arial"/>
          <w:szCs w:val="20"/>
        </w:rPr>
        <w:t>SST D-M-00.00.00 „Wymagania ogólne” [1]  pkt 9.</w:t>
      </w:r>
    </w:p>
    <w:p w14:paraId="1B885519" w14:textId="77777777" w:rsidR="00335A32" w:rsidRPr="00BE636F" w:rsidRDefault="00335A32" w:rsidP="00335A32">
      <w:pPr>
        <w:pStyle w:val="Nagwek2"/>
        <w:spacing w:line="240" w:lineRule="auto"/>
        <w:rPr>
          <w:rFonts w:cs="Arial"/>
          <w:szCs w:val="20"/>
        </w:rPr>
      </w:pPr>
      <w:r w:rsidRPr="00BE636F">
        <w:rPr>
          <w:rFonts w:cs="Arial"/>
          <w:szCs w:val="20"/>
        </w:rPr>
        <w:t>9.2. Cena jednostki obmiarowej</w:t>
      </w:r>
    </w:p>
    <w:p w14:paraId="583557C1" w14:textId="77777777" w:rsidR="00335A32" w:rsidRPr="00BE636F" w:rsidRDefault="00335A32" w:rsidP="00335A32">
      <w:pPr>
        <w:tabs>
          <w:tab w:val="left" w:pos="-709"/>
        </w:tabs>
        <w:spacing w:line="240" w:lineRule="auto"/>
        <w:rPr>
          <w:rFonts w:cs="Arial"/>
          <w:szCs w:val="20"/>
        </w:rPr>
      </w:pPr>
      <w:r w:rsidRPr="00BE636F">
        <w:rPr>
          <w:rFonts w:cs="Arial"/>
          <w:szCs w:val="20"/>
        </w:rPr>
        <w:tab/>
        <w:t>Cena zabezpieczenia 1 sztuki drzewa obejmuje:</w:t>
      </w:r>
    </w:p>
    <w:p w14:paraId="11745F62" w14:textId="77777777" w:rsidR="00335A32" w:rsidRPr="00BE636F" w:rsidRDefault="00335A32" w:rsidP="00CF1E7D">
      <w:pPr>
        <w:numPr>
          <w:ilvl w:val="0"/>
          <w:numId w:val="253"/>
        </w:numPr>
        <w:tabs>
          <w:tab w:val="left" w:pos="-709"/>
        </w:tabs>
        <w:overflowPunct w:val="0"/>
        <w:autoSpaceDE w:val="0"/>
        <w:autoSpaceDN w:val="0"/>
        <w:adjustRightInd w:val="0"/>
        <w:spacing w:line="240" w:lineRule="auto"/>
        <w:jc w:val="both"/>
        <w:textAlignment w:val="baseline"/>
        <w:rPr>
          <w:rFonts w:cs="Arial"/>
          <w:szCs w:val="20"/>
        </w:rPr>
      </w:pPr>
      <w:r w:rsidRPr="00BE636F">
        <w:rPr>
          <w:rFonts w:cs="Arial"/>
          <w:szCs w:val="20"/>
        </w:rPr>
        <w:t>roboty przygotowawcze, pomiarowe,</w:t>
      </w:r>
    </w:p>
    <w:p w14:paraId="387BE507" w14:textId="77777777" w:rsidR="00335A32" w:rsidRPr="00BE636F" w:rsidRDefault="00335A32" w:rsidP="00CF1E7D">
      <w:pPr>
        <w:numPr>
          <w:ilvl w:val="0"/>
          <w:numId w:val="253"/>
        </w:numPr>
        <w:tabs>
          <w:tab w:val="left" w:pos="-709"/>
        </w:tabs>
        <w:overflowPunct w:val="0"/>
        <w:autoSpaceDE w:val="0"/>
        <w:autoSpaceDN w:val="0"/>
        <w:adjustRightInd w:val="0"/>
        <w:spacing w:line="240" w:lineRule="auto"/>
        <w:jc w:val="both"/>
        <w:textAlignment w:val="baseline"/>
        <w:rPr>
          <w:rFonts w:cs="Arial"/>
          <w:szCs w:val="20"/>
        </w:rPr>
      </w:pPr>
      <w:r w:rsidRPr="00BE636F">
        <w:rPr>
          <w:rFonts w:cs="Arial"/>
          <w:szCs w:val="20"/>
        </w:rPr>
        <w:lastRenderedPageBreak/>
        <w:t>pozyskanie miejsca składowania materiałów,</w:t>
      </w:r>
    </w:p>
    <w:p w14:paraId="040E20C1" w14:textId="77777777" w:rsidR="00335A32" w:rsidRPr="00BE636F" w:rsidRDefault="00335A32" w:rsidP="00CF1E7D">
      <w:pPr>
        <w:numPr>
          <w:ilvl w:val="0"/>
          <w:numId w:val="253"/>
        </w:numPr>
        <w:tabs>
          <w:tab w:val="left" w:pos="-709"/>
        </w:tabs>
        <w:overflowPunct w:val="0"/>
        <w:autoSpaceDE w:val="0"/>
        <w:autoSpaceDN w:val="0"/>
        <w:adjustRightInd w:val="0"/>
        <w:spacing w:line="240" w:lineRule="auto"/>
        <w:jc w:val="both"/>
        <w:textAlignment w:val="baseline"/>
        <w:rPr>
          <w:rFonts w:cs="Arial"/>
          <w:szCs w:val="20"/>
        </w:rPr>
      </w:pPr>
      <w:r w:rsidRPr="00BE636F">
        <w:rPr>
          <w:rFonts w:cs="Arial"/>
          <w:szCs w:val="20"/>
        </w:rPr>
        <w:t>dostarczenie materiałów i sprzętu,</w:t>
      </w:r>
    </w:p>
    <w:p w14:paraId="2D0B2C1C" w14:textId="77777777" w:rsidR="00335A32" w:rsidRPr="00BE636F" w:rsidRDefault="00335A32" w:rsidP="00CF1E7D">
      <w:pPr>
        <w:numPr>
          <w:ilvl w:val="0"/>
          <w:numId w:val="253"/>
        </w:numPr>
        <w:tabs>
          <w:tab w:val="left" w:pos="-709"/>
        </w:tabs>
        <w:overflowPunct w:val="0"/>
        <w:autoSpaceDE w:val="0"/>
        <w:autoSpaceDN w:val="0"/>
        <w:adjustRightInd w:val="0"/>
        <w:spacing w:line="240" w:lineRule="auto"/>
        <w:jc w:val="both"/>
        <w:textAlignment w:val="baseline"/>
        <w:rPr>
          <w:rFonts w:cs="Arial"/>
          <w:szCs w:val="20"/>
        </w:rPr>
      </w:pPr>
      <w:r w:rsidRPr="00BE636F">
        <w:rPr>
          <w:rFonts w:cs="Arial"/>
          <w:szCs w:val="20"/>
        </w:rPr>
        <w:t>wykonanie zabezpieczenia drzewa lub pielęgnacji drzewa uszkodzonego, zgodnie z wymaganiami dokumentacji projektowej i specyfikacji technicznej,</w:t>
      </w:r>
    </w:p>
    <w:p w14:paraId="20A7F727" w14:textId="77777777" w:rsidR="00335A32" w:rsidRPr="00BE636F" w:rsidRDefault="00335A32" w:rsidP="00CF1E7D">
      <w:pPr>
        <w:numPr>
          <w:ilvl w:val="0"/>
          <w:numId w:val="253"/>
        </w:numPr>
        <w:tabs>
          <w:tab w:val="left" w:pos="-709"/>
        </w:tabs>
        <w:overflowPunct w:val="0"/>
        <w:autoSpaceDE w:val="0"/>
        <w:autoSpaceDN w:val="0"/>
        <w:adjustRightInd w:val="0"/>
        <w:spacing w:line="240" w:lineRule="auto"/>
        <w:jc w:val="both"/>
        <w:textAlignment w:val="baseline"/>
        <w:rPr>
          <w:rFonts w:cs="Arial"/>
          <w:szCs w:val="20"/>
        </w:rPr>
      </w:pPr>
      <w:r w:rsidRPr="00BE636F">
        <w:rPr>
          <w:rFonts w:cs="Arial"/>
          <w:szCs w:val="20"/>
        </w:rPr>
        <w:t>przeprowadzenie pomiarów i badań wymaganych w niniejszej specyfikacji technicznej,</w:t>
      </w:r>
    </w:p>
    <w:p w14:paraId="66C169DC" w14:textId="77777777" w:rsidR="00335A32" w:rsidRPr="00BE636F" w:rsidRDefault="00335A32" w:rsidP="00CF1E7D">
      <w:pPr>
        <w:numPr>
          <w:ilvl w:val="0"/>
          <w:numId w:val="253"/>
        </w:numPr>
        <w:tabs>
          <w:tab w:val="left" w:pos="-709"/>
        </w:tabs>
        <w:overflowPunct w:val="0"/>
        <w:autoSpaceDE w:val="0"/>
        <w:autoSpaceDN w:val="0"/>
        <w:adjustRightInd w:val="0"/>
        <w:spacing w:line="240" w:lineRule="auto"/>
        <w:jc w:val="both"/>
        <w:textAlignment w:val="baseline"/>
        <w:rPr>
          <w:rFonts w:cs="Arial"/>
          <w:szCs w:val="20"/>
        </w:rPr>
      </w:pPr>
      <w:r w:rsidRPr="00BE636F">
        <w:rPr>
          <w:rFonts w:cs="Arial"/>
          <w:szCs w:val="20"/>
        </w:rPr>
        <w:t>odwiezienie sprzętu,</w:t>
      </w:r>
    </w:p>
    <w:p w14:paraId="2506FCD5" w14:textId="77777777" w:rsidR="00335A32" w:rsidRPr="00BE636F" w:rsidRDefault="00335A32" w:rsidP="00CF1E7D">
      <w:pPr>
        <w:numPr>
          <w:ilvl w:val="0"/>
          <w:numId w:val="253"/>
        </w:numPr>
        <w:tabs>
          <w:tab w:val="left" w:pos="-709"/>
        </w:tabs>
        <w:overflowPunct w:val="0"/>
        <w:autoSpaceDE w:val="0"/>
        <w:autoSpaceDN w:val="0"/>
        <w:adjustRightInd w:val="0"/>
        <w:spacing w:line="240" w:lineRule="auto"/>
        <w:jc w:val="both"/>
        <w:textAlignment w:val="baseline"/>
        <w:rPr>
          <w:rFonts w:cs="Arial"/>
          <w:szCs w:val="20"/>
        </w:rPr>
      </w:pPr>
      <w:r w:rsidRPr="00BE636F">
        <w:rPr>
          <w:rFonts w:cs="Arial"/>
          <w:szCs w:val="20"/>
        </w:rPr>
        <w:t>uporządkowanie terenu robót.</w:t>
      </w:r>
    </w:p>
    <w:p w14:paraId="181E3E0A" w14:textId="77777777" w:rsidR="00335A32" w:rsidRPr="00BE636F" w:rsidRDefault="00335A32" w:rsidP="00335A32">
      <w:pPr>
        <w:pStyle w:val="Nagwek2"/>
        <w:spacing w:line="240" w:lineRule="auto"/>
        <w:rPr>
          <w:rFonts w:cs="Arial"/>
          <w:szCs w:val="20"/>
        </w:rPr>
      </w:pPr>
      <w:r w:rsidRPr="00BE636F">
        <w:rPr>
          <w:rFonts w:cs="Arial"/>
          <w:szCs w:val="20"/>
        </w:rPr>
        <w:t>9.3. Sposób rozliczenia robót tymczasowych i prac towarzyszących</w:t>
      </w:r>
    </w:p>
    <w:p w14:paraId="5B3EC41F" w14:textId="77777777" w:rsidR="00335A32" w:rsidRPr="00BE636F" w:rsidRDefault="00335A32" w:rsidP="00335A32">
      <w:pPr>
        <w:spacing w:line="240" w:lineRule="auto"/>
        <w:rPr>
          <w:rFonts w:cs="Arial"/>
          <w:szCs w:val="20"/>
        </w:rPr>
      </w:pPr>
      <w:r w:rsidRPr="00BE636F">
        <w:rPr>
          <w:rFonts w:cs="Arial"/>
          <w:szCs w:val="20"/>
        </w:rPr>
        <w:tab/>
        <w:t>Cena wykonania robót określonych niniejszą SST obejmuje:</w:t>
      </w:r>
    </w:p>
    <w:p w14:paraId="11F6C5D6" w14:textId="77777777" w:rsidR="00335A32" w:rsidRPr="00BE636F" w:rsidRDefault="00335A32" w:rsidP="00335A32">
      <w:pPr>
        <w:numPr>
          <w:ilvl w:val="0"/>
          <w:numId w:val="4"/>
        </w:numPr>
        <w:overflowPunct w:val="0"/>
        <w:autoSpaceDE w:val="0"/>
        <w:autoSpaceDN w:val="0"/>
        <w:adjustRightInd w:val="0"/>
        <w:spacing w:line="240" w:lineRule="auto"/>
        <w:jc w:val="both"/>
        <w:textAlignment w:val="baseline"/>
        <w:rPr>
          <w:rFonts w:cs="Arial"/>
          <w:szCs w:val="20"/>
        </w:rPr>
      </w:pPr>
      <w:r w:rsidRPr="00BE636F">
        <w:rPr>
          <w:rFonts w:cs="Arial"/>
          <w:szCs w:val="20"/>
        </w:rPr>
        <w:t>roboty tymczasowe, które są potrzebne do wykonania robót podstawowych, ale nie są przekazywane Zamawiającemu i są usuwane po wykonaniu robót podstawowych,</w:t>
      </w:r>
    </w:p>
    <w:p w14:paraId="43105DC9" w14:textId="77777777" w:rsidR="00335A32" w:rsidRPr="00BE636F" w:rsidRDefault="00335A32" w:rsidP="00335A32">
      <w:pPr>
        <w:numPr>
          <w:ilvl w:val="0"/>
          <w:numId w:val="4"/>
        </w:numPr>
        <w:tabs>
          <w:tab w:val="left" w:pos="-709"/>
        </w:tabs>
        <w:overflowPunct w:val="0"/>
        <w:autoSpaceDE w:val="0"/>
        <w:autoSpaceDN w:val="0"/>
        <w:adjustRightInd w:val="0"/>
        <w:spacing w:line="240" w:lineRule="auto"/>
        <w:jc w:val="both"/>
        <w:textAlignment w:val="baseline"/>
        <w:rPr>
          <w:rFonts w:cs="Arial"/>
          <w:szCs w:val="20"/>
        </w:rPr>
      </w:pPr>
      <w:r w:rsidRPr="00BE636F">
        <w:rPr>
          <w:rFonts w:cs="Arial"/>
          <w:szCs w:val="20"/>
        </w:rPr>
        <w:t>prace towarzyszące, które są niezbędne do wykonania robót podstawowych, niezaliczane do robót tymczasowych, jak geodezyjne wytyczenie robót itd.</w:t>
      </w:r>
    </w:p>
    <w:p w14:paraId="65EAC6F4" w14:textId="77777777" w:rsidR="00335A32" w:rsidRPr="00BE636F" w:rsidRDefault="00335A32" w:rsidP="00335A32">
      <w:pPr>
        <w:pStyle w:val="Nagwek1"/>
        <w:spacing w:line="240" w:lineRule="auto"/>
        <w:rPr>
          <w:rFonts w:cs="Arial"/>
          <w:szCs w:val="20"/>
        </w:rPr>
      </w:pPr>
      <w:r w:rsidRPr="00BE636F">
        <w:rPr>
          <w:rFonts w:cs="Arial"/>
          <w:szCs w:val="20"/>
        </w:rPr>
        <w:t>10. PRZEPISY ZWIĄZANE</w:t>
      </w:r>
    </w:p>
    <w:p w14:paraId="7ADF5DCC" w14:textId="77777777" w:rsidR="00335A32" w:rsidRPr="00BE636F" w:rsidRDefault="00335A32" w:rsidP="00335A32">
      <w:pPr>
        <w:pStyle w:val="Nagwek2"/>
        <w:spacing w:line="240" w:lineRule="auto"/>
        <w:rPr>
          <w:rFonts w:cs="Arial"/>
          <w:szCs w:val="20"/>
        </w:rPr>
      </w:pPr>
      <w:r w:rsidRPr="00BE636F">
        <w:rPr>
          <w:rFonts w:cs="Arial"/>
          <w:szCs w:val="20"/>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496"/>
        <w:gridCol w:w="1559"/>
        <w:gridCol w:w="5455"/>
      </w:tblGrid>
      <w:tr w:rsidR="00335A32" w:rsidRPr="00BE636F" w14:paraId="67072D34" w14:textId="77777777" w:rsidTr="0031684C">
        <w:tc>
          <w:tcPr>
            <w:tcW w:w="496" w:type="dxa"/>
          </w:tcPr>
          <w:p w14:paraId="661E4F2C" w14:textId="77777777" w:rsidR="00335A32" w:rsidRPr="00BE636F" w:rsidRDefault="00335A32" w:rsidP="0031684C">
            <w:pPr>
              <w:spacing w:line="240" w:lineRule="auto"/>
              <w:jc w:val="center"/>
              <w:rPr>
                <w:rFonts w:cs="Arial"/>
                <w:szCs w:val="20"/>
              </w:rPr>
            </w:pPr>
            <w:r w:rsidRPr="00BE636F">
              <w:rPr>
                <w:rFonts w:cs="Arial"/>
                <w:szCs w:val="20"/>
              </w:rPr>
              <w:t>1.</w:t>
            </w:r>
          </w:p>
        </w:tc>
        <w:tc>
          <w:tcPr>
            <w:tcW w:w="1559" w:type="dxa"/>
          </w:tcPr>
          <w:p w14:paraId="33D032C3" w14:textId="77777777" w:rsidR="00335A32" w:rsidRPr="00BE636F" w:rsidRDefault="00335A32" w:rsidP="0031684C">
            <w:pPr>
              <w:spacing w:line="240" w:lineRule="auto"/>
              <w:rPr>
                <w:rFonts w:cs="Arial"/>
                <w:szCs w:val="20"/>
              </w:rPr>
            </w:pPr>
            <w:r w:rsidRPr="00BE636F">
              <w:rPr>
                <w:rFonts w:cs="Arial"/>
                <w:szCs w:val="20"/>
              </w:rPr>
              <w:t>D-M-00.00.00</w:t>
            </w:r>
          </w:p>
        </w:tc>
        <w:tc>
          <w:tcPr>
            <w:tcW w:w="5455" w:type="dxa"/>
          </w:tcPr>
          <w:p w14:paraId="55382C45" w14:textId="77777777" w:rsidR="00335A32" w:rsidRPr="00BE636F" w:rsidRDefault="00335A32" w:rsidP="0031684C">
            <w:pPr>
              <w:spacing w:line="240" w:lineRule="auto"/>
              <w:rPr>
                <w:rFonts w:cs="Arial"/>
                <w:szCs w:val="20"/>
              </w:rPr>
            </w:pPr>
            <w:r w:rsidRPr="00BE636F">
              <w:rPr>
                <w:rFonts w:cs="Arial"/>
                <w:szCs w:val="20"/>
              </w:rPr>
              <w:t>Wymagania ogólne</w:t>
            </w:r>
          </w:p>
        </w:tc>
      </w:tr>
      <w:tr w:rsidR="00335A32" w:rsidRPr="00BE636F" w14:paraId="0BC4AD95" w14:textId="77777777" w:rsidTr="0031684C">
        <w:tc>
          <w:tcPr>
            <w:tcW w:w="496" w:type="dxa"/>
          </w:tcPr>
          <w:p w14:paraId="195E1170" w14:textId="77777777" w:rsidR="00335A32" w:rsidRPr="00BE636F" w:rsidRDefault="00335A32" w:rsidP="0031684C">
            <w:pPr>
              <w:spacing w:line="240" w:lineRule="auto"/>
              <w:jc w:val="center"/>
              <w:rPr>
                <w:rFonts w:cs="Arial"/>
                <w:szCs w:val="20"/>
              </w:rPr>
            </w:pPr>
            <w:r w:rsidRPr="00BE636F">
              <w:rPr>
                <w:rFonts w:cs="Arial"/>
                <w:szCs w:val="20"/>
              </w:rPr>
              <w:t>2.</w:t>
            </w:r>
          </w:p>
        </w:tc>
        <w:tc>
          <w:tcPr>
            <w:tcW w:w="1559" w:type="dxa"/>
          </w:tcPr>
          <w:p w14:paraId="48CFBE98" w14:textId="77777777" w:rsidR="00335A32" w:rsidRPr="00BE636F" w:rsidRDefault="00335A32" w:rsidP="0031684C">
            <w:pPr>
              <w:spacing w:line="240" w:lineRule="auto"/>
              <w:rPr>
                <w:rFonts w:cs="Arial"/>
                <w:szCs w:val="20"/>
              </w:rPr>
            </w:pPr>
            <w:r w:rsidRPr="00BE636F">
              <w:rPr>
                <w:rFonts w:cs="Arial"/>
                <w:szCs w:val="20"/>
              </w:rPr>
              <w:t>D-01.00.00</w:t>
            </w:r>
          </w:p>
        </w:tc>
        <w:tc>
          <w:tcPr>
            <w:tcW w:w="5455" w:type="dxa"/>
          </w:tcPr>
          <w:p w14:paraId="64CF9CF1" w14:textId="77777777" w:rsidR="00335A32" w:rsidRPr="00BE636F" w:rsidRDefault="00335A32" w:rsidP="0031684C">
            <w:pPr>
              <w:spacing w:line="240" w:lineRule="auto"/>
              <w:rPr>
                <w:rFonts w:cs="Arial"/>
                <w:szCs w:val="20"/>
              </w:rPr>
            </w:pPr>
            <w:r w:rsidRPr="00BE636F">
              <w:rPr>
                <w:rFonts w:cs="Arial"/>
                <w:szCs w:val="20"/>
              </w:rPr>
              <w:t>Roboty przygotowawcze</w:t>
            </w:r>
          </w:p>
        </w:tc>
      </w:tr>
      <w:tr w:rsidR="00335A32" w:rsidRPr="00BE636F" w14:paraId="5D8D5985" w14:textId="77777777" w:rsidTr="0031684C">
        <w:tc>
          <w:tcPr>
            <w:tcW w:w="496" w:type="dxa"/>
          </w:tcPr>
          <w:p w14:paraId="1343F36A" w14:textId="77777777" w:rsidR="00335A32" w:rsidRPr="00BE636F" w:rsidRDefault="00335A32" w:rsidP="0031684C">
            <w:pPr>
              <w:spacing w:line="240" w:lineRule="auto"/>
              <w:jc w:val="center"/>
              <w:rPr>
                <w:rFonts w:cs="Arial"/>
                <w:szCs w:val="20"/>
              </w:rPr>
            </w:pPr>
            <w:r w:rsidRPr="00BE636F">
              <w:rPr>
                <w:rFonts w:cs="Arial"/>
                <w:szCs w:val="20"/>
              </w:rPr>
              <w:t>3.</w:t>
            </w:r>
          </w:p>
        </w:tc>
        <w:tc>
          <w:tcPr>
            <w:tcW w:w="1559" w:type="dxa"/>
          </w:tcPr>
          <w:p w14:paraId="30DDEB85" w14:textId="77777777" w:rsidR="00335A32" w:rsidRPr="00BE636F" w:rsidRDefault="00335A32" w:rsidP="0031684C">
            <w:pPr>
              <w:spacing w:line="240" w:lineRule="auto"/>
              <w:rPr>
                <w:rFonts w:cs="Arial"/>
                <w:szCs w:val="20"/>
              </w:rPr>
            </w:pPr>
            <w:r w:rsidRPr="00BE636F">
              <w:rPr>
                <w:rFonts w:cs="Arial"/>
                <w:szCs w:val="20"/>
              </w:rPr>
              <w:t>D-02.00.00</w:t>
            </w:r>
          </w:p>
        </w:tc>
        <w:tc>
          <w:tcPr>
            <w:tcW w:w="5455" w:type="dxa"/>
          </w:tcPr>
          <w:p w14:paraId="4CA12821" w14:textId="77777777" w:rsidR="00335A32" w:rsidRPr="00BE636F" w:rsidRDefault="00335A32" w:rsidP="0031684C">
            <w:pPr>
              <w:spacing w:line="240" w:lineRule="auto"/>
              <w:rPr>
                <w:rFonts w:cs="Arial"/>
                <w:szCs w:val="20"/>
              </w:rPr>
            </w:pPr>
            <w:r w:rsidRPr="00BE636F">
              <w:rPr>
                <w:rFonts w:cs="Arial"/>
                <w:szCs w:val="20"/>
              </w:rPr>
              <w:t>Roboty ziemne</w:t>
            </w:r>
          </w:p>
        </w:tc>
      </w:tr>
      <w:tr w:rsidR="00335A32" w:rsidRPr="00BE636F" w14:paraId="19AFFAD3" w14:textId="77777777" w:rsidTr="0031684C">
        <w:tc>
          <w:tcPr>
            <w:tcW w:w="496" w:type="dxa"/>
          </w:tcPr>
          <w:p w14:paraId="12B033DD" w14:textId="77777777" w:rsidR="00335A32" w:rsidRPr="00BE636F" w:rsidRDefault="00335A32" w:rsidP="0031684C">
            <w:pPr>
              <w:spacing w:line="240" w:lineRule="auto"/>
              <w:jc w:val="center"/>
              <w:rPr>
                <w:rFonts w:cs="Arial"/>
                <w:szCs w:val="20"/>
              </w:rPr>
            </w:pPr>
            <w:r w:rsidRPr="00BE636F">
              <w:rPr>
                <w:rFonts w:cs="Arial"/>
                <w:szCs w:val="20"/>
              </w:rPr>
              <w:t>4.</w:t>
            </w:r>
          </w:p>
        </w:tc>
        <w:tc>
          <w:tcPr>
            <w:tcW w:w="1559" w:type="dxa"/>
          </w:tcPr>
          <w:p w14:paraId="0CC25205" w14:textId="77777777" w:rsidR="00335A32" w:rsidRPr="00BE636F" w:rsidRDefault="00335A32" w:rsidP="0031684C">
            <w:pPr>
              <w:spacing w:line="240" w:lineRule="auto"/>
              <w:rPr>
                <w:rFonts w:cs="Arial"/>
                <w:szCs w:val="20"/>
              </w:rPr>
            </w:pPr>
            <w:r w:rsidRPr="00BE636F">
              <w:rPr>
                <w:rFonts w:cs="Arial"/>
                <w:szCs w:val="20"/>
              </w:rPr>
              <w:t>D-03.03.01</w:t>
            </w:r>
          </w:p>
        </w:tc>
        <w:tc>
          <w:tcPr>
            <w:tcW w:w="5455" w:type="dxa"/>
          </w:tcPr>
          <w:p w14:paraId="15D14E27" w14:textId="77777777" w:rsidR="00335A32" w:rsidRPr="00BE636F" w:rsidRDefault="00335A32" w:rsidP="0031684C">
            <w:pPr>
              <w:spacing w:line="240" w:lineRule="auto"/>
              <w:rPr>
                <w:rFonts w:cs="Arial"/>
                <w:szCs w:val="20"/>
              </w:rPr>
            </w:pPr>
            <w:r w:rsidRPr="00BE636F">
              <w:rPr>
                <w:rFonts w:cs="Arial"/>
                <w:szCs w:val="20"/>
              </w:rPr>
              <w:t>Sączki podłużne</w:t>
            </w:r>
          </w:p>
        </w:tc>
      </w:tr>
      <w:tr w:rsidR="00335A32" w:rsidRPr="00BE636F" w14:paraId="0EEF9564" w14:textId="77777777" w:rsidTr="0031684C">
        <w:tc>
          <w:tcPr>
            <w:tcW w:w="496" w:type="dxa"/>
          </w:tcPr>
          <w:p w14:paraId="0F361D2A" w14:textId="77777777" w:rsidR="00335A32" w:rsidRPr="00BE636F" w:rsidRDefault="00335A32" w:rsidP="0031684C">
            <w:pPr>
              <w:spacing w:line="240" w:lineRule="auto"/>
              <w:jc w:val="center"/>
              <w:rPr>
                <w:rFonts w:cs="Arial"/>
                <w:szCs w:val="20"/>
              </w:rPr>
            </w:pPr>
            <w:r w:rsidRPr="00BE636F">
              <w:rPr>
                <w:rFonts w:cs="Arial"/>
                <w:szCs w:val="20"/>
              </w:rPr>
              <w:t>5.</w:t>
            </w:r>
          </w:p>
        </w:tc>
        <w:tc>
          <w:tcPr>
            <w:tcW w:w="1559" w:type="dxa"/>
          </w:tcPr>
          <w:p w14:paraId="2A0983B0" w14:textId="77777777" w:rsidR="00335A32" w:rsidRPr="00BE636F" w:rsidRDefault="00335A32" w:rsidP="0031684C">
            <w:pPr>
              <w:spacing w:line="240" w:lineRule="auto"/>
              <w:rPr>
                <w:rFonts w:cs="Arial"/>
                <w:szCs w:val="20"/>
              </w:rPr>
            </w:pPr>
            <w:r w:rsidRPr="00BE636F">
              <w:rPr>
                <w:rFonts w:cs="Arial"/>
                <w:szCs w:val="20"/>
              </w:rPr>
              <w:t>D-05.03.02</w:t>
            </w:r>
          </w:p>
        </w:tc>
        <w:tc>
          <w:tcPr>
            <w:tcW w:w="5455" w:type="dxa"/>
          </w:tcPr>
          <w:p w14:paraId="4A0DCFF4" w14:textId="77777777" w:rsidR="00335A32" w:rsidRPr="00BE636F" w:rsidRDefault="00335A32" w:rsidP="0031684C">
            <w:pPr>
              <w:spacing w:line="240" w:lineRule="auto"/>
              <w:rPr>
                <w:rFonts w:cs="Arial"/>
                <w:szCs w:val="20"/>
              </w:rPr>
            </w:pPr>
            <w:r w:rsidRPr="00BE636F">
              <w:rPr>
                <w:rFonts w:cs="Arial"/>
                <w:szCs w:val="20"/>
              </w:rPr>
              <w:t>Nawierzchnia klinkierowa</w:t>
            </w:r>
          </w:p>
        </w:tc>
      </w:tr>
      <w:tr w:rsidR="00335A32" w:rsidRPr="00BE636F" w14:paraId="63558143" w14:textId="77777777" w:rsidTr="0031684C">
        <w:tc>
          <w:tcPr>
            <w:tcW w:w="496" w:type="dxa"/>
          </w:tcPr>
          <w:p w14:paraId="1842D753" w14:textId="77777777" w:rsidR="00335A32" w:rsidRPr="00BE636F" w:rsidRDefault="00335A32" w:rsidP="0031684C">
            <w:pPr>
              <w:spacing w:line="240" w:lineRule="auto"/>
              <w:jc w:val="center"/>
              <w:rPr>
                <w:rFonts w:cs="Arial"/>
                <w:szCs w:val="20"/>
              </w:rPr>
            </w:pPr>
            <w:r w:rsidRPr="00BE636F">
              <w:rPr>
                <w:rFonts w:cs="Arial"/>
                <w:szCs w:val="20"/>
              </w:rPr>
              <w:t>6.</w:t>
            </w:r>
          </w:p>
        </w:tc>
        <w:tc>
          <w:tcPr>
            <w:tcW w:w="1559" w:type="dxa"/>
          </w:tcPr>
          <w:p w14:paraId="574B5541" w14:textId="77777777" w:rsidR="00335A32" w:rsidRPr="00BE636F" w:rsidRDefault="00335A32" w:rsidP="0031684C">
            <w:pPr>
              <w:spacing w:line="240" w:lineRule="auto"/>
              <w:rPr>
                <w:rFonts w:cs="Arial"/>
                <w:szCs w:val="20"/>
              </w:rPr>
            </w:pPr>
            <w:r w:rsidRPr="00BE636F">
              <w:rPr>
                <w:rFonts w:cs="Arial"/>
                <w:szCs w:val="20"/>
              </w:rPr>
              <w:t>D-05.03.23a</w:t>
            </w:r>
          </w:p>
        </w:tc>
        <w:tc>
          <w:tcPr>
            <w:tcW w:w="5455" w:type="dxa"/>
          </w:tcPr>
          <w:p w14:paraId="0012911C" w14:textId="77777777" w:rsidR="00335A32" w:rsidRPr="00BE636F" w:rsidRDefault="00335A32" w:rsidP="0031684C">
            <w:pPr>
              <w:spacing w:line="240" w:lineRule="auto"/>
              <w:rPr>
                <w:rFonts w:cs="Arial"/>
                <w:szCs w:val="20"/>
              </w:rPr>
            </w:pPr>
            <w:r w:rsidRPr="00BE636F">
              <w:rPr>
                <w:rFonts w:cs="Arial"/>
                <w:szCs w:val="20"/>
              </w:rPr>
              <w:t>Nawierzchnia z betonowej kostki brukowej dla dróg i ulic oraz placów i chodników</w:t>
            </w:r>
          </w:p>
        </w:tc>
      </w:tr>
      <w:tr w:rsidR="00335A32" w:rsidRPr="00BE636F" w14:paraId="433DECB7" w14:textId="77777777" w:rsidTr="0031684C">
        <w:tc>
          <w:tcPr>
            <w:tcW w:w="496" w:type="dxa"/>
          </w:tcPr>
          <w:p w14:paraId="624CD9FB" w14:textId="77777777" w:rsidR="00335A32" w:rsidRPr="00BE636F" w:rsidRDefault="00335A32" w:rsidP="0031684C">
            <w:pPr>
              <w:spacing w:line="240" w:lineRule="auto"/>
              <w:jc w:val="center"/>
              <w:rPr>
                <w:rFonts w:cs="Arial"/>
                <w:szCs w:val="20"/>
              </w:rPr>
            </w:pPr>
            <w:r w:rsidRPr="00BE636F">
              <w:rPr>
                <w:rFonts w:cs="Arial"/>
                <w:szCs w:val="20"/>
              </w:rPr>
              <w:t>7.</w:t>
            </w:r>
          </w:p>
        </w:tc>
        <w:tc>
          <w:tcPr>
            <w:tcW w:w="1559" w:type="dxa"/>
          </w:tcPr>
          <w:p w14:paraId="39535637" w14:textId="77777777" w:rsidR="00335A32" w:rsidRPr="00BE636F" w:rsidRDefault="00335A32" w:rsidP="0031684C">
            <w:pPr>
              <w:spacing w:line="240" w:lineRule="auto"/>
              <w:rPr>
                <w:rFonts w:cs="Arial"/>
                <w:szCs w:val="20"/>
              </w:rPr>
            </w:pPr>
            <w:r w:rsidRPr="00BE636F">
              <w:rPr>
                <w:rFonts w:cs="Arial"/>
                <w:szCs w:val="20"/>
              </w:rPr>
              <w:t>D-06.01.01</w:t>
            </w:r>
          </w:p>
        </w:tc>
        <w:tc>
          <w:tcPr>
            <w:tcW w:w="5455" w:type="dxa"/>
          </w:tcPr>
          <w:p w14:paraId="4D1F4243" w14:textId="77777777" w:rsidR="00335A32" w:rsidRPr="00BE636F" w:rsidRDefault="00335A32" w:rsidP="0031684C">
            <w:pPr>
              <w:spacing w:line="240" w:lineRule="auto"/>
              <w:rPr>
                <w:rFonts w:cs="Arial"/>
                <w:szCs w:val="20"/>
              </w:rPr>
            </w:pPr>
            <w:r w:rsidRPr="00BE636F">
              <w:rPr>
                <w:rFonts w:cs="Arial"/>
                <w:szCs w:val="20"/>
              </w:rPr>
              <w:t>Umocnienie powierzchniowe skarp, rowów i ścieków</w:t>
            </w:r>
          </w:p>
        </w:tc>
      </w:tr>
      <w:tr w:rsidR="00335A32" w:rsidRPr="00BE636F" w14:paraId="1CDE69D7" w14:textId="77777777" w:rsidTr="0031684C">
        <w:tc>
          <w:tcPr>
            <w:tcW w:w="496" w:type="dxa"/>
          </w:tcPr>
          <w:p w14:paraId="39AF034B" w14:textId="77777777" w:rsidR="00335A32" w:rsidRPr="00BE636F" w:rsidRDefault="00335A32" w:rsidP="0031684C">
            <w:pPr>
              <w:spacing w:line="240" w:lineRule="auto"/>
              <w:jc w:val="center"/>
              <w:rPr>
                <w:rFonts w:cs="Arial"/>
                <w:szCs w:val="20"/>
              </w:rPr>
            </w:pPr>
            <w:r w:rsidRPr="00BE636F">
              <w:rPr>
                <w:rFonts w:cs="Arial"/>
                <w:szCs w:val="20"/>
              </w:rPr>
              <w:t>8.</w:t>
            </w:r>
          </w:p>
        </w:tc>
        <w:tc>
          <w:tcPr>
            <w:tcW w:w="1559" w:type="dxa"/>
          </w:tcPr>
          <w:p w14:paraId="0A1E33C9" w14:textId="77777777" w:rsidR="00335A32" w:rsidRPr="00BE636F" w:rsidRDefault="00335A32" w:rsidP="0031684C">
            <w:pPr>
              <w:spacing w:line="240" w:lineRule="auto"/>
              <w:rPr>
                <w:rFonts w:cs="Arial"/>
                <w:szCs w:val="20"/>
              </w:rPr>
            </w:pPr>
            <w:r w:rsidRPr="00BE636F">
              <w:rPr>
                <w:rFonts w:cs="Arial"/>
                <w:szCs w:val="20"/>
              </w:rPr>
              <w:t>D-09.01.01</w:t>
            </w:r>
          </w:p>
        </w:tc>
        <w:tc>
          <w:tcPr>
            <w:tcW w:w="5455" w:type="dxa"/>
          </w:tcPr>
          <w:p w14:paraId="43B549D6" w14:textId="77777777" w:rsidR="00335A32" w:rsidRPr="00BE636F" w:rsidRDefault="00335A32" w:rsidP="0031684C">
            <w:pPr>
              <w:spacing w:line="240" w:lineRule="auto"/>
              <w:rPr>
                <w:rFonts w:cs="Arial"/>
                <w:szCs w:val="20"/>
              </w:rPr>
            </w:pPr>
            <w:r w:rsidRPr="00BE636F">
              <w:rPr>
                <w:rFonts w:cs="Arial"/>
                <w:szCs w:val="20"/>
              </w:rPr>
              <w:t>Zieleń drogowa</w:t>
            </w:r>
          </w:p>
        </w:tc>
      </w:tr>
      <w:tr w:rsidR="00335A32" w:rsidRPr="00BE636F" w14:paraId="31CE7422" w14:textId="77777777" w:rsidTr="0031684C">
        <w:tc>
          <w:tcPr>
            <w:tcW w:w="496" w:type="dxa"/>
          </w:tcPr>
          <w:p w14:paraId="1B8F2171" w14:textId="77777777" w:rsidR="00335A32" w:rsidRPr="00BE636F" w:rsidRDefault="00335A32" w:rsidP="0031684C">
            <w:pPr>
              <w:spacing w:line="240" w:lineRule="auto"/>
              <w:jc w:val="center"/>
              <w:rPr>
                <w:rFonts w:cs="Arial"/>
                <w:szCs w:val="20"/>
              </w:rPr>
            </w:pPr>
            <w:r w:rsidRPr="00BE636F">
              <w:rPr>
                <w:rFonts w:cs="Arial"/>
                <w:szCs w:val="20"/>
              </w:rPr>
              <w:t>9.</w:t>
            </w:r>
          </w:p>
        </w:tc>
        <w:tc>
          <w:tcPr>
            <w:tcW w:w="1559" w:type="dxa"/>
          </w:tcPr>
          <w:p w14:paraId="5D02B8B3" w14:textId="77777777" w:rsidR="00335A32" w:rsidRPr="00BE636F" w:rsidRDefault="00335A32" w:rsidP="0031684C">
            <w:pPr>
              <w:spacing w:line="240" w:lineRule="auto"/>
              <w:rPr>
                <w:rFonts w:cs="Arial"/>
                <w:szCs w:val="20"/>
              </w:rPr>
            </w:pPr>
            <w:r w:rsidRPr="00BE636F">
              <w:rPr>
                <w:rFonts w:cs="Arial"/>
                <w:szCs w:val="20"/>
              </w:rPr>
              <w:t>D-10.01.01</w:t>
            </w:r>
          </w:p>
        </w:tc>
        <w:tc>
          <w:tcPr>
            <w:tcW w:w="5455" w:type="dxa"/>
          </w:tcPr>
          <w:p w14:paraId="4C74A443" w14:textId="77777777" w:rsidR="00335A32" w:rsidRPr="00BE636F" w:rsidRDefault="00335A32" w:rsidP="0031684C">
            <w:pPr>
              <w:spacing w:line="240" w:lineRule="auto"/>
              <w:rPr>
                <w:rFonts w:cs="Arial"/>
                <w:szCs w:val="20"/>
              </w:rPr>
            </w:pPr>
            <w:r w:rsidRPr="00BE636F">
              <w:rPr>
                <w:rFonts w:cs="Arial"/>
                <w:szCs w:val="20"/>
              </w:rPr>
              <w:t>Mury oporowe</w:t>
            </w:r>
          </w:p>
        </w:tc>
      </w:tr>
    </w:tbl>
    <w:p w14:paraId="584A155D" w14:textId="77777777" w:rsidR="00335A32" w:rsidRPr="00BE636F" w:rsidRDefault="00335A32" w:rsidP="00335A32">
      <w:pPr>
        <w:pStyle w:val="Nagwek2"/>
        <w:spacing w:line="240" w:lineRule="auto"/>
        <w:rPr>
          <w:rFonts w:cs="Arial"/>
          <w:szCs w:val="20"/>
        </w:rPr>
      </w:pPr>
      <w:r w:rsidRPr="00BE636F">
        <w:rPr>
          <w:rFonts w:cs="Arial"/>
          <w:szCs w:val="20"/>
        </w:rPr>
        <w:t>10.2. Inne dokumenty</w:t>
      </w:r>
    </w:p>
    <w:p w14:paraId="2D2288E6" w14:textId="77777777" w:rsidR="00335A32" w:rsidRPr="00BE636F" w:rsidRDefault="00335A32" w:rsidP="00CF1E7D">
      <w:pPr>
        <w:numPr>
          <w:ilvl w:val="0"/>
          <w:numId w:val="255"/>
        </w:numPr>
        <w:overflowPunct w:val="0"/>
        <w:autoSpaceDE w:val="0"/>
        <w:autoSpaceDN w:val="0"/>
        <w:adjustRightInd w:val="0"/>
        <w:spacing w:line="240" w:lineRule="auto"/>
        <w:jc w:val="both"/>
        <w:textAlignment w:val="baseline"/>
        <w:rPr>
          <w:rFonts w:cs="Arial"/>
          <w:szCs w:val="20"/>
        </w:rPr>
      </w:pPr>
      <w:r w:rsidRPr="00BE636F">
        <w:rPr>
          <w:rFonts w:cs="Arial"/>
          <w:szCs w:val="20"/>
        </w:rPr>
        <w:t>Zasady ochrony środowiska w drogownictwie. Dział 4. Ochrona środowiska w budowie dróg. GDDP, Warszawa 2002 (projekt)</w:t>
      </w:r>
    </w:p>
    <w:p w14:paraId="20EA998D" w14:textId="77777777" w:rsidR="00335A32" w:rsidRPr="00BE636F" w:rsidRDefault="00335A32" w:rsidP="00335A32">
      <w:pPr>
        <w:spacing w:line="240" w:lineRule="auto"/>
        <w:rPr>
          <w:rFonts w:cs="Arial"/>
          <w:szCs w:val="20"/>
        </w:rPr>
      </w:pPr>
    </w:p>
    <w:p w14:paraId="63118053" w14:textId="77777777" w:rsidR="00335A32" w:rsidRPr="00BE636F" w:rsidRDefault="00335A32" w:rsidP="00335A32">
      <w:pPr>
        <w:pStyle w:val="Nagwek1"/>
        <w:spacing w:line="240" w:lineRule="auto"/>
        <w:jc w:val="center"/>
        <w:rPr>
          <w:rFonts w:cs="Arial"/>
          <w:szCs w:val="20"/>
        </w:rPr>
      </w:pPr>
      <w:r w:rsidRPr="00BE636F">
        <w:rPr>
          <w:rFonts w:cs="Arial"/>
          <w:szCs w:val="20"/>
        </w:rPr>
        <w:t>ZAŁĄCZNIKI</w:t>
      </w:r>
    </w:p>
    <w:p w14:paraId="3174E2A5" w14:textId="77777777" w:rsidR="00335A32" w:rsidRPr="00BE636F" w:rsidRDefault="00335A32" w:rsidP="00335A32">
      <w:pPr>
        <w:spacing w:line="240" w:lineRule="auto"/>
        <w:jc w:val="right"/>
        <w:rPr>
          <w:rFonts w:cs="Arial"/>
          <w:b/>
          <w:szCs w:val="20"/>
        </w:rPr>
      </w:pPr>
    </w:p>
    <w:p w14:paraId="6C279C65" w14:textId="77777777" w:rsidR="00335A32" w:rsidRPr="00BE636F" w:rsidRDefault="00335A32" w:rsidP="00335A32">
      <w:pPr>
        <w:spacing w:line="240" w:lineRule="auto"/>
        <w:jc w:val="right"/>
        <w:rPr>
          <w:rFonts w:cs="Arial"/>
          <w:b/>
          <w:szCs w:val="20"/>
        </w:rPr>
      </w:pPr>
      <w:r w:rsidRPr="00BE636F">
        <w:rPr>
          <w:rFonts w:cs="Arial"/>
          <w:b/>
          <w:szCs w:val="20"/>
        </w:rPr>
        <w:t>ZAŁĄCZNIK 1</w:t>
      </w:r>
    </w:p>
    <w:p w14:paraId="46A7C155" w14:textId="77777777" w:rsidR="00335A32" w:rsidRPr="00BE636F" w:rsidRDefault="00335A32" w:rsidP="00335A32">
      <w:pPr>
        <w:spacing w:line="240" w:lineRule="auto"/>
        <w:jc w:val="center"/>
        <w:rPr>
          <w:rFonts w:cs="Arial"/>
          <w:b/>
          <w:szCs w:val="20"/>
        </w:rPr>
      </w:pPr>
    </w:p>
    <w:p w14:paraId="2CB0B06C" w14:textId="77777777" w:rsidR="00335A32" w:rsidRPr="00BE636F" w:rsidRDefault="00335A32" w:rsidP="00335A32">
      <w:pPr>
        <w:spacing w:line="240" w:lineRule="auto"/>
        <w:jc w:val="center"/>
        <w:rPr>
          <w:rFonts w:cs="Arial"/>
          <w:b/>
          <w:szCs w:val="20"/>
        </w:rPr>
      </w:pPr>
      <w:r w:rsidRPr="00BE636F">
        <w:rPr>
          <w:rFonts w:cs="Arial"/>
          <w:b/>
          <w:szCs w:val="20"/>
        </w:rPr>
        <w:t>ZASADY  TYMCZASOWEGO  ZABEZPIECZENIA  DRZEW (wg [10])</w:t>
      </w:r>
    </w:p>
    <w:p w14:paraId="116CF136" w14:textId="77777777" w:rsidR="00335A32" w:rsidRPr="00BE636F" w:rsidRDefault="00335A32" w:rsidP="00335A32">
      <w:pPr>
        <w:spacing w:line="240" w:lineRule="auto"/>
        <w:jc w:val="center"/>
        <w:rPr>
          <w:rFonts w:cs="Arial"/>
          <w:b/>
          <w:szCs w:val="20"/>
        </w:rPr>
      </w:pPr>
    </w:p>
    <w:p w14:paraId="1B6E4D28" w14:textId="77777777" w:rsidR="00335A32" w:rsidRPr="00BE636F" w:rsidRDefault="00335A32" w:rsidP="00335A32">
      <w:pPr>
        <w:spacing w:line="240" w:lineRule="auto"/>
        <w:rPr>
          <w:rFonts w:cs="Arial"/>
          <w:szCs w:val="20"/>
        </w:rPr>
      </w:pPr>
      <w:r w:rsidRPr="00BE636F">
        <w:rPr>
          <w:rFonts w:cs="Arial"/>
          <w:szCs w:val="20"/>
        </w:rPr>
        <w:tab/>
        <w:t>Tymczasowe zabezpieczenie drzewa, które pozostanie w terenie po zakończeniu robót drogowych i jest narażone na uszkodzenia związane z robotami drogowymi, wykonuje się przede wszystkim:</w:t>
      </w:r>
    </w:p>
    <w:p w14:paraId="7192B545" w14:textId="77777777" w:rsidR="00335A32" w:rsidRPr="00BE636F" w:rsidRDefault="00335A32" w:rsidP="00CF1E7D">
      <w:pPr>
        <w:numPr>
          <w:ilvl w:val="0"/>
          <w:numId w:val="256"/>
        </w:numPr>
        <w:overflowPunct w:val="0"/>
        <w:autoSpaceDE w:val="0"/>
        <w:autoSpaceDN w:val="0"/>
        <w:adjustRightInd w:val="0"/>
        <w:spacing w:line="240" w:lineRule="auto"/>
        <w:jc w:val="both"/>
        <w:textAlignment w:val="baseline"/>
        <w:rPr>
          <w:rFonts w:cs="Arial"/>
          <w:szCs w:val="20"/>
        </w:rPr>
      </w:pPr>
      <w:r w:rsidRPr="00BE636F">
        <w:rPr>
          <w:rFonts w:cs="Arial"/>
          <w:szCs w:val="20"/>
        </w:rPr>
        <w:t>na obszarze pasa robót drogowych, poza jezdnią, gdy nie zajdą zmiany poziomu gruntu,</w:t>
      </w:r>
    </w:p>
    <w:p w14:paraId="24410BAF" w14:textId="77777777" w:rsidR="00335A32" w:rsidRPr="00BE636F" w:rsidRDefault="00335A32" w:rsidP="00CF1E7D">
      <w:pPr>
        <w:numPr>
          <w:ilvl w:val="0"/>
          <w:numId w:val="256"/>
        </w:numPr>
        <w:overflowPunct w:val="0"/>
        <w:autoSpaceDE w:val="0"/>
        <w:autoSpaceDN w:val="0"/>
        <w:adjustRightInd w:val="0"/>
        <w:spacing w:line="240" w:lineRule="auto"/>
        <w:jc w:val="both"/>
        <w:textAlignment w:val="baseline"/>
        <w:rPr>
          <w:rFonts w:cs="Arial"/>
          <w:szCs w:val="20"/>
        </w:rPr>
      </w:pPr>
      <w:r w:rsidRPr="00BE636F">
        <w:rPr>
          <w:rFonts w:cs="Arial"/>
          <w:szCs w:val="20"/>
        </w:rPr>
        <w:t>na terenie zaplecza budowy drogi,</w:t>
      </w:r>
    </w:p>
    <w:p w14:paraId="6E69F68A" w14:textId="77777777" w:rsidR="00335A32" w:rsidRPr="00BE636F" w:rsidRDefault="00335A32" w:rsidP="00CF1E7D">
      <w:pPr>
        <w:numPr>
          <w:ilvl w:val="0"/>
          <w:numId w:val="256"/>
        </w:numPr>
        <w:overflowPunct w:val="0"/>
        <w:autoSpaceDE w:val="0"/>
        <w:autoSpaceDN w:val="0"/>
        <w:adjustRightInd w:val="0"/>
        <w:spacing w:line="240" w:lineRule="auto"/>
        <w:jc w:val="both"/>
        <w:textAlignment w:val="baseline"/>
        <w:rPr>
          <w:rFonts w:cs="Arial"/>
          <w:szCs w:val="20"/>
        </w:rPr>
      </w:pPr>
      <w:r w:rsidRPr="00BE636F">
        <w:rPr>
          <w:rFonts w:cs="Arial"/>
          <w:szCs w:val="20"/>
        </w:rPr>
        <w:t>w pobliżu dróg tymczasowych, związanych z dojazdem do placu budowy.</w:t>
      </w:r>
    </w:p>
    <w:p w14:paraId="7223EE49" w14:textId="77777777" w:rsidR="00335A32" w:rsidRPr="00BE636F" w:rsidRDefault="00335A32" w:rsidP="00335A32">
      <w:pPr>
        <w:spacing w:line="240" w:lineRule="auto"/>
        <w:ind w:firstLine="709"/>
        <w:rPr>
          <w:rFonts w:cs="Arial"/>
          <w:szCs w:val="20"/>
        </w:rPr>
      </w:pPr>
      <w:r w:rsidRPr="00BE636F">
        <w:rPr>
          <w:rFonts w:cs="Arial"/>
          <w:szCs w:val="20"/>
        </w:rPr>
        <w:t xml:space="preserve">Wokół każdego zagrożonego drzewa z zagrożoną bryłą korzeniową, zaleca się wydzielić strefę bezpieczeństwa o minimalnych wymiarach 4 × </w:t>
      </w:r>
      <w:smartTag w:uri="urn:schemas-microsoft-com:office:smarttags" w:element="metricconverter">
        <w:smartTagPr>
          <w:attr w:name="ProductID" w:val="4 m"/>
        </w:smartTagPr>
        <w:r w:rsidRPr="00BE636F">
          <w:rPr>
            <w:rFonts w:cs="Arial"/>
            <w:szCs w:val="20"/>
          </w:rPr>
          <w:t>4 m</w:t>
        </w:r>
      </w:smartTag>
      <w:r w:rsidRPr="00BE636F">
        <w:rPr>
          <w:rFonts w:cs="Arial"/>
          <w:szCs w:val="20"/>
        </w:rPr>
        <w:t>, wygrodzoną płotem z desek lub żerdzi. Konstrukcja wygrodzenia oparta jest na słupkach, wbitych w narożnikach. wzmocnienie wygrodzenia dokonuje się drutem lub taśmą stalową, opasującą całość wygrodzenia. Wokół wygrodzenia, w połowie jego wysokości, zaleca się umieścić pomalowaną deskę, zwracającą uwagę na wykonane zabezpieczenie. Na rysunku 6 przedstawiono przykład zabezpieczenia drzewa i jego bryły korzeniowej z lokalizacją urządzeń i materiałów placu budowy.</w:t>
      </w:r>
    </w:p>
    <w:p w14:paraId="677964EC" w14:textId="77777777" w:rsidR="00335A32" w:rsidRPr="00BE636F" w:rsidRDefault="00335A32" w:rsidP="00335A32">
      <w:pPr>
        <w:spacing w:line="240" w:lineRule="auto"/>
        <w:ind w:firstLine="709"/>
        <w:rPr>
          <w:rFonts w:cs="Arial"/>
          <w:szCs w:val="20"/>
        </w:rPr>
      </w:pPr>
      <w:r w:rsidRPr="00BE636F">
        <w:rPr>
          <w:rFonts w:cs="Arial"/>
          <w:szCs w:val="20"/>
        </w:rPr>
        <w:t xml:space="preserve">Zaleca się, aby w strefie do </w:t>
      </w:r>
      <w:smartTag w:uri="urn:schemas-microsoft-com:office:smarttags" w:element="metricconverter">
        <w:smartTagPr>
          <w:attr w:name="ProductID" w:val="10 m"/>
        </w:smartTagPr>
        <w:r w:rsidRPr="00BE636F">
          <w:rPr>
            <w:rFonts w:cs="Arial"/>
            <w:szCs w:val="20"/>
          </w:rPr>
          <w:t>10 m</w:t>
        </w:r>
      </w:smartTag>
      <w:r w:rsidRPr="00BE636F">
        <w:rPr>
          <w:rFonts w:cs="Arial"/>
          <w:szCs w:val="20"/>
        </w:rPr>
        <w:t xml:space="preserve"> od pnia drzewa nie składować cementu, kruszywa, olejów, paliw i lepiszcz, jako materiałów powodujących duże zagęszczenie gruntu względnie niebezpiecznych dla gleb w przypadku awarii, np. wycieku.</w:t>
      </w:r>
    </w:p>
    <w:p w14:paraId="37219C0F" w14:textId="77777777" w:rsidR="00335A32" w:rsidRPr="00BE636F" w:rsidRDefault="00335A32" w:rsidP="00335A32">
      <w:pPr>
        <w:spacing w:line="240" w:lineRule="auto"/>
        <w:ind w:firstLine="709"/>
        <w:rPr>
          <w:rFonts w:cs="Arial"/>
          <w:szCs w:val="20"/>
        </w:rPr>
      </w:pPr>
      <w:r w:rsidRPr="00BE636F">
        <w:rPr>
          <w:rFonts w:cs="Arial"/>
          <w:szCs w:val="20"/>
        </w:rPr>
        <w:t>Drzewa, przy których głównym zadaniem jest ochrona ich pnia, mogą być zabezpieczane w sposób bezpośrednio chroniący pień.</w:t>
      </w:r>
    </w:p>
    <w:p w14:paraId="1F6CBBA0" w14:textId="77777777" w:rsidR="00335A32" w:rsidRPr="00BE636F" w:rsidRDefault="00335A32" w:rsidP="00335A32">
      <w:pPr>
        <w:spacing w:line="240" w:lineRule="auto"/>
        <w:ind w:firstLine="709"/>
        <w:rPr>
          <w:rFonts w:cs="Arial"/>
          <w:szCs w:val="20"/>
        </w:rPr>
      </w:pPr>
    </w:p>
    <w:p w14:paraId="2966AA3D" w14:textId="77777777" w:rsidR="00335A32" w:rsidRPr="00BE636F" w:rsidRDefault="00335A32" w:rsidP="00335A32">
      <w:pPr>
        <w:spacing w:line="240" w:lineRule="auto"/>
        <w:ind w:firstLine="709"/>
        <w:jc w:val="right"/>
        <w:rPr>
          <w:rFonts w:cs="Arial"/>
          <w:b/>
          <w:szCs w:val="20"/>
        </w:rPr>
      </w:pPr>
      <w:r w:rsidRPr="00BE636F">
        <w:rPr>
          <w:rFonts w:cs="Arial"/>
          <w:b/>
          <w:szCs w:val="20"/>
        </w:rPr>
        <w:t>ZAŁĄCZNIK 2</w:t>
      </w:r>
    </w:p>
    <w:p w14:paraId="629DBA14" w14:textId="77777777" w:rsidR="00335A32" w:rsidRPr="00BE636F" w:rsidRDefault="00335A32" w:rsidP="00335A32">
      <w:pPr>
        <w:spacing w:line="240" w:lineRule="auto"/>
        <w:ind w:firstLine="709"/>
        <w:jc w:val="right"/>
        <w:rPr>
          <w:rFonts w:cs="Arial"/>
          <w:b/>
          <w:szCs w:val="20"/>
        </w:rPr>
      </w:pPr>
    </w:p>
    <w:p w14:paraId="57F87BE3" w14:textId="77777777" w:rsidR="00335A32" w:rsidRPr="00BE636F" w:rsidRDefault="00335A32" w:rsidP="00335A32">
      <w:pPr>
        <w:spacing w:line="240" w:lineRule="auto"/>
        <w:ind w:firstLine="709"/>
        <w:jc w:val="center"/>
        <w:rPr>
          <w:rFonts w:cs="Arial"/>
          <w:b/>
          <w:szCs w:val="20"/>
        </w:rPr>
      </w:pPr>
      <w:r w:rsidRPr="00BE636F">
        <w:rPr>
          <w:rFonts w:cs="Arial"/>
          <w:b/>
          <w:szCs w:val="20"/>
        </w:rPr>
        <w:t xml:space="preserve">ZASADY  STAŁEGO  ZABEZPIECZENIA  DRZEW  NA  TERENIE  BUDOWY  DROGI  </w:t>
      </w:r>
      <w:r w:rsidRPr="00BE636F">
        <w:rPr>
          <w:rFonts w:cs="Arial"/>
          <w:szCs w:val="20"/>
        </w:rPr>
        <w:t xml:space="preserve">(wg N.P. </w:t>
      </w:r>
      <w:proofErr w:type="spellStart"/>
      <w:r w:rsidRPr="00BE636F">
        <w:rPr>
          <w:rFonts w:cs="Arial"/>
          <w:szCs w:val="20"/>
        </w:rPr>
        <w:t>Ornatski</w:t>
      </w:r>
      <w:proofErr w:type="spellEnd"/>
      <w:r w:rsidRPr="00BE636F">
        <w:rPr>
          <w:rFonts w:cs="Arial"/>
          <w:szCs w:val="20"/>
        </w:rPr>
        <w:t>: Drogi i ochrona przyrody, Transport 1982)</w:t>
      </w:r>
    </w:p>
    <w:p w14:paraId="72B59F82" w14:textId="77777777" w:rsidR="00335A32" w:rsidRPr="00BE636F" w:rsidRDefault="00335A32" w:rsidP="00335A32">
      <w:pPr>
        <w:spacing w:line="240" w:lineRule="auto"/>
        <w:rPr>
          <w:rFonts w:cs="Arial"/>
          <w:szCs w:val="20"/>
        </w:rPr>
      </w:pPr>
      <w:r w:rsidRPr="00BE636F">
        <w:rPr>
          <w:rFonts w:cs="Arial"/>
          <w:szCs w:val="20"/>
        </w:rPr>
        <w:tab/>
      </w:r>
    </w:p>
    <w:p w14:paraId="3CB53B95" w14:textId="77777777" w:rsidR="00335A32" w:rsidRPr="00BE636F" w:rsidRDefault="00335A32" w:rsidP="00335A32">
      <w:pPr>
        <w:spacing w:line="240" w:lineRule="auto"/>
        <w:rPr>
          <w:rFonts w:cs="Arial"/>
          <w:szCs w:val="20"/>
        </w:rPr>
      </w:pPr>
      <w:r w:rsidRPr="00BE636F">
        <w:rPr>
          <w:rFonts w:cs="Arial"/>
          <w:szCs w:val="20"/>
        </w:rPr>
        <w:tab/>
        <w:t>Pozostawienie istniejących drzew (niewycinanie ich) przy budowie drogi powinno być najszerzej stosowaną praktyką projektową i wykonawczą.</w:t>
      </w:r>
    </w:p>
    <w:p w14:paraId="0FBB98A0" w14:textId="77777777" w:rsidR="00335A32" w:rsidRPr="00BE636F" w:rsidRDefault="00335A32" w:rsidP="00335A32">
      <w:pPr>
        <w:spacing w:line="240" w:lineRule="auto"/>
        <w:rPr>
          <w:rFonts w:cs="Arial"/>
          <w:szCs w:val="20"/>
        </w:rPr>
      </w:pPr>
      <w:r w:rsidRPr="00BE636F">
        <w:rPr>
          <w:rFonts w:cs="Arial"/>
          <w:szCs w:val="20"/>
        </w:rPr>
        <w:tab/>
        <w:t>Najczęściej drzewa pozostawia się na zewnętrznym terenie granicznym pasa drogowego (pasa wywłaszczenia), na obszarze przyszłych miejsc obsługi podróżnych, parkingów, miejsc wypoczynku i w pasach dzielących dróg dwujezdniowych, pod warunkiem, że w zasadzie:</w:t>
      </w:r>
    </w:p>
    <w:p w14:paraId="2ADAEF45" w14:textId="77777777" w:rsidR="00335A32" w:rsidRPr="00BE636F" w:rsidRDefault="00335A32" w:rsidP="00CF1E7D">
      <w:pPr>
        <w:numPr>
          <w:ilvl w:val="0"/>
          <w:numId w:val="257"/>
        </w:numPr>
        <w:overflowPunct w:val="0"/>
        <w:autoSpaceDE w:val="0"/>
        <w:autoSpaceDN w:val="0"/>
        <w:adjustRightInd w:val="0"/>
        <w:spacing w:line="240" w:lineRule="auto"/>
        <w:jc w:val="both"/>
        <w:textAlignment w:val="baseline"/>
        <w:rPr>
          <w:rFonts w:cs="Arial"/>
          <w:szCs w:val="20"/>
        </w:rPr>
      </w:pPr>
      <w:r w:rsidRPr="00BE636F">
        <w:rPr>
          <w:rFonts w:cs="Arial"/>
          <w:szCs w:val="20"/>
        </w:rPr>
        <w:t>teren projektowany będzie obniżony lub podwyższony w stosunku do terenu istniejącego, w sposób pozwalający na zastosowanie rozwiązań technicznych, umożliwiających pozostawienie drzewa na stałe w terenie,</w:t>
      </w:r>
    </w:p>
    <w:p w14:paraId="2C19E5F0" w14:textId="77777777" w:rsidR="00335A32" w:rsidRPr="00BE636F" w:rsidRDefault="00335A32" w:rsidP="00CF1E7D">
      <w:pPr>
        <w:numPr>
          <w:ilvl w:val="0"/>
          <w:numId w:val="257"/>
        </w:numPr>
        <w:overflowPunct w:val="0"/>
        <w:autoSpaceDE w:val="0"/>
        <w:autoSpaceDN w:val="0"/>
        <w:adjustRightInd w:val="0"/>
        <w:spacing w:line="240" w:lineRule="auto"/>
        <w:jc w:val="both"/>
        <w:textAlignment w:val="baseline"/>
        <w:rPr>
          <w:rFonts w:cs="Arial"/>
          <w:szCs w:val="20"/>
        </w:rPr>
      </w:pPr>
      <w:r w:rsidRPr="00BE636F">
        <w:rPr>
          <w:rFonts w:cs="Arial"/>
          <w:szCs w:val="20"/>
        </w:rPr>
        <w:t>drzewo nie ograniczy widoczności poziomej i pionowej na drodze,</w:t>
      </w:r>
    </w:p>
    <w:p w14:paraId="7896E0AE" w14:textId="77777777" w:rsidR="00335A32" w:rsidRPr="00BE636F" w:rsidRDefault="00335A32" w:rsidP="00CF1E7D">
      <w:pPr>
        <w:numPr>
          <w:ilvl w:val="0"/>
          <w:numId w:val="257"/>
        </w:numPr>
        <w:overflowPunct w:val="0"/>
        <w:autoSpaceDE w:val="0"/>
        <w:autoSpaceDN w:val="0"/>
        <w:adjustRightInd w:val="0"/>
        <w:spacing w:line="240" w:lineRule="auto"/>
        <w:jc w:val="both"/>
        <w:textAlignment w:val="baseline"/>
        <w:rPr>
          <w:rFonts w:cs="Arial"/>
          <w:szCs w:val="20"/>
        </w:rPr>
      </w:pPr>
      <w:r w:rsidRPr="00BE636F">
        <w:rPr>
          <w:rFonts w:cs="Arial"/>
          <w:szCs w:val="20"/>
        </w:rPr>
        <w:lastRenderedPageBreak/>
        <w:t>system korzeniowy drzewa nie będzie zagrażał niszczeniem konstrukcji jezdni drogi.</w:t>
      </w:r>
    </w:p>
    <w:p w14:paraId="4F3671C4" w14:textId="77777777" w:rsidR="00335A32" w:rsidRPr="00BE636F" w:rsidRDefault="00335A32" w:rsidP="00335A32">
      <w:pPr>
        <w:spacing w:line="240" w:lineRule="auto"/>
        <w:ind w:firstLine="709"/>
        <w:rPr>
          <w:rFonts w:cs="Arial"/>
          <w:szCs w:val="20"/>
        </w:rPr>
      </w:pPr>
      <w:r w:rsidRPr="00BE636F">
        <w:rPr>
          <w:rFonts w:cs="Arial"/>
          <w:szCs w:val="20"/>
        </w:rPr>
        <w:t>Drzewa, które przewidziano do pozostawienia, w czasie wykonywania robót ziemnych mogą być poddane niekorzystnym oddziaływaniom, np.:</w:t>
      </w:r>
    </w:p>
    <w:p w14:paraId="76B73E19" w14:textId="77777777" w:rsidR="00335A32" w:rsidRPr="00BE636F" w:rsidRDefault="00335A32" w:rsidP="00CF1E7D">
      <w:pPr>
        <w:numPr>
          <w:ilvl w:val="0"/>
          <w:numId w:val="258"/>
        </w:numPr>
        <w:overflowPunct w:val="0"/>
        <w:autoSpaceDE w:val="0"/>
        <w:autoSpaceDN w:val="0"/>
        <w:adjustRightInd w:val="0"/>
        <w:spacing w:line="240" w:lineRule="auto"/>
        <w:jc w:val="both"/>
        <w:textAlignment w:val="baseline"/>
        <w:rPr>
          <w:rFonts w:cs="Arial"/>
          <w:szCs w:val="20"/>
        </w:rPr>
      </w:pPr>
      <w:r w:rsidRPr="00BE636F">
        <w:rPr>
          <w:rFonts w:cs="Arial"/>
          <w:szCs w:val="20"/>
        </w:rPr>
        <w:t>w wykopach mogą nastąpić podcięcia korzeni oraz pogorszenie nawodnienia bryły korzeniowej,</w:t>
      </w:r>
    </w:p>
    <w:p w14:paraId="6ED63360" w14:textId="77777777" w:rsidR="00335A32" w:rsidRPr="00BE636F" w:rsidRDefault="00335A32" w:rsidP="00CF1E7D">
      <w:pPr>
        <w:numPr>
          <w:ilvl w:val="0"/>
          <w:numId w:val="258"/>
        </w:numPr>
        <w:overflowPunct w:val="0"/>
        <w:autoSpaceDE w:val="0"/>
        <w:autoSpaceDN w:val="0"/>
        <w:adjustRightInd w:val="0"/>
        <w:spacing w:line="240" w:lineRule="auto"/>
        <w:jc w:val="both"/>
        <w:textAlignment w:val="baseline"/>
        <w:rPr>
          <w:rFonts w:cs="Arial"/>
          <w:szCs w:val="20"/>
        </w:rPr>
      </w:pPr>
      <w:r w:rsidRPr="00BE636F">
        <w:rPr>
          <w:rFonts w:cs="Arial"/>
          <w:szCs w:val="20"/>
        </w:rPr>
        <w:t>w nasypach, zasypanie dolnej części drzewa może spowodować gnicie pnia oraz utrudnienie dostępu powietrza i wody do korzeni.</w:t>
      </w:r>
    </w:p>
    <w:p w14:paraId="2A7DD21A" w14:textId="77777777" w:rsidR="00335A32" w:rsidRPr="00BE636F" w:rsidRDefault="00335A32" w:rsidP="00335A32">
      <w:pPr>
        <w:spacing w:line="240" w:lineRule="auto"/>
        <w:ind w:firstLine="709"/>
        <w:rPr>
          <w:rFonts w:cs="Arial"/>
          <w:szCs w:val="20"/>
        </w:rPr>
      </w:pPr>
      <w:r w:rsidRPr="00BE636F">
        <w:rPr>
          <w:rFonts w:cs="Arial"/>
          <w:szCs w:val="20"/>
        </w:rPr>
        <w:t xml:space="preserve">Decyzja o pozostawieniu drzewa zależy od stanu zdrowia drzewa i sposobu pogorszenia tego stanu w zależności od wysokości nasypu, gatunku drzewa, głębokości bryły korzeniowej i warunków nawodnienia. Drzewa z głębokim systemem korzeniowym, takie jak dąb, są bardziej odporne na zasypanie dolnej części pnia niż drzewa z powierzchniowym systemem korzeniowym, takie jak wiązy, topole, wierzby, akacje. Rodzaj gruntu wpływa również na możliwość pogorszenia stanu drzewa. Ciężka gleba gliniasta może pogarszać stan korzeni nawet przy kilkucentymetrowej </w:t>
      </w:r>
      <w:proofErr w:type="spellStart"/>
      <w:r w:rsidRPr="00BE636F">
        <w:rPr>
          <w:rFonts w:cs="Arial"/>
          <w:szCs w:val="20"/>
        </w:rPr>
        <w:t>nadsypce</w:t>
      </w:r>
      <w:proofErr w:type="spellEnd"/>
      <w:r w:rsidRPr="00BE636F">
        <w:rPr>
          <w:rFonts w:cs="Arial"/>
          <w:szCs w:val="20"/>
        </w:rPr>
        <w:t xml:space="preserve"> terenu, natomiast grunty piaszczyste są mniej szkodliwe przy grubszej warstwie. Zasypka żwirem lub kruszywem kamiennym nie jest zbyt szkodliwa, gdyż umożliwia łatwiejsze napowietrzenie i nawodnienie korzeni, a ułożenie warstwy 5÷10 cm żwiru zwykle powoduje wypuszczenie nowych korzeni w tę warstwę. Również obniżenie terenu o              10÷15 cm wokół drzewa spowoduje jego szybkie dostosowanie się do nowych warunków.</w:t>
      </w:r>
    </w:p>
    <w:p w14:paraId="37F1FC66" w14:textId="77777777" w:rsidR="00335A32" w:rsidRPr="00BE636F" w:rsidRDefault="00335A32" w:rsidP="00335A32">
      <w:pPr>
        <w:spacing w:line="240" w:lineRule="auto"/>
        <w:ind w:firstLine="709"/>
        <w:rPr>
          <w:rFonts w:cs="Arial"/>
          <w:szCs w:val="20"/>
        </w:rPr>
      </w:pPr>
      <w:r w:rsidRPr="00BE636F">
        <w:rPr>
          <w:rFonts w:cs="Arial"/>
          <w:szCs w:val="20"/>
        </w:rPr>
        <w:t xml:space="preserve">Przy głębszych wykopach (ponad </w:t>
      </w:r>
      <w:smartTag w:uri="urn:schemas-microsoft-com:office:smarttags" w:element="metricconverter">
        <w:smartTagPr>
          <w:attr w:name="ProductID" w:val="0,5 m"/>
        </w:smartTagPr>
        <w:r w:rsidRPr="00BE636F">
          <w:rPr>
            <w:rFonts w:cs="Arial"/>
            <w:szCs w:val="20"/>
          </w:rPr>
          <w:t>0,5 m</w:t>
        </w:r>
      </w:smartTag>
      <w:r w:rsidRPr="00BE636F">
        <w:rPr>
          <w:rFonts w:cs="Arial"/>
          <w:szCs w:val="20"/>
        </w:rPr>
        <w:t>), wymagane są specjalne konstrukcje chroniące drzewo, zwykle w postaci studni szczelnie chroniących ucieczkę wody lub muru kamiennego układanego na sucho. Przy nasypach z gruntu zwięzłego wokół drzewa z rozwiniętą bryłą korzeniową, wykonuje się wokół pnia okrągłą studnię na wysokość nasypu. Odległość od ściany studni do pnia średnicy 8-</w:t>
      </w:r>
      <w:smartTag w:uri="urn:schemas-microsoft-com:office:smarttags" w:element="metricconverter">
        <w:smartTagPr>
          <w:attr w:name="ProductID" w:val="10 cm"/>
        </w:smartTagPr>
        <w:r w:rsidRPr="00BE636F">
          <w:rPr>
            <w:rFonts w:cs="Arial"/>
            <w:szCs w:val="20"/>
          </w:rPr>
          <w:t>10 cm</w:t>
        </w:r>
      </w:smartTag>
      <w:r w:rsidRPr="00BE636F">
        <w:rPr>
          <w:rFonts w:cs="Arial"/>
          <w:szCs w:val="20"/>
        </w:rPr>
        <w:t xml:space="preserve"> powinno wynosić co najmniej </w:t>
      </w:r>
      <w:smartTag w:uri="urn:schemas-microsoft-com:office:smarttags" w:element="metricconverter">
        <w:smartTagPr>
          <w:attr w:name="ProductID" w:val="50 cm"/>
        </w:smartTagPr>
        <w:r w:rsidRPr="00BE636F">
          <w:rPr>
            <w:rFonts w:cs="Arial"/>
            <w:szCs w:val="20"/>
          </w:rPr>
          <w:t>50 cm</w:t>
        </w:r>
      </w:smartTag>
      <w:r w:rsidRPr="00BE636F">
        <w:rPr>
          <w:rFonts w:cs="Arial"/>
          <w:szCs w:val="20"/>
        </w:rPr>
        <w:t>. Na terenach zamieszkałych wnętrze studni pozostawia się puste, a wierzch studni przykrywa się metalowym rusztem. Poza terenami zamieszkałymi, studnię wypełnia się piaskiem i ew. węglem drzewnym w stosunku 1:1, a na wierzchu układa się warstwę           10÷12 cm żwiru lub kruszywa, tak aby warstwa ta zrównana była z poziomem otaczającego gruntu. W zależności od potrzeb można zastosować odwodnienie studni sączkami żwirowymi lub ceramicznymi i z tworzyw sztucznych.</w:t>
      </w:r>
    </w:p>
    <w:p w14:paraId="596C9D6F" w14:textId="77777777" w:rsidR="00335A32" w:rsidRPr="00BE636F" w:rsidRDefault="00335A32" w:rsidP="00335A32">
      <w:pPr>
        <w:spacing w:line="240" w:lineRule="auto"/>
        <w:ind w:firstLine="709"/>
        <w:rPr>
          <w:rFonts w:cs="Arial"/>
          <w:szCs w:val="20"/>
        </w:rPr>
      </w:pPr>
      <w:r w:rsidRPr="00BE636F">
        <w:rPr>
          <w:rFonts w:cs="Arial"/>
          <w:szCs w:val="20"/>
        </w:rPr>
        <w:t xml:space="preserve">Pojedyncze cenne drzewa można zabezpieczyć przy większej różnicy obniżonego terenu, np. przy wysokości 1 ÷ </w:t>
      </w:r>
      <w:smartTag w:uri="urn:schemas-microsoft-com:office:smarttags" w:element="metricconverter">
        <w:smartTagPr>
          <w:attr w:name="ProductID" w:val="1,2 m"/>
        </w:smartTagPr>
        <w:r w:rsidRPr="00BE636F">
          <w:rPr>
            <w:rFonts w:cs="Arial"/>
            <w:szCs w:val="20"/>
          </w:rPr>
          <w:t>1,2 m</w:t>
        </w:r>
      </w:smartTag>
      <w:r w:rsidRPr="00BE636F">
        <w:rPr>
          <w:rFonts w:cs="Arial"/>
          <w:szCs w:val="20"/>
        </w:rPr>
        <w:t xml:space="preserve"> usypać ścięty stożek gruntowy ze skarpami 1:1. Jeśli teren zostanie obniżony na głębokość większą od </w:t>
      </w:r>
      <w:smartTag w:uri="urn:schemas-microsoft-com:office:smarttags" w:element="metricconverter">
        <w:smartTagPr>
          <w:attr w:name="ProductID" w:val="1 m"/>
        </w:smartTagPr>
        <w:r w:rsidRPr="00BE636F">
          <w:rPr>
            <w:rFonts w:cs="Arial"/>
            <w:szCs w:val="20"/>
          </w:rPr>
          <w:t>1 m</w:t>
        </w:r>
      </w:smartTag>
      <w:r w:rsidRPr="00BE636F">
        <w:rPr>
          <w:rFonts w:cs="Arial"/>
          <w:szCs w:val="20"/>
        </w:rPr>
        <w:t>, wokół drzewa wykonuje się ściankę oporową o kształcie okrągłym lub prostokątnym z kamienia, klinkieru lub betonu, z otworami. Na terenie miejsc wypoczynkowych ściankę wokół drzewa można wykorzystać jako ławkę, odpowiednio ją dostosowując do odpoczynku podróżnych (rys. 2c).</w:t>
      </w:r>
    </w:p>
    <w:p w14:paraId="36E096FF" w14:textId="77777777" w:rsidR="00335A32" w:rsidRPr="00BE636F" w:rsidRDefault="00335A32" w:rsidP="00335A32">
      <w:pPr>
        <w:spacing w:line="240" w:lineRule="auto"/>
        <w:rPr>
          <w:rFonts w:cs="Arial"/>
          <w:szCs w:val="20"/>
        </w:rPr>
      </w:pPr>
    </w:p>
    <w:p w14:paraId="610D8F26" w14:textId="77777777" w:rsidR="00335A32" w:rsidRPr="00BE636F" w:rsidRDefault="00335A32" w:rsidP="00335A32">
      <w:pPr>
        <w:spacing w:line="240" w:lineRule="auto"/>
        <w:jc w:val="right"/>
        <w:rPr>
          <w:rFonts w:cs="Arial"/>
          <w:b/>
          <w:szCs w:val="20"/>
        </w:rPr>
      </w:pPr>
      <w:r w:rsidRPr="00BE636F">
        <w:rPr>
          <w:rFonts w:cs="Arial"/>
          <w:b/>
          <w:szCs w:val="20"/>
        </w:rPr>
        <w:t>ZAŁĄCZNIK 3</w:t>
      </w:r>
    </w:p>
    <w:p w14:paraId="60398ED4" w14:textId="77777777" w:rsidR="00335A32" w:rsidRPr="00BE636F" w:rsidRDefault="00335A32" w:rsidP="00335A32">
      <w:pPr>
        <w:spacing w:line="240" w:lineRule="auto"/>
        <w:jc w:val="right"/>
        <w:rPr>
          <w:rFonts w:cs="Arial"/>
          <w:b/>
          <w:szCs w:val="20"/>
        </w:rPr>
      </w:pPr>
    </w:p>
    <w:p w14:paraId="1B2935AE" w14:textId="77777777" w:rsidR="00335A32" w:rsidRPr="00BE636F" w:rsidRDefault="00335A32" w:rsidP="00335A32">
      <w:pPr>
        <w:spacing w:line="240" w:lineRule="auto"/>
        <w:jc w:val="center"/>
        <w:rPr>
          <w:rFonts w:cs="Arial"/>
          <w:b/>
          <w:szCs w:val="20"/>
        </w:rPr>
      </w:pPr>
      <w:r w:rsidRPr="00BE636F">
        <w:rPr>
          <w:rFonts w:cs="Arial"/>
          <w:b/>
          <w:szCs w:val="20"/>
        </w:rPr>
        <w:t>RYSUNKI</w:t>
      </w:r>
    </w:p>
    <w:p w14:paraId="16FD25D0" w14:textId="77777777" w:rsidR="00335A32" w:rsidRPr="00BE636F" w:rsidRDefault="00335A32" w:rsidP="00335A32">
      <w:pPr>
        <w:spacing w:line="240" w:lineRule="auto"/>
        <w:rPr>
          <w:rFonts w:cs="Arial"/>
          <w:szCs w:val="20"/>
        </w:rPr>
      </w:pPr>
    </w:p>
    <w:p w14:paraId="08A048A0" w14:textId="77777777" w:rsidR="00335A32" w:rsidRPr="00BE636F" w:rsidRDefault="00335A32" w:rsidP="00335A32">
      <w:pPr>
        <w:tabs>
          <w:tab w:val="left" w:pos="709"/>
        </w:tabs>
        <w:spacing w:line="240" w:lineRule="auto"/>
        <w:ind w:left="709" w:hanging="709"/>
        <w:rPr>
          <w:rFonts w:cs="Arial"/>
          <w:szCs w:val="20"/>
        </w:rPr>
      </w:pPr>
      <w:r w:rsidRPr="00BE636F">
        <w:rPr>
          <w:rFonts w:cs="Arial"/>
          <w:szCs w:val="20"/>
        </w:rPr>
        <w:t>Rys. 1.</w:t>
      </w:r>
      <w:r w:rsidRPr="00BE636F">
        <w:rPr>
          <w:rFonts w:cs="Arial"/>
          <w:szCs w:val="20"/>
        </w:rPr>
        <w:tab/>
        <w:t xml:space="preserve">Wykonywanie wykopów instalacyjnych w obrębie strefy korzeniowej drzew </w:t>
      </w:r>
      <w:r w:rsidRPr="00BE636F">
        <w:rPr>
          <w:rFonts w:cs="Arial"/>
          <w:szCs w:val="20"/>
        </w:rPr>
        <w:br/>
        <w:t>(wg [10])</w:t>
      </w:r>
    </w:p>
    <w:p w14:paraId="080ECE1D" w14:textId="77777777" w:rsidR="00335A32" w:rsidRPr="00BE636F" w:rsidRDefault="00335A32" w:rsidP="00335A32">
      <w:pPr>
        <w:spacing w:line="240" w:lineRule="auto"/>
        <w:rPr>
          <w:rFonts w:cs="Arial"/>
          <w:szCs w:val="20"/>
        </w:rPr>
      </w:pPr>
    </w:p>
    <w:p w14:paraId="3B05D38D" w14:textId="77777777" w:rsidR="00335A32" w:rsidRPr="00BE636F" w:rsidRDefault="00335A32" w:rsidP="00335A32">
      <w:pPr>
        <w:spacing w:line="240" w:lineRule="auto"/>
        <w:rPr>
          <w:rFonts w:cs="Arial"/>
          <w:szCs w:val="20"/>
        </w:rPr>
      </w:pPr>
      <w:r w:rsidRPr="00BE636F">
        <w:rPr>
          <w:rFonts w:cs="Arial"/>
          <w:noProof/>
          <w:szCs w:val="20"/>
        </w:rPr>
        <w:drawing>
          <wp:inline distT="0" distB="0" distL="0" distR="0" wp14:anchorId="5AFE9DA8" wp14:editId="74F32EF6">
            <wp:extent cx="2695575" cy="2066925"/>
            <wp:effectExtent l="0" t="0" r="0" b="0"/>
            <wp:docPr id="3" name="Obraz 3" descr="r1a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1ako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95575" cy="2066925"/>
                    </a:xfrm>
                    <a:prstGeom prst="rect">
                      <a:avLst/>
                    </a:prstGeom>
                    <a:noFill/>
                    <a:ln>
                      <a:noFill/>
                    </a:ln>
                  </pic:spPr>
                </pic:pic>
              </a:graphicData>
            </a:graphic>
          </wp:inline>
        </w:drawing>
      </w:r>
    </w:p>
    <w:p w14:paraId="699197B8" w14:textId="77777777" w:rsidR="00335A32" w:rsidRPr="00BE636F" w:rsidRDefault="00335A32" w:rsidP="00335A32">
      <w:pPr>
        <w:spacing w:line="240" w:lineRule="auto"/>
        <w:rPr>
          <w:rFonts w:cs="Arial"/>
          <w:szCs w:val="20"/>
        </w:rPr>
      </w:pPr>
      <w:r w:rsidRPr="00BE636F">
        <w:rPr>
          <w:rFonts w:cs="Arial"/>
          <w:noProof/>
          <w:szCs w:val="20"/>
        </w:rPr>
        <w:drawing>
          <wp:inline distT="0" distB="0" distL="0" distR="0" wp14:anchorId="305D9A04" wp14:editId="11EA4EAB">
            <wp:extent cx="1323975" cy="1409700"/>
            <wp:effectExtent l="0" t="0" r="0" b="0"/>
            <wp:docPr id="4" name="Obraz 4" descr="r1b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1bko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23975" cy="1409700"/>
                    </a:xfrm>
                    <a:prstGeom prst="rect">
                      <a:avLst/>
                    </a:prstGeom>
                    <a:noFill/>
                    <a:ln>
                      <a:noFill/>
                    </a:ln>
                  </pic:spPr>
                </pic:pic>
              </a:graphicData>
            </a:graphic>
          </wp:inline>
        </w:drawing>
      </w:r>
    </w:p>
    <w:p w14:paraId="11766356" w14:textId="77777777" w:rsidR="00335A32" w:rsidRPr="00BE636F" w:rsidRDefault="00335A32" w:rsidP="00335A32">
      <w:pPr>
        <w:spacing w:line="240" w:lineRule="auto"/>
        <w:rPr>
          <w:rFonts w:cs="Arial"/>
          <w:szCs w:val="20"/>
        </w:rPr>
      </w:pPr>
    </w:p>
    <w:p w14:paraId="05CD8687" w14:textId="77777777" w:rsidR="00335A32" w:rsidRPr="00BE636F" w:rsidRDefault="00335A32" w:rsidP="00335A32">
      <w:pPr>
        <w:spacing w:line="240" w:lineRule="auto"/>
        <w:rPr>
          <w:rFonts w:cs="Arial"/>
          <w:szCs w:val="20"/>
        </w:rPr>
      </w:pPr>
      <w:r w:rsidRPr="00BE636F">
        <w:rPr>
          <w:rFonts w:cs="Arial"/>
          <w:noProof/>
          <w:szCs w:val="20"/>
        </w:rPr>
        <w:lastRenderedPageBreak/>
        <w:drawing>
          <wp:inline distT="0" distB="0" distL="0" distR="0" wp14:anchorId="64D8A6F9" wp14:editId="668A88C7">
            <wp:extent cx="2619375" cy="1466850"/>
            <wp:effectExtent l="0" t="0" r="0" b="0"/>
            <wp:docPr id="5" name="Obraz 5" descr="r1c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1cko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19375" cy="1466850"/>
                    </a:xfrm>
                    <a:prstGeom prst="rect">
                      <a:avLst/>
                    </a:prstGeom>
                    <a:noFill/>
                    <a:ln>
                      <a:noFill/>
                    </a:ln>
                  </pic:spPr>
                </pic:pic>
              </a:graphicData>
            </a:graphic>
          </wp:inline>
        </w:drawing>
      </w:r>
    </w:p>
    <w:p w14:paraId="38AEA9EF" w14:textId="77777777" w:rsidR="00335A32" w:rsidRPr="00BE636F" w:rsidRDefault="00335A32" w:rsidP="00335A32">
      <w:pPr>
        <w:spacing w:line="240" w:lineRule="auto"/>
        <w:rPr>
          <w:rFonts w:cs="Arial"/>
          <w:szCs w:val="20"/>
        </w:rPr>
      </w:pPr>
    </w:p>
    <w:p w14:paraId="1FB9F4D7" w14:textId="77777777" w:rsidR="00335A32" w:rsidRPr="00BE636F" w:rsidRDefault="00335A32" w:rsidP="00335A32">
      <w:pPr>
        <w:spacing w:line="240" w:lineRule="auto"/>
        <w:rPr>
          <w:rFonts w:cs="Arial"/>
          <w:szCs w:val="20"/>
        </w:rPr>
      </w:pPr>
      <w:r w:rsidRPr="00BE636F">
        <w:rPr>
          <w:rFonts w:cs="Arial"/>
          <w:szCs w:val="20"/>
        </w:rPr>
        <w:t>a) przekrój ogólny, b) szczegół wykopu, c) wstępna faza zabezpieczenia, wykonywana najlepiej rok przed właściwym wykopem</w:t>
      </w:r>
    </w:p>
    <w:p w14:paraId="3BF2ACBB" w14:textId="77777777" w:rsidR="00335A32" w:rsidRPr="00BE636F" w:rsidRDefault="00335A32" w:rsidP="00335A32">
      <w:pPr>
        <w:spacing w:line="240" w:lineRule="auto"/>
        <w:rPr>
          <w:rFonts w:cs="Arial"/>
          <w:szCs w:val="20"/>
        </w:rPr>
      </w:pPr>
    </w:p>
    <w:p w14:paraId="67D9467E" w14:textId="77777777" w:rsidR="00335A32" w:rsidRPr="00BE636F" w:rsidRDefault="00335A32" w:rsidP="00335A32">
      <w:pPr>
        <w:tabs>
          <w:tab w:val="left" w:pos="709"/>
        </w:tabs>
        <w:spacing w:line="240" w:lineRule="auto"/>
        <w:ind w:left="709" w:hanging="709"/>
        <w:rPr>
          <w:rFonts w:cs="Arial"/>
          <w:szCs w:val="20"/>
        </w:rPr>
      </w:pPr>
      <w:r w:rsidRPr="00BE636F">
        <w:rPr>
          <w:rFonts w:cs="Arial"/>
          <w:szCs w:val="20"/>
        </w:rPr>
        <w:t>Rys. 2.</w:t>
      </w:r>
      <w:r w:rsidRPr="00BE636F">
        <w:rPr>
          <w:rFonts w:cs="Arial"/>
          <w:szCs w:val="20"/>
        </w:rPr>
        <w:tab/>
        <w:t xml:space="preserve">Zabezpieczenie drzew przy obniżeniu terenu, po wykonaniu wykopów </w:t>
      </w:r>
      <w:r w:rsidRPr="00BE636F">
        <w:rPr>
          <w:rFonts w:cs="Arial"/>
          <w:szCs w:val="20"/>
        </w:rPr>
        <w:br/>
        <w:t xml:space="preserve">(wg N.P. </w:t>
      </w:r>
      <w:proofErr w:type="spellStart"/>
      <w:r w:rsidRPr="00BE636F">
        <w:rPr>
          <w:rFonts w:cs="Arial"/>
          <w:szCs w:val="20"/>
        </w:rPr>
        <w:t>Ornatski</w:t>
      </w:r>
      <w:proofErr w:type="spellEnd"/>
      <w:r w:rsidRPr="00BE636F">
        <w:rPr>
          <w:rFonts w:cs="Arial"/>
          <w:szCs w:val="20"/>
        </w:rPr>
        <w:t>: Drogi i ochrona przyrody, Transport 1982)</w:t>
      </w:r>
    </w:p>
    <w:p w14:paraId="15723155" w14:textId="77777777" w:rsidR="00335A32" w:rsidRPr="00BE636F" w:rsidRDefault="00335A32" w:rsidP="00335A32">
      <w:pPr>
        <w:spacing w:line="240" w:lineRule="auto"/>
        <w:rPr>
          <w:rFonts w:cs="Arial"/>
          <w:szCs w:val="20"/>
        </w:rPr>
      </w:pPr>
    </w:p>
    <w:p w14:paraId="58DB5063" w14:textId="77777777" w:rsidR="00335A32" w:rsidRPr="00BE636F" w:rsidRDefault="00335A32" w:rsidP="00335A32">
      <w:pPr>
        <w:spacing w:line="240" w:lineRule="auto"/>
        <w:jc w:val="center"/>
        <w:rPr>
          <w:rFonts w:cs="Arial"/>
          <w:szCs w:val="20"/>
        </w:rPr>
      </w:pPr>
      <w:r w:rsidRPr="00BE636F">
        <w:rPr>
          <w:rFonts w:cs="Arial"/>
          <w:noProof/>
          <w:szCs w:val="20"/>
        </w:rPr>
        <w:drawing>
          <wp:inline distT="0" distB="0" distL="0" distR="0" wp14:anchorId="6BAE30D4" wp14:editId="14941C7F">
            <wp:extent cx="4362450" cy="1381125"/>
            <wp:effectExtent l="0" t="0" r="0" b="0"/>
            <wp:docPr id="6" name="Obraz 6" descr="r2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2ko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62450" cy="1381125"/>
                    </a:xfrm>
                    <a:prstGeom prst="rect">
                      <a:avLst/>
                    </a:prstGeom>
                    <a:noFill/>
                    <a:ln>
                      <a:noFill/>
                    </a:ln>
                  </pic:spPr>
                </pic:pic>
              </a:graphicData>
            </a:graphic>
          </wp:inline>
        </w:drawing>
      </w:r>
    </w:p>
    <w:p w14:paraId="70A7BCE1" w14:textId="77777777" w:rsidR="00335A32" w:rsidRPr="00BE636F" w:rsidRDefault="00335A32" w:rsidP="00335A32">
      <w:pPr>
        <w:spacing w:line="240" w:lineRule="auto"/>
        <w:rPr>
          <w:rFonts w:cs="Arial"/>
          <w:szCs w:val="20"/>
        </w:rPr>
      </w:pPr>
      <w:r w:rsidRPr="00BE636F">
        <w:rPr>
          <w:rFonts w:cs="Arial"/>
          <w:szCs w:val="20"/>
        </w:rPr>
        <w:t>a) pozostawiony ścięty stożek z gruntu, ochraniający korzenie drzewa</w:t>
      </w:r>
    </w:p>
    <w:p w14:paraId="6E05F88D" w14:textId="77777777" w:rsidR="00335A32" w:rsidRPr="00BE636F" w:rsidRDefault="00335A32" w:rsidP="00335A32">
      <w:pPr>
        <w:spacing w:line="240" w:lineRule="auto"/>
        <w:rPr>
          <w:rFonts w:cs="Arial"/>
          <w:szCs w:val="20"/>
        </w:rPr>
      </w:pPr>
      <w:r w:rsidRPr="00BE636F">
        <w:rPr>
          <w:rFonts w:cs="Arial"/>
          <w:szCs w:val="20"/>
        </w:rPr>
        <w:t>b) ścianka podporowa z kamienia wokół drzewa pozostawionego na skarpie</w:t>
      </w:r>
    </w:p>
    <w:p w14:paraId="761D19F4" w14:textId="77777777" w:rsidR="00335A32" w:rsidRPr="00BE636F" w:rsidRDefault="00335A32" w:rsidP="00335A32">
      <w:pPr>
        <w:spacing w:line="240" w:lineRule="auto"/>
        <w:ind w:left="284" w:hanging="284"/>
        <w:rPr>
          <w:rFonts w:cs="Arial"/>
          <w:szCs w:val="20"/>
        </w:rPr>
      </w:pPr>
      <w:r w:rsidRPr="00BE636F">
        <w:rPr>
          <w:rFonts w:cs="Arial"/>
          <w:szCs w:val="20"/>
        </w:rPr>
        <w:t>c) ścianka oporowa dostosowana do odpoczynku podróżnych przez wykonanie ławki na jej górnej powierzchni</w:t>
      </w:r>
    </w:p>
    <w:p w14:paraId="557992A9" w14:textId="77777777" w:rsidR="00335A32" w:rsidRPr="00BE636F" w:rsidRDefault="00335A32" w:rsidP="00335A32">
      <w:pPr>
        <w:spacing w:line="240" w:lineRule="auto"/>
        <w:ind w:left="284" w:hanging="284"/>
        <w:rPr>
          <w:rFonts w:cs="Arial"/>
          <w:szCs w:val="20"/>
        </w:rPr>
      </w:pPr>
    </w:p>
    <w:p w14:paraId="33FC4253" w14:textId="77777777" w:rsidR="00335A32" w:rsidRPr="00BE636F" w:rsidRDefault="00335A32" w:rsidP="00335A32">
      <w:pPr>
        <w:spacing w:line="240" w:lineRule="auto"/>
        <w:ind w:left="709" w:hanging="709"/>
        <w:rPr>
          <w:rFonts w:cs="Arial"/>
          <w:szCs w:val="20"/>
        </w:rPr>
      </w:pPr>
    </w:p>
    <w:p w14:paraId="6F893753" w14:textId="77777777" w:rsidR="00335A32" w:rsidRPr="00BE636F" w:rsidRDefault="00335A32" w:rsidP="00335A32">
      <w:pPr>
        <w:spacing w:line="240" w:lineRule="auto"/>
        <w:ind w:left="709" w:hanging="709"/>
        <w:rPr>
          <w:rFonts w:cs="Arial"/>
          <w:szCs w:val="20"/>
        </w:rPr>
      </w:pPr>
      <w:r w:rsidRPr="00BE636F">
        <w:rPr>
          <w:rFonts w:cs="Arial"/>
          <w:szCs w:val="20"/>
        </w:rPr>
        <w:t>Rys. 3.</w:t>
      </w:r>
      <w:r w:rsidRPr="00BE636F">
        <w:rPr>
          <w:rFonts w:cs="Arial"/>
          <w:szCs w:val="20"/>
        </w:rPr>
        <w:tab/>
        <w:t xml:space="preserve">Niecka o łagodnym pochyleniu, dostosowująca drzewo do otaczającego terenu podwyższonego o 0,2 ÷ </w:t>
      </w:r>
      <w:smartTag w:uri="urn:schemas-microsoft-com:office:smarttags" w:element="metricconverter">
        <w:smartTagPr>
          <w:attr w:name="ProductID" w:val="0,4 m"/>
        </w:smartTagPr>
        <w:r w:rsidRPr="00BE636F">
          <w:rPr>
            <w:rFonts w:cs="Arial"/>
            <w:szCs w:val="20"/>
          </w:rPr>
          <w:t>0,4 m</w:t>
        </w:r>
      </w:smartTag>
      <w:r w:rsidRPr="00BE636F">
        <w:rPr>
          <w:rFonts w:cs="Arial"/>
          <w:szCs w:val="20"/>
        </w:rPr>
        <w:t xml:space="preserve"> (wg [10])</w:t>
      </w:r>
    </w:p>
    <w:p w14:paraId="7E1C6ECC" w14:textId="77777777" w:rsidR="00335A32" w:rsidRPr="00BE636F" w:rsidRDefault="00335A32" w:rsidP="00335A32">
      <w:pPr>
        <w:spacing w:line="240" w:lineRule="auto"/>
        <w:ind w:left="709" w:hanging="709"/>
        <w:rPr>
          <w:rFonts w:cs="Arial"/>
          <w:szCs w:val="20"/>
        </w:rPr>
      </w:pPr>
    </w:p>
    <w:p w14:paraId="23D38DDC" w14:textId="77777777" w:rsidR="00335A32" w:rsidRPr="00BE636F" w:rsidRDefault="00335A32" w:rsidP="00335A32">
      <w:pPr>
        <w:spacing w:line="240" w:lineRule="auto"/>
        <w:ind w:left="709" w:hanging="709"/>
        <w:jc w:val="center"/>
        <w:rPr>
          <w:rFonts w:cs="Arial"/>
          <w:szCs w:val="20"/>
        </w:rPr>
      </w:pPr>
      <w:r w:rsidRPr="00BE636F">
        <w:rPr>
          <w:rFonts w:cs="Arial"/>
          <w:noProof/>
          <w:szCs w:val="20"/>
        </w:rPr>
        <w:drawing>
          <wp:inline distT="0" distB="0" distL="0" distR="0" wp14:anchorId="1115E1C5" wp14:editId="0F830DCC">
            <wp:extent cx="2990850" cy="1343025"/>
            <wp:effectExtent l="0" t="0" r="0" b="0"/>
            <wp:docPr id="7" name="Obraz 7" descr="r3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3ko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90850" cy="1343025"/>
                    </a:xfrm>
                    <a:prstGeom prst="rect">
                      <a:avLst/>
                    </a:prstGeom>
                    <a:noFill/>
                    <a:ln>
                      <a:noFill/>
                    </a:ln>
                  </pic:spPr>
                </pic:pic>
              </a:graphicData>
            </a:graphic>
          </wp:inline>
        </w:drawing>
      </w:r>
    </w:p>
    <w:p w14:paraId="05F5ED3E" w14:textId="77777777" w:rsidR="00335A32" w:rsidRPr="00BE636F" w:rsidRDefault="00335A32" w:rsidP="00335A32">
      <w:pPr>
        <w:spacing w:line="240" w:lineRule="auto"/>
        <w:ind w:left="709" w:hanging="709"/>
        <w:rPr>
          <w:rFonts w:cs="Arial"/>
          <w:szCs w:val="20"/>
        </w:rPr>
      </w:pPr>
    </w:p>
    <w:p w14:paraId="469B1F77" w14:textId="77777777" w:rsidR="00335A32" w:rsidRPr="00BE636F" w:rsidRDefault="00335A32" w:rsidP="00335A32">
      <w:pPr>
        <w:spacing w:line="240" w:lineRule="auto"/>
        <w:ind w:left="709" w:hanging="709"/>
        <w:rPr>
          <w:rFonts w:cs="Arial"/>
          <w:szCs w:val="20"/>
        </w:rPr>
      </w:pPr>
    </w:p>
    <w:p w14:paraId="4812FE0F" w14:textId="77777777" w:rsidR="00335A32" w:rsidRPr="00BE636F" w:rsidRDefault="00335A32" w:rsidP="00335A32">
      <w:pPr>
        <w:tabs>
          <w:tab w:val="left" w:pos="709"/>
        </w:tabs>
        <w:spacing w:line="240" w:lineRule="auto"/>
        <w:ind w:left="709" w:hanging="709"/>
        <w:rPr>
          <w:rFonts w:cs="Arial"/>
          <w:szCs w:val="20"/>
        </w:rPr>
      </w:pPr>
      <w:r w:rsidRPr="00BE636F">
        <w:rPr>
          <w:rFonts w:cs="Arial"/>
          <w:szCs w:val="20"/>
        </w:rPr>
        <w:t>Rys. 4.</w:t>
      </w:r>
      <w:r w:rsidRPr="00BE636F">
        <w:rPr>
          <w:rFonts w:cs="Arial"/>
          <w:szCs w:val="20"/>
        </w:rPr>
        <w:tab/>
        <w:t xml:space="preserve">Pień drzewa obsypany na wysokość 0,2 ÷ </w:t>
      </w:r>
      <w:smartTag w:uri="urn:schemas-microsoft-com:office:smarttags" w:element="metricconverter">
        <w:smartTagPr>
          <w:attr w:name="ProductID" w:val="0,5 m"/>
        </w:smartTagPr>
        <w:r w:rsidRPr="00BE636F">
          <w:rPr>
            <w:rFonts w:cs="Arial"/>
            <w:szCs w:val="20"/>
          </w:rPr>
          <w:t>0,5 m</w:t>
        </w:r>
      </w:smartTag>
      <w:r w:rsidRPr="00BE636F">
        <w:rPr>
          <w:rFonts w:cs="Arial"/>
          <w:szCs w:val="20"/>
        </w:rPr>
        <w:t xml:space="preserve"> ze specjalnymi napowietrzającymi warstwami żwirowymi (wg [10])</w:t>
      </w:r>
    </w:p>
    <w:p w14:paraId="1BA95985" w14:textId="77777777" w:rsidR="00335A32" w:rsidRPr="00BE636F" w:rsidRDefault="00335A32" w:rsidP="00335A32">
      <w:pPr>
        <w:spacing w:line="240" w:lineRule="auto"/>
        <w:ind w:left="709" w:hanging="709"/>
        <w:rPr>
          <w:rFonts w:cs="Arial"/>
          <w:szCs w:val="20"/>
        </w:rPr>
      </w:pPr>
    </w:p>
    <w:p w14:paraId="4ADC1583" w14:textId="77777777" w:rsidR="00335A32" w:rsidRPr="00BE636F" w:rsidRDefault="00335A32" w:rsidP="00335A32">
      <w:pPr>
        <w:spacing w:line="240" w:lineRule="auto"/>
        <w:ind w:left="709" w:hanging="709"/>
        <w:jc w:val="center"/>
        <w:rPr>
          <w:rFonts w:cs="Arial"/>
          <w:szCs w:val="20"/>
        </w:rPr>
      </w:pPr>
      <w:r w:rsidRPr="00BE636F">
        <w:rPr>
          <w:rFonts w:cs="Arial"/>
          <w:noProof/>
          <w:szCs w:val="20"/>
        </w:rPr>
        <w:drawing>
          <wp:inline distT="0" distB="0" distL="0" distR="0" wp14:anchorId="31B50CAC" wp14:editId="09B3F9DB">
            <wp:extent cx="2971800" cy="1466850"/>
            <wp:effectExtent l="0" t="0" r="0" b="0"/>
            <wp:docPr id="8" name="Obraz 8" descr="r4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4ko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71800" cy="1466850"/>
                    </a:xfrm>
                    <a:prstGeom prst="rect">
                      <a:avLst/>
                    </a:prstGeom>
                    <a:noFill/>
                    <a:ln>
                      <a:noFill/>
                    </a:ln>
                  </pic:spPr>
                </pic:pic>
              </a:graphicData>
            </a:graphic>
          </wp:inline>
        </w:drawing>
      </w:r>
    </w:p>
    <w:p w14:paraId="78322664" w14:textId="77777777" w:rsidR="00335A32" w:rsidRPr="00BE636F" w:rsidRDefault="00335A32" w:rsidP="00335A32">
      <w:pPr>
        <w:tabs>
          <w:tab w:val="left" w:pos="709"/>
        </w:tabs>
        <w:spacing w:line="240" w:lineRule="auto"/>
        <w:ind w:left="709" w:hanging="709"/>
        <w:rPr>
          <w:rFonts w:cs="Arial"/>
          <w:szCs w:val="20"/>
        </w:rPr>
      </w:pPr>
      <w:r w:rsidRPr="00BE636F">
        <w:rPr>
          <w:rFonts w:cs="Arial"/>
          <w:szCs w:val="20"/>
        </w:rPr>
        <w:t>Rys. 5.</w:t>
      </w:r>
      <w:r w:rsidRPr="00BE636F">
        <w:rPr>
          <w:rFonts w:cs="Arial"/>
          <w:szCs w:val="20"/>
        </w:rPr>
        <w:tab/>
        <w:t xml:space="preserve">Studzienka zabezpieczająca pień drzewa przy podwyższeniu terenu powyżej </w:t>
      </w:r>
      <w:smartTag w:uri="urn:schemas-microsoft-com:office:smarttags" w:element="metricconverter">
        <w:smartTagPr>
          <w:attr w:name="ProductID" w:val="0,5 m"/>
        </w:smartTagPr>
        <w:r w:rsidRPr="00BE636F">
          <w:rPr>
            <w:rFonts w:cs="Arial"/>
            <w:szCs w:val="20"/>
          </w:rPr>
          <w:t>0,5 m</w:t>
        </w:r>
      </w:smartTag>
      <w:r w:rsidRPr="00BE636F">
        <w:rPr>
          <w:rFonts w:cs="Arial"/>
          <w:szCs w:val="20"/>
        </w:rPr>
        <w:t xml:space="preserve"> (wg [10])</w:t>
      </w:r>
    </w:p>
    <w:tbl>
      <w:tblPr>
        <w:tblW w:w="0" w:type="auto"/>
        <w:tblLook w:val="01E0" w:firstRow="1" w:lastRow="1" w:firstColumn="1" w:lastColumn="1" w:noHBand="0" w:noVBand="0"/>
      </w:tblPr>
      <w:tblGrid>
        <w:gridCol w:w="4035"/>
        <w:gridCol w:w="3552"/>
      </w:tblGrid>
      <w:tr w:rsidR="00335A32" w:rsidRPr="00BE636F" w14:paraId="708284EB" w14:textId="77777777" w:rsidTr="0031684C">
        <w:tc>
          <w:tcPr>
            <w:tcW w:w="4035" w:type="dxa"/>
          </w:tcPr>
          <w:p w14:paraId="36F7C86F" w14:textId="77777777" w:rsidR="00335A32" w:rsidRPr="00BE636F" w:rsidRDefault="00335A32" w:rsidP="0031684C">
            <w:pPr>
              <w:tabs>
                <w:tab w:val="left" w:pos="709"/>
              </w:tabs>
              <w:spacing w:line="240" w:lineRule="auto"/>
              <w:rPr>
                <w:rFonts w:cs="Arial"/>
                <w:szCs w:val="20"/>
              </w:rPr>
            </w:pPr>
            <w:r w:rsidRPr="00BE636F">
              <w:rPr>
                <w:rFonts w:cs="Arial"/>
                <w:noProof/>
                <w:szCs w:val="20"/>
              </w:rPr>
              <w:lastRenderedPageBreak/>
              <w:drawing>
                <wp:inline distT="0" distB="0" distL="0" distR="0" wp14:anchorId="5884F217" wp14:editId="7F484AA5">
                  <wp:extent cx="2085975" cy="4171950"/>
                  <wp:effectExtent l="0" t="0" r="0" b="0"/>
                  <wp:docPr id="9" name="Obraz 9" descr="r5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5ko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85975" cy="4171950"/>
                          </a:xfrm>
                          <a:prstGeom prst="rect">
                            <a:avLst/>
                          </a:prstGeom>
                          <a:noFill/>
                          <a:ln>
                            <a:noFill/>
                          </a:ln>
                        </pic:spPr>
                      </pic:pic>
                    </a:graphicData>
                  </a:graphic>
                </wp:inline>
              </w:drawing>
            </w:r>
          </w:p>
        </w:tc>
        <w:tc>
          <w:tcPr>
            <w:tcW w:w="3552" w:type="dxa"/>
            <w:vAlign w:val="center"/>
          </w:tcPr>
          <w:p w14:paraId="5AD118C6" w14:textId="77777777" w:rsidR="00335A32" w:rsidRPr="00BE636F" w:rsidRDefault="00335A32" w:rsidP="0031684C">
            <w:pPr>
              <w:spacing w:before="120" w:line="240" w:lineRule="auto"/>
              <w:ind w:left="709" w:hanging="709"/>
              <w:rPr>
                <w:rFonts w:cs="Arial"/>
                <w:szCs w:val="20"/>
              </w:rPr>
            </w:pPr>
            <w:r w:rsidRPr="00BE636F">
              <w:rPr>
                <w:rFonts w:cs="Arial"/>
                <w:szCs w:val="20"/>
              </w:rPr>
              <w:t>Objaśnienia:</w:t>
            </w:r>
          </w:p>
          <w:p w14:paraId="22B04497" w14:textId="77777777" w:rsidR="00335A32" w:rsidRPr="00BE636F" w:rsidRDefault="00335A32" w:rsidP="0031684C">
            <w:pPr>
              <w:spacing w:line="240" w:lineRule="auto"/>
              <w:rPr>
                <w:rFonts w:cs="Arial"/>
                <w:szCs w:val="20"/>
              </w:rPr>
            </w:pPr>
            <w:r w:rsidRPr="00BE636F">
              <w:rPr>
                <w:rFonts w:cs="Arial"/>
                <w:szCs w:val="20"/>
              </w:rPr>
              <w:t>A – szyb napowietrzający z ażurowym przykryciem,</w:t>
            </w:r>
          </w:p>
          <w:p w14:paraId="5F441478" w14:textId="77777777" w:rsidR="00335A32" w:rsidRPr="00BE636F" w:rsidRDefault="00335A32" w:rsidP="0031684C">
            <w:pPr>
              <w:spacing w:line="240" w:lineRule="auto"/>
              <w:rPr>
                <w:rFonts w:cs="Arial"/>
                <w:szCs w:val="20"/>
              </w:rPr>
            </w:pPr>
            <w:r w:rsidRPr="00BE636F">
              <w:rPr>
                <w:rFonts w:cs="Arial"/>
                <w:szCs w:val="20"/>
              </w:rPr>
              <w:t>B – nowy poziom terenu,</w:t>
            </w:r>
          </w:p>
          <w:p w14:paraId="51D22199" w14:textId="77777777" w:rsidR="00335A32" w:rsidRPr="00BE636F" w:rsidRDefault="00335A32" w:rsidP="0031684C">
            <w:pPr>
              <w:spacing w:line="240" w:lineRule="auto"/>
              <w:rPr>
                <w:rFonts w:cs="Arial"/>
                <w:szCs w:val="20"/>
              </w:rPr>
            </w:pPr>
            <w:r w:rsidRPr="00BE636F">
              <w:rPr>
                <w:rFonts w:cs="Arial"/>
                <w:szCs w:val="20"/>
              </w:rPr>
              <w:t>C – żwir,</w:t>
            </w:r>
          </w:p>
          <w:p w14:paraId="055FDAE7" w14:textId="77777777" w:rsidR="00335A32" w:rsidRPr="00BE636F" w:rsidRDefault="00335A32" w:rsidP="0031684C">
            <w:pPr>
              <w:spacing w:line="240" w:lineRule="auto"/>
              <w:rPr>
                <w:rFonts w:cs="Arial"/>
                <w:szCs w:val="20"/>
              </w:rPr>
            </w:pPr>
            <w:r w:rsidRPr="00BE636F">
              <w:rPr>
                <w:rFonts w:cs="Arial"/>
                <w:szCs w:val="20"/>
              </w:rPr>
              <w:t>D – perforowane rurki drenarskie,</w:t>
            </w:r>
          </w:p>
          <w:p w14:paraId="495D8E1C" w14:textId="77777777" w:rsidR="00335A32" w:rsidRPr="00BE636F" w:rsidRDefault="00335A32" w:rsidP="0031684C">
            <w:pPr>
              <w:spacing w:line="240" w:lineRule="auto"/>
              <w:rPr>
                <w:rFonts w:cs="Arial"/>
                <w:szCs w:val="20"/>
              </w:rPr>
            </w:pPr>
            <w:r w:rsidRPr="00BE636F">
              <w:rPr>
                <w:rFonts w:cs="Arial"/>
                <w:szCs w:val="20"/>
              </w:rPr>
              <w:t>E – krąg betonowy,</w:t>
            </w:r>
          </w:p>
          <w:p w14:paraId="252198DF" w14:textId="77777777" w:rsidR="00335A32" w:rsidRPr="00BE636F" w:rsidRDefault="00335A32" w:rsidP="0031684C">
            <w:pPr>
              <w:spacing w:line="240" w:lineRule="auto"/>
              <w:rPr>
                <w:rFonts w:cs="Arial"/>
                <w:szCs w:val="20"/>
              </w:rPr>
            </w:pPr>
            <w:r w:rsidRPr="00BE636F">
              <w:rPr>
                <w:rFonts w:cs="Arial"/>
                <w:szCs w:val="20"/>
              </w:rPr>
              <w:t>F – dawny poziom terenu,</w:t>
            </w:r>
          </w:p>
          <w:p w14:paraId="14F26E8B" w14:textId="77777777" w:rsidR="00335A32" w:rsidRPr="00BE636F" w:rsidRDefault="00335A32" w:rsidP="0031684C">
            <w:pPr>
              <w:spacing w:line="240" w:lineRule="auto"/>
              <w:rPr>
                <w:rFonts w:cs="Arial"/>
                <w:szCs w:val="20"/>
              </w:rPr>
            </w:pPr>
            <w:r w:rsidRPr="00BE636F">
              <w:rPr>
                <w:rFonts w:cs="Arial"/>
                <w:szCs w:val="20"/>
              </w:rPr>
              <w:t>G – metalowa krata, H – ławka</w:t>
            </w:r>
          </w:p>
          <w:p w14:paraId="33878192" w14:textId="77777777" w:rsidR="00335A32" w:rsidRPr="00BE636F" w:rsidRDefault="00335A32" w:rsidP="0031684C">
            <w:pPr>
              <w:tabs>
                <w:tab w:val="left" w:pos="709"/>
              </w:tabs>
              <w:spacing w:line="240" w:lineRule="auto"/>
              <w:rPr>
                <w:rFonts w:cs="Arial"/>
                <w:szCs w:val="20"/>
              </w:rPr>
            </w:pPr>
          </w:p>
        </w:tc>
      </w:tr>
    </w:tbl>
    <w:p w14:paraId="5A322521" w14:textId="77777777" w:rsidR="00335A32" w:rsidRPr="00BE636F" w:rsidRDefault="00335A32" w:rsidP="00335A32">
      <w:pPr>
        <w:tabs>
          <w:tab w:val="left" w:pos="709"/>
        </w:tabs>
        <w:spacing w:before="120" w:line="240" w:lineRule="auto"/>
        <w:ind w:left="709" w:hanging="709"/>
        <w:rPr>
          <w:rFonts w:cs="Arial"/>
          <w:szCs w:val="20"/>
        </w:rPr>
      </w:pPr>
      <w:r w:rsidRPr="00BE636F">
        <w:rPr>
          <w:rFonts w:cs="Arial"/>
          <w:szCs w:val="20"/>
        </w:rPr>
        <w:t>Rys. 6.</w:t>
      </w:r>
      <w:r w:rsidRPr="00BE636F">
        <w:rPr>
          <w:rFonts w:cs="Arial"/>
          <w:szCs w:val="20"/>
        </w:rPr>
        <w:tab/>
        <w:t>Przykład ekologicznego zabezpieczenia drzewa z bryłą korzeniową na placu składowym (wg [10])</w:t>
      </w:r>
    </w:p>
    <w:tbl>
      <w:tblPr>
        <w:tblW w:w="0" w:type="auto"/>
        <w:tblLook w:val="01E0" w:firstRow="1" w:lastRow="1" w:firstColumn="1" w:lastColumn="1" w:noHBand="0" w:noVBand="0"/>
      </w:tblPr>
      <w:tblGrid>
        <w:gridCol w:w="6006"/>
        <w:gridCol w:w="2867"/>
      </w:tblGrid>
      <w:tr w:rsidR="00335A32" w:rsidRPr="00BE636F" w14:paraId="3FF5FD2E" w14:textId="77777777" w:rsidTr="0031684C">
        <w:tc>
          <w:tcPr>
            <w:tcW w:w="4644" w:type="dxa"/>
          </w:tcPr>
          <w:p w14:paraId="50C74345" w14:textId="77777777" w:rsidR="00335A32" w:rsidRPr="00BE636F" w:rsidRDefault="00335A32" w:rsidP="0031684C">
            <w:pPr>
              <w:spacing w:line="240" w:lineRule="auto"/>
              <w:rPr>
                <w:rFonts w:cs="Arial"/>
                <w:szCs w:val="20"/>
              </w:rPr>
            </w:pPr>
            <w:r w:rsidRPr="00BE636F">
              <w:rPr>
                <w:rFonts w:cs="Arial"/>
                <w:noProof/>
                <w:szCs w:val="20"/>
              </w:rPr>
              <w:drawing>
                <wp:inline distT="0" distB="0" distL="0" distR="0" wp14:anchorId="1364AA88" wp14:editId="17EEF05C">
                  <wp:extent cx="3676650" cy="1733550"/>
                  <wp:effectExtent l="0" t="0" r="0" b="0"/>
                  <wp:docPr id="12" name="Obraz 12" descr="r6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6ko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76650" cy="1733550"/>
                          </a:xfrm>
                          <a:prstGeom prst="rect">
                            <a:avLst/>
                          </a:prstGeom>
                          <a:noFill/>
                          <a:ln>
                            <a:noFill/>
                          </a:ln>
                        </pic:spPr>
                      </pic:pic>
                    </a:graphicData>
                  </a:graphic>
                </wp:inline>
              </w:drawing>
            </w:r>
          </w:p>
        </w:tc>
        <w:tc>
          <w:tcPr>
            <w:tcW w:w="2867" w:type="dxa"/>
          </w:tcPr>
          <w:p w14:paraId="076C9792" w14:textId="77777777" w:rsidR="00335A32" w:rsidRPr="00BE636F" w:rsidRDefault="00335A32" w:rsidP="0031684C">
            <w:pPr>
              <w:spacing w:before="120" w:line="240" w:lineRule="auto"/>
              <w:rPr>
                <w:rFonts w:cs="Arial"/>
                <w:szCs w:val="20"/>
              </w:rPr>
            </w:pPr>
            <w:r w:rsidRPr="00BE636F">
              <w:rPr>
                <w:rFonts w:cs="Arial"/>
                <w:szCs w:val="20"/>
              </w:rPr>
              <w:t>(Oprócz wygrodzenia drzewa płotem z desek lub żerdzi pokazano z lewej sposób składowania materiału, a z prawej lokalizację baraku budowy)</w:t>
            </w:r>
          </w:p>
          <w:p w14:paraId="6BFF65EC" w14:textId="77777777" w:rsidR="00335A32" w:rsidRPr="00BE636F" w:rsidRDefault="00335A32" w:rsidP="0031684C">
            <w:pPr>
              <w:spacing w:line="240" w:lineRule="auto"/>
              <w:rPr>
                <w:rFonts w:cs="Arial"/>
                <w:szCs w:val="20"/>
              </w:rPr>
            </w:pPr>
          </w:p>
        </w:tc>
      </w:tr>
    </w:tbl>
    <w:p w14:paraId="06526496" w14:textId="77777777" w:rsidR="00335A32" w:rsidRDefault="00335A32" w:rsidP="00BE2485">
      <w:pPr>
        <w:shd w:val="clear" w:color="auto" w:fill="FFFFFF" w:themeFill="background1"/>
        <w:tabs>
          <w:tab w:val="left" w:pos="142"/>
        </w:tabs>
        <w:spacing w:after="240" w:line="240" w:lineRule="auto"/>
        <w:jc w:val="both"/>
        <w:rPr>
          <w:rFonts w:cs="Arial"/>
          <w:szCs w:val="20"/>
        </w:rPr>
      </w:pPr>
    </w:p>
    <w:p w14:paraId="4784E235" w14:textId="77777777" w:rsidR="00DB03B3" w:rsidRPr="001D601E" w:rsidRDefault="00DB03B3" w:rsidP="00BE2485">
      <w:pPr>
        <w:pStyle w:val="Nagwek4"/>
        <w:shd w:val="clear" w:color="auto" w:fill="FFFFFF" w:themeFill="background1"/>
        <w:tabs>
          <w:tab w:val="left" w:pos="142"/>
        </w:tabs>
        <w:spacing w:before="240" w:line="240" w:lineRule="auto"/>
        <w:jc w:val="both"/>
        <w:rPr>
          <w:rFonts w:cs="Arial"/>
          <w:szCs w:val="20"/>
        </w:rPr>
      </w:pPr>
      <w:bookmarkStart w:id="57" w:name="_Toc88825497"/>
      <w:bookmarkStart w:id="58" w:name="_Toc111635974"/>
      <w:r w:rsidRPr="001D601E">
        <w:rPr>
          <w:rFonts w:cs="Arial"/>
          <w:szCs w:val="20"/>
        </w:rPr>
        <w:t>D-01.02.04 - ROZBIÓRKA ELEMENTÓW DRÓG, OGRODZEŃ I PRZEPUSTÓW</w:t>
      </w:r>
      <w:bookmarkEnd w:id="57"/>
      <w:bookmarkEnd w:id="58"/>
    </w:p>
    <w:p w14:paraId="4FE6DDD3" w14:textId="77777777" w:rsidR="00DB03B3" w:rsidRPr="001D601E" w:rsidRDefault="00DB03B3"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1. WSTĘP</w:t>
      </w:r>
    </w:p>
    <w:p w14:paraId="66D8C7EF" w14:textId="77777777" w:rsidR="00DB03B3" w:rsidRPr="001D601E" w:rsidRDefault="00DB03B3"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1.1.Przedmiot SST</w:t>
      </w:r>
    </w:p>
    <w:p w14:paraId="257B0553"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 xml:space="preserve">Przedmiotem niniejszej szczegółowej specyfikacji technicznej są wymagania dotyczące wykonania i odbioru robót związanych z rozbiórką elementów dróg, ogrodzeń i przepustów. </w:t>
      </w:r>
    </w:p>
    <w:p w14:paraId="7B881166" w14:textId="77777777" w:rsidR="00DB03B3" w:rsidRPr="001D601E" w:rsidRDefault="00DB03B3"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1.2. Zakres stosowania SST</w:t>
      </w:r>
    </w:p>
    <w:p w14:paraId="2E106480"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670019236"/>
        <w:placeholder>
          <w:docPart w:val="78E544DC7F784D72B3C528A780967FE9"/>
        </w:placeholder>
        <w:dataBinding w:prefixMappings="xmlns:ns0='http://purl.org/dc/elements/1.1/' xmlns:ns1='http://schemas.openxmlformats.org/package/2006/metadata/core-properties' " w:xpath="/ns1:coreProperties[1]/ns0:subject[1]" w:storeItemID="{6C3C8BC8-F283-45AE-878A-BAB7291924A1}"/>
        <w:text/>
      </w:sdtPr>
      <w:sdtEndPr/>
      <w:sdtContent>
        <w:p w14:paraId="45EC5273" w14:textId="6FB171F6" w:rsidR="00DB03B3" w:rsidRPr="001D601E" w:rsidRDefault="00484E05" w:rsidP="00BE2485">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1623D85A" w14:textId="77777777" w:rsidR="00DB03B3" w:rsidRPr="001D601E" w:rsidRDefault="00DB03B3"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1.3. Zakres robót objętych SST</w:t>
      </w:r>
    </w:p>
    <w:p w14:paraId="782FAE9D" w14:textId="77777777" w:rsidR="00DB03B3" w:rsidRPr="001D601E" w:rsidRDefault="00DB03B3" w:rsidP="00BE2485">
      <w:pPr>
        <w:pStyle w:val="Lista-kontynuacja3"/>
        <w:shd w:val="clear" w:color="auto" w:fill="FFFFFF" w:themeFill="background1"/>
        <w:tabs>
          <w:tab w:val="left" w:pos="142"/>
        </w:tabs>
        <w:spacing w:after="0" w:line="240" w:lineRule="auto"/>
        <w:ind w:left="0"/>
        <w:jc w:val="both"/>
        <w:rPr>
          <w:rFonts w:cs="Arial"/>
          <w:szCs w:val="20"/>
        </w:rPr>
      </w:pPr>
      <w:r w:rsidRPr="001D601E">
        <w:rPr>
          <w:rFonts w:cs="Arial"/>
          <w:szCs w:val="20"/>
        </w:rPr>
        <w:t>Ustalenia zawarte w niniejszej szczegółowej specyfikacji dotyczą zasad prowadzenia robót związanych z rozbiórką:</w:t>
      </w:r>
    </w:p>
    <w:p w14:paraId="584AA688"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warstw nawierzchni,</w:t>
      </w:r>
    </w:p>
    <w:p w14:paraId="42E3A605"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krawężników, obrzeży i oporników,</w:t>
      </w:r>
    </w:p>
    <w:p w14:paraId="3264D5E6"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ścieków,</w:t>
      </w:r>
    </w:p>
    <w:p w14:paraId="616EA85A"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 xml:space="preserve"> chodników,</w:t>
      </w:r>
    </w:p>
    <w:p w14:paraId="6D3D6FB1"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ogrodzeń,</w:t>
      </w:r>
    </w:p>
    <w:p w14:paraId="68F2C1D3"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barier i poręczy,</w:t>
      </w:r>
    </w:p>
    <w:p w14:paraId="4402A47A"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znaków drogowych,</w:t>
      </w:r>
    </w:p>
    <w:p w14:paraId="346CBA95"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przepustów: betonowych, żelbetowych, kamiennych, ceglanych itp.</w:t>
      </w:r>
    </w:p>
    <w:p w14:paraId="4A3EACF0"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lastRenderedPageBreak/>
        <w:t>1.4. Określenia podstawowe</w:t>
      </w:r>
    </w:p>
    <w:p w14:paraId="617D3F9D"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Stosowane określenia podstawowe są zgodne z obowiązującymi, odpowiednimi polskimi normami oraz z definicjami podanymi w SST D-M-00.00.00 „Wymagania ogólne” pkt 1.4.</w:t>
      </w:r>
    </w:p>
    <w:p w14:paraId="1CFE4E5E"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1.5. Ogólne wymagania dotyczące robót</w:t>
      </w:r>
    </w:p>
    <w:p w14:paraId="631127F0"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robót podano w SST D-M-00.00.00 „Wymagania ogólne” pkt 1.5.</w:t>
      </w:r>
    </w:p>
    <w:p w14:paraId="24362072" w14:textId="77777777" w:rsidR="00DB03B3" w:rsidRPr="001D601E" w:rsidRDefault="00DB03B3"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2. MATERIAŁY</w:t>
      </w:r>
    </w:p>
    <w:p w14:paraId="4B876B5D"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2.1. Ogólne wymagania dotyczące materiałów</w:t>
      </w:r>
    </w:p>
    <w:p w14:paraId="252EA03C"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materiałów, ich pozyskiwania i składowania, podano w SST D-M-00.00.00 „Wymagania ogólne” pkt 2.</w:t>
      </w:r>
    </w:p>
    <w:p w14:paraId="08C5E249" w14:textId="77777777" w:rsidR="00DB03B3" w:rsidRPr="001D601E" w:rsidRDefault="00DB03B3"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3. SPRZĘT</w:t>
      </w:r>
    </w:p>
    <w:p w14:paraId="2A86BEBF"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3.1. Ogólne wymagania dotyczące sprzętu</w:t>
      </w:r>
    </w:p>
    <w:p w14:paraId="0E507005"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sprzętu podano w SST D-M-00.00.00 „Wymagania ogólne” pkt 3.</w:t>
      </w:r>
    </w:p>
    <w:p w14:paraId="3EE61FFF"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3.2. Sprzęt do rozbiórki</w:t>
      </w:r>
    </w:p>
    <w:p w14:paraId="1D664B9C"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 wykonania robót związanych z rozbiórką elementów dróg, ogrodzeń i przepustów może być wykorzystany sprzęt podany poniżej, lub inny zaakceptowany przez Inżyniera:</w:t>
      </w:r>
    </w:p>
    <w:p w14:paraId="786F6E91"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spycharki,</w:t>
      </w:r>
    </w:p>
    <w:p w14:paraId="65F1BB24"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ładowarki,</w:t>
      </w:r>
    </w:p>
    <w:p w14:paraId="05A547B2"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żurawie samochodowe,</w:t>
      </w:r>
    </w:p>
    <w:p w14:paraId="30BC358E"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samochody ciężarowe,</w:t>
      </w:r>
    </w:p>
    <w:p w14:paraId="3F5F63C6"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zrywarki,</w:t>
      </w:r>
    </w:p>
    <w:p w14:paraId="49837EF1"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młoty pneumatyczne,</w:t>
      </w:r>
    </w:p>
    <w:p w14:paraId="54A9BF7D"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piły mechaniczne,</w:t>
      </w:r>
    </w:p>
    <w:p w14:paraId="0F23F362"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frezarki nawierzchni,</w:t>
      </w:r>
    </w:p>
    <w:p w14:paraId="713CA953"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koparki.</w:t>
      </w:r>
    </w:p>
    <w:p w14:paraId="3F38D43B" w14:textId="77777777" w:rsidR="00DB03B3" w:rsidRPr="001D601E" w:rsidRDefault="00DB03B3"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4. TRANSPORT</w:t>
      </w:r>
    </w:p>
    <w:p w14:paraId="0232B7AD"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4.1. Ogólne wymagania dotyczące transportu</w:t>
      </w:r>
    </w:p>
    <w:p w14:paraId="6EBD0BF6"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wymagania dotyczące transportu podano w SST D-M-00.00.00 „Wymagania ogólne” pkt 4.</w:t>
      </w:r>
    </w:p>
    <w:p w14:paraId="6580CB56"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4.2. Transport materiałów z rozbiórki</w:t>
      </w:r>
    </w:p>
    <w:p w14:paraId="19059376"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Materiał z rozbiórki można przewozić dowolnym środkiem transportu.</w:t>
      </w:r>
    </w:p>
    <w:p w14:paraId="05F6DAF4" w14:textId="77777777" w:rsidR="00DB03B3" w:rsidRPr="001D601E" w:rsidRDefault="00DB03B3"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5. WYKONANIE ROBÓT</w:t>
      </w:r>
    </w:p>
    <w:p w14:paraId="6A3A883F"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5.1. Ogólne zasady wykonania robót</w:t>
      </w:r>
    </w:p>
    <w:p w14:paraId="6289CF46"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wykonania robót podano w SST D-M-00.00.00 „Wymagania ogólne” pkt 5.</w:t>
      </w:r>
    </w:p>
    <w:p w14:paraId="5BE189F8"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5.2. Wykonanie robót rozbiórkowych</w:t>
      </w:r>
    </w:p>
    <w:p w14:paraId="7676CB41"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Roboty rozbiórkowe elementów dróg, ogrodzeń i przepustów obejmują usunięcie z terenu budowy wszystkich elementów wymienionych w pkt 1.3, zgodnie z dokumentacją projektową lub wskazanych przez Inżyniera.</w:t>
      </w:r>
    </w:p>
    <w:p w14:paraId="4660667D"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Jeśli dokumentacja projektowa nie zawiera dokumentacji inwentaryzacyjnej lub/i rozbiórkowej, Inżynier może polecić Wykonawcy sporządzenie takiej dokumentacji, w której zostanie określony przewidziany odzysk materiałów.</w:t>
      </w:r>
    </w:p>
    <w:p w14:paraId="7B489635"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Roboty rozbiórkowe można wykonywać mechanicznie lub ręcznie w sposób określony przez Inżyniera.</w:t>
      </w:r>
    </w:p>
    <w:p w14:paraId="2AB7766D"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 przypadku usuwania warstw nawierzchni z zastosowaniem frezarek drogowych, należy spełnić warunki określone w SST D-05.03.11 „Recykling”.</w:t>
      </w:r>
    </w:p>
    <w:p w14:paraId="5B470126" w14:textId="77777777" w:rsidR="00DB03B3" w:rsidRPr="001D601E" w:rsidRDefault="00DB03B3" w:rsidP="00BE2485">
      <w:pPr>
        <w:pStyle w:val="Tekstpodstawowywcity"/>
        <w:shd w:val="clear" w:color="auto" w:fill="FFFFFF" w:themeFill="background1"/>
        <w:tabs>
          <w:tab w:val="left" w:pos="142"/>
        </w:tabs>
        <w:spacing w:line="240" w:lineRule="auto"/>
        <w:ind w:firstLine="0"/>
        <w:jc w:val="both"/>
        <w:rPr>
          <w:rFonts w:cs="Arial"/>
          <w:sz w:val="20"/>
          <w:szCs w:val="20"/>
        </w:rPr>
      </w:pPr>
      <w:r w:rsidRPr="001D601E">
        <w:rPr>
          <w:rFonts w:cs="Arial"/>
          <w:sz w:val="20"/>
          <w:szCs w:val="20"/>
        </w:rPr>
        <w:t>W przypadku robót rozbiórkowych przepustu należy dokonać:</w:t>
      </w:r>
    </w:p>
    <w:p w14:paraId="4E03E891" w14:textId="77777777" w:rsidR="00DB03B3" w:rsidRPr="001D601E" w:rsidRDefault="00DB03B3"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odkopania przepustu,</w:t>
      </w:r>
    </w:p>
    <w:p w14:paraId="06FDF3BF" w14:textId="77777777" w:rsidR="00DB03B3" w:rsidRPr="001D601E" w:rsidRDefault="00DB03B3"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ew. ustawienia przenośnych rusztowań przy przepustach wyższych od około 2 m,</w:t>
      </w:r>
    </w:p>
    <w:p w14:paraId="577C9D88" w14:textId="77777777" w:rsidR="00DB03B3" w:rsidRPr="001D601E" w:rsidRDefault="00DB03B3"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rozbicia elementów, których nie przewiduje się odzyskać, w sposób ręczny lub mechaniczny z ew. przecięciem prętów zbrojeniowych i ich odgięciem,</w:t>
      </w:r>
    </w:p>
    <w:p w14:paraId="62B45E9E" w14:textId="77777777" w:rsidR="00DB03B3" w:rsidRPr="001D601E" w:rsidRDefault="00DB03B3"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demontażu prefabrykowanych elementów przepustów (np. rur, elementów skrzynkowych, ramowych) z uprzednim oczyszczeniem spoin i częściowym usunięciu ław, względnie ostrożnego rozebrania konstrukcji kamiennych, ceglanych, klinkierowych itp. przy założeniu ponownego ich wykorzystania,</w:t>
      </w:r>
    </w:p>
    <w:p w14:paraId="3C9EC909" w14:textId="77777777" w:rsidR="00DB03B3" w:rsidRPr="001D601E" w:rsidRDefault="00DB03B3" w:rsidP="00BE2485">
      <w:pPr>
        <w:pStyle w:val="Listapunktowana3"/>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 xml:space="preserve">oczyszczenia rozebranych elementów, przewidzianych do powtórnego użycia </w:t>
      </w:r>
    </w:p>
    <w:p w14:paraId="32933EDA"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Wszystkie elementy możliwe do powtórnego wykorzystania powinny być usuwane bez powodowania zbędnych uszkodzeń. O ile uzyskane elementy nie stają się własnością Wykonawcy, powinien on przewieźć je na miejsce wskazane przez Inżyniera.</w:t>
      </w:r>
    </w:p>
    <w:p w14:paraId="55DF1034"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Elementy i materiały, które zgodnie z SST stają się własnością Wykonawcy, powinny być usunięte z terenu budowy.</w:t>
      </w:r>
    </w:p>
    <w:p w14:paraId="697D8104"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14:paraId="0ECB6666"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Doły w miejscach, gdzie nie przewiduje się wykonania wykopów drogowych należy wypełnić, warstwami, odpowiednim gruntem do poziomu otaczającego terenu i zagęścić zgodnie z wymaganiami określonymi w SST D-02.00.00 „Roboty ziemne”.</w:t>
      </w:r>
    </w:p>
    <w:p w14:paraId="2C2418C5" w14:textId="77777777" w:rsidR="00DB03B3" w:rsidRPr="001D601E" w:rsidRDefault="00DB03B3"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6. KONTROLA JAKOŚCI ROBÓT</w:t>
      </w:r>
    </w:p>
    <w:p w14:paraId="7FD6FC81"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6.1. Ogólne zasady kontroli jakości robót</w:t>
      </w:r>
    </w:p>
    <w:p w14:paraId="75A1D0E1"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kontroli jakości robót podano w SST D-M-00.00.00 „Wymagania ogólne” pkt 6.</w:t>
      </w:r>
    </w:p>
    <w:p w14:paraId="5BD736DB"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lastRenderedPageBreak/>
        <w:t>6.2. Kontrola jakości robót rozbiórkowych</w:t>
      </w:r>
    </w:p>
    <w:p w14:paraId="6A6057C8"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Kontrola jakości robót polega na wizualnej ocenie kompletności wykonanych robót rozbiórkowych oraz sprawdzeniu stopnia uszkodzenia elementów przewidzianych do powtórnego wykorzystania.</w:t>
      </w:r>
    </w:p>
    <w:p w14:paraId="0D1486E6"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Zagęszczenie gruntu wypełniającego ewentualne doły po usuniętych elementach nawierzchni, ogrodzeń i przepustów powinno spełniać odpowiednie wymagania określone w SST D-02.00.00 „Roboty ziemne”.</w:t>
      </w:r>
    </w:p>
    <w:p w14:paraId="6787E6F7" w14:textId="77777777" w:rsidR="00DB03B3" w:rsidRPr="001D601E" w:rsidRDefault="00DB03B3"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7. OBMIAR ROBÓT</w:t>
      </w:r>
    </w:p>
    <w:p w14:paraId="63B48186"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7.1. Ogólne zasady obmiaru robót</w:t>
      </w:r>
    </w:p>
    <w:p w14:paraId="1ED9CBD2"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obmiaru robót podano w SST D-M-00.00.00 „Wymagania ogólne”     pkt 7.</w:t>
      </w:r>
    </w:p>
    <w:p w14:paraId="246CFE79"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7.2. Jednostka obmiarowa</w:t>
      </w:r>
    </w:p>
    <w:p w14:paraId="046B30DE" w14:textId="77777777" w:rsidR="00DB03B3" w:rsidRPr="001D601E" w:rsidRDefault="00DB03B3" w:rsidP="00BE2485">
      <w:pPr>
        <w:pStyle w:val="Lista-kontynuacja3"/>
        <w:shd w:val="clear" w:color="auto" w:fill="FFFFFF" w:themeFill="background1"/>
        <w:tabs>
          <w:tab w:val="left" w:pos="142"/>
        </w:tabs>
        <w:spacing w:after="0" w:line="240" w:lineRule="auto"/>
        <w:ind w:left="0"/>
        <w:jc w:val="both"/>
        <w:rPr>
          <w:rFonts w:cs="Arial"/>
          <w:szCs w:val="20"/>
        </w:rPr>
      </w:pPr>
      <w:r w:rsidRPr="001D601E">
        <w:rPr>
          <w:rFonts w:cs="Arial"/>
          <w:szCs w:val="20"/>
        </w:rPr>
        <w:t>Jednostką obmiarową robót związanych z rozbiórką elementów dróg i ogrodzeń jest:</w:t>
      </w:r>
    </w:p>
    <w:p w14:paraId="1F3E5E03"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dla nawierzchni i chodnika - m</w:t>
      </w:r>
      <w:r w:rsidRPr="001D601E">
        <w:rPr>
          <w:rFonts w:cs="Arial"/>
          <w:szCs w:val="20"/>
          <w:vertAlign w:val="superscript"/>
        </w:rPr>
        <w:t>2</w:t>
      </w:r>
      <w:r w:rsidRPr="001D601E">
        <w:rPr>
          <w:rFonts w:cs="Arial"/>
          <w:szCs w:val="20"/>
        </w:rPr>
        <w:t xml:space="preserve"> (metr kwadratowy),</w:t>
      </w:r>
    </w:p>
    <w:p w14:paraId="36A956C2"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dla krawężnika, opornika, obrzeża, ścieków prefabrykowanych, ogrodzeń, barier i poręczy - m (metr),</w:t>
      </w:r>
    </w:p>
    <w:p w14:paraId="197216C3"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dla znaków drogowych - szt. (sztuka),</w:t>
      </w:r>
    </w:p>
    <w:p w14:paraId="48DFF8DA" w14:textId="77777777" w:rsidR="00DB03B3" w:rsidRPr="001D601E" w:rsidRDefault="00DB03B3" w:rsidP="00BE2485">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dla przepustów i ich elementów</w:t>
      </w:r>
    </w:p>
    <w:p w14:paraId="535A9E02" w14:textId="77777777" w:rsidR="00DB03B3" w:rsidRPr="001D601E" w:rsidRDefault="00DB03B3" w:rsidP="00BE2485">
      <w:pPr>
        <w:pStyle w:val="Lista5"/>
        <w:shd w:val="clear" w:color="auto" w:fill="FFFFFF" w:themeFill="background1"/>
        <w:tabs>
          <w:tab w:val="left" w:pos="142"/>
        </w:tabs>
        <w:spacing w:line="240" w:lineRule="auto"/>
        <w:ind w:left="0" w:firstLine="0"/>
        <w:jc w:val="both"/>
        <w:rPr>
          <w:rFonts w:cs="Arial"/>
          <w:szCs w:val="20"/>
        </w:rPr>
      </w:pPr>
      <w:r w:rsidRPr="001D601E">
        <w:rPr>
          <w:rFonts w:cs="Arial"/>
          <w:szCs w:val="20"/>
        </w:rPr>
        <w:t>a)</w:t>
      </w:r>
      <w:r w:rsidRPr="001D601E">
        <w:rPr>
          <w:rFonts w:cs="Arial"/>
          <w:szCs w:val="20"/>
        </w:rPr>
        <w:tab/>
        <w:t>betonowych, kamiennych, ceglanych - m</w:t>
      </w:r>
      <w:r w:rsidRPr="001D601E">
        <w:rPr>
          <w:rFonts w:cs="Arial"/>
          <w:szCs w:val="20"/>
          <w:vertAlign w:val="superscript"/>
        </w:rPr>
        <w:t>3</w:t>
      </w:r>
      <w:r w:rsidRPr="001D601E">
        <w:rPr>
          <w:rFonts w:cs="Arial"/>
          <w:szCs w:val="20"/>
        </w:rPr>
        <w:t xml:space="preserve"> (metr sześcienny),</w:t>
      </w:r>
    </w:p>
    <w:p w14:paraId="566C9242" w14:textId="77777777" w:rsidR="00DB03B3" w:rsidRPr="001D601E" w:rsidRDefault="00DB03B3" w:rsidP="00BE2485">
      <w:pPr>
        <w:pStyle w:val="Lista5"/>
        <w:shd w:val="clear" w:color="auto" w:fill="FFFFFF" w:themeFill="background1"/>
        <w:tabs>
          <w:tab w:val="left" w:pos="142"/>
        </w:tabs>
        <w:spacing w:line="240" w:lineRule="auto"/>
        <w:ind w:left="0" w:firstLine="0"/>
        <w:jc w:val="both"/>
        <w:rPr>
          <w:rFonts w:cs="Arial"/>
          <w:szCs w:val="20"/>
        </w:rPr>
      </w:pPr>
      <w:r w:rsidRPr="001D601E">
        <w:rPr>
          <w:rFonts w:cs="Arial"/>
          <w:szCs w:val="20"/>
        </w:rPr>
        <w:t>b)</w:t>
      </w:r>
      <w:r w:rsidRPr="001D601E">
        <w:rPr>
          <w:rFonts w:cs="Arial"/>
          <w:szCs w:val="20"/>
        </w:rPr>
        <w:tab/>
        <w:t>prefabrykowanych betonowych, żelbetowych - m (metr).</w:t>
      </w:r>
    </w:p>
    <w:p w14:paraId="1E33DE85" w14:textId="77777777" w:rsidR="00DB03B3" w:rsidRPr="001D601E" w:rsidRDefault="00DB03B3"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8. ODBIÓR ROBÓT</w:t>
      </w:r>
    </w:p>
    <w:p w14:paraId="46EC6769"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zasady odbioru robót podano w SST D-M-00.00.00 „Wymagania ogólne”            pkt 8.</w:t>
      </w:r>
    </w:p>
    <w:p w14:paraId="764811D7" w14:textId="77777777" w:rsidR="00DB03B3" w:rsidRPr="001D601E" w:rsidRDefault="00DB03B3" w:rsidP="00BE2485">
      <w:pPr>
        <w:pStyle w:val="Nagwek1"/>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9. PODSTAWA PŁATNOŚCI</w:t>
      </w:r>
    </w:p>
    <w:p w14:paraId="45E1581F"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9.1. Ogólne ustalenia dotyczące podstawy płatności</w:t>
      </w:r>
    </w:p>
    <w:p w14:paraId="70FE7034" w14:textId="77777777" w:rsidR="00DB03B3" w:rsidRPr="001D601E" w:rsidRDefault="00DB03B3" w:rsidP="00BE2485">
      <w:pPr>
        <w:pStyle w:val="Tekstpodstawowyzwciciem"/>
        <w:shd w:val="clear" w:color="auto" w:fill="FFFFFF" w:themeFill="background1"/>
        <w:tabs>
          <w:tab w:val="left" w:pos="142"/>
        </w:tabs>
        <w:spacing w:line="240" w:lineRule="auto"/>
        <w:ind w:firstLine="0"/>
        <w:jc w:val="both"/>
        <w:rPr>
          <w:rFonts w:cs="Arial"/>
          <w:szCs w:val="20"/>
        </w:rPr>
      </w:pPr>
      <w:r w:rsidRPr="001D601E">
        <w:rPr>
          <w:rFonts w:cs="Arial"/>
          <w:szCs w:val="20"/>
        </w:rPr>
        <w:t>Ogólne ustalenia dotyczące podstawy płatności podano w SST D-M-00.00.00 „Wymagania ogólne” pkt 9.</w:t>
      </w:r>
    </w:p>
    <w:p w14:paraId="6C237E03" w14:textId="77777777" w:rsidR="00DB03B3" w:rsidRPr="001D601E" w:rsidRDefault="00DB03B3" w:rsidP="00BE2485">
      <w:pPr>
        <w:pStyle w:val="Nagwek2"/>
        <w:numPr>
          <w:ilvl w:val="12"/>
          <w:numId w:val="0"/>
        </w:numPr>
        <w:shd w:val="clear" w:color="auto" w:fill="FFFFFF" w:themeFill="background1"/>
        <w:tabs>
          <w:tab w:val="left" w:pos="142"/>
        </w:tabs>
        <w:spacing w:line="240" w:lineRule="auto"/>
        <w:jc w:val="both"/>
        <w:rPr>
          <w:rFonts w:cs="Arial"/>
          <w:szCs w:val="20"/>
        </w:rPr>
      </w:pPr>
      <w:r w:rsidRPr="001D601E">
        <w:rPr>
          <w:rFonts w:cs="Arial"/>
          <w:szCs w:val="20"/>
        </w:rPr>
        <w:t>9.2. Cena jednostki obmiarowej</w:t>
      </w:r>
    </w:p>
    <w:p w14:paraId="28A63480" w14:textId="77777777" w:rsidR="00DB03B3" w:rsidRPr="001D601E" w:rsidRDefault="00DB03B3" w:rsidP="00BE2485">
      <w:pPr>
        <w:pStyle w:val="Lista-kontynuacja3"/>
        <w:shd w:val="clear" w:color="auto" w:fill="FFFFFF" w:themeFill="background1"/>
        <w:tabs>
          <w:tab w:val="left" w:pos="142"/>
        </w:tabs>
        <w:spacing w:after="0" w:line="240" w:lineRule="auto"/>
        <w:ind w:left="0"/>
        <w:jc w:val="both"/>
        <w:rPr>
          <w:rFonts w:cs="Arial"/>
          <w:szCs w:val="20"/>
        </w:rPr>
      </w:pPr>
      <w:r w:rsidRPr="001D601E">
        <w:rPr>
          <w:rFonts w:cs="Arial"/>
          <w:szCs w:val="20"/>
        </w:rPr>
        <w:t>Cena wykonania robót obejmuje:</w:t>
      </w:r>
    </w:p>
    <w:p w14:paraId="0B38CC46" w14:textId="77777777" w:rsidR="00DB03B3" w:rsidRPr="001D601E" w:rsidRDefault="00DB03B3"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szCs w:val="20"/>
        </w:rPr>
        <w:t>a)</w:t>
      </w:r>
      <w:r w:rsidRPr="001D601E">
        <w:rPr>
          <w:rFonts w:cs="Arial"/>
          <w:szCs w:val="20"/>
        </w:rPr>
        <w:tab/>
        <w:t>dla rozbiórki warstw nawierzchni:</w:t>
      </w:r>
    </w:p>
    <w:p w14:paraId="1D014EA2"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wyznaczenie powierzchni przeznaczonej do rozbiórki,</w:t>
      </w:r>
    </w:p>
    <w:p w14:paraId="56324EFA"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rozkucie i zerwanie nawierzchni,</w:t>
      </w:r>
    </w:p>
    <w:p w14:paraId="630CBA83"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ew. przesortowanie materiału uzyskanego z rozbiórki, w celu ponownego jej użycia, z ułożeniem na poboczu,</w:t>
      </w:r>
    </w:p>
    <w:p w14:paraId="7A5C30CB"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załadunek i wywiezienie materiałów z rozbiórki,</w:t>
      </w:r>
    </w:p>
    <w:p w14:paraId="3DC8C997"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wyrównanie podłoża i uporządkowanie terenu rozbiórki;</w:t>
      </w:r>
    </w:p>
    <w:p w14:paraId="5AEA8AC8" w14:textId="77777777" w:rsidR="00DB03B3" w:rsidRPr="001D601E" w:rsidRDefault="00DB03B3"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szCs w:val="20"/>
        </w:rPr>
        <w:t>b)</w:t>
      </w:r>
      <w:r w:rsidRPr="001D601E">
        <w:rPr>
          <w:rFonts w:cs="Arial"/>
          <w:szCs w:val="20"/>
        </w:rPr>
        <w:tab/>
        <w:t>dla rozbiórki krawężników, obrzeży i oporników:</w:t>
      </w:r>
    </w:p>
    <w:p w14:paraId="72DB0E31"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odkopanie krawężników, obrzeży i oporników wraz z wyjęciem i oczyszczeniem,</w:t>
      </w:r>
    </w:p>
    <w:p w14:paraId="58BC7173"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zerwanie podsypki cementowo-piaskowej i ew. ław,</w:t>
      </w:r>
    </w:p>
    <w:p w14:paraId="50592829"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załadunek i wywiezienie materiału z rozbiórki,</w:t>
      </w:r>
    </w:p>
    <w:p w14:paraId="07668F81"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wyrównanie podłoża i uporządkowanie terenu rozbiórki;</w:t>
      </w:r>
    </w:p>
    <w:p w14:paraId="049BFCD7" w14:textId="77777777" w:rsidR="00DB03B3" w:rsidRPr="001D601E" w:rsidRDefault="00DB03B3"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szCs w:val="20"/>
        </w:rPr>
        <w:t>c)</w:t>
      </w:r>
      <w:r w:rsidRPr="001D601E">
        <w:rPr>
          <w:rFonts w:cs="Arial"/>
          <w:szCs w:val="20"/>
        </w:rPr>
        <w:tab/>
        <w:t>dla rozbiórki ścieku:</w:t>
      </w:r>
    </w:p>
    <w:p w14:paraId="6F3F87B0"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odsłonięcie ścieku,</w:t>
      </w:r>
    </w:p>
    <w:p w14:paraId="734564FE"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ręczne wyjęcie elementów ściekowych wraz z oczyszczeniem,</w:t>
      </w:r>
    </w:p>
    <w:p w14:paraId="4840606E"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ew. przesortowanie materiału uzyskanego z rozbiórki, w celu ponownego jego użycia, z ułożeniem na poboczu,</w:t>
      </w:r>
    </w:p>
    <w:p w14:paraId="68C0350C"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zerwanie podsypki cementowo-piaskowej,</w:t>
      </w:r>
    </w:p>
    <w:p w14:paraId="30C00C70"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uzupełnienie i wyrównanie podłoża,</w:t>
      </w:r>
    </w:p>
    <w:p w14:paraId="52AA00EC"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załadunek i wywóz materiałów z rozbiórki,</w:t>
      </w:r>
    </w:p>
    <w:p w14:paraId="5EF24E93"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uporządkowanie terenu rozbiórki;</w:t>
      </w:r>
    </w:p>
    <w:p w14:paraId="10BD4C60" w14:textId="77777777" w:rsidR="00DB03B3" w:rsidRPr="001D601E" w:rsidRDefault="00DB03B3"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szCs w:val="20"/>
        </w:rPr>
        <w:t>d)</w:t>
      </w:r>
      <w:r w:rsidRPr="001D601E">
        <w:rPr>
          <w:rFonts w:cs="Arial"/>
          <w:szCs w:val="20"/>
        </w:rPr>
        <w:tab/>
        <w:t>dla rozbiórki chodników:</w:t>
      </w:r>
    </w:p>
    <w:p w14:paraId="4927B2BA"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ręczne wyjęcie płyt chodnikowych, lub rozkucie i zerwanie innych materiałów chodnikowych,</w:t>
      </w:r>
    </w:p>
    <w:p w14:paraId="130057B9"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ew. przesortowanie materiału uzyskanego z rozbiórki w celu ponownego jego użycia, z ułożeniem na poboczu,</w:t>
      </w:r>
    </w:p>
    <w:p w14:paraId="0F3218FF"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zerwanie podsypki cementowo-piaskowej,</w:t>
      </w:r>
    </w:p>
    <w:p w14:paraId="0FF59860"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załadunek i wywiezienie materiałów z rozbiórki,</w:t>
      </w:r>
    </w:p>
    <w:p w14:paraId="5BE35505"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wyrównanie podłoża i uporządkowanie terenu rozbiórki;</w:t>
      </w:r>
    </w:p>
    <w:p w14:paraId="3B4178DC" w14:textId="77777777" w:rsidR="00DB03B3" w:rsidRPr="001D601E" w:rsidRDefault="00DB03B3"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szCs w:val="20"/>
        </w:rPr>
        <w:t>e)</w:t>
      </w:r>
      <w:r w:rsidRPr="001D601E">
        <w:rPr>
          <w:rFonts w:cs="Arial"/>
          <w:szCs w:val="20"/>
        </w:rPr>
        <w:tab/>
        <w:t>dla rozbiórki ogrodzeń:</w:t>
      </w:r>
    </w:p>
    <w:p w14:paraId="59C653CE"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demontaż elementów ogrodzenia,</w:t>
      </w:r>
    </w:p>
    <w:p w14:paraId="2889F568"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odkopanie i wydobycie słupków wraz z fundamentem,</w:t>
      </w:r>
    </w:p>
    <w:p w14:paraId="4F985C04"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 xml:space="preserve">zasypanie dołów po słupkach z zagęszczeniem do uzyskania Is </w:t>
      </w:r>
      <w:r w:rsidRPr="001D601E">
        <w:rPr>
          <w:rFonts w:cs="Arial"/>
          <w:szCs w:val="20"/>
        </w:rPr>
        <w:sym w:font="Symbol" w:char="F0B3"/>
      </w:r>
      <w:r w:rsidRPr="001D601E">
        <w:rPr>
          <w:rFonts w:cs="Arial"/>
          <w:szCs w:val="20"/>
        </w:rPr>
        <w:t xml:space="preserve"> 1,00 wg BN-77/8931-12 [9],</w:t>
      </w:r>
    </w:p>
    <w:p w14:paraId="230ED900"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ew. przesortowanie materiału uzyskanego z rozbiórki, w celu ponownego jego użycia, z ułożeniem w stosy na poboczu,</w:t>
      </w:r>
    </w:p>
    <w:p w14:paraId="0BA79CC9"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załadunek i wywiezienie materiałów z rozbiórki,</w:t>
      </w:r>
    </w:p>
    <w:p w14:paraId="38367EF2"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uporządkowanie terenu rozbiórki;</w:t>
      </w:r>
    </w:p>
    <w:p w14:paraId="1DB0DF09" w14:textId="77777777" w:rsidR="00DB03B3" w:rsidRPr="001D601E" w:rsidRDefault="00DB03B3"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szCs w:val="20"/>
        </w:rPr>
        <w:t>f)</w:t>
      </w:r>
      <w:r w:rsidRPr="001D601E">
        <w:rPr>
          <w:rFonts w:cs="Arial"/>
          <w:szCs w:val="20"/>
        </w:rPr>
        <w:tab/>
        <w:t>dla rozbiórki barier i poręczy:</w:t>
      </w:r>
    </w:p>
    <w:p w14:paraId="25691CEF"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demontaż elementów bariery lub poręczy,</w:t>
      </w:r>
    </w:p>
    <w:p w14:paraId="4C87CD4C"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odkopanie i wydobycie słupków wraz z fundamentem,</w:t>
      </w:r>
    </w:p>
    <w:p w14:paraId="10DBB999"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 xml:space="preserve">zasypanie dołów po słupkach wraz z zagęszczeniem do uzyskania Is </w:t>
      </w:r>
      <w:r w:rsidRPr="001D601E">
        <w:rPr>
          <w:rFonts w:cs="Arial"/>
          <w:szCs w:val="20"/>
        </w:rPr>
        <w:sym w:font="Symbol" w:char="F0B3"/>
      </w:r>
      <w:r w:rsidRPr="001D601E">
        <w:rPr>
          <w:rFonts w:cs="Arial"/>
          <w:szCs w:val="20"/>
        </w:rPr>
        <w:t xml:space="preserve"> 1,00 wg BN-77/8931-12 [9],</w:t>
      </w:r>
    </w:p>
    <w:p w14:paraId="586BE604"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załadunek i wywiezienie materiałów z rozbiórki,</w:t>
      </w:r>
    </w:p>
    <w:p w14:paraId="3E641393"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uporządkowanie terenu rozbiórki;</w:t>
      </w:r>
    </w:p>
    <w:p w14:paraId="204FCC5D" w14:textId="77777777" w:rsidR="00DB03B3" w:rsidRPr="001D601E" w:rsidRDefault="00DB03B3"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szCs w:val="20"/>
        </w:rPr>
        <w:t>g)</w:t>
      </w:r>
      <w:r w:rsidRPr="001D601E">
        <w:rPr>
          <w:rFonts w:cs="Arial"/>
          <w:szCs w:val="20"/>
        </w:rPr>
        <w:tab/>
        <w:t>dla rozbiórki znaków drogowych:</w:t>
      </w:r>
    </w:p>
    <w:p w14:paraId="305FDD15"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lastRenderedPageBreak/>
        <w:t>demontaż tablic znaków drogowych ze słupków,</w:t>
      </w:r>
    </w:p>
    <w:p w14:paraId="68B14B8A"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odkopanie i wydobycie słupków,</w:t>
      </w:r>
    </w:p>
    <w:p w14:paraId="74ABCFF6"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 xml:space="preserve">zasypanie dołów po słupkach wraz z zagęszczeniem do uzyskania Is </w:t>
      </w:r>
      <w:r w:rsidRPr="001D601E">
        <w:rPr>
          <w:rFonts w:cs="Arial"/>
          <w:szCs w:val="20"/>
        </w:rPr>
        <w:sym w:font="Symbol" w:char="F0B3"/>
      </w:r>
      <w:r w:rsidRPr="001D601E">
        <w:rPr>
          <w:rFonts w:cs="Arial"/>
          <w:szCs w:val="20"/>
        </w:rPr>
        <w:t xml:space="preserve"> 1,00 wg BN-77/8931-12 [9],</w:t>
      </w:r>
    </w:p>
    <w:p w14:paraId="7E56009B"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załadunek i wywiezienie materiałów z rozbiórki,</w:t>
      </w:r>
    </w:p>
    <w:p w14:paraId="44623E68"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uporządkowanie terenu rozbiórki;</w:t>
      </w:r>
    </w:p>
    <w:p w14:paraId="0800FE9E" w14:textId="77777777" w:rsidR="00DB03B3" w:rsidRPr="001D601E" w:rsidRDefault="00DB03B3" w:rsidP="00BE2485">
      <w:pPr>
        <w:pStyle w:val="Lista4"/>
        <w:shd w:val="clear" w:color="auto" w:fill="FFFFFF" w:themeFill="background1"/>
        <w:tabs>
          <w:tab w:val="left" w:pos="142"/>
        </w:tabs>
        <w:spacing w:line="240" w:lineRule="auto"/>
        <w:ind w:left="0" w:firstLine="0"/>
        <w:jc w:val="both"/>
        <w:rPr>
          <w:rFonts w:cs="Arial"/>
          <w:szCs w:val="20"/>
        </w:rPr>
      </w:pPr>
      <w:r w:rsidRPr="001D601E">
        <w:rPr>
          <w:rFonts w:cs="Arial"/>
          <w:szCs w:val="20"/>
        </w:rPr>
        <w:t>h)</w:t>
      </w:r>
      <w:r w:rsidRPr="001D601E">
        <w:rPr>
          <w:rFonts w:cs="Arial"/>
          <w:szCs w:val="20"/>
        </w:rPr>
        <w:tab/>
        <w:t>dla rozbiórki przepustu:</w:t>
      </w:r>
    </w:p>
    <w:p w14:paraId="293496EB"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odkopanie przepustu, fundamentów, ław, umocnień itp.,</w:t>
      </w:r>
    </w:p>
    <w:p w14:paraId="618E6C97"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ew. ustawienie rusztowań i ich późniejsze rozebranie,</w:t>
      </w:r>
    </w:p>
    <w:p w14:paraId="2FE8D80A"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rozebranie elementów przepustu,</w:t>
      </w:r>
    </w:p>
    <w:p w14:paraId="12B4C2CA"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sortowanie i pryzmowanie odzyskanych materiałów,</w:t>
      </w:r>
    </w:p>
    <w:p w14:paraId="3BA179FA"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załadunek i wywiezienie materiałów z rozbiórki,</w:t>
      </w:r>
    </w:p>
    <w:p w14:paraId="3CD1474F"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 xml:space="preserve">zasypanie dołów (wykopów) gruntem z zagęszczeniem do uzyskania Is </w:t>
      </w:r>
      <w:r w:rsidRPr="001D601E">
        <w:rPr>
          <w:rFonts w:cs="Arial"/>
          <w:szCs w:val="20"/>
        </w:rPr>
        <w:sym w:font="Symbol" w:char="F0B3"/>
      </w:r>
      <w:r w:rsidRPr="001D601E">
        <w:rPr>
          <w:rFonts w:cs="Arial"/>
          <w:szCs w:val="20"/>
        </w:rPr>
        <w:t xml:space="preserve"> 1,00 wg BN-77/8931-12 [9],</w:t>
      </w:r>
    </w:p>
    <w:p w14:paraId="43A97339" w14:textId="77777777" w:rsidR="00DB03B3" w:rsidRPr="001D601E" w:rsidRDefault="00DB03B3" w:rsidP="00BE2485">
      <w:pPr>
        <w:pStyle w:val="Listapunktowana5"/>
        <w:numPr>
          <w:ilvl w:val="0"/>
          <w:numId w:val="4"/>
        </w:numPr>
        <w:shd w:val="clear" w:color="auto" w:fill="FFFFFF" w:themeFill="background1"/>
        <w:tabs>
          <w:tab w:val="left" w:pos="142"/>
        </w:tabs>
        <w:spacing w:line="240" w:lineRule="auto"/>
        <w:ind w:left="0" w:firstLine="0"/>
        <w:jc w:val="both"/>
        <w:rPr>
          <w:rFonts w:cs="Arial"/>
          <w:szCs w:val="20"/>
        </w:rPr>
      </w:pPr>
      <w:r w:rsidRPr="001D601E">
        <w:rPr>
          <w:rFonts w:cs="Arial"/>
          <w:szCs w:val="20"/>
        </w:rPr>
        <w:t>uporządkowanie terenu rozbiórki.</w:t>
      </w:r>
    </w:p>
    <w:p w14:paraId="56B61D29" w14:textId="77777777" w:rsidR="00DB03B3" w:rsidRPr="001D601E" w:rsidRDefault="00DB03B3" w:rsidP="00BE2485">
      <w:pPr>
        <w:pStyle w:val="Nagwek1"/>
        <w:shd w:val="clear" w:color="auto" w:fill="FFFFFF" w:themeFill="background1"/>
        <w:tabs>
          <w:tab w:val="left" w:pos="142"/>
        </w:tabs>
        <w:spacing w:line="240" w:lineRule="auto"/>
        <w:jc w:val="both"/>
        <w:rPr>
          <w:rFonts w:cs="Arial"/>
          <w:szCs w:val="20"/>
        </w:rPr>
      </w:pPr>
      <w:r w:rsidRPr="001D601E">
        <w:rPr>
          <w:rFonts w:cs="Arial"/>
          <w:szCs w:val="20"/>
        </w:rPr>
        <w:t>10. PRZEPISY ZWIĄZANE</w:t>
      </w:r>
    </w:p>
    <w:p w14:paraId="2389845D" w14:textId="77777777" w:rsidR="00DB03B3" w:rsidRPr="001D601E" w:rsidRDefault="00DB03B3" w:rsidP="00BE2485">
      <w:pPr>
        <w:pStyle w:val="Nagwek2"/>
        <w:shd w:val="clear" w:color="auto" w:fill="FFFFFF" w:themeFill="background1"/>
        <w:tabs>
          <w:tab w:val="left" w:pos="142"/>
        </w:tabs>
        <w:spacing w:line="240" w:lineRule="auto"/>
        <w:jc w:val="both"/>
        <w:rPr>
          <w:rFonts w:cs="Arial"/>
          <w:szCs w:val="20"/>
        </w:rPr>
      </w:pPr>
      <w:r w:rsidRPr="001D601E">
        <w:rPr>
          <w:rFonts w:cs="Arial"/>
          <w:szCs w:val="20"/>
        </w:rPr>
        <w:t>Normy</w:t>
      </w:r>
    </w:p>
    <w:tbl>
      <w:tblPr>
        <w:tblW w:w="0" w:type="auto"/>
        <w:tblLayout w:type="fixed"/>
        <w:tblCellMar>
          <w:left w:w="70" w:type="dxa"/>
          <w:right w:w="70" w:type="dxa"/>
        </w:tblCellMar>
        <w:tblLook w:val="0000" w:firstRow="0" w:lastRow="0" w:firstColumn="0" w:lastColumn="0" w:noHBand="0" w:noVBand="0"/>
      </w:tblPr>
      <w:tblGrid>
        <w:gridCol w:w="496"/>
        <w:gridCol w:w="2551"/>
        <w:gridCol w:w="6237"/>
      </w:tblGrid>
      <w:tr w:rsidR="00DB03B3" w:rsidRPr="001D601E" w14:paraId="4472E794" w14:textId="77777777" w:rsidTr="009A0C1B">
        <w:tc>
          <w:tcPr>
            <w:tcW w:w="496" w:type="dxa"/>
          </w:tcPr>
          <w:p w14:paraId="6DA7AEC9"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1.</w:t>
            </w:r>
          </w:p>
        </w:tc>
        <w:tc>
          <w:tcPr>
            <w:tcW w:w="2551" w:type="dxa"/>
          </w:tcPr>
          <w:p w14:paraId="54E94E67"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PN-D-95017</w:t>
            </w:r>
          </w:p>
        </w:tc>
        <w:tc>
          <w:tcPr>
            <w:tcW w:w="6237" w:type="dxa"/>
          </w:tcPr>
          <w:p w14:paraId="1571A927"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Surowiec drzewny. Drewno tartaczne iglaste.</w:t>
            </w:r>
          </w:p>
        </w:tc>
      </w:tr>
      <w:tr w:rsidR="00DB03B3" w:rsidRPr="001D601E" w14:paraId="7E175CC1" w14:textId="77777777" w:rsidTr="009A0C1B">
        <w:tc>
          <w:tcPr>
            <w:tcW w:w="496" w:type="dxa"/>
          </w:tcPr>
          <w:p w14:paraId="072AEB44"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2.</w:t>
            </w:r>
          </w:p>
        </w:tc>
        <w:tc>
          <w:tcPr>
            <w:tcW w:w="2551" w:type="dxa"/>
          </w:tcPr>
          <w:p w14:paraId="149042A8"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PN-D-96000</w:t>
            </w:r>
          </w:p>
        </w:tc>
        <w:tc>
          <w:tcPr>
            <w:tcW w:w="6237" w:type="dxa"/>
          </w:tcPr>
          <w:p w14:paraId="7D59EE49"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Tarcica iglasta ogólnego przeznaczenia</w:t>
            </w:r>
          </w:p>
        </w:tc>
      </w:tr>
      <w:tr w:rsidR="00DB03B3" w:rsidRPr="001D601E" w14:paraId="0AB2C0F5" w14:textId="77777777" w:rsidTr="009A0C1B">
        <w:tc>
          <w:tcPr>
            <w:tcW w:w="496" w:type="dxa"/>
          </w:tcPr>
          <w:p w14:paraId="614E4A3A"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3.</w:t>
            </w:r>
          </w:p>
        </w:tc>
        <w:tc>
          <w:tcPr>
            <w:tcW w:w="2551" w:type="dxa"/>
          </w:tcPr>
          <w:p w14:paraId="1382857D"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PN-D-96002</w:t>
            </w:r>
          </w:p>
        </w:tc>
        <w:tc>
          <w:tcPr>
            <w:tcW w:w="6237" w:type="dxa"/>
          </w:tcPr>
          <w:p w14:paraId="1147CDE7"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Tarcica liściasta ogólnego przeznaczenia</w:t>
            </w:r>
          </w:p>
        </w:tc>
      </w:tr>
      <w:tr w:rsidR="00DB03B3" w:rsidRPr="001D601E" w14:paraId="7FB02DCF" w14:textId="77777777" w:rsidTr="009A0C1B">
        <w:tc>
          <w:tcPr>
            <w:tcW w:w="496" w:type="dxa"/>
          </w:tcPr>
          <w:p w14:paraId="06A126AA"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4.</w:t>
            </w:r>
          </w:p>
        </w:tc>
        <w:tc>
          <w:tcPr>
            <w:tcW w:w="2551" w:type="dxa"/>
          </w:tcPr>
          <w:p w14:paraId="6F54E8F3"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PN-H-74219</w:t>
            </w:r>
          </w:p>
        </w:tc>
        <w:tc>
          <w:tcPr>
            <w:tcW w:w="6237" w:type="dxa"/>
          </w:tcPr>
          <w:p w14:paraId="27799E07"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Rury stalowe bez szwu walcowane na gorąco ogólnego stosowania</w:t>
            </w:r>
          </w:p>
        </w:tc>
      </w:tr>
      <w:tr w:rsidR="00DB03B3" w:rsidRPr="001D601E" w14:paraId="0773ADF1" w14:textId="77777777" w:rsidTr="009A0C1B">
        <w:tc>
          <w:tcPr>
            <w:tcW w:w="496" w:type="dxa"/>
          </w:tcPr>
          <w:p w14:paraId="24DA520A"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5.</w:t>
            </w:r>
          </w:p>
        </w:tc>
        <w:tc>
          <w:tcPr>
            <w:tcW w:w="2551" w:type="dxa"/>
          </w:tcPr>
          <w:p w14:paraId="668A1C94"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PN-H-74220</w:t>
            </w:r>
          </w:p>
        </w:tc>
        <w:tc>
          <w:tcPr>
            <w:tcW w:w="6237" w:type="dxa"/>
          </w:tcPr>
          <w:p w14:paraId="5B773687"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Rury stalowe bez szwu ciągnione i walcowane na zimno ogólnego przeznaczenia</w:t>
            </w:r>
          </w:p>
        </w:tc>
      </w:tr>
      <w:tr w:rsidR="00DB03B3" w:rsidRPr="001D601E" w14:paraId="0A8DA0BA" w14:textId="77777777" w:rsidTr="009A0C1B">
        <w:tc>
          <w:tcPr>
            <w:tcW w:w="496" w:type="dxa"/>
          </w:tcPr>
          <w:p w14:paraId="7BE4A24E"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6.</w:t>
            </w:r>
          </w:p>
        </w:tc>
        <w:tc>
          <w:tcPr>
            <w:tcW w:w="2551" w:type="dxa"/>
          </w:tcPr>
          <w:p w14:paraId="0D338D8A"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PN-H-93401</w:t>
            </w:r>
          </w:p>
        </w:tc>
        <w:tc>
          <w:tcPr>
            <w:tcW w:w="6237" w:type="dxa"/>
          </w:tcPr>
          <w:p w14:paraId="0DC99CB6"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Stal walcowana. Kątowniki równoramienne</w:t>
            </w:r>
          </w:p>
        </w:tc>
      </w:tr>
      <w:tr w:rsidR="00DB03B3" w:rsidRPr="001D601E" w14:paraId="4BC1F8CE" w14:textId="77777777" w:rsidTr="009A0C1B">
        <w:tc>
          <w:tcPr>
            <w:tcW w:w="496" w:type="dxa"/>
          </w:tcPr>
          <w:p w14:paraId="765BB24B"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7.</w:t>
            </w:r>
          </w:p>
        </w:tc>
        <w:tc>
          <w:tcPr>
            <w:tcW w:w="2551" w:type="dxa"/>
          </w:tcPr>
          <w:p w14:paraId="36D3E653"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PN-H-93402</w:t>
            </w:r>
          </w:p>
        </w:tc>
        <w:tc>
          <w:tcPr>
            <w:tcW w:w="6237" w:type="dxa"/>
          </w:tcPr>
          <w:p w14:paraId="7A37DA63"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Kątowniki nierównoramienne stalowe walcowane na gorąco</w:t>
            </w:r>
          </w:p>
        </w:tc>
      </w:tr>
      <w:tr w:rsidR="00DB03B3" w:rsidRPr="001D601E" w14:paraId="65B8304E" w14:textId="77777777" w:rsidTr="009A0C1B">
        <w:tc>
          <w:tcPr>
            <w:tcW w:w="496" w:type="dxa"/>
          </w:tcPr>
          <w:p w14:paraId="6B72E5F4"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8.</w:t>
            </w:r>
          </w:p>
        </w:tc>
        <w:tc>
          <w:tcPr>
            <w:tcW w:w="2551" w:type="dxa"/>
          </w:tcPr>
          <w:p w14:paraId="31ECA9CB"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BN-87/5028-12</w:t>
            </w:r>
          </w:p>
        </w:tc>
        <w:tc>
          <w:tcPr>
            <w:tcW w:w="6237" w:type="dxa"/>
          </w:tcPr>
          <w:p w14:paraId="5F3A96CD"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Gwoździe budowlane. Gwoździe z trzpieniem gładkim, okrągłym i kwadratowym</w:t>
            </w:r>
          </w:p>
        </w:tc>
      </w:tr>
      <w:tr w:rsidR="00DB03B3" w:rsidRPr="001D601E" w14:paraId="7A710A91" w14:textId="77777777" w:rsidTr="009A0C1B">
        <w:tc>
          <w:tcPr>
            <w:tcW w:w="496" w:type="dxa"/>
          </w:tcPr>
          <w:p w14:paraId="66220783"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9.</w:t>
            </w:r>
          </w:p>
        </w:tc>
        <w:tc>
          <w:tcPr>
            <w:tcW w:w="2551" w:type="dxa"/>
          </w:tcPr>
          <w:p w14:paraId="42870B00"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BN-77/8931-12</w:t>
            </w:r>
          </w:p>
        </w:tc>
        <w:tc>
          <w:tcPr>
            <w:tcW w:w="6237" w:type="dxa"/>
          </w:tcPr>
          <w:p w14:paraId="51BDD3BE" w14:textId="77777777" w:rsidR="00DB03B3" w:rsidRPr="001D601E" w:rsidRDefault="00DB03B3" w:rsidP="00BE2485">
            <w:pPr>
              <w:shd w:val="clear" w:color="auto" w:fill="FFFFFF" w:themeFill="background1"/>
              <w:tabs>
                <w:tab w:val="right" w:leader="dot" w:pos="-1985"/>
                <w:tab w:val="left" w:pos="142"/>
                <w:tab w:val="left" w:pos="426"/>
                <w:tab w:val="right" w:leader="dot" w:pos="8505"/>
              </w:tabs>
              <w:spacing w:line="240" w:lineRule="auto"/>
              <w:jc w:val="both"/>
              <w:rPr>
                <w:rFonts w:cs="Arial"/>
                <w:szCs w:val="20"/>
              </w:rPr>
            </w:pPr>
            <w:r w:rsidRPr="001D601E">
              <w:rPr>
                <w:rFonts w:cs="Arial"/>
                <w:szCs w:val="20"/>
              </w:rPr>
              <w:t>Oznaczenie wskaźnika zagęszczenia gruntu.</w:t>
            </w:r>
          </w:p>
        </w:tc>
      </w:tr>
    </w:tbl>
    <w:p w14:paraId="58A2DDC1" w14:textId="3F6FEBEA" w:rsidR="00C90959" w:rsidRPr="00411FBF" w:rsidRDefault="00C90959" w:rsidP="00BE2485">
      <w:pPr>
        <w:keepNext/>
        <w:shd w:val="clear" w:color="auto" w:fill="FFFFFF" w:themeFill="background1"/>
        <w:tabs>
          <w:tab w:val="left" w:pos="142"/>
        </w:tabs>
        <w:spacing w:before="240" w:after="240" w:line="240" w:lineRule="auto"/>
        <w:jc w:val="both"/>
        <w:outlineLvl w:val="3"/>
        <w:rPr>
          <w:rFonts w:cs="Arial"/>
          <w:b/>
          <w:sz w:val="24"/>
        </w:rPr>
      </w:pPr>
      <w:r w:rsidRPr="00C90959">
        <w:rPr>
          <w:rFonts w:cs="Arial"/>
          <w:b/>
          <w:bCs/>
          <w:sz w:val="24"/>
        </w:rPr>
        <w:t>D – 02.00.00</w:t>
      </w:r>
      <w:r w:rsidRPr="00411FBF">
        <w:rPr>
          <w:rFonts w:cs="Arial"/>
          <w:b/>
          <w:bCs/>
          <w:sz w:val="24"/>
        </w:rPr>
        <w:t xml:space="preserve"> – </w:t>
      </w:r>
      <w:r w:rsidRPr="00C90959">
        <w:rPr>
          <w:rFonts w:cs="Arial"/>
          <w:b/>
          <w:bCs/>
          <w:sz w:val="24"/>
        </w:rPr>
        <w:t>ROBOTY   ZIEMNE</w:t>
      </w:r>
    </w:p>
    <w:p w14:paraId="7263C679" w14:textId="1F0BB3A7" w:rsidR="00D402EF" w:rsidRPr="006431C4" w:rsidRDefault="00083F08" w:rsidP="00BE2485">
      <w:pPr>
        <w:pStyle w:val="Nagwek4"/>
        <w:shd w:val="clear" w:color="auto" w:fill="FFFFFF" w:themeFill="background1"/>
        <w:tabs>
          <w:tab w:val="left" w:pos="142"/>
        </w:tabs>
        <w:spacing w:line="240" w:lineRule="auto"/>
        <w:jc w:val="both"/>
        <w:rPr>
          <w:rFonts w:cs="Arial"/>
          <w:szCs w:val="20"/>
        </w:rPr>
      </w:pPr>
      <w:bookmarkStart w:id="59" w:name="_Toc111635975"/>
      <w:r w:rsidRPr="006431C4">
        <w:rPr>
          <w:rFonts w:cs="Arial"/>
          <w:szCs w:val="20"/>
        </w:rPr>
        <w:t>D-</w:t>
      </w:r>
      <w:r w:rsidR="00AA4787">
        <w:rPr>
          <w:rFonts w:cs="Arial"/>
          <w:szCs w:val="20"/>
        </w:rPr>
        <w:t>02.00.00</w:t>
      </w:r>
      <w:r w:rsidR="00284CBE" w:rsidRPr="006431C4">
        <w:rPr>
          <w:rFonts w:cs="Arial"/>
          <w:szCs w:val="20"/>
        </w:rPr>
        <w:t xml:space="preserve"> - ROBOTY ZIEMNE. WYMAGANIA </w:t>
      </w:r>
      <w:r w:rsidR="00D402EF" w:rsidRPr="006431C4">
        <w:rPr>
          <w:rFonts w:cs="Arial"/>
          <w:szCs w:val="20"/>
        </w:rPr>
        <w:t>OGÓLNE</w:t>
      </w:r>
      <w:bookmarkEnd w:id="59"/>
    </w:p>
    <w:p w14:paraId="78C20AD6" w14:textId="77777777" w:rsidR="00D402EF" w:rsidRPr="006431C4" w:rsidRDefault="00D402EF" w:rsidP="00BE2485">
      <w:pPr>
        <w:pStyle w:val="Nagwek1"/>
        <w:shd w:val="clear" w:color="auto" w:fill="FFFFFF" w:themeFill="background1"/>
        <w:tabs>
          <w:tab w:val="left" w:pos="142"/>
        </w:tabs>
        <w:spacing w:line="240" w:lineRule="auto"/>
        <w:jc w:val="both"/>
        <w:rPr>
          <w:rFonts w:cs="Arial"/>
          <w:szCs w:val="20"/>
        </w:rPr>
      </w:pPr>
      <w:bookmarkStart w:id="60" w:name="_Toc405615030"/>
      <w:bookmarkStart w:id="61" w:name="_Toc407161178"/>
      <w:bookmarkStart w:id="62" w:name="_Toc418996322"/>
      <w:bookmarkStart w:id="63" w:name="_Toc418996691"/>
      <w:bookmarkStart w:id="64" w:name="_Toc418997078"/>
      <w:bookmarkStart w:id="65" w:name="_Toc418998487"/>
      <w:bookmarkStart w:id="66" w:name="_Toc418998843"/>
      <w:bookmarkStart w:id="67" w:name="_Toc419000089"/>
      <w:r w:rsidRPr="006431C4">
        <w:rPr>
          <w:rFonts w:cs="Arial"/>
          <w:szCs w:val="20"/>
        </w:rPr>
        <w:t>1. Wstęp</w:t>
      </w:r>
      <w:bookmarkEnd w:id="60"/>
      <w:bookmarkEnd w:id="61"/>
      <w:bookmarkEnd w:id="62"/>
      <w:bookmarkEnd w:id="63"/>
      <w:bookmarkEnd w:id="64"/>
      <w:bookmarkEnd w:id="65"/>
      <w:bookmarkEnd w:id="66"/>
      <w:bookmarkEnd w:id="67"/>
    </w:p>
    <w:p w14:paraId="4726AFC0" w14:textId="77777777" w:rsidR="00D402EF" w:rsidRPr="006431C4" w:rsidRDefault="00D402EF" w:rsidP="00BE2485">
      <w:pPr>
        <w:pStyle w:val="Nagwek2"/>
        <w:shd w:val="clear" w:color="auto" w:fill="FFFFFF" w:themeFill="background1"/>
        <w:tabs>
          <w:tab w:val="left" w:pos="142"/>
        </w:tabs>
        <w:spacing w:line="240" w:lineRule="auto"/>
        <w:jc w:val="both"/>
        <w:rPr>
          <w:rFonts w:cs="Arial"/>
          <w:szCs w:val="20"/>
        </w:rPr>
      </w:pPr>
      <w:bookmarkStart w:id="68" w:name="_Toc405615031"/>
      <w:bookmarkStart w:id="69" w:name="_Toc407161179"/>
      <w:r w:rsidRPr="006431C4">
        <w:rPr>
          <w:rFonts w:cs="Arial"/>
          <w:szCs w:val="20"/>
        </w:rPr>
        <w:t>1.1. Przedmiot</w:t>
      </w:r>
      <w:r w:rsidR="00180A26" w:rsidRPr="006431C4">
        <w:rPr>
          <w:rFonts w:cs="Arial"/>
          <w:szCs w:val="20"/>
        </w:rPr>
        <w:t xml:space="preserve"> SST</w:t>
      </w:r>
      <w:bookmarkEnd w:id="68"/>
      <w:bookmarkEnd w:id="69"/>
    </w:p>
    <w:p w14:paraId="323123E7" w14:textId="77777777" w:rsidR="00D402EF" w:rsidRPr="006431C4" w:rsidRDefault="00D402EF" w:rsidP="00BE2485">
      <w:pPr>
        <w:pStyle w:val="Standardowytekst"/>
        <w:shd w:val="clear" w:color="auto" w:fill="FFFFFF" w:themeFill="background1"/>
        <w:tabs>
          <w:tab w:val="left" w:pos="142"/>
        </w:tabs>
        <w:rPr>
          <w:rFonts w:ascii="Arial" w:hAnsi="Arial" w:cs="Arial"/>
        </w:rPr>
      </w:pPr>
      <w:r w:rsidRPr="006431C4">
        <w:rPr>
          <w:rFonts w:ascii="Arial" w:hAnsi="Arial" w:cs="Arial"/>
        </w:rPr>
        <w:t xml:space="preserve">Przedmiotem </w:t>
      </w:r>
      <w:r w:rsidR="00BA62A8" w:rsidRPr="006431C4">
        <w:rPr>
          <w:rFonts w:ascii="Arial" w:hAnsi="Arial" w:cs="Arial"/>
        </w:rPr>
        <w:t xml:space="preserve">niniejszej szczegółowej specyfikacji </w:t>
      </w:r>
      <w:r w:rsidR="00C05468" w:rsidRPr="006431C4">
        <w:rPr>
          <w:rFonts w:ascii="Arial" w:hAnsi="Arial" w:cs="Arial"/>
        </w:rPr>
        <w:t>technicznej</w:t>
      </w:r>
      <w:r w:rsidRPr="006431C4">
        <w:rPr>
          <w:rFonts w:ascii="Arial" w:hAnsi="Arial" w:cs="Arial"/>
        </w:rPr>
        <w:t xml:space="preserve"> są wymagania dotyczące wykonania i odbioru liniowych robót ziemnych.</w:t>
      </w:r>
    </w:p>
    <w:p w14:paraId="223B35E1" w14:textId="77777777" w:rsidR="00D402EF" w:rsidRPr="006431C4" w:rsidRDefault="00D402EF" w:rsidP="00BE2485">
      <w:pPr>
        <w:pStyle w:val="Nagwek2"/>
        <w:shd w:val="clear" w:color="auto" w:fill="FFFFFF" w:themeFill="background1"/>
        <w:tabs>
          <w:tab w:val="left" w:pos="142"/>
        </w:tabs>
        <w:spacing w:line="240" w:lineRule="auto"/>
        <w:jc w:val="both"/>
        <w:rPr>
          <w:rFonts w:cs="Arial"/>
          <w:szCs w:val="20"/>
        </w:rPr>
      </w:pPr>
      <w:bookmarkStart w:id="70" w:name="_Toc405615032"/>
      <w:bookmarkStart w:id="71" w:name="_Toc407161180"/>
      <w:r w:rsidRPr="006431C4">
        <w:rPr>
          <w:rFonts w:cs="Arial"/>
          <w:szCs w:val="20"/>
        </w:rPr>
        <w:t>1.2. Zakres stosowania</w:t>
      </w:r>
      <w:r w:rsidR="00180A26" w:rsidRPr="006431C4">
        <w:rPr>
          <w:rFonts w:cs="Arial"/>
          <w:szCs w:val="20"/>
        </w:rPr>
        <w:t xml:space="preserve"> SST</w:t>
      </w:r>
      <w:bookmarkEnd w:id="70"/>
      <w:bookmarkEnd w:id="71"/>
    </w:p>
    <w:p w14:paraId="548EADDD" w14:textId="77777777" w:rsidR="00293E11" w:rsidRPr="006431C4" w:rsidRDefault="006A5A86" w:rsidP="00BE2485">
      <w:pPr>
        <w:pStyle w:val="Tekstpodstawowyzwciciem"/>
        <w:shd w:val="clear" w:color="auto" w:fill="FFFFFF" w:themeFill="background1"/>
        <w:tabs>
          <w:tab w:val="left" w:pos="142"/>
        </w:tabs>
        <w:spacing w:line="240" w:lineRule="auto"/>
        <w:ind w:firstLine="0"/>
        <w:jc w:val="both"/>
        <w:rPr>
          <w:rFonts w:cs="Arial"/>
          <w:szCs w:val="20"/>
        </w:rPr>
      </w:pPr>
      <w:bookmarkStart w:id="72" w:name="_Toc405615033"/>
      <w:bookmarkStart w:id="73" w:name="_Toc407161181"/>
      <w:r w:rsidRPr="006431C4">
        <w:rPr>
          <w:rFonts w:cs="Arial"/>
          <w:szCs w:val="20"/>
        </w:rPr>
        <w:t xml:space="preserve">Niniejsza szczegółowa specyfikacja techniczna </w:t>
      </w:r>
      <w:r w:rsidR="00293E11" w:rsidRPr="006431C4">
        <w:rPr>
          <w:rFonts w:cs="Arial"/>
          <w:szCs w:val="20"/>
        </w:rPr>
        <w:t xml:space="preserve">stanowi Dokument Przetargowy i Kontraktowy przy zlecaniu i realizacji robót dla inwestycji </w:t>
      </w:r>
      <w:r w:rsidR="00296959" w:rsidRPr="006431C4">
        <w:rPr>
          <w:rFonts w:cs="Arial"/>
          <w:szCs w:val="20"/>
        </w:rPr>
        <w:t>pn.:</w:t>
      </w:r>
      <w:r w:rsidR="00293E11" w:rsidRPr="006431C4">
        <w:rPr>
          <w:rFonts w:cs="Arial"/>
          <w:szCs w:val="20"/>
        </w:rPr>
        <w:t xml:space="preserve"> </w:t>
      </w:r>
    </w:p>
    <w:sdt>
      <w:sdtPr>
        <w:rPr>
          <w:rFonts w:cs="Arial"/>
          <w:szCs w:val="20"/>
        </w:rPr>
        <w:alias w:val="Temat"/>
        <w:tag w:val=""/>
        <w:id w:val="-59412364"/>
        <w:placeholder>
          <w:docPart w:val="AFE1343052DB49F485FAEA2BAD905FBC"/>
        </w:placeholder>
        <w:dataBinding w:prefixMappings="xmlns:ns0='http://purl.org/dc/elements/1.1/' xmlns:ns1='http://schemas.openxmlformats.org/package/2006/metadata/core-properties' " w:xpath="/ns1:coreProperties[1]/ns0:subject[1]" w:storeItemID="{6C3C8BC8-F283-45AE-878A-BAB7291924A1}"/>
        <w:text/>
      </w:sdtPr>
      <w:sdtEndPr/>
      <w:sdtContent>
        <w:p w14:paraId="00B0C8D0" w14:textId="41475374" w:rsidR="00B044CA" w:rsidRPr="006431C4" w:rsidRDefault="00484E05" w:rsidP="00BE2485">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191478A8" w14:textId="77777777" w:rsidR="00180A26" w:rsidRPr="006431C4" w:rsidRDefault="00D402EF"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1.3. Zakres robót objętych</w:t>
      </w:r>
      <w:r w:rsidR="00180A26" w:rsidRPr="006431C4">
        <w:rPr>
          <w:rFonts w:cs="Arial"/>
          <w:szCs w:val="20"/>
        </w:rPr>
        <w:t xml:space="preserve"> SST</w:t>
      </w:r>
      <w:bookmarkEnd w:id="72"/>
      <w:bookmarkEnd w:id="73"/>
    </w:p>
    <w:p w14:paraId="41657523" w14:textId="77777777" w:rsidR="00B677E1" w:rsidRPr="006431C4" w:rsidRDefault="00B677E1" w:rsidP="00BE2485">
      <w:pPr>
        <w:overflowPunct w:val="0"/>
        <w:autoSpaceDE w:val="0"/>
        <w:autoSpaceDN w:val="0"/>
        <w:adjustRightInd w:val="0"/>
        <w:spacing w:line="240" w:lineRule="auto"/>
        <w:ind w:firstLine="283"/>
        <w:jc w:val="both"/>
        <w:textAlignment w:val="baseline"/>
        <w:rPr>
          <w:rFonts w:cs="Arial"/>
          <w:szCs w:val="20"/>
        </w:rPr>
      </w:pPr>
      <w:r w:rsidRPr="006431C4">
        <w:rPr>
          <w:rFonts w:cs="Arial"/>
          <w:szCs w:val="20"/>
        </w:rPr>
        <w:t xml:space="preserve">Ustalenia zawarte w </w:t>
      </w:r>
      <w:r w:rsidR="005B6D2B" w:rsidRPr="006431C4">
        <w:rPr>
          <w:rFonts w:cs="Arial"/>
          <w:szCs w:val="20"/>
        </w:rPr>
        <w:t xml:space="preserve">niniejszej szczegółowej specyfikacji technicznej </w:t>
      </w:r>
      <w:r w:rsidRPr="006431C4">
        <w:rPr>
          <w:rFonts w:cs="Arial"/>
          <w:szCs w:val="20"/>
        </w:rPr>
        <w:t>dotyczą zasad prowadzenia robót ziemnych w czasie budowy lub modernizacji dróg i obejmują:</w:t>
      </w:r>
    </w:p>
    <w:p w14:paraId="6C4B9638" w14:textId="77777777" w:rsidR="00B677E1" w:rsidRPr="006431C4" w:rsidRDefault="00B677E1" w:rsidP="00CF1E7D">
      <w:pPr>
        <w:numPr>
          <w:ilvl w:val="0"/>
          <w:numId w:val="114"/>
        </w:numPr>
        <w:overflowPunct w:val="0"/>
        <w:autoSpaceDE w:val="0"/>
        <w:autoSpaceDN w:val="0"/>
        <w:adjustRightInd w:val="0"/>
        <w:spacing w:line="240" w:lineRule="auto"/>
        <w:jc w:val="both"/>
        <w:textAlignment w:val="baseline"/>
        <w:rPr>
          <w:rFonts w:cs="Arial"/>
          <w:szCs w:val="20"/>
        </w:rPr>
      </w:pPr>
      <w:r w:rsidRPr="006431C4">
        <w:rPr>
          <w:rFonts w:cs="Arial"/>
          <w:szCs w:val="20"/>
        </w:rPr>
        <w:t>wykonanie wykopów w gruntach nieskalistych,</w:t>
      </w:r>
    </w:p>
    <w:p w14:paraId="2ACEC40D" w14:textId="77777777" w:rsidR="00B677E1" w:rsidRPr="006431C4" w:rsidRDefault="00B677E1" w:rsidP="00CF1E7D">
      <w:pPr>
        <w:numPr>
          <w:ilvl w:val="0"/>
          <w:numId w:val="114"/>
        </w:numPr>
        <w:overflowPunct w:val="0"/>
        <w:autoSpaceDE w:val="0"/>
        <w:autoSpaceDN w:val="0"/>
        <w:adjustRightInd w:val="0"/>
        <w:spacing w:line="240" w:lineRule="auto"/>
        <w:jc w:val="both"/>
        <w:textAlignment w:val="baseline"/>
        <w:rPr>
          <w:rFonts w:cs="Arial"/>
          <w:szCs w:val="20"/>
        </w:rPr>
      </w:pPr>
      <w:r w:rsidRPr="006431C4">
        <w:rPr>
          <w:rFonts w:cs="Arial"/>
          <w:szCs w:val="20"/>
        </w:rPr>
        <w:t>wykonanie wykopów w gruntach skalistych,</w:t>
      </w:r>
    </w:p>
    <w:p w14:paraId="5943FB2A" w14:textId="77777777" w:rsidR="00B677E1" w:rsidRPr="006431C4" w:rsidRDefault="00B677E1" w:rsidP="00CF1E7D">
      <w:pPr>
        <w:numPr>
          <w:ilvl w:val="0"/>
          <w:numId w:val="114"/>
        </w:numPr>
        <w:overflowPunct w:val="0"/>
        <w:autoSpaceDE w:val="0"/>
        <w:autoSpaceDN w:val="0"/>
        <w:adjustRightInd w:val="0"/>
        <w:spacing w:line="240" w:lineRule="auto"/>
        <w:jc w:val="both"/>
        <w:textAlignment w:val="baseline"/>
        <w:rPr>
          <w:rFonts w:cs="Arial"/>
          <w:szCs w:val="20"/>
        </w:rPr>
      </w:pPr>
      <w:r w:rsidRPr="006431C4">
        <w:rPr>
          <w:rFonts w:cs="Arial"/>
          <w:szCs w:val="20"/>
        </w:rPr>
        <w:t>budowę nasypów drogowych,</w:t>
      </w:r>
    </w:p>
    <w:p w14:paraId="20076F4C" w14:textId="77777777" w:rsidR="00B677E1" w:rsidRPr="006431C4" w:rsidRDefault="00B677E1" w:rsidP="00CF1E7D">
      <w:pPr>
        <w:numPr>
          <w:ilvl w:val="0"/>
          <w:numId w:val="114"/>
        </w:numPr>
        <w:overflowPunct w:val="0"/>
        <w:autoSpaceDE w:val="0"/>
        <w:autoSpaceDN w:val="0"/>
        <w:adjustRightInd w:val="0"/>
        <w:spacing w:line="240" w:lineRule="auto"/>
        <w:jc w:val="both"/>
        <w:textAlignment w:val="baseline"/>
        <w:rPr>
          <w:rFonts w:cs="Arial"/>
          <w:szCs w:val="20"/>
        </w:rPr>
      </w:pPr>
      <w:r w:rsidRPr="006431C4">
        <w:rPr>
          <w:rFonts w:cs="Arial"/>
          <w:szCs w:val="20"/>
        </w:rPr>
        <w:t>pozyskiwanie gruntu z ukopu lub dokopu.</w:t>
      </w:r>
    </w:p>
    <w:p w14:paraId="584585CF"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Wykonanie ulepszonego podłoża jest przedmiotem odrębnych SST.</w:t>
      </w:r>
    </w:p>
    <w:p w14:paraId="7E2B2FCF"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Niniejsza specyfikacja nie ma zastosowania do robót fundamentowych i związanych z wykonaniem instalacji.</w:t>
      </w:r>
    </w:p>
    <w:p w14:paraId="59D621B1"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74" w:name="_Toc405615034"/>
      <w:bookmarkStart w:id="75" w:name="_Toc407161182"/>
      <w:r w:rsidRPr="006431C4">
        <w:rPr>
          <w:rFonts w:cs="Arial"/>
          <w:b/>
          <w:szCs w:val="20"/>
        </w:rPr>
        <w:t>1.4. Określenia podstawowe</w:t>
      </w:r>
      <w:bookmarkEnd w:id="74"/>
      <w:bookmarkEnd w:id="75"/>
    </w:p>
    <w:p w14:paraId="06D76922" w14:textId="77777777" w:rsidR="00B677E1" w:rsidRPr="006431C4" w:rsidRDefault="00B677E1" w:rsidP="00BE2485">
      <w:pPr>
        <w:tabs>
          <w:tab w:val="right" w:pos="-1985"/>
          <w:tab w:val="left" w:pos="567"/>
        </w:tabs>
        <w:overflowPunct w:val="0"/>
        <w:autoSpaceDE w:val="0"/>
        <w:autoSpaceDN w:val="0"/>
        <w:adjustRightInd w:val="0"/>
        <w:spacing w:line="240" w:lineRule="auto"/>
        <w:jc w:val="both"/>
        <w:textAlignment w:val="baseline"/>
        <w:rPr>
          <w:rFonts w:cs="Arial"/>
          <w:szCs w:val="20"/>
        </w:rPr>
      </w:pPr>
      <w:r w:rsidRPr="006431C4">
        <w:rPr>
          <w:rFonts w:cs="Arial"/>
          <w:b/>
          <w:szCs w:val="20"/>
        </w:rPr>
        <w:t>1.4.1.</w:t>
      </w:r>
      <w:r w:rsidRPr="006431C4">
        <w:rPr>
          <w:rFonts w:cs="Arial"/>
          <w:b/>
          <w:szCs w:val="20"/>
        </w:rPr>
        <w:tab/>
      </w:r>
      <w:r w:rsidRPr="006431C4">
        <w:rPr>
          <w:rFonts w:cs="Arial"/>
          <w:szCs w:val="20"/>
        </w:rPr>
        <w:t>Budowla ziemna – budowla wykonana w gruncie lub materiale antropogenicznym albo z gruntu lub z materiału antropogenicznego, powstała w następstwie przeprowadzenia robót ziemnych, spełniająca warunki stateczności i odwodnienia, zapewniająca przejęcie obciążenia od środków transportowych i urządzeń inżynierskich obciążających korpus drogowy.</w:t>
      </w:r>
    </w:p>
    <w:p w14:paraId="10E8EB10" w14:textId="77777777" w:rsidR="00B677E1" w:rsidRPr="006431C4" w:rsidRDefault="00B677E1" w:rsidP="00BE2485">
      <w:pPr>
        <w:tabs>
          <w:tab w:val="right" w:pos="-1985"/>
          <w:tab w:val="left" w:pos="567"/>
        </w:tabs>
        <w:overflowPunct w:val="0"/>
        <w:autoSpaceDE w:val="0"/>
        <w:autoSpaceDN w:val="0"/>
        <w:adjustRightInd w:val="0"/>
        <w:spacing w:line="240" w:lineRule="auto"/>
        <w:jc w:val="both"/>
        <w:textAlignment w:val="baseline"/>
        <w:rPr>
          <w:rFonts w:cs="Arial"/>
          <w:b/>
          <w:szCs w:val="20"/>
        </w:rPr>
      </w:pPr>
      <w:r w:rsidRPr="006431C4">
        <w:rPr>
          <w:rFonts w:cs="Arial"/>
          <w:b/>
          <w:szCs w:val="20"/>
        </w:rPr>
        <w:t>1.4.2.</w:t>
      </w:r>
      <w:r w:rsidRPr="006431C4">
        <w:rPr>
          <w:rFonts w:cs="Arial"/>
          <w:b/>
          <w:szCs w:val="20"/>
        </w:rPr>
        <w:tab/>
      </w:r>
      <w:r w:rsidRPr="006431C4">
        <w:rPr>
          <w:rFonts w:cs="Arial"/>
          <w:szCs w:val="20"/>
        </w:rPr>
        <w:t>Korpus drogowy - nasyp lub ta część wykopu, która jest ograniczona koroną drogi i skarpami rowów.</w:t>
      </w:r>
      <w:r w:rsidRPr="006431C4">
        <w:rPr>
          <w:rFonts w:cs="Arial"/>
          <w:b/>
          <w:szCs w:val="20"/>
        </w:rPr>
        <w:t xml:space="preserve"> </w:t>
      </w:r>
    </w:p>
    <w:p w14:paraId="528E70A5" w14:textId="77777777" w:rsidR="00B677E1" w:rsidRPr="006431C4" w:rsidRDefault="00B677E1" w:rsidP="00BE2485">
      <w:pPr>
        <w:tabs>
          <w:tab w:val="right" w:pos="-1985"/>
          <w:tab w:val="left" w:pos="567"/>
        </w:tabs>
        <w:overflowPunct w:val="0"/>
        <w:autoSpaceDE w:val="0"/>
        <w:autoSpaceDN w:val="0"/>
        <w:adjustRightInd w:val="0"/>
        <w:spacing w:line="240" w:lineRule="auto"/>
        <w:jc w:val="both"/>
        <w:textAlignment w:val="baseline"/>
        <w:rPr>
          <w:rFonts w:cs="Arial"/>
          <w:szCs w:val="20"/>
        </w:rPr>
      </w:pPr>
      <w:r w:rsidRPr="006431C4">
        <w:rPr>
          <w:rFonts w:cs="Arial"/>
          <w:b/>
          <w:szCs w:val="20"/>
        </w:rPr>
        <w:t>1.4.3.</w:t>
      </w:r>
      <w:r w:rsidRPr="006431C4">
        <w:rPr>
          <w:rFonts w:cs="Arial"/>
          <w:b/>
          <w:szCs w:val="20"/>
        </w:rPr>
        <w:tab/>
      </w:r>
      <w:r w:rsidRPr="006431C4">
        <w:rPr>
          <w:rFonts w:cs="Arial"/>
          <w:szCs w:val="20"/>
        </w:rPr>
        <w:t>Wysokość nasypu lub głębokość wykopu - różnica rzędnej terenu i rzędnej robót ziemnych, wyznaczonych w osi nasypu lub wykopu.</w:t>
      </w:r>
    </w:p>
    <w:p w14:paraId="3D844DBF" w14:textId="77777777" w:rsidR="00B677E1" w:rsidRPr="006431C4" w:rsidRDefault="00B677E1" w:rsidP="00BE2485">
      <w:pPr>
        <w:tabs>
          <w:tab w:val="right" w:pos="-1985"/>
          <w:tab w:val="left" w:pos="567"/>
        </w:tabs>
        <w:overflowPunct w:val="0"/>
        <w:autoSpaceDE w:val="0"/>
        <w:autoSpaceDN w:val="0"/>
        <w:adjustRightInd w:val="0"/>
        <w:spacing w:line="240" w:lineRule="auto"/>
        <w:jc w:val="both"/>
        <w:textAlignment w:val="baseline"/>
        <w:rPr>
          <w:rFonts w:cs="Arial"/>
          <w:b/>
          <w:szCs w:val="20"/>
        </w:rPr>
      </w:pPr>
      <w:r w:rsidRPr="006431C4">
        <w:rPr>
          <w:rFonts w:cs="Arial"/>
          <w:b/>
          <w:szCs w:val="20"/>
        </w:rPr>
        <w:t>1.4.4.</w:t>
      </w:r>
      <w:r w:rsidRPr="006431C4">
        <w:rPr>
          <w:rFonts w:cs="Arial"/>
          <w:b/>
          <w:szCs w:val="20"/>
        </w:rPr>
        <w:tab/>
      </w:r>
      <w:r w:rsidRPr="006431C4">
        <w:rPr>
          <w:rFonts w:cs="Arial"/>
          <w:szCs w:val="20"/>
        </w:rPr>
        <w:t>Nasyp – budowla ziemna wykonana w obrębie pasa drogowego poprzez wbudowanie materiału nasypowego w kontrolowany sposób polegający na układaniu i zagęszczaniu kolejnych warstw powyżej powierzchni terenu.</w:t>
      </w:r>
    </w:p>
    <w:p w14:paraId="17A77021" w14:textId="77777777" w:rsidR="00B677E1" w:rsidRPr="006431C4" w:rsidRDefault="00B677E1" w:rsidP="00BE2485">
      <w:pPr>
        <w:tabs>
          <w:tab w:val="right" w:pos="-1985"/>
          <w:tab w:val="left" w:pos="567"/>
        </w:tabs>
        <w:overflowPunct w:val="0"/>
        <w:autoSpaceDE w:val="0"/>
        <w:autoSpaceDN w:val="0"/>
        <w:adjustRightInd w:val="0"/>
        <w:spacing w:line="240" w:lineRule="auto"/>
        <w:jc w:val="both"/>
        <w:textAlignment w:val="baseline"/>
        <w:rPr>
          <w:rFonts w:cs="Arial"/>
          <w:szCs w:val="20"/>
        </w:rPr>
      </w:pPr>
      <w:r w:rsidRPr="006431C4">
        <w:rPr>
          <w:rFonts w:cs="Arial"/>
          <w:b/>
          <w:szCs w:val="20"/>
        </w:rPr>
        <w:t>1.4.5.</w:t>
      </w:r>
      <w:r w:rsidRPr="006431C4">
        <w:rPr>
          <w:rFonts w:cs="Arial"/>
          <w:b/>
          <w:szCs w:val="20"/>
        </w:rPr>
        <w:tab/>
      </w:r>
      <w:r w:rsidRPr="006431C4">
        <w:rPr>
          <w:rFonts w:cs="Arial"/>
          <w:szCs w:val="20"/>
        </w:rPr>
        <w:t xml:space="preserve">Nasyp niski - nasyp, którego wysokość jest mniejsza niż </w:t>
      </w:r>
      <w:smartTag w:uri="urn:schemas-microsoft-com:office:smarttags" w:element="metricconverter">
        <w:smartTagPr>
          <w:attr w:name="ProductID" w:val="1 m"/>
        </w:smartTagPr>
        <w:r w:rsidRPr="006431C4">
          <w:rPr>
            <w:rFonts w:cs="Arial"/>
            <w:szCs w:val="20"/>
          </w:rPr>
          <w:t>1 m</w:t>
        </w:r>
      </w:smartTag>
      <w:r w:rsidRPr="006431C4">
        <w:rPr>
          <w:rFonts w:cs="Arial"/>
          <w:szCs w:val="20"/>
        </w:rPr>
        <w:t>.</w:t>
      </w:r>
    </w:p>
    <w:p w14:paraId="0D85705E" w14:textId="77777777" w:rsidR="00B677E1" w:rsidRPr="006431C4" w:rsidRDefault="00B677E1" w:rsidP="00BE2485">
      <w:pPr>
        <w:tabs>
          <w:tab w:val="left" w:pos="567"/>
        </w:tabs>
        <w:overflowPunct w:val="0"/>
        <w:autoSpaceDE w:val="0"/>
        <w:autoSpaceDN w:val="0"/>
        <w:adjustRightInd w:val="0"/>
        <w:spacing w:line="240" w:lineRule="auto"/>
        <w:jc w:val="both"/>
        <w:textAlignment w:val="baseline"/>
        <w:rPr>
          <w:rFonts w:cs="Arial"/>
          <w:szCs w:val="20"/>
        </w:rPr>
      </w:pPr>
      <w:r w:rsidRPr="006431C4">
        <w:rPr>
          <w:rFonts w:cs="Arial"/>
          <w:b/>
          <w:szCs w:val="20"/>
        </w:rPr>
        <w:t>1.4.6.</w:t>
      </w:r>
      <w:r w:rsidRPr="006431C4">
        <w:rPr>
          <w:rFonts w:cs="Arial"/>
          <w:b/>
          <w:szCs w:val="20"/>
        </w:rPr>
        <w:tab/>
      </w:r>
      <w:r w:rsidRPr="006431C4">
        <w:rPr>
          <w:rFonts w:cs="Arial"/>
          <w:szCs w:val="20"/>
        </w:rPr>
        <w:t xml:space="preserve">Nasyp średni - nasyp, którego wysokość jest zawarta w granicach od 1 do </w:t>
      </w:r>
      <w:smartTag w:uri="urn:schemas-microsoft-com:office:smarttags" w:element="metricconverter">
        <w:smartTagPr>
          <w:attr w:name="ProductID" w:val="3 m"/>
        </w:smartTagPr>
        <w:r w:rsidRPr="006431C4">
          <w:rPr>
            <w:rFonts w:cs="Arial"/>
            <w:szCs w:val="20"/>
          </w:rPr>
          <w:t>3 m</w:t>
        </w:r>
      </w:smartTag>
      <w:r w:rsidRPr="006431C4">
        <w:rPr>
          <w:rFonts w:cs="Arial"/>
          <w:szCs w:val="20"/>
        </w:rPr>
        <w:t>.</w:t>
      </w:r>
    </w:p>
    <w:p w14:paraId="53347979" w14:textId="77777777" w:rsidR="00B677E1" w:rsidRPr="006431C4" w:rsidRDefault="00B677E1" w:rsidP="00BE2485">
      <w:pPr>
        <w:tabs>
          <w:tab w:val="left" w:pos="567"/>
        </w:tabs>
        <w:overflowPunct w:val="0"/>
        <w:autoSpaceDE w:val="0"/>
        <w:autoSpaceDN w:val="0"/>
        <w:adjustRightInd w:val="0"/>
        <w:spacing w:line="240" w:lineRule="auto"/>
        <w:jc w:val="both"/>
        <w:textAlignment w:val="baseline"/>
        <w:rPr>
          <w:rFonts w:cs="Arial"/>
          <w:szCs w:val="20"/>
        </w:rPr>
      </w:pPr>
      <w:r w:rsidRPr="006431C4">
        <w:rPr>
          <w:rFonts w:cs="Arial"/>
          <w:b/>
          <w:szCs w:val="20"/>
        </w:rPr>
        <w:t>1.4.7.</w:t>
      </w:r>
      <w:r w:rsidRPr="006431C4">
        <w:rPr>
          <w:rFonts w:cs="Arial"/>
          <w:b/>
          <w:szCs w:val="20"/>
        </w:rPr>
        <w:tab/>
      </w:r>
      <w:r w:rsidRPr="006431C4">
        <w:rPr>
          <w:rFonts w:cs="Arial"/>
          <w:szCs w:val="20"/>
        </w:rPr>
        <w:t xml:space="preserve">Nasyp wysoki - nasyp, którego wysokość przekracza </w:t>
      </w:r>
      <w:smartTag w:uri="urn:schemas-microsoft-com:office:smarttags" w:element="metricconverter">
        <w:smartTagPr>
          <w:attr w:name="ProductID" w:val="3 m"/>
        </w:smartTagPr>
        <w:r w:rsidRPr="006431C4">
          <w:rPr>
            <w:rFonts w:cs="Arial"/>
            <w:szCs w:val="20"/>
          </w:rPr>
          <w:t>3 m</w:t>
        </w:r>
      </w:smartTag>
      <w:r w:rsidRPr="006431C4">
        <w:rPr>
          <w:rFonts w:cs="Arial"/>
          <w:szCs w:val="20"/>
        </w:rPr>
        <w:t>.</w:t>
      </w:r>
    </w:p>
    <w:p w14:paraId="1F25010F" w14:textId="77777777" w:rsidR="00B677E1" w:rsidRPr="006431C4" w:rsidRDefault="00B677E1" w:rsidP="00BE2485">
      <w:pPr>
        <w:tabs>
          <w:tab w:val="left" w:pos="567"/>
        </w:tabs>
        <w:overflowPunct w:val="0"/>
        <w:autoSpaceDE w:val="0"/>
        <w:autoSpaceDN w:val="0"/>
        <w:adjustRightInd w:val="0"/>
        <w:spacing w:line="240" w:lineRule="auto"/>
        <w:jc w:val="both"/>
        <w:textAlignment w:val="baseline"/>
        <w:rPr>
          <w:rFonts w:cs="Arial"/>
          <w:b/>
          <w:szCs w:val="20"/>
        </w:rPr>
      </w:pPr>
      <w:r w:rsidRPr="006431C4">
        <w:rPr>
          <w:rFonts w:cs="Arial"/>
          <w:b/>
          <w:szCs w:val="20"/>
        </w:rPr>
        <w:t>1.4.8.</w:t>
      </w:r>
      <w:r w:rsidRPr="006431C4">
        <w:rPr>
          <w:rFonts w:cs="Arial"/>
          <w:szCs w:val="20"/>
        </w:rPr>
        <w:t>Wykop - budowla ziemna wykonana w obrębie pasa drogowego, w postaci odpowiednio ukształtowanej przestrzeni powstałej w wyniku usunięcia z niej gruntu.</w:t>
      </w:r>
    </w:p>
    <w:p w14:paraId="69A657B7" w14:textId="77777777" w:rsidR="00B677E1" w:rsidRPr="006431C4" w:rsidRDefault="00B677E1" w:rsidP="00BE2485">
      <w:pPr>
        <w:tabs>
          <w:tab w:val="left" w:pos="567"/>
        </w:tabs>
        <w:overflowPunct w:val="0"/>
        <w:autoSpaceDE w:val="0"/>
        <w:autoSpaceDN w:val="0"/>
        <w:adjustRightInd w:val="0"/>
        <w:spacing w:line="240" w:lineRule="auto"/>
        <w:jc w:val="both"/>
        <w:textAlignment w:val="baseline"/>
        <w:rPr>
          <w:rFonts w:cs="Arial"/>
          <w:szCs w:val="20"/>
        </w:rPr>
      </w:pPr>
      <w:r w:rsidRPr="006431C4">
        <w:rPr>
          <w:rFonts w:cs="Arial"/>
          <w:b/>
          <w:szCs w:val="20"/>
        </w:rPr>
        <w:lastRenderedPageBreak/>
        <w:t>1.4.9.</w:t>
      </w:r>
      <w:r w:rsidRPr="006431C4">
        <w:rPr>
          <w:rFonts w:cs="Arial"/>
          <w:b/>
          <w:szCs w:val="20"/>
        </w:rPr>
        <w:tab/>
      </w:r>
      <w:r w:rsidRPr="006431C4">
        <w:rPr>
          <w:rFonts w:cs="Arial"/>
          <w:szCs w:val="20"/>
        </w:rPr>
        <w:t xml:space="preserve">Wykop płytki - wykop, którego głębokość jest mniejsza niż </w:t>
      </w:r>
      <w:smartTag w:uri="urn:schemas-microsoft-com:office:smarttags" w:element="metricconverter">
        <w:smartTagPr>
          <w:attr w:name="ProductID" w:val="1 m"/>
        </w:smartTagPr>
        <w:r w:rsidRPr="006431C4">
          <w:rPr>
            <w:rFonts w:cs="Arial"/>
            <w:szCs w:val="20"/>
          </w:rPr>
          <w:t>1 m</w:t>
        </w:r>
      </w:smartTag>
      <w:r w:rsidRPr="006431C4">
        <w:rPr>
          <w:rFonts w:cs="Arial"/>
          <w:szCs w:val="20"/>
        </w:rPr>
        <w:t>.</w:t>
      </w:r>
    </w:p>
    <w:p w14:paraId="2D7FFB52" w14:textId="77777777" w:rsidR="00B677E1" w:rsidRPr="006431C4" w:rsidRDefault="00B677E1" w:rsidP="00BE2485">
      <w:pPr>
        <w:tabs>
          <w:tab w:val="left" w:pos="567"/>
        </w:tabs>
        <w:overflowPunct w:val="0"/>
        <w:autoSpaceDE w:val="0"/>
        <w:autoSpaceDN w:val="0"/>
        <w:adjustRightInd w:val="0"/>
        <w:spacing w:line="240" w:lineRule="auto"/>
        <w:jc w:val="both"/>
        <w:textAlignment w:val="baseline"/>
        <w:rPr>
          <w:rFonts w:cs="Arial"/>
          <w:szCs w:val="20"/>
        </w:rPr>
      </w:pPr>
      <w:r w:rsidRPr="006431C4">
        <w:rPr>
          <w:rFonts w:cs="Arial"/>
          <w:b/>
          <w:szCs w:val="20"/>
        </w:rPr>
        <w:t>1.4.10.</w:t>
      </w:r>
      <w:r w:rsidRPr="006431C4">
        <w:rPr>
          <w:rFonts w:cs="Arial"/>
          <w:b/>
          <w:szCs w:val="20"/>
        </w:rPr>
        <w:tab/>
      </w:r>
      <w:r w:rsidRPr="006431C4">
        <w:rPr>
          <w:rFonts w:cs="Arial"/>
          <w:szCs w:val="20"/>
        </w:rPr>
        <w:t xml:space="preserve">Wykop średni - wykop, którego głębokość jest zawarta w granicach od 1 do </w:t>
      </w:r>
      <w:smartTag w:uri="urn:schemas-microsoft-com:office:smarttags" w:element="metricconverter">
        <w:smartTagPr>
          <w:attr w:name="ProductID" w:val="3 m"/>
        </w:smartTagPr>
        <w:r w:rsidRPr="006431C4">
          <w:rPr>
            <w:rFonts w:cs="Arial"/>
            <w:szCs w:val="20"/>
          </w:rPr>
          <w:t>3 m</w:t>
        </w:r>
      </w:smartTag>
      <w:r w:rsidRPr="006431C4">
        <w:rPr>
          <w:rFonts w:cs="Arial"/>
          <w:szCs w:val="20"/>
        </w:rPr>
        <w:t>.</w:t>
      </w:r>
    </w:p>
    <w:p w14:paraId="21D94B96"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1.4.11.</w:t>
      </w:r>
      <w:r w:rsidRPr="006431C4">
        <w:rPr>
          <w:rFonts w:cs="Arial"/>
          <w:b/>
          <w:szCs w:val="20"/>
        </w:rPr>
        <w:tab/>
      </w:r>
      <w:r w:rsidRPr="006431C4">
        <w:rPr>
          <w:rFonts w:cs="Arial"/>
          <w:szCs w:val="20"/>
        </w:rPr>
        <w:t xml:space="preserve">Wykop głęboki - wykop, którego głębokość przekracza </w:t>
      </w:r>
      <w:smartTag w:uri="urn:schemas-microsoft-com:office:smarttags" w:element="metricconverter">
        <w:smartTagPr>
          <w:attr w:name="ProductID" w:val="3 m"/>
        </w:smartTagPr>
        <w:r w:rsidRPr="006431C4">
          <w:rPr>
            <w:rFonts w:cs="Arial"/>
            <w:szCs w:val="20"/>
          </w:rPr>
          <w:t>3 m</w:t>
        </w:r>
      </w:smartTag>
      <w:r w:rsidRPr="006431C4">
        <w:rPr>
          <w:rFonts w:cs="Arial"/>
          <w:szCs w:val="20"/>
        </w:rPr>
        <w:t>.</w:t>
      </w:r>
    </w:p>
    <w:p w14:paraId="2835885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1.4.12. </w:t>
      </w:r>
      <w:r w:rsidRPr="006431C4">
        <w:rPr>
          <w:rFonts w:cs="Arial"/>
          <w:szCs w:val="20"/>
        </w:rPr>
        <w:t>Bagno - grunt organiczny nasycony wodą, o małej nośności, charakteryzujący się znacznym i długotrwałym osiadaniem pod obciążeniem.</w:t>
      </w:r>
    </w:p>
    <w:p w14:paraId="28BB689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1.4.13. </w:t>
      </w:r>
      <w:r w:rsidRPr="006431C4">
        <w:rPr>
          <w:rFonts w:cs="Arial"/>
          <w:szCs w:val="20"/>
        </w:rPr>
        <w:t>Grunt – zespół cząstek mineralnych, który może być rozdrobniony przez delikatne rozcieranie w ręce i który zawiera wodę i powietrze, a niekiedy także inne gazy.</w:t>
      </w:r>
    </w:p>
    <w:p w14:paraId="38A72DAF"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1.4.14. </w:t>
      </w:r>
      <w:r w:rsidRPr="006431C4">
        <w:rPr>
          <w:rFonts w:cs="Arial"/>
          <w:szCs w:val="20"/>
        </w:rPr>
        <w:t>Grunt nieskalisty - każdy grunt rodzimy, nie określony w punkcie 1.4.15 jako grunt skalisty.</w:t>
      </w:r>
    </w:p>
    <w:p w14:paraId="0090767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1.4.15.</w:t>
      </w:r>
      <w:r w:rsidRPr="006431C4">
        <w:rPr>
          <w:rFonts w:cs="Arial"/>
          <w:b/>
          <w:szCs w:val="20"/>
        </w:rPr>
        <w:tab/>
      </w:r>
      <w:r w:rsidRPr="006431C4">
        <w:rPr>
          <w:rFonts w:cs="Arial"/>
          <w:szCs w:val="20"/>
        </w:rPr>
        <w:t xml:space="preserve">Grunt skalisty - grunt rodzimy, lity lub spękany o nieprzesuniętych blokach, którego próbki nie wykazują zmian objętości ani nie rozpadają się pod działaniem wody destylowanej; mają wytrzymałość na ściskanie </w:t>
      </w:r>
      <w:proofErr w:type="spellStart"/>
      <w:r w:rsidRPr="006431C4">
        <w:rPr>
          <w:rFonts w:cs="Arial"/>
          <w:szCs w:val="20"/>
        </w:rPr>
        <w:t>R</w:t>
      </w:r>
      <w:r w:rsidRPr="006431C4">
        <w:rPr>
          <w:rFonts w:cs="Arial"/>
          <w:szCs w:val="20"/>
          <w:vertAlign w:val="subscript"/>
        </w:rPr>
        <w:t>c</w:t>
      </w:r>
      <w:proofErr w:type="spellEnd"/>
      <w:r w:rsidRPr="006431C4">
        <w:rPr>
          <w:rFonts w:cs="Arial"/>
          <w:szCs w:val="20"/>
        </w:rPr>
        <w:t xml:space="preserve"> ponad 0,2 </w:t>
      </w:r>
      <w:proofErr w:type="spellStart"/>
      <w:r w:rsidRPr="006431C4">
        <w:rPr>
          <w:rFonts w:cs="Arial"/>
          <w:szCs w:val="20"/>
        </w:rPr>
        <w:t>MPa</w:t>
      </w:r>
      <w:proofErr w:type="spellEnd"/>
      <w:r w:rsidRPr="006431C4">
        <w:rPr>
          <w:rFonts w:cs="Arial"/>
          <w:szCs w:val="20"/>
        </w:rPr>
        <w:t>; wymaga użycia środków wybuchowych albo narzędzi pneumatycznych lub hydraulicznych do odspojenia.</w:t>
      </w:r>
    </w:p>
    <w:p w14:paraId="411D1EDA"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1.4.16. </w:t>
      </w:r>
      <w:r w:rsidRPr="006431C4">
        <w:rPr>
          <w:rFonts w:cs="Arial"/>
          <w:szCs w:val="20"/>
        </w:rPr>
        <w:t>Grunt organiczny –grunt z zawartością substancji organicznej większą od 2,0%.</w:t>
      </w:r>
    </w:p>
    <w:p w14:paraId="15355B74" w14:textId="77777777" w:rsidR="00B677E1" w:rsidRPr="006431C4" w:rsidRDefault="00B677E1" w:rsidP="00BE2485">
      <w:pPr>
        <w:overflowPunct w:val="0"/>
        <w:autoSpaceDE w:val="0"/>
        <w:autoSpaceDN w:val="0"/>
        <w:adjustRightInd w:val="0"/>
        <w:spacing w:line="240" w:lineRule="auto"/>
        <w:jc w:val="both"/>
        <w:textAlignment w:val="baseline"/>
        <w:rPr>
          <w:rFonts w:cs="Arial"/>
          <w:b/>
          <w:szCs w:val="20"/>
        </w:rPr>
      </w:pPr>
      <w:r w:rsidRPr="006431C4">
        <w:rPr>
          <w:rFonts w:cs="Arial"/>
          <w:b/>
          <w:szCs w:val="20"/>
        </w:rPr>
        <w:t xml:space="preserve">1.4.17. </w:t>
      </w:r>
      <w:r w:rsidRPr="006431C4">
        <w:rPr>
          <w:rFonts w:cs="Arial"/>
          <w:szCs w:val="20"/>
        </w:rPr>
        <w:t>Materiał antropogeniczny – materiał powstały w wyniku bezpośredniej lub pośredniej działalności człowieka (na przykład grunt ulepszony, odpad przemysłowy, materiał z recyklingu).</w:t>
      </w:r>
    </w:p>
    <w:p w14:paraId="3B02304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1.4.18.</w:t>
      </w:r>
      <w:r w:rsidRPr="006431C4">
        <w:rPr>
          <w:rFonts w:cs="Arial"/>
          <w:b/>
          <w:szCs w:val="20"/>
        </w:rPr>
        <w:tab/>
      </w:r>
      <w:r w:rsidRPr="006431C4">
        <w:rPr>
          <w:rFonts w:cs="Arial"/>
          <w:szCs w:val="20"/>
        </w:rPr>
        <w:t>Ukop - miejsce pozyskania gruntu do wykonania nasypów, położone w obrębie pasa robót drogowych.</w:t>
      </w:r>
    </w:p>
    <w:p w14:paraId="5E03FEE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1.4.19.</w:t>
      </w:r>
      <w:r w:rsidRPr="006431C4">
        <w:rPr>
          <w:rFonts w:cs="Arial"/>
          <w:b/>
          <w:szCs w:val="20"/>
        </w:rPr>
        <w:tab/>
      </w:r>
      <w:r w:rsidRPr="006431C4">
        <w:rPr>
          <w:rFonts w:cs="Arial"/>
          <w:szCs w:val="20"/>
        </w:rPr>
        <w:t>Dokop - miejsce pozyskania gruntu do wykonania nasypów, położone poza pasem robót drogowych.</w:t>
      </w:r>
    </w:p>
    <w:p w14:paraId="5A5679DF"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1.4.20.</w:t>
      </w:r>
      <w:r w:rsidRPr="006431C4">
        <w:rPr>
          <w:rFonts w:cs="Arial"/>
          <w:b/>
          <w:szCs w:val="20"/>
        </w:rPr>
        <w:tab/>
      </w:r>
      <w:r w:rsidRPr="006431C4">
        <w:rPr>
          <w:rFonts w:cs="Arial"/>
          <w:szCs w:val="20"/>
        </w:rPr>
        <w:t>Odkład - miejsce wbudowania lub składowania (odwiezienia) gruntów pozyskanych w czasie wykonywania wykopów, a niewykorzystanych do budowy nasypów oraz innych prac związanych z trasą drogową.</w:t>
      </w:r>
    </w:p>
    <w:p w14:paraId="428E4251" w14:textId="77777777" w:rsidR="00B677E1"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1.4.21.</w:t>
      </w:r>
      <w:r w:rsidRPr="006431C4">
        <w:rPr>
          <w:rFonts w:cs="Arial"/>
          <w:b/>
          <w:szCs w:val="20"/>
        </w:rPr>
        <w:tab/>
      </w:r>
      <w:r w:rsidRPr="006431C4">
        <w:rPr>
          <w:rFonts w:cs="Arial"/>
          <w:szCs w:val="20"/>
        </w:rPr>
        <w:t xml:space="preserve">Wskaźnik zagęszczenia gruntu - wielkość charakteryzująca stan zagęszczenia gruntu, badana zgodnie z procedurą według normy BN-77/8931-12 [11]), określona wg wzoru: </w:t>
      </w:r>
    </w:p>
    <w:p w14:paraId="170C210A" w14:textId="77777777" w:rsidR="004A3118" w:rsidRPr="006431C4" w:rsidRDefault="004A3118" w:rsidP="00BE2485">
      <w:pPr>
        <w:overflowPunct w:val="0"/>
        <w:autoSpaceDE w:val="0"/>
        <w:autoSpaceDN w:val="0"/>
        <w:adjustRightInd w:val="0"/>
        <w:spacing w:line="240" w:lineRule="auto"/>
        <w:jc w:val="both"/>
        <w:textAlignment w:val="baseline"/>
        <w:rPr>
          <w:rFonts w:cs="Arial"/>
          <w:szCs w:val="20"/>
        </w:rPr>
      </w:pPr>
    </w:p>
    <w:p w14:paraId="66930340"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position w:val="-26"/>
          <w:szCs w:val="20"/>
        </w:rPr>
        <w:object w:dxaOrig="780" w:dyaOrig="600" w14:anchorId="079A3A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pt;height:30pt" o:ole="">
            <v:imagedata r:id="rId23" o:title=""/>
          </v:shape>
          <o:OLEObject Type="Embed" ProgID="Equation.3" ShapeID="_x0000_i1025" DrawAspect="Content" ObjectID="_1726896244" r:id="rId24"/>
        </w:object>
      </w:r>
    </w:p>
    <w:p w14:paraId="30F0A8AF"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gdzie:</w:t>
      </w:r>
    </w:p>
    <w:p w14:paraId="1B8413C6" w14:textId="77777777" w:rsidR="00B677E1" w:rsidRPr="006431C4" w:rsidRDefault="00B677E1" w:rsidP="00BE2485">
      <w:pPr>
        <w:tabs>
          <w:tab w:val="left" w:pos="426"/>
          <w:tab w:val="left" w:pos="709"/>
        </w:tabs>
        <w:overflowPunct w:val="0"/>
        <w:autoSpaceDE w:val="0"/>
        <w:autoSpaceDN w:val="0"/>
        <w:adjustRightInd w:val="0"/>
        <w:spacing w:line="240" w:lineRule="auto"/>
        <w:ind w:left="709" w:hanging="709"/>
        <w:jc w:val="both"/>
        <w:textAlignment w:val="baseline"/>
        <w:rPr>
          <w:rFonts w:cs="Arial"/>
          <w:szCs w:val="20"/>
        </w:rPr>
      </w:pPr>
      <w:r w:rsidRPr="006431C4">
        <w:rPr>
          <w:rFonts w:cs="Arial"/>
          <w:i/>
          <w:szCs w:val="20"/>
        </w:rPr>
        <w:sym w:font="Symbol" w:char="F072"/>
      </w:r>
      <w:r w:rsidRPr="006431C4">
        <w:rPr>
          <w:rFonts w:cs="Arial"/>
          <w:szCs w:val="20"/>
          <w:vertAlign w:val="subscript"/>
        </w:rPr>
        <w:t>d</w:t>
      </w:r>
      <w:r w:rsidRPr="006431C4">
        <w:rPr>
          <w:rFonts w:cs="Arial"/>
          <w:szCs w:val="20"/>
        </w:rPr>
        <w:tab/>
        <w:t>-</w:t>
      </w:r>
      <w:r w:rsidRPr="006431C4">
        <w:rPr>
          <w:rFonts w:cs="Arial"/>
          <w:szCs w:val="20"/>
        </w:rPr>
        <w:tab/>
        <w:t>gęstość objętościowa szkieletu zagęszczonego gruntu, lub materiału antropogenicznego, (Mg/m</w:t>
      </w:r>
      <w:r w:rsidRPr="006431C4">
        <w:rPr>
          <w:rFonts w:cs="Arial"/>
          <w:szCs w:val="20"/>
          <w:vertAlign w:val="superscript"/>
        </w:rPr>
        <w:t>3</w:t>
      </w:r>
      <w:r w:rsidRPr="006431C4">
        <w:rPr>
          <w:rFonts w:cs="Arial"/>
          <w:szCs w:val="20"/>
        </w:rPr>
        <w:t>),</w:t>
      </w:r>
    </w:p>
    <w:p w14:paraId="34F7505F" w14:textId="77777777" w:rsidR="00B677E1" w:rsidRPr="006431C4" w:rsidRDefault="00B677E1" w:rsidP="00BE2485">
      <w:pPr>
        <w:tabs>
          <w:tab w:val="left" w:pos="426"/>
          <w:tab w:val="left" w:pos="709"/>
        </w:tabs>
        <w:overflowPunct w:val="0"/>
        <w:autoSpaceDE w:val="0"/>
        <w:autoSpaceDN w:val="0"/>
        <w:adjustRightInd w:val="0"/>
        <w:spacing w:line="240" w:lineRule="auto"/>
        <w:ind w:left="709" w:hanging="709"/>
        <w:jc w:val="both"/>
        <w:textAlignment w:val="baseline"/>
        <w:rPr>
          <w:rFonts w:cs="Arial"/>
          <w:szCs w:val="20"/>
        </w:rPr>
      </w:pPr>
      <w:r w:rsidRPr="006431C4">
        <w:rPr>
          <w:rFonts w:cs="Arial"/>
          <w:i/>
          <w:szCs w:val="20"/>
        </w:rPr>
        <w:sym w:font="Symbol" w:char="F072"/>
      </w:r>
      <w:r w:rsidRPr="006431C4">
        <w:rPr>
          <w:rFonts w:cs="Arial"/>
          <w:szCs w:val="20"/>
          <w:vertAlign w:val="subscript"/>
        </w:rPr>
        <w:t>ds</w:t>
      </w:r>
      <w:r w:rsidRPr="006431C4">
        <w:rPr>
          <w:rFonts w:cs="Arial"/>
          <w:szCs w:val="20"/>
        </w:rPr>
        <w:tab/>
        <w:t>-</w:t>
      </w:r>
      <w:r w:rsidRPr="006431C4">
        <w:rPr>
          <w:rFonts w:cs="Arial"/>
          <w:szCs w:val="20"/>
        </w:rPr>
        <w:tab/>
        <w:t>maksymalna gęstość objętościowa szkieletu gruntowego przy wilgotności optymalnej, ziemnych określona w normalnej próbie Proctora, (Mg/m</w:t>
      </w:r>
      <w:r w:rsidRPr="006431C4">
        <w:rPr>
          <w:rFonts w:cs="Arial"/>
          <w:szCs w:val="20"/>
          <w:vertAlign w:val="superscript"/>
        </w:rPr>
        <w:t>3</w:t>
      </w:r>
      <w:r w:rsidRPr="006431C4">
        <w:rPr>
          <w:rFonts w:cs="Arial"/>
          <w:szCs w:val="20"/>
        </w:rPr>
        <w:t>).</w:t>
      </w:r>
    </w:p>
    <w:p w14:paraId="0ED3244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1.4.22. </w:t>
      </w:r>
      <w:r w:rsidRPr="006431C4">
        <w:rPr>
          <w:rFonts w:cs="Arial"/>
          <w:szCs w:val="20"/>
        </w:rPr>
        <w:t>Wskaźnik jednorodności uziarnienia - wielkość charakteryzująca zagęszczalność gruntów niespoistych, określona wg wzoru:</w:t>
      </w:r>
    </w:p>
    <w:p w14:paraId="55229FFD" w14:textId="77777777" w:rsidR="00B677E1" w:rsidRPr="006431C4" w:rsidRDefault="00B677E1" w:rsidP="00BE2485">
      <w:pPr>
        <w:overflowPunct w:val="0"/>
        <w:autoSpaceDE w:val="0"/>
        <w:autoSpaceDN w:val="0"/>
        <w:adjustRightInd w:val="0"/>
        <w:spacing w:line="240" w:lineRule="auto"/>
        <w:jc w:val="center"/>
        <w:textAlignment w:val="baseline"/>
        <w:rPr>
          <w:rFonts w:cs="Arial"/>
          <w:b/>
          <w:szCs w:val="20"/>
        </w:rPr>
      </w:pPr>
      <w:r w:rsidRPr="006431C4">
        <w:rPr>
          <w:rFonts w:cs="Arial"/>
          <w:position w:val="-26"/>
          <w:szCs w:val="20"/>
        </w:rPr>
        <w:object w:dxaOrig="780" w:dyaOrig="600" w14:anchorId="42C8092E">
          <v:shape id="_x0000_i1026" type="#_x0000_t75" style="width:39pt;height:30pt" o:ole="">
            <v:imagedata r:id="rId25" o:title=""/>
          </v:shape>
          <o:OLEObject Type="Embed" ProgID="Equation.3" ShapeID="_x0000_i1026" DrawAspect="Content" ObjectID="_1726896245" r:id="rId26"/>
        </w:object>
      </w:r>
    </w:p>
    <w:p w14:paraId="2C60869A"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gdzie:</w:t>
      </w:r>
    </w:p>
    <w:p w14:paraId="0E1885AF" w14:textId="77777777" w:rsidR="00B677E1" w:rsidRPr="006431C4" w:rsidRDefault="00B677E1" w:rsidP="00BE2485">
      <w:pPr>
        <w:tabs>
          <w:tab w:val="left" w:pos="426"/>
          <w:tab w:val="left" w:pos="709"/>
        </w:tabs>
        <w:overflowPunct w:val="0"/>
        <w:autoSpaceDE w:val="0"/>
        <w:autoSpaceDN w:val="0"/>
        <w:adjustRightInd w:val="0"/>
        <w:spacing w:line="240" w:lineRule="auto"/>
        <w:jc w:val="both"/>
        <w:textAlignment w:val="baseline"/>
        <w:rPr>
          <w:rFonts w:cs="Arial"/>
          <w:szCs w:val="20"/>
        </w:rPr>
      </w:pPr>
      <w:r w:rsidRPr="006431C4">
        <w:rPr>
          <w:rFonts w:cs="Arial"/>
          <w:i/>
          <w:szCs w:val="20"/>
        </w:rPr>
        <w:t>d</w:t>
      </w:r>
      <w:r w:rsidRPr="006431C4">
        <w:rPr>
          <w:rFonts w:cs="Arial"/>
          <w:i/>
          <w:szCs w:val="20"/>
          <w:vertAlign w:val="subscript"/>
        </w:rPr>
        <w:t>60</w:t>
      </w:r>
      <w:r w:rsidRPr="006431C4">
        <w:rPr>
          <w:rFonts w:cs="Arial"/>
          <w:szCs w:val="20"/>
        </w:rPr>
        <w:tab/>
        <w:t>-</w:t>
      </w:r>
      <w:r w:rsidRPr="006431C4">
        <w:rPr>
          <w:rFonts w:cs="Arial"/>
          <w:szCs w:val="20"/>
        </w:rPr>
        <w:tab/>
        <w:t>wymiar cząstek, których masa wraz z mniejszymi stanowi 60% masy próbki wysuszonej (mm),</w:t>
      </w:r>
    </w:p>
    <w:p w14:paraId="5DCD45D7" w14:textId="77777777" w:rsidR="00B677E1" w:rsidRPr="006431C4" w:rsidRDefault="00B677E1" w:rsidP="00BE2485">
      <w:pPr>
        <w:tabs>
          <w:tab w:val="left" w:pos="426"/>
          <w:tab w:val="left" w:pos="709"/>
        </w:tabs>
        <w:overflowPunct w:val="0"/>
        <w:autoSpaceDE w:val="0"/>
        <w:autoSpaceDN w:val="0"/>
        <w:adjustRightInd w:val="0"/>
        <w:spacing w:line="240" w:lineRule="auto"/>
        <w:jc w:val="both"/>
        <w:textAlignment w:val="baseline"/>
        <w:rPr>
          <w:rFonts w:cs="Arial"/>
          <w:szCs w:val="20"/>
        </w:rPr>
      </w:pPr>
      <w:r w:rsidRPr="006431C4">
        <w:rPr>
          <w:rFonts w:cs="Arial"/>
          <w:i/>
          <w:szCs w:val="20"/>
        </w:rPr>
        <w:t>d</w:t>
      </w:r>
      <w:r w:rsidRPr="006431C4">
        <w:rPr>
          <w:rFonts w:cs="Arial"/>
          <w:i/>
          <w:szCs w:val="20"/>
          <w:vertAlign w:val="subscript"/>
        </w:rPr>
        <w:t>10</w:t>
      </w:r>
      <w:r w:rsidRPr="006431C4">
        <w:rPr>
          <w:rFonts w:cs="Arial"/>
          <w:szCs w:val="20"/>
        </w:rPr>
        <w:tab/>
        <w:t>-</w:t>
      </w:r>
      <w:r w:rsidRPr="006431C4">
        <w:rPr>
          <w:rFonts w:cs="Arial"/>
          <w:szCs w:val="20"/>
        </w:rPr>
        <w:tab/>
        <w:t>wymiar cząstek, których masa wraz z mniejszymi stanowi 10% masy próbki wysuszonej (mm).</w:t>
      </w:r>
    </w:p>
    <w:p w14:paraId="26FD3CF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1.4.23.</w:t>
      </w:r>
      <w:r w:rsidRPr="006431C4">
        <w:rPr>
          <w:rFonts w:cs="Arial"/>
          <w:szCs w:val="20"/>
        </w:rPr>
        <w:t xml:space="preserve"> Wskaźnik odkształcenia gruntu - wielkość charakteryzująca stan zagęszczenia gruntu, określona wg wzoru: </w:t>
      </w:r>
    </w:p>
    <w:p w14:paraId="5C17E2B5" w14:textId="77777777" w:rsidR="00B677E1" w:rsidRPr="006431C4" w:rsidRDefault="00B677E1" w:rsidP="00BE2485">
      <w:pPr>
        <w:tabs>
          <w:tab w:val="left" w:pos="426"/>
          <w:tab w:val="left" w:pos="709"/>
        </w:tabs>
        <w:overflowPunct w:val="0"/>
        <w:autoSpaceDE w:val="0"/>
        <w:autoSpaceDN w:val="0"/>
        <w:adjustRightInd w:val="0"/>
        <w:spacing w:line="240" w:lineRule="auto"/>
        <w:jc w:val="center"/>
        <w:textAlignment w:val="baseline"/>
        <w:rPr>
          <w:rFonts w:cs="Arial"/>
          <w:szCs w:val="20"/>
        </w:rPr>
      </w:pPr>
      <w:r w:rsidRPr="006431C4">
        <w:rPr>
          <w:rFonts w:cs="Arial"/>
          <w:position w:val="-26"/>
          <w:szCs w:val="20"/>
        </w:rPr>
        <w:object w:dxaOrig="720" w:dyaOrig="600" w14:anchorId="0F15099F">
          <v:shape id="_x0000_i1027" type="#_x0000_t75" style="width:36pt;height:30pt" o:ole="">
            <v:imagedata r:id="rId27" o:title=""/>
          </v:shape>
          <o:OLEObject Type="Embed" ProgID="Equation.3" ShapeID="_x0000_i1027" DrawAspect="Content" ObjectID="_1726896246" r:id="rId28"/>
        </w:object>
      </w:r>
    </w:p>
    <w:p w14:paraId="1B612EF2" w14:textId="77777777" w:rsidR="00B677E1" w:rsidRPr="006431C4" w:rsidRDefault="00B677E1" w:rsidP="00BE2485">
      <w:pPr>
        <w:tabs>
          <w:tab w:val="left" w:pos="426"/>
          <w:tab w:val="left" w:pos="709"/>
        </w:tabs>
        <w:overflowPunct w:val="0"/>
        <w:autoSpaceDE w:val="0"/>
        <w:autoSpaceDN w:val="0"/>
        <w:adjustRightInd w:val="0"/>
        <w:spacing w:line="240" w:lineRule="auto"/>
        <w:jc w:val="both"/>
        <w:textAlignment w:val="baseline"/>
        <w:rPr>
          <w:rFonts w:cs="Arial"/>
          <w:szCs w:val="20"/>
        </w:rPr>
      </w:pPr>
      <w:r w:rsidRPr="006431C4">
        <w:rPr>
          <w:rFonts w:cs="Arial"/>
          <w:szCs w:val="20"/>
        </w:rPr>
        <w:t>gdzie:</w:t>
      </w:r>
    </w:p>
    <w:p w14:paraId="7A52B0AF" w14:textId="77777777" w:rsidR="00B677E1" w:rsidRPr="006431C4" w:rsidRDefault="00B677E1" w:rsidP="00BE2485">
      <w:pPr>
        <w:tabs>
          <w:tab w:val="left" w:pos="426"/>
          <w:tab w:val="left" w:pos="709"/>
        </w:tabs>
        <w:overflowPunct w:val="0"/>
        <w:autoSpaceDE w:val="0"/>
        <w:autoSpaceDN w:val="0"/>
        <w:adjustRightInd w:val="0"/>
        <w:spacing w:line="240" w:lineRule="auto"/>
        <w:jc w:val="both"/>
        <w:textAlignment w:val="baseline"/>
        <w:rPr>
          <w:rFonts w:cs="Arial"/>
          <w:szCs w:val="20"/>
        </w:rPr>
      </w:pPr>
      <w:r w:rsidRPr="006431C4">
        <w:rPr>
          <w:rFonts w:cs="Arial"/>
          <w:i/>
          <w:szCs w:val="20"/>
        </w:rPr>
        <w:t>E</w:t>
      </w:r>
      <w:r w:rsidRPr="006431C4">
        <w:rPr>
          <w:rFonts w:cs="Arial"/>
          <w:i/>
          <w:szCs w:val="20"/>
          <w:vertAlign w:val="subscript"/>
        </w:rPr>
        <w:t>1</w:t>
      </w:r>
      <w:r w:rsidRPr="006431C4">
        <w:rPr>
          <w:rFonts w:cs="Arial"/>
          <w:szCs w:val="20"/>
        </w:rPr>
        <w:tab/>
        <w:t>-</w:t>
      </w:r>
      <w:r w:rsidRPr="006431C4">
        <w:rPr>
          <w:rFonts w:cs="Arial"/>
          <w:szCs w:val="20"/>
        </w:rPr>
        <w:tab/>
        <w:t>moduł odkształcenia gruntu oznaczony w pierwszym obciążeniu badanej warstwy zgodnie z PN-S-02205 [6],</w:t>
      </w:r>
    </w:p>
    <w:p w14:paraId="5151214F" w14:textId="77777777" w:rsidR="00B677E1" w:rsidRPr="006431C4" w:rsidRDefault="00B677E1" w:rsidP="00BE2485">
      <w:pPr>
        <w:tabs>
          <w:tab w:val="left" w:pos="426"/>
          <w:tab w:val="left" w:pos="709"/>
        </w:tabs>
        <w:overflowPunct w:val="0"/>
        <w:autoSpaceDE w:val="0"/>
        <w:autoSpaceDN w:val="0"/>
        <w:adjustRightInd w:val="0"/>
        <w:spacing w:line="240" w:lineRule="auto"/>
        <w:jc w:val="both"/>
        <w:textAlignment w:val="baseline"/>
        <w:rPr>
          <w:rFonts w:cs="Arial"/>
          <w:szCs w:val="20"/>
        </w:rPr>
      </w:pPr>
      <w:r w:rsidRPr="006431C4">
        <w:rPr>
          <w:rFonts w:cs="Arial"/>
          <w:i/>
          <w:szCs w:val="20"/>
        </w:rPr>
        <w:t>E</w:t>
      </w:r>
      <w:r w:rsidRPr="006431C4">
        <w:rPr>
          <w:rFonts w:cs="Arial"/>
          <w:i/>
          <w:szCs w:val="20"/>
          <w:vertAlign w:val="subscript"/>
        </w:rPr>
        <w:t>2</w:t>
      </w:r>
      <w:r w:rsidRPr="006431C4">
        <w:rPr>
          <w:rFonts w:cs="Arial"/>
          <w:szCs w:val="20"/>
        </w:rPr>
        <w:tab/>
        <w:t>-</w:t>
      </w:r>
      <w:r w:rsidRPr="006431C4">
        <w:rPr>
          <w:rFonts w:cs="Arial"/>
          <w:szCs w:val="20"/>
        </w:rPr>
        <w:tab/>
        <w:t>moduł odkształcenia gruntu oznaczony w powtórnym obciążeniu badanej warstwy zgodnie z PN-S-02205 [6].</w:t>
      </w:r>
    </w:p>
    <w:p w14:paraId="3077B7BB" w14:textId="77777777" w:rsidR="00B677E1" w:rsidRPr="006431C4" w:rsidRDefault="00B677E1" w:rsidP="00BE2485">
      <w:pPr>
        <w:tabs>
          <w:tab w:val="left" w:pos="426"/>
          <w:tab w:val="left" w:pos="709"/>
        </w:tabs>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1.4.24. </w:t>
      </w:r>
      <w:r w:rsidRPr="006431C4">
        <w:rPr>
          <w:rFonts w:cs="Arial"/>
          <w:szCs w:val="20"/>
        </w:rPr>
        <w:t>Moduł odkształcenia gruntu – wielkość charakteryzująca nośność na powierzchni warstwy gruntu lub materiału antropogenicznego, badana zgodnie z procedurą według PN-S-02205 [6], załącznik B, określana wg wzoru</w:t>
      </w:r>
    </w:p>
    <w:p w14:paraId="7BD04737" w14:textId="77777777" w:rsidR="00B677E1" w:rsidRPr="006431C4" w:rsidRDefault="00B677E1" w:rsidP="00BE2485">
      <w:pPr>
        <w:tabs>
          <w:tab w:val="left" w:pos="426"/>
          <w:tab w:val="left" w:pos="709"/>
        </w:tabs>
        <w:overflowPunct w:val="0"/>
        <w:autoSpaceDE w:val="0"/>
        <w:autoSpaceDN w:val="0"/>
        <w:adjustRightInd w:val="0"/>
        <w:spacing w:line="240" w:lineRule="auto"/>
        <w:jc w:val="center"/>
        <w:textAlignment w:val="baseline"/>
        <w:rPr>
          <w:rFonts w:cs="Arial"/>
          <w:szCs w:val="20"/>
        </w:rPr>
      </w:pPr>
    </w:p>
    <w:p w14:paraId="0048F15C" w14:textId="77777777" w:rsidR="00B677E1" w:rsidRPr="006431C4" w:rsidRDefault="00B677E1" w:rsidP="00BE2485">
      <w:pPr>
        <w:tabs>
          <w:tab w:val="left" w:pos="426"/>
          <w:tab w:val="left" w:pos="709"/>
        </w:tabs>
        <w:overflowPunct w:val="0"/>
        <w:autoSpaceDE w:val="0"/>
        <w:autoSpaceDN w:val="0"/>
        <w:adjustRightInd w:val="0"/>
        <w:spacing w:line="240" w:lineRule="auto"/>
        <w:jc w:val="center"/>
        <w:textAlignment w:val="baseline"/>
        <w:rPr>
          <w:rFonts w:cs="Arial"/>
          <w:szCs w:val="20"/>
        </w:rPr>
      </w:pPr>
      <w:r w:rsidRPr="006431C4">
        <w:rPr>
          <w:rFonts w:cs="Arial"/>
          <w:szCs w:val="20"/>
        </w:rPr>
        <w:t>E</w:t>
      </w:r>
      <w:r w:rsidRPr="006431C4">
        <w:rPr>
          <w:rFonts w:cs="Arial"/>
          <w:szCs w:val="20"/>
          <w:vertAlign w:val="subscript"/>
        </w:rPr>
        <w:t>i</w:t>
      </w:r>
      <w:r w:rsidRPr="006431C4">
        <w:rPr>
          <w:rFonts w:cs="Arial"/>
          <w:szCs w:val="20"/>
        </w:rPr>
        <w:t>=0.75 *Δp*D/Δs</w:t>
      </w:r>
    </w:p>
    <w:p w14:paraId="09600AF3" w14:textId="77777777" w:rsidR="00B677E1" w:rsidRPr="006431C4" w:rsidRDefault="00B677E1" w:rsidP="00BE2485">
      <w:pPr>
        <w:tabs>
          <w:tab w:val="left" w:pos="426"/>
          <w:tab w:val="left" w:pos="709"/>
        </w:tabs>
        <w:overflowPunct w:val="0"/>
        <w:autoSpaceDE w:val="0"/>
        <w:autoSpaceDN w:val="0"/>
        <w:adjustRightInd w:val="0"/>
        <w:spacing w:line="240" w:lineRule="auto"/>
        <w:textAlignment w:val="baseline"/>
        <w:rPr>
          <w:rFonts w:cs="Arial"/>
          <w:szCs w:val="20"/>
        </w:rPr>
      </w:pPr>
      <w:r w:rsidRPr="006431C4">
        <w:rPr>
          <w:rFonts w:cs="Arial"/>
          <w:szCs w:val="20"/>
        </w:rPr>
        <w:t>Gdzie:</w:t>
      </w:r>
    </w:p>
    <w:p w14:paraId="4490CC6B" w14:textId="77777777" w:rsidR="00B677E1" w:rsidRPr="006431C4" w:rsidRDefault="00B677E1" w:rsidP="00BE2485">
      <w:pPr>
        <w:tabs>
          <w:tab w:val="left" w:pos="426"/>
          <w:tab w:val="left" w:pos="709"/>
        </w:tabs>
        <w:overflowPunct w:val="0"/>
        <w:autoSpaceDE w:val="0"/>
        <w:autoSpaceDN w:val="0"/>
        <w:adjustRightInd w:val="0"/>
        <w:spacing w:line="240" w:lineRule="auto"/>
        <w:textAlignment w:val="baseline"/>
        <w:rPr>
          <w:rFonts w:cs="Arial"/>
          <w:szCs w:val="20"/>
        </w:rPr>
      </w:pPr>
      <w:r w:rsidRPr="006431C4">
        <w:rPr>
          <w:rFonts w:cs="Arial"/>
          <w:szCs w:val="20"/>
        </w:rPr>
        <w:t>Ei – moduł odkształcenia gruntu [MPa],</w:t>
      </w:r>
    </w:p>
    <w:p w14:paraId="01FEF94F" w14:textId="77777777" w:rsidR="00B677E1" w:rsidRPr="006431C4" w:rsidRDefault="00B677E1" w:rsidP="00BE2485">
      <w:pPr>
        <w:tabs>
          <w:tab w:val="left" w:pos="426"/>
          <w:tab w:val="left" w:pos="709"/>
        </w:tabs>
        <w:overflowPunct w:val="0"/>
        <w:autoSpaceDE w:val="0"/>
        <w:autoSpaceDN w:val="0"/>
        <w:adjustRightInd w:val="0"/>
        <w:spacing w:line="240" w:lineRule="auto"/>
        <w:textAlignment w:val="baseline"/>
        <w:rPr>
          <w:rFonts w:cs="Arial"/>
          <w:szCs w:val="20"/>
        </w:rPr>
      </w:pPr>
      <w:r w:rsidRPr="006431C4">
        <w:rPr>
          <w:rFonts w:cs="Arial"/>
          <w:szCs w:val="20"/>
        </w:rPr>
        <w:t>Δp – przyrost obciążenia jednostkowego [MPa],</w:t>
      </w:r>
    </w:p>
    <w:p w14:paraId="2DAF0B17" w14:textId="77777777" w:rsidR="00B677E1" w:rsidRPr="006431C4" w:rsidRDefault="00B677E1" w:rsidP="00BE2485">
      <w:pPr>
        <w:tabs>
          <w:tab w:val="left" w:pos="426"/>
          <w:tab w:val="left" w:pos="709"/>
        </w:tabs>
        <w:overflowPunct w:val="0"/>
        <w:autoSpaceDE w:val="0"/>
        <w:autoSpaceDN w:val="0"/>
        <w:adjustRightInd w:val="0"/>
        <w:spacing w:line="240" w:lineRule="auto"/>
        <w:textAlignment w:val="baseline"/>
        <w:rPr>
          <w:rFonts w:cs="Arial"/>
          <w:szCs w:val="20"/>
        </w:rPr>
      </w:pPr>
      <w:r w:rsidRPr="006431C4">
        <w:rPr>
          <w:rFonts w:cs="Arial"/>
          <w:szCs w:val="20"/>
        </w:rPr>
        <w:t>Δs – przyrost osiadania odpowiadający przyrostowi obciążenia jednostkowego [mm],</w:t>
      </w:r>
    </w:p>
    <w:p w14:paraId="2F493E76" w14:textId="77777777" w:rsidR="00B677E1" w:rsidRPr="006431C4" w:rsidRDefault="00B677E1" w:rsidP="00BE2485">
      <w:pPr>
        <w:tabs>
          <w:tab w:val="left" w:pos="426"/>
          <w:tab w:val="left" w:pos="709"/>
        </w:tabs>
        <w:overflowPunct w:val="0"/>
        <w:autoSpaceDE w:val="0"/>
        <w:autoSpaceDN w:val="0"/>
        <w:adjustRightInd w:val="0"/>
        <w:spacing w:line="240" w:lineRule="auto"/>
        <w:textAlignment w:val="baseline"/>
        <w:rPr>
          <w:rFonts w:cs="Arial"/>
          <w:szCs w:val="20"/>
        </w:rPr>
      </w:pPr>
      <w:r w:rsidRPr="006431C4">
        <w:rPr>
          <w:rFonts w:cs="Arial"/>
          <w:szCs w:val="20"/>
        </w:rPr>
        <w:t>D-średnica płyty [mm].</w:t>
      </w:r>
    </w:p>
    <w:p w14:paraId="27EDFBD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1.4.25</w:t>
      </w:r>
      <w:r w:rsidRPr="006431C4">
        <w:rPr>
          <w:rFonts w:cs="Arial"/>
          <w:szCs w:val="20"/>
        </w:rPr>
        <w:t xml:space="preserve">. Geosyntetyk - wyrób, którego przynajmniej jeden składnik wytworzony został z polimeru (poliestru, polipropylenu, polietylenu lub poliamidu), mający postać arkusza, paska lub formy przestrzennej, stosowany w kontakcie z gruntem (lub innym materiałem) w geotechnice, fundamentowaniu i budownictwie lądowym i wodnym. </w:t>
      </w:r>
    </w:p>
    <w:p w14:paraId="6FE2A80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1.4.26. </w:t>
      </w:r>
      <w:r w:rsidRPr="006431C4">
        <w:rPr>
          <w:rFonts w:cs="Arial"/>
          <w:szCs w:val="20"/>
        </w:rPr>
        <w:t>Pozostałe określenia podstawowe są zgodne z obowiązującymi, odpowiednimi polskimi normami i z definicjami podanymi w SST D-M-00.00.00 „Wymagania ogólne”[1] pkt 1.4.</w:t>
      </w:r>
    </w:p>
    <w:p w14:paraId="65547D8A"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76" w:name="_Toc405615035"/>
      <w:bookmarkStart w:id="77" w:name="_Toc407161183"/>
      <w:r w:rsidRPr="006431C4">
        <w:rPr>
          <w:rFonts w:cs="Arial"/>
          <w:b/>
          <w:szCs w:val="20"/>
        </w:rPr>
        <w:t>1.5. Ogólne wymagania dotyczące robót</w:t>
      </w:r>
      <w:bookmarkEnd w:id="76"/>
      <w:bookmarkEnd w:id="77"/>
    </w:p>
    <w:p w14:paraId="7560FA1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robót podano w SST D-M-00.00.00 [1] pkt 1.5.</w:t>
      </w:r>
    </w:p>
    <w:p w14:paraId="2468025A" w14:textId="77777777" w:rsidR="00B677E1" w:rsidRPr="006431C4" w:rsidRDefault="00B677E1"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78" w:name="_Toc17407534"/>
      <w:bookmarkStart w:id="79" w:name="_Toc17407769"/>
      <w:bookmarkStart w:id="80" w:name="_Toc17407893"/>
      <w:bookmarkStart w:id="81" w:name="_Toc17408012"/>
      <w:r w:rsidRPr="006431C4">
        <w:rPr>
          <w:rFonts w:cs="Arial"/>
          <w:b/>
          <w:caps/>
          <w:kern w:val="28"/>
          <w:szCs w:val="20"/>
        </w:rPr>
        <w:t>2. Materiały</w:t>
      </w:r>
      <w:bookmarkEnd w:id="78"/>
      <w:bookmarkEnd w:id="79"/>
      <w:bookmarkEnd w:id="80"/>
      <w:bookmarkEnd w:id="81"/>
    </w:p>
    <w:p w14:paraId="452F0C0A"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82" w:name="_Toc405615037"/>
      <w:bookmarkStart w:id="83" w:name="_Toc407161185"/>
      <w:r w:rsidRPr="006431C4">
        <w:rPr>
          <w:rFonts w:cs="Arial"/>
          <w:b/>
          <w:szCs w:val="20"/>
        </w:rPr>
        <w:t>2.1. Ogólne wymagania dotyczące materiałów</w:t>
      </w:r>
      <w:bookmarkEnd w:id="82"/>
      <w:bookmarkEnd w:id="83"/>
    </w:p>
    <w:p w14:paraId="38EDB134"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materiałów, ich pozyskiwania i składowania, podano w SST D-M-00.00.00 „Wymagania ogólne” pkt 2.</w:t>
      </w:r>
    </w:p>
    <w:p w14:paraId="11B3DC01"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84" w:name="_Toc405615039"/>
      <w:bookmarkStart w:id="85" w:name="_Toc407161187"/>
      <w:r w:rsidRPr="006431C4">
        <w:rPr>
          <w:rFonts w:cs="Arial"/>
          <w:b/>
          <w:szCs w:val="20"/>
        </w:rPr>
        <w:lastRenderedPageBreak/>
        <w:t>2.2. Zasady wykorzystania gruntów</w:t>
      </w:r>
      <w:bookmarkEnd w:id="84"/>
      <w:bookmarkEnd w:id="85"/>
    </w:p>
    <w:p w14:paraId="3C0BCA1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Grunty i materiały nieprzydatne do budowy nasypów, określone w SST                    D-02.03.01 [3] pkt 2, powinny być wywiezione przez Wykonawcę na odkład. Zapewnienie terenów na odkład należy do obowiązków Zamawiającego, o ile nie określono tego inaczej w kontrakcie. Inżynier może nakazać pozostawienie na terenie budowy gruntów, których czasowa nieprzydatność wynika jedynie z powodu zamarznięcia lub nadmiernej wilgotności.</w:t>
      </w:r>
    </w:p>
    <w:p w14:paraId="2B557368"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Przydatność gruntów z wykopów do wykonania budowli ziemnych we wstępnej fazie powinna zostać oceniona makroskopowo, natomiast przeznaczenie ich do dedykowanej warstwy powinno odbyć się na podstawie parametrów zbadanych metodami laboratoryjnymi.</w:t>
      </w:r>
    </w:p>
    <w:p w14:paraId="08393174"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Grunty i materiały do wykonania budowli ziemnych w zależności od ich przeznaczenia do wbudowania w konkretną warstwę podaje tabela 1. </w:t>
      </w:r>
    </w:p>
    <w:p w14:paraId="152AEC5C"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p>
    <w:p w14:paraId="2ABA4842"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p>
    <w:p w14:paraId="4772E6B7" w14:textId="785D47F0" w:rsidR="00B677E1" w:rsidRPr="006431C4" w:rsidRDefault="00B677E1" w:rsidP="00BE2485">
      <w:pPr>
        <w:overflowPunct w:val="0"/>
        <w:autoSpaceDE w:val="0"/>
        <w:autoSpaceDN w:val="0"/>
        <w:adjustRightInd w:val="0"/>
        <w:spacing w:line="240" w:lineRule="auto"/>
        <w:jc w:val="both"/>
        <w:textAlignment w:val="baseline"/>
        <w:rPr>
          <w:rFonts w:cs="Arial"/>
          <w:bCs/>
          <w:szCs w:val="20"/>
        </w:rPr>
      </w:pPr>
      <w:bookmarkStart w:id="86" w:name="_Toc24577610"/>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1</w:t>
      </w:r>
      <w:r w:rsidRPr="006431C4">
        <w:rPr>
          <w:rFonts w:cs="Arial"/>
          <w:bCs/>
          <w:szCs w:val="20"/>
        </w:rPr>
        <w:fldChar w:fldCharType="end"/>
      </w:r>
      <w:r w:rsidRPr="006431C4">
        <w:rPr>
          <w:rFonts w:cs="Arial"/>
          <w:bCs/>
          <w:szCs w:val="20"/>
        </w:rPr>
        <w:t>. Przydatność gruntów do wykonywania budowli ziemnych wg PN-S-02205 [6]</w:t>
      </w:r>
      <w:bookmarkEnd w:id="86"/>
    </w:p>
    <w:tbl>
      <w:tblPr>
        <w:tblW w:w="1062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3324"/>
        <w:gridCol w:w="2977"/>
        <w:gridCol w:w="2977"/>
      </w:tblGrid>
      <w:tr w:rsidR="00B677E1" w:rsidRPr="006431C4" w14:paraId="1184A1A1" w14:textId="77777777" w:rsidTr="00B677E1">
        <w:tc>
          <w:tcPr>
            <w:tcW w:w="1346" w:type="dxa"/>
            <w:vAlign w:val="center"/>
          </w:tcPr>
          <w:p w14:paraId="1E09D30C"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Przeznacze-nie</w:t>
            </w:r>
          </w:p>
        </w:tc>
        <w:tc>
          <w:tcPr>
            <w:tcW w:w="3324" w:type="dxa"/>
            <w:vAlign w:val="center"/>
          </w:tcPr>
          <w:p w14:paraId="79F241A8"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Przydatne</w:t>
            </w:r>
          </w:p>
        </w:tc>
        <w:tc>
          <w:tcPr>
            <w:tcW w:w="2977" w:type="dxa"/>
            <w:tcBorders>
              <w:bottom w:val="single" w:sz="6" w:space="0" w:color="auto"/>
            </w:tcBorders>
            <w:vAlign w:val="center"/>
          </w:tcPr>
          <w:p w14:paraId="5DCDC31D"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Przydatne</w:t>
            </w:r>
          </w:p>
          <w:p w14:paraId="39C31DC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z zastrzeżeniami</w:t>
            </w:r>
          </w:p>
        </w:tc>
        <w:tc>
          <w:tcPr>
            <w:tcW w:w="2977" w:type="dxa"/>
            <w:tcBorders>
              <w:bottom w:val="single" w:sz="6" w:space="0" w:color="auto"/>
            </w:tcBorders>
            <w:vAlign w:val="center"/>
          </w:tcPr>
          <w:p w14:paraId="0D595660"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Treść</w:t>
            </w:r>
          </w:p>
          <w:p w14:paraId="37534B83"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zastrzeżenia</w:t>
            </w:r>
          </w:p>
        </w:tc>
      </w:tr>
      <w:tr w:rsidR="00B677E1" w:rsidRPr="006431C4" w14:paraId="77DA2B3B" w14:textId="77777777" w:rsidTr="00B677E1">
        <w:trPr>
          <w:trHeight w:val="540"/>
        </w:trPr>
        <w:tc>
          <w:tcPr>
            <w:tcW w:w="1346" w:type="dxa"/>
            <w:vMerge w:val="restart"/>
            <w:vAlign w:val="center"/>
          </w:tcPr>
          <w:p w14:paraId="28396A71"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Na dolne warstwy nasypów poniżej strefy przemarza-nia</w:t>
            </w:r>
          </w:p>
        </w:tc>
        <w:tc>
          <w:tcPr>
            <w:tcW w:w="3324" w:type="dxa"/>
            <w:vMerge w:val="restart"/>
            <w:vAlign w:val="center"/>
          </w:tcPr>
          <w:p w14:paraId="3DB5396F"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1. Rozdrobnione grunty skaliste twarde oraz grunty kamieniste, zwietrzelinowe, rumosze i otoczaki</w:t>
            </w:r>
          </w:p>
          <w:p w14:paraId="6C691CA1"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2. Żwiry i pospółki, również gliniaste</w:t>
            </w:r>
          </w:p>
          <w:p w14:paraId="177C4D5E"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3. Piaski grubo, średnio i drobnoziarniste, naturalne i łamane</w:t>
            </w:r>
          </w:p>
          <w:p w14:paraId="16B0D2D0"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4. Piaski gliniaste z domieszką frakcji żwirowo-kamienistej (morenowe) o wskaźniku różnoziarnistości U</w:t>
            </w:r>
            <w:r w:rsidRPr="006431C4">
              <w:rPr>
                <w:rFonts w:cs="Arial"/>
                <w:szCs w:val="20"/>
              </w:rPr>
              <w:sym w:font="Symbol" w:char="F0B3"/>
            </w:r>
            <w:r w:rsidRPr="006431C4">
              <w:rPr>
                <w:rFonts w:cs="Arial"/>
                <w:szCs w:val="20"/>
              </w:rPr>
              <w:t>15</w:t>
            </w:r>
          </w:p>
          <w:p w14:paraId="189429DD"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5. Żużle wielkopiecowe i inne metalurgiczne ze starych zwałów (powyżej 5 lat)</w:t>
            </w:r>
          </w:p>
          <w:p w14:paraId="0716D4E3"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6. Łupki przywęgłowe przepalone</w:t>
            </w:r>
          </w:p>
          <w:p w14:paraId="11F1B487"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7. Wysiewki kamienne o zawartości frakcji iłowej poniżej 2%</w:t>
            </w:r>
          </w:p>
        </w:tc>
        <w:tc>
          <w:tcPr>
            <w:tcW w:w="2977" w:type="dxa"/>
            <w:tcBorders>
              <w:bottom w:val="single" w:sz="4" w:space="0" w:color="auto"/>
            </w:tcBorders>
          </w:tcPr>
          <w:p w14:paraId="00A74B08"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1. Rozdrobnione grunty skaliste miękkie</w:t>
            </w:r>
          </w:p>
        </w:tc>
        <w:tc>
          <w:tcPr>
            <w:tcW w:w="2977" w:type="dxa"/>
            <w:tcBorders>
              <w:bottom w:val="single" w:sz="4" w:space="0" w:color="auto"/>
            </w:tcBorders>
          </w:tcPr>
          <w:p w14:paraId="2CF616EC"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gdy pory w gruncie skalistym będą wypełnione gruntem lub materiałem drobnoziarnistym</w:t>
            </w:r>
          </w:p>
        </w:tc>
      </w:tr>
      <w:tr w:rsidR="00B677E1" w:rsidRPr="006431C4" w14:paraId="15077BE5" w14:textId="77777777" w:rsidTr="00B677E1">
        <w:trPr>
          <w:trHeight w:val="1320"/>
        </w:trPr>
        <w:tc>
          <w:tcPr>
            <w:tcW w:w="1346" w:type="dxa"/>
            <w:vMerge/>
          </w:tcPr>
          <w:p w14:paraId="07B9776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3324" w:type="dxa"/>
            <w:vMerge/>
          </w:tcPr>
          <w:p w14:paraId="71274B9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2977" w:type="dxa"/>
            <w:tcBorders>
              <w:top w:val="single" w:sz="4" w:space="0" w:color="auto"/>
              <w:bottom w:val="single" w:sz="4" w:space="0" w:color="auto"/>
            </w:tcBorders>
          </w:tcPr>
          <w:p w14:paraId="0B8AD1A5"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2. Zwietrzeliny i rumosze gliniaste</w:t>
            </w:r>
          </w:p>
          <w:p w14:paraId="67996402"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3. Piaski pylaste, piaski gliniaste, pyły piaszczyste i pyły</w:t>
            </w:r>
          </w:p>
        </w:tc>
        <w:tc>
          <w:tcPr>
            <w:tcW w:w="2977" w:type="dxa"/>
            <w:tcBorders>
              <w:top w:val="single" w:sz="4" w:space="0" w:color="auto"/>
              <w:bottom w:val="single" w:sz="4" w:space="0" w:color="auto"/>
            </w:tcBorders>
          </w:tcPr>
          <w:p w14:paraId="029E7BFE"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gdy będą wbudowane w miejsca suche lub zabezpieczone od wód gruntowych i powierzchniowych</w:t>
            </w:r>
          </w:p>
        </w:tc>
      </w:tr>
      <w:tr w:rsidR="00B677E1" w:rsidRPr="006431C4" w14:paraId="01464198" w14:textId="77777777" w:rsidTr="00B677E1">
        <w:trPr>
          <w:trHeight w:val="780"/>
        </w:trPr>
        <w:tc>
          <w:tcPr>
            <w:tcW w:w="1346" w:type="dxa"/>
            <w:vMerge/>
          </w:tcPr>
          <w:p w14:paraId="5B28B1A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3324" w:type="dxa"/>
            <w:vMerge/>
          </w:tcPr>
          <w:p w14:paraId="4333F34A"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2977" w:type="dxa"/>
            <w:tcBorders>
              <w:top w:val="single" w:sz="4" w:space="0" w:color="auto"/>
              <w:bottom w:val="single" w:sz="4" w:space="0" w:color="auto"/>
            </w:tcBorders>
          </w:tcPr>
          <w:p w14:paraId="3B092A63"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4. Piaski próchniczne, z wyjątkiem pylastych piasków próchnicznych</w:t>
            </w:r>
          </w:p>
        </w:tc>
        <w:tc>
          <w:tcPr>
            <w:tcW w:w="2977" w:type="dxa"/>
            <w:tcBorders>
              <w:top w:val="single" w:sz="4" w:space="0" w:color="auto"/>
              <w:bottom w:val="single" w:sz="4" w:space="0" w:color="auto"/>
            </w:tcBorders>
          </w:tcPr>
          <w:p w14:paraId="69ABDCE6" w14:textId="77777777" w:rsidR="00B677E1" w:rsidRPr="006431C4" w:rsidRDefault="00B677E1" w:rsidP="00BE2485">
            <w:pPr>
              <w:pBdr>
                <w:between w:val="single" w:sz="6" w:space="1" w:color="auto"/>
              </w:pBdr>
              <w:overflowPunct w:val="0"/>
              <w:autoSpaceDE w:val="0"/>
              <w:autoSpaceDN w:val="0"/>
              <w:adjustRightInd w:val="0"/>
              <w:spacing w:line="240" w:lineRule="auto"/>
              <w:textAlignment w:val="baseline"/>
              <w:rPr>
                <w:rFonts w:cs="Arial"/>
                <w:szCs w:val="20"/>
              </w:rPr>
            </w:pPr>
            <w:r w:rsidRPr="006431C4">
              <w:rPr>
                <w:rFonts w:cs="Arial"/>
                <w:szCs w:val="20"/>
              </w:rPr>
              <w:t xml:space="preserve">- do nasypów nie wyższych niż </w:t>
            </w:r>
            <w:smartTag w:uri="urn:schemas-microsoft-com:office:smarttags" w:element="metricconverter">
              <w:smartTagPr>
                <w:attr w:name="ProductID" w:val="3 m"/>
              </w:smartTagPr>
              <w:r w:rsidRPr="006431C4">
                <w:rPr>
                  <w:rFonts w:cs="Arial"/>
                  <w:szCs w:val="20"/>
                </w:rPr>
                <w:t>3 m</w:t>
              </w:r>
            </w:smartTag>
            <w:r w:rsidRPr="006431C4">
              <w:rPr>
                <w:rFonts w:cs="Arial"/>
                <w:szCs w:val="20"/>
              </w:rPr>
              <w:t>, zabezpieczonych przed zawilgoceniem</w:t>
            </w:r>
          </w:p>
        </w:tc>
      </w:tr>
      <w:tr w:rsidR="00B677E1" w:rsidRPr="006431C4" w14:paraId="1B1FB753" w14:textId="77777777" w:rsidTr="00B677E1">
        <w:trPr>
          <w:trHeight w:val="885"/>
        </w:trPr>
        <w:tc>
          <w:tcPr>
            <w:tcW w:w="1346" w:type="dxa"/>
            <w:vMerge/>
          </w:tcPr>
          <w:p w14:paraId="7F4F161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3324" w:type="dxa"/>
            <w:vMerge/>
          </w:tcPr>
          <w:p w14:paraId="18107C0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2977" w:type="dxa"/>
            <w:tcBorders>
              <w:top w:val="single" w:sz="4" w:space="0" w:color="auto"/>
              <w:bottom w:val="single" w:sz="4" w:space="0" w:color="auto"/>
            </w:tcBorders>
          </w:tcPr>
          <w:p w14:paraId="4B73ED8B" w14:textId="77777777" w:rsidR="00B677E1" w:rsidRPr="006431C4" w:rsidRDefault="00B677E1" w:rsidP="00BE2485">
            <w:pPr>
              <w:pBdr>
                <w:between w:val="single" w:sz="6" w:space="1" w:color="auto"/>
              </w:pBdr>
              <w:overflowPunct w:val="0"/>
              <w:autoSpaceDE w:val="0"/>
              <w:autoSpaceDN w:val="0"/>
              <w:adjustRightInd w:val="0"/>
              <w:spacing w:line="240" w:lineRule="auto"/>
              <w:textAlignment w:val="baseline"/>
              <w:rPr>
                <w:rFonts w:cs="Arial"/>
                <w:szCs w:val="20"/>
              </w:rPr>
            </w:pPr>
            <w:r w:rsidRPr="006431C4">
              <w:rPr>
                <w:rFonts w:cs="Arial"/>
                <w:szCs w:val="20"/>
              </w:rPr>
              <w:t>5. Gliny piaszczyste, gliny i gliny pylaste oraz inne o w</w:t>
            </w:r>
            <w:r w:rsidRPr="006431C4">
              <w:rPr>
                <w:rFonts w:cs="Arial"/>
                <w:szCs w:val="20"/>
                <w:vertAlign w:val="subscript"/>
              </w:rPr>
              <w:t>L</w:t>
            </w:r>
            <w:r w:rsidRPr="006431C4">
              <w:rPr>
                <w:rFonts w:cs="Arial"/>
                <w:szCs w:val="20"/>
              </w:rPr>
              <w:t xml:space="preserve"> </w:t>
            </w:r>
            <w:r w:rsidRPr="006431C4">
              <w:rPr>
                <w:rFonts w:cs="Arial"/>
                <w:szCs w:val="20"/>
              </w:rPr>
              <w:sym w:font="Symbol" w:char="F03C"/>
            </w:r>
            <w:r w:rsidRPr="006431C4">
              <w:rPr>
                <w:rFonts w:cs="Arial"/>
                <w:szCs w:val="20"/>
              </w:rPr>
              <w:t xml:space="preserve"> 35%</w:t>
            </w:r>
          </w:p>
        </w:tc>
        <w:tc>
          <w:tcPr>
            <w:tcW w:w="2977" w:type="dxa"/>
            <w:tcBorders>
              <w:top w:val="single" w:sz="4" w:space="0" w:color="auto"/>
              <w:bottom w:val="single" w:sz="4" w:space="0" w:color="auto"/>
            </w:tcBorders>
          </w:tcPr>
          <w:p w14:paraId="396CB9C6" w14:textId="77777777" w:rsidR="00B677E1" w:rsidRPr="006431C4" w:rsidRDefault="00B677E1" w:rsidP="00BE2485">
            <w:pPr>
              <w:spacing w:line="240" w:lineRule="auto"/>
              <w:rPr>
                <w:rFonts w:cs="Arial"/>
                <w:szCs w:val="20"/>
              </w:rPr>
            </w:pPr>
            <w:r w:rsidRPr="006431C4">
              <w:rPr>
                <w:rFonts w:cs="Arial"/>
                <w:szCs w:val="20"/>
              </w:rPr>
              <w:t>- w miejscach suchych lub przejściowo zawilgoconych</w:t>
            </w:r>
          </w:p>
        </w:tc>
      </w:tr>
      <w:tr w:rsidR="00B677E1" w:rsidRPr="006431C4" w14:paraId="5774D882" w14:textId="77777777" w:rsidTr="00B677E1">
        <w:trPr>
          <w:trHeight w:val="1635"/>
        </w:trPr>
        <w:tc>
          <w:tcPr>
            <w:tcW w:w="1346" w:type="dxa"/>
            <w:vMerge/>
          </w:tcPr>
          <w:p w14:paraId="2AC8AF3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3324" w:type="dxa"/>
            <w:vMerge/>
          </w:tcPr>
          <w:p w14:paraId="6FF59B94"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2977" w:type="dxa"/>
            <w:tcBorders>
              <w:top w:val="single" w:sz="4" w:space="0" w:color="auto"/>
              <w:bottom w:val="single" w:sz="4" w:space="0" w:color="auto"/>
            </w:tcBorders>
          </w:tcPr>
          <w:p w14:paraId="3C5E601F" w14:textId="77777777" w:rsidR="00B677E1" w:rsidRPr="006431C4" w:rsidRDefault="00B677E1" w:rsidP="00BE2485">
            <w:pPr>
              <w:pBdr>
                <w:between w:val="single" w:sz="6" w:space="1" w:color="auto"/>
              </w:pBdr>
              <w:overflowPunct w:val="0"/>
              <w:autoSpaceDE w:val="0"/>
              <w:autoSpaceDN w:val="0"/>
              <w:adjustRightInd w:val="0"/>
              <w:spacing w:line="240" w:lineRule="auto"/>
              <w:textAlignment w:val="baseline"/>
              <w:rPr>
                <w:rFonts w:cs="Arial"/>
                <w:szCs w:val="20"/>
              </w:rPr>
            </w:pPr>
            <w:r w:rsidRPr="006431C4">
              <w:rPr>
                <w:rFonts w:cs="Arial"/>
                <w:szCs w:val="20"/>
              </w:rPr>
              <w:t>6. Gliny piaszczyste zwięzłe, gliny zwięzłe i gliny pylaste zwięzłe oraz inne grunty o granicy płynności w</w:t>
            </w:r>
            <w:r w:rsidRPr="006431C4">
              <w:rPr>
                <w:rFonts w:cs="Arial"/>
                <w:szCs w:val="20"/>
                <w:vertAlign w:val="subscript"/>
              </w:rPr>
              <w:t>L</w:t>
            </w:r>
            <w:r w:rsidRPr="006431C4">
              <w:rPr>
                <w:rFonts w:cs="Arial"/>
                <w:szCs w:val="20"/>
              </w:rPr>
              <w:t xml:space="preserve"> od 35 do 60%</w:t>
            </w:r>
          </w:p>
        </w:tc>
        <w:tc>
          <w:tcPr>
            <w:tcW w:w="2977" w:type="dxa"/>
            <w:tcBorders>
              <w:top w:val="single" w:sz="4" w:space="0" w:color="auto"/>
              <w:bottom w:val="single" w:sz="4" w:space="0" w:color="auto"/>
            </w:tcBorders>
          </w:tcPr>
          <w:p w14:paraId="0B9A59B6"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do nasypów nie wyższych niż 3 m: zabezpieczonych przed zawilgoceniem lub po ulepszeniu spoiwami</w:t>
            </w:r>
          </w:p>
          <w:p w14:paraId="3B70436E"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p>
          <w:p w14:paraId="5CD7A229"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p>
        </w:tc>
      </w:tr>
      <w:tr w:rsidR="00B677E1" w:rsidRPr="006431C4" w14:paraId="5647E255" w14:textId="77777777" w:rsidTr="00B677E1">
        <w:trPr>
          <w:trHeight w:val="1170"/>
        </w:trPr>
        <w:tc>
          <w:tcPr>
            <w:tcW w:w="1346" w:type="dxa"/>
            <w:vMerge/>
          </w:tcPr>
          <w:p w14:paraId="38A2D65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3324" w:type="dxa"/>
            <w:vMerge/>
          </w:tcPr>
          <w:p w14:paraId="5A0646CF"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2977" w:type="dxa"/>
            <w:tcBorders>
              <w:top w:val="single" w:sz="4" w:space="0" w:color="auto"/>
              <w:bottom w:val="single" w:sz="4" w:space="0" w:color="auto"/>
            </w:tcBorders>
          </w:tcPr>
          <w:p w14:paraId="3DD766AA"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7. Wysiewki kamienne gliniaste o zawartości frakcji iłowej ponad 2%</w:t>
            </w:r>
          </w:p>
        </w:tc>
        <w:tc>
          <w:tcPr>
            <w:tcW w:w="2977" w:type="dxa"/>
            <w:tcBorders>
              <w:top w:val="single" w:sz="4" w:space="0" w:color="auto"/>
              <w:bottom w:val="single" w:sz="4" w:space="0" w:color="auto"/>
            </w:tcBorders>
          </w:tcPr>
          <w:p w14:paraId="0B8A5E14"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gdy zwierciadło wody gruntowej znajduje się na głębokości większej od kapilarności biernej gruntu podłoża</w:t>
            </w:r>
          </w:p>
        </w:tc>
      </w:tr>
      <w:tr w:rsidR="00B677E1" w:rsidRPr="006431C4" w14:paraId="435098ED" w14:textId="77777777" w:rsidTr="00B677E1">
        <w:trPr>
          <w:trHeight w:val="1095"/>
        </w:trPr>
        <w:tc>
          <w:tcPr>
            <w:tcW w:w="1346" w:type="dxa"/>
            <w:vMerge/>
          </w:tcPr>
          <w:p w14:paraId="1EC2B22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3324" w:type="dxa"/>
            <w:vMerge/>
          </w:tcPr>
          <w:p w14:paraId="2E38F20F"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2977" w:type="dxa"/>
            <w:tcBorders>
              <w:top w:val="single" w:sz="4" w:space="0" w:color="auto"/>
              <w:bottom w:val="single" w:sz="4" w:space="0" w:color="auto"/>
            </w:tcBorders>
          </w:tcPr>
          <w:p w14:paraId="59AB0144"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8. Żużle wielkopiecowe i inne metalurgiczne z nowego studzenia (do 5 lat)</w:t>
            </w:r>
          </w:p>
        </w:tc>
        <w:tc>
          <w:tcPr>
            <w:tcW w:w="2977" w:type="dxa"/>
            <w:tcBorders>
              <w:top w:val="single" w:sz="4" w:space="0" w:color="auto"/>
              <w:bottom w:val="single" w:sz="4" w:space="0" w:color="auto"/>
            </w:tcBorders>
          </w:tcPr>
          <w:p w14:paraId="105C630D" w14:textId="77777777" w:rsidR="00B677E1" w:rsidRPr="006431C4" w:rsidRDefault="00B677E1" w:rsidP="00BE2485">
            <w:pPr>
              <w:pBdr>
                <w:between w:val="single" w:sz="6" w:space="1" w:color="auto"/>
              </w:pBdr>
              <w:overflowPunct w:val="0"/>
              <w:autoSpaceDE w:val="0"/>
              <w:autoSpaceDN w:val="0"/>
              <w:adjustRightInd w:val="0"/>
              <w:spacing w:line="240" w:lineRule="auto"/>
              <w:textAlignment w:val="baseline"/>
              <w:rPr>
                <w:rFonts w:cs="Arial"/>
                <w:szCs w:val="20"/>
              </w:rPr>
            </w:pPr>
            <w:r w:rsidRPr="006431C4">
              <w:rPr>
                <w:rFonts w:cs="Arial"/>
                <w:szCs w:val="20"/>
              </w:rPr>
              <w:t>- o ograniczonej podatności na rozpad - łączne straty masy do 5%</w:t>
            </w:r>
          </w:p>
        </w:tc>
      </w:tr>
      <w:tr w:rsidR="00B677E1" w:rsidRPr="006431C4" w14:paraId="0F56EB6D" w14:textId="77777777" w:rsidTr="00B677E1">
        <w:trPr>
          <w:trHeight w:val="600"/>
        </w:trPr>
        <w:tc>
          <w:tcPr>
            <w:tcW w:w="1346" w:type="dxa"/>
            <w:vMerge/>
          </w:tcPr>
          <w:p w14:paraId="0607A69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3324" w:type="dxa"/>
            <w:vMerge/>
          </w:tcPr>
          <w:p w14:paraId="6E8E0D2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2977" w:type="dxa"/>
            <w:tcBorders>
              <w:top w:val="single" w:sz="4" w:space="0" w:color="auto"/>
              <w:bottom w:val="single" w:sz="4" w:space="0" w:color="auto"/>
            </w:tcBorders>
          </w:tcPr>
          <w:p w14:paraId="5A9B4A0A" w14:textId="77777777" w:rsidR="00B677E1" w:rsidRPr="006431C4" w:rsidRDefault="00B677E1" w:rsidP="00BE2485">
            <w:pPr>
              <w:spacing w:line="240" w:lineRule="auto"/>
              <w:rPr>
                <w:rFonts w:cs="Arial"/>
                <w:szCs w:val="20"/>
              </w:rPr>
            </w:pPr>
            <w:r w:rsidRPr="006431C4">
              <w:rPr>
                <w:rFonts w:cs="Arial"/>
                <w:szCs w:val="20"/>
              </w:rPr>
              <w:t>9. Iłołupki przywęglowe nieprzepalone</w:t>
            </w:r>
          </w:p>
        </w:tc>
        <w:tc>
          <w:tcPr>
            <w:tcW w:w="2977" w:type="dxa"/>
            <w:tcBorders>
              <w:top w:val="single" w:sz="4" w:space="0" w:color="auto"/>
              <w:bottom w:val="single" w:sz="4" w:space="0" w:color="auto"/>
            </w:tcBorders>
          </w:tcPr>
          <w:p w14:paraId="12743661" w14:textId="77777777" w:rsidR="00B677E1" w:rsidRPr="006431C4" w:rsidRDefault="00B677E1" w:rsidP="00BE2485">
            <w:pPr>
              <w:pBdr>
                <w:between w:val="single" w:sz="6" w:space="1" w:color="auto"/>
              </w:pBdr>
              <w:overflowPunct w:val="0"/>
              <w:autoSpaceDE w:val="0"/>
              <w:autoSpaceDN w:val="0"/>
              <w:adjustRightInd w:val="0"/>
              <w:spacing w:line="240" w:lineRule="auto"/>
              <w:textAlignment w:val="baseline"/>
              <w:rPr>
                <w:rFonts w:cs="Arial"/>
                <w:szCs w:val="20"/>
              </w:rPr>
            </w:pPr>
            <w:r w:rsidRPr="006431C4">
              <w:rPr>
                <w:rFonts w:cs="Arial"/>
                <w:szCs w:val="20"/>
              </w:rPr>
              <w:t>- gdy wolne przestrzenie zostaną wypełnione materiałem drobnoziarnistym</w:t>
            </w:r>
          </w:p>
        </w:tc>
      </w:tr>
      <w:tr w:rsidR="00B677E1" w:rsidRPr="006431C4" w14:paraId="09D91C90" w14:textId="77777777" w:rsidTr="00B677E1">
        <w:trPr>
          <w:trHeight w:val="930"/>
        </w:trPr>
        <w:tc>
          <w:tcPr>
            <w:tcW w:w="1346" w:type="dxa"/>
            <w:vMerge/>
          </w:tcPr>
          <w:p w14:paraId="14927351"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3324" w:type="dxa"/>
            <w:vMerge/>
          </w:tcPr>
          <w:p w14:paraId="515E9F2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2977" w:type="dxa"/>
            <w:tcBorders>
              <w:top w:val="single" w:sz="4" w:space="0" w:color="auto"/>
            </w:tcBorders>
          </w:tcPr>
          <w:p w14:paraId="360D5664"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10. Popioły lotne i mieszaniny popiołowo-żużlowe</w:t>
            </w:r>
          </w:p>
        </w:tc>
        <w:tc>
          <w:tcPr>
            <w:tcW w:w="2977" w:type="dxa"/>
            <w:tcBorders>
              <w:top w:val="single" w:sz="4" w:space="0" w:color="auto"/>
            </w:tcBorders>
          </w:tcPr>
          <w:p w14:paraId="38B81A63" w14:textId="77777777" w:rsidR="00B677E1" w:rsidRPr="006431C4" w:rsidRDefault="00B677E1" w:rsidP="00BE2485">
            <w:pPr>
              <w:pBdr>
                <w:between w:val="single" w:sz="6" w:space="1" w:color="auto"/>
              </w:pBdr>
              <w:overflowPunct w:val="0"/>
              <w:autoSpaceDE w:val="0"/>
              <w:autoSpaceDN w:val="0"/>
              <w:adjustRightInd w:val="0"/>
              <w:spacing w:line="240" w:lineRule="auto"/>
              <w:textAlignment w:val="baseline"/>
              <w:rPr>
                <w:rFonts w:cs="Arial"/>
                <w:szCs w:val="20"/>
              </w:rPr>
            </w:pPr>
            <w:r w:rsidRPr="006431C4">
              <w:rPr>
                <w:rFonts w:cs="Arial"/>
                <w:szCs w:val="20"/>
              </w:rPr>
              <w:t>- gdy zalegają w miejscach suchych lub są izolowane od wody</w:t>
            </w:r>
          </w:p>
        </w:tc>
      </w:tr>
      <w:tr w:rsidR="00B677E1" w:rsidRPr="006431C4" w14:paraId="5296A2DA" w14:textId="77777777" w:rsidTr="00B677E1">
        <w:trPr>
          <w:trHeight w:val="4155"/>
        </w:trPr>
        <w:tc>
          <w:tcPr>
            <w:tcW w:w="1346" w:type="dxa"/>
            <w:vMerge w:val="restart"/>
            <w:vAlign w:val="center"/>
          </w:tcPr>
          <w:p w14:paraId="6929768F"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lastRenderedPageBreak/>
              <w:t>Na górne warstwy na-</w:t>
            </w:r>
          </w:p>
          <w:p w14:paraId="76B63944"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sypów w strefie przemar-</w:t>
            </w:r>
          </w:p>
          <w:p w14:paraId="47BFE66E"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zania**)</w:t>
            </w:r>
          </w:p>
        </w:tc>
        <w:tc>
          <w:tcPr>
            <w:tcW w:w="3324" w:type="dxa"/>
            <w:vMerge w:val="restart"/>
          </w:tcPr>
          <w:p w14:paraId="27F7E633"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1. Żwiry i pospółki</w:t>
            </w:r>
          </w:p>
          <w:p w14:paraId="6C46FD01"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2. Piaski grubo i średnio-</w:t>
            </w:r>
          </w:p>
          <w:p w14:paraId="7A64FE54"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ziarniste</w:t>
            </w:r>
          </w:p>
          <w:p w14:paraId="0F7DDD2C"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3. Iłołupki przywęglowe przepalone zawierające mniej niż 15% ziarn mniej-</w:t>
            </w:r>
          </w:p>
          <w:p w14:paraId="6A9A8FD0"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xml:space="preserve">szych od </w:t>
            </w:r>
            <w:smartTag w:uri="urn:schemas-microsoft-com:office:smarttags" w:element="metricconverter">
              <w:smartTagPr>
                <w:attr w:name="ProductID" w:val="0,075 mm"/>
              </w:smartTagPr>
              <w:r w:rsidRPr="006431C4">
                <w:rPr>
                  <w:rFonts w:cs="Arial"/>
                  <w:szCs w:val="20"/>
                </w:rPr>
                <w:t>0,075 mm</w:t>
              </w:r>
            </w:smartTag>
          </w:p>
          <w:p w14:paraId="468C0C8F"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4. Wysiewki kamienne o uziarnieniu odpowiadają-</w:t>
            </w:r>
          </w:p>
          <w:p w14:paraId="05CA964E"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cym pospółkom lub żwirom</w:t>
            </w:r>
          </w:p>
        </w:tc>
        <w:tc>
          <w:tcPr>
            <w:tcW w:w="2977" w:type="dxa"/>
            <w:tcBorders>
              <w:top w:val="nil"/>
              <w:bottom w:val="single" w:sz="4" w:space="0" w:color="auto"/>
            </w:tcBorders>
          </w:tcPr>
          <w:p w14:paraId="47F4E555"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1. Żwiry i pospółki gliniaste</w:t>
            </w:r>
          </w:p>
          <w:p w14:paraId="190ED429"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2. Piaski pylaste i gliniaste</w:t>
            </w:r>
          </w:p>
          <w:p w14:paraId="68EDDA0C"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3. Pyły piaszczyste i pyły</w:t>
            </w:r>
          </w:p>
          <w:p w14:paraId="07D2DE32"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4. Gliny o granicy płynności mniejszej niż 35%</w:t>
            </w:r>
          </w:p>
          <w:p w14:paraId="3FA2E3DA"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5. Mieszaniny popiołowo-żużlowe z węgla kamiennego</w:t>
            </w:r>
          </w:p>
          <w:p w14:paraId="670C0B2B"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xml:space="preserve">6. Wysiewki kamienne gliniaste o zawartości frakcji iłowej </w:t>
            </w:r>
            <w:r w:rsidRPr="006431C4">
              <w:rPr>
                <w:rFonts w:cs="Arial"/>
                <w:szCs w:val="20"/>
              </w:rPr>
              <w:sym w:font="Symbol" w:char="F03E"/>
            </w:r>
            <w:r w:rsidRPr="006431C4">
              <w:rPr>
                <w:rFonts w:cs="Arial"/>
                <w:szCs w:val="20"/>
              </w:rPr>
              <w:t>2%</w:t>
            </w:r>
          </w:p>
        </w:tc>
        <w:tc>
          <w:tcPr>
            <w:tcW w:w="2977" w:type="dxa"/>
            <w:tcBorders>
              <w:top w:val="nil"/>
              <w:bottom w:val="single" w:sz="4" w:space="0" w:color="auto"/>
            </w:tcBorders>
            <w:vAlign w:val="center"/>
          </w:tcPr>
          <w:p w14:paraId="54155CD1"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pod warunkiem ulepszenia tych gruntów spoiwami, takimi jak: cement, wapno, aktywne popioły itp.</w:t>
            </w:r>
          </w:p>
        </w:tc>
      </w:tr>
      <w:tr w:rsidR="00B677E1" w:rsidRPr="006431C4" w14:paraId="4BF68173" w14:textId="77777777" w:rsidTr="00B677E1">
        <w:trPr>
          <w:trHeight w:val="615"/>
        </w:trPr>
        <w:tc>
          <w:tcPr>
            <w:tcW w:w="1346" w:type="dxa"/>
            <w:vMerge/>
            <w:vAlign w:val="center"/>
          </w:tcPr>
          <w:p w14:paraId="77F278BB"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p>
        </w:tc>
        <w:tc>
          <w:tcPr>
            <w:tcW w:w="3324" w:type="dxa"/>
            <w:vMerge/>
          </w:tcPr>
          <w:p w14:paraId="2C0EA196"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p>
        </w:tc>
        <w:tc>
          <w:tcPr>
            <w:tcW w:w="2977" w:type="dxa"/>
            <w:tcBorders>
              <w:top w:val="single" w:sz="4" w:space="0" w:color="auto"/>
              <w:bottom w:val="single" w:sz="4" w:space="0" w:color="auto"/>
            </w:tcBorders>
          </w:tcPr>
          <w:p w14:paraId="4859B083"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7. Żużle wielkopiecowe i inne metalurgiczne</w:t>
            </w:r>
          </w:p>
        </w:tc>
        <w:tc>
          <w:tcPr>
            <w:tcW w:w="2977" w:type="dxa"/>
            <w:tcBorders>
              <w:top w:val="single" w:sz="4" w:space="0" w:color="auto"/>
              <w:bottom w:val="single" w:sz="4" w:space="0" w:color="auto"/>
            </w:tcBorders>
          </w:tcPr>
          <w:p w14:paraId="33D57432"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drobnoziarniste i  nierozpado-</w:t>
            </w:r>
          </w:p>
          <w:p w14:paraId="1ED77D81"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we: straty masy do 1%</w:t>
            </w:r>
          </w:p>
        </w:tc>
      </w:tr>
      <w:tr w:rsidR="00B677E1" w:rsidRPr="006431C4" w14:paraId="19C2F76F" w14:textId="77777777" w:rsidTr="00B677E1">
        <w:trPr>
          <w:trHeight w:val="285"/>
        </w:trPr>
        <w:tc>
          <w:tcPr>
            <w:tcW w:w="1346" w:type="dxa"/>
            <w:vMerge/>
            <w:vAlign w:val="center"/>
          </w:tcPr>
          <w:p w14:paraId="4AD0EC79"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p>
        </w:tc>
        <w:tc>
          <w:tcPr>
            <w:tcW w:w="3324" w:type="dxa"/>
            <w:vMerge/>
          </w:tcPr>
          <w:p w14:paraId="4C0CB3AD"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p>
        </w:tc>
        <w:tc>
          <w:tcPr>
            <w:tcW w:w="2977" w:type="dxa"/>
            <w:tcBorders>
              <w:top w:val="single" w:sz="4" w:space="0" w:color="auto"/>
            </w:tcBorders>
          </w:tcPr>
          <w:p w14:paraId="1E55C5E6"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8. Piaski drobnoziarniste</w:t>
            </w:r>
          </w:p>
        </w:tc>
        <w:tc>
          <w:tcPr>
            <w:tcW w:w="2977" w:type="dxa"/>
            <w:tcBorders>
              <w:top w:val="single" w:sz="4" w:space="0" w:color="auto"/>
            </w:tcBorders>
          </w:tcPr>
          <w:p w14:paraId="5B95B80F"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o wskaźniku nośności w</w:t>
            </w:r>
            <w:r w:rsidRPr="006431C4">
              <w:rPr>
                <w:rFonts w:cs="Arial"/>
                <w:szCs w:val="20"/>
                <w:vertAlign w:val="subscript"/>
              </w:rPr>
              <w:t>noś</w:t>
            </w:r>
            <w:r w:rsidRPr="006431C4">
              <w:rPr>
                <w:rFonts w:cs="Arial"/>
                <w:szCs w:val="20"/>
              </w:rPr>
              <w:sym w:font="Symbol" w:char="F0B3"/>
            </w:r>
            <w:r w:rsidRPr="006431C4">
              <w:rPr>
                <w:rFonts w:cs="Arial"/>
                <w:szCs w:val="20"/>
              </w:rPr>
              <w:t>10</w:t>
            </w:r>
          </w:p>
        </w:tc>
      </w:tr>
      <w:tr w:rsidR="00B677E1" w:rsidRPr="006431C4" w14:paraId="5B151CD7" w14:textId="77777777" w:rsidTr="00B677E1">
        <w:trPr>
          <w:trHeight w:val="873"/>
        </w:trPr>
        <w:tc>
          <w:tcPr>
            <w:tcW w:w="1346" w:type="dxa"/>
          </w:tcPr>
          <w:p w14:paraId="679B2AF3"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W wykopach i miejscach zerowych do głębokości przemarza-nia</w:t>
            </w:r>
          </w:p>
        </w:tc>
        <w:tc>
          <w:tcPr>
            <w:tcW w:w="3324" w:type="dxa"/>
            <w:vAlign w:val="center"/>
          </w:tcPr>
          <w:p w14:paraId="46CB8D02"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Grunty niewysadzinowe*)</w:t>
            </w:r>
          </w:p>
        </w:tc>
        <w:tc>
          <w:tcPr>
            <w:tcW w:w="2977" w:type="dxa"/>
            <w:vAlign w:val="center"/>
          </w:tcPr>
          <w:p w14:paraId="09ED72AD"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Grunty wątpliwe i wysadzinowe*)</w:t>
            </w:r>
          </w:p>
        </w:tc>
        <w:tc>
          <w:tcPr>
            <w:tcW w:w="2977" w:type="dxa"/>
            <w:vAlign w:val="center"/>
          </w:tcPr>
          <w:p w14:paraId="75550E5E"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gdy są ulepszane spoiwami (cementem, wapnem, aktywnymi popiołami itp.)</w:t>
            </w:r>
          </w:p>
        </w:tc>
      </w:tr>
    </w:tbl>
    <w:p w14:paraId="5400452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Rodzaje gruntów pod względem ich wysadzinowości podano w tabeli 2.</w:t>
      </w:r>
    </w:p>
    <w:p w14:paraId="2969322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Powinny to być grunty niewysadzinowe wg tabeli 2. Obliczeniową głębokość przemarzania podłoża nawierzchni należy określić jako głębokość przemarzania Hz na danym terenie, podaną w Katalogu typowych konstrukcji nawierzchni podatnych i półsztywnych (KTKNPiP) [22] oraz Katalogu typowych nawierzchni sztywnych (KTNS) [23], zredukowaną odpowiednio do występujących warunków gruntowo-wodnych (grupy nośności podłoża) oraz projektowej kategorii ruchu. W przypadku stosowania warstw ochronnych z materiałów o małym współczynniku przewodności cieplnej uwzględnia się zmniejszenie głębokości przemarzania Hz na podstawie obliczeń, przy czym zmniejszona wartość, wynikająca z zastosowania warstw ochronnych, powinna być równoważna głębokości przemarzania Hz podanej w KTKNPiP [22] oraz KTNS [23].</w:t>
      </w:r>
    </w:p>
    <w:p w14:paraId="43B68F6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p w14:paraId="4DA794C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p w14:paraId="310402B1" w14:textId="19D48EE8" w:rsidR="00B677E1" w:rsidRPr="006431C4" w:rsidRDefault="00B677E1" w:rsidP="00BE2485">
      <w:pPr>
        <w:overflowPunct w:val="0"/>
        <w:autoSpaceDE w:val="0"/>
        <w:autoSpaceDN w:val="0"/>
        <w:adjustRightInd w:val="0"/>
        <w:spacing w:line="240" w:lineRule="auto"/>
        <w:jc w:val="both"/>
        <w:textAlignment w:val="baseline"/>
        <w:rPr>
          <w:rFonts w:cs="Arial"/>
          <w:bCs/>
          <w:szCs w:val="20"/>
        </w:rPr>
      </w:pPr>
      <w:bookmarkStart w:id="87" w:name="_Toc24577611"/>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2</w:t>
      </w:r>
      <w:r w:rsidRPr="006431C4">
        <w:rPr>
          <w:rFonts w:cs="Arial"/>
          <w:bCs/>
          <w:szCs w:val="20"/>
        </w:rPr>
        <w:fldChar w:fldCharType="end"/>
      </w:r>
      <w:r w:rsidRPr="006431C4">
        <w:rPr>
          <w:rFonts w:cs="Arial"/>
          <w:bCs/>
          <w:szCs w:val="20"/>
        </w:rPr>
        <w:t>. Podział gruntów pod względem wysadzinowości wg PN-S-02205 [6]</w:t>
      </w:r>
      <w:bookmarkEnd w:id="87"/>
    </w:p>
    <w:tbl>
      <w:tblPr>
        <w:tblW w:w="10436" w:type="dxa"/>
        <w:tblLayout w:type="fixed"/>
        <w:tblCellMar>
          <w:left w:w="70" w:type="dxa"/>
          <w:right w:w="70" w:type="dxa"/>
        </w:tblCellMar>
        <w:tblLook w:val="0000" w:firstRow="0" w:lastRow="0" w:firstColumn="0" w:lastColumn="0" w:noHBand="0" w:noVBand="0"/>
      </w:tblPr>
      <w:tblGrid>
        <w:gridCol w:w="496"/>
        <w:gridCol w:w="2615"/>
        <w:gridCol w:w="840"/>
        <w:gridCol w:w="1800"/>
        <w:gridCol w:w="1920"/>
        <w:gridCol w:w="2765"/>
      </w:tblGrid>
      <w:tr w:rsidR="00B677E1" w:rsidRPr="006431C4" w14:paraId="6A1F29E7" w14:textId="77777777" w:rsidTr="00B677E1">
        <w:tc>
          <w:tcPr>
            <w:tcW w:w="496" w:type="dxa"/>
            <w:vMerge w:val="restart"/>
            <w:tcBorders>
              <w:top w:val="single" w:sz="6" w:space="0" w:color="auto"/>
              <w:left w:val="single" w:sz="6" w:space="0" w:color="auto"/>
            </w:tcBorders>
            <w:vAlign w:val="center"/>
          </w:tcPr>
          <w:p w14:paraId="01E81D1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2615" w:type="dxa"/>
            <w:vMerge w:val="restart"/>
            <w:tcBorders>
              <w:top w:val="single" w:sz="6" w:space="0" w:color="auto"/>
              <w:left w:val="single" w:sz="6" w:space="0" w:color="auto"/>
            </w:tcBorders>
            <w:vAlign w:val="center"/>
          </w:tcPr>
          <w:p w14:paraId="40AFC3B5"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Wyszczególnienie</w:t>
            </w:r>
          </w:p>
          <w:p w14:paraId="31F3C8E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w:t>
            </w:r>
          </w:p>
        </w:tc>
        <w:tc>
          <w:tcPr>
            <w:tcW w:w="840" w:type="dxa"/>
            <w:vMerge w:val="restart"/>
            <w:tcBorders>
              <w:top w:val="single" w:sz="6" w:space="0" w:color="auto"/>
              <w:left w:val="nil"/>
            </w:tcBorders>
            <w:vAlign w:val="center"/>
          </w:tcPr>
          <w:p w14:paraId="706E2D36"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Jed-</w:t>
            </w:r>
          </w:p>
          <w:p w14:paraId="4DC969C7"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nostki</w:t>
            </w:r>
          </w:p>
        </w:tc>
        <w:tc>
          <w:tcPr>
            <w:tcW w:w="6485" w:type="dxa"/>
            <w:gridSpan w:val="3"/>
            <w:tcBorders>
              <w:top w:val="single" w:sz="6" w:space="0" w:color="auto"/>
              <w:left w:val="single" w:sz="6" w:space="0" w:color="auto"/>
              <w:bottom w:val="single" w:sz="6" w:space="0" w:color="auto"/>
              <w:right w:val="single" w:sz="6" w:space="0" w:color="auto"/>
            </w:tcBorders>
            <w:vAlign w:val="center"/>
          </w:tcPr>
          <w:p w14:paraId="42EBC63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Grupy gruntów</w:t>
            </w:r>
          </w:p>
        </w:tc>
      </w:tr>
      <w:tr w:rsidR="00B677E1" w:rsidRPr="006431C4" w14:paraId="6DF13C86" w14:textId="77777777" w:rsidTr="00B677E1">
        <w:tc>
          <w:tcPr>
            <w:tcW w:w="496" w:type="dxa"/>
            <w:vMerge/>
            <w:tcBorders>
              <w:left w:val="single" w:sz="6" w:space="0" w:color="auto"/>
              <w:bottom w:val="single" w:sz="4" w:space="0" w:color="auto"/>
            </w:tcBorders>
            <w:vAlign w:val="center"/>
          </w:tcPr>
          <w:p w14:paraId="48977688"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p>
        </w:tc>
        <w:tc>
          <w:tcPr>
            <w:tcW w:w="2615" w:type="dxa"/>
            <w:vMerge/>
            <w:tcBorders>
              <w:left w:val="single" w:sz="6" w:space="0" w:color="auto"/>
              <w:bottom w:val="single" w:sz="4" w:space="0" w:color="auto"/>
            </w:tcBorders>
            <w:vAlign w:val="center"/>
          </w:tcPr>
          <w:p w14:paraId="75AB23A8"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p>
        </w:tc>
        <w:tc>
          <w:tcPr>
            <w:tcW w:w="840" w:type="dxa"/>
            <w:vMerge/>
            <w:tcBorders>
              <w:left w:val="nil"/>
              <w:bottom w:val="single" w:sz="4" w:space="0" w:color="auto"/>
            </w:tcBorders>
            <w:vAlign w:val="center"/>
          </w:tcPr>
          <w:p w14:paraId="4183E595"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p>
        </w:tc>
        <w:tc>
          <w:tcPr>
            <w:tcW w:w="1800" w:type="dxa"/>
            <w:tcBorders>
              <w:top w:val="single" w:sz="6" w:space="0" w:color="auto"/>
              <w:left w:val="single" w:sz="6" w:space="0" w:color="auto"/>
              <w:bottom w:val="single" w:sz="4" w:space="0" w:color="auto"/>
              <w:right w:val="single" w:sz="6" w:space="0" w:color="auto"/>
            </w:tcBorders>
            <w:vAlign w:val="center"/>
          </w:tcPr>
          <w:p w14:paraId="7C0B6136"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niewysadzinowe</w:t>
            </w:r>
          </w:p>
        </w:tc>
        <w:tc>
          <w:tcPr>
            <w:tcW w:w="1920" w:type="dxa"/>
            <w:tcBorders>
              <w:top w:val="single" w:sz="6" w:space="0" w:color="auto"/>
              <w:left w:val="single" w:sz="6" w:space="0" w:color="auto"/>
              <w:bottom w:val="single" w:sz="4" w:space="0" w:color="auto"/>
              <w:right w:val="single" w:sz="6" w:space="0" w:color="auto"/>
            </w:tcBorders>
            <w:vAlign w:val="center"/>
          </w:tcPr>
          <w:p w14:paraId="5B9D5DE2"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wątpliwe</w:t>
            </w:r>
          </w:p>
        </w:tc>
        <w:tc>
          <w:tcPr>
            <w:tcW w:w="2765" w:type="dxa"/>
            <w:tcBorders>
              <w:top w:val="single" w:sz="6" w:space="0" w:color="auto"/>
              <w:left w:val="single" w:sz="6" w:space="0" w:color="auto"/>
              <w:bottom w:val="single" w:sz="4" w:space="0" w:color="auto"/>
              <w:right w:val="single" w:sz="6" w:space="0" w:color="auto"/>
            </w:tcBorders>
            <w:vAlign w:val="center"/>
          </w:tcPr>
          <w:p w14:paraId="3F279E50"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wysadzinowe</w:t>
            </w:r>
          </w:p>
        </w:tc>
      </w:tr>
      <w:tr w:rsidR="00B677E1" w:rsidRPr="006431C4" w14:paraId="09DBF0E9" w14:textId="77777777" w:rsidTr="00B677E1">
        <w:tc>
          <w:tcPr>
            <w:tcW w:w="496" w:type="dxa"/>
            <w:tcBorders>
              <w:top w:val="single" w:sz="6" w:space="0" w:color="auto"/>
              <w:left w:val="single" w:sz="6" w:space="0" w:color="auto"/>
              <w:bottom w:val="single" w:sz="6" w:space="0" w:color="auto"/>
              <w:right w:val="single" w:sz="6" w:space="0" w:color="auto"/>
            </w:tcBorders>
          </w:tcPr>
          <w:p w14:paraId="5AABDC3C"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2615" w:type="dxa"/>
            <w:tcBorders>
              <w:top w:val="single" w:sz="6" w:space="0" w:color="auto"/>
              <w:left w:val="single" w:sz="6" w:space="0" w:color="auto"/>
              <w:bottom w:val="single" w:sz="6" w:space="0" w:color="auto"/>
              <w:right w:val="single" w:sz="6" w:space="0" w:color="auto"/>
            </w:tcBorders>
          </w:tcPr>
          <w:p w14:paraId="0E2CD7DF" w14:textId="77777777" w:rsidR="00B677E1" w:rsidRPr="006431C4" w:rsidRDefault="00B677E1"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Zawartość cząstek badana wg PN-EN ISO 17892-4 [10] dla gruntów i wg PN-EN 933-1 [13] dla mieszanek kruszyw </w:t>
            </w:r>
          </w:p>
          <w:p w14:paraId="696232F7" w14:textId="77777777" w:rsidR="00B677E1" w:rsidRPr="006431C4" w:rsidRDefault="00B677E1"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sym w:font="Symbol" w:char="F0A3"/>
            </w:r>
            <w:r w:rsidRPr="006431C4">
              <w:rPr>
                <w:rFonts w:cs="Arial"/>
                <w:szCs w:val="20"/>
              </w:rPr>
              <w:t xml:space="preserve"> </w:t>
            </w:r>
            <w:smartTag w:uri="urn:schemas-microsoft-com:office:smarttags" w:element="metricconverter">
              <w:smartTagPr>
                <w:attr w:name="ProductID" w:val="0,075 mm"/>
              </w:smartTagPr>
              <w:r w:rsidRPr="006431C4">
                <w:rPr>
                  <w:rFonts w:cs="Arial"/>
                  <w:szCs w:val="20"/>
                </w:rPr>
                <w:t>0,075 mm</w:t>
              </w:r>
            </w:smartTag>
          </w:p>
          <w:p w14:paraId="774A2D55" w14:textId="77777777" w:rsidR="00B677E1" w:rsidRPr="006431C4" w:rsidRDefault="00B677E1"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sym w:font="Symbol" w:char="F0A3"/>
            </w:r>
            <w:r w:rsidRPr="006431C4">
              <w:rPr>
                <w:rFonts w:cs="Arial"/>
                <w:szCs w:val="20"/>
              </w:rPr>
              <w:t xml:space="preserve"> 0,02   mm</w:t>
            </w:r>
          </w:p>
        </w:tc>
        <w:tc>
          <w:tcPr>
            <w:tcW w:w="840" w:type="dxa"/>
            <w:tcBorders>
              <w:top w:val="single" w:sz="6" w:space="0" w:color="auto"/>
              <w:left w:val="single" w:sz="6" w:space="0" w:color="auto"/>
              <w:bottom w:val="single" w:sz="6" w:space="0" w:color="auto"/>
              <w:right w:val="single" w:sz="6" w:space="0" w:color="auto"/>
            </w:tcBorders>
          </w:tcPr>
          <w:p w14:paraId="73B9FC87"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4119C18D"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14231777"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2147F085"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5FE2F24F"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800" w:type="dxa"/>
            <w:tcBorders>
              <w:top w:val="single" w:sz="6" w:space="0" w:color="auto"/>
              <w:left w:val="single" w:sz="6" w:space="0" w:color="auto"/>
              <w:bottom w:val="single" w:sz="6" w:space="0" w:color="auto"/>
              <w:right w:val="single" w:sz="6" w:space="0" w:color="auto"/>
            </w:tcBorders>
          </w:tcPr>
          <w:p w14:paraId="2076B24B"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04A2A8D0"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6F32E490"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0E776093"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14C0AF69"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3F1617FA"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4DA29A93"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7210E18D"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3C"/>
            </w:r>
            <w:r w:rsidRPr="006431C4">
              <w:rPr>
                <w:rFonts w:cs="Arial"/>
                <w:szCs w:val="20"/>
              </w:rPr>
              <w:t xml:space="preserve"> 15</w:t>
            </w:r>
          </w:p>
          <w:p w14:paraId="0CA9CA7F"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3C"/>
            </w:r>
            <w:r w:rsidRPr="006431C4">
              <w:rPr>
                <w:rFonts w:cs="Arial"/>
                <w:szCs w:val="20"/>
              </w:rPr>
              <w:t xml:space="preserve"> 3</w:t>
            </w:r>
          </w:p>
        </w:tc>
        <w:tc>
          <w:tcPr>
            <w:tcW w:w="1920" w:type="dxa"/>
            <w:tcBorders>
              <w:top w:val="single" w:sz="6" w:space="0" w:color="auto"/>
              <w:left w:val="single" w:sz="6" w:space="0" w:color="auto"/>
              <w:bottom w:val="single" w:sz="6" w:space="0" w:color="auto"/>
              <w:right w:val="single" w:sz="6" w:space="0" w:color="auto"/>
            </w:tcBorders>
          </w:tcPr>
          <w:p w14:paraId="68CA2FBE"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2F968269"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3C15CFAF"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2BCD48BD"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7D6C3E2B"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3C99EAB6"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77CE21F4"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39F985AD"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t>od 15 do 30</w:t>
            </w:r>
          </w:p>
          <w:p w14:paraId="348A1763"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t>od 3 do 10</w:t>
            </w:r>
          </w:p>
        </w:tc>
        <w:tc>
          <w:tcPr>
            <w:tcW w:w="2765" w:type="dxa"/>
            <w:tcBorders>
              <w:top w:val="single" w:sz="6" w:space="0" w:color="auto"/>
              <w:left w:val="single" w:sz="6" w:space="0" w:color="auto"/>
              <w:bottom w:val="single" w:sz="6" w:space="0" w:color="auto"/>
              <w:right w:val="single" w:sz="6" w:space="0" w:color="auto"/>
            </w:tcBorders>
          </w:tcPr>
          <w:p w14:paraId="30B00D21"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6CF46E7F"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783FF139"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481617E9"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12A01765"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22AE37B0"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109B250B"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2AE8E320"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3E"/>
            </w:r>
            <w:r w:rsidRPr="006431C4">
              <w:rPr>
                <w:rFonts w:cs="Arial"/>
                <w:szCs w:val="20"/>
              </w:rPr>
              <w:t xml:space="preserve"> 30</w:t>
            </w:r>
          </w:p>
          <w:p w14:paraId="435E0B15"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3E"/>
            </w:r>
            <w:r w:rsidRPr="006431C4">
              <w:rPr>
                <w:rFonts w:cs="Arial"/>
                <w:szCs w:val="20"/>
              </w:rPr>
              <w:t xml:space="preserve"> 10</w:t>
            </w:r>
          </w:p>
        </w:tc>
      </w:tr>
      <w:tr w:rsidR="00B677E1" w:rsidRPr="006431C4" w14:paraId="7ABC40ED" w14:textId="77777777" w:rsidTr="00B677E1">
        <w:tc>
          <w:tcPr>
            <w:tcW w:w="496" w:type="dxa"/>
            <w:tcBorders>
              <w:top w:val="single" w:sz="6" w:space="0" w:color="auto"/>
              <w:left w:val="single" w:sz="6" w:space="0" w:color="auto"/>
              <w:bottom w:val="single" w:sz="6" w:space="0" w:color="auto"/>
              <w:right w:val="single" w:sz="6" w:space="0" w:color="auto"/>
            </w:tcBorders>
          </w:tcPr>
          <w:p w14:paraId="55B5CAAC"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2615" w:type="dxa"/>
            <w:tcBorders>
              <w:top w:val="single" w:sz="6" w:space="0" w:color="auto"/>
              <w:left w:val="single" w:sz="6" w:space="0" w:color="auto"/>
              <w:bottom w:val="single" w:sz="6" w:space="0" w:color="auto"/>
              <w:right w:val="single" w:sz="6" w:space="0" w:color="auto"/>
            </w:tcBorders>
          </w:tcPr>
          <w:p w14:paraId="3A2D12E2" w14:textId="77777777" w:rsidR="00B677E1" w:rsidRPr="006431C4" w:rsidRDefault="00B677E1"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Wskaźnik piaskowy WP wg BN-64/8931-01 [9] dla gruntów i wg PN-EN 933-8 [14] dla mieszanek kruszyw </w:t>
            </w:r>
          </w:p>
        </w:tc>
        <w:tc>
          <w:tcPr>
            <w:tcW w:w="840" w:type="dxa"/>
            <w:tcBorders>
              <w:top w:val="single" w:sz="6" w:space="0" w:color="auto"/>
              <w:left w:val="single" w:sz="6" w:space="0" w:color="auto"/>
              <w:bottom w:val="single" w:sz="6" w:space="0" w:color="auto"/>
              <w:right w:val="single" w:sz="6" w:space="0" w:color="auto"/>
            </w:tcBorders>
          </w:tcPr>
          <w:p w14:paraId="6E3A3F3E"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tc>
        <w:tc>
          <w:tcPr>
            <w:tcW w:w="1800" w:type="dxa"/>
            <w:tcBorders>
              <w:top w:val="single" w:sz="6" w:space="0" w:color="auto"/>
              <w:left w:val="single" w:sz="6" w:space="0" w:color="auto"/>
              <w:bottom w:val="single" w:sz="6" w:space="0" w:color="auto"/>
              <w:right w:val="single" w:sz="6" w:space="0" w:color="auto"/>
            </w:tcBorders>
          </w:tcPr>
          <w:p w14:paraId="4B9910E1"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4A295C2F"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2FC245C0"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3E"/>
            </w:r>
            <w:r w:rsidRPr="006431C4">
              <w:rPr>
                <w:rFonts w:cs="Arial"/>
                <w:szCs w:val="20"/>
              </w:rPr>
              <w:t xml:space="preserve"> 35</w:t>
            </w:r>
          </w:p>
        </w:tc>
        <w:tc>
          <w:tcPr>
            <w:tcW w:w="1920" w:type="dxa"/>
            <w:tcBorders>
              <w:top w:val="single" w:sz="6" w:space="0" w:color="auto"/>
              <w:left w:val="single" w:sz="6" w:space="0" w:color="auto"/>
              <w:bottom w:val="single" w:sz="6" w:space="0" w:color="auto"/>
              <w:right w:val="single" w:sz="6" w:space="0" w:color="auto"/>
            </w:tcBorders>
          </w:tcPr>
          <w:p w14:paraId="4AFAA5F3"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0CBD34E5"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51A2F1F5"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t>od 25 do 35</w:t>
            </w:r>
          </w:p>
        </w:tc>
        <w:tc>
          <w:tcPr>
            <w:tcW w:w="2765" w:type="dxa"/>
            <w:tcBorders>
              <w:top w:val="single" w:sz="6" w:space="0" w:color="auto"/>
              <w:left w:val="single" w:sz="6" w:space="0" w:color="auto"/>
              <w:bottom w:val="single" w:sz="6" w:space="0" w:color="auto"/>
              <w:right w:val="single" w:sz="6" w:space="0" w:color="auto"/>
            </w:tcBorders>
          </w:tcPr>
          <w:p w14:paraId="732929C1"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0D33C495"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p w14:paraId="16093829"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3C"/>
            </w:r>
            <w:r w:rsidRPr="006431C4">
              <w:rPr>
                <w:rFonts w:cs="Arial"/>
                <w:szCs w:val="20"/>
              </w:rPr>
              <w:t xml:space="preserve"> 25</w:t>
            </w:r>
          </w:p>
        </w:tc>
      </w:tr>
      <w:tr w:rsidR="00B677E1" w:rsidRPr="006431C4" w14:paraId="09655CB2" w14:textId="77777777" w:rsidTr="00B677E1">
        <w:tc>
          <w:tcPr>
            <w:tcW w:w="496" w:type="dxa"/>
            <w:tcBorders>
              <w:top w:val="single" w:sz="6" w:space="0" w:color="auto"/>
              <w:left w:val="single" w:sz="6" w:space="0" w:color="auto"/>
              <w:bottom w:val="single" w:sz="6" w:space="0" w:color="auto"/>
              <w:right w:val="single" w:sz="6" w:space="0" w:color="auto"/>
            </w:tcBorders>
          </w:tcPr>
          <w:p w14:paraId="2313C19B" w14:textId="77777777" w:rsidR="00B677E1" w:rsidRPr="006431C4" w:rsidRDefault="00B677E1" w:rsidP="00BE2485">
            <w:pPr>
              <w:numPr>
                <w:ilvl w:val="12"/>
                <w:numId w:val="0"/>
              </w:numPr>
              <w:overflowPunct w:val="0"/>
              <w:autoSpaceDE w:val="0"/>
              <w:autoSpaceDN w:val="0"/>
              <w:adjustRightInd w:val="0"/>
              <w:spacing w:line="240" w:lineRule="auto"/>
              <w:jc w:val="center"/>
              <w:textAlignment w:val="baseline"/>
              <w:rPr>
                <w:rFonts w:cs="Arial"/>
                <w:szCs w:val="20"/>
              </w:rPr>
            </w:pPr>
          </w:p>
        </w:tc>
        <w:tc>
          <w:tcPr>
            <w:tcW w:w="2615" w:type="dxa"/>
            <w:tcBorders>
              <w:top w:val="single" w:sz="6" w:space="0" w:color="auto"/>
              <w:left w:val="single" w:sz="6" w:space="0" w:color="auto"/>
              <w:bottom w:val="single" w:sz="6" w:space="0" w:color="auto"/>
              <w:right w:val="single" w:sz="6" w:space="0" w:color="auto"/>
            </w:tcBorders>
          </w:tcPr>
          <w:p w14:paraId="47F7146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Informacja pomocnicza: rodzaj gruntu wg PN-88/B-04481[7]</w:t>
            </w:r>
          </w:p>
        </w:tc>
        <w:tc>
          <w:tcPr>
            <w:tcW w:w="840" w:type="dxa"/>
            <w:tcBorders>
              <w:top w:val="single" w:sz="6" w:space="0" w:color="auto"/>
              <w:left w:val="single" w:sz="6" w:space="0" w:color="auto"/>
              <w:bottom w:val="single" w:sz="6" w:space="0" w:color="auto"/>
              <w:right w:val="single" w:sz="6" w:space="0" w:color="auto"/>
            </w:tcBorders>
          </w:tcPr>
          <w:p w14:paraId="6CD58223"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p>
        </w:tc>
        <w:tc>
          <w:tcPr>
            <w:tcW w:w="1800" w:type="dxa"/>
            <w:tcBorders>
              <w:top w:val="single" w:sz="6" w:space="0" w:color="auto"/>
              <w:left w:val="single" w:sz="6" w:space="0" w:color="auto"/>
              <w:bottom w:val="single" w:sz="6" w:space="0" w:color="auto"/>
              <w:right w:val="single" w:sz="6" w:space="0" w:color="auto"/>
            </w:tcBorders>
          </w:tcPr>
          <w:p w14:paraId="55EE5BB2"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rumosz niegliniasty</w:t>
            </w:r>
          </w:p>
          <w:p w14:paraId="3440938E"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żwir</w:t>
            </w:r>
          </w:p>
          <w:p w14:paraId="2C698AE6"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pospółka</w:t>
            </w:r>
          </w:p>
          <w:p w14:paraId="68026B00"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piasek gruby</w:t>
            </w:r>
          </w:p>
          <w:p w14:paraId="3FCFC9D9"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piasek średni</w:t>
            </w:r>
          </w:p>
          <w:p w14:paraId="217F646C"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piasek drobny</w:t>
            </w:r>
          </w:p>
          <w:p w14:paraId="2F3C4DDD" w14:textId="77777777" w:rsidR="00B677E1" w:rsidRPr="006431C4" w:rsidRDefault="00B677E1" w:rsidP="00BE2485">
            <w:pPr>
              <w:overflowPunct w:val="0"/>
              <w:autoSpaceDE w:val="0"/>
              <w:autoSpaceDN w:val="0"/>
              <w:adjustRightInd w:val="0"/>
              <w:spacing w:line="240" w:lineRule="auto"/>
              <w:ind w:left="283"/>
              <w:jc w:val="both"/>
              <w:textAlignment w:val="baseline"/>
              <w:rPr>
                <w:rFonts w:cs="Arial"/>
                <w:szCs w:val="20"/>
              </w:rPr>
            </w:pPr>
          </w:p>
        </w:tc>
        <w:tc>
          <w:tcPr>
            <w:tcW w:w="1920" w:type="dxa"/>
            <w:tcBorders>
              <w:top w:val="single" w:sz="6" w:space="0" w:color="auto"/>
              <w:left w:val="single" w:sz="6" w:space="0" w:color="auto"/>
              <w:bottom w:val="single" w:sz="6" w:space="0" w:color="auto"/>
              <w:right w:val="single" w:sz="6" w:space="0" w:color="auto"/>
            </w:tcBorders>
          </w:tcPr>
          <w:p w14:paraId="3783EDD4"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piasek pylasty</w:t>
            </w:r>
          </w:p>
          <w:p w14:paraId="5B47AFFC"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zwietrzelina gliniasta</w:t>
            </w:r>
          </w:p>
          <w:p w14:paraId="68374BCF"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rumosz gliniasty</w:t>
            </w:r>
          </w:p>
          <w:p w14:paraId="2C64284E"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żwir gliniasty</w:t>
            </w:r>
          </w:p>
          <w:p w14:paraId="196B0597"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pospółka gliniasta</w:t>
            </w:r>
          </w:p>
        </w:tc>
        <w:tc>
          <w:tcPr>
            <w:tcW w:w="2765" w:type="dxa"/>
            <w:tcBorders>
              <w:top w:val="single" w:sz="6" w:space="0" w:color="auto"/>
              <w:left w:val="single" w:sz="6" w:space="0" w:color="auto"/>
              <w:bottom w:val="single" w:sz="6" w:space="0" w:color="auto"/>
              <w:right w:val="single" w:sz="6" w:space="0" w:color="auto"/>
            </w:tcBorders>
          </w:tcPr>
          <w:p w14:paraId="39C22FBF" w14:textId="77777777" w:rsidR="00B677E1" w:rsidRPr="006431C4" w:rsidRDefault="00B677E1" w:rsidP="00BE2485">
            <w:pPr>
              <w:numPr>
                <w:ilvl w:val="12"/>
                <w:numId w:val="0"/>
              </w:numPr>
              <w:overflowPunct w:val="0"/>
              <w:autoSpaceDE w:val="0"/>
              <w:autoSpaceDN w:val="0"/>
              <w:adjustRightInd w:val="0"/>
              <w:spacing w:line="240" w:lineRule="auto"/>
              <w:textAlignment w:val="baseline"/>
              <w:rPr>
                <w:rFonts w:cs="Arial"/>
                <w:szCs w:val="20"/>
              </w:rPr>
            </w:pPr>
            <w:r w:rsidRPr="006431C4">
              <w:rPr>
                <w:rFonts w:cs="Arial"/>
                <w:b/>
                <w:szCs w:val="20"/>
              </w:rPr>
              <w:t>mało wysadzinowe</w:t>
            </w:r>
          </w:p>
          <w:p w14:paraId="69AE8D92"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glina piasz-    czysta zwięzła, glina zwięzła, glina pylasta zwięzła</w:t>
            </w:r>
          </w:p>
          <w:p w14:paraId="687A1C6A"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ił, ił piaszczys-ty, ił pylasty</w:t>
            </w:r>
          </w:p>
          <w:p w14:paraId="2FA0EA72" w14:textId="77777777" w:rsidR="00B677E1" w:rsidRPr="006431C4" w:rsidRDefault="00B677E1" w:rsidP="00BE2485">
            <w:pPr>
              <w:numPr>
                <w:ilvl w:val="12"/>
                <w:numId w:val="0"/>
              </w:numPr>
              <w:overflowPunct w:val="0"/>
              <w:autoSpaceDE w:val="0"/>
              <w:autoSpaceDN w:val="0"/>
              <w:adjustRightInd w:val="0"/>
              <w:spacing w:line="240" w:lineRule="auto"/>
              <w:textAlignment w:val="baseline"/>
              <w:rPr>
                <w:rFonts w:cs="Arial"/>
                <w:b/>
                <w:szCs w:val="20"/>
              </w:rPr>
            </w:pPr>
            <w:r w:rsidRPr="006431C4">
              <w:rPr>
                <w:rFonts w:cs="Arial"/>
                <w:b/>
                <w:szCs w:val="20"/>
              </w:rPr>
              <w:t>bardzo wysadzinowe</w:t>
            </w:r>
          </w:p>
          <w:p w14:paraId="4B4EEC62"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piasek gliniasty</w:t>
            </w:r>
          </w:p>
          <w:p w14:paraId="2DCF44B1"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pył, pył piasz-czysty</w:t>
            </w:r>
          </w:p>
          <w:p w14:paraId="038B1305"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glina piasz-czysta, glina, glina pylasta, ił warwowy</w:t>
            </w:r>
          </w:p>
        </w:tc>
      </w:tr>
    </w:tbl>
    <w:p w14:paraId="10A1BCC8"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lastRenderedPageBreak/>
        <w:t>2.3. Geosyntetyk</w:t>
      </w:r>
    </w:p>
    <w:p w14:paraId="27D40D4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Geosyntetyk powinien być materiałem odpornym na działanie wilgoci, środowiska agresywnego chemicznie i biologicznie oraz temperatury. Powinien być to materiał bez rozdarć, dziur i przerw ciągłości z dobrą przyczepnością do gruntu. Właściwości stosowanych geosyntetyków powinny być zgodne z PN-EN-13251 [8] i dokumentacją projektową. Geosyntetyk powinien posiadać aprobatę techniczna wydaną przez uprawnioną jednostkę.</w:t>
      </w:r>
    </w:p>
    <w:p w14:paraId="0D0D9D8F" w14:textId="77777777" w:rsidR="00B677E1" w:rsidRPr="006431C4" w:rsidRDefault="00B677E1"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88" w:name="_Toc17407535"/>
      <w:bookmarkStart w:id="89" w:name="_Toc17407770"/>
      <w:bookmarkStart w:id="90" w:name="_Toc17407894"/>
      <w:bookmarkStart w:id="91" w:name="_Toc17408013"/>
      <w:r w:rsidRPr="006431C4">
        <w:rPr>
          <w:rFonts w:cs="Arial"/>
          <w:b/>
          <w:caps/>
          <w:kern w:val="28"/>
          <w:szCs w:val="20"/>
        </w:rPr>
        <w:t>3. Sprzęt</w:t>
      </w:r>
      <w:bookmarkEnd w:id="88"/>
      <w:bookmarkEnd w:id="89"/>
      <w:bookmarkEnd w:id="90"/>
      <w:bookmarkEnd w:id="91"/>
    </w:p>
    <w:p w14:paraId="5E621EBC" w14:textId="77777777" w:rsidR="00B677E1" w:rsidRPr="006431C4" w:rsidRDefault="00B677E1" w:rsidP="00BE2485">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3.1. Ogólne wymagania dotyczące sprzętu</w:t>
      </w:r>
    </w:p>
    <w:p w14:paraId="7541FD71" w14:textId="77777777" w:rsidR="00B677E1" w:rsidRPr="006431C4" w:rsidRDefault="00B677E1"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sprzętu podano w SST D-M-00.00.00 „Wymagania ogólne” pkt 3.</w:t>
      </w:r>
    </w:p>
    <w:p w14:paraId="7FA4CE82"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Sprzęt wykorzystywany przez Wykonawcę do prowadzenia robót ziemnych powinien być sprawny, posiadać aktualne wszelkie przeglądy oraz dokumenty wymagane do dopuszczenia do użytkowania i powinien być zatwierdzony przez Inżyniera. </w:t>
      </w:r>
    </w:p>
    <w:p w14:paraId="7093582B" w14:textId="77777777" w:rsidR="00B677E1" w:rsidRPr="006431C4" w:rsidRDefault="00B677E1" w:rsidP="00BE2485">
      <w:pPr>
        <w:keepNext/>
        <w:numPr>
          <w:ilvl w:val="12"/>
          <w:numId w:val="0"/>
        </w:numPr>
        <w:overflowPunct w:val="0"/>
        <w:autoSpaceDE w:val="0"/>
        <w:autoSpaceDN w:val="0"/>
        <w:adjustRightInd w:val="0"/>
        <w:spacing w:line="240" w:lineRule="auto"/>
        <w:jc w:val="both"/>
        <w:textAlignment w:val="baseline"/>
        <w:outlineLvl w:val="1"/>
        <w:rPr>
          <w:rFonts w:cs="Arial"/>
          <w:b/>
          <w:szCs w:val="20"/>
        </w:rPr>
      </w:pPr>
      <w:bookmarkStart w:id="92" w:name="_Toc407161190"/>
      <w:r w:rsidRPr="006431C4">
        <w:rPr>
          <w:rFonts w:cs="Arial"/>
          <w:b/>
          <w:szCs w:val="20"/>
        </w:rPr>
        <w:t>3.2. Sprzęt do robót ziemnych</w:t>
      </w:r>
      <w:bookmarkEnd w:id="92"/>
      <w:r w:rsidRPr="006431C4">
        <w:rPr>
          <w:rFonts w:cs="Arial"/>
          <w:b/>
          <w:szCs w:val="20"/>
        </w:rPr>
        <w:t xml:space="preserve"> w gruntach nieskalistych</w:t>
      </w:r>
    </w:p>
    <w:p w14:paraId="5FAA6F11" w14:textId="77777777" w:rsidR="00B677E1" w:rsidRPr="006431C4" w:rsidRDefault="00B677E1"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Wykonawca przystępujący do wykonania robót ziemnych powinien wykazać się możliwością korzystania z następującego sprzętu do:</w:t>
      </w:r>
    </w:p>
    <w:p w14:paraId="2873CC59"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odspajania i wydobywania gruntów (narzędzia mechaniczne, młoty pneumatyczne, zrywarki, koparki, ładowarki, wiertarki mechaniczne itp.),</w:t>
      </w:r>
    </w:p>
    <w:p w14:paraId="7D733EC1"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jednoczesnego wydobywania i przemieszczania gruntów (spycharki, zgarniarki, równiarki, urządzenia do hydromechanizacji itp.),</w:t>
      </w:r>
    </w:p>
    <w:p w14:paraId="493B7CCE"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transportu mas ziemnych (samochody wywrotki, samochody skrzyniowe, taśmociągi itp.),</w:t>
      </w:r>
    </w:p>
    <w:p w14:paraId="0A2FCD12" w14:textId="77777777" w:rsidR="00B677E1" w:rsidRPr="006431C4" w:rsidRDefault="00B677E1"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sprzętu zagęszczającego (walce, ubijaki, płyty wibracyjne itp.). Dobór sprzętu zagęszczającego powinien być uzależniony od rodzaju zagęszczanego gruntu oraz zakresu prac. W tabeli 3 podano, dla różnych rodzajów gruntów, orientacyjne dane przy doborze podstawowego sprzętu zagęszczającego.</w:t>
      </w:r>
    </w:p>
    <w:p w14:paraId="66DAE408" w14:textId="77777777" w:rsidR="00B677E1" w:rsidRPr="006431C4" w:rsidRDefault="00B677E1" w:rsidP="00BE2485">
      <w:pPr>
        <w:overflowPunct w:val="0"/>
        <w:autoSpaceDE w:val="0"/>
        <w:autoSpaceDN w:val="0"/>
        <w:adjustRightInd w:val="0"/>
        <w:spacing w:line="240" w:lineRule="auto"/>
        <w:ind w:left="283"/>
        <w:jc w:val="both"/>
        <w:textAlignment w:val="baseline"/>
        <w:rPr>
          <w:rFonts w:cs="Arial"/>
          <w:szCs w:val="20"/>
        </w:rPr>
      </w:pPr>
    </w:p>
    <w:p w14:paraId="766B0575" w14:textId="77777777" w:rsidR="00B677E1" w:rsidRPr="006431C4" w:rsidRDefault="00B677E1" w:rsidP="00BE2485">
      <w:pPr>
        <w:overflowPunct w:val="0"/>
        <w:autoSpaceDE w:val="0"/>
        <w:autoSpaceDN w:val="0"/>
        <w:adjustRightInd w:val="0"/>
        <w:spacing w:line="240" w:lineRule="auto"/>
        <w:ind w:left="283"/>
        <w:jc w:val="both"/>
        <w:textAlignment w:val="baseline"/>
        <w:rPr>
          <w:rFonts w:cs="Arial"/>
          <w:szCs w:val="20"/>
        </w:rPr>
      </w:pPr>
    </w:p>
    <w:p w14:paraId="02BD51B1" w14:textId="2A59686B" w:rsidR="00B677E1" w:rsidRPr="006431C4" w:rsidRDefault="00B677E1" w:rsidP="00BE2485">
      <w:pPr>
        <w:overflowPunct w:val="0"/>
        <w:autoSpaceDE w:val="0"/>
        <w:autoSpaceDN w:val="0"/>
        <w:adjustRightInd w:val="0"/>
        <w:spacing w:line="240" w:lineRule="auto"/>
        <w:jc w:val="both"/>
        <w:textAlignment w:val="baseline"/>
        <w:rPr>
          <w:rFonts w:cs="Arial"/>
          <w:bCs/>
          <w:szCs w:val="20"/>
        </w:rPr>
      </w:pPr>
      <w:bookmarkStart w:id="93" w:name="_Toc24577612"/>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3</w:t>
      </w:r>
      <w:r w:rsidRPr="006431C4">
        <w:rPr>
          <w:rFonts w:cs="Arial"/>
          <w:bCs/>
          <w:szCs w:val="20"/>
        </w:rPr>
        <w:fldChar w:fldCharType="end"/>
      </w:r>
      <w:r w:rsidRPr="006431C4">
        <w:rPr>
          <w:rFonts w:cs="Arial"/>
          <w:bCs/>
          <w:szCs w:val="20"/>
        </w:rPr>
        <w:t>. Orientacyjne dane przy doborze sprzętu zagęszczającego</w:t>
      </w:r>
      <w:bookmarkEnd w:id="93"/>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0"/>
        <w:gridCol w:w="1220"/>
        <w:gridCol w:w="992"/>
        <w:gridCol w:w="1134"/>
        <w:gridCol w:w="992"/>
        <w:gridCol w:w="4282"/>
      </w:tblGrid>
      <w:tr w:rsidR="00B677E1" w:rsidRPr="006431C4" w14:paraId="535AD248" w14:textId="77777777" w:rsidTr="00B677E1">
        <w:tc>
          <w:tcPr>
            <w:tcW w:w="1780" w:type="dxa"/>
            <w:vMerge w:val="restart"/>
            <w:vAlign w:val="center"/>
          </w:tcPr>
          <w:p w14:paraId="33F3B444"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Rodzaje urządzeń zagęszczających</w:t>
            </w:r>
          </w:p>
        </w:tc>
        <w:tc>
          <w:tcPr>
            <w:tcW w:w="4338" w:type="dxa"/>
            <w:gridSpan w:val="4"/>
            <w:vAlign w:val="center"/>
          </w:tcPr>
          <w:p w14:paraId="27575AB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Rodzaje gruntu</w:t>
            </w:r>
          </w:p>
        </w:tc>
        <w:tc>
          <w:tcPr>
            <w:tcW w:w="4282" w:type="dxa"/>
            <w:vMerge w:val="restart"/>
            <w:vAlign w:val="center"/>
          </w:tcPr>
          <w:p w14:paraId="5D3EF57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Uwagi o przydatności maszyn</w:t>
            </w:r>
          </w:p>
        </w:tc>
      </w:tr>
      <w:tr w:rsidR="00B677E1" w:rsidRPr="006431C4" w14:paraId="7E6192AD" w14:textId="77777777" w:rsidTr="00B677E1">
        <w:tc>
          <w:tcPr>
            <w:tcW w:w="1780" w:type="dxa"/>
            <w:vMerge/>
            <w:vAlign w:val="center"/>
          </w:tcPr>
          <w:p w14:paraId="5E41F304"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p>
        </w:tc>
        <w:tc>
          <w:tcPr>
            <w:tcW w:w="2212" w:type="dxa"/>
            <w:gridSpan w:val="2"/>
            <w:vAlign w:val="center"/>
          </w:tcPr>
          <w:p w14:paraId="2314B8A5"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piaski, żwiry, pospółki</w:t>
            </w:r>
          </w:p>
        </w:tc>
        <w:tc>
          <w:tcPr>
            <w:tcW w:w="2126" w:type="dxa"/>
            <w:gridSpan w:val="2"/>
            <w:vAlign w:val="center"/>
          </w:tcPr>
          <w:p w14:paraId="6CFC63C3"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pyły gliny, iły</w:t>
            </w:r>
          </w:p>
        </w:tc>
        <w:tc>
          <w:tcPr>
            <w:tcW w:w="4282" w:type="dxa"/>
            <w:vMerge/>
          </w:tcPr>
          <w:p w14:paraId="298C172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r>
      <w:tr w:rsidR="00B677E1" w:rsidRPr="006431C4" w14:paraId="0B760206" w14:textId="77777777" w:rsidTr="00B677E1">
        <w:tc>
          <w:tcPr>
            <w:tcW w:w="1780" w:type="dxa"/>
            <w:vMerge/>
            <w:vAlign w:val="center"/>
          </w:tcPr>
          <w:p w14:paraId="0044F0A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p>
        </w:tc>
        <w:tc>
          <w:tcPr>
            <w:tcW w:w="1220" w:type="dxa"/>
            <w:vAlign w:val="center"/>
          </w:tcPr>
          <w:p w14:paraId="6FD22A89"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grubość warstwy [m]</w:t>
            </w:r>
          </w:p>
        </w:tc>
        <w:tc>
          <w:tcPr>
            <w:tcW w:w="992" w:type="dxa"/>
            <w:vAlign w:val="center"/>
          </w:tcPr>
          <w:p w14:paraId="6CB6B61D"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liczba przejść n***</w:t>
            </w:r>
          </w:p>
        </w:tc>
        <w:tc>
          <w:tcPr>
            <w:tcW w:w="1134" w:type="dxa"/>
            <w:vAlign w:val="center"/>
          </w:tcPr>
          <w:p w14:paraId="387577CA"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grubość warstwy [m]</w:t>
            </w:r>
          </w:p>
        </w:tc>
        <w:tc>
          <w:tcPr>
            <w:tcW w:w="992" w:type="dxa"/>
            <w:vAlign w:val="center"/>
          </w:tcPr>
          <w:p w14:paraId="0D81409A"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liczba przejść n***</w:t>
            </w:r>
          </w:p>
        </w:tc>
        <w:tc>
          <w:tcPr>
            <w:tcW w:w="4282" w:type="dxa"/>
            <w:vMerge/>
          </w:tcPr>
          <w:p w14:paraId="3297FA9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r>
      <w:tr w:rsidR="00B677E1" w:rsidRPr="006431C4" w14:paraId="56B259AE" w14:textId="77777777" w:rsidTr="00B677E1">
        <w:tc>
          <w:tcPr>
            <w:tcW w:w="1780" w:type="dxa"/>
          </w:tcPr>
          <w:p w14:paraId="4938615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Walce statyczne gładkie *</w:t>
            </w:r>
          </w:p>
        </w:tc>
        <w:tc>
          <w:tcPr>
            <w:tcW w:w="1220" w:type="dxa"/>
          </w:tcPr>
          <w:p w14:paraId="12FC2E0A"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0,1 do 0,2</w:t>
            </w:r>
          </w:p>
        </w:tc>
        <w:tc>
          <w:tcPr>
            <w:tcW w:w="992" w:type="dxa"/>
          </w:tcPr>
          <w:p w14:paraId="6F7EF5C5"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4 do 8</w:t>
            </w:r>
          </w:p>
        </w:tc>
        <w:tc>
          <w:tcPr>
            <w:tcW w:w="1134" w:type="dxa"/>
          </w:tcPr>
          <w:p w14:paraId="74A772FC"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0,1 do 0,2</w:t>
            </w:r>
          </w:p>
        </w:tc>
        <w:tc>
          <w:tcPr>
            <w:tcW w:w="992" w:type="dxa"/>
          </w:tcPr>
          <w:p w14:paraId="56F32774"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4 do 8</w:t>
            </w:r>
          </w:p>
        </w:tc>
        <w:tc>
          <w:tcPr>
            <w:tcW w:w="4282" w:type="dxa"/>
          </w:tcPr>
          <w:p w14:paraId="493D7B5C"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Do zagęszczania górnych warstw podłoża. Zalecane do codziennego wygładzania (przywałowania) gruntów spoistych w miejscu pobrania i w nasypie</w:t>
            </w:r>
          </w:p>
        </w:tc>
      </w:tr>
      <w:tr w:rsidR="00B677E1" w:rsidRPr="006431C4" w14:paraId="6183794A" w14:textId="77777777" w:rsidTr="00B677E1">
        <w:tc>
          <w:tcPr>
            <w:tcW w:w="1780" w:type="dxa"/>
          </w:tcPr>
          <w:p w14:paraId="13273936"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Walce statyczne okołkowane*</w:t>
            </w:r>
          </w:p>
        </w:tc>
        <w:tc>
          <w:tcPr>
            <w:tcW w:w="1220" w:type="dxa"/>
          </w:tcPr>
          <w:p w14:paraId="62CA8DA7"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992" w:type="dxa"/>
          </w:tcPr>
          <w:p w14:paraId="0FA932FC"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134" w:type="dxa"/>
          </w:tcPr>
          <w:p w14:paraId="6915B5ED"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0,2 do 0,3</w:t>
            </w:r>
          </w:p>
        </w:tc>
        <w:tc>
          <w:tcPr>
            <w:tcW w:w="992" w:type="dxa"/>
          </w:tcPr>
          <w:p w14:paraId="00F130C6"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8 do 12</w:t>
            </w:r>
          </w:p>
        </w:tc>
        <w:tc>
          <w:tcPr>
            <w:tcW w:w="4282" w:type="dxa"/>
          </w:tcPr>
          <w:p w14:paraId="3FE8D015"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Nie nadają się do gruntów nawodnionych</w:t>
            </w:r>
          </w:p>
        </w:tc>
      </w:tr>
      <w:tr w:rsidR="00B677E1" w:rsidRPr="006431C4" w14:paraId="2C47E0CB" w14:textId="77777777" w:rsidTr="00B677E1">
        <w:tc>
          <w:tcPr>
            <w:tcW w:w="1780" w:type="dxa"/>
          </w:tcPr>
          <w:p w14:paraId="0BD0F20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Walce statyczne ogumione *</w:t>
            </w:r>
          </w:p>
        </w:tc>
        <w:tc>
          <w:tcPr>
            <w:tcW w:w="1220" w:type="dxa"/>
          </w:tcPr>
          <w:p w14:paraId="69E126AB"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0,2 do 0,5</w:t>
            </w:r>
          </w:p>
        </w:tc>
        <w:tc>
          <w:tcPr>
            <w:tcW w:w="992" w:type="dxa"/>
          </w:tcPr>
          <w:p w14:paraId="7D95563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6 do 8</w:t>
            </w:r>
          </w:p>
        </w:tc>
        <w:tc>
          <w:tcPr>
            <w:tcW w:w="1134" w:type="dxa"/>
          </w:tcPr>
          <w:p w14:paraId="6518A177"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0,2 do 0,4</w:t>
            </w:r>
          </w:p>
        </w:tc>
        <w:tc>
          <w:tcPr>
            <w:tcW w:w="992" w:type="dxa"/>
          </w:tcPr>
          <w:p w14:paraId="7CF7423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6 do 10</w:t>
            </w:r>
          </w:p>
        </w:tc>
        <w:tc>
          <w:tcPr>
            <w:tcW w:w="4282" w:type="dxa"/>
          </w:tcPr>
          <w:p w14:paraId="34B559EE"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Mało przydatne w gruntach spoistych</w:t>
            </w:r>
          </w:p>
        </w:tc>
      </w:tr>
      <w:tr w:rsidR="00B677E1" w:rsidRPr="006431C4" w14:paraId="75835008" w14:textId="77777777" w:rsidTr="00B677E1">
        <w:tc>
          <w:tcPr>
            <w:tcW w:w="1780" w:type="dxa"/>
          </w:tcPr>
          <w:p w14:paraId="5C87A3B6"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Walce wibracyjne gładkie **</w:t>
            </w:r>
          </w:p>
        </w:tc>
        <w:tc>
          <w:tcPr>
            <w:tcW w:w="1220" w:type="dxa"/>
          </w:tcPr>
          <w:p w14:paraId="5AA06065"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0,4 do 0,7</w:t>
            </w:r>
          </w:p>
        </w:tc>
        <w:tc>
          <w:tcPr>
            <w:tcW w:w="992" w:type="dxa"/>
          </w:tcPr>
          <w:p w14:paraId="559EF66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4 do 8</w:t>
            </w:r>
          </w:p>
        </w:tc>
        <w:tc>
          <w:tcPr>
            <w:tcW w:w="1134" w:type="dxa"/>
          </w:tcPr>
          <w:p w14:paraId="4E5ED276"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0,2 do 0,4</w:t>
            </w:r>
          </w:p>
        </w:tc>
        <w:tc>
          <w:tcPr>
            <w:tcW w:w="992" w:type="dxa"/>
          </w:tcPr>
          <w:p w14:paraId="26BCCFF0"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3 do 4</w:t>
            </w:r>
          </w:p>
        </w:tc>
        <w:tc>
          <w:tcPr>
            <w:tcW w:w="4282" w:type="dxa"/>
          </w:tcPr>
          <w:p w14:paraId="3481E036"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Do gruntów spoistych przydatne są walce średnie i ciężkie.</w:t>
            </w:r>
          </w:p>
        </w:tc>
      </w:tr>
      <w:tr w:rsidR="00B677E1" w:rsidRPr="006431C4" w14:paraId="382E04C7" w14:textId="77777777" w:rsidTr="00B677E1">
        <w:tc>
          <w:tcPr>
            <w:tcW w:w="1780" w:type="dxa"/>
          </w:tcPr>
          <w:p w14:paraId="49A229A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Walce wibracyjne okołkowane **</w:t>
            </w:r>
          </w:p>
        </w:tc>
        <w:tc>
          <w:tcPr>
            <w:tcW w:w="1220" w:type="dxa"/>
          </w:tcPr>
          <w:p w14:paraId="6D2406E3"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0,3 do 0,6</w:t>
            </w:r>
          </w:p>
        </w:tc>
        <w:tc>
          <w:tcPr>
            <w:tcW w:w="992" w:type="dxa"/>
          </w:tcPr>
          <w:p w14:paraId="1A2926E8"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3 do 6</w:t>
            </w:r>
          </w:p>
        </w:tc>
        <w:tc>
          <w:tcPr>
            <w:tcW w:w="1134" w:type="dxa"/>
          </w:tcPr>
          <w:p w14:paraId="37C6503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0,2 do 0,4</w:t>
            </w:r>
          </w:p>
        </w:tc>
        <w:tc>
          <w:tcPr>
            <w:tcW w:w="992" w:type="dxa"/>
          </w:tcPr>
          <w:p w14:paraId="4E01630B"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6 do 10</w:t>
            </w:r>
          </w:p>
        </w:tc>
        <w:tc>
          <w:tcPr>
            <w:tcW w:w="4282" w:type="dxa"/>
          </w:tcPr>
          <w:p w14:paraId="264174E4"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Zalecane do piasków pylastych i gliniastych, pospółek gliniastych i glin piaszczystych</w:t>
            </w:r>
          </w:p>
        </w:tc>
      </w:tr>
      <w:tr w:rsidR="00B677E1" w:rsidRPr="006431C4" w14:paraId="7A71BA43" w14:textId="77777777" w:rsidTr="00B677E1">
        <w:tc>
          <w:tcPr>
            <w:tcW w:w="1780" w:type="dxa"/>
          </w:tcPr>
          <w:p w14:paraId="587A17B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Zagęszczarki wibracyjne **</w:t>
            </w:r>
          </w:p>
        </w:tc>
        <w:tc>
          <w:tcPr>
            <w:tcW w:w="1220" w:type="dxa"/>
          </w:tcPr>
          <w:p w14:paraId="5EED9882"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0,3 do 0,5</w:t>
            </w:r>
          </w:p>
        </w:tc>
        <w:tc>
          <w:tcPr>
            <w:tcW w:w="992" w:type="dxa"/>
          </w:tcPr>
          <w:p w14:paraId="5C008DD0"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4 do 8</w:t>
            </w:r>
          </w:p>
        </w:tc>
        <w:tc>
          <w:tcPr>
            <w:tcW w:w="1134" w:type="dxa"/>
          </w:tcPr>
          <w:p w14:paraId="1C4D558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992" w:type="dxa"/>
          </w:tcPr>
          <w:p w14:paraId="5DD7FF20"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4282" w:type="dxa"/>
          </w:tcPr>
          <w:p w14:paraId="426366F6"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Zalecane do zasypek wąskich przekopów</w:t>
            </w:r>
          </w:p>
        </w:tc>
      </w:tr>
      <w:tr w:rsidR="00B677E1" w:rsidRPr="006431C4" w14:paraId="5050EE59" w14:textId="77777777" w:rsidTr="00B677E1">
        <w:tc>
          <w:tcPr>
            <w:tcW w:w="1780" w:type="dxa"/>
          </w:tcPr>
          <w:p w14:paraId="7803A6C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Ubijaki szybkouderzające</w:t>
            </w:r>
          </w:p>
        </w:tc>
        <w:tc>
          <w:tcPr>
            <w:tcW w:w="1220" w:type="dxa"/>
          </w:tcPr>
          <w:p w14:paraId="3F232073"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0,2 do 0,4</w:t>
            </w:r>
          </w:p>
        </w:tc>
        <w:tc>
          <w:tcPr>
            <w:tcW w:w="992" w:type="dxa"/>
          </w:tcPr>
          <w:p w14:paraId="41A0C01B"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 do 4</w:t>
            </w:r>
          </w:p>
        </w:tc>
        <w:tc>
          <w:tcPr>
            <w:tcW w:w="1134" w:type="dxa"/>
          </w:tcPr>
          <w:p w14:paraId="4EF6ADF7"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0,1 do 0,3</w:t>
            </w:r>
          </w:p>
        </w:tc>
        <w:tc>
          <w:tcPr>
            <w:tcW w:w="992" w:type="dxa"/>
          </w:tcPr>
          <w:p w14:paraId="687CB49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3 do 5</w:t>
            </w:r>
          </w:p>
        </w:tc>
        <w:tc>
          <w:tcPr>
            <w:tcW w:w="4282" w:type="dxa"/>
          </w:tcPr>
          <w:p w14:paraId="132A1414"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Zalecane do zasypek wąskich przekopów</w:t>
            </w:r>
          </w:p>
        </w:tc>
      </w:tr>
    </w:tbl>
    <w:p w14:paraId="4BD4B72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Walce statyczne są mało przydatne w gruntach kamienistych.</w:t>
      </w:r>
    </w:p>
    <w:p w14:paraId="3A843A4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Wibracyjnie należy zagęszczać warstwy grubości </w:t>
      </w:r>
      <w:r w:rsidRPr="006431C4">
        <w:rPr>
          <w:rFonts w:cs="Arial"/>
          <w:szCs w:val="20"/>
        </w:rPr>
        <w:sym w:font="Symbol" w:char="F0B3"/>
      </w:r>
      <w:r w:rsidRPr="006431C4">
        <w:rPr>
          <w:rFonts w:cs="Arial"/>
          <w:szCs w:val="20"/>
        </w:rPr>
        <w:t>15cm, cieńsze warstwy należy zagęszczać statycznie.</w:t>
      </w:r>
    </w:p>
    <w:p w14:paraId="7DBD669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Wartości orientacyjne, właściwe należy ustalić na odcinku próbnym</w:t>
      </w:r>
    </w:p>
    <w:p w14:paraId="6615F87C"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3.3. Sprzęt do wykonania robót w gruntach skalistych </w:t>
      </w:r>
    </w:p>
    <w:p w14:paraId="73EAA574"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Wykonawca przystępujący do wykonania robót w gruntach skalistych powinien wykazać się dodatkowo, możliwością korzystania z następującego sprzętu:</w:t>
      </w:r>
    </w:p>
    <w:p w14:paraId="0BDA4F60" w14:textId="77777777" w:rsidR="00B677E1" w:rsidRPr="006431C4" w:rsidRDefault="00B677E1" w:rsidP="00CF1E7D">
      <w:pPr>
        <w:numPr>
          <w:ilvl w:val="0"/>
          <w:numId w:val="115"/>
        </w:numPr>
        <w:overflowPunct w:val="0"/>
        <w:autoSpaceDE w:val="0"/>
        <w:autoSpaceDN w:val="0"/>
        <w:adjustRightInd w:val="0"/>
        <w:spacing w:line="240" w:lineRule="auto"/>
        <w:jc w:val="both"/>
        <w:textAlignment w:val="baseline"/>
        <w:rPr>
          <w:rFonts w:cs="Arial"/>
          <w:szCs w:val="20"/>
        </w:rPr>
      </w:pPr>
      <w:r w:rsidRPr="006431C4">
        <w:rPr>
          <w:rFonts w:cs="Arial"/>
          <w:szCs w:val="20"/>
        </w:rPr>
        <w:t>sprężarek spalinowych,</w:t>
      </w:r>
    </w:p>
    <w:p w14:paraId="5123CFA5" w14:textId="77777777" w:rsidR="00B677E1" w:rsidRPr="006431C4" w:rsidRDefault="00B677E1" w:rsidP="00CF1E7D">
      <w:pPr>
        <w:numPr>
          <w:ilvl w:val="0"/>
          <w:numId w:val="115"/>
        </w:numPr>
        <w:overflowPunct w:val="0"/>
        <w:autoSpaceDE w:val="0"/>
        <w:autoSpaceDN w:val="0"/>
        <w:adjustRightInd w:val="0"/>
        <w:spacing w:line="240" w:lineRule="auto"/>
        <w:jc w:val="both"/>
        <w:textAlignment w:val="baseline"/>
        <w:rPr>
          <w:rFonts w:cs="Arial"/>
          <w:szCs w:val="20"/>
        </w:rPr>
      </w:pPr>
      <w:r w:rsidRPr="006431C4">
        <w:rPr>
          <w:rFonts w:cs="Arial"/>
          <w:szCs w:val="20"/>
        </w:rPr>
        <w:t>młotów mechanicznych,</w:t>
      </w:r>
    </w:p>
    <w:p w14:paraId="65E1C880" w14:textId="77777777" w:rsidR="00B677E1" w:rsidRPr="006431C4" w:rsidRDefault="00B677E1" w:rsidP="00CF1E7D">
      <w:pPr>
        <w:numPr>
          <w:ilvl w:val="0"/>
          <w:numId w:val="115"/>
        </w:numPr>
        <w:overflowPunct w:val="0"/>
        <w:autoSpaceDE w:val="0"/>
        <w:autoSpaceDN w:val="0"/>
        <w:adjustRightInd w:val="0"/>
        <w:spacing w:line="240" w:lineRule="auto"/>
        <w:jc w:val="both"/>
        <w:textAlignment w:val="baseline"/>
        <w:rPr>
          <w:rFonts w:cs="Arial"/>
          <w:szCs w:val="20"/>
        </w:rPr>
      </w:pPr>
      <w:r w:rsidRPr="006431C4">
        <w:rPr>
          <w:rFonts w:cs="Arial"/>
          <w:szCs w:val="20"/>
        </w:rPr>
        <w:t>zrywarek mechanicznych,</w:t>
      </w:r>
    </w:p>
    <w:p w14:paraId="21D5D55B" w14:textId="77777777" w:rsidR="00B677E1" w:rsidRPr="006431C4" w:rsidRDefault="00B677E1" w:rsidP="00CF1E7D">
      <w:pPr>
        <w:numPr>
          <w:ilvl w:val="0"/>
          <w:numId w:val="115"/>
        </w:numPr>
        <w:overflowPunct w:val="0"/>
        <w:autoSpaceDE w:val="0"/>
        <w:autoSpaceDN w:val="0"/>
        <w:adjustRightInd w:val="0"/>
        <w:spacing w:line="240" w:lineRule="auto"/>
        <w:jc w:val="both"/>
        <w:textAlignment w:val="baseline"/>
        <w:rPr>
          <w:rFonts w:cs="Arial"/>
          <w:szCs w:val="20"/>
        </w:rPr>
      </w:pPr>
      <w:r w:rsidRPr="006431C4">
        <w:rPr>
          <w:rFonts w:cs="Arial"/>
          <w:szCs w:val="20"/>
        </w:rPr>
        <w:t>wiertarek mechanicznych i wiertnic,</w:t>
      </w:r>
    </w:p>
    <w:p w14:paraId="2366CB64" w14:textId="77777777" w:rsidR="00B677E1" w:rsidRPr="006431C4" w:rsidRDefault="00B677E1" w:rsidP="00CF1E7D">
      <w:pPr>
        <w:numPr>
          <w:ilvl w:val="0"/>
          <w:numId w:val="115"/>
        </w:numPr>
        <w:overflowPunct w:val="0"/>
        <w:autoSpaceDE w:val="0"/>
        <w:autoSpaceDN w:val="0"/>
        <w:adjustRightInd w:val="0"/>
        <w:spacing w:line="240" w:lineRule="auto"/>
        <w:jc w:val="both"/>
        <w:textAlignment w:val="baseline"/>
        <w:rPr>
          <w:rFonts w:cs="Arial"/>
          <w:szCs w:val="20"/>
        </w:rPr>
      </w:pPr>
      <w:r w:rsidRPr="006431C4">
        <w:rPr>
          <w:rFonts w:cs="Arial"/>
          <w:szCs w:val="20"/>
        </w:rPr>
        <w:t>środków do załadunku i transportu gruntu skalistego.</w:t>
      </w:r>
    </w:p>
    <w:p w14:paraId="3995922C"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lastRenderedPageBreak/>
        <w:t>3.4. Sprzęt do przenoszenia i układania geosyntetyków</w:t>
      </w:r>
    </w:p>
    <w:p w14:paraId="3A156977"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 przenoszenia i układania geosyntetyków, jeśli są wymagane,  Wykonawca powinien używać odpowiedniego sprzętu zalecanego przez producenta. Wykonawca nie powinien stosować sprzętu mogącego spowodować uszkodzenie układanego materiału.</w:t>
      </w:r>
    </w:p>
    <w:p w14:paraId="627BDF02" w14:textId="77777777" w:rsidR="00B677E1" w:rsidRPr="006431C4" w:rsidRDefault="00B677E1"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4" w:name="_Toc17407536"/>
      <w:bookmarkStart w:id="95" w:name="_Toc17407771"/>
      <w:bookmarkStart w:id="96" w:name="_Toc17407895"/>
      <w:bookmarkStart w:id="97" w:name="_Toc17408014"/>
      <w:r w:rsidRPr="006431C4">
        <w:rPr>
          <w:rFonts w:cs="Arial"/>
          <w:b/>
          <w:caps/>
          <w:kern w:val="28"/>
          <w:szCs w:val="20"/>
        </w:rPr>
        <w:t>4. Transport</w:t>
      </w:r>
      <w:bookmarkEnd w:id="94"/>
      <w:bookmarkEnd w:id="95"/>
      <w:bookmarkEnd w:id="96"/>
      <w:bookmarkEnd w:id="97"/>
    </w:p>
    <w:p w14:paraId="45273554"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98" w:name="_Toc405615044"/>
      <w:bookmarkStart w:id="99" w:name="_Toc407161192"/>
      <w:r w:rsidRPr="006431C4">
        <w:rPr>
          <w:rFonts w:cs="Arial"/>
          <w:b/>
          <w:szCs w:val="20"/>
        </w:rPr>
        <w:t>4.1. Ogólne wymagania dotyczące transportu</w:t>
      </w:r>
      <w:bookmarkEnd w:id="98"/>
      <w:bookmarkEnd w:id="99"/>
    </w:p>
    <w:p w14:paraId="0C35BD0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transportu podano w SST D-M-00.00.00 „Wymagania ogólne” pkt 4.</w:t>
      </w:r>
    </w:p>
    <w:p w14:paraId="04A22D8F"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00" w:name="_Toc405615045"/>
      <w:bookmarkStart w:id="101" w:name="_Toc407161193"/>
      <w:r w:rsidRPr="006431C4">
        <w:rPr>
          <w:rFonts w:cs="Arial"/>
          <w:b/>
          <w:szCs w:val="20"/>
        </w:rPr>
        <w:t>4.2. Transport gruntów</w:t>
      </w:r>
      <w:bookmarkEnd w:id="100"/>
      <w:bookmarkEnd w:id="101"/>
    </w:p>
    <w:p w14:paraId="5CBA8344"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 Materiały sypkie należy przewozić w sposób eliminujący możliwość wysypywania, pylenia oraz innego zanieczyszczenia środowiska.</w:t>
      </w:r>
    </w:p>
    <w:p w14:paraId="7A4AAA01"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Zwiększenie odległości transportu ponad wartości zatwierdzone nie może być podstawą roszczeń Wykonawcy, dotyczących dodatkowej zapłaty za transport, o ile zwiększone odległości nie zostały wcześniej zaakceptowane na piśmie przez Inżyniera.</w:t>
      </w:r>
    </w:p>
    <w:p w14:paraId="1D68F48E"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4.3. Składowanie gruntu </w:t>
      </w:r>
    </w:p>
    <w:p w14:paraId="5E7ABFBB"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Wykonawca powinien we własnym zakresie przygotować i zapewnić oddzielne składowanie gruntów i materiałów przydatnych oraz gruntów i materiałów przydatnych po ulepszeniu przewidzianych do wykorzystania.</w:t>
      </w:r>
    </w:p>
    <w:p w14:paraId="261A421A"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Składowanie gruntów i materiałów przez Wykonawcę nie może powodować zagrożenia stateczności wykopów i nasypów. Grunt podczas składowania powinien być chroniony przed negatywnym wpływem czynników atmosferycznych w celu uniknięcia jego degradacji.</w:t>
      </w:r>
    </w:p>
    <w:p w14:paraId="586698C4"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4.3. Transport i składowanie geosyntetyków</w:t>
      </w:r>
    </w:p>
    <w:p w14:paraId="72FF6F51"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Wykonawca powinien zadbać, aby transport, przenoszenie, przechowywanie i zabezpieczanie geosyntetyków były wykonywane w sposób nie powodujący mechanicznych lub chemicznych ich uszkodzeń. Geosyntetyki wrażliwe na światło słoneczne powinny pozostawać zakryte w czasie od ich wyprodukowania do wbudowania. </w:t>
      </w:r>
    </w:p>
    <w:p w14:paraId="4C5E67A4" w14:textId="77777777" w:rsidR="00B677E1" w:rsidRPr="006431C4" w:rsidRDefault="00B677E1"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2" w:name="_Toc17407537"/>
      <w:bookmarkStart w:id="103" w:name="_Toc17407772"/>
      <w:bookmarkStart w:id="104" w:name="_Toc17407896"/>
      <w:bookmarkStart w:id="105" w:name="_Toc17408015"/>
      <w:r w:rsidRPr="006431C4">
        <w:rPr>
          <w:rFonts w:cs="Arial"/>
          <w:b/>
          <w:caps/>
          <w:kern w:val="28"/>
          <w:szCs w:val="20"/>
        </w:rPr>
        <w:t>5. Wykonanie robót</w:t>
      </w:r>
      <w:bookmarkEnd w:id="102"/>
      <w:bookmarkEnd w:id="103"/>
      <w:bookmarkEnd w:id="104"/>
      <w:bookmarkEnd w:id="105"/>
    </w:p>
    <w:p w14:paraId="5CBAEA19"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06" w:name="_Toc405615047"/>
      <w:bookmarkStart w:id="107" w:name="_Toc407161195"/>
      <w:r w:rsidRPr="006431C4">
        <w:rPr>
          <w:rFonts w:cs="Arial"/>
          <w:b/>
          <w:szCs w:val="20"/>
        </w:rPr>
        <w:t>5.1. Ogólne zasady wykonania robót</w:t>
      </w:r>
      <w:bookmarkEnd w:id="106"/>
      <w:bookmarkEnd w:id="107"/>
    </w:p>
    <w:p w14:paraId="09B3B407"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Ogólne zasady wykonania robót podano w SST D-M-00.00.00 „Wymagania ogólne” pkt 5. </w:t>
      </w:r>
    </w:p>
    <w:p w14:paraId="4E0E1615"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Wykonawca musi prowadzić roboty ziemne z uwzględnieniem wymagań wynikających z przepisów obowiązujących w zakresie ochrony środowiska. Podstawowe czynniki, które należy uwzględnić to: hałas, sposób prowadzenia robót w gruntach lub materiałach stwarzających zagrożenie zanieczyszczeniem środowiska lub z zastosowaniem takich gruntów lub materiałów, pylenie, ochrona wód gruntowych oraz wpływ wibracji i użycia materiałów wybuchowych na otoczenie, w tym na istniejące obiekty budowlane.</w:t>
      </w:r>
    </w:p>
    <w:p w14:paraId="0D71FD8C"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Wykonawca ma obowiązek zachować szczególną ostrożność w czasie wykonywania robót ziemnych  w sąsiedztwie obiektów takich jak konstrukcje, budynki lub ogrodzenia. </w:t>
      </w:r>
    </w:p>
    <w:p w14:paraId="69189622"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5.2. Czynności przed rozpoczęciem robót</w:t>
      </w:r>
    </w:p>
    <w:p w14:paraId="6F4491FB"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Przed przystąpieniem do wykonywania robót ziemnych należy zakończyć wszelkie roboty przygotowawcze. Zakres robót przygotowawczych i zasady ich wykonania określono w SST D-01.00.00 „Roboty przygotowawcze” [2].  </w:t>
      </w:r>
    </w:p>
    <w:p w14:paraId="34A13F26"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Przed rozpoczęciem robót ziemnych należy ocenić wpływ warunków atmosferycznych na roboty. Podczas opadów, zależnie od ich intensywności, należy rozważyć wstrzymanie robót ziemnych, prowadzonych w gruntach lub materiałach wrażliwych na działanie wody. </w:t>
      </w:r>
    </w:p>
    <w:p w14:paraId="29005D1D"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Przed rozpoczęciem robót w wykopie należy określić rodzaj i stan gruntu, skały lub materiału, który będzie poddany odspojeniu w celu oceny przydatności gruntu, skały lub materiału do budowy nasypów oraz wyboru właściwej metody prowadzenia robót oraz sprzętu. </w:t>
      </w:r>
    </w:p>
    <w:p w14:paraId="0E00DFE1"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Wykonanie wykopów można rozpocząć po przygotowaniu i zaakceptowaniu przez Inżyniera miejsca czasowego składowania odspojonego gruntu, miejsca odkładu lub powierzchni terenu, na której będzie wykonywany nasyp oraz po zapewnieniu odpowiedniego sprzętu do układania i zagęszczania warstw nasypu lub odkładu.</w:t>
      </w:r>
    </w:p>
    <w:p w14:paraId="52997302"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5.3. Urządzenia i materiały nieprzewidziane w dokumentacji projektowej</w:t>
      </w:r>
    </w:p>
    <w:p w14:paraId="63DDFD60"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w czasie prowadzenia robót ziemnych zostanie stwierdzone występowanie zanieczyszczonych gruntów, materiałów lub wody to Wykonawca przedstawi do akceptacji Inżyniera sposób postępowania, obejmujący ich zbadanie, odspojenie, usunięcie, transport i utylizację lub składowanie. Wykonawca uzyska zgodę właściwych organów ochrony środowiska, dotyczącą sposobu postępowania z zanieczyszczonymi gruntami, materiałami lub wodą</w:t>
      </w:r>
    </w:p>
    <w:p w14:paraId="564E2A0F"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przypadku natrafienia, w trakcie wykonywania robót ziemnych, na wykopaliska archeologiczne, roboty powinny być wstrzymane do czasu podjęcia przez Wojewódzkiego Konserwatora Zabytków odpowiednich decyzji.  </w:t>
      </w:r>
    </w:p>
    <w:p w14:paraId="0FB067A8"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Jeżeli na terenie robót ziemnych napotyka się na materiały niebezpieczne, w tym grunty skażone,  Wykonawca powinien natychmiast  powiadomić  o  tym  Inżyniera i odpowiednie służby.  Wykonawca  powinien  podjąć  wszelkie  środki  w  celu bezpiecznego  przekazania  i  składowania  takich  materiałów  po  konsultacji  z  odpowiednimi służbami.  </w:t>
      </w:r>
    </w:p>
    <w:p w14:paraId="7D854236"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Jeżeli  na  terenie  robót  ziemnych  zostanie stwierdzone występowanie urządzeń podziemnych nieprzewidzianych w dokumentacji projektowej (instalacje  wodociągowe,  kanalizacyjne,  cieplne,  gazowe,  elektryczne),  wówczas  roboty  należy przerwać, powiadomić Inżyniera, a dalsze prace prowadzić po uzgodnieniu trybu postępowania z instytucjami sprawującymi nadzór nad tymi urządzeniami.  </w:t>
      </w:r>
    </w:p>
    <w:p w14:paraId="7C4A1BEE"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przypadku  natrafienia  w  trakcie  robót  ziemnych  na śmieci należy je usunąć i wywieźć na miejsce wskazane prze Inżyniera.</w:t>
      </w:r>
    </w:p>
    <w:p w14:paraId="421E85A7"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08" w:name="_Toc405615049"/>
      <w:bookmarkStart w:id="109" w:name="_Toc407161197"/>
      <w:r w:rsidRPr="006431C4">
        <w:rPr>
          <w:rFonts w:cs="Arial"/>
          <w:b/>
          <w:szCs w:val="20"/>
        </w:rPr>
        <w:lastRenderedPageBreak/>
        <w:t>5.4. Projekt robót ziemnych</w:t>
      </w:r>
    </w:p>
    <w:p w14:paraId="27FA2BD0"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Przed przystąpieniem do robót ziemnych Wykonawca przedstawi Inżynierowi do akceptacji projekt robót ziemnych określający  proces wykonania budowli ziemnych będących przedmiotem kontraktu, w oparciu o następujące główne elementy: badania geotechniczne, SST, wymagania dla materiału nasypowego, rysunki, bilans mas ziemnych, zakres wykorzystania gruntów z wykopów, plan organizacji robót ziemnych, harmonogram robót i ocenę wpływu robót ziemnych na środowisko.</w:t>
      </w:r>
    </w:p>
    <w:p w14:paraId="436FA3BA"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5.5. Odwodnienie pasa robót ziemnych</w:t>
      </w:r>
      <w:bookmarkEnd w:id="108"/>
      <w:bookmarkEnd w:id="109"/>
    </w:p>
    <w:p w14:paraId="2CE8F641"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14:paraId="003BF3B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Dopuszcza się uzdatnienie przewilgoconych gruntów lub materiałów za zgodą Inżyniera, jeżeli zaproponowany przez Wykonawcę sposób jest poprawny technicznie i zapewni przywrócenie właściwości umożliwiających wbudowanie gruntów lub materiałów.</w:t>
      </w:r>
    </w:p>
    <w:p w14:paraId="170217CA"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Odprowadzenie wód do istniejących zbiorników naturalnych i urządzeń odwadniających musi być poprzedzone uzgodnieniem z odpowiednimi instytucjami.</w:t>
      </w:r>
    </w:p>
    <w:p w14:paraId="46576578"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Odwodnienie robót ziemnych powinno być realizowane na podstawie projektu odwodnienia robót ziemnych przedstawionego przez Wykonawcę.  </w:t>
      </w:r>
    </w:p>
    <w:p w14:paraId="21DC8092"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10" w:name="_Toc405615051"/>
      <w:bookmarkStart w:id="111" w:name="_Toc407161199"/>
      <w:r w:rsidRPr="006431C4">
        <w:rPr>
          <w:rFonts w:cs="Arial"/>
          <w:b/>
          <w:szCs w:val="20"/>
        </w:rPr>
        <w:t>5.6. Wykorzystanie gruntów z wykopów do budowy nasypów</w:t>
      </w:r>
    </w:p>
    <w:p w14:paraId="233D3423"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Grunty uzyskane podczas wykonania wykopów powinny być przez Wykonawcę wykorzystane w maksymalnym stopniu do budowy nasypów.  </w:t>
      </w:r>
    </w:p>
    <w:p w14:paraId="7E05E70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w:t>
      </w:r>
      <w:r w:rsidRPr="006431C4">
        <w:rPr>
          <w:rFonts w:cs="Arial"/>
          <w:szCs w:val="20"/>
        </w:rPr>
        <w:tab/>
        <w:t xml:space="preserve">Grunty przydatne do budowy nasypów mogą być wywiezione poza teren budowy, za zezwoleniem lub na polecenie Inżyniera tylko wówczas, gdy stanowią nadmiar objętości robót ziemnych i nie zostaną zagospodarowane na placu budowy. </w:t>
      </w:r>
    </w:p>
    <w:p w14:paraId="437DAA60"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Jeżeli grunty przydatne, uzyskane podczas wykonania wykopów, nie będąc nadmiarem objętości robót ziemnych, zostały za zgodą Inżyniera wywiezione przez Wykonawcę poza teren budowy z przeznaczeniem innym niż budowa nasypów lub wykonanie prac objętych kontraktem, Wykonawca jest zobowiązany do dostarczenia na własny koszt równoważnej objętości gruntów przydatnych ze źródeł własnych, zaakceptowanych przez Inżyniera. Grunty i materiały nieprzydatne do budowy nasypów powinny być wywiezione przez Wykonawcę na odkład. Zapewnienie terenów na odkład należy do obowiązków Wykonawcy, o ile nie określono tego inaczej w kontrakcie. </w:t>
      </w:r>
    </w:p>
    <w:p w14:paraId="46FDF7D2"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 Wykonawca proponuje i przedstawia do akceptacji Inżyniera sposób zagospodarowania gruntów przeznaczonych na odkład wraz z miejscem odkładu. Inżynier może nakazać pozostawienie na terenie budowy gruntów, których czasowa nieprzydatność wynika jedynie z powodu zamarznięcia lub nadmiernej wilgotności. Zasady wykonania odkładu określono w SST  D-02.03.01 „Roboty ziemne. Wykonanie nasypów.”</w:t>
      </w:r>
    </w:p>
    <w:p w14:paraId="1819100E"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5.7. Rowy</w:t>
      </w:r>
      <w:bookmarkEnd w:id="110"/>
      <w:bookmarkEnd w:id="111"/>
    </w:p>
    <w:p w14:paraId="1489979F"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szCs w:val="20"/>
        </w:rPr>
      </w:pPr>
      <w:r w:rsidRPr="006431C4">
        <w:rPr>
          <w:rFonts w:cs="Arial"/>
          <w:szCs w:val="20"/>
        </w:rPr>
        <w:tab/>
        <w:t xml:space="preserve">Rowy boczne oraz rowy stokowe powinny być wykonane zgodnie z dokumentacją projektową i SST. Szerokość dna i głębokość rowu nie mogą różnić się od wymiarów projektowanych o więcej niż </w:t>
      </w:r>
      <w:r w:rsidRPr="006431C4">
        <w:rPr>
          <w:rFonts w:cs="Arial"/>
          <w:szCs w:val="20"/>
        </w:rPr>
        <w:sym w:font="Symbol" w:char="F0B1"/>
      </w:r>
      <w:r w:rsidRPr="006431C4">
        <w:rPr>
          <w:rFonts w:cs="Arial"/>
          <w:szCs w:val="20"/>
        </w:rPr>
        <w:t xml:space="preserve"> </w:t>
      </w:r>
      <w:smartTag w:uri="urn:schemas-microsoft-com:office:smarttags" w:element="metricconverter">
        <w:smartTagPr>
          <w:attr w:name="ProductID" w:val="5 cm"/>
        </w:smartTagPr>
        <w:r w:rsidRPr="006431C4">
          <w:rPr>
            <w:rFonts w:cs="Arial"/>
            <w:szCs w:val="20"/>
          </w:rPr>
          <w:t>5 cm</w:t>
        </w:r>
      </w:smartTag>
      <w:r w:rsidRPr="006431C4">
        <w:rPr>
          <w:rFonts w:cs="Arial"/>
          <w:szCs w:val="20"/>
        </w:rPr>
        <w:t>, a pochylenie podłużne rowu o więcej niż 0,05%.</w:t>
      </w:r>
    </w:p>
    <w:p w14:paraId="7D8A5A84"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Wykonawca jest zobowiązany utrzymywać drożność rowów w czasie realizacji inwestycji w zakresie wynikającym z wpływu robót na funkcjonowanie istniejącego układu odwodnienia. </w:t>
      </w:r>
    </w:p>
    <w:p w14:paraId="3FBF7D27"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5.8. Układanie geosyntetyków</w:t>
      </w:r>
    </w:p>
    <w:p w14:paraId="30311D1B"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Geosyntetyki należy układać łącząc je na zakład zgodnie z dokumentacją projektową i SST. Jeżeli dokumentacja projektowa i SST nie podają inaczej, przylegające do siebie arkusze lub pasy geosyntetyków należy układać z zakładem (i kotwieniem) zgodnie z instrukcją producenta lub decyzją projektanta. Wielkość zakładu pasm geosyntetyku układanych na stabilnym podłożu nie powinna być mniejsza niż </w:t>
      </w:r>
      <w:smartTag w:uri="urn:schemas-microsoft-com:office:smarttags" w:element="metricconverter">
        <w:smartTagPr>
          <w:attr w:name="ProductID" w:val="30 cm"/>
        </w:smartTagPr>
        <w:r w:rsidRPr="006431C4">
          <w:rPr>
            <w:rFonts w:cs="Arial"/>
            <w:szCs w:val="20"/>
          </w:rPr>
          <w:t>30 cm</w:t>
        </w:r>
      </w:smartTag>
      <w:r w:rsidRPr="006431C4">
        <w:rPr>
          <w:rFonts w:cs="Arial"/>
          <w:szCs w:val="20"/>
        </w:rPr>
        <w:t>. W przypadku obniżonej nośności warstwy, na której jest układany geosyntetyk, wielkość zakładu powinna być odpowiednio zwiększona, aby w całym okresie wykonania i eksploatacji budowli ziemnej została zachowana ciągłość warstwy geosyntetyku.</w:t>
      </w:r>
    </w:p>
    <w:p w14:paraId="673669C6"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przypadku uszkodzenia geosyntetyku należy, w uzgodnieniu z Inżynierem, przykryć to uszkodzenie pasami geosyntetyku na długości i szerokości większej o </w:t>
      </w:r>
      <w:smartTag w:uri="urn:schemas-microsoft-com:office:smarttags" w:element="metricconverter">
        <w:smartTagPr>
          <w:attr w:name="ProductID" w:val="100 cm"/>
        </w:smartTagPr>
        <w:r w:rsidRPr="006431C4">
          <w:rPr>
            <w:rFonts w:cs="Arial"/>
            <w:szCs w:val="20"/>
          </w:rPr>
          <w:t>100 cm</w:t>
        </w:r>
      </w:smartTag>
      <w:r w:rsidRPr="006431C4">
        <w:rPr>
          <w:rFonts w:cs="Arial"/>
          <w:szCs w:val="20"/>
        </w:rPr>
        <w:t xml:space="preserve"> od obszaru uszkodzonego.</w:t>
      </w:r>
    </w:p>
    <w:p w14:paraId="2D84D062"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Warstwa gruntu, na której przewiduje się ułożenie geosyntetyku powinna być równa i bez ostrych występów, mogących spowodować uszkodzenie geosyntetyku w czasie układania lub pracy. Metoda układania powinna zapewnić przyleganie geosyntetyku do warstwy, na której jest układana, na całej jej powierzchni. Geosyntetyków nie należy naciągać lub powodować ich zawieszenia na wzgórkach (garbach) lub nad dołami. Nie dopuszcza się ruchu maszyn budowlanych bezpośrednio na ułożonych geosyntetykach. Należy je przykryć gruntem nasypowym niezwłocznie po ułożeniu.</w:t>
      </w:r>
    </w:p>
    <w:p w14:paraId="5B3B1851"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Pasma geosyntetyków pełniących funkcję zbrojenia skarp, należy układać zgodnie z zasadami określonymi w dokumentacji projektowej. Konieczna jest jednoznaczna informacja dotycząca kierunku ułożenia pasm geosyntetyku, z uwzględnieniem kierunku jego produkcji, długości pasm oraz sposobu ich łączenia (na styk, z zakładem lub z odstępem). Jeżeli brak takiej pełnej informacji, zostanie ona uzupełniona przez projektanta.</w:t>
      </w:r>
    </w:p>
    <w:p w14:paraId="0520B7AB"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Nie dopuszcza się ruchu pojazdów bezpośrednio po ułożonych geosyntetykach. Warstwę geosyntetyków należy, niezwłocznie po ułożeniu, przykryć gruntem lub materiałem stosowanym do budowy nasypu. W przeciętnych warunkach </w:t>
      </w:r>
      <w:r w:rsidRPr="006431C4">
        <w:rPr>
          <w:rFonts w:cs="Arial"/>
          <w:szCs w:val="20"/>
        </w:rPr>
        <w:lastRenderedPageBreak/>
        <w:t>minimalna grubość warstwy ułożonej na warstwie geosyntetyków umożliwiająca dopuszczenie ruchu pojazdów wynosi 15cm.</w:t>
      </w:r>
    </w:p>
    <w:p w14:paraId="5332BF3C"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5.9. Wymagania dotyczące zagęszczenia</w:t>
      </w:r>
    </w:p>
    <w:p w14:paraId="5CDF4FC4" w14:textId="77777777" w:rsidR="00B677E1" w:rsidRPr="006431C4" w:rsidRDefault="00B677E1"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5.9.1.</w:t>
      </w:r>
      <w:r w:rsidRPr="006431C4">
        <w:rPr>
          <w:rFonts w:cs="Arial"/>
          <w:szCs w:val="20"/>
        </w:rPr>
        <w:t xml:space="preserve"> Określanie wskaźnika zagęszczenia metodą Proctora </w:t>
      </w:r>
    </w:p>
    <w:p w14:paraId="7E03EC6A"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Roboty ziemne należy wykonać w sposób zapewniający uzyskanie wymaganych wskaźników zagęszczenia Is korpusu ziemnego, określonych w SST. Wskaźnik zagęszczenia należy badać zgodnie z zasadami podanymi w normie BN-77/8931-12 [11]     i obliczać według wzoru określonego w p. 1.4.21, przy czym badania wilgotności optymalnej i maksymalnej gęstości objętościowej szkieletu należy przeprowadzić wg  normy PN-B-04481 [7], pkt 8 (dla gruntów)  i wg normy PN-EN 13286-2 [15]  (dla kruszyw). W oznaczeniu wilgotności optymalnej i maksymalnej gęstości objętościowej szkieletu gruntów i mieszanek kruszyw oraz wartości wskaźnika zagęszczenia Is należy stosować badanie Proctora i energię zagęszczania około 0,6 MJ/m</w:t>
      </w:r>
      <w:r w:rsidRPr="006431C4">
        <w:rPr>
          <w:rFonts w:cs="Arial"/>
          <w:szCs w:val="20"/>
          <w:vertAlign w:val="superscript"/>
        </w:rPr>
        <w:t>3</w:t>
      </w:r>
      <w:r w:rsidRPr="006431C4">
        <w:rPr>
          <w:rFonts w:cs="Arial"/>
          <w:szCs w:val="20"/>
        </w:rPr>
        <w:t>.</w:t>
      </w:r>
    </w:p>
    <w:p w14:paraId="77919305"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Wskaźnik zagęszczenia Is należy określić w odniesieniu do całej objętości nasypu i do głębokości </w:t>
      </w:r>
      <w:smartTag w:uri="urn:schemas-microsoft-com:office:smarttags" w:element="metricconverter">
        <w:smartTagPr>
          <w:attr w:name="ProductID" w:val="0,5 metra"/>
        </w:smartTagPr>
        <w:r w:rsidRPr="006431C4">
          <w:rPr>
            <w:rFonts w:cs="Arial"/>
            <w:szCs w:val="20"/>
          </w:rPr>
          <w:t>0,5 metra</w:t>
        </w:r>
      </w:smartTag>
      <w:r w:rsidRPr="006431C4">
        <w:rPr>
          <w:rFonts w:cs="Arial"/>
          <w:szCs w:val="20"/>
        </w:rPr>
        <w:t xml:space="preserve"> w podłożu nasypu oraz do głębokości </w:t>
      </w:r>
      <w:smartTag w:uri="urn:schemas-microsoft-com:office:smarttags" w:element="metricconverter">
        <w:smartTagPr>
          <w:attr w:name="ProductID" w:val="0,5 metra"/>
        </w:smartTagPr>
        <w:r w:rsidRPr="006431C4">
          <w:rPr>
            <w:rFonts w:cs="Arial"/>
            <w:szCs w:val="20"/>
          </w:rPr>
          <w:t>0,5 metra</w:t>
        </w:r>
      </w:smartTag>
      <w:r w:rsidRPr="006431C4">
        <w:rPr>
          <w:rFonts w:cs="Arial"/>
          <w:szCs w:val="20"/>
        </w:rPr>
        <w:t xml:space="preserve"> od spodu konstrukcji nawierzchni w wykopach i miejscach zerowych. Szczegółowe wymagania dotyczące wartości wskaźników zagęszczenia Is w wykopach podano w SST                       D-02.01.01 [3]. Szczegółowe wymagania dotyczące wartości wskaźników zagęszczenia Is w nasypach podano w SST D-02.03.01 [5]. </w:t>
      </w:r>
    </w:p>
    <w:p w14:paraId="26C2120A"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5.9.2.</w:t>
      </w:r>
      <w:r w:rsidRPr="006431C4">
        <w:rPr>
          <w:rFonts w:cs="Arial"/>
          <w:szCs w:val="20"/>
        </w:rPr>
        <w:t xml:space="preserve"> Ocena stanu zagęszczenia na podstawie wskaźnika odkształcenia</w:t>
      </w:r>
    </w:p>
    <w:p w14:paraId="7E3AE0C5"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przypadku niewielkiego zakresu robót oraz dużej jednorodności gruntu/materiału w ocenianej warstwie, dopuszcza się, za zgodą Inżyniera,  kontrolę i ocenę stanu zagęszczenia warstw gruntów lub materiałów na podstawie wskaźnika odkształcenia Io. Dopuszczenie tej metody wymaga potwierdzenia na odcinku próbnym i akceptacji przez Inżyniera wartości wskaźnika odkształcenia, stanowiących kryterium akceptacji stanu zagęszczenia, w odniesieniu do gruntów i materiałów stosowanych w konkretnym przypadku. Wskaźnik odkształcenia należy obliczać według wzoru określonego w p. 1.4.23 na podstawie wartości modułów odkształcenia oznaczanych pod obciążeniem statycznym lub dynamicznym, przy czym oznaczenie modułu odkształcenia odnosi się do nośności warstwy w chwili przeprowadzenia badania. Wartość modułu badanego na podstawie wskaźnika odkształcenia  można uznać za miarodajną w odniesieniu do kryteriów określonych w SST, jeżeli wilgotność gruntu/materiału warstwy w czasie badania nie jest wyższa od wilgotności jaką miał on w czasie zagęszczania oraz jest od niej niższa nie więcej niż o 2%.</w:t>
      </w:r>
    </w:p>
    <w:p w14:paraId="33CDEF49"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Zagęszczenie uznaje się za wystarczające, jeżeli jednocześnie jest spełnione wymaganie dotyczące maksymalnej wartości wskaźnika odkształcenia Io oraz minimalnej wartości wtórnego modułu odkształcenia E2.</w:t>
      </w:r>
    </w:p>
    <w:p w14:paraId="7E6197F6"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Orientacyjne, maksymalne wartości wskaźnika odkształcenia, w zależności od rodzaju gruntu lub innego materiału w badanej warstwie, określono w tabeli 4. </w:t>
      </w:r>
    </w:p>
    <w:p w14:paraId="010FAD69" w14:textId="77777777" w:rsidR="00B677E1" w:rsidRPr="006431C4" w:rsidRDefault="00B677E1" w:rsidP="00BE2485">
      <w:pPr>
        <w:overflowPunct w:val="0"/>
        <w:autoSpaceDE w:val="0"/>
        <w:autoSpaceDN w:val="0"/>
        <w:adjustRightInd w:val="0"/>
        <w:spacing w:line="240" w:lineRule="auto"/>
        <w:ind w:left="1202" w:hanging="1202"/>
        <w:jc w:val="both"/>
        <w:textAlignment w:val="baseline"/>
        <w:rPr>
          <w:rFonts w:cs="Arial"/>
          <w:szCs w:val="20"/>
        </w:rPr>
      </w:pPr>
    </w:p>
    <w:p w14:paraId="517C3E21" w14:textId="77777777" w:rsidR="00B677E1" w:rsidRPr="006431C4" w:rsidRDefault="00B677E1" w:rsidP="00BE2485">
      <w:pPr>
        <w:overflowPunct w:val="0"/>
        <w:autoSpaceDE w:val="0"/>
        <w:autoSpaceDN w:val="0"/>
        <w:adjustRightInd w:val="0"/>
        <w:spacing w:line="240" w:lineRule="auto"/>
        <w:ind w:left="1202" w:hanging="1202"/>
        <w:jc w:val="both"/>
        <w:textAlignment w:val="baseline"/>
        <w:rPr>
          <w:rFonts w:cs="Arial"/>
          <w:szCs w:val="20"/>
        </w:rPr>
      </w:pPr>
    </w:p>
    <w:p w14:paraId="26685F8B" w14:textId="77777777" w:rsidR="00B677E1" w:rsidRPr="006431C4" w:rsidRDefault="00B677E1" w:rsidP="00BE2485">
      <w:pPr>
        <w:overflowPunct w:val="0"/>
        <w:autoSpaceDE w:val="0"/>
        <w:autoSpaceDN w:val="0"/>
        <w:adjustRightInd w:val="0"/>
        <w:spacing w:line="240" w:lineRule="auto"/>
        <w:ind w:left="1202" w:hanging="1202"/>
        <w:jc w:val="both"/>
        <w:textAlignment w:val="baseline"/>
        <w:rPr>
          <w:rFonts w:cs="Arial"/>
          <w:szCs w:val="20"/>
        </w:rPr>
      </w:pPr>
    </w:p>
    <w:p w14:paraId="0D26177D" w14:textId="7A19C5EA" w:rsidR="00B677E1" w:rsidRPr="006431C4" w:rsidRDefault="00B677E1" w:rsidP="00BE2485">
      <w:pPr>
        <w:overflowPunct w:val="0"/>
        <w:autoSpaceDE w:val="0"/>
        <w:autoSpaceDN w:val="0"/>
        <w:adjustRightInd w:val="0"/>
        <w:spacing w:line="240" w:lineRule="auto"/>
        <w:jc w:val="both"/>
        <w:textAlignment w:val="baseline"/>
        <w:rPr>
          <w:rFonts w:cs="Arial"/>
          <w:bCs/>
          <w:szCs w:val="20"/>
        </w:rPr>
      </w:pPr>
      <w:bookmarkStart w:id="112" w:name="_Toc24577613"/>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4</w:t>
      </w:r>
      <w:r w:rsidRPr="006431C4">
        <w:rPr>
          <w:rFonts w:cs="Arial"/>
          <w:bCs/>
          <w:szCs w:val="20"/>
        </w:rPr>
        <w:fldChar w:fldCharType="end"/>
      </w:r>
      <w:r w:rsidRPr="006431C4">
        <w:rPr>
          <w:rFonts w:cs="Arial"/>
          <w:bCs/>
          <w:szCs w:val="20"/>
        </w:rPr>
        <w:t>. Maksymalne wartości wskaźnika odkształcenia w drogowych robotach ziemnych</w:t>
      </w:r>
      <w:bookmarkEnd w:id="1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25"/>
        <w:gridCol w:w="2963"/>
      </w:tblGrid>
      <w:tr w:rsidR="00B677E1" w:rsidRPr="006431C4" w14:paraId="2E814C54" w14:textId="77777777" w:rsidTr="00B677E1">
        <w:tc>
          <w:tcPr>
            <w:tcW w:w="7225" w:type="dxa"/>
          </w:tcPr>
          <w:p w14:paraId="095FCE89"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Grunt lub materiał</w:t>
            </w:r>
          </w:p>
        </w:tc>
        <w:tc>
          <w:tcPr>
            <w:tcW w:w="2963" w:type="dxa"/>
          </w:tcPr>
          <w:p w14:paraId="3B83131E"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Maksymalna wartość wskaźnika odkształcenia Io</w:t>
            </w:r>
          </w:p>
        </w:tc>
      </w:tr>
      <w:tr w:rsidR="00B677E1" w:rsidRPr="006431C4" w14:paraId="475AC45B" w14:textId="77777777" w:rsidTr="00B677E1">
        <w:tc>
          <w:tcPr>
            <w:tcW w:w="7225" w:type="dxa"/>
          </w:tcPr>
          <w:p w14:paraId="3159F19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Grunty niespoiste oraz wymagania Is ≥ 1.0</w:t>
            </w:r>
          </w:p>
        </w:tc>
        <w:tc>
          <w:tcPr>
            <w:tcW w:w="2963" w:type="dxa"/>
          </w:tcPr>
          <w:p w14:paraId="62969EE6"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2,2</w:t>
            </w:r>
          </w:p>
        </w:tc>
      </w:tr>
      <w:tr w:rsidR="00B677E1" w:rsidRPr="006431C4" w14:paraId="390AEBA7" w14:textId="77777777" w:rsidTr="00B677E1">
        <w:tc>
          <w:tcPr>
            <w:tcW w:w="7225" w:type="dxa"/>
          </w:tcPr>
          <w:p w14:paraId="002BB8F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Grunty niespoiste oraz wymaganie Is &lt; 1.0</w:t>
            </w:r>
          </w:p>
        </w:tc>
        <w:tc>
          <w:tcPr>
            <w:tcW w:w="2963" w:type="dxa"/>
          </w:tcPr>
          <w:p w14:paraId="2864AB43"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2,5</w:t>
            </w:r>
          </w:p>
        </w:tc>
      </w:tr>
      <w:tr w:rsidR="00B677E1" w:rsidRPr="006431C4" w14:paraId="7DFF46E9" w14:textId="77777777" w:rsidTr="00B677E1">
        <w:tc>
          <w:tcPr>
            <w:tcW w:w="7225" w:type="dxa"/>
          </w:tcPr>
          <w:p w14:paraId="72FF446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Grunty stabilizowane spoiwami do 12 h od zakończenia zagęszczania</w:t>
            </w:r>
          </w:p>
        </w:tc>
        <w:tc>
          <w:tcPr>
            <w:tcW w:w="2963" w:type="dxa"/>
          </w:tcPr>
          <w:p w14:paraId="45EF077E"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2,2</w:t>
            </w:r>
          </w:p>
        </w:tc>
      </w:tr>
      <w:tr w:rsidR="00B677E1" w:rsidRPr="006431C4" w14:paraId="57F24538" w14:textId="77777777" w:rsidTr="00B677E1">
        <w:tc>
          <w:tcPr>
            <w:tcW w:w="7225" w:type="dxa"/>
          </w:tcPr>
          <w:p w14:paraId="45504631"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Grunty drobnoziarniste o równomiernym uziarnieniu</w:t>
            </w:r>
          </w:p>
        </w:tc>
        <w:tc>
          <w:tcPr>
            <w:tcW w:w="2963" w:type="dxa"/>
          </w:tcPr>
          <w:p w14:paraId="33A18EDB"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r>
      <w:tr w:rsidR="00B677E1" w:rsidRPr="006431C4" w14:paraId="28462CEF" w14:textId="77777777" w:rsidTr="00B677E1">
        <w:tc>
          <w:tcPr>
            <w:tcW w:w="7225" w:type="dxa"/>
          </w:tcPr>
          <w:p w14:paraId="0456512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Grunty o zróżnicowanym uziarnieniu</w:t>
            </w:r>
          </w:p>
        </w:tc>
        <w:tc>
          <w:tcPr>
            <w:tcW w:w="2963" w:type="dxa"/>
          </w:tcPr>
          <w:p w14:paraId="7E734C6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r>
      <w:tr w:rsidR="00B677E1" w:rsidRPr="006431C4" w14:paraId="4D04FCF9" w14:textId="77777777" w:rsidTr="00B677E1">
        <w:tc>
          <w:tcPr>
            <w:tcW w:w="7225" w:type="dxa"/>
          </w:tcPr>
          <w:p w14:paraId="2736A4D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Grunty kamieniste</w:t>
            </w:r>
          </w:p>
        </w:tc>
        <w:tc>
          <w:tcPr>
            <w:tcW w:w="2963" w:type="dxa"/>
          </w:tcPr>
          <w:p w14:paraId="765F9C88"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r>
      <w:tr w:rsidR="00B677E1" w:rsidRPr="006431C4" w14:paraId="63953C86" w14:textId="77777777" w:rsidTr="00B677E1">
        <w:tc>
          <w:tcPr>
            <w:tcW w:w="7225" w:type="dxa"/>
          </w:tcPr>
          <w:p w14:paraId="5369C821"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Grunty i materiały antropogeniczne</w:t>
            </w:r>
          </w:p>
        </w:tc>
        <w:tc>
          <w:tcPr>
            <w:tcW w:w="2963" w:type="dxa"/>
          </w:tcPr>
          <w:p w14:paraId="1C2F748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wartość należy określić na podstawie badań</w:t>
            </w:r>
          </w:p>
        </w:tc>
      </w:tr>
    </w:tbl>
    <w:p w14:paraId="6F3FBB57"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p w14:paraId="7B02F090" w14:textId="77777777" w:rsidR="00B677E1" w:rsidRPr="006431C4" w:rsidRDefault="00B677E1" w:rsidP="00BE2485">
      <w:pPr>
        <w:overflowPunct w:val="0"/>
        <w:autoSpaceDE w:val="0"/>
        <w:autoSpaceDN w:val="0"/>
        <w:adjustRightInd w:val="0"/>
        <w:spacing w:line="240" w:lineRule="auto"/>
        <w:ind w:left="839" w:hanging="839"/>
        <w:jc w:val="both"/>
        <w:textAlignment w:val="baseline"/>
        <w:rPr>
          <w:rFonts w:cs="Arial"/>
          <w:szCs w:val="20"/>
        </w:rPr>
      </w:pPr>
      <w:r w:rsidRPr="006431C4">
        <w:rPr>
          <w:rFonts w:cs="Arial"/>
          <w:szCs w:val="20"/>
        </w:rPr>
        <w:t>5.9.2.1. Oznaczenie modułu odkształcenia podłoża przez obciążenie płytą pod obciążeniem statycznym</w:t>
      </w:r>
    </w:p>
    <w:p w14:paraId="3AD3BD2C"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Oznaczenie modułu odkształcenia podłoża przez obciążenie płytą pod obciążeniem statycznym należy wykonać wg procedury zawartej w załączniku B do normy PN-S-2205. </w:t>
      </w:r>
    </w:p>
    <w:p w14:paraId="680D1A5F" w14:textId="77777777" w:rsidR="00B677E1" w:rsidRPr="006431C4" w:rsidRDefault="00B677E1" w:rsidP="00BE2485">
      <w:pPr>
        <w:overflowPunct w:val="0"/>
        <w:autoSpaceDE w:val="0"/>
        <w:autoSpaceDN w:val="0"/>
        <w:adjustRightInd w:val="0"/>
        <w:spacing w:line="240" w:lineRule="auto"/>
        <w:ind w:left="840" w:hanging="840"/>
        <w:jc w:val="both"/>
        <w:textAlignment w:val="baseline"/>
        <w:rPr>
          <w:rFonts w:cs="Arial"/>
          <w:szCs w:val="20"/>
        </w:rPr>
      </w:pPr>
      <w:r w:rsidRPr="006431C4">
        <w:rPr>
          <w:rFonts w:cs="Arial"/>
          <w:szCs w:val="20"/>
        </w:rPr>
        <w:t>5.9.2.2. Oznaczenie modułu odkształcenia podłoża pod obciążeniem dynamicznym lekką płytą (LPD)</w:t>
      </w:r>
    </w:p>
    <w:p w14:paraId="59B9A319"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Badanie lekką płytą dynamiczną (LPD) można stosować wyłącznie w kontroli warstw wykonanych z gruntów i materiałów nieplastycznych (niespoistych) o uziarnieniach do </w:t>
      </w:r>
      <w:smartTag w:uri="urn:schemas-microsoft-com:office:smarttags" w:element="metricconverter">
        <w:smartTagPr>
          <w:attr w:name="ProductID" w:val="63 mm"/>
        </w:smartTagPr>
        <w:r w:rsidRPr="006431C4">
          <w:rPr>
            <w:rFonts w:cs="Arial"/>
            <w:szCs w:val="20"/>
          </w:rPr>
          <w:t>63 mm</w:t>
        </w:r>
      </w:smartTag>
      <w:r w:rsidRPr="006431C4">
        <w:rPr>
          <w:rFonts w:cs="Arial"/>
          <w:szCs w:val="20"/>
        </w:rPr>
        <w:t xml:space="preserve">. Należy stosować płytę o średnicy </w:t>
      </w:r>
      <w:smartTag w:uri="urn:schemas-microsoft-com:office:smarttags" w:element="metricconverter">
        <w:smartTagPr>
          <w:attr w:name="ProductID" w:val="30 cm"/>
        </w:smartTagPr>
        <w:r w:rsidRPr="006431C4">
          <w:rPr>
            <w:rFonts w:cs="Arial"/>
            <w:szCs w:val="20"/>
          </w:rPr>
          <w:t>30 cm</w:t>
        </w:r>
      </w:smartTag>
      <w:r w:rsidRPr="006431C4">
        <w:rPr>
          <w:rFonts w:cs="Arial"/>
          <w:szCs w:val="20"/>
        </w:rPr>
        <w:t xml:space="preserve">. Głębokość oddziaływania LPD jest równa średnicy płyty. Oznacza to, że w przypadku stosowania płyty o średnicy </w:t>
      </w:r>
      <w:smartTag w:uri="urn:schemas-microsoft-com:office:smarttags" w:element="metricconverter">
        <w:smartTagPr>
          <w:attr w:name="ProductID" w:val="30 cm"/>
        </w:smartTagPr>
        <w:r w:rsidRPr="006431C4">
          <w:rPr>
            <w:rFonts w:cs="Arial"/>
            <w:szCs w:val="20"/>
          </w:rPr>
          <w:t>30 cm</w:t>
        </w:r>
      </w:smartTag>
      <w:r w:rsidRPr="006431C4">
        <w:rPr>
          <w:rFonts w:cs="Arial"/>
          <w:szCs w:val="20"/>
        </w:rPr>
        <w:t xml:space="preserve"> nie należy poddawać badaniu warstw grubszych niż </w:t>
      </w:r>
      <w:smartTag w:uri="urn:schemas-microsoft-com:office:smarttags" w:element="metricconverter">
        <w:smartTagPr>
          <w:attr w:name="ProductID" w:val="30 cm"/>
        </w:smartTagPr>
        <w:r w:rsidRPr="006431C4">
          <w:rPr>
            <w:rFonts w:cs="Arial"/>
            <w:szCs w:val="20"/>
          </w:rPr>
          <w:t>30 cm</w:t>
        </w:r>
      </w:smartTag>
      <w:r w:rsidRPr="006431C4">
        <w:rPr>
          <w:rFonts w:cs="Arial"/>
          <w:szCs w:val="20"/>
        </w:rPr>
        <w:t>. W przypadku badania warstw cieńszych niż średnica płyty należy wykluczyć możliwość wpływu warstwy leżącej niżej na wynik oznaczenia. Stosowane urządzenie musi mieć ważny dokument certyfikacji. Należy ściśle przestrzegać procedury oznaczania modułu odkształcenia podłoża pod obciążeniem dynamicznym, określonej przez producenta w instrukcji stosowania urządzenia. Badanie LPD może być wykorzystane jako pośrednia metoda oceny zagęszczenia i/lub nośności warstwy na podstawie zaakceptowanych przez Inżyniera korelacji wartości dynamicznego modułu odkształcenia Evd z wartościami wskaźnika zagęszczenia Is i/lub wtórnego modułu odkształcenia E</w:t>
      </w:r>
      <w:r w:rsidRPr="006431C4">
        <w:rPr>
          <w:rFonts w:cs="Arial"/>
          <w:szCs w:val="20"/>
          <w:vertAlign w:val="subscript"/>
        </w:rPr>
        <w:t>2</w:t>
      </w:r>
      <w:r w:rsidRPr="006431C4">
        <w:rPr>
          <w:rFonts w:cs="Arial"/>
          <w:szCs w:val="20"/>
        </w:rPr>
        <w:t>. Uwzględniając zróżnicowanie konstrukcyjne urządzeń pomiarowych, określanych jako lekka płyta dynamiczna (LPD) w kontroli warstwy należy stosować jeden typ urządzenia. W przypadku stosowania płyt LPD o różnych konstrukcjach korelację należy ustalić dla każdego typu urządzenia.</w:t>
      </w:r>
    </w:p>
    <w:p w14:paraId="41B2E833" w14:textId="77777777" w:rsidR="00B677E1" w:rsidRPr="006431C4" w:rsidRDefault="00B677E1" w:rsidP="00BE2485">
      <w:pPr>
        <w:overflowPunct w:val="0"/>
        <w:autoSpaceDE w:val="0"/>
        <w:autoSpaceDN w:val="0"/>
        <w:adjustRightInd w:val="0"/>
        <w:spacing w:line="240" w:lineRule="auto"/>
        <w:ind w:left="709" w:hanging="709"/>
        <w:jc w:val="both"/>
        <w:textAlignment w:val="baseline"/>
        <w:rPr>
          <w:rFonts w:cs="Arial"/>
          <w:szCs w:val="20"/>
        </w:rPr>
      </w:pPr>
      <w:r w:rsidRPr="006431C4">
        <w:rPr>
          <w:rFonts w:cs="Arial"/>
          <w:b/>
          <w:szCs w:val="20"/>
        </w:rPr>
        <w:t>5.9.3.</w:t>
      </w:r>
      <w:r w:rsidRPr="006431C4">
        <w:rPr>
          <w:rFonts w:cs="Arial"/>
          <w:szCs w:val="20"/>
        </w:rPr>
        <w:tab/>
        <w:t>Pośrednie oznaczanie wskaźnika zagęszczenia na podstawie stopnia zagęszczenia określonego w badaniu sondą dynamiczną</w:t>
      </w:r>
    </w:p>
    <w:p w14:paraId="0782B882"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Po akceptacji Inżyniera, do dodatkowej kontroli zagęszczenia nasypów wykonanych z gruntów nieplastycznych (niespoistych) można stosować sondy dynamiczne. Procedura wykonywania badania sondą dynamiczną zawarta jest w normie PN-B-04452 [21]. Orientacyjną wartość wskaźnika zagęszczenia I</w:t>
      </w:r>
      <w:r w:rsidRPr="006431C4">
        <w:rPr>
          <w:rFonts w:cs="Arial"/>
          <w:szCs w:val="20"/>
          <w:vertAlign w:val="subscript"/>
        </w:rPr>
        <w:t>s</w:t>
      </w:r>
      <w:r w:rsidRPr="006431C4">
        <w:rPr>
          <w:rFonts w:cs="Arial"/>
          <w:szCs w:val="20"/>
        </w:rPr>
        <w:t xml:space="preserve"> można określić na podstawie zależności korelacyjnej:</w:t>
      </w:r>
    </w:p>
    <w:p w14:paraId="3CED0DB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ascii="Cambria Math" w:hAnsi="Cambria Math" w:cs="Cambria Math"/>
          <w:szCs w:val="20"/>
        </w:rPr>
        <w:t>𝐼</w:t>
      </w:r>
      <w:r w:rsidRPr="006431C4">
        <w:rPr>
          <w:rFonts w:ascii="Cambria Math" w:hAnsi="Cambria Math" w:cs="Cambria Math"/>
          <w:szCs w:val="20"/>
          <w:vertAlign w:val="subscript"/>
        </w:rPr>
        <w:t>𝑆</w:t>
      </w:r>
      <w:r w:rsidRPr="006431C4">
        <w:rPr>
          <w:rFonts w:cs="Arial"/>
          <w:szCs w:val="20"/>
        </w:rPr>
        <w:t>=0,818/(0,958−0,174</w:t>
      </w:r>
      <w:r w:rsidRPr="006431C4">
        <w:rPr>
          <w:rFonts w:ascii="Cambria Math" w:hAnsi="Cambria Math" w:cs="Cambria Math"/>
          <w:szCs w:val="20"/>
        </w:rPr>
        <w:t>𝐼</w:t>
      </w:r>
      <w:r w:rsidRPr="006431C4">
        <w:rPr>
          <w:rFonts w:ascii="Cambria Math" w:hAnsi="Cambria Math" w:cs="Cambria Math"/>
          <w:szCs w:val="20"/>
          <w:vertAlign w:val="subscript"/>
        </w:rPr>
        <w:t>𝐷</w:t>
      </w:r>
      <w:r w:rsidRPr="006431C4">
        <w:rPr>
          <w:rFonts w:cs="Arial"/>
          <w:szCs w:val="20"/>
        </w:rPr>
        <w:t>)</w:t>
      </w:r>
    </w:p>
    <w:p w14:paraId="6D352CE7"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gdzie:</w:t>
      </w:r>
    </w:p>
    <w:p w14:paraId="2C0895E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I</w:t>
      </w:r>
      <w:r w:rsidRPr="006431C4">
        <w:rPr>
          <w:rFonts w:cs="Arial"/>
          <w:szCs w:val="20"/>
          <w:vertAlign w:val="subscript"/>
        </w:rPr>
        <w:t xml:space="preserve">D - </w:t>
      </w:r>
      <w:r w:rsidRPr="006431C4">
        <w:rPr>
          <w:rFonts w:cs="Arial"/>
          <w:szCs w:val="20"/>
        </w:rPr>
        <w:t>stopień zagęszczenia gruntów niespoistych wyznaczony w oparciu o liczbę uderzeń młota (N</w:t>
      </w:r>
      <w:r w:rsidRPr="006431C4">
        <w:rPr>
          <w:rFonts w:cs="Arial"/>
          <w:szCs w:val="20"/>
          <w:vertAlign w:val="subscript"/>
        </w:rPr>
        <w:t>K</w:t>
      </w:r>
      <w:r w:rsidRPr="006431C4">
        <w:rPr>
          <w:rFonts w:cs="Arial"/>
          <w:szCs w:val="20"/>
        </w:rPr>
        <w:t>) potrzebną do zagłębienia końcówki o 0,1m (sondy DPL, DPM), 0,2m (DPSH) na podstawie wzorów:</w:t>
      </w:r>
    </w:p>
    <w:p w14:paraId="606C704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DPL</w:t>
      </w:r>
      <w:r w:rsidRPr="006431C4">
        <w:rPr>
          <w:rFonts w:cs="Arial"/>
          <w:szCs w:val="20"/>
        </w:rPr>
        <w:tab/>
        <w:t>I</w:t>
      </w:r>
      <w:r w:rsidRPr="006431C4">
        <w:rPr>
          <w:rFonts w:cs="Arial"/>
          <w:szCs w:val="20"/>
          <w:vertAlign w:val="subscript"/>
        </w:rPr>
        <w:t>D</w:t>
      </w:r>
      <w:r w:rsidRPr="006431C4">
        <w:rPr>
          <w:rFonts w:cs="Arial"/>
          <w:szCs w:val="20"/>
        </w:rPr>
        <w:t>= 0,071+0,429 log N</w:t>
      </w:r>
      <w:r w:rsidRPr="006431C4">
        <w:rPr>
          <w:rFonts w:cs="Arial"/>
          <w:szCs w:val="20"/>
          <w:vertAlign w:val="subscript"/>
        </w:rPr>
        <w:t>K</w:t>
      </w:r>
    </w:p>
    <w:p w14:paraId="3B1B283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vertAlign w:val="subscript"/>
        </w:rPr>
      </w:pPr>
      <w:r w:rsidRPr="006431C4">
        <w:rPr>
          <w:rFonts w:cs="Arial"/>
          <w:szCs w:val="20"/>
        </w:rPr>
        <w:t>DPM</w:t>
      </w:r>
      <w:r w:rsidRPr="006431C4">
        <w:rPr>
          <w:rFonts w:cs="Arial"/>
          <w:szCs w:val="20"/>
        </w:rPr>
        <w:tab/>
        <w:t>I</w:t>
      </w:r>
      <w:r w:rsidRPr="006431C4">
        <w:rPr>
          <w:rFonts w:cs="Arial"/>
          <w:szCs w:val="20"/>
          <w:vertAlign w:val="subscript"/>
        </w:rPr>
        <w:t>D</w:t>
      </w:r>
      <w:r w:rsidRPr="006431C4">
        <w:rPr>
          <w:rFonts w:cs="Arial"/>
          <w:szCs w:val="20"/>
        </w:rPr>
        <w:t>= 0,176+0,431 log N</w:t>
      </w:r>
      <w:r w:rsidRPr="006431C4">
        <w:rPr>
          <w:rFonts w:cs="Arial"/>
          <w:szCs w:val="20"/>
          <w:vertAlign w:val="subscript"/>
        </w:rPr>
        <w:t>K</w:t>
      </w:r>
    </w:p>
    <w:p w14:paraId="1BE254B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vertAlign w:val="subscript"/>
        </w:rPr>
      </w:pPr>
      <w:r w:rsidRPr="006431C4">
        <w:rPr>
          <w:rFonts w:cs="Arial"/>
          <w:szCs w:val="20"/>
        </w:rPr>
        <w:t>DPH</w:t>
      </w:r>
      <w:r w:rsidRPr="006431C4">
        <w:rPr>
          <w:rFonts w:cs="Arial"/>
          <w:szCs w:val="20"/>
        </w:rPr>
        <w:tab/>
        <w:t>I</w:t>
      </w:r>
      <w:r w:rsidRPr="006431C4">
        <w:rPr>
          <w:rFonts w:cs="Arial"/>
          <w:szCs w:val="20"/>
          <w:vertAlign w:val="subscript"/>
        </w:rPr>
        <w:t>D</w:t>
      </w:r>
      <w:r w:rsidRPr="006431C4">
        <w:rPr>
          <w:rFonts w:cs="Arial"/>
          <w:szCs w:val="20"/>
        </w:rPr>
        <w:t>= 0,271+0,441 log N</w:t>
      </w:r>
      <w:r w:rsidRPr="006431C4">
        <w:rPr>
          <w:rFonts w:cs="Arial"/>
          <w:szCs w:val="20"/>
          <w:vertAlign w:val="subscript"/>
        </w:rPr>
        <w:t>K</w:t>
      </w:r>
    </w:p>
    <w:p w14:paraId="54D9CE8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DPSH</w:t>
      </w:r>
      <w:r w:rsidRPr="006431C4">
        <w:rPr>
          <w:rFonts w:cs="Arial"/>
          <w:szCs w:val="20"/>
        </w:rPr>
        <w:tab/>
        <w:t>I</w:t>
      </w:r>
      <w:r w:rsidRPr="006431C4">
        <w:rPr>
          <w:rFonts w:cs="Arial"/>
          <w:szCs w:val="20"/>
          <w:vertAlign w:val="subscript"/>
        </w:rPr>
        <w:t>D</w:t>
      </w:r>
      <w:r w:rsidRPr="006431C4">
        <w:rPr>
          <w:rFonts w:cs="Arial"/>
          <w:szCs w:val="20"/>
        </w:rPr>
        <w:t>= 0,196+0,441 log N</w:t>
      </w:r>
      <w:r w:rsidRPr="006431C4">
        <w:rPr>
          <w:rFonts w:cs="Arial"/>
          <w:szCs w:val="20"/>
          <w:vertAlign w:val="subscript"/>
        </w:rPr>
        <w:t>K</w:t>
      </w:r>
    </w:p>
    <w:p w14:paraId="42D59C50"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Wyniki sondowania należy interpretować dopiero poniżej głębokości krytycznej (tc) wynoszącej dla sondy DPL tc=0,6 m, dla sond DPM oraz DPH tc=1,0 m, dla sondy DPSH tc=1,5.</w:t>
      </w:r>
    </w:p>
    <w:p w14:paraId="17DA7F88"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5.10. Wymagania dotyczące nośności</w:t>
      </w:r>
    </w:p>
    <w:p w14:paraId="345B4F69"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Wartość wtórnego modułu odkształcenia należy kontrolować na powierzchni warstw, w odniesieniu do których określono wymóg dotyczący minimalnej wartości wtórnego modułu odkształcenia E</w:t>
      </w:r>
      <w:r w:rsidRPr="006431C4">
        <w:rPr>
          <w:rFonts w:cs="Arial"/>
          <w:szCs w:val="20"/>
          <w:vertAlign w:val="subscript"/>
        </w:rPr>
        <w:t>2</w:t>
      </w:r>
      <w:r w:rsidRPr="006431C4">
        <w:rPr>
          <w:rFonts w:cs="Arial"/>
          <w:szCs w:val="20"/>
        </w:rPr>
        <w:t>. Szczegółowe wymagania dotyczące wartości wtórnego modułu odkształcenia E</w:t>
      </w:r>
      <w:r w:rsidRPr="006431C4">
        <w:rPr>
          <w:rFonts w:cs="Arial"/>
          <w:szCs w:val="20"/>
          <w:vertAlign w:val="subscript"/>
        </w:rPr>
        <w:t xml:space="preserve">2 </w:t>
      </w:r>
      <w:r w:rsidRPr="006431C4">
        <w:rPr>
          <w:rFonts w:cs="Arial"/>
          <w:szCs w:val="20"/>
        </w:rPr>
        <w:t>w wykopach podano w SST D-02.01.01. Szczegółowe wymagania dotyczące wartości modułu odkształcenia E</w:t>
      </w:r>
      <w:r w:rsidRPr="006431C4">
        <w:rPr>
          <w:rFonts w:cs="Arial"/>
          <w:szCs w:val="20"/>
          <w:vertAlign w:val="subscript"/>
        </w:rPr>
        <w:t>2</w:t>
      </w:r>
      <w:r w:rsidRPr="006431C4">
        <w:rPr>
          <w:rFonts w:cs="Arial"/>
          <w:szCs w:val="20"/>
        </w:rPr>
        <w:t>w nasypach podano w SST D-02.03.01. Roboty ziemne należy wykonać w sposób zapewniający uzyskanie nośności podłoża gruntowego nawierzchni, określonej wartością wtórnego modułu odkształcenia E2, nie gorszej niż przyjęta w projekcie konstrukcji nawierzchni. Nie dopuszcza się redukcji grubości warstw konstrukcji nawierzchni w przypadku stwierdzenia większej wartości E2 niż przyjęta w projekcie konstrukcji nawierzchni.</w:t>
      </w:r>
    </w:p>
    <w:p w14:paraId="2E02422B"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Oznaczenie wtórnego modułu odkształcenia podłoża należy wykonać wg procedury zawartej w załączniku B do normy PN-S-2205 [6]. </w:t>
      </w:r>
    </w:p>
    <w:p w14:paraId="27B128FD"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Alternatywnie, z ograniczeniami jak w pkcie 5.9.2.2,  dopuszcza się kontrolę i ocenę nośności na powierzchni warstwy gruntu/materiału na podstawie oznaczenia wartości modułu dynamicznego Evd z zastosowaniem lekkiej płyty dynamicznej LPD. </w:t>
      </w:r>
    </w:p>
    <w:p w14:paraId="527E42AF"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Dopuszczenie tej metody wymaga potwierdzenia na odcinku próbnym i akceptacji przez Inżyniera korelacji wartości wtórnego modułu odkształcenia E2, stanowiących kryterium akceptacji nośności, z wartościami modułu dynamicznego Evd w odniesieniu do gruntów i materiałów stosowanych w konkretnym przypadku i określonych z zastosowaniem wybranego typu (konstrukcji) LPD. W przypadku stosowania płyty LPD należy uwzględnić właściwe dla tej metody ograniczenia w zakresie jej stosowalności. </w:t>
      </w:r>
    </w:p>
    <w:p w14:paraId="50D10612"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Wartość modułu Evd można uznać za miarodajną, jeżeli wilgotność gruntu/materiału warstwy w czasie badania nie jest niższa o więcej niż 2% w stosunku do wilgotności jaką miał on w czasie zagęszczania. Dopuszczenie badania z zastosowaniem LPD nie może kolidować z zapisami pktu 6  niniejszej SST.</w:t>
      </w:r>
    </w:p>
    <w:p w14:paraId="7DE2B9DA"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13" w:name="_Toc17407538"/>
      <w:bookmarkStart w:id="114" w:name="_Toc17407773"/>
      <w:bookmarkStart w:id="115" w:name="_Toc17407897"/>
      <w:bookmarkStart w:id="116" w:name="_Toc17408016"/>
      <w:r w:rsidRPr="006431C4">
        <w:rPr>
          <w:rFonts w:cs="Arial"/>
          <w:b/>
          <w:szCs w:val="20"/>
        </w:rPr>
        <w:t>5.11. Odkłady</w:t>
      </w:r>
    </w:p>
    <w:p w14:paraId="7E00CDD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5.11.1. </w:t>
      </w:r>
      <w:r w:rsidRPr="006431C4">
        <w:rPr>
          <w:rFonts w:cs="Arial"/>
          <w:szCs w:val="20"/>
        </w:rPr>
        <w:t>Warunki ogólne wykonania odkładów</w:t>
      </w:r>
    </w:p>
    <w:p w14:paraId="7FE49ADF"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Roboty omówione w tym punkcie dotyczą postępowania z gruntami lub innymi materiałami, które zostały pozyskane w czasie wykonywania wykopów, a które nie będą wykorzystane do budowy nasypów oraz innych prac związanych z trasą drogową.</w:t>
      </w:r>
    </w:p>
    <w:p w14:paraId="00165606"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Grunty lub inne materiały powinny być przewiezione na odkład, jeżeli:</w:t>
      </w:r>
    </w:p>
    <w:p w14:paraId="73EEE524" w14:textId="77777777" w:rsidR="00B677E1" w:rsidRPr="006431C4" w:rsidRDefault="00B677E1" w:rsidP="00CF1E7D">
      <w:pPr>
        <w:numPr>
          <w:ilvl w:val="0"/>
          <w:numId w:val="111"/>
        </w:numPr>
        <w:overflowPunct w:val="0"/>
        <w:autoSpaceDE w:val="0"/>
        <w:autoSpaceDN w:val="0"/>
        <w:adjustRightInd w:val="0"/>
        <w:spacing w:line="240" w:lineRule="auto"/>
        <w:jc w:val="both"/>
        <w:textAlignment w:val="baseline"/>
        <w:rPr>
          <w:rFonts w:cs="Arial"/>
          <w:szCs w:val="20"/>
        </w:rPr>
      </w:pPr>
      <w:r w:rsidRPr="006431C4">
        <w:rPr>
          <w:rFonts w:cs="Arial"/>
          <w:szCs w:val="20"/>
        </w:rPr>
        <w:t>stanowią nadmiar objętości w stosunku do objętości gruntów przewidzianych do wbudowania,</w:t>
      </w:r>
    </w:p>
    <w:p w14:paraId="2ED9826D" w14:textId="77777777" w:rsidR="00B677E1" w:rsidRPr="006431C4" w:rsidRDefault="00B677E1" w:rsidP="00CF1E7D">
      <w:pPr>
        <w:numPr>
          <w:ilvl w:val="0"/>
          <w:numId w:val="111"/>
        </w:numPr>
        <w:overflowPunct w:val="0"/>
        <w:autoSpaceDE w:val="0"/>
        <w:autoSpaceDN w:val="0"/>
        <w:adjustRightInd w:val="0"/>
        <w:spacing w:line="240" w:lineRule="auto"/>
        <w:jc w:val="both"/>
        <w:textAlignment w:val="baseline"/>
        <w:rPr>
          <w:rFonts w:cs="Arial"/>
          <w:szCs w:val="20"/>
        </w:rPr>
      </w:pPr>
      <w:r w:rsidRPr="006431C4">
        <w:rPr>
          <w:rFonts w:cs="Arial"/>
          <w:szCs w:val="20"/>
        </w:rPr>
        <w:t>są nieprzydatne do budowy nasypów oraz wykorzystania w innych pracach, związanych z budową trasy drogowej,</w:t>
      </w:r>
    </w:p>
    <w:p w14:paraId="696D69E2" w14:textId="77777777" w:rsidR="00B677E1" w:rsidRPr="006431C4" w:rsidRDefault="00B677E1" w:rsidP="00CF1E7D">
      <w:pPr>
        <w:numPr>
          <w:ilvl w:val="0"/>
          <w:numId w:val="111"/>
        </w:numPr>
        <w:overflowPunct w:val="0"/>
        <w:autoSpaceDE w:val="0"/>
        <w:autoSpaceDN w:val="0"/>
        <w:adjustRightInd w:val="0"/>
        <w:spacing w:line="240" w:lineRule="auto"/>
        <w:jc w:val="both"/>
        <w:textAlignment w:val="baseline"/>
        <w:rPr>
          <w:rFonts w:cs="Arial"/>
          <w:szCs w:val="20"/>
        </w:rPr>
      </w:pPr>
      <w:r w:rsidRPr="006431C4">
        <w:rPr>
          <w:rFonts w:cs="Arial"/>
          <w:szCs w:val="20"/>
        </w:rPr>
        <w:t>ze względu na harmonogram robót nie jest ekonomicznie uzasadnione oczekiwanie na wbudowanie materiałów pozyskiwanych z wykopu.</w:t>
      </w:r>
    </w:p>
    <w:p w14:paraId="2583FE96"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Wykonawca może przyjąć, że zachodzi jeden z podanych wyżej przypadków tylko wówczas, gdy zostało to jednoznacznie określone w dokumentacji projektowej, harmonogramie robót lub przez Inżyniera.</w:t>
      </w:r>
    </w:p>
    <w:p w14:paraId="53CA8128" w14:textId="77777777" w:rsidR="00B677E1" w:rsidRPr="006431C4" w:rsidRDefault="00B677E1"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5.11.2. </w:t>
      </w:r>
      <w:r w:rsidRPr="006431C4">
        <w:rPr>
          <w:rFonts w:cs="Arial"/>
          <w:szCs w:val="20"/>
        </w:rPr>
        <w:t>Lokalizacja odkładu</w:t>
      </w:r>
    </w:p>
    <w:p w14:paraId="1AC9AC0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14:paraId="45D87F5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Jeżeli nie przewidziano zagospodarowania nadmiaru objętości w sposób określony powyżej, materiały te należy przewieźć na odkład.</w:t>
      </w:r>
    </w:p>
    <w:p w14:paraId="1D9A632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Lokalizacja odkładu powinna być wskazana w dokumentacji projektowej lub przez Inżyniera. Jeżeli miejsce odkładu zostało wybrane przez Wykonawcę, musi być ono zaakceptowane przez Inżyniera. Niezależnie od tego, Wykonawca musi uzyskać zgodę właściciela terenu.</w:t>
      </w:r>
    </w:p>
    <w:p w14:paraId="46D9D51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Jeżeli odkłady są zlokalizowane wzdłuż odcinka trasy przebiegającego w wykopie, to:</w:t>
      </w:r>
    </w:p>
    <w:p w14:paraId="2DD17122" w14:textId="77777777" w:rsidR="00B677E1" w:rsidRPr="006431C4" w:rsidRDefault="00B677E1" w:rsidP="00CF1E7D">
      <w:pPr>
        <w:numPr>
          <w:ilvl w:val="0"/>
          <w:numId w:val="112"/>
        </w:numPr>
        <w:overflowPunct w:val="0"/>
        <w:autoSpaceDE w:val="0"/>
        <w:autoSpaceDN w:val="0"/>
        <w:adjustRightInd w:val="0"/>
        <w:spacing w:line="240" w:lineRule="auto"/>
        <w:jc w:val="both"/>
        <w:textAlignment w:val="baseline"/>
        <w:rPr>
          <w:rFonts w:cs="Arial"/>
          <w:szCs w:val="20"/>
        </w:rPr>
      </w:pPr>
      <w:r w:rsidRPr="006431C4">
        <w:rPr>
          <w:rFonts w:cs="Arial"/>
          <w:szCs w:val="20"/>
        </w:rPr>
        <w:t>odkłady można wykonać z obu stron wykopu, jeżeli pochylenie poprzeczne terenu jest niewielkie, przy czym odległość podnóża skarpy odkładu od górnej krawędzi wykopu powinna wynosić:</w:t>
      </w:r>
    </w:p>
    <w:p w14:paraId="56EDF6A6" w14:textId="77777777" w:rsidR="00B677E1" w:rsidRPr="006431C4" w:rsidRDefault="00B677E1" w:rsidP="00BE2485">
      <w:pPr>
        <w:numPr>
          <w:ilvl w:val="0"/>
          <w:numId w:val="4"/>
        </w:numPr>
        <w:overflowPunct w:val="0"/>
        <w:autoSpaceDE w:val="0"/>
        <w:autoSpaceDN w:val="0"/>
        <w:adjustRightInd w:val="0"/>
        <w:spacing w:line="240" w:lineRule="auto"/>
        <w:ind w:left="992"/>
        <w:jc w:val="both"/>
        <w:textAlignment w:val="baseline"/>
        <w:rPr>
          <w:rFonts w:cs="Arial"/>
          <w:szCs w:val="20"/>
        </w:rPr>
      </w:pPr>
      <w:r w:rsidRPr="006431C4">
        <w:rPr>
          <w:rFonts w:cs="Arial"/>
          <w:szCs w:val="20"/>
        </w:rPr>
        <w:t xml:space="preserve">nie mniej niż </w:t>
      </w:r>
      <w:smartTag w:uri="urn:schemas-microsoft-com:office:smarttags" w:element="metricconverter">
        <w:smartTagPr>
          <w:attr w:name="ProductID" w:val="3 m"/>
        </w:smartTagPr>
        <w:r w:rsidRPr="006431C4">
          <w:rPr>
            <w:rFonts w:cs="Arial"/>
            <w:szCs w:val="20"/>
          </w:rPr>
          <w:t>3 m</w:t>
        </w:r>
      </w:smartTag>
      <w:r w:rsidRPr="006431C4">
        <w:rPr>
          <w:rFonts w:cs="Arial"/>
          <w:szCs w:val="20"/>
        </w:rPr>
        <w:t xml:space="preserve"> w gruntach przepuszczalnych,</w:t>
      </w:r>
    </w:p>
    <w:p w14:paraId="021C1B38" w14:textId="77777777" w:rsidR="00B677E1" w:rsidRPr="006431C4" w:rsidRDefault="00B677E1" w:rsidP="00BE2485">
      <w:pPr>
        <w:numPr>
          <w:ilvl w:val="0"/>
          <w:numId w:val="4"/>
        </w:numPr>
        <w:overflowPunct w:val="0"/>
        <w:autoSpaceDE w:val="0"/>
        <w:autoSpaceDN w:val="0"/>
        <w:adjustRightInd w:val="0"/>
        <w:spacing w:line="240" w:lineRule="auto"/>
        <w:ind w:left="992"/>
        <w:jc w:val="both"/>
        <w:textAlignment w:val="baseline"/>
        <w:rPr>
          <w:rFonts w:cs="Arial"/>
          <w:szCs w:val="20"/>
        </w:rPr>
      </w:pPr>
      <w:r w:rsidRPr="006431C4">
        <w:rPr>
          <w:rFonts w:cs="Arial"/>
          <w:szCs w:val="20"/>
        </w:rPr>
        <w:t xml:space="preserve">nie mniej niż </w:t>
      </w:r>
      <w:smartTag w:uri="urn:schemas-microsoft-com:office:smarttags" w:element="metricconverter">
        <w:smartTagPr>
          <w:attr w:name="ProductID" w:val="5 m"/>
        </w:smartTagPr>
        <w:r w:rsidRPr="006431C4">
          <w:rPr>
            <w:rFonts w:cs="Arial"/>
            <w:szCs w:val="20"/>
          </w:rPr>
          <w:t>5 m</w:t>
        </w:r>
      </w:smartTag>
      <w:r w:rsidRPr="006431C4">
        <w:rPr>
          <w:rFonts w:cs="Arial"/>
          <w:szCs w:val="20"/>
        </w:rPr>
        <w:t xml:space="preserve"> w gruntach nieprzepuszczalnych,</w:t>
      </w:r>
    </w:p>
    <w:p w14:paraId="0B4CEFD0" w14:textId="77777777" w:rsidR="00B677E1" w:rsidRPr="006431C4" w:rsidRDefault="00B677E1" w:rsidP="00CF1E7D">
      <w:pPr>
        <w:numPr>
          <w:ilvl w:val="0"/>
          <w:numId w:val="113"/>
        </w:numPr>
        <w:overflowPunct w:val="0"/>
        <w:autoSpaceDE w:val="0"/>
        <w:autoSpaceDN w:val="0"/>
        <w:adjustRightInd w:val="0"/>
        <w:spacing w:line="240" w:lineRule="auto"/>
        <w:jc w:val="both"/>
        <w:textAlignment w:val="baseline"/>
        <w:rPr>
          <w:rFonts w:cs="Arial"/>
          <w:szCs w:val="20"/>
        </w:rPr>
      </w:pPr>
      <w:r w:rsidRPr="006431C4">
        <w:rPr>
          <w:rFonts w:cs="Arial"/>
          <w:szCs w:val="20"/>
        </w:rPr>
        <w:t>przy znacznym pochyleniu poprzecznym terenu, jednak mniejszym od 20%, odkład należy wykonać tylko od górnej strony wykopu, dla ochrony od wody stokowej,</w:t>
      </w:r>
    </w:p>
    <w:p w14:paraId="2198C872" w14:textId="77777777" w:rsidR="00B677E1" w:rsidRPr="006431C4" w:rsidRDefault="00B677E1" w:rsidP="00CF1E7D">
      <w:pPr>
        <w:numPr>
          <w:ilvl w:val="0"/>
          <w:numId w:val="113"/>
        </w:num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przy pochyleniu poprzecznym terenu wynoszącym ponad 20%, odkład należy zlokalizować poniżej wykopu,</w:t>
      </w:r>
    </w:p>
    <w:p w14:paraId="7D4E8BA0" w14:textId="77777777" w:rsidR="00B677E1" w:rsidRPr="006431C4" w:rsidRDefault="00B677E1" w:rsidP="00CF1E7D">
      <w:pPr>
        <w:numPr>
          <w:ilvl w:val="0"/>
          <w:numId w:val="113"/>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na odcinkach zagrożonych przez zasypywanie drogi śniegiem, odkład należy wykonać od strony najczęściej wiejących wiatrów, w odległości ponad </w:t>
      </w:r>
      <w:smartTag w:uri="urn:schemas-microsoft-com:office:smarttags" w:element="metricconverter">
        <w:smartTagPr>
          <w:attr w:name="ProductID" w:val="20 m"/>
        </w:smartTagPr>
        <w:r w:rsidRPr="006431C4">
          <w:rPr>
            <w:rFonts w:cs="Arial"/>
            <w:szCs w:val="20"/>
          </w:rPr>
          <w:t>20 m</w:t>
        </w:r>
      </w:smartTag>
      <w:r w:rsidRPr="006431C4">
        <w:rPr>
          <w:rFonts w:cs="Arial"/>
          <w:szCs w:val="20"/>
        </w:rPr>
        <w:t xml:space="preserve"> od krawędzi wykopu.</w:t>
      </w:r>
    </w:p>
    <w:p w14:paraId="494F825B" w14:textId="77777777" w:rsidR="00B677E1" w:rsidRPr="006431C4" w:rsidRDefault="00B677E1" w:rsidP="00BE2485">
      <w:pPr>
        <w:tabs>
          <w:tab w:val="left" w:pos="0"/>
        </w:tabs>
        <w:overflowPunct w:val="0"/>
        <w:autoSpaceDE w:val="0"/>
        <w:autoSpaceDN w:val="0"/>
        <w:adjustRightInd w:val="0"/>
        <w:spacing w:line="240" w:lineRule="auto"/>
        <w:jc w:val="both"/>
        <w:textAlignment w:val="baseline"/>
        <w:rPr>
          <w:rFonts w:cs="Arial"/>
          <w:szCs w:val="20"/>
        </w:rPr>
      </w:pPr>
      <w:r w:rsidRPr="006431C4">
        <w:rPr>
          <w:rFonts w:cs="Arial"/>
          <w:szCs w:val="20"/>
        </w:rPr>
        <w:tab/>
        <w:t>Jeśli odkład zostanie wykonany w nieuzgodnionym miejscu lub niezgodnie z wymaganiami, to zostanie on usunięty przez Wykonawcę na jego koszt, według wskazań Inżyniera.</w:t>
      </w:r>
    </w:p>
    <w:p w14:paraId="0A48BDA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Konsekwencje finansowe i prawne, wynikające z ewentualnych uszkodzeń środowiska naturalnego wskutek prowadzenia prac w nie uzgodnionym do tego miejscu, obciążają Wykonawcę.</w:t>
      </w:r>
    </w:p>
    <w:p w14:paraId="23A01B97"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5.11.3. </w:t>
      </w:r>
      <w:r w:rsidRPr="006431C4">
        <w:rPr>
          <w:rFonts w:cs="Arial"/>
          <w:szCs w:val="20"/>
        </w:rPr>
        <w:t>Zasady wykonania odkładów</w:t>
      </w:r>
    </w:p>
    <w:p w14:paraId="504F2F9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Wykonanie odkładów, a w szczególności ich wysokość, pochylenie, zagęszczenie oraz odwodnienie powinny być zgodne z wymaganiami podanymi w dokumentacji projektowej lub SST. Jeżeli nie określono inaczej, należy przestrzegać ustaleń podanych w normie PN-S-02205:1998 [6], to znaczy odkład powinien być uformowany w pryzmę o wysokości do </w:t>
      </w:r>
      <w:smartTag w:uri="urn:schemas-microsoft-com:office:smarttags" w:element="metricconverter">
        <w:smartTagPr>
          <w:attr w:name="ProductID" w:val="1,5 m"/>
        </w:smartTagPr>
        <w:r w:rsidRPr="006431C4">
          <w:rPr>
            <w:rFonts w:cs="Arial"/>
            <w:szCs w:val="20"/>
          </w:rPr>
          <w:t>1,5 m</w:t>
        </w:r>
      </w:smartTag>
      <w:r w:rsidRPr="006431C4">
        <w:rPr>
          <w:rFonts w:cs="Arial"/>
          <w:szCs w:val="20"/>
        </w:rPr>
        <w:t>, pochyleniu skarp od 1do 1,5 i spadku korony od 2% do 5%.</w:t>
      </w:r>
    </w:p>
    <w:p w14:paraId="08E2B058"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Odkłady powinny być tak ukształtowane, aby harmonizowały z otaczającym terenem. Powierzchnie odkładów powinny być obsiane trawą, obsadzone krzewami lub drzewami albo przeznaczone na użytki rolne lub leśne, zgodnie z dokumentacją projektową.</w:t>
      </w:r>
    </w:p>
    <w:p w14:paraId="7B93E1A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Odspajanie materiału przewidzianego do przewiezienia na odkład powinno być przerwane, o ile warunki atmosferyczne lub inne przyczyny uniemożliwiają jego wbudowanie zgodnie z wymaganiami sformułowanymi w tym zakresie w dokumentacji projektowej, SST lub przez Inżyniera.</w:t>
      </w:r>
    </w:p>
    <w:p w14:paraId="7345B58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Przed przewiezieniem gruntu na odkład Wykonawca powinien upewnić się, że spełnione są warunki określone w pkcie 5.11.1. Jeżeli wskutek pochopnego przewiezienia gruntu na odkład przez Wykonawcę, zajdzie konieczność dowiezienia gruntu do wykonania nasypów z ukopu, to koszt tych czynności w całości obciąża Wykonawcę.</w:t>
      </w:r>
    </w:p>
    <w:p w14:paraId="5451529B" w14:textId="77777777" w:rsidR="00B677E1" w:rsidRPr="006431C4" w:rsidRDefault="00B677E1"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r w:rsidRPr="006431C4">
        <w:rPr>
          <w:rFonts w:cs="Arial"/>
          <w:b/>
          <w:caps/>
          <w:kern w:val="28"/>
          <w:szCs w:val="20"/>
        </w:rPr>
        <w:t>6. Kontrola jakości robót</w:t>
      </w:r>
      <w:bookmarkEnd w:id="113"/>
      <w:bookmarkEnd w:id="114"/>
      <w:bookmarkEnd w:id="115"/>
      <w:bookmarkEnd w:id="116"/>
    </w:p>
    <w:p w14:paraId="4EDAF36D"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17" w:name="_Toc405615053"/>
      <w:bookmarkStart w:id="118" w:name="_Toc407161201"/>
      <w:r w:rsidRPr="006431C4">
        <w:rPr>
          <w:rFonts w:cs="Arial"/>
          <w:b/>
          <w:szCs w:val="20"/>
        </w:rPr>
        <w:t>6.1. Ogólne zasady kontroli jakości robót</w:t>
      </w:r>
      <w:bookmarkEnd w:id="117"/>
      <w:bookmarkEnd w:id="118"/>
    </w:p>
    <w:p w14:paraId="40B984C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kontroli jakości robót podano w SST D-M-00.00.00 „Wymagania ogólne” pkt 6.</w:t>
      </w:r>
    </w:p>
    <w:p w14:paraId="28267FA9"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Badania i pomiary dzielą się na:</w:t>
      </w:r>
    </w:p>
    <w:p w14:paraId="67FC3BE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 badania i pomiary Wykonawcy w ramach własnego nadzoru,</w:t>
      </w:r>
    </w:p>
    <w:p w14:paraId="5293E284"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b) badania i pomiary kontrolne w ramach nadzoru Zamawiającego,</w:t>
      </w:r>
    </w:p>
    <w:p w14:paraId="0E65BF9E" w14:textId="77777777" w:rsidR="00B677E1" w:rsidRPr="006431C4" w:rsidRDefault="00B677E1" w:rsidP="00BE2485">
      <w:pPr>
        <w:overflowPunct w:val="0"/>
        <w:autoSpaceDE w:val="0"/>
        <w:autoSpaceDN w:val="0"/>
        <w:adjustRightInd w:val="0"/>
        <w:spacing w:line="240" w:lineRule="auto"/>
        <w:ind w:left="240" w:firstLine="480"/>
        <w:jc w:val="both"/>
        <w:textAlignment w:val="baseline"/>
        <w:rPr>
          <w:rFonts w:cs="Arial"/>
          <w:szCs w:val="20"/>
        </w:rPr>
      </w:pPr>
      <w:r w:rsidRPr="006431C4">
        <w:rPr>
          <w:rFonts w:cs="Arial"/>
          <w:szCs w:val="20"/>
        </w:rPr>
        <w:t>W przypadku badań kontrolnych, pobieraniem próbek, wykonaniem badań i pomiarów na miejscu budowy zajmuje się laboratorium wskazane przez Zamawiającego przy udziale lub po poinformowaniu przedstawicieli Wykonawcy.</w:t>
      </w:r>
    </w:p>
    <w:p w14:paraId="7074C5D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c) badania i pomiary kontrolne dodatkowe.  </w:t>
      </w:r>
    </w:p>
    <w:p w14:paraId="4AD5F6AF" w14:textId="77777777" w:rsidR="00B677E1" w:rsidRPr="006431C4" w:rsidRDefault="00B677E1" w:rsidP="00BE2485">
      <w:pPr>
        <w:overflowPunct w:val="0"/>
        <w:autoSpaceDE w:val="0"/>
        <w:autoSpaceDN w:val="0"/>
        <w:adjustRightInd w:val="0"/>
        <w:spacing w:line="240" w:lineRule="auto"/>
        <w:ind w:left="360" w:firstLine="349"/>
        <w:jc w:val="both"/>
        <w:textAlignment w:val="baseline"/>
        <w:rPr>
          <w:rFonts w:cs="Arial"/>
          <w:szCs w:val="20"/>
        </w:rPr>
      </w:pPr>
      <w:r w:rsidRPr="006431C4">
        <w:rPr>
          <w:rFonts w:cs="Arial"/>
          <w:szCs w:val="20"/>
        </w:rPr>
        <w:t>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 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14:paraId="0D6578E9" w14:textId="77777777" w:rsidR="00B677E1" w:rsidRPr="006431C4" w:rsidRDefault="00B677E1" w:rsidP="00BE2485">
      <w:pPr>
        <w:overflowPunct w:val="0"/>
        <w:autoSpaceDE w:val="0"/>
        <w:autoSpaceDN w:val="0"/>
        <w:adjustRightInd w:val="0"/>
        <w:spacing w:line="240" w:lineRule="auto"/>
        <w:ind w:left="360" w:hanging="360"/>
        <w:jc w:val="both"/>
        <w:textAlignment w:val="baseline"/>
        <w:rPr>
          <w:rFonts w:cs="Arial"/>
          <w:szCs w:val="20"/>
        </w:rPr>
      </w:pPr>
      <w:r w:rsidRPr="006431C4">
        <w:rPr>
          <w:rFonts w:cs="Arial"/>
          <w:szCs w:val="20"/>
        </w:rPr>
        <w:t>d) badania arbitrażowe, stanowiące powtórzenie badań lub pomiarów kontrolnych i/lub kontrolnych dodatkowych na wniosek Inżyniera lub Wykonawcy, gdy mają oni uzasadnione wątpliwości co do wyników tych badań. Badania i pomiary arbitrażowe wykonuje bezstronne, akredytowane laboratorium, które nie wykonywało badań lub pomiarów kontrolnych, przy udziale lub po poinformowaniu przedstawicieli stron.</w:t>
      </w:r>
    </w:p>
    <w:p w14:paraId="08DC3440"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6.2. Badania materiałów  </w:t>
      </w:r>
    </w:p>
    <w:p w14:paraId="02CD382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6.2.1.</w:t>
      </w:r>
      <w:r w:rsidRPr="006431C4">
        <w:rPr>
          <w:rFonts w:cs="Arial"/>
          <w:szCs w:val="20"/>
        </w:rPr>
        <w:t xml:space="preserve"> Badania gruntów i materiałów antropogenicznych</w:t>
      </w:r>
    </w:p>
    <w:p w14:paraId="15F096F3"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Grunty z wykopów we wstępnej fazie powinny zostać zbadane makroskopowo i na tej podstawie, w oparciu od tabele 1 i 2 niniejszej SST D-02.00.01 należy je zakwalifikować na odkład lub do wykonania budowli ziemnych.</w:t>
      </w:r>
    </w:p>
    <w:p w14:paraId="49DBAD23"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Przeznaczenie gruntów lub materiałów antropogenicznych do dedykowanej warstwy nasypu powinno odbyć się na podstawie parametrów zbadanych metodami laboratoryjnymi wg SST D-02.03.01.pkt.6.3.2.</w:t>
      </w:r>
    </w:p>
    <w:p w14:paraId="0B8E05CA"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Wykonawca przedstawi wyniki badań do akceptacji Inżynierowi. </w:t>
      </w:r>
    </w:p>
    <w:p w14:paraId="6280C357"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Inżynier wykonuje też  badania kontrolne materiałów gruntowych. </w:t>
      </w:r>
    </w:p>
    <w:p w14:paraId="00D2B9D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6.2.2.</w:t>
      </w:r>
      <w:r w:rsidRPr="006431C4">
        <w:rPr>
          <w:rFonts w:cs="Arial"/>
          <w:szCs w:val="20"/>
        </w:rPr>
        <w:t xml:space="preserve"> Badania pozostałych materiałów</w:t>
      </w:r>
    </w:p>
    <w:p w14:paraId="2F307A1F"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przypadku stosowania geosyntetyków i wszelkich innych materiałów, dla których wymagane jest przedstawienie dokumentów dopuszczenia do stosowania zgodnie z ustawą o wyrobach budowlanych [24],  Wykonawca przedstawi odpowiednie dokumenty (deklarację właściwości użytkowych), a także, w przypadku gdy jest to wymagane w dokumentacji projektowej, wyniki badań producenta lub własne potwierdzające zgodność materiału z wymaganiami dokumentacji projektowej lub SST.      </w:t>
      </w:r>
    </w:p>
    <w:p w14:paraId="71C9CB41"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6.3. Badania i pomiary w trakcie realizacji robót ziemnych</w:t>
      </w:r>
    </w:p>
    <w:p w14:paraId="658779B4"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trakcie prowadzenia robót należy sprawdzać na bieżąco odwodnienie korpusu drogowego. Sprawdzanie polega na kontroli zgodności z wymaganiami określonymi w punkcie 5.9  niniejszej SST oraz z dokumentacją projektową i projektem odwodnienia.</w:t>
      </w:r>
    </w:p>
    <w:p w14:paraId="1954E501"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Szczególną uwagę należy zwrócić na: </w:t>
      </w:r>
    </w:p>
    <w:p w14:paraId="68E21F71" w14:textId="77777777" w:rsidR="00B677E1" w:rsidRPr="006431C4" w:rsidRDefault="00B677E1" w:rsidP="00CF1E7D">
      <w:pPr>
        <w:numPr>
          <w:ilvl w:val="0"/>
          <w:numId w:val="116"/>
        </w:numPr>
        <w:overflowPunct w:val="0"/>
        <w:autoSpaceDE w:val="0"/>
        <w:autoSpaceDN w:val="0"/>
        <w:adjustRightInd w:val="0"/>
        <w:spacing w:line="240" w:lineRule="auto"/>
        <w:jc w:val="both"/>
        <w:textAlignment w:val="baseline"/>
        <w:rPr>
          <w:rFonts w:cs="Arial"/>
          <w:szCs w:val="20"/>
        </w:rPr>
      </w:pPr>
      <w:r w:rsidRPr="006431C4">
        <w:rPr>
          <w:rFonts w:cs="Arial"/>
          <w:szCs w:val="20"/>
        </w:rPr>
        <w:t>właściwe ujęcie i odprowadzenie wód opadowych,</w:t>
      </w:r>
    </w:p>
    <w:p w14:paraId="45DD2836" w14:textId="77777777" w:rsidR="00B677E1" w:rsidRPr="006431C4" w:rsidRDefault="00B677E1" w:rsidP="00CF1E7D">
      <w:pPr>
        <w:numPr>
          <w:ilvl w:val="0"/>
          <w:numId w:val="116"/>
        </w:numPr>
        <w:overflowPunct w:val="0"/>
        <w:autoSpaceDE w:val="0"/>
        <w:autoSpaceDN w:val="0"/>
        <w:adjustRightInd w:val="0"/>
        <w:spacing w:line="240" w:lineRule="auto"/>
        <w:jc w:val="both"/>
        <w:textAlignment w:val="baseline"/>
        <w:rPr>
          <w:rFonts w:cs="Arial"/>
          <w:szCs w:val="20"/>
        </w:rPr>
      </w:pPr>
      <w:r w:rsidRPr="006431C4">
        <w:rPr>
          <w:rFonts w:cs="Arial"/>
          <w:szCs w:val="20"/>
        </w:rPr>
        <w:t>właściwe ujęcie i odprowadzenie wysięków wodnych,</w:t>
      </w:r>
    </w:p>
    <w:p w14:paraId="505C8A9D" w14:textId="77777777" w:rsidR="00B677E1" w:rsidRPr="006431C4" w:rsidRDefault="00B677E1" w:rsidP="00CF1E7D">
      <w:pPr>
        <w:numPr>
          <w:ilvl w:val="0"/>
          <w:numId w:val="116"/>
        </w:numPr>
        <w:overflowPunct w:val="0"/>
        <w:autoSpaceDE w:val="0"/>
        <w:autoSpaceDN w:val="0"/>
        <w:adjustRightInd w:val="0"/>
        <w:spacing w:line="240" w:lineRule="auto"/>
        <w:jc w:val="both"/>
        <w:textAlignment w:val="baseline"/>
        <w:rPr>
          <w:rFonts w:cs="Arial"/>
          <w:szCs w:val="20"/>
        </w:rPr>
      </w:pPr>
      <w:r w:rsidRPr="006431C4">
        <w:rPr>
          <w:rFonts w:cs="Arial"/>
          <w:szCs w:val="20"/>
        </w:rPr>
        <w:t>właściwe prowadzenie prac, aby nie powodować nawadniania gruntów w wykopie lub w nasypie.</w:t>
      </w:r>
      <w:r w:rsidRPr="006431C4">
        <w:rPr>
          <w:rFonts w:cs="Arial"/>
          <w:szCs w:val="20"/>
        </w:rPr>
        <w:tab/>
      </w:r>
    </w:p>
    <w:p w14:paraId="093E9190" w14:textId="77777777" w:rsidR="00B677E1" w:rsidRPr="006431C4" w:rsidRDefault="00B677E1" w:rsidP="00BE2485">
      <w:pPr>
        <w:overflowPunct w:val="0"/>
        <w:autoSpaceDE w:val="0"/>
        <w:autoSpaceDN w:val="0"/>
        <w:adjustRightInd w:val="0"/>
        <w:spacing w:line="240" w:lineRule="auto"/>
        <w:ind w:firstLine="720"/>
        <w:jc w:val="both"/>
        <w:textAlignment w:val="baseline"/>
        <w:rPr>
          <w:rFonts w:cs="Arial"/>
          <w:szCs w:val="20"/>
        </w:rPr>
      </w:pPr>
      <w:r w:rsidRPr="006431C4">
        <w:rPr>
          <w:rFonts w:cs="Arial"/>
          <w:szCs w:val="20"/>
        </w:rPr>
        <w:t>Czynności wchodzące w zakres sprawdzenia jakości wykonania robót określono w pkcie 6 SST D-02.01.01, D-02.02.01 oraz D-02.03.01.</w:t>
      </w:r>
    </w:p>
    <w:p w14:paraId="406303B3"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19" w:name="_Toc405615055"/>
      <w:bookmarkStart w:id="120" w:name="_Toc407161203"/>
      <w:r w:rsidRPr="006431C4">
        <w:rPr>
          <w:rFonts w:cs="Arial"/>
          <w:b/>
          <w:szCs w:val="20"/>
        </w:rPr>
        <w:lastRenderedPageBreak/>
        <w:t>6.4. Badania do odbioru korpusu ziemnego</w:t>
      </w:r>
      <w:bookmarkEnd w:id="119"/>
      <w:bookmarkEnd w:id="120"/>
      <w:r w:rsidRPr="006431C4">
        <w:rPr>
          <w:rFonts w:cs="Arial"/>
          <w:b/>
          <w:szCs w:val="20"/>
        </w:rPr>
        <w:t xml:space="preserve"> </w:t>
      </w:r>
    </w:p>
    <w:p w14:paraId="3191C152"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zakres badań w czasie odbioru budowli ziemnej wchodzi sprawdzenie technicznych dokumentów kontrolnych, cech geometrycznych budowli ziemnej, zagęszczenia, nośności oraz odwodnienia. Ponadto należy sprawdzić wykonanie i umocnienie skarp, na podstawie wymagań odrębnej SST.</w:t>
      </w:r>
    </w:p>
    <w:p w14:paraId="3FB231B8"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6.4.1. </w:t>
      </w:r>
      <w:r w:rsidRPr="006431C4">
        <w:rPr>
          <w:rFonts w:cs="Arial"/>
          <w:szCs w:val="20"/>
        </w:rPr>
        <w:t>Badania i pomiary cech geometrycznych wykonanej budowli ziemnej</w:t>
      </w:r>
    </w:p>
    <w:p w14:paraId="322A2BE6"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Częstotliwość oraz zakres badań i pomiarów do odbioru korpusu ziemnego podaje tabele 5.</w:t>
      </w:r>
    </w:p>
    <w:p w14:paraId="16E2D80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p w14:paraId="1786EE66"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p w14:paraId="2E746EB6" w14:textId="209B627E" w:rsidR="00B677E1" w:rsidRPr="006431C4" w:rsidRDefault="00B677E1" w:rsidP="00BE2485">
      <w:pPr>
        <w:overflowPunct w:val="0"/>
        <w:autoSpaceDE w:val="0"/>
        <w:autoSpaceDN w:val="0"/>
        <w:adjustRightInd w:val="0"/>
        <w:spacing w:line="240" w:lineRule="auto"/>
        <w:jc w:val="both"/>
        <w:textAlignment w:val="baseline"/>
        <w:rPr>
          <w:rFonts w:cs="Arial"/>
          <w:bCs/>
          <w:szCs w:val="20"/>
        </w:rPr>
      </w:pPr>
      <w:bookmarkStart w:id="121" w:name="_Toc24577614"/>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5</w:t>
      </w:r>
      <w:r w:rsidRPr="006431C4">
        <w:rPr>
          <w:rFonts w:cs="Arial"/>
          <w:bCs/>
          <w:szCs w:val="20"/>
        </w:rPr>
        <w:fldChar w:fldCharType="end"/>
      </w:r>
      <w:r w:rsidRPr="006431C4">
        <w:rPr>
          <w:rFonts w:cs="Arial"/>
          <w:bCs/>
          <w:szCs w:val="20"/>
        </w:rPr>
        <w:t>. Częstotliwość oraz zakres badań i pomiarów wykonanych robót ziemnych</w:t>
      </w:r>
      <w:bookmarkEnd w:id="1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3851"/>
        <w:gridCol w:w="4110"/>
        <w:gridCol w:w="1984"/>
      </w:tblGrid>
      <w:tr w:rsidR="00B677E1" w:rsidRPr="006431C4" w14:paraId="5759688D" w14:textId="77777777" w:rsidTr="00B677E1">
        <w:tc>
          <w:tcPr>
            <w:tcW w:w="539" w:type="dxa"/>
            <w:vAlign w:val="center"/>
          </w:tcPr>
          <w:p w14:paraId="43C803AC"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3851" w:type="dxa"/>
            <w:vAlign w:val="center"/>
          </w:tcPr>
          <w:p w14:paraId="6B41C93B"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Badana cecha</w:t>
            </w:r>
          </w:p>
        </w:tc>
        <w:tc>
          <w:tcPr>
            <w:tcW w:w="4110" w:type="dxa"/>
            <w:vAlign w:val="center"/>
          </w:tcPr>
          <w:p w14:paraId="55D1BDEA"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Minimalna częstotliwość badań i pomiarów</w:t>
            </w:r>
          </w:p>
        </w:tc>
        <w:tc>
          <w:tcPr>
            <w:tcW w:w="1984" w:type="dxa"/>
            <w:vAlign w:val="center"/>
          </w:tcPr>
          <w:p w14:paraId="6A6F9FFC"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Tolerancje wykonania robót</w:t>
            </w:r>
          </w:p>
        </w:tc>
      </w:tr>
      <w:tr w:rsidR="00B677E1" w:rsidRPr="006431C4" w14:paraId="57B76175" w14:textId="77777777" w:rsidTr="00B677E1">
        <w:tc>
          <w:tcPr>
            <w:tcW w:w="539" w:type="dxa"/>
          </w:tcPr>
          <w:p w14:paraId="1C0CD98B"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3851" w:type="dxa"/>
          </w:tcPr>
          <w:p w14:paraId="340267B0"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Szerokość korpusu drogowego</w:t>
            </w:r>
          </w:p>
        </w:tc>
        <w:tc>
          <w:tcPr>
            <w:tcW w:w="4110" w:type="dxa"/>
            <w:vMerge w:val="restart"/>
          </w:tcPr>
          <w:p w14:paraId="5B509BA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Pomiar taśmą, szablonem, łatą o długości </w:t>
            </w:r>
            <w:smartTag w:uri="urn:schemas-microsoft-com:office:smarttags" w:element="metricconverter">
              <w:smartTagPr>
                <w:attr w:name="ProductID" w:val="3 m"/>
              </w:smartTagPr>
              <w:r w:rsidRPr="006431C4">
                <w:rPr>
                  <w:rFonts w:cs="Arial"/>
                  <w:szCs w:val="20"/>
                </w:rPr>
                <w:t>3 m</w:t>
              </w:r>
            </w:smartTag>
            <w:r w:rsidRPr="006431C4">
              <w:rPr>
                <w:rFonts w:cs="Arial"/>
                <w:szCs w:val="20"/>
              </w:rPr>
              <w:t xml:space="preserve"> i poziomicą lub niwelatorem, w odstępach co </w:t>
            </w:r>
            <w:smartTag w:uri="urn:schemas-microsoft-com:office:smarttags" w:element="metricconverter">
              <w:smartTagPr>
                <w:attr w:name="ProductID" w:val="200 m"/>
              </w:smartTagPr>
              <w:r w:rsidRPr="006431C4">
                <w:rPr>
                  <w:rFonts w:cs="Arial"/>
                  <w:szCs w:val="20"/>
                </w:rPr>
                <w:t>200 m</w:t>
              </w:r>
            </w:smartTag>
            <w:r w:rsidRPr="006431C4">
              <w:rPr>
                <w:rFonts w:cs="Arial"/>
                <w:szCs w:val="20"/>
              </w:rPr>
              <w:t xml:space="preserve"> na prostych, w punktach głównych łuku, co </w:t>
            </w:r>
            <w:smartTag w:uri="urn:schemas-microsoft-com:office:smarttags" w:element="metricconverter">
              <w:smartTagPr>
                <w:attr w:name="ProductID" w:val="100 m"/>
              </w:smartTagPr>
              <w:r w:rsidRPr="006431C4">
                <w:rPr>
                  <w:rFonts w:cs="Arial"/>
                  <w:szCs w:val="20"/>
                </w:rPr>
                <w:t>100 m</w:t>
              </w:r>
            </w:smartTag>
            <w:r w:rsidRPr="006431C4">
              <w:rPr>
                <w:rFonts w:cs="Arial"/>
                <w:szCs w:val="20"/>
              </w:rPr>
              <w:t xml:space="preserve"> na łukach o R </w:t>
            </w:r>
            <w:r w:rsidRPr="006431C4">
              <w:rPr>
                <w:rFonts w:cs="Arial"/>
                <w:szCs w:val="20"/>
              </w:rPr>
              <w:sym w:font="Symbol" w:char="F0B3"/>
            </w:r>
            <w:r w:rsidRPr="006431C4">
              <w:rPr>
                <w:rFonts w:cs="Arial"/>
                <w:szCs w:val="20"/>
              </w:rPr>
              <w:t xml:space="preserve">100 m co </w:t>
            </w:r>
            <w:smartTag w:uri="urn:schemas-microsoft-com:office:smarttags" w:element="metricconverter">
              <w:smartTagPr>
                <w:attr w:name="ProductID" w:val="50 m"/>
              </w:smartTagPr>
              <w:r w:rsidRPr="006431C4">
                <w:rPr>
                  <w:rFonts w:cs="Arial"/>
                  <w:szCs w:val="20"/>
                </w:rPr>
                <w:t>50 m</w:t>
              </w:r>
            </w:smartTag>
            <w:r w:rsidRPr="006431C4">
              <w:rPr>
                <w:rFonts w:cs="Arial"/>
                <w:szCs w:val="20"/>
              </w:rPr>
              <w:t xml:space="preserve"> na łukach o R </w:t>
            </w:r>
            <w:r w:rsidRPr="006431C4">
              <w:rPr>
                <w:rFonts w:cs="Arial"/>
                <w:szCs w:val="20"/>
              </w:rPr>
              <w:sym w:font="Symbol" w:char="F03C"/>
            </w:r>
            <w:r w:rsidRPr="006431C4">
              <w:rPr>
                <w:rFonts w:cs="Arial"/>
                <w:szCs w:val="20"/>
              </w:rPr>
              <w:t>100 m oraz w miejscach, które budzą wątpliwości</w:t>
            </w:r>
          </w:p>
        </w:tc>
        <w:tc>
          <w:tcPr>
            <w:tcW w:w="1984" w:type="dxa"/>
          </w:tcPr>
          <w:p w14:paraId="3E6F87BE"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t>
            </w:r>
            <w:smartTag w:uri="urn:schemas-microsoft-com:office:smarttags" w:element="metricconverter">
              <w:smartTagPr>
                <w:attr w:name="ProductID" w:val="5 cm"/>
              </w:smartTagPr>
              <w:r w:rsidRPr="006431C4">
                <w:rPr>
                  <w:rFonts w:cs="Arial"/>
                  <w:szCs w:val="20"/>
                </w:rPr>
                <w:t>5 cm</w:t>
              </w:r>
            </w:smartTag>
          </w:p>
        </w:tc>
      </w:tr>
      <w:tr w:rsidR="00B677E1" w:rsidRPr="006431C4" w14:paraId="376EB21D" w14:textId="77777777" w:rsidTr="00B677E1">
        <w:tc>
          <w:tcPr>
            <w:tcW w:w="539" w:type="dxa"/>
          </w:tcPr>
          <w:p w14:paraId="3122B2C0"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3851" w:type="dxa"/>
          </w:tcPr>
          <w:p w14:paraId="1B304326"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Odchylenie osi korpusu ziemnego</w:t>
            </w:r>
          </w:p>
        </w:tc>
        <w:tc>
          <w:tcPr>
            <w:tcW w:w="4110" w:type="dxa"/>
            <w:vMerge/>
          </w:tcPr>
          <w:p w14:paraId="258CC2A7"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1984" w:type="dxa"/>
          </w:tcPr>
          <w:p w14:paraId="24143CD6"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t>
            </w:r>
            <w:smartTag w:uri="urn:schemas-microsoft-com:office:smarttags" w:element="metricconverter">
              <w:smartTagPr>
                <w:attr w:name="ProductID" w:val="5 cm"/>
              </w:smartTagPr>
              <w:r w:rsidRPr="006431C4">
                <w:rPr>
                  <w:rFonts w:cs="Arial"/>
                  <w:szCs w:val="20"/>
                </w:rPr>
                <w:t>5 cm</w:t>
              </w:r>
            </w:smartTag>
          </w:p>
        </w:tc>
      </w:tr>
      <w:tr w:rsidR="00B677E1" w:rsidRPr="006431C4" w14:paraId="74CA41C6" w14:textId="77777777" w:rsidTr="00B677E1">
        <w:tc>
          <w:tcPr>
            <w:tcW w:w="539" w:type="dxa"/>
          </w:tcPr>
          <w:p w14:paraId="2CB3CA3E"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3851" w:type="dxa"/>
          </w:tcPr>
          <w:p w14:paraId="08627FD9"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Szerokość dna rowów</w:t>
            </w:r>
          </w:p>
        </w:tc>
        <w:tc>
          <w:tcPr>
            <w:tcW w:w="4110" w:type="dxa"/>
            <w:vMerge/>
          </w:tcPr>
          <w:p w14:paraId="45CF5AB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1984" w:type="dxa"/>
          </w:tcPr>
          <w:p w14:paraId="3ED7B868"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t>
            </w:r>
            <w:smartTag w:uri="urn:schemas-microsoft-com:office:smarttags" w:element="metricconverter">
              <w:smartTagPr>
                <w:attr w:name="ProductID" w:val="5 cm"/>
              </w:smartTagPr>
              <w:r w:rsidRPr="006431C4">
                <w:rPr>
                  <w:rFonts w:cs="Arial"/>
                  <w:szCs w:val="20"/>
                </w:rPr>
                <w:t>5 cm</w:t>
              </w:r>
            </w:smartTag>
          </w:p>
        </w:tc>
      </w:tr>
      <w:tr w:rsidR="00B677E1" w:rsidRPr="006431C4" w14:paraId="0722A481" w14:textId="77777777" w:rsidTr="00B677E1">
        <w:tc>
          <w:tcPr>
            <w:tcW w:w="539" w:type="dxa"/>
          </w:tcPr>
          <w:p w14:paraId="0E4A3A86"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3851" w:type="dxa"/>
          </w:tcPr>
          <w:p w14:paraId="50B3E83E"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Rzędne powierzchni korpusu drogowego</w:t>
            </w:r>
          </w:p>
        </w:tc>
        <w:tc>
          <w:tcPr>
            <w:tcW w:w="4110" w:type="dxa"/>
            <w:vMerge/>
          </w:tcPr>
          <w:p w14:paraId="20E169E4"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1984" w:type="dxa"/>
          </w:tcPr>
          <w:p w14:paraId="02A821B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Nie więcej niż   </w:t>
            </w:r>
            <w:smartTag w:uri="urn:schemas-microsoft-com:office:smarttags" w:element="metricconverter">
              <w:smartTagPr>
                <w:attr w:name="ProductID" w:val="3 cm"/>
              </w:smartTagPr>
              <w:r w:rsidRPr="006431C4">
                <w:rPr>
                  <w:rFonts w:cs="Arial"/>
                  <w:szCs w:val="20"/>
                </w:rPr>
                <w:t>3 cm</w:t>
              </w:r>
            </w:smartTag>
            <w:r w:rsidRPr="006431C4">
              <w:rPr>
                <w:rFonts w:cs="Arial"/>
                <w:szCs w:val="20"/>
              </w:rPr>
              <w:t xml:space="preserve"> lub +</w:t>
            </w:r>
            <w:smartTag w:uri="urn:schemas-microsoft-com:office:smarttags" w:element="metricconverter">
              <w:smartTagPr>
                <w:attr w:name="ProductID" w:val="1 cm"/>
              </w:smartTagPr>
              <w:r w:rsidRPr="006431C4">
                <w:rPr>
                  <w:rFonts w:cs="Arial"/>
                  <w:szCs w:val="20"/>
                </w:rPr>
                <w:t>1 cm</w:t>
              </w:r>
            </w:smartTag>
          </w:p>
        </w:tc>
      </w:tr>
      <w:tr w:rsidR="00B677E1" w:rsidRPr="006431C4" w14:paraId="7E19B615" w14:textId="77777777" w:rsidTr="00B677E1">
        <w:tc>
          <w:tcPr>
            <w:tcW w:w="539" w:type="dxa"/>
          </w:tcPr>
          <w:p w14:paraId="570DAABA"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3851" w:type="dxa"/>
          </w:tcPr>
          <w:p w14:paraId="425B8571"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Pochylenie skarp</w:t>
            </w:r>
          </w:p>
        </w:tc>
        <w:tc>
          <w:tcPr>
            <w:tcW w:w="4110" w:type="dxa"/>
            <w:vMerge/>
          </w:tcPr>
          <w:p w14:paraId="4C1B0F7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1984" w:type="dxa"/>
          </w:tcPr>
          <w:p w14:paraId="452D837A"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 wartości pochylenia</w:t>
            </w:r>
          </w:p>
        </w:tc>
      </w:tr>
      <w:tr w:rsidR="00B677E1" w:rsidRPr="006431C4" w14:paraId="2CF01500" w14:textId="77777777" w:rsidTr="00B677E1">
        <w:tc>
          <w:tcPr>
            <w:tcW w:w="539" w:type="dxa"/>
          </w:tcPr>
          <w:p w14:paraId="3B6B50D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3851" w:type="dxa"/>
          </w:tcPr>
          <w:p w14:paraId="1F0A3DA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Równość górnej powierzchni korpusu drogowego</w:t>
            </w:r>
          </w:p>
        </w:tc>
        <w:tc>
          <w:tcPr>
            <w:tcW w:w="4110" w:type="dxa"/>
            <w:vMerge/>
          </w:tcPr>
          <w:p w14:paraId="66EAE8F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1984" w:type="dxa"/>
          </w:tcPr>
          <w:p w14:paraId="5CF7E3EE"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 </w:t>
            </w:r>
            <w:smartTag w:uri="urn:schemas-microsoft-com:office:smarttags" w:element="metricconverter">
              <w:smartTagPr>
                <w:attr w:name="ProductID" w:val="3 cm"/>
              </w:smartTagPr>
              <w:r w:rsidRPr="006431C4">
                <w:rPr>
                  <w:rFonts w:cs="Arial"/>
                  <w:szCs w:val="20"/>
                </w:rPr>
                <w:t>3 cm</w:t>
              </w:r>
            </w:smartTag>
          </w:p>
        </w:tc>
      </w:tr>
      <w:tr w:rsidR="00B677E1" w:rsidRPr="006431C4" w14:paraId="106DCC34" w14:textId="77777777" w:rsidTr="00B677E1">
        <w:tc>
          <w:tcPr>
            <w:tcW w:w="539" w:type="dxa"/>
          </w:tcPr>
          <w:p w14:paraId="11627E4A"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3851" w:type="dxa"/>
          </w:tcPr>
          <w:p w14:paraId="0A9395D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Równość skarp</w:t>
            </w:r>
          </w:p>
        </w:tc>
        <w:tc>
          <w:tcPr>
            <w:tcW w:w="4110" w:type="dxa"/>
            <w:vMerge/>
          </w:tcPr>
          <w:p w14:paraId="5AE7C1A7"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tc>
        <w:tc>
          <w:tcPr>
            <w:tcW w:w="1984" w:type="dxa"/>
          </w:tcPr>
          <w:p w14:paraId="07FD032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 </w:t>
            </w:r>
            <w:r w:rsidRPr="006431C4">
              <w:rPr>
                <w:rFonts w:cs="Arial"/>
                <w:szCs w:val="20"/>
              </w:rPr>
              <w:sym w:font="Symbol" w:char="F0B1"/>
            </w:r>
            <w:r w:rsidRPr="006431C4">
              <w:rPr>
                <w:rFonts w:cs="Arial"/>
                <w:szCs w:val="20"/>
              </w:rPr>
              <w:t>10cm</w:t>
            </w:r>
          </w:p>
        </w:tc>
      </w:tr>
      <w:tr w:rsidR="00B677E1" w:rsidRPr="006431C4" w14:paraId="5D1FB587" w14:textId="77777777" w:rsidTr="00B677E1">
        <w:tc>
          <w:tcPr>
            <w:tcW w:w="539" w:type="dxa"/>
          </w:tcPr>
          <w:p w14:paraId="5F3F97BE"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3851" w:type="dxa"/>
          </w:tcPr>
          <w:p w14:paraId="25AD3E5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Spadek podłużny powierzchni korpusu drogowego lub dna rowu</w:t>
            </w:r>
          </w:p>
        </w:tc>
        <w:tc>
          <w:tcPr>
            <w:tcW w:w="4110" w:type="dxa"/>
          </w:tcPr>
          <w:p w14:paraId="023DAC8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Pomiar niwelatorem rzędnych w odstępach co </w:t>
            </w:r>
            <w:smartTag w:uri="urn:schemas-microsoft-com:office:smarttags" w:element="metricconverter">
              <w:smartTagPr>
                <w:attr w:name="ProductID" w:val="100 m"/>
              </w:smartTagPr>
              <w:r w:rsidRPr="006431C4">
                <w:rPr>
                  <w:rFonts w:cs="Arial"/>
                  <w:szCs w:val="20"/>
                </w:rPr>
                <w:t>100 m</w:t>
              </w:r>
            </w:smartTag>
            <w:r w:rsidRPr="006431C4">
              <w:rPr>
                <w:rFonts w:cs="Arial"/>
                <w:szCs w:val="20"/>
              </w:rPr>
              <w:t xml:space="preserve"> oraz w punktach wątpliwych</w:t>
            </w:r>
          </w:p>
        </w:tc>
        <w:tc>
          <w:tcPr>
            <w:tcW w:w="1984" w:type="dxa"/>
          </w:tcPr>
          <w:p w14:paraId="130FB858" w14:textId="77777777" w:rsidR="00B677E1" w:rsidRPr="006431C4" w:rsidRDefault="00B677E1" w:rsidP="00BE2485">
            <w:pPr>
              <w:overflowPunct w:val="0"/>
              <w:autoSpaceDE w:val="0"/>
              <w:autoSpaceDN w:val="0"/>
              <w:adjustRightInd w:val="0"/>
              <w:spacing w:line="240" w:lineRule="auto"/>
              <w:textAlignment w:val="baseline"/>
              <w:rPr>
                <w:rFonts w:cs="Arial"/>
                <w:szCs w:val="20"/>
              </w:rPr>
            </w:pPr>
            <w:r w:rsidRPr="006431C4">
              <w:rPr>
                <w:rFonts w:cs="Arial"/>
                <w:szCs w:val="20"/>
              </w:rPr>
              <w:t xml:space="preserve">Nie więcej niż </w:t>
            </w:r>
            <w:smartTag w:uri="urn:schemas-microsoft-com:office:smarttags" w:element="metricconverter">
              <w:smartTagPr>
                <w:attr w:name="ProductID" w:val="3 cm"/>
              </w:smartTagPr>
              <w:r w:rsidRPr="006431C4">
                <w:rPr>
                  <w:rFonts w:cs="Arial"/>
                  <w:szCs w:val="20"/>
                </w:rPr>
                <w:t>3 cm</w:t>
              </w:r>
            </w:smartTag>
            <w:r w:rsidRPr="006431C4">
              <w:rPr>
                <w:rFonts w:cs="Arial"/>
                <w:szCs w:val="20"/>
              </w:rPr>
              <w:t xml:space="preserve"> lub +</w:t>
            </w:r>
            <w:smartTag w:uri="urn:schemas-microsoft-com:office:smarttags" w:element="metricconverter">
              <w:smartTagPr>
                <w:attr w:name="ProductID" w:val="1 cm"/>
              </w:smartTagPr>
              <w:r w:rsidRPr="006431C4">
                <w:rPr>
                  <w:rFonts w:cs="Arial"/>
                  <w:szCs w:val="20"/>
                </w:rPr>
                <w:t>1 cm</w:t>
              </w:r>
            </w:smartTag>
          </w:p>
        </w:tc>
      </w:tr>
      <w:tr w:rsidR="00B677E1" w:rsidRPr="006431C4" w14:paraId="5633D638" w14:textId="77777777" w:rsidTr="00B677E1">
        <w:tc>
          <w:tcPr>
            <w:tcW w:w="539" w:type="dxa"/>
          </w:tcPr>
          <w:p w14:paraId="2483D74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3851" w:type="dxa"/>
          </w:tcPr>
          <w:p w14:paraId="70E7AE5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Pochylenie poprzeczne górnej powierzchni korpusu drogowego</w:t>
            </w:r>
          </w:p>
        </w:tc>
        <w:tc>
          <w:tcPr>
            <w:tcW w:w="4110" w:type="dxa"/>
          </w:tcPr>
          <w:p w14:paraId="0317313F"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Pomiar niwelatorem rzędnych w odstępach co </w:t>
            </w:r>
            <w:smartTag w:uri="urn:schemas-microsoft-com:office:smarttags" w:element="metricconverter">
              <w:smartTagPr>
                <w:attr w:name="ProductID" w:val="100 m"/>
              </w:smartTagPr>
              <w:r w:rsidRPr="006431C4">
                <w:rPr>
                  <w:rFonts w:cs="Arial"/>
                  <w:szCs w:val="20"/>
                </w:rPr>
                <w:t>100 m</w:t>
              </w:r>
            </w:smartTag>
            <w:r w:rsidRPr="006431C4">
              <w:rPr>
                <w:rFonts w:cs="Arial"/>
                <w:szCs w:val="20"/>
              </w:rPr>
              <w:t xml:space="preserve"> oraz w punktach wątpliwych</w:t>
            </w:r>
          </w:p>
        </w:tc>
        <w:tc>
          <w:tcPr>
            <w:tcW w:w="1984" w:type="dxa"/>
          </w:tcPr>
          <w:p w14:paraId="2BC8ECDE"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 ±0,5%</w:t>
            </w:r>
          </w:p>
        </w:tc>
      </w:tr>
    </w:tbl>
    <w:p w14:paraId="1DADFD7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p>
    <w:p w14:paraId="36E1468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6.4.2. </w:t>
      </w:r>
      <w:r w:rsidRPr="006431C4">
        <w:rPr>
          <w:rFonts w:cs="Arial"/>
          <w:szCs w:val="20"/>
        </w:rPr>
        <w:t>Zagęszczenie gruntu</w:t>
      </w:r>
    </w:p>
    <w:p w14:paraId="7B5C48EA"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Zagęszczenie materiału nasypowego, gruntu podłoża pod nasypem oraz podłoża gruntowego nawierzchni w wykopie określa się na podstawie wskaźnika zagęszczenia Is. </w:t>
      </w:r>
    </w:p>
    <w:p w14:paraId="1E6633F8"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Badanie wskaźnika zagęszczenia należy przeprowadzić zgodnie z zasadami  określonymi w pkcie 5.9 niniejszej SST. W raporcie z badań należy podać wskaźnik zagęszczenia oraz wilgotność badanego gruntu. Wykonawca do odbioru budowli ziemnej przedstawi wyniki badań wskaźnika zagęszczenia każdej warstwy. Częstotliwość badań wskaźnika zagęszczenia powinna być następująca:</w:t>
      </w:r>
    </w:p>
    <w:p w14:paraId="51E4676A" w14:textId="77777777" w:rsidR="00B677E1" w:rsidRPr="006431C4" w:rsidRDefault="00B677E1" w:rsidP="00CF1E7D">
      <w:pPr>
        <w:numPr>
          <w:ilvl w:val="0"/>
          <w:numId w:val="117"/>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 wykopach i dla górnej warstwy nasypu – nie mniej niż 3 badania na każde </w:t>
      </w:r>
      <w:smartTag w:uri="urn:schemas-microsoft-com:office:smarttags" w:element="metricconverter">
        <w:smartTagPr>
          <w:attr w:name="ProductID" w:val="1000 m2"/>
        </w:smartTagPr>
        <w:r w:rsidRPr="006431C4">
          <w:rPr>
            <w:rFonts w:cs="Arial"/>
            <w:szCs w:val="20"/>
          </w:rPr>
          <w:t>1000 m</w:t>
        </w:r>
        <w:r w:rsidRPr="006431C4">
          <w:rPr>
            <w:rFonts w:cs="Arial"/>
            <w:szCs w:val="20"/>
            <w:vertAlign w:val="superscript"/>
          </w:rPr>
          <w:t>2</w:t>
        </w:r>
      </w:smartTag>
      <w:r w:rsidRPr="006431C4">
        <w:rPr>
          <w:rFonts w:cs="Arial"/>
          <w:szCs w:val="20"/>
        </w:rPr>
        <w:t xml:space="preserve"> powierzchni zagęszczonej warstwy, jednak co najmniej 3 badania na dziennej działce roboczej,</w:t>
      </w:r>
    </w:p>
    <w:p w14:paraId="426041CC" w14:textId="77777777" w:rsidR="00B677E1" w:rsidRPr="006431C4" w:rsidRDefault="00B677E1" w:rsidP="00CF1E7D">
      <w:pPr>
        <w:numPr>
          <w:ilvl w:val="0"/>
          <w:numId w:val="117"/>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dla pozostałych partii nasypu – nie mniej niż 3 badania na każde </w:t>
      </w:r>
      <w:smartTag w:uri="urn:schemas-microsoft-com:office:smarttags" w:element="metricconverter">
        <w:smartTagPr>
          <w:attr w:name="ProductID" w:val="2000 m2"/>
        </w:smartTagPr>
        <w:r w:rsidRPr="006431C4">
          <w:rPr>
            <w:rFonts w:cs="Arial"/>
            <w:szCs w:val="20"/>
          </w:rPr>
          <w:t>2000 m</w:t>
        </w:r>
        <w:r w:rsidRPr="006431C4">
          <w:rPr>
            <w:rFonts w:cs="Arial"/>
            <w:szCs w:val="20"/>
            <w:vertAlign w:val="superscript"/>
          </w:rPr>
          <w:t>2</w:t>
        </w:r>
      </w:smartTag>
      <w:r w:rsidRPr="006431C4">
        <w:rPr>
          <w:rFonts w:cs="Arial"/>
          <w:szCs w:val="20"/>
          <w:vertAlign w:val="superscript"/>
        </w:rPr>
        <w:t xml:space="preserve"> </w:t>
      </w:r>
      <w:r w:rsidRPr="006431C4">
        <w:rPr>
          <w:rFonts w:cs="Arial"/>
          <w:szCs w:val="20"/>
        </w:rPr>
        <w:t>powierzchni  zagęszczonej warstwy, jednak co najmniej 3 badania na dziennej działce roboczej.</w:t>
      </w:r>
    </w:p>
    <w:p w14:paraId="01C9055B"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Ponadto badanie wskaźnika zagęszczenia należy wykonać w miejscach wątpliwych wskazanych przez Inżyniera. Należy ocenić zgodność wyników badania z wymaganiami SST. Jeżeli dopuszczono kontrolę zagęszczenia na podstawie wskaźnika odkształcenia Io, to wymaga się aby częstotliwość badań była nie mniejsza niż określono powyżej  w odniesieniu do badania wskaźnika zagęszczenia Is. </w:t>
      </w:r>
    </w:p>
    <w:p w14:paraId="17DF2A2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6.4.3.</w:t>
      </w:r>
      <w:r w:rsidRPr="006431C4">
        <w:rPr>
          <w:rFonts w:cs="Arial"/>
          <w:szCs w:val="20"/>
        </w:rPr>
        <w:t xml:space="preserve"> Nośność podłoża gruntowego </w:t>
      </w:r>
    </w:p>
    <w:p w14:paraId="67611FEA"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Nośność należy badać na powierzchni warstw określonych w dokumentacji projektowej. Nośność określa się na podstawie wartości wtórnego modułu odkształcenia E</w:t>
      </w:r>
      <w:r w:rsidRPr="006431C4">
        <w:rPr>
          <w:rFonts w:cs="Arial"/>
          <w:szCs w:val="20"/>
          <w:vertAlign w:val="subscript"/>
        </w:rPr>
        <w:t>2</w:t>
      </w:r>
      <w:r w:rsidRPr="006431C4">
        <w:rPr>
          <w:rFonts w:cs="Arial"/>
          <w:szCs w:val="20"/>
        </w:rPr>
        <w:t>. Badanie modułu odkształcenia E</w:t>
      </w:r>
      <w:r w:rsidRPr="006431C4">
        <w:rPr>
          <w:rFonts w:cs="Arial"/>
          <w:szCs w:val="20"/>
          <w:vertAlign w:val="subscript"/>
        </w:rPr>
        <w:t>2</w:t>
      </w:r>
      <w:r w:rsidRPr="006431C4">
        <w:rPr>
          <w:rFonts w:cs="Arial"/>
          <w:szCs w:val="20"/>
        </w:rPr>
        <w:t xml:space="preserve"> należy przeprowadzić zgodnie z zasadami określonymi w pkcie 5.10 niniejszej SST. Wykonawca do odbioru budowli ziemnej przedstawi wyniki badań nośności podłoża pod nasypem oraz na powierzchni tych warstw, które zostały zakryte wyżej leżącymi warstwami do czasu przeprowadzenia odbioru budowli ziemnej. Nośność na powierzchni podłoża gruntowego nawierzchni może być określona przed lub podczas odbioru budowli ziemnej. Częstotliwość badań nośności powinna być następująca:</w:t>
      </w:r>
    </w:p>
    <w:p w14:paraId="14124D9F" w14:textId="77777777" w:rsidR="00B677E1" w:rsidRPr="006431C4" w:rsidRDefault="00B677E1" w:rsidP="00CF1E7D">
      <w:pPr>
        <w:numPr>
          <w:ilvl w:val="0"/>
          <w:numId w:val="118"/>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nie mniej niż jeden raz na </w:t>
      </w:r>
      <w:smartTag w:uri="urn:schemas-microsoft-com:office:smarttags" w:element="metricconverter">
        <w:smartTagPr>
          <w:attr w:name="ProductID" w:val="1000 m2"/>
        </w:smartTagPr>
        <w:r w:rsidRPr="006431C4">
          <w:rPr>
            <w:rFonts w:cs="Arial"/>
            <w:szCs w:val="20"/>
          </w:rPr>
          <w:t>1000 m</w:t>
        </w:r>
        <w:r w:rsidRPr="006431C4">
          <w:rPr>
            <w:rFonts w:cs="Arial"/>
            <w:szCs w:val="20"/>
            <w:vertAlign w:val="superscript"/>
          </w:rPr>
          <w:t>2</w:t>
        </w:r>
      </w:smartTag>
      <w:r w:rsidRPr="006431C4">
        <w:rPr>
          <w:rFonts w:cs="Arial"/>
          <w:szCs w:val="20"/>
        </w:rPr>
        <w:t xml:space="preserve"> powierzchni w przypadku badania na powierzchni podłoża gruntowego nawierzchni,</w:t>
      </w:r>
    </w:p>
    <w:p w14:paraId="1D3878AC" w14:textId="77777777" w:rsidR="00B677E1" w:rsidRPr="006431C4" w:rsidRDefault="00B677E1" w:rsidP="00CF1E7D">
      <w:pPr>
        <w:numPr>
          <w:ilvl w:val="0"/>
          <w:numId w:val="118"/>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nie mniej niż jeden raz na </w:t>
      </w:r>
      <w:smartTag w:uri="urn:schemas-microsoft-com:office:smarttags" w:element="metricconverter">
        <w:smartTagPr>
          <w:attr w:name="ProductID" w:val="2000 m2"/>
        </w:smartTagPr>
        <w:r w:rsidRPr="006431C4">
          <w:rPr>
            <w:rFonts w:cs="Arial"/>
            <w:szCs w:val="20"/>
          </w:rPr>
          <w:t>2000 m</w:t>
        </w:r>
        <w:r w:rsidRPr="006431C4">
          <w:rPr>
            <w:rFonts w:cs="Arial"/>
            <w:szCs w:val="20"/>
            <w:vertAlign w:val="superscript"/>
          </w:rPr>
          <w:t>2</w:t>
        </w:r>
      </w:smartTag>
      <w:r w:rsidRPr="006431C4">
        <w:rPr>
          <w:rFonts w:cs="Arial"/>
          <w:szCs w:val="20"/>
        </w:rPr>
        <w:t xml:space="preserve"> powierzchni w pozostałych przypadkach, </w:t>
      </w:r>
    </w:p>
    <w:p w14:paraId="1A7A22E6" w14:textId="77777777" w:rsidR="00B677E1" w:rsidRPr="006431C4" w:rsidRDefault="00B677E1" w:rsidP="00CF1E7D">
      <w:pPr>
        <w:numPr>
          <w:ilvl w:val="0"/>
          <w:numId w:val="118"/>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 miejscach wskazanych przez Inżyniera. </w:t>
      </w:r>
    </w:p>
    <w:p w14:paraId="5A997ECF"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b/>
          <w:szCs w:val="20"/>
        </w:rPr>
      </w:pPr>
      <w:r w:rsidRPr="006431C4">
        <w:rPr>
          <w:rFonts w:cs="Arial"/>
          <w:szCs w:val="20"/>
        </w:rPr>
        <w:t xml:space="preserve">Za zgodą Inżyniera dopuszcza się stosowanie innych metod do oceny nośności wykonanych warstw, po skorelowaniu tych metod z metodami określonymi w niniejszej SST, dla warunków wynikających ze stosowanych w robotach ziemnych gruntów i materiałów antropogenicznych. </w:t>
      </w:r>
    </w:p>
    <w:p w14:paraId="4DA2C050"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6.5. Sprawdzenie wykonania ukopu, dokopu i odkładu </w:t>
      </w:r>
    </w:p>
    <w:p w14:paraId="77B8933A"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Sprawdzenie wykonania ukopu lub dokopu polega na skontrolowaniu zgodności robót i wykonanego ukopu lub dokopu z wymaganiami sformułowanymi w dokumentacji projektowej i SST. W trakcie kontroli należy zwrócić szczególną uwagę na sprawdzenie:</w:t>
      </w:r>
    </w:p>
    <w:p w14:paraId="7EF513EC" w14:textId="77777777" w:rsidR="00B677E1" w:rsidRPr="006431C4" w:rsidRDefault="00B677E1" w:rsidP="00CF1E7D">
      <w:pPr>
        <w:numPr>
          <w:ilvl w:val="0"/>
          <w:numId w:val="119"/>
        </w:numPr>
        <w:overflowPunct w:val="0"/>
        <w:autoSpaceDE w:val="0"/>
        <w:autoSpaceDN w:val="0"/>
        <w:adjustRightInd w:val="0"/>
        <w:spacing w:line="240" w:lineRule="auto"/>
        <w:jc w:val="both"/>
        <w:textAlignment w:val="baseline"/>
        <w:rPr>
          <w:rFonts w:cs="Arial"/>
          <w:szCs w:val="20"/>
        </w:rPr>
      </w:pPr>
      <w:r w:rsidRPr="006431C4">
        <w:rPr>
          <w:rFonts w:cs="Arial"/>
          <w:szCs w:val="20"/>
        </w:rPr>
        <w:t>zgodności i rodzaju gruntu z dokumentacją projektową,</w:t>
      </w:r>
    </w:p>
    <w:p w14:paraId="1B0A4EAE" w14:textId="77777777" w:rsidR="00B677E1" w:rsidRPr="006431C4" w:rsidRDefault="00B677E1" w:rsidP="00CF1E7D">
      <w:pPr>
        <w:numPr>
          <w:ilvl w:val="0"/>
          <w:numId w:val="119"/>
        </w:numPr>
        <w:overflowPunct w:val="0"/>
        <w:autoSpaceDE w:val="0"/>
        <w:autoSpaceDN w:val="0"/>
        <w:adjustRightInd w:val="0"/>
        <w:spacing w:line="240" w:lineRule="auto"/>
        <w:jc w:val="both"/>
        <w:textAlignment w:val="baseline"/>
        <w:rPr>
          <w:rFonts w:cs="Arial"/>
          <w:szCs w:val="20"/>
        </w:rPr>
      </w:pPr>
      <w:r w:rsidRPr="006431C4">
        <w:rPr>
          <w:rFonts w:cs="Arial"/>
          <w:szCs w:val="20"/>
        </w:rPr>
        <w:t>zachowania kształtu zboczy, zapewniającego ich stateczność,</w:t>
      </w:r>
    </w:p>
    <w:p w14:paraId="75792C1E" w14:textId="77777777" w:rsidR="00B677E1" w:rsidRPr="006431C4" w:rsidRDefault="00B677E1" w:rsidP="00CF1E7D">
      <w:pPr>
        <w:numPr>
          <w:ilvl w:val="0"/>
          <w:numId w:val="119"/>
        </w:numPr>
        <w:overflowPunct w:val="0"/>
        <w:autoSpaceDE w:val="0"/>
        <w:autoSpaceDN w:val="0"/>
        <w:adjustRightInd w:val="0"/>
        <w:spacing w:line="240" w:lineRule="auto"/>
        <w:jc w:val="both"/>
        <w:textAlignment w:val="baseline"/>
        <w:rPr>
          <w:rFonts w:cs="Arial"/>
          <w:szCs w:val="20"/>
        </w:rPr>
      </w:pPr>
      <w:r w:rsidRPr="006431C4">
        <w:rPr>
          <w:rFonts w:cs="Arial"/>
          <w:szCs w:val="20"/>
        </w:rPr>
        <w:t>odwodnienia,</w:t>
      </w:r>
    </w:p>
    <w:p w14:paraId="449E82F8" w14:textId="77777777" w:rsidR="00B677E1" w:rsidRPr="006431C4" w:rsidRDefault="00B677E1" w:rsidP="00CF1E7D">
      <w:pPr>
        <w:numPr>
          <w:ilvl w:val="0"/>
          <w:numId w:val="119"/>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zagospodarowania terenu po zakończeniu eksploatacji ukopu. </w:t>
      </w:r>
    </w:p>
    <w:p w14:paraId="1013388B"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Sprawdzenie wykonania odkładu polega na sprawdzeniu zgodności robót i wykonanego odkładu z wymaganiami sformułowanymi w dokumentacji projektowej i SST. W trakcie kontroli należy zwrócić szczególną uwagę na:</w:t>
      </w:r>
    </w:p>
    <w:p w14:paraId="4C6CD4CF" w14:textId="77777777" w:rsidR="00B677E1" w:rsidRPr="006431C4" w:rsidRDefault="00B677E1" w:rsidP="00CF1E7D">
      <w:pPr>
        <w:numPr>
          <w:ilvl w:val="0"/>
          <w:numId w:val="120"/>
        </w:numPr>
        <w:overflowPunct w:val="0"/>
        <w:autoSpaceDE w:val="0"/>
        <w:autoSpaceDN w:val="0"/>
        <w:adjustRightInd w:val="0"/>
        <w:spacing w:line="240" w:lineRule="auto"/>
        <w:jc w:val="both"/>
        <w:textAlignment w:val="baseline"/>
        <w:rPr>
          <w:rFonts w:cs="Arial"/>
          <w:szCs w:val="20"/>
        </w:rPr>
      </w:pPr>
      <w:r w:rsidRPr="006431C4">
        <w:rPr>
          <w:rFonts w:cs="Arial"/>
          <w:szCs w:val="20"/>
        </w:rPr>
        <w:t>prawidłowe usytuowanie i kształt geometryczny odkładu,</w:t>
      </w:r>
    </w:p>
    <w:p w14:paraId="062CD867" w14:textId="77777777" w:rsidR="00B677E1" w:rsidRPr="006431C4" w:rsidRDefault="00B677E1" w:rsidP="00CF1E7D">
      <w:pPr>
        <w:numPr>
          <w:ilvl w:val="0"/>
          <w:numId w:val="120"/>
        </w:numPr>
        <w:overflowPunct w:val="0"/>
        <w:autoSpaceDE w:val="0"/>
        <w:autoSpaceDN w:val="0"/>
        <w:adjustRightInd w:val="0"/>
        <w:spacing w:line="240" w:lineRule="auto"/>
        <w:jc w:val="both"/>
        <w:textAlignment w:val="baseline"/>
        <w:rPr>
          <w:rFonts w:cs="Arial"/>
          <w:szCs w:val="20"/>
        </w:rPr>
      </w:pPr>
      <w:r w:rsidRPr="006431C4">
        <w:rPr>
          <w:rFonts w:cs="Arial"/>
          <w:szCs w:val="20"/>
        </w:rPr>
        <w:t>odpowiednie wbudowanie gruntu,</w:t>
      </w:r>
    </w:p>
    <w:p w14:paraId="01769AAC" w14:textId="77777777" w:rsidR="00B677E1" w:rsidRPr="006431C4" w:rsidRDefault="00B677E1" w:rsidP="00CF1E7D">
      <w:pPr>
        <w:numPr>
          <w:ilvl w:val="0"/>
          <w:numId w:val="120"/>
        </w:numPr>
        <w:overflowPunct w:val="0"/>
        <w:autoSpaceDE w:val="0"/>
        <w:autoSpaceDN w:val="0"/>
        <w:adjustRightInd w:val="0"/>
        <w:spacing w:line="240" w:lineRule="auto"/>
        <w:jc w:val="both"/>
        <w:textAlignment w:val="baseline"/>
        <w:rPr>
          <w:rFonts w:cs="Arial"/>
          <w:szCs w:val="20"/>
        </w:rPr>
      </w:pPr>
      <w:r w:rsidRPr="006431C4">
        <w:rPr>
          <w:rFonts w:cs="Arial"/>
          <w:szCs w:val="20"/>
        </w:rPr>
        <w:t>odwodnienie,</w:t>
      </w:r>
    </w:p>
    <w:p w14:paraId="3E187540" w14:textId="77777777" w:rsidR="00B677E1" w:rsidRPr="006431C4" w:rsidRDefault="00B677E1" w:rsidP="00CF1E7D">
      <w:pPr>
        <w:numPr>
          <w:ilvl w:val="0"/>
          <w:numId w:val="120"/>
        </w:numPr>
        <w:overflowPunct w:val="0"/>
        <w:autoSpaceDE w:val="0"/>
        <w:autoSpaceDN w:val="0"/>
        <w:adjustRightInd w:val="0"/>
        <w:spacing w:line="240" w:lineRule="auto"/>
        <w:jc w:val="both"/>
        <w:textAlignment w:val="baseline"/>
        <w:rPr>
          <w:rFonts w:cs="Arial"/>
          <w:b/>
          <w:szCs w:val="20"/>
        </w:rPr>
      </w:pPr>
      <w:r w:rsidRPr="006431C4">
        <w:rPr>
          <w:rFonts w:cs="Arial"/>
          <w:szCs w:val="20"/>
        </w:rPr>
        <w:t>właściwe zagospodarowanie odkładu.</w:t>
      </w:r>
    </w:p>
    <w:p w14:paraId="4B56FE01" w14:textId="77777777" w:rsidR="00B677E1" w:rsidRPr="006431C4" w:rsidRDefault="00B677E1"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22" w:name="_Toc17407539"/>
      <w:bookmarkStart w:id="123" w:name="_Toc17407774"/>
      <w:bookmarkStart w:id="124" w:name="_Toc17407898"/>
      <w:bookmarkStart w:id="125" w:name="_Toc17408017"/>
      <w:r w:rsidRPr="006431C4">
        <w:rPr>
          <w:rFonts w:cs="Arial"/>
          <w:b/>
          <w:caps/>
          <w:kern w:val="28"/>
          <w:szCs w:val="20"/>
        </w:rPr>
        <w:t>7. Obmiar robót</w:t>
      </w:r>
      <w:bookmarkEnd w:id="122"/>
      <w:bookmarkEnd w:id="123"/>
      <w:bookmarkEnd w:id="124"/>
      <w:bookmarkEnd w:id="125"/>
    </w:p>
    <w:p w14:paraId="635B44ED"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26" w:name="_Toc405615058"/>
      <w:bookmarkStart w:id="127" w:name="_Toc407161206"/>
      <w:r w:rsidRPr="006431C4">
        <w:rPr>
          <w:rFonts w:cs="Arial"/>
          <w:b/>
          <w:szCs w:val="20"/>
        </w:rPr>
        <w:t>7.1. Ogólne zasady obmiaru robót</w:t>
      </w:r>
      <w:bookmarkEnd w:id="126"/>
      <w:bookmarkEnd w:id="127"/>
    </w:p>
    <w:p w14:paraId="3F702CC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obmiaru robót podano w SST D-M-00.00.00 „Wymagania ogólne” pkt 7.</w:t>
      </w:r>
    </w:p>
    <w:p w14:paraId="4D72078F"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28" w:name="_Toc405615059"/>
      <w:bookmarkStart w:id="129" w:name="_Toc407161207"/>
      <w:r w:rsidRPr="006431C4">
        <w:rPr>
          <w:rFonts w:cs="Arial"/>
          <w:b/>
          <w:szCs w:val="20"/>
        </w:rPr>
        <w:t>7.2. Obmiar robót ziemnych</w:t>
      </w:r>
      <w:bookmarkEnd w:id="128"/>
      <w:bookmarkEnd w:id="129"/>
    </w:p>
    <w:p w14:paraId="2A98E72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Jednostką obmiarową jest m</w:t>
      </w:r>
      <w:r w:rsidRPr="006431C4">
        <w:rPr>
          <w:rFonts w:cs="Arial"/>
          <w:szCs w:val="20"/>
          <w:vertAlign w:val="superscript"/>
        </w:rPr>
        <w:t>3</w:t>
      </w:r>
      <w:r w:rsidRPr="006431C4">
        <w:rPr>
          <w:rFonts w:cs="Arial"/>
          <w:szCs w:val="20"/>
        </w:rPr>
        <w:t xml:space="preserve"> (metr sześcienny) wykonanych robót ziemnych.</w:t>
      </w:r>
    </w:p>
    <w:p w14:paraId="46E93DE1" w14:textId="77777777" w:rsidR="00B677E1" w:rsidRPr="006431C4" w:rsidRDefault="00B677E1"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30" w:name="_Toc405615060"/>
      <w:bookmarkStart w:id="131" w:name="_Toc407161208"/>
      <w:bookmarkStart w:id="132" w:name="_Toc418996329"/>
      <w:bookmarkStart w:id="133" w:name="_Toc418996698"/>
      <w:bookmarkStart w:id="134" w:name="_Toc418997085"/>
      <w:bookmarkStart w:id="135" w:name="_Toc418998495"/>
      <w:bookmarkStart w:id="136" w:name="_Toc418998851"/>
      <w:bookmarkStart w:id="137" w:name="_Toc419000096"/>
      <w:bookmarkStart w:id="138" w:name="_Toc17407540"/>
      <w:bookmarkStart w:id="139" w:name="_Toc17407775"/>
      <w:bookmarkStart w:id="140" w:name="_Toc17407899"/>
      <w:bookmarkStart w:id="141" w:name="_Toc17408018"/>
      <w:r w:rsidRPr="006431C4">
        <w:rPr>
          <w:rFonts w:cs="Arial"/>
          <w:b/>
          <w:caps/>
          <w:kern w:val="28"/>
          <w:szCs w:val="20"/>
        </w:rPr>
        <w:t>8. Odbiór robót</w:t>
      </w:r>
      <w:bookmarkEnd w:id="130"/>
      <w:bookmarkEnd w:id="131"/>
      <w:bookmarkEnd w:id="132"/>
      <w:bookmarkEnd w:id="133"/>
      <w:bookmarkEnd w:id="134"/>
      <w:bookmarkEnd w:id="135"/>
      <w:bookmarkEnd w:id="136"/>
      <w:bookmarkEnd w:id="137"/>
      <w:bookmarkEnd w:id="138"/>
      <w:bookmarkEnd w:id="139"/>
      <w:bookmarkEnd w:id="140"/>
      <w:bookmarkEnd w:id="141"/>
    </w:p>
    <w:p w14:paraId="7CF7B1BB"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8.1. Ogólne zasady odbioru robót</w:t>
      </w:r>
    </w:p>
    <w:p w14:paraId="456A60B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odbioru robót podano w SST D-M-00.00.00 „Wymagania ogólne” pkt 8.</w:t>
      </w:r>
    </w:p>
    <w:p w14:paraId="1D0C7FF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Roboty ziemne uznaje się za wykonane zgodnie z dokumentacją projektową, SST i wymaganiami Inżyniera, jeżeli wszystkie pomiary i badania z zachowaniem tolerancji wg pktu 6 dały wyniki pozytywne.</w:t>
      </w:r>
    </w:p>
    <w:p w14:paraId="03968891"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odbioru ostatecznego uwzględniane są wyniki badań i pomiarów kontrolnych, badań i pomiarów kontrolnych dodatkowych oraz badań i pomiarów arbitrażowych do wyznaczonych odcinków częściowych. </w:t>
      </w:r>
    </w:p>
    <w:p w14:paraId="4101E7FC"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8.2. Odbiór robót zanikających lub ulegających zakryciu </w:t>
      </w:r>
    </w:p>
    <w:p w14:paraId="012D8910"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Odbiór tych robót powinien być zgodny z wymaganiami SST D-M-00.00.00 "Wymagania ogólne" oraz niniejszej SST.  </w:t>
      </w:r>
    </w:p>
    <w:p w14:paraId="4AEFEE79"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Gotowość danej części robót do odbioru zgłasza Wykonawca wpisem do dziennika budowy i jednoczesnym powiadomieniem Inżyniera. Odbiór będzie przeprowadzony niezwłocznie, nie później jednak niż w ciągu 3 dni od daty zgłoszenia wpisem do dziennika budowy i powiadomienia o tym fakcie Inżyniera. Jakość i ilość robót ulegających zakryciu ocenia Inżynier na podstawie dokumentów zawierających komplet wyników badań laboratoryjnych i w oparciu o przeprowadzone pomiary.</w:t>
      </w:r>
    </w:p>
    <w:p w14:paraId="719C729E"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8.3.Odbiór częściowy </w:t>
      </w:r>
    </w:p>
    <w:p w14:paraId="19E61AD3"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Odbiór częściowy polega na ocenie ilości i jakości wykonanych części robót. Odbioru częściowego robót dokonuje się wg zasad jak przy odbiorze ostatecznym robót. Odbioru robót dokonuje Inżynier.</w:t>
      </w:r>
    </w:p>
    <w:p w14:paraId="2B9FDB35"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8.4. Odbiór ostateczny </w:t>
      </w:r>
    </w:p>
    <w:p w14:paraId="2EA94FD4"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Roboty objęte niniejszą SST podlegają odbiorowi na zasadzie robót zanikających i ulegających zakryciu, który jest dokonywany na podstawie wyników pomiarów, badań i oceny wizualnej.</w:t>
      </w:r>
    </w:p>
    <w:p w14:paraId="30684E1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w:t>
      </w:r>
      <w:r w:rsidRPr="006431C4">
        <w:rPr>
          <w:rFonts w:cs="Arial"/>
          <w:szCs w:val="20"/>
        </w:rPr>
        <w:tab/>
        <w:t xml:space="preserve">Do odbioru Wykonawca przedstawia wszystkie dokumenty z bieżącej kontroli jakości robót oraz dokumentację projektową z naniesionymi zmianami i uzupełnieniami dokonanymi w trakcie robót (dokumentację powykonawczą). </w:t>
      </w:r>
    </w:p>
    <w:p w14:paraId="2C8956B3"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Podstawą odbioru ostatecznego jest pisemne stwierdzenie przez Inżyniera w dzienniku budowy zakończenia wszystkich robót związanych z niniejszą SST, a także spełnienie wymagań określonych w dokumentacji projektowej i niniejszej SST </w:t>
      </w:r>
    </w:p>
    <w:p w14:paraId="2BCFD24B"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8.5. Zasady postępowania z wadliwie wykonanymi robotami </w:t>
      </w:r>
    </w:p>
    <w:p w14:paraId="5EC342BD"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Jeżeli wystąpią wyniki negatywne dla materiałów i robót (nie spełniające wymagań określonych w ST), to Inżynier wydaje Wykonawcy polecenie przedstawienia programu naprawczego, chyba że na wniosek jednej ze stron kontraktu zostaną wykonane badania lub pomiary arbitrażowe (zgodnie z pktem 6 niniejszej SST), a ich wyniki będą pozytywne. </w:t>
      </w:r>
    </w:p>
    <w:p w14:paraId="03E42F0C" w14:textId="77777777" w:rsidR="00B677E1" w:rsidRPr="006431C4" w:rsidRDefault="00B677E1"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Wykonawca w programie tym jest zobowiązany dokonać oceny wpływu na trwałość, przedstawić sposób naprawienia wady lub wnioskować o zredukowanie ceny kontraktowej. Na zastosowanie programu naprawczego wyraża zgodę Inżynier. W przypadku braku zgody Inżyniera na zastosowanie programu naprawczego, wszystkie materiały i roboty nie spełniające wymagań podanych w odpowiednich punktach SST zostaną odrzucone. Wykonawca wymieni materiały na właściwe i wykona prawidłowo roboty na własny koszt. Jeżeli wymiana materiałów niespełniających wymagań lub wadliwie wykonane roboty spowodują szkodę w innych, prawidłowo wykonanych robotach, to również te roboty powinny być ponownie wykonane przez Wykonawcę na jego koszt.</w:t>
      </w:r>
    </w:p>
    <w:p w14:paraId="63ED7F6D" w14:textId="77777777" w:rsidR="00B677E1" w:rsidRPr="006431C4" w:rsidRDefault="00B677E1"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42" w:name="_Toc405615061"/>
      <w:bookmarkStart w:id="143" w:name="_Toc407161209"/>
      <w:bookmarkStart w:id="144" w:name="_Toc418996330"/>
      <w:bookmarkStart w:id="145" w:name="_Toc418996699"/>
      <w:bookmarkStart w:id="146" w:name="_Toc418997086"/>
      <w:bookmarkStart w:id="147" w:name="_Toc418998496"/>
      <w:bookmarkStart w:id="148" w:name="_Toc418998852"/>
      <w:bookmarkStart w:id="149" w:name="_Toc419000097"/>
      <w:bookmarkStart w:id="150" w:name="_Toc17407541"/>
      <w:bookmarkStart w:id="151" w:name="_Toc17407776"/>
      <w:bookmarkStart w:id="152" w:name="_Toc17407900"/>
      <w:bookmarkStart w:id="153" w:name="_Toc17408019"/>
      <w:r w:rsidRPr="006431C4">
        <w:rPr>
          <w:rFonts w:cs="Arial"/>
          <w:b/>
          <w:caps/>
          <w:kern w:val="28"/>
          <w:szCs w:val="20"/>
        </w:rPr>
        <w:t>9. Podstawa płatności</w:t>
      </w:r>
      <w:bookmarkEnd w:id="142"/>
      <w:bookmarkEnd w:id="143"/>
      <w:bookmarkEnd w:id="144"/>
      <w:bookmarkEnd w:id="145"/>
      <w:bookmarkEnd w:id="146"/>
      <w:bookmarkEnd w:id="147"/>
      <w:bookmarkEnd w:id="148"/>
      <w:bookmarkEnd w:id="149"/>
      <w:bookmarkEnd w:id="150"/>
      <w:bookmarkEnd w:id="151"/>
      <w:bookmarkEnd w:id="152"/>
      <w:bookmarkEnd w:id="153"/>
    </w:p>
    <w:p w14:paraId="293E6EE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ustalenia dotyczące podstawy płatności podano w SST D-M-00.00.00 „Wymagania ogólne” pkt 9.</w:t>
      </w:r>
    </w:p>
    <w:p w14:paraId="5B31B337"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Zakres czynności objętych ceną jednostkową podano w SST D-02.01.01,                   D-02.02.01 oraz D-02.03.01 pkt 9.</w:t>
      </w:r>
    </w:p>
    <w:p w14:paraId="1CB52544" w14:textId="77777777" w:rsidR="00B677E1" w:rsidRPr="006431C4" w:rsidRDefault="00B677E1"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54" w:name="_Toc17407542"/>
      <w:bookmarkStart w:id="155" w:name="_Toc17407777"/>
      <w:bookmarkStart w:id="156" w:name="_Toc17407901"/>
      <w:bookmarkStart w:id="157" w:name="_Toc17408020"/>
      <w:r w:rsidRPr="006431C4">
        <w:rPr>
          <w:rFonts w:cs="Arial"/>
          <w:b/>
          <w:caps/>
          <w:kern w:val="28"/>
          <w:szCs w:val="20"/>
        </w:rPr>
        <w:t>10. Przepisy związane</w:t>
      </w:r>
      <w:bookmarkEnd w:id="154"/>
      <w:bookmarkEnd w:id="155"/>
      <w:bookmarkEnd w:id="156"/>
      <w:bookmarkEnd w:id="157"/>
    </w:p>
    <w:p w14:paraId="6C6364D6"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bookmarkStart w:id="158" w:name="_Toc405615063"/>
      <w:bookmarkStart w:id="159" w:name="_Toc407161211"/>
      <w:r w:rsidRPr="006431C4">
        <w:rPr>
          <w:rFonts w:cs="Arial"/>
          <w:b/>
          <w:szCs w:val="20"/>
        </w:rPr>
        <w:t>10.1. SST (szczegółowe specyfikacje techniczne)</w:t>
      </w:r>
    </w:p>
    <w:p w14:paraId="3C205C5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1.  D-M-00.00.00.</w:t>
      </w:r>
      <w:r w:rsidRPr="006431C4">
        <w:rPr>
          <w:rFonts w:cs="Arial"/>
          <w:szCs w:val="20"/>
        </w:rPr>
        <w:tab/>
      </w:r>
      <w:r w:rsidRPr="006431C4">
        <w:rPr>
          <w:rFonts w:cs="Arial"/>
          <w:szCs w:val="20"/>
        </w:rPr>
        <w:tab/>
        <w:t xml:space="preserve">   Wymagania ogólne</w:t>
      </w:r>
    </w:p>
    <w:p w14:paraId="4083D737"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2.  D-01.00.00</w:t>
      </w:r>
      <w:r w:rsidRPr="006431C4">
        <w:rPr>
          <w:rFonts w:cs="Arial"/>
          <w:szCs w:val="20"/>
        </w:rPr>
        <w:tab/>
      </w:r>
      <w:r w:rsidRPr="006431C4">
        <w:rPr>
          <w:rFonts w:cs="Arial"/>
          <w:szCs w:val="20"/>
        </w:rPr>
        <w:tab/>
      </w:r>
      <w:r w:rsidRPr="006431C4">
        <w:rPr>
          <w:rFonts w:cs="Arial"/>
          <w:szCs w:val="20"/>
        </w:rPr>
        <w:tab/>
        <w:t xml:space="preserve">   Roboty przygotowawcze</w:t>
      </w:r>
    </w:p>
    <w:p w14:paraId="1CE42FC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3.  D-02.01.01</w:t>
      </w:r>
      <w:r w:rsidRPr="006431C4">
        <w:rPr>
          <w:rFonts w:cs="Arial"/>
          <w:szCs w:val="20"/>
        </w:rPr>
        <w:tab/>
      </w:r>
      <w:r w:rsidRPr="006431C4">
        <w:rPr>
          <w:rFonts w:cs="Arial"/>
          <w:szCs w:val="20"/>
        </w:rPr>
        <w:tab/>
      </w:r>
      <w:r w:rsidRPr="006431C4">
        <w:rPr>
          <w:rFonts w:cs="Arial"/>
          <w:szCs w:val="20"/>
        </w:rPr>
        <w:tab/>
        <w:t xml:space="preserve">   Wykonanie wykopów w gruntach nieskalistych</w:t>
      </w:r>
    </w:p>
    <w:p w14:paraId="7908994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4.  D-02.02.01</w:t>
      </w:r>
      <w:r w:rsidRPr="006431C4">
        <w:rPr>
          <w:rFonts w:cs="Arial"/>
          <w:szCs w:val="20"/>
        </w:rPr>
        <w:tab/>
      </w:r>
      <w:r w:rsidRPr="006431C4">
        <w:rPr>
          <w:rFonts w:cs="Arial"/>
          <w:szCs w:val="20"/>
        </w:rPr>
        <w:tab/>
      </w:r>
      <w:r w:rsidRPr="006431C4">
        <w:rPr>
          <w:rFonts w:cs="Arial"/>
          <w:szCs w:val="20"/>
        </w:rPr>
        <w:tab/>
        <w:t xml:space="preserve">   Wykonanie wykopów w gruntach skalistych</w:t>
      </w:r>
    </w:p>
    <w:p w14:paraId="59EC883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5.  D-02.03.01</w:t>
      </w:r>
      <w:r w:rsidRPr="006431C4">
        <w:rPr>
          <w:rFonts w:cs="Arial"/>
          <w:szCs w:val="20"/>
        </w:rPr>
        <w:tab/>
      </w:r>
      <w:r w:rsidRPr="006431C4">
        <w:rPr>
          <w:rFonts w:cs="Arial"/>
          <w:szCs w:val="20"/>
        </w:rPr>
        <w:tab/>
        <w:t xml:space="preserve"> </w:t>
      </w:r>
      <w:r w:rsidRPr="006431C4">
        <w:rPr>
          <w:rFonts w:cs="Arial"/>
          <w:szCs w:val="20"/>
        </w:rPr>
        <w:tab/>
        <w:t xml:space="preserve">   Wykonanie nasypów</w:t>
      </w:r>
      <w:r w:rsidRPr="006431C4">
        <w:rPr>
          <w:rFonts w:cs="Arial"/>
          <w:szCs w:val="20"/>
        </w:rPr>
        <w:tab/>
      </w:r>
    </w:p>
    <w:p w14:paraId="62337163"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10.2. Normy</w:t>
      </w:r>
      <w:bookmarkEnd w:id="158"/>
      <w:bookmarkEnd w:id="159"/>
    </w:p>
    <w:tbl>
      <w:tblPr>
        <w:tblW w:w="10773" w:type="dxa"/>
        <w:tblLayout w:type="fixed"/>
        <w:tblCellMar>
          <w:left w:w="70" w:type="dxa"/>
          <w:right w:w="70" w:type="dxa"/>
        </w:tblCellMar>
        <w:tblLook w:val="0000" w:firstRow="0" w:lastRow="0" w:firstColumn="0" w:lastColumn="0" w:noHBand="0" w:noVBand="0"/>
      </w:tblPr>
      <w:tblGrid>
        <w:gridCol w:w="514"/>
        <w:gridCol w:w="2596"/>
        <w:gridCol w:w="7663"/>
      </w:tblGrid>
      <w:tr w:rsidR="00B677E1" w:rsidRPr="006431C4" w14:paraId="29D474C9" w14:textId="77777777" w:rsidTr="00B677E1">
        <w:tc>
          <w:tcPr>
            <w:tcW w:w="514" w:type="dxa"/>
          </w:tcPr>
          <w:p w14:paraId="6A91CC03"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highlight w:val="yellow"/>
              </w:rPr>
            </w:pPr>
            <w:r w:rsidRPr="006431C4">
              <w:rPr>
                <w:rFonts w:cs="Arial"/>
                <w:szCs w:val="20"/>
              </w:rPr>
              <w:t>6.</w:t>
            </w:r>
          </w:p>
        </w:tc>
        <w:tc>
          <w:tcPr>
            <w:tcW w:w="2596" w:type="dxa"/>
          </w:tcPr>
          <w:p w14:paraId="764C8240"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PN-S-02205:1998</w:t>
            </w:r>
          </w:p>
        </w:tc>
        <w:tc>
          <w:tcPr>
            <w:tcW w:w="7663" w:type="dxa"/>
          </w:tcPr>
          <w:p w14:paraId="702DD86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Drogi samochodowe. Roboty ziemne. Wymagania i badania</w:t>
            </w:r>
          </w:p>
        </w:tc>
      </w:tr>
      <w:tr w:rsidR="00B677E1" w:rsidRPr="006431C4" w14:paraId="7EE2ABE5" w14:textId="77777777" w:rsidTr="00B677E1">
        <w:tc>
          <w:tcPr>
            <w:tcW w:w="514" w:type="dxa"/>
          </w:tcPr>
          <w:p w14:paraId="56911CDC"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2596" w:type="dxa"/>
          </w:tcPr>
          <w:p w14:paraId="180CF59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PN-B-04481:1988</w:t>
            </w:r>
          </w:p>
        </w:tc>
        <w:tc>
          <w:tcPr>
            <w:tcW w:w="7663" w:type="dxa"/>
          </w:tcPr>
          <w:p w14:paraId="4436A19C"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Grunty budowlane. Badania próbek gruntów</w:t>
            </w:r>
          </w:p>
        </w:tc>
      </w:tr>
      <w:tr w:rsidR="00B677E1" w:rsidRPr="006431C4" w14:paraId="5405D958" w14:textId="77777777" w:rsidTr="00B677E1">
        <w:tc>
          <w:tcPr>
            <w:tcW w:w="514" w:type="dxa"/>
          </w:tcPr>
          <w:p w14:paraId="58E9624E"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2596" w:type="dxa"/>
          </w:tcPr>
          <w:p w14:paraId="0C6D3CC1"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PN-EN-13251:2016</w:t>
            </w:r>
          </w:p>
        </w:tc>
        <w:tc>
          <w:tcPr>
            <w:tcW w:w="7663" w:type="dxa"/>
          </w:tcPr>
          <w:p w14:paraId="55C0799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Geotekstylia i wyroby pokrewne - Właściwości wymagane w odniesieniu do wyrobów stosowanych w robotach  ziemnych, fundamentowaniu i konstrukcjach oporowych</w:t>
            </w:r>
          </w:p>
        </w:tc>
      </w:tr>
      <w:tr w:rsidR="00B677E1" w:rsidRPr="006431C4" w14:paraId="69DA332C" w14:textId="77777777" w:rsidTr="00B677E1">
        <w:tc>
          <w:tcPr>
            <w:tcW w:w="514" w:type="dxa"/>
          </w:tcPr>
          <w:p w14:paraId="7F6FDAFC"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2596" w:type="dxa"/>
          </w:tcPr>
          <w:p w14:paraId="0130E37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BN-64/8931-01</w:t>
            </w:r>
          </w:p>
        </w:tc>
        <w:tc>
          <w:tcPr>
            <w:tcW w:w="7663" w:type="dxa"/>
          </w:tcPr>
          <w:p w14:paraId="4B93380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Drogi samochodowe. Oznaczenie wskaźnika piaskowego</w:t>
            </w:r>
          </w:p>
        </w:tc>
      </w:tr>
      <w:tr w:rsidR="00B677E1" w:rsidRPr="006431C4" w14:paraId="2F44F41C" w14:textId="77777777" w:rsidTr="00B677E1">
        <w:tc>
          <w:tcPr>
            <w:tcW w:w="514" w:type="dxa"/>
          </w:tcPr>
          <w:p w14:paraId="72EA0C3A"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10.</w:t>
            </w:r>
          </w:p>
        </w:tc>
        <w:tc>
          <w:tcPr>
            <w:tcW w:w="2596" w:type="dxa"/>
          </w:tcPr>
          <w:p w14:paraId="17E406D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PN-EN ISO 17892-4:2017</w:t>
            </w:r>
          </w:p>
        </w:tc>
        <w:tc>
          <w:tcPr>
            <w:tcW w:w="7663" w:type="dxa"/>
          </w:tcPr>
          <w:p w14:paraId="21E6D34D"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Rozpoznanie i badania geotechniczne - Badania laboratoryjne gruntów - Część 4: Badanie uziarnienia gruntów</w:t>
            </w:r>
          </w:p>
        </w:tc>
      </w:tr>
      <w:tr w:rsidR="00B677E1" w:rsidRPr="006431C4" w14:paraId="68ACE9B4" w14:textId="77777777" w:rsidTr="00B677E1">
        <w:tc>
          <w:tcPr>
            <w:tcW w:w="514" w:type="dxa"/>
          </w:tcPr>
          <w:p w14:paraId="0355A66D"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11.</w:t>
            </w:r>
          </w:p>
        </w:tc>
        <w:tc>
          <w:tcPr>
            <w:tcW w:w="2596" w:type="dxa"/>
          </w:tcPr>
          <w:p w14:paraId="07DE455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BN-77/8931-12</w:t>
            </w:r>
          </w:p>
        </w:tc>
        <w:tc>
          <w:tcPr>
            <w:tcW w:w="7663" w:type="dxa"/>
          </w:tcPr>
          <w:p w14:paraId="7516043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Oznaczenie wskaźnika zagęszczenia gruntu</w:t>
            </w:r>
          </w:p>
        </w:tc>
      </w:tr>
      <w:tr w:rsidR="00B677E1" w:rsidRPr="006431C4" w14:paraId="05F21480" w14:textId="77777777" w:rsidTr="00B677E1">
        <w:tc>
          <w:tcPr>
            <w:tcW w:w="514" w:type="dxa"/>
          </w:tcPr>
          <w:p w14:paraId="4C8E86EA"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13.</w:t>
            </w:r>
          </w:p>
        </w:tc>
        <w:tc>
          <w:tcPr>
            <w:tcW w:w="2596" w:type="dxa"/>
          </w:tcPr>
          <w:p w14:paraId="12DAA7C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PN-EN 933-1:2012</w:t>
            </w:r>
          </w:p>
        </w:tc>
        <w:tc>
          <w:tcPr>
            <w:tcW w:w="7663" w:type="dxa"/>
          </w:tcPr>
          <w:p w14:paraId="696294C4"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1: Oznaczanie składu ziarnowego - Metoda przesiewania</w:t>
            </w:r>
          </w:p>
        </w:tc>
      </w:tr>
      <w:tr w:rsidR="00B677E1" w:rsidRPr="006431C4" w14:paraId="213AA440" w14:textId="77777777" w:rsidTr="00B677E1">
        <w:tc>
          <w:tcPr>
            <w:tcW w:w="514" w:type="dxa"/>
          </w:tcPr>
          <w:p w14:paraId="3309183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14.</w:t>
            </w:r>
          </w:p>
        </w:tc>
        <w:tc>
          <w:tcPr>
            <w:tcW w:w="2596" w:type="dxa"/>
          </w:tcPr>
          <w:p w14:paraId="7EF1D14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PN-EN 933-8:2015</w:t>
            </w:r>
          </w:p>
        </w:tc>
        <w:tc>
          <w:tcPr>
            <w:tcW w:w="7663" w:type="dxa"/>
          </w:tcPr>
          <w:p w14:paraId="1DF6D449"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8: Ocena zawartości drobnych cząstek - Badanie wskaźnika piaskowego</w:t>
            </w:r>
          </w:p>
        </w:tc>
      </w:tr>
      <w:tr w:rsidR="00B677E1" w:rsidRPr="006431C4" w14:paraId="76C4FE6E" w14:textId="77777777" w:rsidTr="00B677E1">
        <w:tc>
          <w:tcPr>
            <w:tcW w:w="514" w:type="dxa"/>
          </w:tcPr>
          <w:p w14:paraId="61BBF9C6"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2596" w:type="dxa"/>
          </w:tcPr>
          <w:p w14:paraId="036A088F"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PN-EN 13286-2:2010</w:t>
            </w:r>
          </w:p>
        </w:tc>
        <w:tc>
          <w:tcPr>
            <w:tcW w:w="7663" w:type="dxa"/>
          </w:tcPr>
          <w:p w14:paraId="15D71172"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Mieszanki niezwiązane i związane hydraulicznie - Część 2: Metody badań laboratoryjnych gęstości na sucho i zawartości wody - Zagęszczanie metodą Proctora</w:t>
            </w:r>
          </w:p>
        </w:tc>
      </w:tr>
      <w:tr w:rsidR="00B677E1" w:rsidRPr="006431C4" w14:paraId="583291C6" w14:textId="77777777" w:rsidTr="00B677E1">
        <w:tc>
          <w:tcPr>
            <w:tcW w:w="514" w:type="dxa"/>
          </w:tcPr>
          <w:p w14:paraId="7E61AEC1"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2596" w:type="dxa"/>
          </w:tcPr>
          <w:p w14:paraId="047A186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PN-EN 1744-1:2013</w:t>
            </w:r>
          </w:p>
        </w:tc>
        <w:tc>
          <w:tcPr>
            <w:tcW w:w="7663" w:type="dxa"/>
          </w:tcPr>
          <w:p w14:paraId="5B07E03E"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highlight w:val="yellow"/>
              </w:rPr>
            </w:pPr>
            <w:r w:rsidRPr="006431C4">
              <w:rPr>
                <w:rFonts w:cs="Arial"/>
                <w:szCs w:val="20"/>
              </w:rPr>
              <w:t>Badania chemicznych właściwości kruszyw - Część 1: Analiza chemiczna</w:t>
            </w:r>
          </w:p>
        </w:tc>
      </w:tr>
      <w:tr w:rsidR="00B677E1" w:rsidRPr="006431C4" w14:paraId="096A60AD" w14:textId="77777777" w:rsidTr="00B677E1">
        <w:tc>
          <w:tcPr>
            <w:tcW w:w="514" w:type="dxa"/>
          </w:tcPr>
          <w:p w14:paraId="270F3E4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17.</w:t>
            </w:r>
          </w:p>
        </w:tc>
        <w:tc>
          <w:tcPr>
            <w:tcW w:w="2596" w:type="dxa"/>
          </w:tcPr>
          <w:p w14:paraId="0ED62D53"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PN-EN ISO 17892-1:2015</w:t>
            </w:r>
          </w:p>
        </w:tc>
        <w:tc>
          <w:tcPr>
            <w:tcW w:w="7663" w:type="dxa"/>
          </w:tcPr>
          <w:p w14:paraId="49958DB6"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highlight w:val="yellow"/>
              </w:rPr>
            </w:pPr>
            <w:r w:rsidRPr="006431C4">
              <w:rPr>
                <w:rFonts w:cs="Arial"/>
                <w:szCs w:val="20"/>
              </w:rPr>
              <w:t>Rozpoznanie i badania geotechniczne - Badania laboratoryjne gruntów - Część 1: Oznaczanie wilgotności naturalnej</w:t>
            </w:r>
          </w:p>
        </w:tc>
      </w:tr>
      <w:tr w:rsidR="00B677E1" w:rsidRPr="006431C4" w14:paraId="55C828B9" w14:textId="77777777" w:rsidTr="00B677E1">
        <w:tc>
          <w:tcPr>
            <w:tcW w:w="514" w:type="dxa"/>
          </w:tcPr>
          <w:p w14:paraId="510B935B"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18.</w:t>
            </w:r>
          </w:p>
        </w:tc>
        <w:tc>
          <w:tcPr>
            <w:tcW w:w="2596" w:type="dxa"/>
          </w:tcPr>
          <w:p w14:paraId="4420E0FA"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PN-EN 1097-5:2008</w:t>
            </w:r>
          </w:p>
        </w:tc>
        <w:tc>
          <w:tcPr>
            <w:tcW w:w="7663" w:type="dxa"/>
          </w:tcPr>
          <w:p w14:paraId="3C63A54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highlight w:val="yellow"/>
              </w:rPr>
            </w:pPr>
            <w:r w:rsidRPr="006431C4">
              <w:rPr>
                <w:rFonts w:cs="Arial"/>
                <w:szCs w:val="20"/>
              </w:rPr>
              <w:t>Badania mechanicznych i fizycznych właściwości kruszyw -- Część 5: Oznaczanie zawartości wody przez suszenie w suszarce z wentylacją</w:t>
            </w:r>
          </w:p>
        </w:tc>
      </w:tr>
      <w:tr w:rsidR="00B677E1" w:rsidRPr="006431C4" w14:paraId="70966124" w14:textId="77777777" w:rsidTr="00B677E1">
        <w:tc>
          <w:tcPr>
            <w:tcW w:w="514" w:type="dxa"/>
          </w:tcPr>
          <w:p w14:paraId="7ACF272E"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19.</w:t>
            </w:r>
          </w:p>
        </w:tc>
        <w:tc>
          <w:tcPr>
            <w:tcW w:w="2596" w:type="dxa"/>
          </w:tcPr>
          <w:p w14:paraId="781F1814"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PN-EN ISO </w:t>
            </w:r>
          </w:p>
          <w:p w14:paraId="5BEBA79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17892-12:2018</w:t>
            </w:r>
          </w:p>
        </w:tc>
        <w:tc>
          <w:tcPr>
            <w:tcW w:w="7663" w:type="dxa"/>
          </w:tcPr>
          <w:p w14:paraId="7A88E3C1"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highlight w:val="yellow"/>
              </w:rPr>
            </w:pPr>
            <w:r w:rsidRPr="006431C4">
              <w:rPr>
                <w:rFonts w:cs="Arial"/>
                <w:szCs w:val="20"/>
              </w:rPr>
              <w:t>Rozpoznanie i badania geotechniczne - Badania laboratoryjne gruntów - Część 12: Oznaczanie granic płynności i plastyczności</w:t>
            </w:r>
          </w:p>
        </w:tc>
      </w:tr>
      <w:tr w:rsidR="00B677E1" w:rsidRPr="006431C4" w14:paraId="6C579F92" w14:textId="77777777" w:rsidTr="00B677E1">
        <w:tc>
          <w:tcPr>
            <w:tcW w:w="514" w:type="dxa"/>
          </w:tcPr>
          <w:p w14:paraId="54198FFF"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c>
          <w:tcPr>
            <w:tcW w:w="2596" w:type="dxa"/>
          </w:tcPr>
          <w:p w14:paraId="73B6157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PN-B-04492:1955</w:t>
            </w:r>
          </w:p>
        </w:tc>
        <w:tc>
          <w:tcPr>
            <w:tcW w:w="7663" w:type="dxa"/>
          </w:tcPr>
          <w:p w14:paraId="2B6211F5"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Grunty budowlane -- Badania właściwości fizycznych -- Oznaczanie wskaźnika wodoprzepuszczalności</w:t>
            </w:r>
          </w:p>
        </w:tc>
      </w:tr>
      <w:tr w:rsidR="00B677E1" w:rsidRPr="006431C4" w14:paraId="2F14069F" w14:textId="77777777" w:rsidTr="00B677E1">
        <w:tc>
          <w:tcPr>
            <w:tcW w:w="514" w:type="dxa"/>
          </w:tcPr>
          <w:p w14:paraId="78918D63" w14:textId="77777777" w:rsidR="00B677E1" w:rsidRPr="006431C4" w:rsidRDefault="00B677E1"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21.</w:t>
            </w:r>
          </w:p>
        </w:tc>
        <w:tc>
          <w:tcPr>
            <w:tcW w:w="2596" w:type="dxa"/>
          </w:tcPr>
          <w:p w14:paraId="02E9F7CB"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PN-B-04452:2002</w:t>
            </w:r>
          </w:p>
        </w:tc>
        <w:tc>
          <w:tcPr>
            <w:tcW w:w="7663" w:type="dxa"/>
          </w:tcPr>
          <w:p w14:paraId="64D3DEB7" w14:textId="77777777" w:rsidR="00B677E1" w:rsidRPr="006431C4" w:rsidRDefault="00B677E1"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Geotechnika -- Badania polowe</w:t>
            </w:r>
          </w:p>
        </w:tc>
      </w:tr>
    </w:tbl>
    <w:p w14:paraId="2E4EE112" w14:textId="77777777" w:rsidR="00B677E1" w:rsidRPr="006431C4" w:rsidRDefault="00B677E1"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10.3. Inne dokumenty</w:t>
      </w:r>
    </w:p>
    <w:p w14:paraId="231D4B2E" w14:textId="77777777" w:rsidR="00B677E1" w:rsidRPr="006431C4" w:rsidRDefault="00B677E1" w:rsidP="00CF1E7D">
      <w:pPr>
        <w:numPr>
          <w:ilvl w:val="0"/>
          <w:numId w:val="121"/>
        </w:numPr>
        <w:overflowPunct w:val="0"/>
        <w:autoSpaceDE w:val="0"/>
        <w:autoSpaceDN w:val="0"/>
        <w:adjustRightInd w:val="0"/>
        <w:spacing w:line="240" w:lineRule="auto"/>
        <w:ind w:left="426" w:hanging="142"/>
        <w:jc w:val="both"/>
        <w:textAlignment w:val="baseline"/>
        <w:rPr>
          <w:rFonts w:cs="Arial"/>
          <w:szCs w:val="20"/>
        </w:rPr>
      </w:pPr>
      <w:r w:rsidRPr="006431C4">
        <w:rPr>
          <w:rFonts w:cs="Arial"/>
          <w:szCs w:val="20"/>
        </w:rPr>
        <w:t>Katalog typowych konstrukcji nawierzchni podatnych i półsztywnych. Załącznik do zarządzenia Nr 31 Generalnego Dyrektora Dróg Krajowych i Autostrad z dnia 16.06.2014 r.</w:t>
      </w:r>
    </w:p>
    <w:p w14:paraId="35D9DCCF" w14:textId="77777777" w:rsidR="00B677E1" w:rsidRPr="006431C4" w:rsidRDefault="00B677E1" w:rsidP="00CF1E7D">
      <w:pPr>
        <w:numPr>
          <w:ilvl w:val="0"/>
          <w:numId w:val="121"/>
        </w:numPr>
        <w:overflowPunct w:val="0"/>
        <w:autoSpaceDE w:val="0"/>
        <w:autoSpaceDN w:val="0"/>
        <w:adjustRightInd w:val="0"/>
        <w:spacing w:line="240" w:lineRule="auto"/>
        <w:ind w:left="426" w:hanging="142"/>
        <w:jc w:val="both"/>
        <w:textAlignment w:val="baseline"/>
        <w:rPr>
          <w:rFonts w:cs="Arial"/>
          <w:szCs w:val="20"/>
        </w:rPr>
      </w:pPr>
      <w:r w:rsidRPr="006431C4">
        <w:rPr>
          <w:rFonts w:cs="Arial"/>
          <w:szCs w:val="20"/>
        </w:rPr>
        <w:t>Katalog typowych konstrukcji nawierzchni sztywnych. Załącznik do zarządzenia Nr 30 Generalnego Dyrektora Dróg Krajowych i Autostrad z dnia 16.06.2014 r.</w:t>
      </w:r>
    </w:p>
    <w:p w14:paraId="01F8B46A" w14:textId="77777777" w:rsidR="00B677E1" w:rsidRPr="006431C4" w:rsidRDefault="00B677E1" w:rsidP="00CF1E7D">
      <w:pPr>
        <w:numPr>
          <w:ilvl w:val="0"/>
          <w:numId w:val="121"/>
        </w:numPr>
        <w:overflowPunct w:val="0"/>
        <w:autoSpaceDE w:val="0"/>
        <w:autoSpaceDN w:val="0"/>
        <w:adjustRightInd w:val="0"/>
        <w:spacing w:line="240" w:lineRule="auto"/>
        <w:ind w:left="426" w:hanging="142"/>
        <w:jc w:val="both"/>
        <w:textAlignment w:val="baseline"/>
        <w:rPr>
          <w:rFonts w:cs="Arial"/>
          <w:szCs w:val="20"/>
        </w:rPr>
      </w:pPr>
      <w:r w:rsidRPr="006431C4">
        <w:rPr>
          <w:rFonts w:cs="Arial"/>
          <w:szCs w:val="20"/>
        </w:rPr>
        <w:t>Ustawa o wyrobach budowlanych (tekst jednolity Dz. U. z 2016 r., poz. 1570 z późn. zm.)</w:t>
      </w:r>
    </w:p>
    <w:p w14:paraId="2BE07C91" w14:textId="77777777" w:rsidR="00D402EF" w:rsidRPr="006431C4" w:rsidRDefault="00083F08" w:rsidP="00BE2485">
      <w:pPr>
        <w:pStyle w:val="Nagwek4"/>
        <w:shd w:val="clear" w:color="auto" w:fill="FFFFFF" w:themeFill="background1"/>
        <w:tabs>
          <w:tab w:val="left" w:pos="142"/>
        </w:tabs>
        <w:spacing w:before="240" w:line="240" w:lineRule="auto"/>
        <w:jc w:val="both"/>
        <w:rPr>
          <w:rFonts w:cs="Arial"/>
          <w:szCs w:val="20"/>
        </w:rPr>
      </w:pPr>
      <w:bookmarkStart w:id="160" w:name="_Toc111635976"/>
      <w:r w:rsidRPr="006431C4">
        <w:rPr>
          <w:rFonts w:cs="Arial"/>
          <w:szCs w:val="20"/>
        </w:rPr>
        <w:t>D-</w:t>
      </w:r>
      <w:r w:rsidR="00284CBE" w:rsidRPr="006431C4">
        <w:rPr>
          <w:rFonts w:cs="Arial"/>
          <w:szCs w:val="20"/>
        </w:rPr>
        <w:t xml:space="preserve">02.01.01 - WYKONANIE </w:t>
      </w:r>
      <w:r w:rsidR="00D402EF" w:rsidRPr="006431C4">
        <w:rPr>
          <w:rFonts w:cs="Arial"/>
          <w:szCs w:val="20"/>
        </w:rPr>
        <w:t>WYKOPÓW</w:t>
      </w:r>
      <w:r w:rsidR="009E614D" w:rsidRPr="006431C4">
        <w:rPr>
          <w:rFonts w:cs="Arial"/>
          <w:szCs w:val="20"/>
        </w:rPr>
        <w:t xml:space="preserve"> </w:t>
      </w:r>
      <w:r w:rsidR="00284CBE" w:rsidRPr="006431C4">
        <w:rPr>
          <w:rFonts w:cs="Arial"/>
          <w:szCs w:val="20"/>
        </w:rPr>
        <w:t xml:space="preserve">W GRUNTACH </w:t>
      </w:r>
      <w:r w:rsidR="00D402EF" w:rsidRPr="006431C4">
        <w:rPr>
          <w:rFonts w:cs="Arial"/>
          <w:szCs w:val="20"/>
        </w:rPr>
        <w:t>NIESKALISTYCH</w:t>
      </w:r>
      <w:bookmarkEnd w:id="160"/>
    </w:p>
    <w:p w14:paraId="5E177EB8" w14:textId="77777777" w:rsidR="00D402EF" w:rsidRPr="006431C4" w:rsidRDefault="00D402EF" w:rsidP="00BE2485">
      <w:pPr>
        <w:pStyle w:val="Nagwek1"/>
        <w:shd w:val="clear" w:color="auto" w:fill="FFFFFF" w:themeFill="background1"/>
        <w:tabs>
          <w:tab w:val="left" w:pos="142"/>
        </w:tabs>
        <w:spacing w:line="240" w:lineRule="auto"/>
        <w:jc w:val="both"/>
        <w:rPr>
          <w:rFonts w:cs="Arial"/>
          <w:szCs w:val="20"/>
        </w:rPr>
      </w:pPr>
      <w:bookmarkStart w:id="161" w:name="_Toc407161213"/>
      <w:bookmarkStart w:id="162" w:name="_Toc418994925"/>
      <w:bookmarkStart w:id="163" w:name="_Toc418996332"/>
      <w:bookmarkStart w:id="164" w:name="_Toc418996701"/>
      <w:bookmarkStart w:id="165" w:name="_Toc418997088"/>
      <w:bookmarkStart w:id="166" w:name="_Toc418998498"/>
      <w:bookmarkStart w:id="167" w:name="_Toc418998854"/>
      <w:bookmarkStart w:id="168" w:name="_Toc419000099"/>
      <w:r w:rsidRPr="006431C4">
        <w:rPr>
          <w:rFonts w:cs="Arial"/>
          <w:szCs w:val="20"/>
        </w:rPr>
        <w:t>1. WSTĘP</w:t>
      </w:r>
      <w:bookmarkEnd w:id="161"/>
      <w:bookmarkEnd w:id="162"/>
      <w:bookmarkEnd w:id="163"/>
      <w:bookmarkEnd w:id="164"/>
      <w:bookmarkEnd w:id="165"/>
      <w:bookmarkEnd w:id="166"/>
      <w:bookmarkEnd w:id="167"/>
      <w:bookmarkEnd w:id="168"/>
    </w:p>
    <w:p w14:paraId="466553F3" w14:textId="77777777" w:rsidR="00D402EF" w:rsidRPr="006431C4" w:rsidRDefault="00D402EF" w:rsidP="00BE2485">
      <w:pPr>
        <w:pStyle w:val="Nagwek2"/>
        <w:shd w:val="clear" w:color="auto" w:fill="FFFFFF" w:themeFill="background1"/>
        <w:tabs>
          <w:tab w:val="left" w:pos="142"/>
        </w:tabs>
        <w:spacing w:line="240" w:lineRule="auto"/>
        <w:jc w:val="both"/>
        <w:rPr>
          <w:rFonts w:cs="Arial"/>
          <w:szCs w:val="20"/>
        </w:rPr>
      </w:pPr>
      <w:bookmarkStart w:id="169" w:name="_Toc407161214"/>
      <w:r w:rsidRPr="006431C4">
        <w:rPr>
          <w:rFonts w:cs="Arial"/>
          <w:szCs w:val="20"/>
        </w:rPr>
        <w:t>1.1. Przedmiot</w:t>
      </w:r>
      <w:r w:rsidR="00180A26" w:rsidRPr="006431C4">
        <w:rPr>
          <w:rFonts w:cs="Arial"/>
          <w:szCs w:val="20"/>
        </w:rPr>
        <w:t xml:space="preserve"> SST</w:t>
      </w:r>
      <w:bookmarkEnd w:id="169"/>
    </w:p>
    <w:p w14:paraId="38527BD3" w14:textId="77777777" w:rsidR="00D402EF" w:rsidRPr="006431C4" w:rsidRDefault="00D402EF" w:rsidP="00BE2485">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Przedmiotem </w:t>
      </w:r>
      <w:r w:rsidR="00BA62A8" w:rsidRPr="006431C4">
        <w:rPr>
          <w:rFonts w:cs="Arial"/>
          <w:szCs w:val="20"/>
        </w:rPr>
        <w:t xml:space="preserve">niniejszej szczegółowej specyfikacji </w:t>
      </w:r>
      <w:r w:rsidR="00C05468" w:rsidRPr="006431C4">
        <w:rPr>
          <w:rFonts w:cs="Arial"/>
          <w:szCs w:val="20"/>
        </w:rPr>
        <w:t>technicznej</w:t>
      </w:r>
      <w:r w:rsidRPr="006431C4">
        <w:rPr>
          <w:rFonts w:cs="Arial"/>
          <w:szCs w:val="20"/>
        </w:rPr>
        <w:t xml:space="preserve"> są wymagania dotyczące wykonania i odbioru wykopów w gruntach nieskalistych</w:t>
      </w:r>
    </w:p>
    <w:p w14:paraId="4F6532BB" w14:textId="77777777" w:rsidR="00D402EF" w:rsidRPr="006431C4" w:rsidRDefault="00D402EF" w:rsidP="00BE2485">
      <w:pPr>
        <w:pStyle w:val="Nagwek2"/>
        <w:shd w:val="clear" w:color="auto" w:fill="FFFFFF" w:themeFill="background1"/>
        <w:tabs>
          <w:tab w:val="left" w:pos="142"/>
        </w:tabs>
        <w:spacing w:line="240" w:lineRule="auto"/>
        <w:jc w:val="both"/>
        <w:rPr>
          <w:rFonts w:cs="Arial"/>
          <w:szCs w:val="20"/>
        </w:rPr>
      </w:pPr>
      <w:bookmarkStart w:id="170" w:name="_Toc407161215"/>
      <w:r w:rsidRPr="006431C4">
        <w:rPr>
          <w:rFonts w:cs="Arial"/>
          <w:szCs w:val="20"/>
        </w:rPr>
        <w:t>1.2. Zakres stosowania</w:t>
      </w:r>
      <w:r w:rsidR="00180A26" w:rsidRPr="006431C4">
        <w:rPr>
          <w:rFonts w:cs="Arial"/>
          <w:szCs w:val="20"/>
        </w:rPr>
        <w:t xml:space="preserve"> SST</w:t>
      </w:r>
      <w:bookmarkEnd w:id="170"/>
    </w:p>
    <w:p w14:paraId="78580B0B" w14:textId="77777777" w:rsidR="00293E11" w:rsidRPr="006431C4" w:rsidRDefault="006A5A86" w:rsidP="00BE2485">
      <w:pPr>
        <w:pStyle w:val="Tekstpodstawowyzwciciem"/>
        <w:shd w:val="clear" w:color="auto" w:fill="FFFFFF" w:themeFill="background1"/>
        <w:tabs>
          <w:tab w:val="left" w:pos="142"/>
        </w:tabs>
        <w:spacing w:line="240" w:lineRule="auto"/>
        <w:ind w:firstLine="0"/>
        <w:jc w:val="both"/>
        <w:rPr>
          <w:rFonts w:cs="Arial"/>
          <w:szCs w:val="20"/>
        </w:rPr>
      </w:pPr>
      <w:bookmarkStart w:id="171" w:name="_Toc407161216"/>
      <w:r w:rsidRPr="006431C4">
        <w:rPr>
          <w:rFonts w:cs="Arial"/>
          <w:szCs w:val="20"/>
        </w:rPr>
        <w:t xml:space="preserve">Niniejsza szczegółowa specyfikacja techniczna </w:t>
      </w:r>
      <w:r w:rsidR="00293E11" w:rsidRPr="006431C4">
        <w:rPr>
          <w:rFonts w:cs="Arial"/>
          <w:szCs w:val="20"/>
        </w:rPr>
        <w:t xml:space="preserve">stanowi Dokument Przetargowy i Kontraktowy przy zlecaniu i realizacji robót dla inwestycji </w:t>
      </w:r>
      <w:r w:rsidR="00296959" w:rsidRPr="006431C4">
        <w:rPr>
          <w:rFonts w:cs="Arial"/>
          <w:szCs w:val="20"/>
        </w:rPr>
        <w:t>pn.:</w:t>
      </w:r>
      <w:r w:rsidR="00293E11" w:rsidRPr="006431C4">
        <w:rPr>
          <w:rFonts w:cs="Arial"/>
          <w:szCs w:val="20"/>
        </w:rPr>
        <w:t xml:space="preserve"> </w:t>
      </w:r>
    </w:p>
    <w:sdt>
      <w:sdtPr>
        <w:rPr>
          <w:rFonts w:cs="Arial"/>
          <w:szCs w:val="20"/>
        </w:rPr>
        <w:alias w:val="Temat"/>
        <w:tag w:val=""/>
        <w:id w:val="-785806431"/>
        <w:placeholder>
          <w:docPart w:val="62BC91E94EDA40E3A9A0C26A64100C1E"/>
        </w:placeholder>
        <w:dataBinding w:prefixMappings="xmlns:ns0='http://purl.org/dc/elements/1.1/' xmlns:ns1='http://schemas.openxmlformats.org/package/2006/metadata/core-properties' " w:xpath="/ns1:coreProperties[1]/ns0:subject[1]" w:storeItemID="{6C3C8BC8-F283-45AE-878A-BAB7291924A1}"/>
        <w:text/>
      </w:sdtPr>
      <w:sdtEndPr/>
      <w:sdtContent>
        <w:p w14:paraId="64ACA067" w14:textId="79737392" w:rsidR="00B044CA" w:rsidRPr="006431C4" w:rsidRDefault="00484E05" w:rsidP="00BE2485">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4D926F8D" w14:textId="77777777" w:rsidR="00D402EF" w:rsidRPr="006431C4" w:rsidRDefault="00D402EF"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1.3. Zakres robót objętych</w:t>
      </w:r>
      <w:r w:rsidR="00180A26" w:rsidRPr="006431C4">
        <w:rPr>
          <w:rFonts w:cs="Arial"/>
          <w:szCs w:val="20"/>
        </w:rPr>
        <w:t xml:space="preserve"> SST</w:t>
      </w:r>
      <w:bookmarkEnd w:id="171"/>
    </w:p>
    <w:p w14:paraId="05CE4FCA" w14:textId="77777777" w:rsidR="000C6EBA" w:rsidRPr="006431C4" w:rsidRDefault="000C6EBA" w:rsidP="00BE2485">
      <w:pPr>
        <w:overflowPunct w:val="0"/>
        <w:autoSpaceDE w:val="0"/>
        <w:autoSpaceDN w:val="0"/>
        <w:adjustRightInd w:val="0"/>
        <w:spacing w:line="240" w:lineRule="auto"/>
        <w:ind w:firstLine="284"/>
        <w:jc w:val="both"/>
        <w:textAlignment w:val="baseline"/>
        <w:rPr>
          <w:rFonts w:cs="Arial"/>
          <w:szCs w:val="20"/>
        </w:rPr>
      </w:pPr>
      <w:r w:rsidRPr="006431C4">
        <w:rPr>
          <w:rFonts w:cs="Arial"/>
          <w:szCs w:val="20"/>
        </w:rPr>
        <w:t xml:space="preserve">Ustalenia zawarte w </w:t>
      </w:r>
      <w:r w:rsidR="005B6D2B" w:rsidRPr="006431C4">
        <w:rPr>
          <w:rFonts w:cs="Arial"/>
          <w:szCs w:val="20"/>
        </w:rPr>
        <w:t xml:space="preserve">niniejszej szczegółowej specyfikacji technicznej </w:t>
      </w:r>
      <w:r w:rsidRPr="006431C4">
        <w:rPr>
          <w:rFonts w:cs="Arial"/>
          <w:szCs w:val="20"/>
        </w:rPr>
        <w:t>dotyczą zasad prowadzenia robót ziemnych w czasie budowy lub modernizacji dróg i obejmują wykonanie wykopów w gruntach nieskalistych.</w:t>
      </w:r>
    </w:p>
    <w:p w14:paraId="56D7AA82"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172" w:name="_Toc407161217"/>
      <w:r w:rsidRPr="006431C4">
        <w:rPr>
          <w:rFonts w:cs="Arial"/>
          <w:b/>
          <w:szCs w:val="20"/>
        </w:rPr>
        <w:t>1.4. Określenia podstawowe</w:t>
      </w:r>
      <w:bookmarkEnd w:id="172"/>
    </w:p>
    <w:p w14:paraId="2AB52AEC"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Podstawowe określenia zostały podane w SST D-02.00.01 pkt 1.4.</w:t>
      </w:r>
    </w:p>
    <w:p w14:paraId="033C7695"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173" w:name="_Toc407161218"/>
      <w:r w:rsidRPr="006431C4">
        <w:rPr>
          <w:rFonts w:cs="Arial"/>
          <w:b/>
          <w:szCs w:val="20"/>
        </w:rPr>
        <w:t>1.5. Ogólne wymagania dotyczące robót</w:t>
      </w:r>
      <w:bookmarkEnd w:id="173"/>
    </w:p>
    <w:p w14:paraId="419DD33F"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robót podano w SST D-02.00.01 pkt 1.5.</w:t>
      </w:r>
    </w:p>
    <w:p w14:paraId="5EBDFCAB" w14:textId="77777777" w:rsidR="000C6EBA" w:rsidRPr="006431C4" w:rsidRDefault="000C6EBA"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74" w:name="_Toc17407544"/>
      <w:bookmarkStart w:id="175" w:name="_Toc17407779"/>
      <w:bookmarkStart w:id="176" w:name="_Toc17407903"/>
      <w:bookmarkStart w:id="177" w:name="_Toc17408022"/>
      <w:bookmarkStart w:id="178" w:name="_Toc407161219"/>
      <w:bookmarkStart w:id="179" w:name="_Toc418994926"/>
      <w:bookmarkStart w:id="180" w:name="_Toc418996333"/>
      <w:bookmarkStart w:id="181" w:name="_Toc418996702"/>
      <w:bookmarkStart w:id="182" w:name="_Toc418997089"/>
      <w:bookmarkStart w:id="183" w:name="_Toc418998499"/>
      <w:bookmarkStart w:id="184" w:name="_Toc418998855"/>
      <w:bookmarkStart w:id="185" w:name="_Toc419000100"/>
      <w:r w:rsidRPr="006431C4">
        <w:rPr>
          <w:rFonts w:cs="Arial"/>
          <w:b/>
          <w:caps/>
          <w:kern w:val="28"/>
          <w:szCs w:val="20"/>
        </w:rPr>
        <w:t>2. Materiały</w:t>
      </w:r>
      <w:bookmarkEnd w:id="174"/>
      <w:bookmarkEnd w:id="175"/>
      <w:bookmarkEnd w:id="176"/>
      <w:bookmarkEnd w:id="177"/>
      <w:r w:rsidRPr="006431C4">
        <w:rPr>
          <w:rFonts w:cs="Arial"/>
          <w:b/>
          <w:caps/>
          <w:kern w:val="28"/>
          <w:szCs w:val="20"/>
        </w:rPr>
        <w:t xml:space="preserve"> </w:t>
      </w:r>
      <w:bookmarkEnd w:id="178"/>
      <w:bookmarkEnd w:id="179"/>
      <w:bookmarkEnd w:id="180"/>
      <w:bookmarkEnd w:id="181"/>
      <w:bookmarkEnd w:id="182"/>
      <w:bookmarkEnd w:id="183"/>
      <w:bookmarkEnd w:id="184"/>
      <w:bookmarkEnd w:id="185"/>
    </w:p>
    <w:p w14:paraId="3993025D" w14:textId="77777777" w:rsidR="000C6EBA" w:rsidRPr="006431C4" w:rsidRDefault="000C6EBA" w:rsidP="00BE2485">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2.1. Ogólne wymagania dotyczące materiałów</w:t>
      </w:r>
    </w:p>
    <w:p w14:paraId="57CE863F" w14:textId="77777777" w:rsidR="000C6EBA" w:rsidRPr="006431C4" w:rsidRDefault="000C6EBA"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i ustalenia dotyczące materiałów określono w SST D-M-00.00.00 i D-02.00.01 pkt 2.</w:t>
      </w:r>
    </w:p>
    <w:p w14:paraId="2900FE46" w14:textId="77777777" w:rsidR="000C6EBA" w:rsidRPr="006431C4" w:rsidRDefault="000C6EBA"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Wymagania i ustalenia dotyczące wykorzystania gruntów, w tym wskazania materiałów do ulepszenia gruntów podłoża, określono w SST D-02.00.01 pkt 2.2.</w:t>
      </w:r>
    </w:p>
    <w:p w14:paraId="26277FAD" w14:textId="77777777" w:rsidR="000C6EBA" w:rsidRPr="006431C4" w:rsidRDefault="000C6EBA"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86" w:name="_Toc407161220"/>
      <w:bookmarkStart w:id="187" w:name="_Toc418994927"/>
      <w:bookmarkStart w:id="188" w:name="_Toc418996334"/>
      <w:bookmarkStart w:id="189" w:name="_Toc418996703"/>
      <w:bookmarkStart w:id="190" w:name="_Toc418997090"/>
      <w:bookmarkStart w:id="191" w:name="_Toc418998500"/>
      <w:bookmarkStart w:id="192" w:name="_Toc418998856"/>
      <w:bookmarkStart w:id="193" w:name="_Toc419000101"/>
      <w:bookmarkStart w:id="194" w:name="_Toc17407545"/>
      <w:bookmarkStart w:id="195" w:name="_Toc17407780"/>
      <w:bookmarkStart w:id="196" w:name="_Toc17407904"/>
      <w:bookmarkStart w:id="197" w:name="_Toc17408023"/>
      <w:r w:rsidRPr="006431C4">
        <w:rPr>
          <w:rFonts w:cs="Arial"/>
          <w:b/>
          <w:caps/>
          <w:kern w:val="28"/>
          <w:szCs w:val="20"/>
        </w:rPr>
        <w:t>3. Sprzęt</w:t>
      </w:r>
      <w:bookmarkEnd w:id="186"/>
      <w:bookmarkEnd w:id="187"/>
      <w:bookmarkEnd w:id="188"/>
      <w:bookmarkEnd w:id="189"/>
      <w:bookmarkEnd w:id="190"/>
      <w:bookmarkEnd w:id="191"/>
      <w:bookmarkEnd w:id="192"/>
      <w:bookmarkEnd w:id="193"/>
      <w:bookmarkEnd w:id="194"/>
      <w:bookmarkEnd w:id="195"/>
      <w:bookmarkEnd w:id="196"/>
      <w:bookmarkEnd w:id="197"/>
    </w:p>
    <w:p w14:paraId="5459C4D2"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i ustalenia dotyczące sprzętu określono w SST  D-02.00.01 „Roboty ziemne”, pkt 3.</w:t>
      </w:r>
    </w:p>
    <w:p w14:paraId="12E0963E"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Wykonawca dokona wyboru sprzętu do odspajania i transportu materiałów przeznaczonych do wbudowania w nasyp z uwzględnieniem odległości transportowych, rodzaju i stanu odspajanego gruntu lub materiału antropogenicznego, objętości materiału do przemieszczenia oraz charakterystyki dróg transportowych (pochylenia, podatność na zmianę stanu). </w:t>
      </w:r>
    </w:p>
    <w:p w14:paraId="4CF075DB" w14:textId="77777777" w:rsidR="000C6EBA" w:rsidRPr="006431C4" w:rsidRDefault="000C6EBA"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98" w:name="_Toc407161221"/>
      <w:bookmarkStart w:id="199" w:name="_Toc418994928"/>
      <w:bookmarkStart w:id="200" w:name="_Toc418996335"/>
      <w:bookmarkStart w:id="201" w:name="_Toc418996704"/>
      <w:bookmarkStart w:id="202" w:name="_Toc418997091"/>
      <w:bookmarkStart w:id="203" w:name="_Toc418998501"/>
      <w:bookmarkStart w:id="204" w:name="_Toc418998857"/>
      <w:bookmarkStart w:id="205" w:name="_Toc419000102"/>
      <w:bookmarkStart w:id="206" w:name="_Toc17407546"/>
      <w:bookmarkStart w:id="207" w:name="_Toc17407781"/>
      <w:bookmarkStart w:id="208" w:name="_Toc17407905"/>
      <w:bookmarkStart w:id="209" w:name="_Toc17408024"/>
      <w:r w:rsidRPr="006431C4">
        <w:rPr>
          <w:rFonts w:cs="Arial"/>
          <w:b/>
          <w:caps/>
          <w:kern w:val="28"/>
          <w:szCs w:val="20"/>
        </w:rPr>
        <w:t>4. Transport</w:t>
      </w:r>
      <w:bookmarkEnd w:id="198"/>
      <w:bookmarkEnd w:id="199"/>
      <w:bookmarkEnd w:id="200"/>
      <w:bookmarkEnd w:id="201"/>
      <w:bookmarkEnd w:id="202"/>
      <w:bookmarkEnd w:id="203"/>
      <w:bookmarkEnd w:id="204"/>
      <w:bookmarkEnd w:id="205"/>
      <w:bookmarkEnd w:id="206"/>
      <w:bookmarkEnd w:id="207"/>
      <w:bookmarkEnd w:id="208"/>
      <w:bookmarkEnd w:id="209"/>
    </w:p>
    <w:p w14:paraId="3FE62847"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i ustalenia dotyczące transportu określono w SST                          D-02.00.01 pkt 4.</w:t>
      </w:r>
    </w:p>
    <w:p w14:paraId="7BA3FDD6" w14:textId="77777777" w:rsidR="000C6EBA" w:rsidRPr="006431C4" w:rsidRDefault="000C6EBA"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210" w:name="_Toc407161222"/>
      <w:bookmarkStart w:id="211" w:name="_Toc418994929"/>
      <w:bookmarkStart w:id="212" w:name="_Toc418996336"/>
      <w:bookmarkStart w:id="213" w:name="_Toc418996705"/>
      <w:bookmarkStart w:id="214" w:name="_Toc418997092"/>
      <w:bookmarkStart w:id="215" w:name="_Toc418998502"/>
      <w:bookmarkStart w:id="216" w:name="_Toc418998858"/>
      <w:bookmarkStart w:id="217" w:name="_Toc419000103"/>
      <w:bookmarkStart w:id="218" w:name="_Toc17407547"/>
      <w:bookmarkStart w:id="219" w:name="_Toc17407782"/>
      <w:bookmarkStart w:id="220" w:name="_Toc17407906"/>
      <w:bookmarkStart w:id="221" w:name="_Toc17408025"/>
      <w:r w:rsidRPr="006431C4">
        <w:rPr>
          <w:rFonts w:cs="Arial"/>
          <w:b/>
          <w:caps/>
          <w:kern w:val="28"/>
          <w:szCs w:val="20"/>
        </w:rPr>
        <w:t>5. Wykonanie robót</w:t>
      </w:r>
      <w:bookmarkEnd w:id="210"/>
      <w:bookmarkEnd w:id="211"/>
      <w:bookmarkEnd w:id="212"/>
      <w:bookmarkEnd w:id="213"/>
      <w:bookmarkEnd w:id="214"/>
      <w:bookmarkEnd w:id="215"/>
      <w:bookmarkEnd w:id="216"/>
      <w:bookmarkEnd w:id="217"/>
      <w:bookmarkEnd w:id="218"/>
      <w:bookmarkEnd w:id="219"/>
      <w:bookmarkEnd w:id="220"/>
      <w:bookmarkEnd w:id="221"/>
    </w:p>
    <w:p w14:paraId="5D4DF6F9"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222" w:name="_Toc407161223"/>
      <w:r w:rsidRPr="006431C4">
        <w:rPr>
          <w:rFonts w:cs="Arial"/>
          <w:b/>
          <w:szCs w:val="20"/>
        </w:rPr>
        <w:t>5.1. Ogólne zasady prowadzenia robót</w:t>
      </w:r>
      <w:bookmarkEnd w:id="222"/>
    </w:p>
    <w:p w14:paraId="13088E98"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prowadzenia robót podano w SST D-02.00.01 pkt 5.</w:t>
      </w:r>
    </w:p>
    <w:p w14:paraId="4A53126B"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5.2. Odspajanie   gruntów nieskalistych </w:t>
      </w:r>
    </w:p>
    <w:p w14:paraId="6FF66B5C"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Wykonawca nie powinien dopuścić do odspojenia gruntu poza pasem wynikającym z dokumentacji projektowej ani na głębokość większą niż określono w dokumentacji projektowej. Jeżeli zaistnieje taka sytuacja, należy odtworzyć zbędnie </w:t>
      </w:r>
      <w:r w:rsidRPr="006431C4">
        <w:rPr>
          <w:rFonts w:cs="Arial"/>
          <w:szCs w:val="20"/>
        </w:rPr>
        <w:lastRenderedPageBreak/>
        <w:t xml:space="preserve">usunięte strefy z materiału o nie gorszych właściwościach niż materiał rodzimy, który został odspojony. W razie potrzeby należy ocenić wpływ nadmiernego odspojenia gruntu na stateczność budowli ziemnej. </w:t>
      </w:r>
    </w:p>
    <w:p w14:paraId="5B81961E"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Roboty należy prowadzić w planowy i usystematyzowany sposób, tak aby grunty i materiały przeznaczone do wbudowania w nasyp nie utraciły przydatności i aby grunty o różnym stopniu przydatności do budowy nasypów były odspajane oddzielnie, w sposób uniemożliwiający ich wymieszanie. Odstępstwo od powyższego wymagania, uzasadnione skomplikowanym układem warstw geotechnicznych, wymaga zgody Inżyniera. </w:t>
      </w:r>
    </w:p>
    <w:p w14:paraId="1568D3BE"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Jeżeli grunt jest zamarznięty można go odspajać tylko do głębokości </w:t>
      </w:r>
      <w:smartTag w:uri="urn:schemas-microsoft-com:office:smarttags" w:element="metricconverter">
        <w:smartTagPr>
          <w:attr w:name="ProductID" w:val="0,5 m"/>
        </w:smartTagPr>
        <w:r w:rsidRPr="006431C4">
          <w:rPr>
            <w:rFonts w:cs="Arial"/>
            <w:szCs w:val="20"/>
          </w:rPr>
          <w:t>0,5 m</w:t>
        </w:r>
      </w:smartTag>
      <w:r w:rsidRPr="006431C4">
        <w:rPr>
          <w:rFonts w:cs="Arial"/>
          <w:szCs w:val="20"/>
        </w:rPr>
        <w:t xml:space="preserve"> powyżej projektowanych rzędnych górnej powierzchni podłoża gruntowego nawierzchni. Odspojony grunt przydatny do budowy nasypu, którego czasowa nieprzydatność wynika jedynie z zamarznięcia, należy pozostawić do czasu rozmarznięcia i osuszenia, a następnie wbudować w nasyp.  </w:t>
      </w:r>
    </w:p>
    <w:p w14:paraId="718FE781"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O ile w dokumentacji projektowej nie określono inaczej, wykonywanie wykopów można wstrzymać na dowolnym etapie, pod warunkiem zachowania minimum </w:t>
      </w:r>
      <w:smartTag w:uri="urn:schemas-microsoft-com:office:smarttags" w:element="metricconverter">
        <w:smartTagPr>
          <w:attr w:name="ProductID" w:val="0,3 m"/>
        </w:smartTagPr>
        <w:r w:rsidRPr="006431C4">
          <w:rPr>
            <w:rFonts w:cs="Arial"/>
            <w:szCs w:val="20"/>
          </w:rPr>
          <w:t>0,3 m</w:t>
        </w:r>
      </w:smartTag>
      <w:r w:rsidRPr="006431C4">
        <w:rPr>
          <w:rFonts w:cs="Arial"/>
          <w:szCs w:val="20"/>
        </w:rPr>
        <w:t xml:space="preserve"> grubości warstwy gruntu powyżej rzędnych spodu konstrukcji nawierzchni.</w:t>
      </w:r>
    </w:p>
    <w:p w14:paraId="38B124A5"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Ostateczne ukształtowanie niwelety robót ziemnych w wykopie powinno być wykonane w takim okresie, aby po zakończeniu prac można było przystąpić bezzwłocznie do wykonania pierwszej warstwy nawierzchni.  </w:t>
      </w:r>
    </w:p>
    <w:p w14:paraId="7ED78D41"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przypadku występowania zinwentaryzowanych urządzeń podziemnych oraz na tych powierzchniach, gdzie zgodnie z dokumentacją projektową wymagana jest nienaruszona struktura gruntu podłoża, wykopy należy wykonać lub ostatecznie ukształtować ich powierzchnię sposobem ręcznym. Urobek z wykopów wykonywanych ręcznie należy odkładać na powierzchni terenu w bezpiecznej odległości od krawędzi wykopu, nie zagrażającej stateczności wykopu oraz zapewniającej, że wydobyty grunt nie zsypie się ponownie do wykopu. Wydobyty grunt powinien stanowić zabezpieczenie przed możliwym spływem wody opadowej do wykopu.</w:t>
      </w:r>
    </w:p>
    <w:p w14:paraId="2E52E31C"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5.3. Wykonywanie skarp wykopów  </w:t>
      </w:r>
    </w:p>
    <w:p w14:paraId="3CDF839C"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65C8DABA"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Strome skarpy powstałe w czasie odspajania koparką gruntu lub innego materiału nie powinny być pozostawione na dłuższy okres czasu. Jeżeli proces wykonywania wykopu nie jest ciągły, strome skarpy muszą być doprowadzone do bezpiecznego pochylenia do czasu wznowienia robót. Wysokość stromych skarp ukształtowanych w wyniku pracy koparek nie powinna być większa niż </w:t>
      </w:r>
      <w:smartTag w:uri="urn:schemas-microsoft-com:office:smarttags" w:element="metricconverter">
        <w:smartTagPr>
          <w:attr w:name="ProductID" w:val="5 metr￳w"/>
        </w:smartTagPr>
        <w:r w:rsidRPr="006431C4">
          <w:rPr>
            <w:rFonts w:cs="Arial"/>
            <w:szCs w:val="20"/>
          </w:rPr>
          <w:t>5 metrów</w:t>
        </w:r>
      </w:smartTag>
      <w:r w:rsidRPr="006431C4">
        <w:rPr>
          <w:rFonts w:cs="Arial"/>
          <w:szCs w:val="20"/>
        </w:rPr>
        <w:t xml:space="preserve">. Skarpy takie muszą być zabezpieczone od góry tymczasowym ogrodzeniem lub pryzmą gruntu. </w:t>
      </w:r>
    </w:p>
    <w:p w14:paraId="657BF05A"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Jeśli w dokumentacji projektowej przewidziano umocnienie skarp wykopów należy wykonać je jak najszybciej zgodnie z dokumentacją,  wg odrębnej SST. </w:t>
      </w:r>
    </w:p>
    <w:p w14:paraId="5EC0A448"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5.4. Odwodnienie wykopów</w:t>
      </w:r>
    </w:p>
    <w:p w14:paraId="1F6B341A"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Technologia wykonania wykopu musi umożliwiać jego prawidłowe odwodnienie w całym okresie trwania robót ziemnych. Wykonanie wykopów powinno postępować w kierunku podnoszenia się niwelety.</w:t>
      </w:r>
    </w:p>
    <w:p w14:paraId="6EBA8A08"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14:paraId="054E44C7"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Źródła wody, odsłonięte przy wykonywaniu wykopów, należy ująć w rowy i /lub dreny. Wody opadowe i gruntowe należy odprowadzić poza teren pasa robót ziemnych.</w:t>
      </w:r>
    </w:p>
    <w:p w14:paraId="26B1411D"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Pochylenie podłużne dna rowu nie powinno różnić się od projektowanego o więcej niż 0,05%. Dokładność wykonania skarp rowów powinna być zgodna z określoną dla skarp wykopów w SST D-02.00.01. , pkt.6.4.1.</w:t>
      </w:r>
    </w:p>
    <w:p w14:paraId="791BBF90" w14:textId="77777777" w:rsidR="000C6EBA" w:rsidRPr="006431C4" w:rsidRDefault="000C6EBA" w:rsidP="00BE2485">
      <w:pPr>
        <w:keepNext/>
        <w:overflowPunct w:val="0"/>
        <w:autoSpaceDE w:val="0"/>
        <w:autoSpaceDN w:val="0"/>
        <w:adjustRightInd w:val="0"/>
        <w:spacing w:line="240" w:lineRule="auto"/>
        <w:ind w:left="480" w:hanging="480"/>
        <w:jc w:val="both"/>
        <w:textAlignment w:val="baseline"/>
        <w:outlineLvl w:val="1"/>
        <w:rPr>
          <w:rFonts w:cs="Arial"/>
          <w:b/>
          <w:szCs w:val="20"/>
        </w:rPr>
      </w:pPr>
      <w:bookmarkStart w:id="223" w:name="_Toc407161224"/>
      <w:r w:rsidRPr="006431C4">
        <w:rPr>
          <w:rFonts w:cs="Arial"/>
          <w:b/>
          <w:szCs w:val="20"/>
        </w:rPr>
        <w:t>5.5. Wymagania dotyczące zagęszczenia</w:t>
      </w:r>
      <w:bookmarkEnd w:id="223"/>
      <w:r w:rsidRPr="006431C4">
        <w:rPr>
          <w:rFonts w:cs="Arial"/>
          <w:b/>
          <w:szCs w:val="20"/>
        </w:rPr>
        <w:t xml:space="preserve"> i nośności podłoża gruntowego nawierzchni w wykopie i miejscach zerowych robót ziemnych</w:t>
      </w:r>
    </w:p>
    <w:p w14:paraId="3890E2D6"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5.5.1.</w:t>
      </w:r>
      <w:r w:rsidRPr="006431C4">
        <w:rPr>
          <w:rFonts w:cs="Arial"/>
          <w:szCs w:val="20"/>
        </w:rPr>
        <w:t xml:space="preserve"> Wymagania odnośnie do zagęszczenia podłoża</w:t>
      </w:r>
    </w:p>
    <w:p w14:paraId="295AF865"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Zagęszczenie gruntu w wykopach i miejscach zerowych robót ziemnych powinno spełniać wymagania, dotyczące minimalnej wartości wskaźnika zagęszczenia (I</w:t>
      </w:r>
      <w:r w:rsidRPr="006431C4">
        <w:rPr>
          <w:rFonts w:cs="Arial"/>
          <w:szCs w:val="20"/>
          <w:vertAlign w:val="subscript"/>
        </w:rPr>
        <w:t>s</w:t>
      </w:r>
      <w:r w:rsidRPr="006431C4">
        <w:rPr>
          <w:rFonts w:cs="Arial"/>
          <w:szCs w:val="20"/>
        </w:rPr>
        <w:t>), podanego w tabeli 6.</w:t>
      </w:r>
    </w:p>
    <w:p w14:paraId="21F80D90" w14:textId="13DAA24D" w:rsidR="000C6EBA" w:rsidRPr="006431C4" w:rsidRDefault="000C6EBA" w:rsidP="00BE2485">
      <w:pPr>
        <w:overflowPunct w:val="0"/>
        <w:autoSpaceDE w:val="0"/>
        <w:autoSpaceDN w:val="0"/>
        <w:adjustRightInd w:val="0"/>
        <w:spacing w:line="240" w:lineRule="auto"/>
        <w:jc w:val="both"/>
        <w:textAlignment w:val="baseline"/>
        <w:rPr>
          <w:rFonts w:cs="Arial"/>
          <w:bCs/>
          <w:szCs w:val="20"/>
        </w:rPr>
      </w:pPr>
      <w:bookmarkStart w:id="224" w:name="_Toc24577615"/>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6</w:t>
      </w:r>
      <w:r w:rsidRPr="006431C4">
        <w:rPr>
          <w:rFonts w:cs="Arial"/>
          <w:bCs/>
          <w:szCs w:val="20"/>
        </w:rPr>
        <w:fldChar w:fldCharType="end"/>
      </w:r>
      <w:r w:rsidRPr="006431C4">
        <w:rPr>
          <w:rFonts w:cs="Arial"/>
          <w:bCs/>
          <w:szCs w:val="20"/>
        </w:rPr>
        <w:t>. Minimalne wartości wskaźnika zagęszczenia w wykopach i miejscach zerowych robót ziemnych</w:t>
      </w:r>
      <w:bookmarkEnd w:id="224"/>
    </w:p>
    <w:tbl>
      <w:tblPr>
        <w:tblW w:w="10791" w:type="dxa"/>
        <w:tblLayout w:type="fixed"/>
        <w:tblCellMar>
          <w:left w:w="70" w:type="dxa"/>
          <w:right w:w="70" w:type="dxa"/>
        </w:tblCellMar>
        <w:tblLook w:val="0000" w:firstRow="0" w:lastRow="0" w:firstColumn="0" w:lastColumn="0" w:noHBand="0" w:noVBand="0"/>
      </w:tblPr>
      <w:tblGrid>
        <w:gridCol w:w="4954"/>
        <w:gridCol w:w="2835"/>
        <w:gridCol w:w="1501"/>
        <w:gridCol w:w="1501"/>
      </w:tblGrid>
      <w:tr w:rsidR="000C6EBA" w:rsidRPr="006431C4" w14:paraId="696EBF66" w14:textId="77777777" w:rsidTr="000C6EBA">
        <w:tc>
          <w:tcPr>
            <w:tcW w:w="4954" w:type="dxa"/>
            <w:vMerge w:val="restart"/>
            <w:tcBorders>
              <w:top w:val="single" w:sz="6" w:space="0" w:color="auto"/>
              <w:left w:val="single" w:sz="6" w:space="0" w:color="auto"/>
            </w:tcBorders>
            <w:vAlign w:val="center"/>
          </w:tcPr>
          <w:p w14:paraId="442D231B"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Strefa podłoża gruntowego</w:t>
            </w:r>
          </w:p>
        </w:tc>
        <w:tc>
          <w:tcPr>
            <w:tcW w:w="5837" w:type="dxa"/>
            <w:gridSpan w:val="3"/>
            <w:tcBorders>
              <w:top w:val="single" w:sz="6" w:space="0" w:color="auto"/>
              <w:left w:val="single" w:sz="6" w:space="0" w:color="auto"/>
              <w:right w:val="single" w:sz="6" w:space="0" w:color="auto"/>
            </w:tcBorders>
            <w:vAlign w:val="center"/>
          </w:tcPr>
          <w:p w14:paraId="12A89BD4"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Minimalna wartość I</w:t>
            </w:r>
            <w:r w:rsidRPr="006431C4">
              <w:rPr>
                <w:rFonts w:cs="Arial"/>
                <w:szCs w:val="20"/>
                <w:vertAlign w:val="subscript"/>
              </w:rPr>
              <w:t>s</w:t>
            </w:r>
            <w:r w:rsidRPr="006431C4">
              <w:rPr>
                <w:rFonts w:cs="Arial"/>
                <w:szCs w:val="20"/>
              </w:rPr>
              <w:t xml:space="preserve"> dla:</w:t>
            </w:r>
          </w:p>
        </w:tc>
      </w:tr>
      <w:tr w:rsidR="000C6EBA" w:rsidRPr="006431C4" w14:paraId="61D9BB29" w14:textId="77777777" w:rsidTr="000C6EBA">
        <w:tc>
          <w:tcPr>
            <w:tcW w:w="4954" w:type="dxa"/>
            <w:vMerge/>
            <w:tcBorders>
              <w:left w:val="single" w:sz="6" w:space="0" w:color="auto"/>
            </w:tcBorders>
            <w:vAlign w:val="center"/>
          </w:tcPr>
          <w:p w14:paraId="58B18C69"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p>
        </w:tc>
        <w:tc>
          <w:tcPr>
            <w:tcW w:w="5837" w:type="dxa"/>
            <w:gridSpan w:val="3"/>
            <w:tcBorders>
              <w:top w:val="single" w:sz="6" w:space="0" w:color="auto"/>
              <w:left w:val="single" w:sz="6" w:space="0" w:color="auto"/>
              <w:bottom w:val="single" w:sz="6" w:space="0" w:color="auto"/>
              <w:right w:val="single" w:sz="6" w:space="0" w:color="auto"/>
            </w:tcBorders>
            <w:vAlign w:val="center"/>
          </w:tcPr>
          <w:p w14:paraId="2E64889D"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Kategoria ruchu</w:t>
            </w:r>
          </w:p>
        </w:tc>
      </w:tr>
      <w:tr w:rsidR="000C6EBA" w:rsidRPr="006431C4" w14:paraId="67326C48" w14:textId="77777777" w:rsidTr="000C6EBA">
        <w:tc>
          <w:tcPr>
            <w:tcW w:w="4954" w:type="dxa"/>
            <w:vMerge/>
            <w:tcBorders>
              <w:left w:val="single" w:sz="6" w:space="0" w:color="auto"/>
              <w:bottom w:val="single" w:sz="4" w:space="0" w:color="auto"/>
            </w:tcBorders>
            <w:vAlign w:val="center"/>
          </w:tcPr>
          <w:p w14:paraId="78EE02B6"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p>
        </w:tc>
        <w:tc>
          <w:tcPr>
            <w:tcW w:w="2835" w:type="dxa"/>
            <w:tcBorders>
              <w:top w:val="single" w:sz="6" w:space="0" w:color="auto"/>
              <w:left w:val="single" w:sz="6" w:space="0" w:color="auto"/>
              <w:bottom w:val="single" w:sz="4" w:space="0" w:color="auto"/>
            </w:tcBorders>
            <w:vAlign w:val="center"/>
          </w:tcPr>
          <w:p w14:paraId="5DEAF2C2"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KR1-KR2, zjazdy, chodniki, ścieżki rowerowe, ciągi pieszojezdne,</w:t>
            </w:r>
          </w:p>
        </w:tc>
        <w:tc>
          <w:tcPr>
            <w:tcW w:w="1501" w:type="dxa"/>
            <w:tcBorders>
              <w:top w:val="single" w:sz="6" w:space="0" w:color="auto"/>
              <w:left w:val="single" w:sz="6" w:space="0" w:color="auto"/>
              <w:bottom w:val="single" w:sz="4" w:space="0" w:color="auto"/>
              <w:right w:val="single" w:sz="6" w:space="0" w:color="auto"/>
            </w:tcBorders>
            <w:vAlign w:val="center"/>
          </w:tcPr>
          <w:p w14:paraId="196FD305" w14:textId="77777777" w:rsidR="000C6EBA" w:rsidRPr="006431C4" w:rsidRDefault="000C6EBA" w:rsidP="00BE2485">
            <w:pPr>
              <w:overflowPunct w:val="0"/>
              <w:autoSpaceDE w:val="0"/>
              <w:autoSpaceDN w:val="0"/>
              <w:adjustRightInd w:val="0"/>
              <w:spacing w:line="240" w:lineRule="auto"/>
              <w:ind w:left="28" w:right="-85"/>
              <w:jc w:val="center"/>
              <w:textAlignment w:val="baseline"/>
              <w:rPr>
                <w:rFonts w:cs="Arial"/>
                <w:szCs w:val="20"/>
              </w:rPr>
            </w:pPr>
            <w:r w:rsidRPr="006431C4">
              <w:rPr>
                <w:rFonts w:cs="Arial"/>
                <w:szCs w:val="20"/>
              </w:rPr>
              <w:t>KR3 - KR4</w:t>
            </w:r>
          </w:p>
        </w:tc>
        <w:tc>
          <w:tcPr>
            <w:tcW w:w="1501" w:type="dxa"/>
            <w:tcBorders>
              <w:top w:val="single" w:sz="6" w:space="0" w:color="auto"/>
              <w:left w:val="single" w:sz="6" w:space="0" w:color="auto"/>
              <w:bottom w:val="single" w:sz="4" w:space="0" w:color="auto"/>
              <w:right w:val="single" w:sz="6" w:space="0" w:color="auto"/>
            </w:tcBorders>
            <w:vAlign w:val="center"/>
          </w:tcPr>
          <w:p w14:paraId="71FF38C9"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KR5 - KR7</w:t>
            </w:r>
          </w:p>
        </w:tc>
      </w:tr>
      <w:tr w:rsidR="000C6EBA" w:rsidRPr="006431C4" w14:paraId="34AEDFCE" w14:textId="77777777" w:rsidTr="000C6EBA">
        <w:tc>
          <w:tcPr>
            <w:tcW w:w="4954" w:type="dxa"/>
            <w:tcBorders>
              <w:top w:val="single" w:sz="4" w:space="0" w:color="auto"/>
              <w:left w:val="single" w:sz="6" w:space="0" w:color="auto"/>
              <w:bottom w:val="single" w:sz="6" w:space="0" w:color="auto"/>
              <w:right w:val="single" w:sz="6" w:space="0" w:color="auto"/>
            </w:tcBorders>
          </w:tcPr>
          <w:p w14:paraId="1470EA57" w14:textId="77777777" w:rsidR="000C6EBA" w:rsidRPr="006431C4" w:rsidRDefault="000C6EBA" w:rsidP="00BE2485">
            <w:pPr>
              <w:overflowPunct w:val="0"/>
              <w:autoSpaceDE w:val="0"/>
              <w:autoSpaceDN w:val="0"/>
              <w:adjustRightInd w:val="0"/>
              <w:spacing w:line="240" w:lineRule="auto"/>
              <w:textAlignment w:val="baseline"/>
              <w:rPr>
                <w:rFonts w:cs="Arial"/>
                <w:szCs w:val="20"/>
              </w:rPr>
            </w:pPr>
            <w:r w:rsidRPr="006431C4">
              <w:rPr>
                <w:rFonts w:cs="Arial"/>
                <w:szCs w:val="20"/>
              </w:rPr>
              <w:t xml:space="preserve">korpusu poniżej spodu konstrukcji nawierzchni do głębokości </w:t>
            </w:r>
            <w:smartTag w:uri="urn:schemas-microsoft-com:office:smarttags" w:element="metricconverter">
              <w:smartTagPr>
                <w:attr w:name="ProductID" w:val="0,2 m"/>
              </w:smartTagPr>
              <w:r w:rsidRPr="006431C4">
                <w:rPr>
                  <w:rFonts w:cs="Arial"/>
                  <w:szCs w:val="20"/>
                </w:rPr>
                <w:t>0,2 m</w:t>
              </w:r>
            </w:smartTag>
            <w:r w:rsidRPr="006431C4">
              <w:rPr>
                <w:rFonts w:cs="Arial"/>
                <w:szCs w:val="20"/>
              </w:rPr>
              <w:t xml:space="preserve"> lub do głębokości równej grubości warstwy ulepszonego podłoża, o ile występuje</w:t>
            </w:r>
          </w:p>
        </w:tc>
        <w:tc>
          <w:tcPr>
            <w:tcW w:w="2835" w:type="dxa"/>
            <w:tcBorders>
              <w:top w:val="single" w:sz="4" w:space="0" w:color="auto"/>
              <w:left w:val="single" w:sz="6" w:space="0" w:color="auto"/>
              <w:bottom w:val="single" w:sz="6" w:space="0" w:color="auto"/>
              <w:right w:val="single" w:sz="6" w:space="0" w:color="auto"/>
            </w:tcBorders>
          </w:tcPr>
          <w:p w14:paraId="4ADAB976"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1501" w:type="dxa"/>
            <w:tcBorders>
              <w:top w:val="single" w:sz="4" w:space="0" w:color="auto"/>
              <w:left w:val="single" w:sz="6" w:space="0" w:color="auto"/>
              <w:bottom w:val="single" w:sz="6" w:space="0" w:color="auto"/>
              <w:right w:val="single" w:sz="6" w:space="0" w:color="auto"/>
            </w:tcBorders>
          </w:tcPr>
          <w:p w14:paraId="4409C400"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1501" w:type="dxa"/>
            <w:tcBorders>
              <w:top w:val="single" w:sz="4" w:space="0" w:color="auto"/>
              <w:left w:val="single" w:sz="6" w:space="0" w:color="auto"/>
              <w:bottom w:val="single" w:sz="6" w:space="0" w:color="auto"/>
              <w:right w:val="single" w:sz="6" w:space="0" w:color="auto"/>
            </w:tcBorders>
          </w:tcPr>
          <w:p w14:paraId="45B10F90"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r w:rsidR="000C6EBA" w:rsidRPr="006431C4" w14:paraId="68EC55CB" w14:textId="77777777" w:rsidTr="000C6EBA">
        <w:tc>
          <w:tcPr>
            <w:tcW w:w="4954" w:type="dxa"/>
            <w:tcBorders>
              <w:top w:val="single" w:sz="6" w:space="0" w:color="auto"/>
              <w:left w:val="single" w:sz="6" w:space="0" w:color="auto"/>
              <w:bottom w:val="single" w:sz="6" w:space="0" w:color="auto"/>
              <w:right w:val="single" w:sz="6" w:space="0" w:color="auto"/>
            </w:tcBorders>
          </w:tcPr>
          <w:p w14:paraId="33CCA92B"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niżej, do głębokości </w:t>
            </w:r>
            <w:smartTag w:uri="urn:schemas-microsoft-com:office:smarttags" w:element="metricconverter">
              <w:smartTagPr>
                <w:attr w:name="ProductID" w:val="0,5 m"/>
              </w:smartTagPr>
              <w:r w:rsidRPr="006431C4">
                <w:rPr>
                  <w:rFonts w:cs="Arial"/>
                  <w:szCs w:val="20"/>
                </w:rPr>
                <w:t>0,5 m</w:t>
              </w:r>
            </w:smartTag>
          </w:p>
        </w:tc>
        <w:tc>
          <w:tcPr>
            <w:tcW w:w="2835" w:type="dxa"/>
            <w:tcBorders>
              <w:top w:val="single" w:sz="6" w:space="0" w:color="auto"/>
              <w:left w:val="single" w:sz="6" w:space="0" w:color="auto"/>
              <w:bottom w:val="single" w:sz="6" w:space="0" w:color="auto"/>
              <w:right w:val="single" w:sz="6" w:space="0" w:color="auto"/>
            </w:tcBorders>
          </w:tcPr>
          <w:p w14:paraId="4D82AD76"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0,97</w:t>
            </w:r>
          </w:p>
        </w:tc>
        <w:tc>
          <w:tcPr>
            <w:tcW w:w="1501" w:type="dxa"/>
            <w:tcBorders>
              <w:top w:val="single" w:sz="6" w:space="0" w:color="auto"/>
              <w:left w:val="single" w:sz="6" w:space="0" w:color="auto"/>
              <w:bottom w:val="single" w:sz="6" w:space="0" w:color="auto"/>
              <w:right w:val="single" w:sz="6" w:space="0" w:color="auto"/>
            </w:tcBorders>
          </w:tcPr>
          <w:p w14:paraId="294575B7"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1501" w:type="dxa"/>
            <w:tcBorders>
              <w:top w:val="single" w:sz="6" w:space="0" w:color="auto"/>
              <w:left w:val="single" w:sz="6" w:space="0" w:color="auto"/>
              <w:bottom w:val="single" w:sz="6" w:space="0" w:color="auto"/>
              <w:right w:val="single" w:sz="6" w:space="0" w:color="auto"/>
            </w:tcBorders>
          </w:tcPr>
          <w:p w14:paraId="68C1ABE5"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bl>
    <w:p w14:paraId="4DA43246"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p>
    <w:p w14:paraId="2F2985FE"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Jeżeli grunty rodzime w wykopach i miejscach zerowych nie spełniają wymaganego wskaźnika zagęszczenia, to przed ułożeniem konstrukcji nawierzchni należy je dogęścić do wartości I</w:t>
      </w:r>
      <w:r w:rsidRPr="006431C4">
        <w:rPr>
          <w:rFonts w:cs="Arial"/>
          <w:szCs w:val="20"/>
          <w:vertAlign w:val="subscript"/>
        </w:rPr>
        <w:t>s</w:t>
      </w:r>
      <w:r w:rsidRPr="006431C4">
        <w:rPr>
          <w:rFonts w:cs="Arial"/>
          <w:szCs w:val="20"/>
        </w:rPr>
        <w:t>, podanych w tabeli 6.</w:t>
      </w:r>
    </w:p>
    <w:p w14:paraId="67061D97"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Jeżeli wartości wskaźnika zagęszczenia określone w tabeli 6 nie mogą być osiągnięte przez bezpośrednie zagęszczanie gruntów rodzimych, to należy podjąć środki w celu ulepszenia gruntu podłoża, umożliwiającego uzyskanie </w:t>
      </w:r>
      <w:r w:rsidRPr="006431C4">
        <w:rPr>
          <w:rFonts w:cs="Arial"/>
          <w:szCs w:val="20"/>
        </w:rPr>
        <w:lastRenderedPageBreak/>
        <w:t xml:space="preserve">wymaganych wartości wskaźnika zagęszczenia. Możliwe do zastosowania środki, o ile nie są określone w SST, proponuje Wykonawca i przedstawia do akceptacji Inżynierowi. </w:t>
      </w:r>
    </w:p>
    <w:p w14:paraId="70AA0C29"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Inżynier może dopuścić kontrolę zagęszczenia po ułożeniu i zagęszczeniu wyżej leżącej warstwy. W takiej sytuacji wyżej leżąca warstwa zostanie w niezbędnym zakresie usunięta w celu określenia osiągniętego wskaźnika zagęszczenia I</w:t>
      </w:r>
      <w:r w:rsidRPr="006431C4">
        <w:rPr>
          <w:rFonts w:cs="Arial"/>
          <w:szCs w:val="20"/>
          <w:vertAlign w:val="subscript"/>
        </w:rPr>
        <w:t>S</w:t>
      </w:r>
      <w:r w:rsidRPr="006431C4">
        <w:rPr>
          <w:rFonts w:cs="Arial"/>
          <w:szCs w:val="20"/>
        </w:rPr>
        <w:t xml:space="preserve"> warstwy leżącej poniżej. Jeżeli wymagana wartość wskaźnika zagęszczenia zostanie osiągnięta, wówczas warstwa zostanie zaakceptowana. Jeżeli wartość wskaźnika zagęszczenia nie zostanie osiągnięta, wówczas ta warstwa oraz warstwa ułożona na niej, zostaną usunięte i ponownie wykonane na koszt Wykonawcy.</w:t>
      </w:r>
    </w:p>
    <w:p w14:paraId="46A166B9"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Dopuszcza się ocenę stanu zagęszczenia gruntu na podstawie wartości wskaźnika odkształcenia Io według zasad i kryteriów określonych w SST D-02.00.01 „Roboty ziemne. Wymagania ogólne” w pkt.5.9.2. </w:t>
      </w:r>
    </w:p>
    <w:p w14:paraId="38EE9B5A"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5.5.2.</w:t>
      </w:r>
      <w:r w:rsidRPr="006431C4">
        <w:rPr>
          <w:rFonts w:cs="Arial"/>
          <w:szCs w:val="20"/>
        </w:rPr>
        <w:t xml:space="preserve"> Wymagania odnośnie do nośności podłoża gruntowego  </w:t>
      </w:r>
    </w:p>
    <w:p w14:paraId="34CAA4DC"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Nośność podłoża gruntowego nawierzchni należy określić na podstawie oceny wartości wtórnego modułu odkształcenia E2 oznaczonego według zasad określonych w SST D-02.00.01 „Roboty ziemne. Wymagania ogólne” pkt.5.10. </w:t>
      </w:r>
    </w:p>
    <w:p w14:paraId="5D236B9B"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Wymagana wartość E2:</w:t>
      </w:r>
    </w:p>
    <w:p w14:paraId="32E3F16D" w14:textId="77777777" w:rsidR="000C6EBA" w:rsidRPr="006431C4" w:rsidRDefault="000C6EBA" w:rsidP="00BE2485">
      <w:pPr>
        <w:overflowPunct w:val="0"/>
        <w:autoSpaceDE w:val="0"/>
        <w:autoSpaceDN w:val="0"/>
        <w:adjustRightInd w:val="0"/>
        <w:spacing w:line="240" w:lineRule="auto"/>
        <w:ind w:left="240" w:hanging="240"/>
        <w:jc w:val="both"/>
        <w:textAlignment w:val="baseline"/>
        <w:rPr>
          <w:rFonts w:cs="Arial"/>
          <w:szCs w:val="20"/>
        </w:rPr>
      </w:pPr>
      <w:r w:rsidRPr="006431C4">
        <w:rPr>
          <w:rFonts w:cs="Arial"/>
          <w:szCs w:val="20"/>
        </w:rPr>
        <w:t>- dla ruchu KR3 - KR7, musi być określona przez projektanta w dokumentacji projektowej, przy czym minimalna wartość E2 na górnej powierzchni podłoża gruntowego nawierzchni w wykopie wynosi 50 MPa. W dokumentacji projektowej może zostać określona wyższa wartość E2, jeżeli została ona przyjęta w projekcie konstrukcji nawierzchni,</w:t>
      </w:r>
    </w:p>
    <w:p w14:paraId="6DB1AD73" w14:textId="77777777" w:rsidR="000C6EBA" w:rsidRPr="006431C4" w:rsidRDefault="000C6EBA" w:rsidP="00BE2485">
      <w:pPr>
        <w:overflowPunct w:val="0"/>
        <w:autoSpaceDE w:val="0"/>
        <w:autoSpaceDN w:val="0"/>
        <w:adjustRightInd w:val="0"/>
        <w:spacing w:line="240" w:lineRule="auto"/>
        <w:ind w:left="240" w:hanging="240"/>
        <w:jc w:val="both"/>
        <w:textAlignment w:val="baseline"/>
        <w:rPr>
          <w:rFonts w:cs="Arial"/>
          <w:szCs w:val="20"/>
        </w:rPr>
      </w:pPr>
      <w:r w:rsidRPr="006431C4">
        <w:rPr>
          <w:rFonts w:cs="Arial"/>
          <w:szCs w:val="20"/>
        </w:rPr>
        <w:t>- dla ruchu KR1 – KR2 minimalna wartość E2 na górnej powierzchni podłoża gruntowego nawierzchni musi być określona przez projektanta w dokumentacji projektowej.</w:t>
      </w:r>
    </w:p>
    <w:p w14:paraId="54580039"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zaprojektowano wykonanie warstwy ulepszonego podłoża to należy określić nośność gruntu rodzimego pod tą warstwą. Wymagana wartość E2 gruntu rodzimego musi być określona przez projektanta w dokumentacji projektowej. Stwierdzona wartość E2 nie może być mniejsza niż przyjęta w dokumentacji projektowej. Jeżeli stwierdzona wartość E2 jest mniejsza od wymaganej wówczas Wykonawca zaproponuje do akceptacji Inżyniera  sposób uzyskania wymaganej nośności.</w:t>
      </w:r>
    </w:p>
    <w:p w14:paraId="4F0D76D4"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w dokumentacji projektowej użyto pojęcia „grupa nośności podłoża” w celu określenia nośności gruntu rodzimego, to wartości wtórnego modułu odkształcenia E2 na powierzchni gruntu rodzimego nie mogą być mniejsze niż podano w tabeli 7.</w:t>
      </w:r>
    </w:p>
    <w:p w14:paraId="529480FA" w14:textId="67834337" w:rsidR="000C6EBA" w:rsidRPr="006431C4" w:rsidRDefault="000C6EBA" w:rsidP="00BE2485">
      <w:pPr>
        <w:overflowPunct w:val="0"/>
        <w:autoSpaceDE w:val="0"/>
        <w:autoSpaceDN w:val="0"/>
        <w:adjustRightInd w:val="0"/>
        <w:spacing w:line="240" w:lineRule="auto"/>
        <w:jc w:val="both"/>
        <w:textAlignment w:val="baseline"/>
        <w:rPr>
          <w:rFonts w:cs="Arial"/>
          <w:bCs/>
          <w:szCs w:val="20"/>
        </w:rPr>
      </w:pPr>
      <w:bookmarkStart w:id="225" w:name="_Toc24577616"/>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7</w:t>
      </w:r>
      <w:r w:rsidRPr="006431C4">
        <w:rPr>
          <w:rFonts w:cs="Arial"/>
          <w:bCs/>
          <w:szCs w:val="20"/>
        </w:rPr>
        <w:fldChar w:fldCharType="end"/>
      </w:r>
      <w:r w:rsidRPr="006431C4">
        <w:rPr>
          <w:rFonts w:cs="Arial"/>
          <w:bCs/>
          <w:szCs w:val="20"/>
        </w:rPr>
        <w:t>. Minimalne wartości wtórnego modułu odkształcenia E2 na powierzchni gruntu rodzimego w zależności od grupy nośności podłoża G</w:t>
      </w:r>
      <w:bookmarkEnd w:id="225"/>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3"/>
        <w:gridCol w:w="2656"/>
        <w:gridCol w:w="2096"/>
      </w:tblGrid>
      <w:tr w:rsidR="000C6EBA" w:rsidRPr="006431C4" w14:paraId="47389FDC" w14:textId="77777777" w:rsidTr="005B6D2B">
        <w:tc>
          <w:tcPr>
            <w:tcW w:w="663" w:type="dxa"/>
          </w:tcPr>
          <w:p w14:paraId="2624C81F"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2656" w:type="dxa"/>
          </w:tcPr>
          <w:p w14:paraId="6C1E03CF"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Grupa nośności podłoża</w:t>
            </w:r>
          </w:p>
        </w:tc>
        <w:tc>
          <w:tcPr>
            <w:tcW w:w="2096" w:type="dxa"/>
          </w:tcPr>
          <w:p w14:paraId="5684FF07"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Wartość E</w:t>
            </w:r>
            <w:r w:rsidRPr="006431C4">
              <w:rPr>
                <w:rFonts w:cs="Arial"/>
                <w:szCs w:val="20"/>
                <w:vertAlign w:val="subscript"/>
              </w:rPr>
              <w:t>2</w:t>
            </w:r>
            <w:r w:rsidRPr="006431C4">
              <w:rPr>
                <w:rFonts w:cs="Arial"/>
                <w:szCs w:val="20"/>
              </w:rPr>
              <w:t xml:space="preserve"> [MPa]</w:t>
            </w:r>
          </w:p>
        </w:tc>
      </w:tr>
      <w:tr w:rsidR="000C6EBA" w:rsidRPr="006431C4" w14:paraId="567F4867" w14:textId="77777777" w:rsidTr="005B6D2B">
        <w:tc>
          <w:tcPr>
            <w:tcW w:w="663" w:type="dxa"/>
          </w:tcPr>
          <w:p w14:paraId="62599F79"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2656" w:type="dxa"/>
          </w:tcPr>
          <w:p w14:paraId="2347DC05"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G1</w:t>
            </w:r>
          </w:p>
        </w:tc>
        <w:tc>
          <w:tcPr>
            <w:tcW w:w="2096" w:type="dxa"/>
          </w:tcPr>
          <w:p w14:paraId="16D07759"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80</w:t>
            </w:r>
          </w:p>
        </w:tc>
      </w:tr>
      <w:tr w:rsidR="000C6EBA" w:rsidRPr="006431C4" w14:paraId="1A760647" w14:textId="77777777" w:rsidTr="005B6D2B">
        <w:tc>
          <w:tcPr>
            <w:tcW w:w="663" w:type="dxa"/>
          </w:tcPr>
          <w:p w14:paraId="6C0984A9"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2656" w:type="dxa"/>
          </w:tcPr>
          <w:p w14:paraId="44334127"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G2</w:t>
            </w:r>
          </w:p>
        </w:tc>
        <w:tc>
          <w:tcPr>
            <w:tcW w:w="2096" w:type="dxa"/>
          </w:tcPr>
          <w:p w14:paraId="7D575573"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50</w:t>
            </w:r>
          </w:p>
        </w:tc>
      </w:tr>
      <w:tr w:rsidR="000C6EBA" w:rsidRPr="006431C4" w14:paraId="0CEC0BD0" w14:textId="77777777" w:rsidTr="005B6D2B">
        <w:tc>
          <w:tcPr>
            <w:tcW w:w="663" w:type="dxa"/>
          </w:tcPr>
          <w:p w14:paraId="3CDBA20B"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2656" w:type="dxa"/>
          </w:tcPr>
          <w:p w14:paraId="50E44814"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G3</w:t>
            </w:r>
          </w:p>
        </w:tc>
        <w:tc>
          <w:tcPr>
            <w:tcW w:w="2096" w:type="dxa"/>
          </w:tcPr>
          <w:p w14:paraId="60ADF710"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35</w:t>
            </w:r>
          </w:p>
        </w:tc>
      </w:tr>
      <w:tr w:rsidR="000C6EBA" w:rsidRPr="006431C4" w14:paraId="5D15C989" w14:textId="77777777" w:rsidTr="005B6D2B">
        <w:tc>
          <w:tcPr>
            <w:tcW w:w="663" w:type="dxa"/>
          </w:tcPr>
          <w:p w14:paraId="568DECB9"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2656" w:type="dxa"/>
          </w:tcPr>
          <w:p w14:paraId="1DBF5DF6"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G4</w:t>
            </w:r>
          </w:p>
        </w:tc>
        <w:tc>
          <w:tcPr>
            <w:tcW w:w="2096" w:type="dxa"/>
          </w:tcPr>
          <w:p w14:paraId="5184574B" w14:textId="77777777" w:rsidR="000C6EBA" w:rsidRPr="006431C4" w:rsidRDefault="000C6EBA"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25</w:t>
            </w:r>
          </w:p>
        </w:tc>
      </w:tr>
    </w:tbl>
    <w:p w14:paraId="27E17F30"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p>
    <w:p w14:paraId="10D915EE"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Za zgodą Inżyniera dopuszcza się badanie nośności podłoża z zastosowaniem lekkiej płyty dynamicznej, zgodnie z SST D-02.00.01 Roboty ziemne. Wymagania ogólne., pkt.5.10. </w:t>
      </w:r>
    </w:p>
    <w:p w14:paraId="732AF57E"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226" w:name="_Toc407161225"/>
      <w:r w:rsidRPr="006431C4">
        <w:rPr>
          <w:rFonts w:cs="Arial"/>
          <w:b/>
          <w:szCs w:val="20"/>
        </w:rPr>
        <w:t>5.6. Ruch budowlany</w:t>
      </w:r>
      <w:bookmarkEnd w:id="226"/>
    </w:p>
    <w:p w14:paraId="5218DF27"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Nie należy dopuszczać ruchu budowlanego po dnie wykopu o ile grubość warstwy gruntu (nadkładu) powyżej rzędnych robót ziemnych jest mniejsza niż </w:t>
      </w:r>
      <w:smartTag w:uri="urn:schemas-microsoft-com:office:smarttags" w:element="metricconverter">
        <w:smartTagPr>
          <w:attr w:name="ProductID" w:val="0,3 m"/>
        </w:smartTagPr>
        <w:r w:rsidRPr="006431C4">
          <w:rPr>
            <w:rFonts w:cs="Arial"/>
            <w:szCs w:val="20"/>
          </w:rPr>
          <w:t>0,3 m</w:t>
        </w:r>
      </w:smartTag>
      <w:r w:rsidRPr="006431C4">
        <w:rPr>
          <w:rFonts w:cs="Arial"/>
          <w:szCs w:val="20"/>
        </w:rPr>
        <w:t>.</w:t>
      </w:r>
    </w:p>
    <w:p w14:paraId="1F35C917"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14:paraId="6D703CBD"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Naprawa uszkodzeń powierzchni robót ziemnych, wynikających z niedotrzymania podanych powyżej warunków obciąża Wykonawcę robót ziemnych.</w:t>
      </w:r>
    </w:p>
    <w:p w14:paraId="05D70025"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5.7. Postępowanie z materiałem gruntowym z wykopu</w:t>
      </w:r>
    </w:p>
    <w:p w14:paraId="242D4B0F"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Materiał gruntowy pochodzący z wykopu powinien zostać wykorzystany w maksymalnym stopniu zgodnie z SST D-02.00.01. pkt.5.6., a jego przydatność do budowy nasypów powinna zostać określona na podstawie SST D-02.00.01. pkt. 2.2.</w:t>
      </w:r>
    </w:p>
    <w:p w14:paraId="78A53A17" w14:textId="77777777" w:rsidR="000C6EBA" w:rsidRPr="006431C4" w:rsidRDefault="000C6EBA"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227" w:name="_Toc407161226"/>
      <w:bookmarkStart w:id="228" w:name="_Toc418994930"/>
      <w:bookmarkStart w:id="229" w:name="_Toc418996337"/>
      <w:bookmarkStart w:id="230" w:name="_Toc418996706"/>
      <w:bookmarkStart w:id="231" w:name="_Toc418997093"/>
      <w:bookmarkStart w:id="232" w:name="_Toc418998503"/>
      <w:bookmarkStart w:id="233" w:name="_Toc418998859"/>
      <w:bookmarkStart w:id="234" w:name="_Toc419000104"/>
      <w:bookmarkStart w:id="235" w:name="_Toc17407548"/>
      <w:bookmarkStart w:id="236" w:name="_Toc17407783"/>
      <w:bookmarkStart w:id="237" w:name="_Toc17407907"/>
      <w:bookmarkStart w:id="238" w:name="_Toc17408026"/>
      <w:r w:rsidRPr="006431C4">
        <w:rPr>
          <w:rFonts w:cs="Arial"/>
          <w:b/>
          <w:caps/>
          <w:kern w:val="28"/>
          <w:szCs w:val="20"/>
        </w:rPr>
        <w:t>6. Kontrola jakości robót</w:t>
      </w:r>
      <w:bookmarkEnd w:id="227"/>
      <w:bookmarkEnd w:id="228"/>
      <w:bookmarkEnd w:id="229"/>
      <w:bookmarkEnd w:id="230"/>
      <w:bookmarkEnd w:id="231"/>
      <w:bookmarkEnd w:id="232"/>
      <w:bookmarkEnd w:id="233"/>
      <w:bookmarkEnd w:id="234"/>
      <w:bookmarkEnd w:id="235"/>
      <w:bookmarkEnd w:id="236"/>
      <w:bookmarkEnd w:id="237"/>
      <w:bookmarkEnd w:id="238"/>
    </w:p>
    <w:p w14:paraId="75B274AC"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239" w:name="_Toc407161227"/>
      <w:r w:rsidRPr="006431C4">
        <w:rPr>
          <w:rFonts w:cs="Arial"/>
          <w:b/>
          <w:szCs w:val="20"/>
        </w:rPr>
        <w:t>6.1. Ogólne zasady kontroli jakości robót</w:t>
      </w:r>
      <w:bookmarkEnd w:id="239"/>
    </w:p>
    <w:p w14:paraId="5A32CF1D"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kontroli jakości robót podano w SST D-02.00.01 pkt 6.</w:t>
      </w:r>
    </w:p>
    <w:p w14:paraId="6A406346"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240" w:name="_Toc407161228"/>
      <w:r w:rsidRPr="006431C4">
        <w:rPr>
          <w:rFonts w:cs="Arial"/>
          <w:b/>
          <w:szCs w:val="20"/>
        </w:rPr>
        <w:t>6.2. Kontrola wykonania wykopów</w:t>
      </w:r>
      <w:bookmarkEnd w:id="240"/>
    </w:p>
    <w:p w14:paraId="432D692B"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Kontrola wykonania wykopów polega na sprawdzeniu zgodności z wymaganiami określonymi w dokumentacji projektowej i SST. W czasie kontroli szczególną uwagę należy zwrócić na:</w:t>
      </w:r>
    </w:p>
    <w:p w14:paraId="40287050" w14:textId="77777777" w:rsidR="000C6EBA" w:rsidRPr="006431C4" w:rsidRDefault="000C6EBA" w:rsidP="00CF1E7D">
      <w:pPr>
        <w:numPr>
          <w:ilvl w:val="0"/>
          <w:numId w:val="122"/>
        </w:numPr>
        <w:overflowPunct w:val="0"/>
        <w:autoSpaceDE w:val="0"/>
        <w:autoSpaceDN w:val="0"/>
        <w:adjustRightInd w:val="0"/>
        <w:spacing w:line="240" w:lineRule="auto"/>
        <w:jc w:val="both"/>
        <w:textAlignment w:val="baseline"/>
        <w:rPr>
          <w:rFonts w:cs="Arial"/>
          <w:szCs w:val="20"/>
        </w:rPr>
      </w:pPr>
      <w:r w:rsidRPr="006431C4">
        <w:rPr>
          <w:rFonts w:cs="Arial"/>
          <w:szCs w:val="20"/>
        </w:rPr>
        <w:t>sposób odspajania gruntów nie pogarszający ich właściwości,</w:t>
      </w:r>
    </w:p>
    <w:p w14:paraId="6A6970CC" w14:textId="77777777" w:rsidR="000C6EBA" w:rsidRPr="006431C4" w:rsidRDefault="000C6EBA" w:rsidP="00CF1E7D">
      <w:pPr>
        <w:numPr>
          <w:ilvl w:val="0"/>
          <w:numId w:val="122"/>
        </w:numPr>
        <w:overflowPunct w:val="0"/>
        <w:autoSpaceDE w:val="0"/>
        <w:autoSpaceDN w:val="0"/>
        <w:adjustRightInd w:val="0"/>
        <w:spacing w:line="240" w:lineRule="auto"/>
        <w:jc w:val="both"/>
        <w:textAlignment w:val="baseline"/>
        <w:rPr>
          <w:rFonts w:cs="Arial"/>
          <w:szCs w:val="20"/>
        </w:rPr>
      </w:pPr>
      <w:r w:rsidRPr="006431C4">
        <w:rPr>
          <w:rFonts w:cs="Arial"/>
          <w:szCs w:val="20"/>
        </w:rPr>
        <w:t>zapewnienie stateczności skarp,</w:t>
      </w:r>
    </w:p>
    <w:p w14:paraId="6A1923BD" w14:textId="77777777" w:rsidR="000C6EBA" w:rsidRPr="006431C4" w:rsidRDefault="000C6EBA" w:rsidP="00CF1E7D">
      <w:pPr>
        <w:numPr>
          <w:ilvl w:val="0"/>
          <w:numId w:val="122"/>
        </w:numPr>
        <w:overflowPunct w:val="0"/>
        <w:autoSpaceDE w:val="0"/>
        <w:autoSpaceDN w:val="0"/>
        <w:adjustRightInd w:val="0"/>
        <w:spacing w:line="240" w:lineRule="auto"/>
        <w:jc w:val="both"/>
        <w:textAlignment w:val="baseline"/>
        <w:rPr>
          <w:rFonts w:cs="Arial"/>
          <w:szCs w:val="20"/>
        </w:rPr>
      </w:pPr>
      <w:r w:rsidRPr="006431C4">
        <w:rPr>
          <w:rFonts w:cs="Arial"/>
          <w:szCs w:val="20"/>
        </w:rPr>
        <w:t>odwodnienie wykopów w czasie wykonywania robót i po ich zakończeniu,</w:t>
      </w:r>
    </w:p>
    <w:p w14:paraId="617CFD7F" w14:textId="77777777" w:rsidR="000C6EBA" w:rsidRPr="006431C4" w:rsidRDefault="000C6EBA" w:rsidP="00CF1E7D">
      <w:pPr>
        <w:numPr>
          <w:ilvl w:val="0"/>
          <w:numId w:val="122"/>
        </w:numPr>
        <w:overflowPunct w:val="0"/>
        <w:autoSpaceDE w:val="0"/>
        <w:autoSpaceDN w:val="0"/>
        <w:adjustRightInd w:val="0"/>
        <w:spacing w:line="240" w:lineRule="auto"/>
        <w:jc w:val="both"/>
        <w:textAlignment w:val="baseline"/>
        <w:rPr>
          <w:rFonts w:cs="Arial"/>
          <w:szCs w:val="20"/>
        </w:rPr>
      </w:pPr>
      <w:r w:rsidRPr="006431C4">
        <w:rPr>
          <w:rFonts w:cs="Arial"/>
          <w:szCs w:val="20"/>
        </w:rPr>
        <w:t>dokładność wykonania wykopów (usytuowanie i wykończenie),</w:t>
      </w:r>
    </w:p>
    <w:p w14:paraId="1315EA4D" w14:textId="77777777" w:rsidR="000C6EBA" w:rsidRPr="006431C4" w:rsidRDefault="000C6EBA" w:rsidP="00CF1E7D">
      <w:pPr>
        <w:numPr>
          <w:ilvl w:val="0"/>
          <w:numId w:val="122"/>
        </w:numPr>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rPr>
        <w:t>zagęszczenie górnej strefy korpusu w wykopie według wymagań określonych w pkcie 5.2.</w:t>
      </w:r>
    </w:p>
    <w:p w14:paraId="4ACA346F"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czasie realizacji robót Wykonawca ma obowiązek kontrolować przydatność gruntów, skał lub materiałów pozyskiwanych z wykopu do budowy nasypu, z uwzględnieniem wymagań określonych w SST D-02.00.01 „Roboty ziemne. Wymagania ogólne”, punkt 2 oraz w dokumentacji projektowej. </w:t>
      </w:r>
    </w:p>
    <w:p w14:paraId="4A4A6376" w14:textId="77777777" w:rsidR="000C6EBA" w:rsidRPr="006431C4" w:rsidRDefault="000C6EBA" w:rsidP="00BE2485">
      <w:pPr>
        <w:overflowPunct w:val="0"/>
        <w:autoSpaceDE w:val="0"/>
        <w:autoSpaceDN w:val="0"/>
        <w:adjustRightInd w:val="0"/>
        <w:spacing w:line="240" w:lineRule="auto"/>
        <w:jc w:val="both"/>
        <w:textAlignment w:val="baseline"/>
        <w:rPr>
          <w:rFonts w:cs="Arial"/>
          <w:b/>
          <w:szCs w:val="20"/>
        </w:rPr>
      </w:pPr>
      <w:r w:rsidRPr="006431C4">
        <w:rPr>
          <w:rFonts w:cs="Arial"/>
          <w:b/>
          <w:szCs w:val="20"/>
        </w:rPr>
        <w:t xml:space="preserve">6.3.Badania i pomiary do odbioru wykopów </w:t>
      </w:r>
    </w:p>
    <w:p w14:paraId="22D6773E" w14:textId="77777777" w:rsidR="000C6EBA" w:rsidRPr="006431C4" w:rsidRDefault="000C6EBA"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Badania do odbioru korpusu ziemnego należy wykonać według zasad i wymagań oraz z częstotliwością określoną w SST D-02.00.01 „Roboty ziemne. Wymagania ogólne”, punkt 6 i wymagań określonych w punkcie 5 niniejszej SST</w:t>
      </w:r>
    </w:p>
    <w:p w14:paraId="18A9430B" w14:textId="77777777" w:rsidR="000C6EBA" w:rsidRPr="006431C4" w:rsidRDefault="000C6EBA"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241" w:name="_Toc407161229"/>
      <w:bookmarkStart w:id="242" w:name="_Toc418994931"/>
      <w:bookmarkStart w:id="243" w:name="_Toc418996338"/>
      <w:bookmarkStart w:id="244" w:name="_Toc418996707"/>
      <w:bookmarkStart w:id="245" w:name="_Toc418997094"/>
      <w:bookmarkStart w:id="246" w:name="_Toc418998504"/>
      <w:bookmarkStart w:id="247" w:name="_Toc418998860"/>
      <w:bookmarkStart w:id="248" w:name="_Toc419000105"/>
      <w:bookmarkStart w:id="249" w:name="_Toc17407549"/>
      <w:bookmarkStart w:id="250" w:name="_Toc17407784"/>
      <w:bookmarkStart w:id="251" w:name="_Toc17407908"/>
      <w:bookmarkStart w:id="252" w:name="_Toc17408027"/>
      <w:r w:rsidRPr="006431C4">
        <w:rPr>
          <w:rFonts w:cs="Arial"/>
          <w:b/>
          <w:caps/>
          <w:kern w:val="28"/>
          <w:szCs w:val="20"/>
        </w:rPr>
        <w:t>7. Obmiar robót</w:t>
      </w:r>
      <w:bookmarkEnd w:id="241"/>
      <w:bookmarkEnd w:id="242"/>
      <w:bookmarkEnd w:id="243"/>
      <w:bookmarkEnd w:id="244"/>
      <w:bookmarkEnd w:id="245"/>
      <w:bookmarkEnd w:id="246"/>
      <w:bookmarkEnd w:id="247"/>
      <w:bookmarkEnd w:id="248"/>
      <w:bookmarkEnd w:id="249"/>
      <w:bookmarkEnd w:id="250"/>
      <w:bookmarkEnd w:id="251"/>
      <w:bookmarkEnd w:id="252"/>
    </w:p>
    <w:p w14:paraId="307DB558"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253" w:name="_Toc407161230"/>
      <w:r w:rsidRPr="006431C4">
        <w:rPr>
          <w:rFonts w:cs="Arial"/>
          <w:b/>
          <w:szCs w:val="20"/>
        </w:rPr>
        <w:t>7.1. Ogólne zasady obmiaru robót</w:t>
      </w:r>
      <w:bookmarkEnd w:id="253"/>
    </w:p>
    <w:p w14:paraId="61A2BB39"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obmiaru robót podano w SST D-02.00.01 pkt 7.</w:t>
      </w:r>
    </w:p>
    <w:p w14:paraId="3AF553C5"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254" w:name="_Toc407161231"/>
      <w:r w:rsidRPr="006431C4">
        <w:rPr>
          <w:rFonts w:cs="Arial"/>
          <w:b/>
          <w:szCs w:val="20"/>
        </w:rPr>
        <w:t>7.2. Jednostka obmiarowa</w:t>
      </w:r>
      <w:bookmarkEnd w:id="254"/>
    </w:p>
    <w:p w14:paraId="709B9324"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Jednostką obmiarową jest m</w:t>
      </w:r>
      <w:r w:rsidRPr="006431C4">
        <w:rPr>
          <w:rFonts w:cs="Arial"/>
          <w:szCs w:val="20"/>
          <w:vertAlign w:val="superscript"/>
        </w:rPr>
        <w:t>3</w:t>
      </w:r>
      <w:r w:rsidRPr="006431C4">
        <w:rPr>
          <w:rFonts w:cs="Arial"/>
          <w:szCs w:val="20"/>
        </w:rPr>
        <w:t xml:space="preserve"> (metr sześcienny) wykonanego wykopu </w:t>
      </w:r>
    </w:p>
    <w:p w14:paraId="1B68BF78" w14:textId="77777777" w:rsidR="000C6EBA" w:rsidRPr="006431C4" w:rsidRDefault="000C6EBA"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255" w:name="_Toc407161232"/>
      <w:bookmarkStart w:id="256" w:name="_Toc418994932"/>
      <w:bookmarkStart w:id="257" w:name="_Toc418996339"/>
      <w:bookmarkStart w:id="258" w:name="_Toc418996708"/>
      <w:bookmarkStart w:id="259" w:name="_Toc418997095"/>
      <w:bookmarkStart w:id="260" w:name="_Toc418998505"/>
      <w:bookmarkStart w:id="261" w:name="_Toc418998861"/>
      <w:bookmarkStart w:id="262" w:name="_Toc419000106"/>
      <w:bookmarkStart w:id="263" w:name="_Toc17407550"/>
      <w:bookmarkStart w:id="264" w:name="_Toc17407785"/>
      <w:bookmarkStart w:id="265" w:name="_Toc17407909"/>
      <w:bookmarkStart w:id="266" w:name="_Toc17408028"/>
      <w:r w:rsidRPr="006431C4">
        <w:rPr>
          <w:rFonts w:cs="Arial"/>
          <w:b/>
          <w:caps/>
          <w:kern w:val="28"/>
          <w:szCs w:val="20"/>
        </w:rPr>
        <w:t>8. Odbiór robót</w:t>
      </w:r>
      <w:bookmarkEnd w:id="255"/>
      <w:bookmarkEnd w:id="256"/>
      <w:bookmarkEnd w:id="257"/>
      <w:bookmarkEnd w:id="258"/>
      <w:bookmarkEnd w:id="259"/>
      <w:bookmarkEnd w:id="260"/>
      <w:bookmarkEnd w:id="261"/>
      <w:bookmarkEnd w:id="262"/>
      <w:bookmarkEnd w:id="263"/>
      <w:bookmarkEnd w:id="264"/>
      <w:bookmarkEnd w:id="265"/>
      <w:bookmarkEnd w:id="266"/>
    </w:p>
    <w:p w14:paraId="1C862DF2"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odbioru robót podano w SST D-02.00.01 pkt 8.</w:t>
      </w:r>
    </w:p>
    <w:p w14:paraId="629D5E1A" w14:textId="77777777" w:rsidR="000C6EBA" w:rsidRPr="006431C4" w:rsidRDefault="000C6EBA"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267" w:name="_Toc407161233"/>
      <w:bookmarkStart w:id="268" w:name="_Toc418994933"/>
      <w:bookmarkStart w:id="269" w:name="_Toc418996340"/>
      <w:bookmarkStart w:id="270" w:name="_Toc418996709"/>
      <w:bookmarkStart w:id="271" w:name="_Toc418997096"/>
      <w:bookmarkStart w:id="272" w:name="_Toc418998506"/>
      <w:bookmarkStart w:id="273" w:name="_Toc418998862"/>
      <w:bookmarkStart w:id="274" w:name="_Toc419000107"/>
      <w:bookmarkStart w:id="275" w:name="_Toc17407551"/>
      <w:bookmarkStart w:id="276" w:name="_Toc17407786"/>
      <w:bookmarkStart w:id="277" w:name="_Toc17407910"/>
      <w:bookmarkStart w:id="278" w:name="_Toc17408029"/>
      <w:r w:rsidRPr="006431C4">
        <w:rPr>
          <w:rFonts w:cs="Arial"/>
          <w:b/>
          <w:caps/>
          <w:kern w:val="28"/>
          <w:szCs w:val="20"/>
        </w:rPr>
        <w:t>9. Podstawa płatności</w:t>
      </w:r>
      <w:bookmarkEnd w:id="267"/>
      <w:bookmarkEnd w:id="268"/>
      <w:bookmarkEnd w:id="269"/>
      <w:bookmarkEnd w:id="270"/>
      <w:bookmarkEnd w:id="271"/>
      <w:bookmarkEnd w:id="272"/>
      <w:bookmarkEnd w:id="273"/>
      <w:bookmarkEnd w:id="274"/>
      <w:bookmarkEnd w:id="275"/>
      <w:bookmarkEnd w:id="276"/>
      <w:bookmarkEnd w:id="277"/>
      <w:bookmarkEnd w:id="278"/>
    </w:p>
    <w:p w14:paraId="4A2FE655"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279" w:name="_Toc407161234"/>
      <w:r w:rsidRPr="006431C4">
        <w:rPr>
          <w:rFonts w:cs="Arial"/>
          <w:b/>
          <w:szCs w:val="20"/>
        </w:rPr>
        <w:t>9.1. Ogólne ustalenia dotyczące podstawy płatności</w:t>
      </w:r>
      <w:bookmarkEnd w:id="279"/>
    </w:p>
    <w:p w14:paraId="2AA43162"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ustalenia dotyczące podstawy płatności podano w SST D-02.00.01 pkt 9.</w:t>
      </w:r>
    </w:p>
    <w:p w14:paraId="780742A8" w14:textId="77777777" w:rsidR="000C6EBA" w:rsidRPr="006431C4" w:rsidRDefault="000C6EBA" w:rsidP="00BE2485">
      <w:pPr>
        <w:keepNext/>
        <w:overflowPunct w:val="0"/>
        <w:autoSpaceDE w:val="0"/>
        <w:autoSpaceDN w:val="0"/>
        <w:adjustRightInd w:val="0"/>
        <w:spacing w:line="240" w:lineRule="auto"/>
        <w:jc w:val="both"/>
        <w:textAlignment w:val="baseline"/>
        <w:outlineLvl w:val="1"/>
        <w:rPr>
          <w:rFonts w:cs="Arial"/>
          <w:b/>
          <w:szCs w:val="20"/>
        </w:rPr>
      </w:pPr>
      <w:bookmarkStart w:id="280" w:name="_Toc407161235"/>
      <w:r w:rsidRPr="006431C4">
        <w:rPr>
          <w:rFonts w:cs="Arial"/>
          <w:b/>
          <w:szCs w:val="20"/>
        </w:rPr>
        <w:t>9.2. Cena jednostki obmiarowej</w:t>
      </w:r>
      <w:bookmarkEnd w:id="280"/>
    </w:p>
    <w:p w14:paraId="499520DD" w14:textId="77777777" w:rsidR="000C6EBA" w:rsidRPr="006431C4" w:rsidRDefault="000C6EBA"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Cena wykonania </w:t>
      </w:r>
      <w:smartTag w:uri="urn:schemas-microsoft-com:office:smarttags" w:element="metricconverter">
        <w:smartTagPr>
          <w:attr w:name="ProductID" w:val="1 m3"/>
        </w:smartTagPr>
        <w:r w:rsidRPr="006431C4">
          <w:rPr>
            <w:rFonts w:cs="Arial"/>
            <w:szCs w:val="20"/>
          </w:rPr>
          <w:t>1 m</w:t>
        </w:r>
        <w:r w:rsidRPr="006431C4">
          <w:rPr>
            <w:rFonts w:cs="Arial"/>
            <w:szCs w:val="20"/>
            <w:vertAlign w:val="superscript"/>
          </w:rPr>
          <w:t>3</w:t>
        </w:r>
      </w:smartTag>
      <w:r w:rsidRPr="006431C4">
        <w:rPr>
          <w:rFonts w:cs="Arial"/>
          <w:szCs w:val="20"/>
        </w:rPr>
        <w:t xml:space="preserve"> wykopów w gruntach nieskalistych obejmuje:</w:t>
      </w:r>
    </w:p>
    <w:p w14:paraId="791AA59C"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prace pomiarowe i roboty przygotowawcze,</w:t>
      </w:r>
    </w:p>
    <w:p w14:paraId="0E503E06"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oznakowanie robót,</w:t>
      </w:r>
    </w:p>
    <w:p w14:paraId="37681278"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wykonanie wykopu z transportem urobku na nasyp lub odkład, obejmujące: odspojenie, przemieszczenie, załadunek, przewiezienie i wyładunek,</w:t>
      </w:r>
    </w:p>
    <w:p w14:paraId="2E995877"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odwodnienie wykopu na czas jego wykonywania,</w:t>
      </w:r>
    </w:p>
    <w:p w14:paraId="4BE3A306"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profilowanie dna wykopu, rowów, skarp, </w:t>
      </w:r>
    </w:p>
    <w:p w14:paraId="76F1F631"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zagęszczenie powierzchni wykopu, </w:t>
      </w:r>
    </w:p>
    <w:p w14:paraId="3B7EADE9"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przeprowadzenie pomiarów i badań laboratoryjnych, wymaganych w specyfikacji technicznej,</w:t>
      </w:r>
    </w:p>
    <w:p w14:paraId="05E2A415"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rozplantowanie urobku na odkładzie, </w:t>
      </w:r>
    </w:p>
    <w:p w14:paraId="62BD6456"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wykonanie, a następnie rozebranie dróg dojazdowych,</w:t>
      </w:r>
    </w:p>
    <w:p w14:paraId="16BF259D" w14:textId="77777777" w:rsidR="000C6EBA" w:rsidRPr="006431C4" w:rsidRDefault="000C6EBA"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rekultywację terenu.</w:t>
      </w:r>
      <w:r w:rsidRPr="006431C4">
        <w:rPr>
          <w:rFonts w:cs="Arial"/>
          <w:szCs w:val="20"/>
        </w:rPr>
        <w:tab/>
      </w:r>
    </w:p>
    <w:p w14:paraId="3E12C0DE" w14:textId="77777777" w:rsidR="000C6EBA" w:rsidRPr="006431C4" w:rsidRDefault="000C6EBA" w:rsidP="00BE2485">
      <w:pPr>
        <w:keepNext/>
        <w:keepLines/>
        <w:numPr>
          <w:ilvl w:val="12"/>
          <w:numId w:val="0"/>
        </w:numPr>
        <w:suppressAutoHyphens/>
        <w:overflowPunct w:val="0"/>
        <w:autoSpaceDE w:val="0"/>
        <w:autoSpaceDN w:val="0"/>
        <w:adjustRightInd w:val="0"/>
        <w:spacing w:line="240" w:lineRule="auto"/>
        <w:jc w:val="both"/>
        <w:textAlignment w:val="baseline"/>
        <w:outlineLvl w:val="0"/>
        <w:rPr>
          <w:rFonts w:cs="Arial"/>
          <w:b/>
          <w:caps/>
          <w:kern w:val="28"/>
          <w:szCs w:val="20"/>
        </w:rPr>
      </w:pPr>
      <w:bookmarkStart w:id="281" w:name="_Toc407161236"/>
      <w:bookmarkStart w:id="282" w:name="_Toc418994934"/>
      <w:bookmarkStart w:id="283" w:name="_Toc418996341"/>
      <w:bookmarkStart w:id="284" w:name="_Toc418996710"/>
      <w:bookmarkStart w:id="285" w:name="_Toc418997097"/>
      <w:bookmarkStart w:id="286" w:name="_Toc418998507"/>
      <w:bookmarkStart w:id="287" w:name="_Toc418998863"/>
      <w:bookmarkStart w:id="288" w:name="_Toc419000108"/>
      <w:bookmarkStart w:id="289" w:name="_Toc17407552"/>
      <w:bookmarkStart w:id="290" w:name="_Toc17407787"/>
      <w:bookmarkStart w:id="291" w:name="_Toc17407911"/>
      <w:bookmarkStart w:id="292" w:name="_Toc17408030"/>
      <w:r w:rsidRPr="006431C4">
        <w:rPr>
          <w:rFonts w:cs="Arial"/>
          <w:b/>
          <w:caps/>
          <w:kern w:val="28"/>
          <w:szCs w:val="20"/>
        </w:rPr>
        <w:t>10. Przepisy związane</w:t>
      </w:r>
      <w:bookmarkEnd w:id="281"/>
      <w:bookmarkEnd w:id="282"/>
      <w:bookmarkEnd w:id="283"/>
      <w:bookmarkEnd w:id="284"/>
      <w:bookmarkEnd w:id="285"/>
      <w:bookmarkEnd w:id="286"/>
      <w:bookmarkEnd w:id="287"/>
      <w:bookmarkEnd w:id="288"/>
      <w:bookmarkEnd w:id="289"/>
      <w:bookmarkEnd w:id="290"/>
      <w:bookmarkEnd w:id="291"/>
      <w:bookmarkEnd w:id="292"/>
    </w:p>
    <w:p w14:paraId="707DCD67" w14:textId="77777777" w:rsidR="000C6EBA" w:rsidRPr="006431C4" w:rsidRDefault="000C6EBA"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Spis przepisów związanych podano w SST D-02.00.01 pkt 10.</w:t>
      </w:r>
    </w:p>
    <w:p w14:paraId="41C9061C" w14:textId="77777777" w:rsidR="00D402EF" w:rsidRPr="006431C4" w:rsidRDefault="00083F08" w:rsidP="00BE2485">
      <w:pPr>
        <w:pStyle w:val="Nagwek4"/>
        <w:shd w:val="clear" w:color="auto" w:fill="FFFFFF" w:themeFill="background1"/>
        <w:tabs>
          <w:tab w:val="left" w:pos="142"/>
        </w:tabs>
        <w:spacing w:before="240" w:line="240" w:lineRule="auto"/>
        <w:jc w:val="both"/>
        <w:rPr>
          <w:rFonts w:cs="Arial"/>
          <w:szCs w:val="20"/>
        </w:rPr>
      </w:pPr>
      <w:bookmarkStart w:id="293" w:name="_Toc111635977"/>
      <w:r w:rsidRPr="006431C4">
        <w:rPr>
          <w:rFonts w:cs="Arial"/>
          <w:szCs w:val="20"/>
        </w:rPr>
        <w:t>D-</w:t>
      </w:r>
      <w:r w:rsidR="00D402EF" w:rsidRPr="006431C4">
        <w:rPr>
          <w:rFonts w:cs="Arial"/>
          <w:szCs w:val="20"/>
        </w:rPr>
        <w:t>02.03.01- WYKONANIE NASYPÓW</w:t>
      </w:r>
      <w:bookmarkEnd w:id="293"/>
    </w:p>
    <w:p w14:paraId="57FC4519" w14:textId="77777777" w:rsidR="00D402EF" w:rsidRPr="006431C4" w:rsidRDefault="00D402EF" w:rsidP="00BE2485">
      <w:pPr>
        <w:pStyle w:val="Nagwek1"/>
        <w:shd w:val="clear" w:color="auto" w:fill="FFFFFF" w:themeFill="background1"/>
        <w:tabs>
          <w:tab w:val="left" w:pos="142"/>
        </w:tabs>
        <w:spacing w:line="240" w:lineRule="auto"/>
        <w:jc w:val="both"/>
        <w:rPr>
          <w:rFonts w:cs="Arial"/>
          <w:szCs w:val="20"/>
        </w:rPr>
      </w:pPr>
      <w:bookmarkStart w:id="294" w:name="_Toc406295845"/>
      <w:bookmarkStart w:id="295" w:name="_Toc407161265"/>
      <w:bookmarkStart w:id="296" w:name="_Toc418994945"/>
      <w:bookmarkStart w:id="297" w:name="_Toc418996352"/>
      <w:bookmarkStart w:id="298" w:name="_Toc418996721"/>
      <w:bookmarkStart w:id="299" w:name="_Toc418997108"/>
      <w:bookmarkStart w:id="300" w:name="_Toc418998518"/>
      <w:bookmarkStart w:id="301" w:name="_Toc418998874"/>
      <w:bookmarkStart w:id="302" w:name="_Toc419000119"/>
      <w:r w:rsidRPr="006431C4">
        <w:rPr>
          <w:rFonts w:cs="Arial"/>
          <w:szCs w:val="20"/>
        </w:rPr>
        <w:t>1. WSTĘP</w:t>
      </w:r>
      <w:bookmarkEnd w:id="294"/>
      <w:bookmarkEnd w:id="295"/>
      <w:bookmarkEnd w:id="296"/>
      <w:bookmarkEnd w:id="297"/>
      <w:bookmarkEnd w:id="298"/>
      <w:bookmarkEnd w:id="299"/>
      <w:bookmarkEnd w:id="300"/>
      <w:bookmarkEnd w:id="301"/>
      <w:bookmarkEnd w:id="302"/>
    </w:p>
    <w:p w14:paraId="03F3C3A0" w14:textId="77777777" w:rsidR="00D402EF" w:rsidRPr="006431C4" w:rsidRDefault="00D402EF" w:rsidP="00BE2485">
      <w:pPr>
        <w:pStyle w:val="Nagwek2"/>
        <w:shd w:val="clear" w:color="auto" w:fill="FFFFFF" w:themeFill="background1"/>
        <w:tabs>
          <w:tab w:val="left" w:pos="142"/>
        </w:tabs>
        <w:spacing w:line="240" w:lineRule="auto"/>
        <w:jc w:val="both"/>
        <w:rPr>
          <w:rFonts w:cs="Arial"/>
          <w:szCs w:val="20"/>
        </w:rPr>
      </w:pPr>
      <w:bookmarkStart w:id="303" w:name="_Toc406295846"/>
      <w:bookmarkStart w:id="304" w:name="_Toc407161266"/>
      <w:r w:rsidRPr="006431C4">
        <w:rPr>
          <w:rFonts w:cs="Arial"/>
          <w:szCs w:val="20"/>
        </w:rPr>
        <w:t>1.1. Przedmiot</w:t>
      </w:r>
      <w:r w:rsidR="00180A26" w:rsidRPr="006431C4">
        <w:rPr>
          <w:rFonts w:cs="Arial"/>
          <w:szCs w:val="20"/>
        </w:rPr>
        <w:t xml:space="preserve"> SST</w:t>
      </w:r>
      <w:bookmarkEnd w:id="303"/>
      <w:bookmarkEnd w:id="304"/>
    </w:p>
    <w:p w14:paraId="39A4880C" w14:textId="77777777" w:rsidR="00D402EF" w:rsidRPr="006431C4" w:rsidRDefault="00D402EF" w:rsidP="00BE2485">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Przedmiotem </w:t>
      </w:r>
      <w:r w:rsidR="00BA62A8" w:rsidRPr="006431C4">
        <w:rPr>
          <w:rFonts w:cs="Arial"/>
          <w:szCs w:val="20"/>
        </w:rPr>
        <w:t xml:space="preserve">niniejszej szczegółowej specyfikacji </w:t>
      </w:r>
      <w:r w:rsidR="00C05468" w:rsidRPr="006431C4">
        <w:rPr>
          <w:rFonts w:cs="Arial"/>
          <w:szCs w:val="20"/>
        </w:rPr>
        <w:t>technicznej</w:t>
      </w:r>
      <w:r w:rsidRPr="006431C4">
        <w:rPr>
          <w:rFonts w:cs="Arial"/>
          <w:szCs w:val="20"/>
        </w:rPr>
        <w:t xml:space="preserve"> są wymagania dotyczące wykonania i odbioru nasypów.</w:t>
      </w:r>
    </w:p>
    <w:p w14:paraId="780413AA" w14:textId="77777777" w:rsidR="00D402EF" w:rsidRPr="006431C4" w:rsidRDefault="00D402EF" w:rsidP="00BE2485">
      <w:pPr>
        <w:pStyle w:val="Nagwek2"/>
        <w:shd w:val="clear" w:color="auto" w:fill="FFFFFF" w:themeFill="background1"/>
        <w:tabs>
          <w:tab w:val="left" w:pos="142"/>
        </w:tabs>
        <w:spacing w:line="240" w:lineRule="auto"/>
        <w:jc w:val="both"/>
        <w:rPr>
          <w:rFonts w:cs="Arial"/>
          <w:szCs w:val="20"/>
        </w:rPr>
      </w:pPr>
      <w:bookmarkStart w:id="305" w:name="_Toc406295847"/>
      <w:bookmarkStart w:id="306" w:name="_Toc407161267"/>
      <w:r w:rsidRPr="006431C4">
        <w:rPr>
          <w:rFonts w:cs="Arial"/>
          <w:szCs w:val="20"/>
        </w:rPr>
        <w:t>1.2. Zakres stosowania</w:t>
      </w:r>
      <w:r w:rsidR="00180A26" w:rsidRPr="006431C4">
        <w:rPr>
          <w:rFonts w:cs="Arial"/>
          <w:szCs w:val="20"/>
        </w:rPr>
        <w:t xml:space="preserve"> SST</w:t>
      </w:r>
      <w:bookmarkEnd w:id="305"/>
      <w:bookmarkEnd w:id="306"/>
    </w:p>
    <w:p w14:paraId="4F7362C2" w14:textId="77777777" w:rsidR="00293E11" w:rsidRPr="006431C4" w:rsidRDefault="006A5A86" w:rsidP="00BE2485">
      <w:pPr>
        <w:pStyle w:val="Tekstpodstawowyzwciciem"/>
        <w:shd w:val="clear" w:color="auto" w:fill="FFFFFF" w:themeFill="background1"/>
        <w:tabs>
          <w:tab w:val="left" w:pos="142"/>
        </w:tabs>
        <w:spacing w:line="240" w:lineRule="auto"/>
        <w:ind w:firstLine="0"/>
        <w:jc w:val="both"/>
        <w:rPr>
          <w:rFonts w:cs="Arial"/>
          <w:szCs w:val="20"/>
        </w:rPr>
      </w:pPr>
      <w:bookmarkStart w:id="307" w:name="_Toc406295848"/>
      <w:bookmarkStart w:id="308" w:name="_Toc407161268"/>
      <w:r w:rsidRPr="006431C4">
        <w:rPr>
          <w:rFonts w:cs="Arial"/>
          <w:szCs w:val="20"/>
        </w:rPr>
        <w:t xml:space="preserve">Niniejsza szczegółowa specyfikacja techniczna </w:t>
      </w:r>
      <w:r w:rsidR="00293E11" w:rsidRPr="006431C4">
        <w:rPr>
          <w:rFonts w:cs="Arial"/>
          <w:szCs w:val="20"/>
        </w:rPr>
        <w:t xml:space="preserve">stanowi Dokument Przetargowy i Kontraktowy przy zlecaniu i realizacji robót dla inwestycji </w:t>
      </w:r>
      <w:r w:rsidR="00296959" w:rsidRPr="006431C4">
        <w:rPr>
          <w:rFonts w:cs="Arial"/>
          <w:szCs w:val="20"/>
        </w:rPr>
        <w:t>pn.:</w:t>
      </w:r>
      <w:r w:rsidR="00293E11" w:rsidRPr="006431C4">
        <w:rPr>
          <w:rFonts w:cs="Arial"/>
          <w:szCs w:val="20"/>
        </w:rPr>
        <w:t xml:space="preserve"> </w:t>
      </w:r>
    </w:p>
    <w:sdt>
      <w:sdtPr>
        <w:rPr>
          <w:rFonts w:cs="Arial"/>
          <w:szCs w:val="20"/>
        </w:rPr>
        <w:alias w:val="Temat"/>
        <w:tag w:val=""/>
        <w:id w:val="-1674183817"/>
        <w:placeholder>
          <w:docPart w:val="4900184D8347412986A32913F300CBAB"/>
        </w:placeholder>
        <w:dataBinding w:prefixMappings="xmlns:ns0='http://purl.org/dc/elements/1.1/' xmlns:ns1='http://schemas.openxmlformats.org/package/2006/metadata/core-properties' " w:xpath="/ns1:coreProperties[1]/ns0:subject[1]" w:storeItemID="{6C3C8BC8-F283-45AE-878A-BAB7291924A1}"/>
        <w:text/>
      </w:sdtPr>
      <w:sdtEndPr/>
      <w:sdtContent>
        <w:p w14:paraId="18A08C03" w14:textId="41BC8003" w:rsidR="00B044CA" w:rsidRPr="006431C4" w:rsidRDefault="00484E05" w:rsidP="00BE2485">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62281944" w14:textId="77777777" w:rsidR="00D402EF" w:rsidRPr="006431C4" w:rsidRDefault="00D402EF"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1.3. Zakres robót objętych</w:t>
      </w:r>
      <w:r w:rsidR="00180A26" w:rsidRPr="006431C4">
        <w:rPr>
          <w:rFonts w:cs="Arial"/>
          <w:szCs w:val="20"/>
        </w:rPr>
        <w:t xml:space="preserve"> SST</w:t>
      </w:r>
      <w:bookmarkEnd w:id="307"/>
      <w:bookmarkEnd w:id="308"/>
    </w:p>
    <w:p w14:paraId="375E3F2A" w14:textId="77777777" w:rsidR="00793CD0" w:rsidRPr="006431C4" w:rsidRDefault="00793CD0" w:rsidP="00BE2485">
      <w:pPr>
        <w:overflowPunct w:val="0"/>
        <w:autoSpaceDE w:val="0"/>
        <w:autoSpaceDN w:val="0"/>
        <w:adjustRightInd w:val="0"/>
        <w:spacing w:line="240" w:lineRule="auto"/>
        <w:ind w:firstLine="284"/>
        <w:jc w:val="both"/>
        <w:textAlignment w:val="baseline"/>
        <w:rPr>
          <w:rFonts w:cs="Arial"/>
          <w:szCs w:val="20"/>
        </w:rPr>
      </w:pPr>
      <w:r w:rsidRPr="006431C4">
        <w:rPr>
          <w:rFonts w:cs="Arial"/>
          <w:szCs w:val="20"/>
        </w:rPr>
        <w:t xml:space="preserve">Ustalenia zawarte w niniejszej szczegółowej specyfikacji dotyczą zasad prowadzenia robót ziemnych w czasie budowy lub modernizacji dróg i obejmują wykonanie nasypów. </w:t>
      </w:r>
    </w:p>
    <w:p w14:paraId="35A9F298"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09" w:name="_Toc406295849"/>
      <w:bookmarkStart w:id="310" w:name="_Toc407161269"/>
      <w:r w:rsidRPr="006431C4">
        <w:rPr>
          <w:rFonts w:cs="Arial"/>
          <w:b/>
          <w:szCs w:val="20"/>
        </w:rPr>
        <w:t>1.4. Określenia podstawowe</w:t>
      </w:r>
      <w:bookmarkEnd w:id="309"/>
      <w:bookmarkEnd w:id="310"/>
    </w:p>
    <w:p w14:paraId="53CC7DDF"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Podstawowe określenia zostały podane w SST D-02.00.01 pkt 1.4.</w:t>
      </w:r>
    </w:p>
    <w:p w14:paraId="6705A6E1"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11" w:name="_Toc406295850"/>
      <w:bookmarkStart w:id="312" w:name="_Toc407161270"/>
      <w:r w:rsidRPr="006431C4">
        <w:rPr>
          <w:rFonts w:cs="Arial"/>
          <w:b/>
          <w:szCs w:val="20"/>
        </w:rPr>
        <w:t>1.5. Ogólne wymagania dotyczące robót</w:t>
      </w:r>
      <w:bookmarkEnd w:id="311"/>
      <w:bookmarkEnd w:id="312"/>
    </w:p>
    <w:p w14:paraId="5EE001E5"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robót podano w SST D-02.00.01 pkt 1.5.</w:t>
      </w:r>
    </w:p>
    <w:p w14:paraId="52B58735" w14:textId="77777777" w:rsidR="00793CD0" w:rsidRPr="006431C4" w:rsidRDefault="00793CD0"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313" w:name="_Toc406295851"/>
      <w:bookmarkStart w:id="314" w:name="_Toc407161271"/>
      <w:bookmarkStart w:id="315" w:name="_Toc418994946"/>
      <w:bookmarkStart w:id="316" w:name="_Toc418996353"/>
      <w:bookmarkStart w:id="317" w:name="_Toc418996722"/>
      <w:bookmarkStart w:id="318" w:name="_Toc418997109"/>
      <w:bookmarkStart w:id="319" w:name="_Toc418998519"/>
      <w:bookmarkStart w:id="320" w:name="_Toc418998875"/>
      <w:bookmarkStart w:id="321" w:name="_Toc419000120"/>
      <w:bookmarkStart w:id="322" w:name="_Toc17407564"/>
      <w:bookmarkStart w:id="323" w:name="_Toc17407799"/>
      <w:bookmarkStart w:id="324" w:name="_Toc17407923"/>
      <w:bookmarkStart w:id="325" w:name="_Toc17408042"/>
      <w:r w:rsidRPr="006431C4">
        <w:rPr>
          <w:rFonts w:cs="Arial"/>
          <w:b/>
          <w:caps/>
          <w:kern w:val="28"/>
          <w:szCs w:val="20"/>
        </w:rPr>
        <w:t>2. Materiały (grunty)</w:t>
      </w:r>
      <w:bookmarkEnd w:id="313"/>
      <w:bookmarkEnd w:id="314"/>
      <w:bookmarkEnd w:id="315"/>
      <w:bookmarkEnd w:id="316"/>
      <w:bookmarkEnd w:id="317"/>
      <w:bookmarkEnd w:id="318"/>
      <w:bookmarkEnd w:id="319"/>
      <w:bookmarkEnd w:id="320"/>
      <w:bookmarkEnd w:id="321"/>
      <w:bookmarkEnd w:id="322"/>
      <w:bookmarkEnd w:id="323"/>
      <w:bookmarkEnd w:id="324"/>
      <w:bookmarkEnd w:id="325"/>
    </w:p>
    <w:p w14:paraId="1910CE01"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26" w:name="_Toc406295852"/>
      <w:bookmarkStart w:id="327" w:name="_Toc407161272"/>
      <w:r w:rsidRPr="006431C4">
        <w:rPr>
          <w:rFonts w:cs="Arial"/>
          <w:b/>
          <w:szCs w:val="20"/>
        </w:rPr>
        <w:t>2.1. Ogólne wymagania dotyczące materiałów</w:t>
      </w:r>
      <w:bookmarkEnd w:id="326"/>
      <w:bookmarkEnd w:id="327"/>
    </w:p>
    <w:p w14:paraId="34BBB65C"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materiałów, ich pozyskiwania i składowania, podano w SST D-02.00.01 pkt 2.</w:t>
      </w:r>
    </w:p>
    <w:p w14:paraId="204FB187"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28" w:name="_Toc406295853"/>
      <w:bookmarkStart w:id="329" w:name="_Toc407161273"/>
      <w:r w:rsidRPr="006431C4">
        <w:rPr>
          <w:rFonts w:cs="Arial"/>
          <w:b/>
          <w:szCs w:val="20"/>
        </w:rPr>
        <w:t xml:space="preserve">2.2. </w:t>
      </w:r>
      <w:bookmarkEnd w:id="328"/>
      <w:bookmarkEnd w:id="329"/>
      <w:r w:rsidRPr="006431C4">
        <w:rPr>
          <w:rFonts w:cs="Arial"/>
          <w:b/>
          <w:szCs w:val="20"/>
        </w:rPr>
        <w:t>Grunty i materiały do nasypów</w:t>
      </w:r>
    </w:p>
    <w:p w14:paraId="2C5A542C"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 budowy nasypów można stosować grunty do wykonania budowli ziemnych pochodzące z wykopu, ukopu lub dokopu albo materiały antropogeniczne spełniające wymagania podane w SST D-02.00.01 pkt.2.2 oraz wymagania dokumentacji projektowej przy uwzględnieniu szczególnych warunków i zastrzeżeń dotyczących nasypów, podanych poniżej.</w:t>
      </w:r>
    </w:p>
    <w:p w14:paraId="205BE471"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Wykonawca wbuduje w nasyp grunty lub inne materiały nieprzydatne, albo nie uwzględni zastrzeżeń dotyczących gruntów, skał lub materiałów o ograniczonej przydatności, to wszelkie takie części nasypu zostaną przez Wykonawcę na jego koszt usunięte i wykonane powtórnie z materiałów o odpowiednich właściwościach.</w:t>
      </w:r>
    </w:p>
    <w:p w14:paraId="00578F55"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r>
      <w:bookmarkStart w:id="330" w:name="_Toc406295857"/>
      <w:bookmarkStart w:id="331" w:name="_Toc407161277"/>
      <w:bookmarkStart w:id="332" w:name="_Toc418994947"/>
      <w:bookmarkStart w:id="333" w:name="_Toc418996354"/>
      <w:bookmarkStart w:id="334" w:name="_Toc418996723"/>
      <w:bookmarkStart w:id="335" w:name="_Toc418997110"/>
      <w:bookmarkStart w:id="336" w:name="_Toc418998520"/>
      <w:bookmarkStart w:id="337" w:name="_Toc418998876"/>
      <w:bookmarkStart w:id="338" w:name="_Toc419000121"/>
      <w:r w:rsidRPr="006431C4">
        <w:rPr>
          <w:rFonts w:cs="Arial"/>
          <w:szCs w:val="20"/>
        </w:rPr>
        <w:t>Do budowy nasypów w  szczególności nieprzydatne są następujące grunty i materiały antropogeniczne, przy czym nieprzydatność może mieć charakter trwały lub czasowy:</w:t>
      </w:r>
    </w:p>
    <w:p w14:paraId="3A225FE9" w14:textId="77777777" w:rsidR="00793CD0" w:rsidRPr="006431C4" w:rsidRDefault="00793CD0" w:rsidP="00BE2485">
      <w:pPr>
        <w:spacing w:line="240" w:lineRule="auto"/>
        <w:jc w:val="both"/>
        <w:rPr>
          <w:rFonts w:cs="Arial"/>
          <w:szCs w:val="20"/>
        </w:rPr>
      </w:pPr>
      <w:r w:rsidRPr="006431C4">
        <w:rPr>
          <w:rFonts w:cs="Arial"/>
          <w:szCs w:val="20"/>
        </w:rPr>
        <w:t>a) organiczne (tj. o zawartości substancji organicznych ponad 2%),</w:t>
      </w:r>
    </w:p>
    <w:p w14:paraId="53C631AE" w14:textId="77777777" w:rsidR="00793CD0" w:rsidRPr="006431C4" w:rsidRDefault="00793CD0" w:rsidP="00BE2485">
      <w:pPr>
        <w:spacing w:line="240" w:lineRule="auto"/>
        <w:ind w:left="360" w:hanging="360"/>
        <w:jc w:val="both"/>
        <w:rPr>
          <w:rFonts w:cs="Arial"/>
          <w:szCs w:val="20"/>
        </w:rPr>
      </w:pPr>
      <w:r w:rsidRPr="006431C4">
        <w:rPr>
          <w:rFonts w:cs="Arial"/>
          <w:szCs w:val="20"/>
        </w:rPr>
        <w:t xml:space="preserve">b) równoziarniste (o wskaźniku jednorodności uziarnienia Cu&lt;2,5), przy czym grunty o wskaźniku jednorodności uziarnienia 2,5≤Cu&lt;3,0 można stosować pod warunkiem wykazania możliwości uzyskania wymaganego wskaźnika zagęszczenia Is. Metodę doprowadzenia gruntów o wskaźniku jednorodności uziarnienia 2,5≤Cu&lt;3,0 do wymaganego wskaźnika zagęszczenia opracuje Wykonawca i przedstawi Inżynierowi do akceptacji wraz z wynikami odpowiednich badań. W przypadku zastosowania gruntów o wskaźniku jednorodności uziarnienia 2,5≤Cu&lt;3,0 należy wykonać </w:t>
      </w:r>
      <w:r w:rsidRPr="006431C4">
        <w:rPr>
          <w:rFonts w:cs="Arial"/>
          <w:szCs w:val="20"/>
        </w:rPr>
        <w:lastRenderedPageBreak/>
        <w:t>dodatkowe przeciwerozyjne wzmocnienie skarp (w miejscach występowania humusowania) oraz obliczeniowo sprawdzić czy jest spełniony warunek stateczności skarp,</w:t>
      </w:r>
    </w:p>
    <w:p w14:paraId="756CC5BC" w14:textId="77777777" w:rsidR="00793CD0" w:rsidRPr="006431C4" w:rsidRDefault="00793CD0" w:rsidP="00BE2485">
      <w:pPr>
        <w:spacing w:line="240" w:lineRule="auto"/>
        <w:ind w:left="360" w:hanging="360"/>
        <w:jc w:val="both"/>
        <w:rPr>
          <w:rFonts w:cs="Arial"/>
          <w:szCs w:val="20"/>
        </w:rPr>
      </w:pPr>
      <w:r w:rsidRPr="006431C4">
        <w:rPr>
          <w:rFonts w:cs="Arial"/>
          <w:szCs w:val="20"/>
        </w:rPr>
        <w:t>c) bardzo plastyczne(o granicy płynności w</w:t>
      </w:r>
      <w:r w:rsidRPr="006431C4">
        <w:rPr>
          <w:rFonts w:cs="Arial"/>
          <w:szCs w:val="20"/>
          <w:vertAlign w:val="subscript"/>
        </w:rPr>
        <w:t xml:space="preserve">L </w:t>
      </w:r>
      <w:r w:rsidRPr="006431C4">
        <w:rPr>
          <w:rFonts w:cs="Arial"/>
          <w:szCs w:val="20"/>
        </w:rPr>
        <w:t>większej od 60%),</w:t>
      </w:r>
    </w:p>
    <w:p w14:paraId="68EAC238" w14:textId="77777777" w:rsidR="00793CD0" w:rsidRPr="006431C4" w:rsidRDefault="00793CD0" w:rsidP="00BE2485">
      <w:pPr>
        <w:spacing w:line="240" w:lineRule="auto"/>
        <w:jc w:val="both"/>
        <w:rPr>
          <w:rFonts w:cs="Arial"/>
          <w:szCs w:val="20"/>
        </w:rPr>
      </w:pPr>
      <w:r w:rsidRPr="006431C4">
        <w:rPr>
          <w:rFonts w:cs="Arial"/>
          <w:szCs w:val="20"/>
        </w:rPr>
        <w:t>d) zasolone (o zawartość soli powyżej 2%),</w:t>
      </w:r>
    </w:p>
    <w:p w14:paraId="1129C12D" w14:textId="77777777" w:rsidR="00793CD0" w:rsidRPr="006431C4" w:rsidRDefault="00793CD0" w:rsidP="00BE2485">
      <w:pPr>
        <w:spacing w:line="240" w:lineRule="auto"/>
        <w:ind w:left="240" w:hanging="240"/>
        <w:jc w:val="both"/>
        <w:rPr>
          <w:rFonts w:cs="Arial"/>
          <w:szCs w:val="20"/>
        </w:rPr>
      </w:pPr>
      <w:r w:rsidRPr="006431C4">
        <w:rPr>
          <w:rFonts w:cs="Arial"/>
          <w:szCs w:val="20"/>
        </w:rPr>
        <w:t xml:space="preserve">e) zawierające substancje szkodliwe dla środowiska naturalnego w ilościach większych niż dopuszczono w obowiązujących przepisach, </w:t>
      </w:r>
    </w:p>
    <w:p w14:paraId="09E4A53B" w14:textId="77777777" w:rsidR="00793CD0" w:rsidRPr="006431C4" w:rsidRDefault="00793CD0" w:rsidP="00BE2485">
      <w:pPr>
        <w:spacing w:line="240" w:lineRule="auto"/>
        <w:jc w:val="both"/>
        <w:rPr>
          <w:rFonts w:cs="Arial"/>
          <w:szCs w:val="20"/>
        </w:rPr>
      </w:pPr>
      <w:r w:rsidRPr="006431C4">
        <w:rPr>
          <w:rFonts w:cs="Arial"/>
          <w:szCs w:val="20"/>
        </w:rPr>
        <w:t>f) w stanie zamarzniętym,</w:t>
      </w:r>
    </w:p>
    <w:p w14:paraId="23A37FA8" w14:textId="77777777" w:rsidR="00793CD0" w:rsidRPr="006431C4" w:rsidRDefault="00793CD0" w:rsidP="00BE2485">
      <w:pPr>
        <w:spacing w:line="240" w:lineRule="auto"/>
        <w:jc w:val="both"/>
        <w:rPr>
          <w:rFonts w:cs="Arial"/>
          <w:szCs w:val="20"/>
        </w:rPr>
      </w:pPr>
      <w:r w:rsidRPr="006431C4">
        <w:rPr>
          <w:rFonts w:cs="Arial"/>
          <w:szCs w:val="20"/>
        </w:rPr>
        <w:t>g) przewilgocone i nawodnione,</w:t>
      </w:r>
    </w:p>
    <w:p w14:paraId="526524D9" w14:textId="77777777" w:rsidR="00793CD0" w:rsidRPr="006431C4" w:rsidRDefault="00793CD0" w:rsidP="00BE2485">
      <w:pPr>
        <w:spacing w:line="240" w:lineRule="auto"/>
        <w:jc w:val="both"/>
        <w:rPr>
          <w:rFonts w:cs="Arial"/>
          <w:szCs w:val="20"/>
        </w:rPr>
      </w:pPr>
      <w:r w:rsidRPr="006431C4">
        <w:rPr>
          <w:rFonts w:cs="Arial"/>
          <w:szCs w:val="20"/>
        </w:rPr>
        <w:t>h) podatne na samozapalenie, z wyjątkiem przepalonych odpadów z węgla kamiennego,</w:t>
      </w:r>
    </w:p>
    <w:p w14:paraId="0D438A5A" w14:textId="77777777" w:rsidR="00793CD0" w:rsidRPr="006431C4" w:rsidRDefault="00793CD0" w:rsidP="00BE2485">
      <w:pPr>
        <w:spacing w:line="240" w:lineRule="auto"/>
        <w:ind w:left="240" w:hanging="240"/>
        <w:jc w:val="both"/>
        <w:rPr>
          <w:rFonts w:cs="Arial"/>
          <w:szCs w:val="20"/>
        </w:rPr>
      </w:pPr>
      <w:r w:rsidRPr="006431C4">
        <w:rPr>
          <w:rFonts w:cs="Arial"/>
          <w:szCs w:val="20"/>
        </w:rPr>
        <w:t>i) antropogeniczne podatne na przeobrażenia fizyko-chemiczne, w wyniku których dochodzi do zmian objętościowych; zastosowanie materiałów antropogenicznych wymaga jednoznacznego ustalenia dopuszczalności ich użycia w świetle obowiązujących przepisów prawa. W szczególności konieczne jest spełnienie warunku ograniczonej wymywalności związków chemicznych i metali ciężkich do wód gruntowych. Wymagania oraz zasady stosowania materiałów antropogenicznych powinny być określone w projekcie geotechnicznym, o ile występuje, lub w dokumentacji projektowej,</w:t>
      </w:r>
    </w:p>
    <w:p w14:paraId="731F5949" w14:textId="77777777" w:rsidR="00793CD0" w:rsidRPr="006431C4" w:rsidRDefault="00793CD0" w:rsidP="00BE2485">
      <w:pPr>
        <w:overflowPunct w:val="0"/>
        <w:autoSpaceDE w:val="0"/>
        <w:autoSpaceDN w:val="0"/>
        <w:adjustRightInd w:val="0"/>
        <w:spacing w:line="240" w:lineRule="auto"/>
        <w:ind w:left="238" w:hanging="238"/>
        <w:jc w:val="both"/>
        <w:textAlignment w:val="baseline"/>
        <w:rPr>
          <w:rFonts w:cs="Arial"/>
          <w:szCs w:val="20"/>
        </w:rPr>
      </w:pPr>
      <w:r w:rsidRPr="006431C4">
        <w:rPr>
          <w:rFonts w:cs="Arial"/>
          <w:szCs w:val="20"/>
        </w:rPr>
        <w:t xml:space="preserve">j) wielkość ziaren materiału nasypowego stosowanego do budowy korpusu ziemnego nie powinna przekraczać </w:t>
      </w:r>
      <w:smartTag w:uri="urn:schemas-microsoft-com:office:smarttags" w:element="metricconverter">
        <w:smartTagPr>
          <w:attr w:name="ProductID" w:val="200 mm"/>
        </w:smartTagPr>
        <w:r w:rsidRPr="006431C4">
          <w:rPr>
            <w:rFonts w:cs="Arial"/>
            <w:szCs w:val="20"/>
          </w:rPr>
          <w:t>200 mm</w:t>
        </w:r>
      </w:smartTag>
      <w:r w:rsidRPr="006431C4">
        <w:rPr>
          <w:rFonts w:cs="Arial"/>
          <w:szCs w:val="20"/>
        </w:rPr>
        <w:t xml:space="preserve">. Dopuszcza się stosowanie materiału zawierającego kamienie (kawałki) o wymiarach do </w:t>
      </w:r>
      <w:smartTag w:uri="urn:schemas-microsoft-com:office:smarttags" w:element="metricconverter">
        <w:smartTagPr>
          <w:attr w:name="ProductID" w:val="500 mm"/>
        </w:smartTagPr>
        <w:r w:rsidRPr="006431C4">
          <w:rPr>
            <w:rFonts w:cs="Arial"/>
            <w:szCs w:val="20"/>
          </w:rPr>
          <w:t>500 mm</w:t>
        </w:r>
      </w:smartTag>
      <w:r w:rsidRPr="006431C4">
        <w:rPr>
          <w:rFonts w:cs="Arial"/>
          <w:szCs w:val="20"/>
        </w:rPr>
        <w:t xml:space="preserve"> pod warunkiem wypełnienia przestrzeni między nimi gruntem o drobniejszym uziarnieniu,</w:t>
      </w:r>
    </w:p>
    <w:p w14:paraId="14B14760" w14:textId="77777777" w:rsidR="00793CD0" w:rsidRPr="006431C4" w:rsidRDefault="00793CD0" w:rsidP="00BE2485">
      <w:pPr>
        <w:overflowPunct w:val="0"/>
        <w:autoSpaceDE w:val="0"/>
        <w:autoSpaceDN w:val="0"/>
        <w:adjustRightInd w:val="0"/>
        <w:spacing w:line="240" w:lineRule="auto"/>
        <w:ind w:left="357" w:hanging="357"/>
        <w:jc w:val="both"/>
        <w:textAlignment w:val="baseline"/>
        <w:rPr>
          <w:rFonts w:cs="Arial"/>
          <w:szCs w:val="20"/>
        </w:rPr>
      </w:pPr>
      <w:r w:rsidRPr="006431C4">
        <w:rPr>
          <w:rFonts w:cs="Arial"/>
          <w:szCs w:val="20"/>
        </w:rPr>
        <w:t>k) nie należy wbudowywać w nasyp gruntów kamienistych, gruzu betonowego i innych podobnych, twardych materiałów w tych miejscach, gdzie przewiduje się formowanie lub wbicie pali albo budowę konstrukcji i urządzeń,</w:t>
      </w:r>
    </w:p>
    <w:p w14:paraId="700BD91B" w14:textId="77777777" w:rsidR="00793CD0" w:rsidRPr="006431C4" w:rsidRDefault="00793CD0" w:rsidP="00BE2485">
      <w:pPr>
        <w:overflowPunct w:val="0"/>
        <w:autoSpaceDE w:val="0"/>
        <w:autoSpaceDN w:val="0"/>
        <w:adjustRightInd w:val="0"/>
        <w:spacing w:line="240" w:lineRule="auto"/>
        <w:ind w:left="357" w:hanging="357"/>
        <w:jc w:val="both"/>
        <w:textAlignment w:val="baseline"/>
        <w:rPr>
          <w:rFonts w:cs="Arial"/>
          <w:szCs w:val="20"/>
        </w:rPr>
      </w:pPr>
      <w:r w:rsidRPr="006431C4">
        <w:rPr>
          <w:rFonts w:cs="Arial"/>
          <w:szCs w:val="20"/>
        </w:rPr>
        <w:t>l) geosyntetyki do ewentualnego zbrojenia nasypów powinny spełniać wymagania SST  D-02.00.01 pkt 2.3.</w:t>
      </w:r>
    </w:p>
    <w:p w14:paraId="1194D999" w14:textId="77777777" w:rsidR="00793CD0" w:rsidRPr="006431C4" w:rsidRDefault="00793CD0"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339" w:name="_Toc17407565"/>
      <w:bookmarkStart w:id="340" w:name="_Toc17407800"/>
      <w:bookmarkStart w:id="341" w:name="_Toc17407924"/>
      <w:bookmarkStart w:id="342" w:name="_Toc17408043"/>
      <w:r w:rsidRPr="006431C4">
        <w:rPr>
          <w:rFonts w:cs="Arial"/>
          <w:b/>
          <w:caps/>
          <w:kern w:val="28"/>
          <w:szCs w:val="20"/>
        </w:rPr>
        <w:t>3. Sprzęt</w:t>
      </w:r>
      <w:bookmarkEnd w:id="330"/>
      <w:bookmarkEnd w:id="331"/>
      <w:bookmarkEnd w:id="332"/>
      <w:bookmarkEnd w:id="333"/>
      <w:bookmarkEnd w:id="334"/>
      <w:bookmarkEnd w:id="335"/>
      <w:bookmarkEnd w:id="336"/>
      <w:bookmarkEnd w:id="337"/>
      <w:bookmarkEnd w:id="338"/>
      <w:bookmarkEnd w:id="339"/>
      <w:bookmarkEnd w:id="340"/>
      <w:bookmarkEnd w:id="341"/>
      <w:bookmarkEnd w:id="342"/>
    </w:p>
    <w:p w14:paraId="166C6E91"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43" w:name="_Toc406295858"/>
      <w:bookmarkStart w:id="344" w:name="_Toc407161278"/>
      <w:r w:rsidRPr="006431C4">
        <w:rPr>
          <w:rFonts w:cs="Arial"/>
          <w:b/>
          <w:szCs w:val="20"/>
        </w:rPr>
        <w:t>3.1. Ogólne wymagania dotyczące sprzętu</w:t>
      </w:r>
      <w:bookmarkEnd w:id="343"/>
      <w:bookmarkEnd w:id="344"/>
    </w:p>
    <w:p w14:paraId="58DA7C0D"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i ustalenia dotyczące sprzętu określono w SST D-02.00.01           pkt 3.</w:t>
      </w:r>
    </w:p>
    <w:p w14:paraId="50D5F496" w14:textId="77777777" w:rsidR="00793CD0" w:rsidRPr="006431C4" w:rsidRDefault="00793CD0"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345" w:name="_Toc406295860"/>
      <w:bookmarkStart w:id="346" w:name="_Toc407161280"/>
      <w:bookmarkStart w:id="347" w:name="_Toc418994948"/>
      <w:bookmarkStart w:id="348" w:name="_Toc418996355"/>
      <w:bookmarkStart w:id="349" w:name="_Toc418996724"/>
      <w:bookmarkStart w:id="350" w:name="_Toc418997111"/>
      <w:bookmarkStart w:id="351" w:name="_Toc418998521"/>
      <w:bookmarkStart w:id="352" w:name="_Toc418998877"/>
      <w:bookmarkStart w:id="353" w:name="_Toc419000122"/>
      <w:bookmarkStart w:id="354" w:name="_Toc17407566"/>
      <w:bookmarkStart w:id="355" w:name="_Toc17407801"/>
      <w:bookmarkStart w:id="356" w:name="_Toc17407925"/>
      <w:bookmarkStart w:id="357" w:name="_Toc17408044"/>
      <w:r w:rsidRPr="006431C4">
        <w:rPr>
          <w:rFonts w:cs="Arial"/>
          <w:b/>
          <w:caps/>
          <w:kern w:val="28"/>
          <w:szCs w:val="20"/>
        </w:rPr>
        <w:t>4. Transport</w:t>
      </w:r>
      <w:bookmarkEnd w:id="345"/>
      <w:bookmarkEnd w:id="346"/>
      <w:bookmarkEnd w:id="347"/>
      <w:bookmarkEnd w:id="348"/>
      <w:bookmarkEnd w:id="349"/>
      <w:bookmarkEnd w:id="350"/>
      <w:bookmarkEnd w:id="351"/>
      <w:bookmarkEnd w:id="352"/>
      <w:bookmarkEnd w:id="353"/>
      <w:bookmarkEnd w:id="354"/>
      <w:bookmarkEnd w:id="355"/>
      <w:bookmarkEnd w:id="356"/>
      <w:bookmarkEnd w:id="357"/>
    </w:p>
    <w:p w14:paraId="3B14ED9E"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transportu podano w SST D-02.00.01 pkt 4.</w:t>
      </w:r>
    </w:p>
    <w:p w14:paraId="2CEC990C" w14:textId="77777777" w:rsidR="00793CD0" w:rsidRPr="006431C4" w:rsidRDefault="00793CD0"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358" w:name="_Toc406295861"/>
      <w:bookmarkStart w:id="359" w:name="_Toc407161281"/>
      <w:bookmarkStart w:id="360" w:name="_Toc418994949"/>
      <w:bookmarkStart w:id="361" w:name="_Toc418996356"/>
      <w:bookmarkStart w:id="362" w:name="_Toc418996725"/>
      <w:bookmarkStart w:id="363" w:name="_Toc418997112"/>
      <w:bookmarkStart w:id="364" w:name="_Toc418998522"/>
      <w:bookmarkStart w:id="365" w:name="_Toc418998878"/>
      <w:bookmarkStart w:id="366" w:name="_Toc419000123"/>
      <w:bookmarkStart w:id="367" w:name="_Toc17407567"/>
      <w:bookmarkStart w:id="368" w:name="_Toc17407802"/>
      <w:bookmarkStart w:id="369" w:name="_Toc17407926"/>
      <w:bookmarkStart w:id="370" w:name="_Toc17408045"/>
      <w:r w:rsidRPr="006431C4">
        <w:rPr>
          <w:rFonts w:cs="Arial"/>
          <w:b/>
          <w:caps/>
          <w:kern w:val="28"/>
          <w:szCs w:val="20"/>
        </w:rPr>
        <w:t>5. Wykonanie robót</w:t>
      </w:r>
      <w:bookmarkEnd w:id="358"/>
      <w:bookmarkEnd w:id="359"/>
      <w:bookmarkEnd w:id="360"/>
      <w:bookmarkEnd w:id="361"/>
      <w:bookmarkEnd w:id="362"/>
      <w:bookmarkEnd w:id="363"/>
      <w:bookmarkEnd w:id="364"/>
      <w:bookmarkEnd w:id="365"/>
      <w:bookmarkEnd w:id="366"/>
      <w:bookmarkEnd w:id="367"/>
      <w:bookmarkEnd w:id="368"/>
      <w:bookmarkEnd w:id="369"/>
      <w:bookmarkEnd w:id="370"/>
    </w:p>
    <w:p w14:paraId="0BB82240"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71" w:name="_Toc406295862"/>
      <w:bookmarkStart w:id="372" w:name="_Toc407161282"/>
      <w:r w:rsidRPr="006431C4">
        <w:rPr>
          <w:rFonts w:cs="Arial"/>
          <w:b/>
          <w:szCs w:val="20"/>
        </w:rPr>
        <w:t>5.1. Ogólne zasady wykonania robót</w:t>
      </w:r>
      <w:bookmarkEnd w:id="371"/>
      <w:bookmarkEnd w:id="372"/>
    </w:p>
    <w:p w14:paraId="3206B044"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wykonania robót podano w SST D-02.00.01 pkt 5.</w:t>
      </w:r>
    </w:p>
    <w:p w14:paraId="45A4F153"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73" w:name="_Toc406295863"/>
      <w:bookmarkStart w:id="374" w:name="_Toc407161283"/>
      <w:r w:rsidRPr="006431C4">
        <w:rPr>
          <w:rFonts w:cs="Arial"/>
          <w:b/>
          <w:szCs w:val="20"/>
        </w:rPr>
        <w:t>5.2. Ukop i dokop</w:t>
      </w:r>
      <w:bookmarkEnd w:id="373"/>
      <w:bookmarkEnd w:id="374"/>
    </w:p>
    <w:p w14:paraId="63CAE813"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5.2.1. </w:t>
      </w:r>
      <w:r w:rsidRPr="006431C4">
        <w:rPr>
          <w:rFonts w:cs="Arial"/>
          <w:szCs w:val="20"/>
        </w:rPr>
        <w:t>Miejsce ukopu lub dokopu</w:t>
      </w:r>
    </w:p>
    <w:p w14:paraId="7A360275"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Miejsce ukopu lub dokopu powinno być wskazane w dokumentacji projektowej, w innych dokumentach kontraktowych lub przez Inżyniera. Jeżeli miejsce to zostało wybrane przez Wykonawcę, musi być ono zaakceptowane przez Inżyniera.</w:t>
      </w:r>
    </w:p>
    <w:p w14:paraId="05092F61"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Miejsce ukopu lub dokopu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14:paraId="4C6B4CDE"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5.2.2. </w:t>
      </w:r>
      <w:r w:rsidRPr="006431C4">
        <w:rPr>
          <w:rFonts w:cs="Arial"/>
          <w:szCs w:val="20"/>
        </w:rPr>
        <w:t>Zasady prowadzenia robót w ukopie i dokopie</w:t>
      </w:r>
    </w:p>
    <w:p w14:paraId="4B70B611"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Pozyskiwanie gruntu z ukopu lub dokopu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14:paraId="3E0586B6"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Grunty nieprzydatne do budowy nasypów nie powinny być odspajane, chyba że wymaga tego dostęp do gruntu przeznaczonego do przewiezienia z dokopu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14:paraId="750DDA77"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Dno ukopu należy wykonać ze spadkiem od 2 do 3% w kierunku możliwego spływu wody. O ile to konieczne, ukop (dokop) należy odwodnić przez wykonanie rowu odpływowego.</w:t>
      </w:r>
    </w:p>
    <w:p w14:paraId="2F830C14"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Jeżeli ukop jest zlokalizowany na zboczu, nie może on naruszać stateczności zbocza.</w:t>
      </w:r>
    </w:p>
    <w:p w14:paraId="5173370D"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Dno i skarpy ukopu po zakończeniu jego eksploatacji powinny być tak ukształtowane, aby harmonizowały z otaczającym terenem. Na dnie i skarpach ukopu należy przeprowadzić rekultywację według odrębnej dokumentacji projektowej.</w:t>
      </w:r>
    </w:p>
    <w:p w14:paraId="4C13DB1E"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75" w:name="_Toc406295864"/>
      <w:bookmarkStart w:id="376" w:name="_Toc407161284"/>
      <w:r w:rsidRPr="006431C4">
        <w:rPr>
          <w:rFonts w:cs="Arial"/>
          <w:b/>
          <w:szCs w:val="20"/>
        </w:rPr>
        <w:t>5.3. Wykonanie nasypów</w:t>
      </w:r>
      <w:bookmarkEnd w:id="375"/>
      <w:bookmarkEnd w:id="376"/>
    </w:p>
    <w:p w14:paraId="30C9EF3B"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5.3.1. </w:t>
      </w:r>
      <w:r w:rsidRPr="006431C4">
        <w:rPr>
          <w:rFonts w:cs="Arial"/>
          <w:szCs w:val="20"/>
        </w:rPr>
        <w:t>Przygotowanie podłoża w obrębie podstawy nasypu</w:t>
      </w:r>
    </w:p>
    <w:p w14:paraId="4DEB8266"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Przed przystąpieniem do budowy nasypu należy w obrębie jego podstawy zakończyć roboty przygotowawcze, określone w SST D-01.00.00 „Roboty przygotowawcze”. </w:t>
      </w:r>
    </w:p>
    <w:p w14:paraId="5EF66655"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5.3.1.1. </w:t>
      </w:r>
      <w:r w:rsidRPr="006431C4">
        <w:rPr>
          <w:rFonts w:cs="Arial"/>
          <w:szCs w:val="20"/>
        </w:rPr>
        <w:t>Wycięcie stopni w zboczu</w:t>
      </w:r>
    </w:p>
    <w:p w14:paraId="2DC0BE92"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Jeżeli pochylenie poprzeczne terenu w stosunku do osi nasypu jest większe niż 1:5 należy, dla zabezpieczenia przed zsuwaniem się nasypu, wykonać w zboczu stopnie o spadku górnej powierzchni, wynoszącym około  4%  </w:t>
      </w:r>
      <w:r w:rsidRPr="006431C4">
        <w:rPr>
          <w:rFonts w:cs="Arial"/>
          <w:szCs w:val="20"/>
        </w:rPr>
        <w:sym w:font="Symbol" w:char="F0B1"/>
      </w:r>
      <w:r w:rsidRPr="006431C4">
        <w:rPr>
          <w:rFonts w:cs="Arial"/>
          <w:szCs w:val="20"/>
        </w:rPr>
        <w:t xml:space="preserve"> 1% i szerokości od 1,0 do </w:t>
      </w:r>
      <w:smartTag w:uri="urn:schemas-microsoft-com:office:smarttags" w:element="metricconverter">
        <w:smartTagPr>
          <w:attr w:name="ProductID" w:val="2,5 m"/>
        </w:smartTagPr>
        <w:r w:rsidRPr="006431C4">
          <w:rPr>
            <w:rFonts w:cs="Arial"/>
            <w:szCs w:val="20"/>
          </w:rPr>
          <w:t>2,5 m</w:t>
        </w:r>
      </w:smartTag>
      <w:r w:rsidRPr="006431C4">
        <w:rPr>
          <w:rFonts w:cs="Arial"/>
          <w:szCs w:val="20"/>
        </w:rPr>
        <w:t>. W takim przypadku należy zapewnić zagęszczenie materiału nasypowego w sposób eliminujący możliwość powstania pustek lub stref niedogęszczonych w sąsiedztwie pionowych powierzchni stopni.</w:t>
      </w:r>
    </w:p>
    <w:p w14:paraId="565BABE6"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lastRenderedPageBreak/>
        <w:t xml:space="preserve">5.3.1.2. </w:t>
      </w:r>
      <w:r w:rsidRPr="006431C4">
        <w:rPr>
          <w:rFonts w:cs="Arial"/>
          <w:szCs w:val="20"/>
        </w:rPr>
        <w:t>Zagęszczenie gruntu i nośność w podłożu nasypu</w:t>
      </w:r>
    </w:p>
    <w:p w14:paraId="15DE6DA0"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szCs w:val="20"/>
        </w:rPr>
        <w:t>5.3.1.2.1. Wymagania odnośnie do zagęszczenia gruntu w podłożu nasypu</w:t>
      </w:r>
    </w:p>
    <w:p w14:paraId="11204927"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Wykonawca powinien skontrolować wskaźnik zagęszczenia gruntów rodzimych zalegających w strefie podłoża nasypu, do głębokości </w:t>
      </w:r>
      <w:smartTag w:uri="urn:schemas-microsoft-com:office:smarttags" w:element="metricconverter">
        <w:smartTagPr>
          <w:attr w:name="ProductID" w:val="0,5 m"/>
        </w:smartTagPr>
        <w:r w:rsidRPr="006431C4">
          <w:rPr>
            <w:rFonts w:cs="Arial"/>
            <w:szCs w:val="20"/>
          </w:rPr>
          <w:t>0,5 m</w:t>
        </w:r>
      </w:smartTag>
      <w:r w:rsidRPr="006431C4">
        <w:rPr>
          <w:rFonts w:cs="Arial"/>
          <w:szCs w:val="20"/>
        </w:rPr>
        <w:t xml:space="preserve"> od powierzchni terenu. Jeżeli wartość wskaźnika zagęszczenia jest mniejsza niż określona w tabeli 1, Wykonawca powinien dogęścić podłoże tak, aby powyższe wymaganie zostało spełnione.</w:t>
      </w:r>
    </w:p>
    <w:p w14:paraId="1EA30F39"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Jeżeli wartości wskaźnika zagęszczenia określone w tabeli 8 nie mogą być osiągnięte przez bezpośrednie zagęszczanie podłoża, to należy podjąć środki w celu ulepszenia gruntu podłoża, umożliwiające uzyskanie wymaganych wartości wskaźnika zagęszczenia.</w:t>
      </w:r>
    </w:p>
    <w:p w14:paraId="708BBE11" w14:textId="0FBBDB8D" w:rsidR="00793CD0" w:rsidRPr="006431C4" w:rsidRDefault="00793CD0" w:rsidP="00BE2485">
      <w:pPr>
        <w:overflowPunct w:val="0"/>
        <w:autoSpaceDE w:val="0"/>
        <w:autoSpaceDN w:val="0"/>
        <w:adjustRightInd w:val="0"/>
        <w:spacing w:line="240" w:lineRule="auto"/>
        <w:ind w:left="993" w:hanging="993"/>
        <w:jc w:val="both"/>
        <w:textAlignment w:val="baseline"/>
        <w:rPr>
          <w:rFonts w:cs="Arial"/>
          <w:bCs/>
          <w:szCs w:val="20"/>
        </w:rPr>
      </w:pPr>
      <w:bookmarkStart w:id="377" w:name="_Toc24577617"/>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8</w:t>
      </w:r>
      <w:r w:rsidRPr="006431C4">
        <w:rPr>
          <w:rFonts w:cs="Arial"/>
          <w:bCs/>
          <w:szCs w:val="20"/>
        </w:rPr>
        <w:fldChar w:fldCharType="end"/>
      </w:r>
      <w:r w:rsidRPr="006431C4">
        <w:rPr>
          <w:rFonts w:cs="Arial"/>
          <w:bCs/>
          <w:szCs w:val="20"/>
        </w:rPr>
        <w:t>.</w:t>
      </w:r>
      <w:r w:rsidRPr="006431C4">
        <w:rPr>
          <w:rFonts w:cs="Arial"/>
          <w:bCs/>
          <w:szCs w:val="20"/>
        </w:rPr>
        <w:tab/>
        <w:t xml:space="preserve">Minimalne wartości wskaźnika zagęszczenia dla podłoża nasypów do głębokości </w:t>
      </w:r>
      <w:smartTag w:uri="urn:schemas-microsoft-com:office:smarttags" w:element="metricconverter">
        <w:smartTagPr>
          <w:attr w:name="ProductID" w:val="0,5 m"/>
        </w:smartTagPr>
        <w:r w:rsidRPr="006431C4">
          <w:rPr>
            <w:rFonts w:cs="Arial"/>
            <w:bCs/>
            <w:szCs w:val="20"/>
          </w:rPr>
          <w:t>0,5 m</w:t>
        </w:r>
      </w:smartTag>
      <w:r w:rsidRPr="006431C4">
        <w:rPr>
          <w:rFonts w:cs="Arial"/>
          <w:bCs/>
          <w:szCs w:val="20"/>
        </w:rPr>
        <w:t xml:space="preserve"> od powierzchni terenu</w:t>
      </w:r>
      <w:bookmarkEnd w:id="377"/>
    </w:p>
    <w:tbl>
      <w:tblPr>
        <w:tblW w:w="0" w:type="auto"/>
        <w:tblInd w:w="190" w:type="dxa"/>
        <w:tblLayout w:type="fixed"/>
        <w:tblCellMar>
          <w:left w:w="70" w:type="dxa"/>
          <w:right w:w="70" w:type="dxa"/>
        </w:tblCellMar>
        <w:tblLook w:val="0000" w:firstRow="0" w:lastRow="0" w:firstColumn="0" w:lastColumn="0" w:noHBand="0" w:noVBand="0"/>
      </w:tblPr>
      <w:tblGrid>
        <w:gridCol w:w="1514"/>
        <w:gridCol w:w="3533"/>
        <w:gridCol w:w="2019"/>
        <w:gridCol w:w="2020"/>
      </w:tblGrid>
      <w:tr w:rsidR="00793CD0" w:rsidRPr="006431C4" w14:paraId="6A0B4F23" w14:textId="77777777" w:rsidTr="00793CD0">
        <w:tc>
          <w:tcPr>
            <w:tcW w:w="1514" w:type="dxa"/>
            <w:vMerge w:val="restart"/>
            <w:tcBorders>
              <w:top w:val="single" w:sz="6" w:space="0" w:color="auto"/>
              <w:left w:val="single" w:sz="6" w:space="0" w:color="auto"/>
            </w:tcBorders>
            <w:vAlign w:val="center"/>
          </w:tcPr>
          <w:p w14:paraId="3C079381"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p w14:paraId="09B28320"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Nasypy</w:t>
            </w:r>
          </w:p>
          <w:p w14:paraId="205D0C23"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o wysokości,</w:t>
            </w:r>
          </w:p>
          <w:p w14:paraId="2CA76652"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m</w:t>
            </w:r>
          </w:p>
        </w:tc>
        <w:tc>
          <w:tcPr>
            <w:tcW w:w="7572" w:type="dxa"/>
            <w:gridSpan w:val="3"/>
            <w:tcBorders>
              <w:top w:val="single" w:sz="6" w:space="0" w:color="auto"/>
              <w:left w:val="single" w:sz="6" w:space="0" w:color="auto"/>
              <w:right w:val="single" w:sz="6" w:space="0" w:color="auto"/>
            </w:tcBorders>
            <w:vAlign w:val="center"/>
          </w:tcPr>
          <w:p w14:paraId="2D0D15D5"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Minimalna wartość I</w:t>
            </w:r>
            <w:r w:rsidRPr="006431C4">
              <w:rPr>
                <w:rFonts w:cs="Arial"/>
                <w:szCs w:val="20"/>
                <w:vertAlign w:val="subscript"/>
              </w:rPr>
              <w:t>s</w:t>
            </w:r>
            <w:r w:rsidRPr="006431C4">
              <w:rPr>
                <w:rFonts w:cs="Arial"/>
                <w:szCs w:val="20"/>
              </w:rPr>
              <w:t xml:space="preserve"> w zależności od kategorii ruchu</w:t>
            </w:r>
          </w:p>
        </w:tc>
      </w:tr>
      <w:tr w:rsidR="00793CD0" w:rsidRPr="006431C4" w14:paraId="1BB5B5A2" w14:textId="77777777" w:rsidTr="00793CD0">
        <w:trPr>
          <w:trHeight w:val="1208"/>
        </w:trPr>
        <w:tc>
          <w:tcPr>
            <w:tcW w:w="1514" w:type="dxa"/>
            <w:vMerge/>
            <w:tcBorders>
              <w:left w:val="single" w:sz="6" w:space="0" w:color="auto"/>
            </w:tcBorders>
            <w:vAlign w:val="center"/>
          </w:tcPr>
          <w:p w14:paraId="4EE7EBD9"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tc>
        <w:tc>
          <w:tcPr>
            <w:tcW w:w="3533" w:type="dxa"/>
            <w:tcBorders>
              <w:top w:val="single" w:sz="6" w:space="0" w:color="auto"/>
              <w:left w:val="single" w:sz="6" w:space="0" w:color="auto"/>
            </w:tcBorders>
            <w:vAlign w:val="center"/>
          </w:tcPr>
          <w:p w14:paraId="324FC085"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KR1-KR2,</w:t>
            </w:r>
          </w:p>
          <w:p w14:paraId="38997C3E"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zjazdy, chodniki, ścieżki rowerowe, ciągi pieszo jezdne</w:t>
            </w:r>
          </w:p>
        </w:tc>
        <w:tc>
          <w:tcPr>
            <w:tcW w:w="2019" w:type="dxa"/>
            <w:tcBorders>
              <w:top w:val="single" w:sz="6" w:space="0" w:color="auto"/>
              <w:left w:val="single" w:sz="6" w:space="0" w:color="auto"/>
              <w:bottom w:val="single" w:sz="4" w:space="0" w:color="auto"/>
              <w:right w:val="single" w:sz="6" w:space="0" w:color="auto"/>
            </w:tcBorders>
            <w:vAlign w:val="center"/>
          </w:tcPr>
          <w:p w14:paraId="73402CC3"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p w14:paraId="000237AB"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KR3-KR4</w:t>
            </w:r>
          </w:p>
        </w:tc>
        <w:tc>
          <w:tcPr>
            <w:tcW w:w="2020" w:type="dxa"/>
            <w:tcBorders>
              <w:top w:val="single" w:sz="6" w:space="0" w:color="auto"/>
              <w:left w:val="single" w:sz="6" w:space="0" w:color="auto"/>
              <w:bottom w:val="single" w:sz="4" w:space="0" w:color="auto"/>
              <w:right w:val="single" w:sz="6" w:space="0" w:color="auto"/>
            </w:tcBorders>
            <w:vAlign w:val="center"/>
          </w:tcPr>
          <w:p w14:paraId="701E544A"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p w14:paraId="56948B6D"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KR5-KR7</w:t>
            </w:r>
          </w:p>
        </w:tc>
      </w:tr>
      <w:tr w:rsidR="00793CD0" w:rsidRPr="006431C4" w14:paraId="1721C9B7" w14:textId="77777777" w:rsidTr="00793CD0">
        <w:tc>
          <w:tcPr>
            <w:tcW w:w="1514" w:type="dxa"/>
            <w:tcBorders>
              <w:top w:val="single" w:sz="4" w:space="0" w:color="auto"/>
              <w:left w:val="single" w:sz="6" w:space="0" w:color="auto"/>
              <w:bottom w:val="single" w:sz="6" w:space="0" w:color="auto"/>
              <w:right w:val="single" w:sz="6" w:space="0" w:color="auto"/>
            </w:tcBorders>
          </w:tcPr>
          <w:p w14:paraId="2505C3F2"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do 2 </w:t>
            </w:r>
          </w:p>
        </w:tc>
        <w:tc>
          <w:tcPr>
            <w:tcW w:w="3533" w:type="dxa"/>
            <w:tcBorders>
              <w:top w:val="single" w:sz="4" w:space="0" w:color="auto"/>
              <w:left w:val="single" w:sz="6" w:space="0" w:color="auto"/>
              <w:bottom w:val="single" w:sz="6" w:space="0" w:color="auto"/>
              <w:right w:val="single" w:sz="6" w:space="0" w:color="auto"/>
            </w:tcBorders>
          </w:tcPr>
          <w:p w14:paraId="693AE850"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0,95</w:t>
            </w:r>
          </w:p>
        </w:tc>
        <w:tc>
          <w:tcPr>
            <w:tcW w:w="2019" w:type="dxa"/>
            <w:tcBorders>
              <w:top w:val="single" w:sz="4" w:space="0" w:color="auto"/>
              <w:left w:val="single" w:sz="6" w:space="0" w:color="auto"/>
              <w:bottom w:val="single" w:sz="6" w:space="0" w:color="auto"/>
              <w:right w:val="single" w:sz="6" w:space="0" w:color="auto"/>
            </w:tcBorders>
          </w:tcPr>
          <w:p w14:paraId="13EF3742"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0,97</w:t>
            </w:r>
          </w:p>
        </w:tc>
        <w:tc>
          <w:tcPr>
            <w:tcW w:w="2020" w:type="dxa"/>
            <w:tcBorders>
              <w:top w:val="single" w:sz="4" w:space="0" w:color="auto"/>
              <w:left w:val="single" w:sz="6" w:space="0" w:color="auto"/>
              <w:bottom w:val="single" w:sz="6" w:space="0" w:color="auto"/>
              <w:right w:val="single" w:sz="6" w:space="0" w:color="auto"/>
            </w:tcBorders>
          </w:tcPr>
          <w:p w14:paraId="5B278B8F"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r w:rsidR="00793CD0" w:rsidRPr="006431C4" w14:paraId="04806750" w14:textId="77777777" w:rsidTr="00793CD0">
        <w:tc>
          <w:tcPr>
            <w:tcW w:w="1514" w:type="dxa"/>
            <w:tcBorders>
              <w:top w:val="single" w:sz="6" w:space="0" w:color="auto"/>
              <w:left w:val="single" w:sz="6" w:space="0" w:color="auto"/>
              <w:bottom w:val="single" w:sz="6" w:space="0" w:color="auto"/>
              <w:right w:val="single" w:sz="6" w:space="0" w:color="auto"/>
            </w:tcBorders>
          </w:tcPr>
          <w:p w14:paraId="06442004"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ponad 2 </w:t>
            </w:r>
          </w:p>
        </w:tc>
        <w:tc>
          <w:tcPr>
            <w:tcW w:w="3533" w:type="dxa"/>
            <w:tcBorders>
              <w:top w:val="single" w:sz="6" w:space="0" w:color="auto"/>
              <w:left w:val="single" w:sz="6" w:space="0" w:color="auto"/>
              <w:bottom w:val="single" w:sz="6" w:space="0" w:color="auto"/>
              <w:right w:val="single" w:sz="6" w:space="0" w:color="auto"/>
            </w:tcBorders>
          </w:tcPr>
          <w:p w14:paraId="7E8CE535"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0,95</w:t>
            </w:r>
          </w:p>
        </w:tc>
        <w:tc>
          <w:tcPr>
            <w:tcW w:w="2019" w:type="dxa"/>
            <w:tcBorders>
              <w:top w:val="single" w:sz="6" w:space="0" w:color="auto"/>
              <w:left w:val="single" w:sz="6" w:space="0" w:color="auto"/>
              <w:bottom w:val="single" w:sz="6" w:space="0" w:color="auto"/>
              <w:right w:val="single" w:sz="6" w:space="0" w:color="auto"/>
            </w:tcBorders>
          </w:tcPr>
          <w:p w14:paraId="7E422573"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0,97</w:t>
            </w:r>
          </w:p>
        </w:tc>
        <w:tc>
          <w:tcPr>
            <w:tcW w:w="2020" w:type="dxa"/>
            <w:tcBorders>
              <w:top w:val="single" w:sz="6" w:space="0" w:color="auto"/>
              <w:left w:val="single" w:sz="6" w:space="0" w:color="auto"/>
              <w:bottom w:val="single" w:sz="6" w:space="0" w:color="auto"/>
              <w:right w:val="single" w:sz="6" w:space="0" w:color="auto"/>
            </w:tcBorders>
          </w:tcPr>
          <w:p w14:paraId="4AA3AF14"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0,97</w:t>
            </w:r>
          </w:p>
        </w:tc>
      </w:tr>
    </w:tbl>
    <w:p w14:paraId="4D0821C2"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Dopuszcza się ocenę stanu zagęszczenia gruntu na podstawie wartości wskaźnika odkształcenia Io według zasad i kryteriów określonych w SST D-02.00.01 „Roboty ziemne. Wymagania ogólne” w punkcie 5.9.2. </w:t>
      </w:r>
    </w:p>
    <w:p w14:paraId="4C03E412"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5.3.1.2.2. Wymagania odnośnie do nośności gruntu w podłożu nasypu</w:t>
      </w:r>
    </w:p>
    <w:p w14:paraId="4C516326"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Należy  skontrolować nośność podłoża, na którym ma być posadowiony nasyp, poprzez określenie wartości wtórnego modułu odkształcenia E</w:t>
      </w:r>
      <w:r w:rsidRPr="006431C4">
        <w:rPr>
          <w:rFonts w:cs="Arial"/>
          <w:szCs w:val="20"/>
          <w:vertAlign w:val="subscript"/>
        </w:rPr>
        <w:t xml:space="preserve">2 </w:t>
      </w:r>
      <w:r w:rsidRPr="006431C4">
        <w:rPr>
          <w:rFonts w:cs="Arial"/>
          <w:szCs w:val="20"/>
        </w:rPr>
        <w:t>na powierzchni. Minimalna wartość E</w:t>
      </w:r>
      <w:r w:rsidRPr="006431C4">
        <w:rPr>
          <w:rFonts w:cs="Arial"/>
          <w:szCs w:val="20"/>
          <w:vertAlign w:val="subscript"/>
        </w:rPr>
        <w:t>2</w:t>
      </w:r>
      <w:r w:rsidRPr="006431C4">
        <w:rPr>
          <w:rFonts w:cs="Arial"/>
          <w:szCs w:val="20"/>
        </w:rPr>
        <w:t xml:space="preserve"> na górnej powierzchni podłoża gruntowego pod nasypem wynosi 30 MPa, niezależnie od kategorii ruchu KR. Wartość wtórnego modułu odkształcenia E</w:t>
      </w:r>
      <w:r w:rsidRPr="006431C4">
        <w:rPr>
          <w:rFonts w:cs="Arial"/>
          <w:szCs w:val="20"/>
          <w:vertAlign w:val="subscript"/>
        </w:rPr>
        <w:t>2</w:t>
      </w:r>
      <w:r w:rsidRPr="006431C4">
        <w:rPr>
          <w:rFonts w:cs="Arial"/>
          <w:szCs w:val="20"/>
        </w:rPr>
        <w:t xml:space="preserve"> należy określić według zasad podanych w SST D-02.00.01 „Roboty ziemne. Wymagania ogólne” p. 5.10. Dopuszcza się ocenę nośności podłoża na którym ma być posadowiony nasyp z zastosowaniem lekkiej płyty dynamicznej LPD na zasadach określonych w SST D-02.00.01 „Roboty ziemne. Wymagania ogólne” w punkcie 5.10. </w:t>
      </w:r>
    </w:p>
    <w:p w14:paraId="6955961F"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wartość wskaźnika zagęszczenia Is określona w tabeli 8 oraz/lub wartość wtórnego modułu odkształcenia E</w:t>
      </w:r>
      <w:r w:rsidRPr="006431C4">
        <w:rPr>
          <w:rFonts w:cs="Arial"/>
          <w:szCs w:val="20"/>
          <w:vertAlign w:val="subscript"/>
        </w:rPr>
        <w:t>2</w:t>
      </w:r>
      <w:r w:rsidRPr="006431C4">
        <w:rPr>
          <w:rFonts w:cs="Arial"/>
          <w:szCs w:val="20"/>
        </w:rPr>
        <w:t xml:space="preserve"> określona jak wyżej nie mogą być osiągnięte mimo zagęszczania Wykonawca zaproponuje indywidualne działania, (w razie konieczności poparte obliczeniami stateczności i osiadań korpusu ziemnego)  w celu osiągnięcia celu polepszenia gruntu  i przedstawi do akceptacji Inżyniera.</w:t>
      </w:r>
    </w:p>
    <w:p w14:paraId="136D23FE"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5.3.1.3. </w:t>
      </w:r>
      <w:r w:rsidRPr="006431C4">
        <w:rPr>
          <w:rFonts w:cs="Arial"/>
          <w:szCs w:val="20"/>
        </w:rPr>
        <w:t>Spulchnienie gruntów skalistych w podłożu nasypów</w:t>
      </w:r>
    </w:p>
    <w:p w14:paraId="5D0A7CFF"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Jeżeli nasyp ma być budowany na powierzchni skały lub na innej gładkiej powierzchni, to przed przystąpieniem do budowy nasypu powinna ona być rozdrobniona lub spulchniona na głębokość co najmniej </w:t>
      </w:r>
      <w:smartTag w:uri="urn:schemas-microsoft-com:office:smarttags" w:element="metricconverter">
        <w:smartTagPr>
          <w:attr w:name="ProductID" w:val="15 cm"/>
        </w:smartTagPr>
        <w:r w:rsidRPr="006431C4">
          <w:rPr>
            <w:rFonts w:cs="Arial"/>
            <w:szCs w:val="20"/>
          </w:rPr>
          <w:t>15 cm</w:t>
        </w:r>
      </w:smartTag>
      <w:r w:rsidRPr="006431C4">
        <w:rPr>
          <w:rFonts w:cs="Arial"/>
          <w:szCs w:val="20"/>
        </w:rPr>
        <w:t>, w celu poprawy jej powiązania z podstawą nasypu.</w:t>
      </w:r>
    </w:p>
    <w:p w14:paraId="766A258A"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p>
    <w:p w14:paraId="612F1658"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5.3.1.4.</w:t>
      </w:r>
      <w:r w:rsidRPr="006431C4">
        <w:rPr>
          <w:rFonts w:cs="Arial"/>
          <w:szCs w:val="20"/>
        </w:rPr>
        <w:t xml:space="preserve"> Inne wymagania wobec podłoża nasypów</w:t>
      </w:r>
    </w:p>
    <w:p w14:paraId="66790782"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Jeżeli na powierzchni terenu na której ma być posadowiony nasyp występują zastoiska wody, to należy ją usunąć. Po oczyszczeniu powierzchnia w obrębie podstawy nasypu powinna być wyprofilowana i zagęszczona. </w:t>
      </w:r>
    </w:p>
    <w:p w14:paraId="4C21E263"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Jeżeli w podłożu nasypu zalegają gruntu organiczne lub inne czynniki powodujące pogorszenie podparcia podstawy nasypu, to Wykonawca wzmocni podłoże nasypu na podstawie obliczeń stateczności i osiadań nasypu wykonanych na podstawie dokumentacji geotechnicznej.</w:t>
      </w:r>
    </w:p>
    <w:p w14:paraId="4AF6D9D7"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5.3.2. </w:t>
      </w:r>
      <w:r w:rsidRPr="006431C4">
        <w:rPr>
          <w:rFonts w:cs="Arial"/>
          <w:szCs w:val="20"/>
        </w:rPr>
        <w:t>Wybór gruntów i materiałów do wykonania nasypów</w:t>
      </w:r>
    </w:p>
    <w:p w14:paraId="7B0FD9D4"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Wybór gruntów i materiałów do wykonania nasypów powinien być dokonany z uwzględnieniem zasad podanych w pkcie 2.</w:t>
      </w:r>
    </w:p>
    <w:p w14:paraId="2A249A38"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5.3.3. </w:t>
      </w:r>
      <w:r w:rsidRPr="006431C4">
        <w:rPr>
          <w:rFonts w:cs="Arial"/>
          <w:szCs w:val="20"/>
        </w:rPr>
        <w:t>Zasady wykonania nasypów</w:t>
      </w:r>
    </w:p>
    <w:p w14:paraId="593D2817"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5.3.3.1. </w:t>
      </w:r>
      <w:r w:rsidRPr="006431C4">
        <w:rPr>
          <w:rFonts w:cs="Arial"/>
          <w:szCs w:val="20"/>
        </w:rPr>
        <w:t>Ogólne zasady wykonywania nasypów</w:t>
      </w:r>
    </w:p>
    <w:p w14:paraId="1A37DAB7"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 celu zapewnienia stateczności nasypu i jego równomiernego osiadania należy przestrzegać następujących zasad:</w:t>
      </w:r>
    </w:p>
    <w:p w14:paraId="6BCE6895" w14:textId="77777777" w:rsidR="00793CD0" w:rsidRPr="006431C4" w:rsidRDefault="00793CD0" w:rsidP="00CF1E7D">
      <w:pPr>
        <w:numPr>
          <w:ilvl w:val="0"/>
          <w:numId w:val="123"/>
        </w:numPr>
        <w:overflowPunct w:val="0"/>
        <w:autoSpaceDE w:val="0"/>
        <w:autoSpaceDN w:val="0"/>
        <w:adjustRightInd w:val="0"/>
        <w:spacing w:line="240" w:lineRule="auto"/>
        <w:jc w:val="both"/>
        <w:textAlignment w:val="baseline"/>
        <w:rPr>
          <w:rFonts w:cs="Arial"/>
          <w:szCs w:val="20"/>
        </w:rPr>
      </w:pPr>
      <w:r w:rsidRPr="006431C4">
        <w:rPr>
          <w:rFonts w:cs="Arial"/>
          <w:szCs w:val="20"/>
        </w:rPr>
        <w:tab/>
        <w:t>Nasypy powinny być wznoszone przy zachowaniu przekroju poprzecznego i profilu podłużnego, które określono w dokumentacji projektowej, z uwzględnieniem ewentualnych zmian wprowadzonych przez Inżyniera. Grunt przewieziony w miejsce wbudowania powinien być bezzwłocznie wbudowany w nasyp. Inżynier może dopuścić czasowe składowanie gruntu, pod warunkiem jego zabezpieczenia przed nadmiernym zawilgoceniem.</w:t>
      </w:r>
    </w:p>
    <w:p w14:paraId="688F0E9E" w14:textId="77777777" w:rsidR="00793CD0" w:rsidRPr="006431C4" w:rsidRDefault="00793CD0" w:rsidP="00CF1E7D">
      <w:pPr>
        <w:numPr>
          <w:ilvl w:val="0"/>
          <w:numId w:val="123"/>
        </w:numPr>
        <w:overflowPunct w:val="0"/>
        <w:autoSpaceDE w:val="0"/>
        <w:autoSpaceDN w:val="0"/>
        <w:adjustRightInd w:val="0"/>
        <w:spacing w:line="240" w:lineRule="auto"/>
        <w:jc w:val="both"/>
        <w:textAlignment w:val="baseline"/>
        <w:rPr>
          <w:rFonts w:cs="Arial"/>
          <w:szCs w:val="20"/>
        </w:rPr>
      </w:pPr>
      <w:r w:rsidRPr="006431C4">
        <w:rPr>
          <w:rFonts w:cs="Arial"/>
          <w:szCs w:val="20"/>
        </w:rPr>
        <w:t>nasypy należy wykonywać metodą warstwową, z gruntów przydatnych do budowy nasypów. Nasypy powinny być wznoszone równomiernie na całej szerokości,</w:t>
      </w:r>
    </w:p>
    <w:p w14:paraId="5330B237" w14:textId="77777777" w:rsidR="00793CD0" w:rsidRPr="006431C4" w:rsidRDefault="00793CD0" w:rsidP="00CF1E7D">
      <w:pPr>
        <w:numPr>
          <w:ilvl w:val="0"/>
          <w:numId w:val="123"/>
        </w:numPr>
        <w:overflowPunct w:val="0"/>
        <w:autoSpaceDE w:val="0"/>
        <w:autoSpaceDN w:val="0"/>
        <w:adjustRightInd w:val="0"/>
        <w:spacing w:line="240" w:lineRule="auto"/>
        <w:jc w:val="both"/>
        <w:textAlignment w:val="baseline"/>
        <w:rPr>
          <w:rFonts w:cs="Arial"/>
          <w:szCs w:val="20"/>
        </w:rPr>
      </w:pPr>
      <w:r w:rsidRPr="006431C4">
        <w:rPr>
          <w:rFonts w:cs="Arial"/>
          <w:szCs w:val="20"/>
        </w:rPr>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14:paraId="0E31DAA0" w14:textId="77777777" w:rsidR="00793CD0" w:rsidRPr="006431C4" w:rsidRDefault="00793CD0" w:rsidP="00CF1E7D">
      <w:pPr>
        <w:numPr>
          <w:ilvl w:val="0"/>
          <w:numId w:val="123"/>
        </w:numPr>
        <w:overflowPunct w:val="0"/>
        <w:autoSpaceDE w:val="0"/>
        <w:autoSpaceDN w:val="0"/>
        <w:adjustRightInd w:val="0"/>
        <w:spacing w:line="240" w:lineRule="auto"/>
        <w:jc w:val="both"/>
        <w:textAlignment w:val="baseline"/>
        <w:rPr>
          <w:rFonts w:cs="Arial"/>
          <w:szCs w:val="20"/>
        </w:rPr>
      </w:pPr>
      <w:r w:rsidRPr="006431C4">
        <w:rPr>
          <w:rFonts w:cs="Arial"/>
          <w:szCs w:val="20"/>
        </w:rPr>
        <w:t>grunty o różnych właściwościach należy wbudowywać w oddzielnych warstwach, o jednakowej grubości na całej szerokości nasypu. Grunty spoiste należy wbudowywać w dolne warstwy nasypu, poniżej głębokości przemarzania, a grunty niespoiste w górne warstwy nasypu,</w:t>
      </w:r>
    </w:p>
    <w:p w14:paraId="299CDC28" w14:textId="77777777" w:rsidR="00793CD0" w:rsidRPr="006431C4" w:rsidRDefault="00793CD0" w:rsidP="00CF1E7D">
      <w:pPr>
        <w:numPr>
          <w:ilvl w:val="0"/>
          <w:numId w:val="123"/>
        </w:numPr>
        <w:overflowPunct w:val="0"/>
        <w:autoSpaceDE w:val="0"/>
        <w:autoSpaceDN w:val="0"/>
        <w:adjustRightInd w:val="0"/>
        <w:spacing w:line="240" w:lineRule="auto"/>
        <w:jc w:val="both"/>
        <w:textAlignment w:val="baseline"/>
        <w:rPr>
          <w:rFonts w:cs="Arial"/>
          <w:szCs w:val="20"/>
        </w:rPr>
      </w:pPr>
      <w:r w:rsidRPr="006431C4">
        <w:rPr>
          <w:rFonts w:cs="Arial"/>
          <w:szCs w:val="20"/>
        </w:rPr>
        <w:t>warstwy gruntu przepuszczalnego należy wbudowywać poziomo, a warstwy gruntu mało przepuszczalnego (o współczynniku K</w:t>
      </w:r>
      <w:r w:rsidRPr="006431C4">
        <w:rPr>
          <w:rFonts w:cs="Arial"/>
          <w:szCs w:val="20"/>
          <w:vertAlign w:val="subscript"/>
        </w:rPr>
        <w:t>10</w:t>
      </w:r>
      <w:r w:rsidRPr="006431C4">
        <w:rPr>
          <w:rFonts w:cs="Arial"/>
          <w:position w:val="-4"/>
          <w:szCs w:val="20"/>
        </w:rPr>
        <w:object w:dxaOrig="180" w:dyaOrig="220" w14:anchorId="351EDF6C">
          <v:shape id="_x0000_i1028" type="#_x0000_t75" style="width:9pt;height:11.25pt" o:ole="">
            <v:imagedata r:id="rId29" o:title=""/>
          </v:shape>
          <o:OLEObject Type="Embed" ProgID="Equation.3" ShapeID="_x0000_i1028" DrawAspect="Content" ObjectID="_1726896247" r:id="rId30"/>
        </w:object>
      </w:r>
      <w:r w:rsidRPr="006431C4">
        <w:rPr>
          <w:rFonts w:cs="Arial"/>
          <w:szCs w:val="20"/>
        </w:rPr>
        <w:t>10</w:t>
      </w:r>
      <w:r w:rsidRPr="006431C4">
        <w:rPr>
          <w:rFonts w:cs="Arial"/>
          <w:szCs w:val="20"/>
          <w:vertAlign w:val="superscript"/>
        </w:rPr>
        <w:t>-5</w:t>
      </w:r>
      <w:r w:rsidRPr="006431C4">
        <w:rPr>
          <w:rFonts w:cs="Arial"/>
          <w:szCs w:val="20"/>
        </w:rPr>
        <w:t xml:space="preserve"> m/s) ze spadkiem górnej powierzchni około 4% </w:t>
      </w:r>
      <w:r w:rsidRPr="006431C4">
        <w:rPr>
          <w:rFonts w:cs="Arial"/>
          <w:szCs w:val="20"/>
        </w:rPr>
        <w:sym w:font="Symbol" w:char="F0B1"/>
      </w:r>
      <w:r w:rsidRPr="006431C4">
        <w:rPr>
          <w:rFonts w:cs="Arial"/>
          <w:szCs w:val="20"/>
        </w:rPr>
        <w:t xml:space="preserve"> 1%. Kiedy nasyp jest budowany w terenie płaskim spadek powinien być obustronny, gdy nasyp jest budowany na zboczu spadek powinien być jednostronny, </w:t>
      </w:r>
      <w:r w:rsidRPr="006431C4">
        <w:rPr>
          <w:rFonts w:cs="Arial"/>
          <w:szCs w:val="20"/>
        </w:rPr>
        <w:lastRenderedPageBreak/>
        <w:t>zgodny z jego pochyleniem. Ukształtowanie powierzchni warstwy powinno uniemożliwiać lokalne gromadzenie się wody.</w:t>
      </w:r>
    </w:p>
    <w:p w14:paraId="01B6AE92" w14:textId="77777777" w:rsidR="00793CD0" w:rsidRPr="006431C4" w:rsidRDefault="00793CD0" w:rsidP="00CF1E7D">
      <w:pPr>
        <w:numPr>
          <w:ilvl w:val="0"/>
          <w:numId w:val="123"/>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górną warstwę nasypu, o grubości co najmniej </w:t>
      </w:r>
      <w:smartTag w:uri="urn:schemas-microsoft-com:office:smarttags" w:element="metricconverter">
        <w:smartTagPr>
          <w:attr w:name="ProductID" w:val="0,5 m"/>
        </w:smartTagPr>
        <w:r w:rsidRPr="006431C4">
          <w:rPr>
            <w:rFonts w:cs="Arial"/>
            <w:szCs w:val="20"/>
          </w:rPr>
          <w:t>0,5 m</w:t>
        </w:r>
      </w:smartTag>
      <w:r w:rsidRPr="006431C4">
        <w:rPr>
          <w:rFonts w:cs="Arial"/>
          <w:szCs w:val="20"/>
        </w:rPr>
        <w:t xml:space="preserve"> należy wykonać z gruntów niewysadzinowych, o wskaźniku wodoprzepuszczalności K</w:t>
      </w:r>
      <w:r w:rsidRPr="006431C4">
        <w:rPr>
          <w:rFonts w:cs="Arial"/>
          <w:szCs w:val="20"/>
          <w:vertAlign w:val="subscript"/>
        </w:rPr>
        <w:t xml:space="preserve">10 </w:t>
      </w:r>
      <w:r w:rsidRPr="006431C4">
        <w:rPr>
          <w:rFonts w:cs="Arial"/>
          <w:szCs w:val="20"/>
        </w:rPr>
        <w:sym w:font="Symbol" w:char="F0B3"/>
      </w:r>
      <w:r w:rsidRPr="006431C4">
        <w:rPr>
          <w:rFonts w:cs="Arial"/>
          <w:szCs w:val="20"/>
        </w:rPr>
        <w:t xml:space="preserve"> 6 </w:t>
      </w:r>
      <w:r w:rsidRPr="006431C4">
        <w:rPr>
          <w:rFonts w:cs="Arial"/>
          <w:position w:val="-4"/>
          <w:szCs w:val="20"/>
        </w:rPr>
        <w:object w:dxaOrig="180" w:dyaOrig="180" w14:anchorId="7C6DF0B9">
          <v:shape id="_x0000_i1029" type="#_x0000_t75" style="width:9pt;height:9pt" o:ole="">
            <v:imagedata r:id="rId31" o:title=""/>
          </v:shape>
          <o:OLEObject Type="Embed" ProgID="Equation.3" ShapeID="_x0000_i1029" DrawAspect="Content" ObjectID="_1726896248" r:id="rId32"/>
        </w:object>
      </w:r>
      <w:r w:rsidRPr="006431C4">
        <w:rPr>
          <w:rFonts w:cs="Arial"/>
          <w:szCs w:val="20"/>
        </w:rPr>
        <w:t xml:space="preserve">10 </w:t>
      </w:r>
      <w:r w:rsidRPr="006431C4">
        <w:rPr>
          <w:rFonts w:cs="Arial"/>
          <w:szCs w:val="20"/>
          <w:vertAlign w:val="superscript"/>
        </w:rPr>
        <w:t xml:space="preserve">–5 </w:t>
      </w:r>
      <w:r w:rsidRPr="006431C4">
        <w:rPr>
          <w:rFonts w:cs="Arial"/>
          <w:szCs w:val="20"/>
        </w:rPr>
        <w:t xml:space="preserve">m/s i wskaźniku różnoziarnistości Cu </w:t>
      </w:r>
      <w:r w:rsidRPr="006431C4">
        <w:rPr>
          <w:rFonts w:cs="Arial"/>
          <w:szCs w:val="20"/>
        </w:rPr>
        <w:sym w:font="Symbol" w:char="F0B3"/>
      </w:r>
      <w:r w:rsidRPr="006431C4">
        <w:rPr>
          <w:rFonts w:cs="Arial"/>
          <w:szCs w:val="20"/>
        </w:rPr>
        <w:t xml:space="preserve"> 5. Grunty niewysadzinowe o mniejszym wskaźniku jednorodności uziarnienia (3,0 ≤ Cu≤ 5,0) można stosować do wykonania górnej warstwy nasypu, jeżeli próby na odcinku próbnym wykażą możliwość uzyskania wymaganego zagęszczenia i nośności.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14:paraId="5853C7D1" w14:textId="77777777" w:rsidR="00793CD0" w:rsidRPr="006431C4" w:rsidRDefault="00793CD0" w:rsidP="00CF1E7D">
      <w:pPr>
        <w:numPr>
          <w:ilvl w:val="0"/>
          <w:numId w:val="123"/>
        </w:numPr>
        <w:overflowPunct w:val="0"/>
        <w:autoSpaceDE w:val="0"/>
        <w:autoSpaceDN w:val="0"/>
        <w:adjustRightInd w:val="0"/>
        <w:spacing w:line="240" w:lineRule="auto"/>
        <w:jc w:val="both"/>
        <w:textAlignment w:val="baseline"/>
        <w:rPr>
          <w:rFonts w:cs="Arial"/>
          <w:szCs w:val="20"/>
        </w:rPr>
      </w:pPr>
      <w:r w:rsidRPr="006431C4">
        <w:rPr>
          <w:rFonts w:cs="Arial"/>
          <w:szCs w:val="20"/>
        </w:rPr>
        <w:t>grubość górnej warstwy nasypu musi być co najmniej taka, aby zostały spełnione wymagania w odniesieniu do nośności podłoża nawierzchni, przyjęte w projekcie konstrukcji nawierzchni oraz aby zapewnić odporność na powstawanie wysadzin konstrukcji nawierzchni, która będzie ułożona na nasypie,</w:t>
      </w:r>
    </w:p>
    <w:p w14:paraId="21258049" w14:textId="77777777" w:rsidR="00793CD0" w:rsidRPr="006431C4" w:rsidRDefault="00793CD0" w:rsidP="00CF1E7D">
      <w:pPr>
        <w:numPr>
          <w:ilvl w:val="0"/>
          <w:numId w:val="123"/>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na terenach o wysokim stanie wód gruntowych oraz na terenach zalewowych dolne warstwy nasypu, o grubości co najmniej </w:t>
      </w:r>
      <w:smartTag w:uri="urn:schemas-microsoft-com:office:smarttags" w:element="metricconverter">
        <w:smartTagPr>
          <w:attr w:name="ProductID" w:val="0,5 m"/>
        </w:smartTagPr>
        <w:r w:rsidRPr="006431C4">
          <w:rPr>
            <w:rFonts w:cs="Arial"/>
            <w:szCs w:val="20"/>
          </w:rPr>
          <w:t>0,5 m</w:t>
        </w:r>
      </w:smartTag>
      <w:r w:rsidRPr="006431C4">
        <w:rPr>
          <w:rFonts w:cs="Arial"/>
          <w:szCs w:val="20"/>
        </w:rPr>
        <w:t xml:space="preserve"> powyżej najwyższego poziomu wody, należy wykonać z gruntu przepuszczalnego,</w:t>
      </w:r>
    </w:p>
    <w:p w14:paraId="36B73574" w14:textId="77777777" w:rsidR="00793CD0" w:rsidRPr="006431C4" w:rsidRDefault="00793CD0" w:rsidP="00CF1E7D">
      <w:pPr>
        <w:numPr>
          <w:ilvl w:val="0"/>
          <w:numId w:val="123"/>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 celu uzyskania prawidłowego zagęszczenia w całym przekroju nasypu oraz zminimalizowania skutków erozji skarp, powodowanej opadami w czasie budowy nasypu, nasyp należy formować jako minimum </w:t>
      </w:r>
      <w:smartTag w:uri="urn:schemas-microsoft-com:office:smarttags" w:element="metricconverter">
        <w:smartTagPr>
          <w:attr w:name="ProductID" w:val="0,5 m"/>
        </w:smartTagPr>
        <w:r w:rsidRPr="006431C4">
          <w:rPr>
            <w:rFonts w:cs="Arial"/>
            <w:szCs w:val="20"/>
          </w:rPr>
          <w:t>0,5 m</w:t>
        </w:r>
      </w:smartTag>
      <w:r w:rsidRPr="006431C4">
        <w:rPr>
          <w:rFonts w:cs="Arial"/>
          <w:szCs w:val="20"/>
        </w:rPr>
        <w:t xml:space="preserve"> szerszy z każdej strony w stosunku do przekroju określonego w dokumentacji projektowej. Po wykonaniu korpusu ziemnego nadmiar materiału należy usunąć w czasie ostatecznego profilowania powierzchni skarp. Należy dążyć do takiej organizacji robót, by pozyskany w ten sposób materiał wykorzystać do budowy innego nasypu,</w:t>
      </w:r>
    </w:p>
    <w:p w14:paraId="2D8A812D" w14:textId="77777777" w:rsidR="00793CD0" w:rsidRPr="006431C4" w:rsidRDefault="00793CD0" w:rsidP="00BE2485">
      <w:pPr>
        <w:overflowPunct w:val="0"/>
        <w:autoSpaceDE w:val="0"/>
        <w:autoSpaceDN w:val="0"/>
        <w:adjustRightInd w:val="0"/>
        <w:spacing w:line="240" w:lineRule="auto"/>
        <w:ind w:left="709" w:hanging="709"/>
        <w:jc w:val="both"/>
        <w:textAlignment w:val="baseline"/>
        <w:rPr>
          <w:rFonts w:cs="Arial"/>
          <w:szCs w:val="20"/>
        </w:rPr>
      </w:pPr>
      <w:r w:rsidRPr="006431C4">
        <w:rPr>
          <w:rFonts w:cs="Arial"/>
          <w:b/>
          <w:szCs w:val="20"/>
        </w:rPr>
        <w:t>5.3.3.2.</w:t>
      </w:r>
      <w:r w:rsidRPr="006431C4">
        <w:rPr>
          <w:rFonts w:cs="Arial"/>
          <w:szCs w:val="20"/>
        </w:rPr>
        <w:t xml:space="preserve"> Wykonywanie nasypu z materiału wrażliwego na działanie wody</w:t>
      </w:r>
    </w:p>
    <w:p w14:paraId="358A739D" w14:textId="77777777" w:rsidR="00793CD0" w:rsidRPr="006431C4" w:rsidRDefault="00793CD0" w:rsidP="00BE2485">
      <w:pPr>
        <w:overflowPunct w:val="0"/>
        <w:autoSpaceDE w:val="0"/>
        <w:autoSpaceDN w:val="0"/>
        <w:adjustRightInd w:val="0"/>
        <w:spacing w:line="240" w:lineRule="auto"/>
        <w:ind w:left="283"/>
        <w:jc w:val="both"/>
        <w:textAlignment w:val="baseline"/>
        <w:rPr>
          <w:rFonts w:cs="Arial"/>
          <w:szCs w:val="20"/>
        </w:rPr>
      </w:pPr>
      <w:r w:rsidRPr="006431C4">
        <w:rPr>
          <w:rFonts w:cs="Arial"/>
          <w:szCs w:val="20"/>
        </w:rPr>
        <w:t xml:space="preserve">Przy wykonywaniu nasypów z popiołów lotnych lub innego materiału wrażliwego na działanie wody, warstwę pod popiołami takim materiałem, grubości 0,3 do </w:t>
      </w:r>
      <w:smartTag w:uri="urn:schemas-microsoft-com:office:smarttags" w:element="metricconverter">
        <w:smartTagPr>
          <w:attr w:name="ProductID" w:val="0,5 m"/>
        </w:smartTagPr>
        <w:r w:rsidRPr="006431C4">
          <w:rPr>
            <w:rFonts w:cs="Arial"/>
            <w:szCs w:val="20"/>
          </w:rPr>
          <w:t>0,5 m</w:t>
        </w:r>
      </w:smartTag>
      <w:r w:rsidRPr="006431C4">
        <w:rPr>
          <w:rFonts w:cs="Arial"/>
          <w:szCs w:val="20"/>
        </w:rPr>
        <w:t xml:space="preserve">, należy wykonać z gruntu lub materiałów o dużej przepuszczalności. Górnej powierzchni warstwy popiołu należy nadać spadki poprzeczne 4% </w:t>
      </w:r>
      <w:r w:rsidRPr="006431C4">
        <w:rPr>
          <w:rFonts w:cs="Arial"/>
          <w:szCs w:val="20"/>
        </w:rPr>
        <w:sym w:font="Symbol" w:char="F0B1"/>
      </w:r>
      <w:r w:rsidRPr="006431C4">
        <w:rPr>
          <w:rFonts w:cs="Arial"/>
          <w:szCs w:val="20"/>
        </w:rPr>
        <w:t xml:space="preserve">1% według poz. e) punktu powyżej. Poza tym Wykonawca przedstawi do akceptacji rozwiązanie zapewniające ochronę wrażliwych materiałów przed dostępem i oddziaływaniem wody. W przypadku zastosowania w nasypie mieszanek popiołowych Wykonawca uwzględni wyniki analizy stateczności oraz ocenę możliwości potencjalnego zanieczyszczenia powierzchni ziemi szkodliwymi substancjami,    </w:t>
      </w:r>
    </w:p>
    <w:p w14:paraId="1B8226D4" w14:textId="77777777" w:rsidR="00793CD0" w:rsidRPr="006431C4" w:rsidRDefault="00793CD0" w:rsidP="00BE2485">
      <w:pPr>
        <w:overflowPunct w:val="0"/>
        <w:autoSpaceDE w:val="0"/>
        <w:autoSpaceDN w:val="0"/>
        <w:adjustRightInd w:val="0"/>
        <w:spacing w:line="240" w:lineRule="auto"/>
        <w:ind w:left="709" w:hanging="709"/>
        <w:jc w:val="both"/>
        <w:textAlignment w:val="baseline"/>
        <w:rPr>
          <w:rFonts w:cs="Arial"/>
          <w:szCs w:val="20"/>
        </w:rPr>
      </w:pPr>
      <w:r w:rsidRPr="006431C4">
        <w:rPr>
          <w:rFonts w:cs="Arial"/>
          <w:b/>
          <w:szCs w:val="20"/>
        </w:rPr>
        <w:t xml:space="preserve">5.3.3.3. </w:t>
      </w:r>
      <w:r w:rsidRPr="006431C4">
        <w:rPr>
          <w:rFonts w:cs="Arial"/>
          <w:szCs w:val="20"/>
        </w:rPr>
        <w:t xml:space="preserve">Wykonywanie nasypów z gruntów kamienistych lub materiałów gruboziarnistych </w:t>
      </w:r>
    </w:p>
    <w:p w14:paraId="6B184FDB"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Nie należy wbudowywać w nasyp gruntów kamienistych, gruzu betonowego i innych podobnych, twardych materiałów w tych miejscach, gdzie przewiduje się formowanie lub wbicie pali albo budowę konstrukcji i urządzeń.</w:t>
      </w:r>
    </w:p>
    <w:p w14:paraId="1EBC7148"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Wykonywanie nasypów z gruntów kamienistych lub materiałów gruboziarnistych powinno odbywać się według jednej z niżej podanych metod, jeśli nie zostało określone inaczej w dokumentacji projektowej, SST lub przez Inżyniera:</w:t>
      </w:r>
    </w:p>
    <w:p w14:paraId="3E52A036" w14:textId="77777777" w:rsidR="00793CD0" w:rsidRPr="006431C4" w:rsidRDefault="00793CD0" w:rsidP="00CF1E7D">
      <w:pPr>
        <w:numPr>
          <w:ilvl w:val="0"/>
          <w:numId w:val="132"/>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Wykonywanie nasypów z gruntów, skał lub materiałów gruboziarnistych powyżej konstrukcji, na przykład przepustu</w:t>
      </w:r>
    </w:p>
    <w:p w14:paraId="02D91548" w14:textId="77777777" w:rsidR="00793CD0" w:rsidRPr="006431C4" w:rsidRDefault="00793CD0" w:rsidP="00BE2485">
      <w:pPr>
        <w:overflowPunct w:val="0"/>
        <w:autoSpaceDE w:val="0"/>
        <w:autoSpaceDN w:val="0"/>
        <w:adjustRightInd w:val="0"/>
        <w:spacing w:line="240" w:lineRule="auto"/>
        <w:ind w:left="426" w:firstLine="708"/>
        <w:jc w:val="both"/>
        <w:textAlignment w:val="baseline"/>
        <w:rPr>
          <w:rFonts w:cs="Arial"/>
          <w:szCs w:val="20"/>
        </w:rPr>
      </w:pPr>
      <w:r w:rsidRPr="006431C4">
        <w:rPr>
          <w:rFonts w:cs="Arial"/>
          <w:szCs w:val="20"/>
        </w:rPr>
        <w:t>Należy wcześniej ułożyć na konstrukcji i zagęścić warstwę gruntu, skały lub materiału antropogenicznego drobnoziarnistego lub średnioziarnistego, o łącznej grubości od 0,5 do 1,0 metra.</w:t>
      </w:r>
    </w:p>
    <w:p w14:paraId="5D122094" w14:textId="77777777" w:rsidR="00793CD0" w:rsidRPr="006431C4" w:rsidRDefault="00793CD0" w:rsidP="00CF1E7D">
      <w:pPr>
        <w:numPr>
          <w:ilvl w:val="0"/>
          <w:numId w:val="132"/>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Wykonywanie nasypów z gruntów kamienistych lub materiałów gruboziarnistych z wypełnieniem wolnych przestrzeni</w:t>
      </w:r>
    </w:p>
    <w:p w14:paraId="1B78BB2A" w14:textId="77777777" w:rsidR="00793CD0" w:rsidRPr="006431C4" w:rsidRDefault="00793CD0" w:rsidP="00BE2485">
      <w:pPr>
        <w:overflowPunct w:val="0"/>
        <w:autoSpaceDE w:val="0"/>
        <w:autoSpaceDN w:val="0"/>
        <w:adjustRightInd w:val="0"/>
        <w:spacing w:line="240" w:lineRule="auto"/>
        <w:ind w:left="426" w:firstLine="708"/>
        <w:jc w:val="both"/>
        <w:textAlignment w:val="baseline"/>
        <w:rPr>
          <w:rFonts w:cs="Arial"/>
          <w:szCs w:val="20"/>
        </w:rPr>
      </w:pPr>
      <w:r w:rsidRPr="006431C4">
        <w:rPr>
          <w:rFonts w:cs="Arial"/>
          <w:szCs w:val="20"/>
        </w:rPr>
        <w:t xml:space="preserve">Każdą rozłożoną warstwę materiałów gruboziarnistych o grubości nie większej niż </w:t>
      </w:r>
      <w:smartTag w:uri="urn:schemas-microsoft-com:office:smarttags" w:element="metricconverter">
        <w:smartTagPr>
          <w:attr w:name="ProductID" w:val="0,3 m"/>
        </w:smartTagPr>
        <w:r w:rsidRPr="006431C4">
          <w:rPr>
            <w:rFonts w:cs="Arial"/>
            <w:szCs w:val="20"/>
          </w:rPr>
          <w:t>0,3 m</w:t>
        </w:r>
      </w:smartTag>
      <w:r w:rsidRPr="006431C4">
        <w:rPr>
          <w:rFonts w:cs="Arial"/>
          <w:szCs w:val="20"/>
        </w:rPr>
        <w:t>, należy przykryć warstwą żwiru, pospółki, piasku lub gruntu (materiału) drobnoziarnistego. Materiałem tym wskutek zagęszczania (najlepiej sprzętem wibracyjnym), wypełnia się wolne przestrzenie między grubymi ziarnami. Przy tym sposobie budowania nasypów można stosować skały oraz  materiały gruboziarniste, które są miękkie, natomiast jako wypełnienie stosuje się grunty sypkie (żwir, pospółka, piasek).</w:t>
      </w:r>
    </w:p>
    <w:p w14:paraId="01B10C3C" w14:textId="77777777" w:rsidR="00793CD0" w:rsidRPr="006431C4" w:rsidRDefault="00793CD0" w:rsidP="00CF1E7D">
      <w:pPr>
        <w:numPr>
          <w:ilvl w:val="0"/>
          <w:numId w:val="132"/>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Wykonywanie nasypów z gruntów kamienistych lub materiałów gruboziarnistych bez wypełnienia wolnych przestrzeni</w:t>
      </w:r>
    </w:p>
    <w:p w14:paraId="002F0256" w14:textId="77777777" w:rsidR="00793CD0" w:rsidRPr="006431C4" w:rsidRDefault="00793CD0" w:rsidP="00BE2485">
      <w:pPr>
        <w:overflowPunct w:val="0"/>
        <w:autoSpaceDE w:val="0"/>
        <w:autoSpaceDN w:val="0"/>
        <w:adjustRightInd w:val="0"/>
        <w:spacing w:line="240" w:lineRule="auto"/>
        <w:ind w:left="426" w:firstLine="708"/>
        <w:jc w:val="both"/>
        <w:textAlignment w:val="baseline"/>
        <w:rPr>
          <w:rFonts w:cs="Arial"/>
          <w:szCs w:val="20"/>
        </w:rPr>
      </w:pPr>
      <w:r w:rsidRPr="006431C4">
        <w:rPr>
          <w:rFonts w:cs="Arial"/>
          <w:szCs w:val="20"/>
        </w:rPr>
        <w:t xml:space="preserve">Warstwy nasypu wykonane według tej metody powinny być zbudowane z materiałów mrozoodpornych. Warstwy te należy oddzielić od podłoża gruntowego pod nasypem oraz od górnej strefy nasypu około 10-centymetrową warstwą żwiru, pospółki lub nieodsianego kruszywa łamanego, zawierającego od 25 do 50% ziarn mniejszych od </w:t>
      </w:r>
      <w:smartTag w:uri="urn:schemas-microsoft-com:office:smarttags" w:element="metricconverter">
        <w:smartTagPr>
          <w:attr w:name="ProductID" w:val="2 mm"/>
        </w:smartTagPr>
        <w:r w:rsidRPr="006431C4">
          <w:rPr>
            <w:rFonts w:cs="Arial"/>
            <w:szCs w:val="20"/>
          </w:rPr>
          <w:t>2 mm</w:t>
        </w:r>
      </w:smartTag>
      <w:r w:rsidRPr="006431C4">
        <w:rPr>
          <w:rFonts w:cs="Arial"/>
          <w:szCs w:val="20"/>
        </w:rPr>
        <w:t xml:space="preserve"> i spełniających warunek:</w:t>
      </w:r>
    </w:p>
    <w:p w14:paraId="26795AFD" w14:textId="77777777" w:rsidR="00793CD0" w:rsidRPr="006431C4" w:rsidRDefault="00793CD0" w:rsidP="00BE2485">
      <w:pPr>
        <w:overflowPunct w:val="0"/>
        <w:autoSpaceDE w:val="0"/>
        <w:autoSpaceDN w:val="0"/>
        <w:adjustRightInd w:val="0"/>
        <w:spacing w:line="240" w:lineRule="auto"/>
        <w:ind w:left="426"/>
        <w:jc w:val="center"/>
        <w:textAlignment w:val="baseline"/>
        <w:rPr>
          <w:rFonts w:cs="Arial"/>
          <w:szCs w:val="20"/>
          <w:vertAlign w:val="subscript"/>
        </w:rPr>
      </w:pPr>
      <w:r w:rsidRPr="006431C4">
        <w:rPr>
          <w:rFonts w:cs="Arial"/>
          <w:szCs w:val="20"/>
        </w:rPr>
        <w:t>4 d</w:t>
      </w:r>
      <w:r w:rsidRPr="006431C4">
        <w:rPr>
          <w:rFonts w:cs="Arial"/>
          <w:szCs w:val="20"/>
          <w:vertAlign w:val="subscript"/>
        </w:rPr>
        <w:t>85</w:t>
      </w:r>
      <w:r w:rsidRPr="006431C4">
        <w:rPr>
          <w:rFonts w:cs="Arial"/>
          <w:szCs w:val="20"/>
        </w:rPr>
        <w:t xml:space="preserve"> </w:t>
      </w:r>
      <w:r w:rsidRPr="006431C4">
        <w:rPr>
          <w:rFonts w:cs="Arial"/>
          <w:szCs w:val="20"/>
        </w:rPr>
        <w:sym w:font="Symbol" w:char="F0B3"/>
      </w:r>
      <w:r w:rsidRPr="006431C4">
        <w:rPr>
          <w:rFonts w:cs="Arial"/>
          <w:szCs w:val="20"/>
        </w:rPr>
        <w:t xml:space="preserve"> D</w:t>
      </w:r>
      <w:r w:rsidRPr="006431C4">
        <w:rPr>
          <w:rFonts w:cs="Arial"/>
          <w:szCs w:val="20"/>
          <w:vertAlign w:val="subscript"/>
        </w:rPr>
        <w:t>15</w:t>
      </w:r>
      <w:r w:rsidRPr="006431C4">
        <w:rPr>
          <w:rFonts w:cs="Arial"/>
          <w:szCs w:val="20"/>
        </w:rPr>
        <w:t xml:space="preserve"> </w:t>
      </w:r>
      <w:r w:rsidRPr="006431C4">
        <w:rPr>
          <w:rFonts w:cs="Arial"/>
          <w:szCs w:val="20"/>
        </w:rPr>
        <w:sym w:font="Symbol" w:char="F0B3"/>
      </w:r>
      <w:r w:rsidRPr="006431C4">
        <w:rPr>
          <w:rFonts w:cs="Arial"/>
          <w:szCs w:val="20"/>
        </w:rPr>
        <w:t xml:space="preserve"> 4 d</w:t>
      </w:r>
      <w:r w:rsidRPr="006431C4">
        <w:rPr>
          <w:rFonts w:cs="Arial"/>
          <w:szCs w:val="20"/>
          <w:vertAlign w:val="subscript"/>
        </w:rPr>
        <w:t>15</w:t>
      </w:r>
    </w:p>
    <w:p w14:paraId="18A459CC" w14:textId="77777777" w:rsidR="00793CD0" w:rsidRPr="006431C4" w:rsidRDefault="00793CD0" w:rsidP="00BE2485">
      <w:pPr>
        <w:overflowPunct w:val="0"/>
        <w:autoSpaceDE w:val="0"/>
        <w:autoSpaceDN w:val="0"/>
        <w:adjustRightInd w:val="0"/>
        <w:spacing w:line="240" w:lineRule="auto"/>
        <w:ind w:left="426"/>
        <w:jc w:val="both"/>
        <w:textAlignment w:val="baseline"/>
        <w:rPr>
          <w:rFonts w:cs="Arial"/>
          <w:szCs w:val="20"/>
        </w:rPr>
      </w:pPr>
      <w:r w:rsidRPr="006431C4">
        <w:rPr>
          <w:rFonts w:cs="Arial"/>
          <w:szCs w:val="20"/>
        </w:rPr>
        <w:t>gdzie:</w:t>
      </w:r>
    </w:p>
    <w:p w14:paraId="7415B209" w14:textId="77777777" w:rsidR="00793CD0" w:rsidRPr="006431C4" w:rsidRDefault="00793CD0" w:rsidP="00BE2485">
      <w:pPr>
        <w:tabs>
          <w:tab w:val="left" w:pos="-4111"/>
        </w:tabs>
        <w:overflowPunct w:val="0"/>
        <w:autoSpaceDE w:val="0"/>
        <w:autoSpaceDN w:val="0"/>
        <w:adjustRightInd w:val="0"/>
        <w:spacing w:line="240" w:lineRule="auto"/>
        <w:ind w:left="1276" w:hanging="851"/>
        <w:jc w:val="both"/>
        <w:textAlignment w:val="baseline"/>
        <w:rPr>
          <w:rFonts w:cs="Arial"/>
          <w:szCs w:val="20"/>
        </w:rPr>
      </w:pPr>
      <w:r w:rsidRPr="006431C4">
        <w:rPr>
          <w:rFonts w:cs="Arial"/>
          <w:szCs w:val="20"/>
        </w:rPr>
        <w:t>d</w:t>
      </w:r>
      <w:r w:rsidRPr="006431C4">
        <w:rPr>
          <w:rFonts w:cs="Arial"/>
          <w:szCs w:val="20"/>
          <w:vertAlign w:val="subscript"/>
        </w:rPr>
        <w:t>85</w:t>
      </w:r>
      <w:r w:rsidRPr="006431C4">
        <w:rPr>
          <w:rFonts w:cs="Arial"/>
          <w:szCs w:val="20"/>
        </w:rPr>
        <w:t xml:space="preserve"> i d</w:t>
      </w:r>
      <w:r w:rsidRPr="006431C4">
        <w:rPr>
          <w:rFonts w:cs="Arial"/>
          <w:szCs w:val="20"/>
          <w:vertAlign w:val="subscript"/>
        </w:rPr>
        <w:t>15</w:t>
      </w:r>
      <w:r w:rsidRPr="006431C4">
        <w:rPr>
          <w:rFonts w:cs="Arial"/>
          <w:szCs w:val="20"/>
        </w:rPr>
        <w:tab/>
        <w:t>- średnica oczek sita, przez które przechodzi 85% i 15% gruntu podłoża lub gruntu górnej warstwy nasypu (mm),</w:t>
      </w:r>
    </w:p>
    <w:p w14:paraId="7F5BF5AE" w14:textId="77777777" w:rsidR="00793CD0" w:rsidRPr="006431C4" w:rsidRDefault="00793CD0" w:rsidP="00BE2485">
      <w:pPr>
        <w:tabs>
          <w:tab w:val="left" w:pos="-4111"/>
        </w:tabs>
        <w:overflowPunct w:val="0"/>
        <w:autoSpaceDE w:val="0"/>
        <w:autoSpaceDN w:val="0"/>
        <w:adjustRightInd w:val="0"/>
        <w:spacing w:line="240" w:lineRule="auto"/>
        <w:ind w:left="1276" w:hanging="851"/>
        <w:jc w:val="both"/>
        <w:textAlignment w:val="baseline"/>
        <w:rPr>
          <w:rFonts w:cs="Arial"/>
          <w:szCs w:val="20"/>
        </w:rPr>
      </w:pPr>
      <w:r w:rsidRPr="006431C4">
        <w:rPr>
          <w:rFonts w:cs="Arial"/>
          <w:szCs w:val="20"/>
        </w:rPr>
        <w:t>D</w:t>
      </w:r>
      <w:r w:rsidRPr="006431C4">
        <w:rPr>
          <w:rFonts w:cs="Arial"/>
          <w:szCs w:val="20"/>
          <w:vertAlign w:val="subscript"/>
        </w:rPr>
        <w:t>15</w:t>
      </w:r>
      <w:r w:rsidRPr="006431C4">
        <w:rPr>
          <w:rFonts w:cs="Arial"/>
          <w:szCs w:val="20"/>
        </w:rPr>
        <w:tab/>
        <w:t>- średnica oczek sita, przez które przechodzi 15% materiału gruboziarnistego (mm).</w:t>
      </w:r>
    </w:p>
    <w:p w14:paraId="05ED2281" w14:textId="77777777" w:rsidR="00793CD0" w:rsidRPr="006431C4" w:rsidRDefault="00793CD0" w:rsidP="00BE2485">
      <w:pPr>
        <w:overflowPunct w:val="0"/>
        <w:autoSpaceDE w:val="0"/>
        <w:autoSpaceDN w:val="0"/>
        <w:adjustRightInd w:val="0"/>
        <w:spacing w:line="240" w:lineRule="auto"/>
        <w:ind w:left="426" w:firstLine="708"/>
        <w:jc w:val="both"/>
        <w:textAlignment w:val="baseline"/>
        <w:rPr>
          <w:rFonts w:cs="Arial"/>
          <w:szCs w:val="20"/>
        </w:rPr>
      </w:pPr>
      <w:r w:rsidRPr="006431C4">
        <w:rPr>
          <w:rFonts w:cs="Arial"/>
          <w:szCs w:val="20"/>
        </w:rPr>
        <w:tab/>
        <w:t xml:space="preserve">Części nasypów wykonywane tą metodą nie mogą sięgać wyżej niż </w:t>
      </w:r>
      <w:smartTag w:uri="urn:schemas-microsoft-com:office:smarttags" w:element="metricconverter">
        <w:smartTagPr>
          <w:attr w:name="ProductID" w:val="1,2 m"/>
        </w:smartTagPr>
        <w:r w:rsidRPr="006431C4">
          <w:rPr>
            <w:rFonts w:cs="Arial"/>
            <w:szCs w:val="20"/>
          </w:rPr>
          <w:t>1,2 m</w:t>
        </w:r>
      </w:smartTag>
      <w:r w:rsidRPr="006431C4">
        <w:rPr>
          <w:rFonts w:cs="Arial"/>
          <w:szCs w:val="20"/>
        </w:rPr>
        <w:t xml:space="preserve"> od projektowanej niwelety nasypu.</w:t>
      </w:r>
    </w:p>
    <w:p w14:paraId="75515FF0" w14:textId="77777777" w:rsidR="00793CD0" w:rsidRPr="006431C4" w:rsidRDefault="00793CD0" w:rsidP="00CF1E7D">
      <w:pPr>
        <w:numPr>
          <w:ilvl w:val="0"/>
          <w:numId w:val="132"/>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Warstwa oddzielająca z geotekstyliów przy wykonywaniu nasypów z gruntów kamienistych</w:t>
      </w:r>
    </w:p>
    <w:p w14:paraId="4DDA796A" w14:textId="77777777" w:rsidR="00793CD0" w:rsidRPr="006431C4" w:rsidRDefault="00793CD0" w:rsidP="00BE2485">
      <w:pPr>
        <w:overflowPunct w:val="0"/>
        <w:autoSpaceDE w:val="0"/>
        <w:autoSpaceDN w:val="0"/>
        <w:adjustRightInd w:val="0"/>
        <w:spacing w:line="240" w:lineRule="auto"/>
        <w:ind w:left="426" w:firstLine="708"/>
        <w:jc w:val="both"/>
        <w:textAlignment w:val="baseline"/>
        <w:rPr>
          <w:rFonts w:cs="Arial"/>
          <w:szCs w:val="20"/>
        </w:rPr>
      </w:pPr>
      <w:r w:rsidRPr="006431C4">
        <w:rPr>
          <w:rFonts w:cs="Arial"/>
          <w:szCs w:val="20"/>
        </w:rPr>
        <w:t>Rolę warstw oddzielających mogą również pełnić warstwy geotekstyliów. Geotekstylia przewidziane do użycia w tym celu powinny posiadać techniczną deklarację właściwości użytkowych, wydaną przez uprawnioną jednostkę. W szczególności wymagana jest odpowiednia wytrzymałość mechaniczna geotekstyliów, uniemożliwiająca ich przebicie przez ziarna materiału gruboziarnistego oraz odpowiednie właściwości filtracyjne, dostosowane do uziarniania przyległych warstw.</w:t>
      </w:r>
    </w:p>
    <w:p w14:paraId="5170C1D5" w14:textId="77777777" w:rsidR="00793CD0" w:rsidRPr="006431C4" w:rsidRDefault="00793CD0" w:rsidP="00BE2485">
      <w:pPr>
        <w:keepNext/>
        <w:overflowPunct w:val="0"/>
        <w:autoSpaceDE w:val="0"/>
        <w:autoSpaceDN w:val="0"/>
        <w:adjustRightInd w:val="0"/>
        <w:spacing w:line="240" w:lineRule="auto"/>
        <w:ind w:left="851" w:hanging="851"/>
        <w:jc w:val="both"/>
        <w:textAlignment w:val="baseline"/>
        <w:rPr>
          <w:rFonts w:cs="Arial"/>
          <w:szCs w:val="20"/>
        </w:rPr>
      </w:pPr>
      <w:r w:rsidRPr="006431C4">
        <w:rPr>
          <w:rFonts w:cs="Arial"/>
          <w:b/>
          <w:szCs w:val="20"/>
        </w:rPr>
        <w:t xml:space="preserve">5.3.3.4. </w:t>
      </w:r>
      <w:r w:rsidRPr="006431C4">
        <w:rPr>
          <w:rFonts w:cs="Arial"/>
          <w:szCs w:val="20"/>
        </w:rPr>
        <w:t>Wykonywanie nasypów na dojazdach do obiektów mostowych za przyczółkami, murami oporowymi oraz stożków przyczółków i innych skarp w sąsiedztwie obiektów</w:t>
      </w:r>
    </w:p>
    <w:p w14:paraId="6DC8D88D"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Zasypka za przyczółkami i murami oporowymi wg zasad niniejszej SST powinna być wykonana w obrębie klina odłamu, ograniczonego płaszczyzną odchyloną od poziomu pod kątem 45° i znajdującą się w odległości 1÷1,5 m od tylnej krawędzi fundamentu. </w:t>
      </w:r>
    </w:p>
    <w:p w14:paraId="4D2880B3"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ab/>
        <w:t>Do wykonania nasypów na dojazdach do mostów i wiaduktów mogą być stosowane żwiry, pospółki, piaski średnioziarniste i gruboziarniste, o wskaźniku różnoziarnistości U</w:t>
      </w:r>
      <w:r w:rsidRPr="006431C4">
        <w:rPr>
          <w:rFonts w:cs="Arial"/>
          <w:szCs w:val="20"/>
        </w:rPr>
        <w:sym w:font="Symbol" w:char="F0B3"/>
      </w:r>
      <w:r w:rsidRPr="006431C4">
        <w:rPr>
          <w:rFonts w:cs="Arial"/>
          <w:szCs w:val="20"/>
        </w:rPr>
        <w:t>5 i współczynniku wodoprzepuszczalności k</w:t>
      </w:r>
      <w:r w:rsidRPr="006431C4">
        <w:rPr>
          <w:rFonts w:cs="Arial"/>
          <w:szCs w:val="20"/>
          <w:vertAlign w:val="subscript"/>
        </w:rPr>
        <w:t>10</w:t>
      </w:r>
      <w:r w:rsidRPr="006431C4">
        <w:rPr>
          <w:rFonts w:cs="Arial"/>
          <w:szCs w:val="20"/>
        </w:rPr>
        <w:t xml:space="preserve"> </w:t>
      </w:r>
      <w:r w:rsidRPr="006431C4">
        <w:rPr>
          <w:rFonts w:cs="Arial"/>
          <w:szCs w:val="20"/>
        </w:rPr>
        <w:sym w:font="Symbol" w:char="F03E"/>
      </w:r>
      <w:r w:rsidRPr="006431C4">
        <w:rPr>
          <w:rFonts w:cs="Arial"/>
          <w:szCs w:val="20"/>
        </w:rPr>
        <w:t xml:space="preserve"> 10</w:t>
      </w:r>
      <w:r w:rsidRPr="006431C4">
        <w:rPr>
          <w:rFonts w:cs="Arial"/>
          <w:szCs w:val="20"/>
          <w:vertAlign w:val="superscript"/>
        </w:rPr>
        <w:t xml:space="preserve"> -5</w:t>
      </w:r>
      <w:r w:rsidRPr="006431C4">
        <w:rPr>
          <w:rFonts w:cs="Arial"/>
          <w:szCs w:val="20"/>
        </w:rPr>
        <w:t xml:space="preserve"> m/s. W czasie wykonywania nasypu na dojazdach należy spełnić wymagania ogólne, sformułowane w pkcie 5.3.3.1. </w:t>
      </w:r>
    </w:p>
    <w:p w14:paraId="25DE2706"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Wskaźnik zagęszczenia gruntu I</w:t>
      </w:r>
      <w:r w:rsidRPr="006431C4">
        <w:rPr>
          <w:rFonts w:cs="Arial"/>
          <w:szCs w:val="20"/>
          <w:vertAlign w:val="subscript"/>
        </w:rPr>
        <w:t>s</w:t>
      </w:r>
      <w:r w:rsidRPr="006431C4">
        <w:rPr>
          <w:rFonts w:cs="Arial"/>
          <w:szCs w:val="20"/>
        </w:rPr>
        <w:t xml:space="preserve"> powinien być nie mniejszy niż 1,00 na całej wysokości nasypu , z wyjątkiem skarp stożków przy skrzydełkach oraz skarp przyczółków ażurowych i wtopionych w nasyp, w których wskaźnik zagęszczenia powinien być nie mniejszy niż 0,95. </w:t>
      </w:r>
    </w:p>
    <w:p w14:paraId="568BDC68"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Trudno dostępne miejsca przestrzeni zasypywanej mogą być wypełniane gruntem stabilizowanym cementem. Niedopuszczalne jest ich wypełnienie upłynnionym gruntem niespoistym.  </w:t>
      </w:r>
    </w:p>
    <w:p w14:paraId="4E9369B5"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Obiekty obsypywane obustronnie, jak sztywne konstrukcje (łuki, ramy, skrzynie) oraz ściany i podpory ażurowe wtopione w nasyp powinny być obsypywane i zagęszczane równomiernie z obu stron. Różnica poziomów zasypki nie powinna w takim przypadku przekraczać </w:t>
      </w:r>
      <w:smartTag w:uri="urn:schemas-microsoft-com:office:smarttags" w:element="metricconverter">
        <w:smartTagPr>
          <w:attr w:name="ProductID" w:val="0,5 m"/>
        </w:smartTagPr>
        <w:r w:rsidRPr="006431C4">
          <w:rPr>
            <w:rFonts w:cs="Arial"/>
            <w:szCs w:val="20"/>
          </w:rPr>
          <w:t>0,5 m</w:t>
        </w:r>
      </w:smartTag>
      <w:r w:rsidRPr="006431C4">
        <w:rPr>
          <w:rFonts w:cs="Arial"/>
          <w:szCs w:val="20"/>
        </w:rPr>
        <w:t xml:space="preserve">, jeśli nie jest to uzasadnione obliczeniami statycznymi.  </w:t>
      </w:r>
    </w:p>
    <w:p w14:paraId="084B1C20"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części nasypu przylegającej do przyczółków lub ścian oporowych należy wykonać urządzenia odwadniające zgodnie z dokumentacją projektową. </w:t>
      </w:r>
    </w:p>
    <w:p w14:paraId="4482A329"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5.3.3.5.</w:t>
      </w:r>
      <w:r w:rsidRPr="006431C4">
        <w:rPr>
          <w:rFonts w:cs="Arial"/>
          <w:szCs w:val="20"/>
        </w:rPr>
        <w:t xml:space="preserve"> Wykonanie nasypów w obrębie przepustów</w:t>
      </w:r>
    </w:p>
    <w:p w14:paraId="62BA23D3"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Nasypy w obrębie przepustów należy wykonywać jednocześnie z obu stron przepustu z jednakowych, dobrze zagęszczonych poziomych warstw gruntu. Przepusty powinny być wykonane wcześniej niż nasyp. Dopuszcza się wykonanie przepustów w przekopach (wcinkach) wykonanych w poprzek uformowanego nasypu. W tym przypadku podczas wykonania nasypu w obrębie  przekopu należy   uwzględnić wymagania określone  w pkcie 5.3.3.6.</w:t>
      </w:r>
    </w:p>
    <w:p w14:paraId="19FD3DE1"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powyżej konstrukcji przepustu ma być wykonany nasyp gruntów, skał lub materiałów gruboziarnistych, należy wcześniej ułożyć warstwę gruntu wg pkt.5.3.3.3.a)</w:t>
      </w:r>
    </w:p>
    <w:p w14:paraId="233BAD9E"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5.3.3.6. </w:t>
      </w:r>
      <w:r w:rsidRPr="006431C4">
        <w:rPr>
          <w:rFonts w:cs="Arial"/>
          <w:szCs w:val="20"/>
        </w:rPr>
        <w:t>Wykonywanie nasypów na zboczach</w:t>
      </w:r>
    </w:p>
    <w:p w14:paraId="438047D0"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Przy budowie nasypu na zboczu o pochyłości od 1:5 do 1:2 należy zabezpieczyć nasyp przed zsuwaniem się przez:</w:t>
      </w:r>
    </w:p>
    <w:p w14:paraId="2B4FBFFE" w14:textId="77777777" w:rsidR="00793CD0" w:rsidRPr="006431C4" w:rsidRDefault="00793CD0" w:rsidP="00CF1E7D">
      <w:pPr>
        <w:numPr>
          <w:ilvl w:val="0"/>
          <w:numId w:val="124"/>
        </w:numPr>
        <w:overflowPunct w:val="0"/>
        <w:autoSpaceDE w:val="0"/>
        <w:autoSpaceDN w:val="0"/>
        <w:adjustRightInd w:val="0"/>
        <w:spacing w:line="240" w:lineRule="auto"/>
        <w:jc w:val="both"/>
        <w:textAlignment w:val="baseline"/>
        <w:rPr>
          <w:rFonts w:cs="Arial"/>
          <w:szCs w:val="20"/>
        </w:rPr>
      </w:pPr>
      <w:r w:rsidRPr="006431C4">
        <w:rPr>
          <w:rFonts w:cs="Arial"/>
          <w:szCs w:val="20"/>
        </w:rPr>
        <w:t>wycięcie w zboczu stopni wg pktu 5.3.1.1,</w:t>
      </w:r>
    </w:p>
    <w:p w14:paraId="2D854D6A" w14:textId="77777777" w:rsidR="00793CD0" w:rsidRPr="006431C4" w:rsidRDefault="00793CD0" w:rsidP="00CF1E7D">
      <w:pPr>
        <w:numPr>
          <w:ilvl w:val="0"/>
          <w:numId w:val="124"/>
        </w:numPr>
        <w:overflowPunct w:val="0"/>
        <w:autoSpaceDE w:val="0"/>
        <w:autoSpaceDN w:val="0"/>
        <w:adjustRightInd w:val="0"/>
        <w:spacing w:line="240" w:lineRule="auto"/>
        <w:jc w:val="both"/>
        <w:textAlignment w:val="baseline"/>
        <w:rPr>
          <w:rFonts w:cs="Arial"/>
          <w:szCs w:val="20"/>
        </w:rPr>
      </w:pPr>
      <w:r w:rsidRPr="006431C4">
        <w:rPr>
          <w:rFonts w:cs="Arial"/>
          <w:szCs w:val="20"/>
        </w:rPr>
        <w:t>wykonanie rowu stokowego powyżej nasypu.</w:t>
      </w:r>
    </w:p>
    <w:p w14:paraId="6DF7A2B0"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Przy pochyłościach zbocza większych niż 1:2 wskazane jest zabezpieczenie stateczności nasypu przez podparcie go murem oporowym lub wykorzystanie technologii gruntu zbrojonego. Rozwiązania te powinny być poparte analizą stateczności zbocza.</w:t>
      </w:r>
    </w:p>
    <w:p w14:paraId="50292935"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5.3.3.7. </w:t>
      </w:r>
      <w:r w:rsidRPr="006431C4">
        <w:rPr>
          <w:rFonts w:cs="Arial"/>
          <w:szCs w:val="20"/>
        </w:rPr>
        <w:t>Poszerzenie nasypu</w:t>
      </w:r>
    </w:p>
    <w:p w14:paraId="561EA60D"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Przy poszerzeniu istniejącego nasypu należy wykonywać w jego skarpie stopnie o szerokości do </w:t>
      </w:r>
      <w:smartTag w:uri="urn:schemas-microsoft-com:office:smarttags" w:element="metricconverter">
        <w:smartTagPr>
          <w:attr w:name="ProductID" w:val="1,0 m"/>
        </w:smartTagPr>
        <w:r w:rsidRPr="006431C4">
          <w:rPr>
            <w:rFonts w:cs="Arial"/>
            <w:szCs w:val="20"/>
          </w:rPr>
          <w:t>1,0 m</w:t>
        </w:r>
      </w:smartTag>
      <w:r w:rsidRPr="006431C4">
        <w:rPr>
          <w:rFonts w:cs="Arial"/>
          <w:szCs w:val="20"/>
        </w:rPr>
        <w:t xml:space="preserve">. Spadek górnej powierzchni stopni powinien wynosić 4% </w:t>
      </w:r>
      <w:r w:rsidRPr="006431C4">
        <w:rPr>
          <w:rFonts w:cs="Arial"/>
          <w:szCs w:val="20"/>
        </w:rPr>
        <w:sym w:font="Symbol" w:char="F0B1"/>
      </w:r>
      <w:r w:rsidRPr="006431C4">
        <w:rPr>
          <w:rFonts w:cs="Arial"/>
          <w:szCs w:val="20"/>
        </w:rPr>
        <w:t>1%, w kierunku zgodnym z pochyleniem skarpy.</w:t>
      </w:r>
    </w:p>
    <w:p w14:paraId="70D52BB8"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Wycięcie stopni obowiązuje zawsze przy wykonywaniu styku dwóch przyległych części nasypu, wykonanych z gruntów o różnych właściwościach lub w różnym czasie.</w:t>
      </w:r>
    </w:p>
    <w:p w14:paraId="3CFB1A5F"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5.3.3.8. </w:t>
      </w:r>
      <w:r w:rsidRPr="006431C4">
        <w:rPr>
          <w:rFonts w:cs="Arial"/>
          <w:szCs w:val="20"/>
        </w:rPr>
        <w:t>Wykonywanie nasypów na bagnach</w:t>
      </w:r>
    </w:p>
    <w:p w14:paraId="082F70FA"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Nasypy na bagnach powinny być wykonane według oddzielnych wymagań, opartych na:</w:t>
      </w:r>
    </w:p>
    <w:p w14:paraId="1F0DDEB8" w14:textId="77777777" w:rsidR="00793CD0" w:rsidRPr="006431C4" w:rsidRDefault="00793CD0" w:rsidP="00CF1E7D">
      <w:pPr>
        <w:numPr>
          <w:ilvl w:val="0"/>
          <w:numId w:val="125"/>
        </w:numPr>
        <w:overflowPunct w:val="0"/>
        <w:autoSpaceDE w:val="0"/>
        <w:autoSpaceDN w:val="0"/>
        <w:adjustRightInd w:val="0"/>
        <w:spacing w:line="240" w:lineRule="auto"/>
        <w:jc w:val="both"/>
        <w:textAlignment w:val="baseline"/>
        <w:rPr>
          <w:rFonts w:cs="Arial"/>
          <w:szCs w:val="20"/>
        </w:rPr>
      </w:pPr>
      <w:r w:rsidRPr="006431C4">
        <w:rPr>
          <w:rFonts w:cs="Arial"/>
          <w:szCs w:val="20"/>
        </w:rPr>
        <w:t>wynikach badań głębokości, typu i warunków hydrologicznych bagna,</w:t>
      </w:r>
    </w:p>
    <w:p w14:paraId="7225FFA6" w14:textId="77777777" w:rsidR="00793CD0" w:rsidRPr="006431C4" w:rsidRDefault="00793CD0" w:rsidP="00CF1E7D">
      <w:pPr>
        <w:numPr>
          <w:ilvl w:val="0"/>
          <w:numId w:val="125"/>
        </w:numPr>
        <w:overflowPunct w:val="0"/>
        <w:autoSpaceDE w:val="0"/>
        <w:autoSpaceDN w:val="0"/>
        <w:adjustRightInd w:val="0"/>
        <w:spacing w:line="240" w:lineRule="auto"/>
        <w:jc w:val="both"/>
        <w:textAlignment w:val="baseline"/>
        <w:rPr>
          <w:rFonts w:cs="Arial"/>
          <w:szCs w:val="20"/>
        </w:rPr>
      </w:pPr>
      <w:r w:rsidRPr="006431C4">
        <w:rPr>
          <w:rFonts w:cs="Arial"/>
          <w:szCs w:val="20"/>
        </w:rPr>
        <w:t>wynikach badań próbek gruntu bagiennego z uwzględnieniem określenia rodzaju gruntu wypełniającego bagno, współczynników filtracji, badań edometrycznych, wilgotności itp.,</w:t>
      </w:r>
    </w:p>
    <w:p w14:paraId="36CD7619" w14:textId="77777777" w:rsidR="00793CD0" w:rsidRPr="006431C4" w:rsidRDefault="00793CD0" w:rsidP="00CF1E7D">
      <w:pPr>
        <w:numPr>
          <w:ilvl w:val="0"/>
          <w:numId w:val="125"/>
        </w:numPr>
        <w:overflowPunct w:val="0"/>
        <w:autoSpaceDE w:val="0"/>
        <w:autoSpaceDN w:val="0"/>
        <w:adjustRightInd w:val="0"/>
        <w:spacing w:line="240" w:lineRule="auto"/>
        <w:jc w:val="both"/>
        <w:textAlignment w:val="baseline"/>
        <w:rPr>
          <w:rFonts w:cs="Arial"/>
          <w:szCs w:val="20"/>
        </w:rPr>
      </w:pPr>
      <w:r w:rsidRPr="006431C4">
        <w:rPr>
          <w:rFonts w:cs="Arial"/>
          <w:szCs w:val="20"/>
        </w:rPr>
        <w:t>obliczeniach stateczności nasypu,</w:t>
      </w:r>
    </w:p>
    <w:p w14:paraId="03385B0D" w14:textId="77777777" w:rsidR="00793CD0" w:rsidRPr="006431C4" w:rsidRDefault="00793CD0" w:rsidP="00CF1E7D">
      <w:pPr>
        <w:numPr>
          <w:ilvl w:val="0"/>
          <w:numId w:val="125"/>
        </w:numPr>
        <w:overflowPunct w:val="0"/>
        <w:autoSpaceDE w:val="0"/>
        <w:autoSpaceDN w:val="0"/>
        <w:adjustRightInd w:val="0"/>
        <w:spacing w:line="240" w:lineRule="auto"/>
        <w:jc w:val="both"/>
        <w:textAlignment w:val="baseline"/>
        <w:rPr>
          <w:rFonts w:cs="Arial"/>
          <w:szCs w:val="20"/>
        </w:rPr>
      </w:pPr>
      <w:r w:rsidRPr="006431C4">
        <w:rPr>
          <w:rFonts w:cs="Arial"/>
          <w:szCs w:val="20"/>
        </w:rPr>
        <w:t>obliczeniach wielkości i czasu osiadania,</w:t>
      </w:r>
    </w:p>
    <w:p w14:paraId="2409BD84" w14:textId="77777777" w:rsidR="00793CD0" w:rsidRPr="006431C4" w:rsidRDefault="00793CD0" w:rsidP="00CF1E7D">
      <w:pPr>
        <w:numPr>
          <w:ilvl w:val="0"/>
          <w:numId w:val="125"/>
        </w:numPr>
        <w:overflowPunct w:val="0"/>
        <w:autoSpaceDE w:val="0"/>
        <w:autoSpaceDN w:val="0"/>
        <w:adjustRightInd w:val="0"/>
        <w:spacing w:line="240" w:lineRule="auto"/>
        <w:jc w:val="both"/>
        <w:textAlignment w:val="baseline"/>
        <w:rPr>
          <w:rFonts w:cs="Arial"/>
          <w:szCs w:val="20"/>
        </w:rPr>
      </w:pPr>
      <w:r w:rsidRPr="006431C4">
        <w:rPr>
          <w:rFonts w:cs="Arial"/>
          <w:szCs w:val="20"/>
        </w:rPr>
        <w:t>uzasadnieniu ekonomicznym obranej metody budowy nasypu.</w:t>
      </w:r>
    </w:p>
    <w:p w14:paraId="24B848D9"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 czasie wznoszenia korpusu metodą warstwową obowiązują ogólne zasady określone w pkcie 5.3.3.1.</w:t>
      </w:r>
    </w:p>
    <w:p w14:paraId="4CCF79C8"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5.3.3.9. </w:t>
      </w:r>
      <w:r w:rsidRPr="006431C4">
        <w:rPr>
          <w:rFonts w:cs="Arial"/>
          <w:szCs w:val="20"/>
        </w:rPr>
        <w:t>Wykonywanie nasypów w okresie deszczów</w:t>
      </w:r>
    </w:p>
    <w:p w14:paraId="4E7FDC66"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Nie dopuszcza się wbudowania gruntów, skał lub materiałów nadmiernie zawilgoconych, których stan uniemożliwia osiągniecie wymaganego wskaźnika zagęszczenia. Wykonywanie nasypów należy przerwać, jeżeli wilgotność gruntu, skały lub materiału przekracza wartość dopuszczalną określoną w tabeli 9.</w:t>
      </w:r>
    </w:p>
    <w:p w14:paraId="1A3720BB"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p>
    <w:p w14:paraId="4FEF5A15" w14:textId="532A1303" w:rsidR="00793CD0" w:rsidRPr="006431C4" w:rsidRDefault="00793CD0" w:rsidP="00BE2485">
      <w:pPr>
        <w:overflowPunct w:val="0"/>
        <w:autoSpaceDE w:val="0"/>
        <w:autoSpaceDN w:val="0"/>
        <w:adjustRightInd w:val="0"/>
        <w:spacing w:line="240" w:lineRule="auto"/>
        <w:ind w:left="851" w:hanging="992"/>
        <w:jc w:val="both"/>
        <w:textAlignment w:val="baseline"/>
        <w:rPr>
          <w:rFonts w:cs="Arial"/>
          <w:bCs/>
          <w:szCs w:val="20"/>
        </w:rPr>
      </w:pPr>
      <w:bookmarkStart w:id="378" w:name="_Toc24577618"/>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9</w:t>
      </w:r>
      <w:r w:rsidRPr="006431C4">
        <w:rPr>
          <w:rFonts w:cs="Arial"/>
          <w:bCs/>
          <w:szCs w:val="20"/>
        </w:rPr>
        <w:fldChar w:fldCharType="end"/>
      </w:r>
      <w:r w:rsidRPr="006431C4">
        <w:rPr>
          <w:rFonts w:cs="Arial"/>
          <w:bCs/>
          <w:szCs w:val="20"/>
        </w:rPr>
        <w:t>.</w:t>
      </w:r>
      <w:r w:rsidRPr="006431C4">
        <w:rPr>
          <w:rFonts w:cs="Arial"/>
          <w:bCs/>
          <w:szCs w:val="20"/>
        </w:rPr>
        <w:tab/>
        <w:t>Tolerancja wilgotności gruntów i materiałów antropogenicznych w czasie zagęszczania warstwy</w:t>
      </w:r>
      <w:bookmarkEnd w:id="37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3"/>
        <w:gridCol w:w="2504"/>
        <w:gridCol w:w="3635"/>
      </w:tblGrid>
      <w:tr w:rsidR="00793CD0" w:rsidRPr="006431C4" w14:paraId="1EEDD47A" w14:textId="77777777" w:rsidTr="00793CD0">
        <w:tc>
          <w:tcPr>
            <w:tcW w:w="2503" w:type="dxa"/>
            <w:vMerge w:val="restart"/>
            <w:vAlign w:val="center"/>
          </w:tcPr>
          <w:p w14:paraId="2C5FC1A7"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Wilgotność optymalna W</w:t>
            </w:r>
            <w:r w:rsidRPr="006431C4">
              <w:rPr>
                <w:rFonts w:cs="Arial"/>
                <w:szCs w:val="20"/>
                <w:vertAlign w:val="subscript"/>
              </w:rPr>
              <w:t>OPT</w:t>
            </w:r>
          </w:p>
        </w:tc>
        <w:tc>
          <w:tcPr>
            <w:tcW w:w="6139" w:type="dxa"/>
            <w:gridSpan w:val="2"/>
            <w:vAlign w:val="center"/>
          </w:tcPr>
          <w:p w14:paraId="7094FE54"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Wilgotność gruntu (materiału) w warstwie poddanej zagęszczaniu</w:t>
            </w:r>
          </w:p>
        </w:tc>
      </w:tr>
      <w:tr w:rsidR="00793CD0" w:rsidRPr="006431C4" w14:paraId="71834E87" w14:textId="77777777" w:rsidTr="00793CD0">
        <w:tc>
          <w:tcPr>
            <w:tcW w:w="2503" w:type="dxa"/>
            <w:vMerge/>
            <w:vAlign w:val="center"/>
          </w:tcPr>
          <w:p w14:paraId="24FD1ED1"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tc>
        <w:tc>
          <w:tcPr>
            <w:tcW w:w="2504" w:type="dxa"/>
            <w:vAlign w:val="center"/>
          </w:tcPr>
          <w:p w14:paraId="1D94113E"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Minimalna</w:t>
            </w:r>
          </w:p>
        </w:tc>
        <w:tc>
          <w:tcPr>
            <w:tcW w:w="3635" w:type="dxa"/>
            <w:vAlign w:val="center"/>
          </w:tcPr>
          <w:p w14:paraId="54663EC8"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Maksymalna</w:t>
            </w:r>
          </w:p>
        </w:tc>
      </w:tr>
      <w:tr w:rsidR="00793CD0" w:rsidRPr="006431C4" w14:paraId="59412D32" w14:textId="77777777" w:rsidTr="00793CD0">
        <w:tc>
          <w:tcPr>
            <w:tcW w:w="2503" w:type="dxa"/>
          </w:tcPr>
          <w:p w14:paraId="55688302"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&lt;10%</w:t>
            </w:r>
          </w:p>
        </w:tc>
        <w:tc>
          <w:tcPr>
            <w:tcW w:w="2504" w:type="dxa"/>
          </w:tcPr>
          <w:p w14:paraId="2576C835"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w:t>
            </w:r>
            <w:r w:rsidRPr="006431C4">
              <w:rPr>
                <w:rFonts w:cs="Arial"/>
                <w:szCs w:val="20"/>
                <w:vertAlign w:val="subscript"/>
              </w:rPr>
              <w:t>OPT</w:t>
            </w:r>
            <w:r w:rsidRPr="006431C4">
              <w:rPr>
                <w:rFonts w:cs="Arial"/>
                <w:szCs w:val="20"/>
              </w:rPr>
              <w:t>-2%</w:t>
            </w:r>
          </w:p>
        </w:tc>
        <w:tc>
          <w:tcPr>
            <w:tcW w:w="3635" w:type="dxa"/>
          </w:tcPr>
          <w:p w14:paraId="58EB62FB"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W</w:t>
            </w:r>
            <w:r w:rsidRPr="006431C4">
              <w:rPr>
                <w:rFonts w:cs="Arial"/>
                <w:szCs w:val="20"/>
                <w:vertAlign w:val="subscript"/>
              </w:rPr>
              <w:t>OPT</w:t>
            </w:r>
            <w:r w:rsidRPr="006431C4">
              <w:rPr>
                <w:rFonts w:cs="Arial"/>
                <w:szCs w:val="20"/>
              </w:rPr>
              <w:t>+ 1%</w:t>
            </w:r>
          </w:p>
        </w:tc>
      </w:tr>
      <w:tr w:rsidR="00793CD0" w:rsidRPr="006431C4" w14:paraId="1C48F157" w14:textId="77777777" w:rsidTr="00793CD0">
        <w:tc>
          <w:tcPr>
            <w:tcW w:w="2503" w:type="dxa"/>
          </w:tcPr>
          <w:p w14:paraId="346FB43A"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2504" w:type="dxa"/>
          </w:tcPr>
          <w:p w14:paraId="3C61DF7A"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0,8 W</w:t>
            </w:r>
            <w:r w:rsidRPr="006431C4">
              <w:rPr>
                <w:rFonts w:cs="Arial"/>
                <w:szCs w:val="20"/>
                <w:vertAlign w:val="subscript"/>
              </w:rPr>
              <w:t>OPT</w:t>
            </w:r>
          </w:p>
        </w:tc>
        <w:tc>
          <w:tcPr>
            <w:tcW w:w="3635" w:type="dxa"/>
          </w:tcPr>
          <w:p w14:paraId="11C70CF6"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1,1 W</w:t>
            </w:r>
            <w:r w:rsidRPr="006431C4">
              <w:rPr>
                <w:rFonts w:cs="Arial"/>
                <w:szCs w:val="20"/>
                <w:vertAlign w:val="subscript"/>
              </w:rPr>
              <w:t>OPT</w:t>
            </w:r>
          </w:p>
        </w:tc>
      </w:tr>
    </w:tbl>
    <w:p w14:paraId="355F6462"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p>
    <w:p w14:paraId="279ACBE9"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Na warstwie gruntu lub materiału nadmiernie zawilgoconego nie wolno układać następnej warstwy gruntu.</w:t>
      </w:r>
    </w:p>
    <w:p w14:paraId="788D67FB"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Osuszenie można przeprowadzić w sposób mechaniczny lub chemiczny, poprzez wymieszanie z wapnem palonym albo hydratyzowanym.</w:t>
      </w:r>
    </w:p>
    <w:p w14:paraId="63DB0D2E"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 celu zabezpieczenia nasypu przed nadmiernym zawilgoceniem, poszczególne jego warstwy oraz korona nasypu po zakończeniu robót ziemnych powinny być równe i mieć spadki potrzebne do prawidłowego odwodnienia, według pktu 5.3.3.1, poz. e).</w:t>
      </w:r>
    </w:p>
    <w:p w14:paraId="6595876F"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 okresie deszczowym nie należy pozostawiać nie zagęszczonej warstwy do dnia następnego. Jeżeli warstwa gruntu niezagęszczonego uległa przewilgoceniu, a Wykonawca nie jest w stanie osuszyć jej i zagęścić w czasie zaakceptowanym przez Inżyniera, to może on nakazać Wykonawcy usunięcie wadliwej warstwy.</w:t>
      </w:r>
    </w:p>
    <w:p w14:paraId="3479927A"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5.3.3.10.</w:t>
      </w:r>
      <w:r w:rsidRPr="006431C4">
        <w:rPr>
          <w:rFonts w:cs="Arial"/>
          <w:szCs w:val="20"/>
        </w:rPr>
        <w:t xml:space="preserve"> Wykonywanie nasypów w okresie mrozów</w:t>
      </w:r>
    </w:p>
    <w:p w14:paraId="36F53467"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Nasyp nie może być wznoszony na zamarzniętym podłożu.</w:t>
      </w:r>
      <w:r w:rsidRPr="006431C4">
        <w:rPr>
          <w:rFonts w:cs="Arial"/>
          <w:szCs w:val="20"/>
        </w:rPr>
        <w:tab/>
      </w:r>
    </w:p>
    <w:p w14:paraId="77E82456"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Niedopuszczalne jest wykonywanie nasypów w temperaturze przy której nie jest możliwe osiągnięcie w nasypie wymaganego wskaźnika zagęszczenia gruntów.</w:t>
      </w:r>
    </w:p>
    <w:p w14:paraId="1FC6FE0A"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Nie dopuszcza się wbudowania w nasyp gruntów zamarzniętych lub gruntów przemieszanych ze śniegiem lub lodem.</w:t>
      </w:r>
    </w:p>
    <w:p w14:paraId="300C96C8"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 czasie dużych opadów śniegu wykonywanie nasypów powinno być przerwane. Przed wznowieniem prac należy usunąć śnieg  z powierzchni wznoszonego nasypu.</w:t>
      </w:r>
    </w:p>
    <w:p w14:paraId="6E0145A1"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Jeżeli warstwa niezagęszczonego gruntu zamarzła, to nie należy jej przed rozmarznięciem zagęszczać ani układać na niej następnych warstw.</w:t>
      </w:r>
    </w:p>
    <w:p w14:paraId="41D91C90"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14:paraId="41298985"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5.3.4. </w:t>
      </w:r>
      <w:r w:rsidRPr="006431C4">
        <w:rPr>
          <w:rFonts w:cs="Arial"/>
          <w:szCs w:val="20"/>
        </w:rPr>
        <w:t xml:space="preserve">Zagęszczenie gruntu  </w:t>
      </w:r>
    </w:p>
    <w:p w14:paraId="718D788C"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5.3.4.1.</w:t>
      </w:r>
      <w:r w:rsidRPr="006431C4">
        <w:rPr>
          <w:rFonts w:cs="Arial"/>
          <w:b/>
          <w:szCs w:val="20"/>
        </w:rPr>
        <w:t xml:space="preserve"> </w:t>
      </w:r>
      <w:r w:rsidRPr="006431C4">
        <w:rPr>
          <w:rFonts w:cs="Arial"/>
          <w:szCs w:val="20"/>
        </w:rPr>
        <w:t>Ogólne zasady zagęszczania gruntu</w:t>
      </w:r>
    </w:p>
    <w:p w14:paraId="5B568CC4"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Każda warstwa gruntu jak najszybciej po jej rozłożeniu, powinna być zagęszczona z zastosowaniem sprzętu odpowiedniego dla danego rodzaju gruntu oraz występujących warunków.</w:t>
      </w:r>
    </w:p>
    <w:p w14:paraId="2263296D"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Rozłożone warstwy gruntu należy zagęszczać od krawędzi nasypu w kierunku jego osi.</w:t>
      </w:r>
    </w:p>
    <w:p w14:paraId="5138F57E"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szCs w:val="20"/>
        </w:rPr>
        <w:t>5.3.4.2.</w:t>
      </w:r>
      <w:r w:rsidRPr="006431C4">
        <w:rPr>
          <w:rFonts w:cs="Arial"/>
          <w:b/>
          <w:szCs w:val="20"/>
        </w:rPr>
        <w:t xml:space="preserve"> </w:t>
      </w:r>
      <w:r w:rsidRPr="006431C4">
        <w:rPr>
          <w:rFonts w:cs="Arial"/>
          <w:szCs w:val="20"/>
        </w:rPr>
        <w:t>Grubość warstwy</w:t>
      </w:r>
    </w:p>
    <w:p w14:paraId="112EB3C6"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Grubość warstwy zagęszczonego gruntu oraz liczbę przejść maszyny zagęszczającej zaleca się określić doświadczalnie dla każdego rodzaju gruntu i typu maszyny, zgodnie z zasadami podanymi w pkcie 5.3.4.6.</w:t>
      </w:r>
    </w:p>
    <w:p w14:paraId="47B373F8"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Orientacyjne wartości, dotyczące grubości warstw różnych gruntów oraz liczby przejazdów różnych maszyn do zagęszczania podano w SST D-02.00.01. w pkcie 3.</w:t>
      </w:r>
    </w:p>
    <w:p w14:paraId="4A74BE0B"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5.3.4.3.</w:t>
      </w:r>
      <w:r w:rsidRPr="006431C4">
        <w:rPr>
          <w:rFonts w:cs="Arial"/>
          <w:b/>
          <w:szCs w:val="20"/>
        </w:rPr>
        <w:t xml:space="preserve"> </w:t>
      </w:r>
      <w:r w:rsidRPr="006431C4">
        <w:rPr>
          <w:rFonts w:cs="Arial"/>
          <w:szCs w:val="20"/>
        </w:rPr>
        <w:t>Wilgotność gruntu</w:t>
      </w:r>
    </w:p>
    <w:p w14:paraId="7BAB9ABD"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Wilgotność gruntu w czasie zagęszczania powinna być równa wilgotności optymalnej, z tolerancją podaną w tabeli 9.</w:t>
      </w:r>
    </w:p>
    <w:p w14:paraId="015C3056"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wilgotności gruntu należy przeprowadzać laboratoryjnie, z częstotliwością określoną w pktach 6.3.2 i 6.3.3.</w:t>
      </w:r>
    </w:p>
    <w:p w14:paraId="48B70778"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Jeżeli wilgotność gruntu, skały lub innego materiału przewidzianego do budowy nasypu jest zbyt niska w stosunku do tolerancji określonej w tabeli 2 to wilgotność należy zwiększyć poprzez równomierne dodanie wody w całej masie gruntu (skały, materiału) przewidzianego do zagęszczenia. </w:t>
      </w:r>
    </w:p>
    <w:p w14:paraId="30A6513A"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wilgotność warstwy gruntu, skały lub innego materiału przewidzianego do budowy nasypu jest zbyt wysoka w stosunku do tolerancji określonej w tabeli 9, to grunt (skała, materiał) należy osuszyć w sposób mechaniczny lub chemiczny. Sposób osuszenia podlega akceptacji przez Inżyniera/Inspektora nadzoru.</w:t>
      </w:r>
    </w:p>
    <w:p w14:paraId="7786D9B6" w14:textId="77777777" w:rsidR="00793CD0" w:rsidRPr="006431C4" w:rsidRDefault="00793CD0" w:rsidP="00BE2485">
      <w:pPr>
        <w:keepNext/>
        <w:overflowPunct w:val="0"/>
        <w:autoSpaceDE w:val="0"/>
        <w:autoSpaceDN w:val="0"/>
        <w:adjustRightInd w:val="0"/>
        <w:spacing w:line="240" w:lineRule="auto"/>
        <w:jc w:val="both"/>
        <w:textAlignment w:val="baseline"/>
        <w:rPr>
          <w:rFonts w:cs="Arial"/>
          <w:szCs w:val="20"/>
        </w:rPr>
      </w:pPr>
      <w:r w:rsidRPr="006431C4">
        <w:rPr>
          <w:rFonts w:cs="Arial"/>
          <w:szCs w:val="20"/>
        </w:rPr>
        <w:t>5.3.4.4.</w:t>
      </w:r>
      <w:r w:rsidRPr="006431C4">
        <w:rPr>
          <w:rFonts w:cs="Arial"/>
          <w:b/>
          <w:szCs w:val="20"/>
        </w:rPr>
        <w:t xml:space="preserve"> </w:t>
      </w:r>
      <w:r w:rsidRPr="006431C4">
        <w:rPr>
          <w:rFonts w:cs="Arial"/>
          <w:szCs w:val="20"/>
        </w:rPr>
        <w:t>Wymagania dotyczące zagęszczania warstw gruntu w nasypie</w:t>
      </w:r>
    </w:p>
    <w:p w14:paraId="0B5B0B70"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Wartości wskaźnika zagęszczenia gruntu w nasypie powinny być nie mniejsze niż określono w tabeli 10. Wskaźnik zagęszczenia warstwy należy określić zgodnie z zasadami podanymi w SST D-02.00.01 „Roboty ziemne. Wymagania ogólne”, p.5.7.1.</w:t>
      </w:r>
    </w:p>
    <w:p w14:paraId="3ED285F4"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p>
    <w:p w14:paraId="2D69B94F"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p>
    <w:p w14:paraId="4BF6D31B" w14:textId="7E147BD0" w:rsidR="00793CD0" w:rsidRPr="006431C4" w:rsidRDefault="00793CD0" w:rsidP="00BE2485">
      <w:pPr>
        <w:overflowPunct w:val="0"/>
        <w:autoSpaceDE w:val="0"/>
        <w:autoSpaceDN w:val="0"/>
        <w:adjustRightInd w:val="0"/>
        <w:spacing w:line="240" w:lineRule="auto"/>
        <w:jc w:val="both"/>
        <w:textAlignment w:val="baseline"/>
        <w:rPr>
          <w:rFonts w:cs="Arial"/>
          <w:bCs/>
          <w:szCs w:val="20"/>
        </w:rPr>
      </w:pPr>
      <w:r w:rsidRPr="006431C4">
        <w:rPr>
          <w:rFonts w:cs="Arial"/>
          <w:bCs/>
          <w:szCs w:val="20"/>
        </w:rPr>
        <w:t xml:space="preserve"> </w:t>
      </w:r>
      <w:bookmarkStart w:id="379" w:name="_Toc24577619"/>
      <w:r w:rsidRPr="006431C4">
        <w:rPr>
          <w:rFonts w:cs="Arial"/>
          <w:bCs/>
          <w:szCs w:val="20"/>
        </w:rPr>
        <w:t xml:space="preserve">Tabela </w:t>
      </w:r>
      <w:r w:rsidRPr="006431C4">
        <w:rPr>
          <w:rFonts w:cs="Arial"/>
          <w:bCs/>
          <w:szCs w:val="20"/>
        </w:rPr>
        <w:fldChar w:fldCharType="begin"/>
      </w:r>
      <w:r w:rsidRPr="006431C4">
        <w:rPr>
          <w:rFonts w:cs="Arial"/>
          <w:bCs/>
          <w:szCs w:val="20"/>
        </w:rPr>
        <w:instrText xml:space="preserve"> SEQ Tabela \* ARABIC </w:instrText>
      </w:r>
      <w:r w:rsidRPr="006431C4">
        <w:rPr>
          <w:rFonts w:cs="Arial"/>
          <w:bCs/>
          <w:szCs w:val="20"/>
        </w:rPr>
        <w:fldChar w:fldCharType="separate"/>
      </w:r>
      <w:r w:rsidR="008D66D8">
        <w:rPr>
          <w:rFonts w:cs="Arial"/>
          <w:bCs/>
          <w:noProof/>
          <w:szCs w:val="20"/>
        </w:rPr>
        <w:t>10</w:t>
      </w:r>
      <w:r w:rsidRPr="006431C4">
        <w:rPr>
          <w:rFonts w:cs="Arial"/>
          <w:bCs/>
          <w:szCs w:val="20"/>
        </w:rPr>
        <w:fldChar w:fldCharType="end"/>
      </w:r>
      <w:r w:rsidRPr="006431C4">
        <w:rPr>
          <w:rFonts w:cs="Arial"/>
          <w:bCs/>
          <w:szCs w:val="20"/>
        </w:rPr>
        <w:t>. Minimalne wartości wskaźnika zagęszczenia gruntu w nasypach</w:t>
      </w:r>
      <w:bookmarkEnd w:id="379"/>
    </w:p>
    <w:tbl>
      <w:tblPr>
        <w:tblW w:w="109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7"/>
        <w:gridCol w:w="2410"/>
        <w:gridCol w:w="1680"/>
        <w:gridCol w:w="1878"/>
      </w:tblGrid>
      <w:tr w:rsidR="00793CD0" w:rsidRPr="006431C4" w14:paraId="02F14598" w14:textId="77777777" w:rsidTr="00793CD0">
        <w:tc>
          <w:tcPr>
            <w:tcW w:w="4957" w:type="dxa"/>
            <w:vMerge w:val="restart"/>
            <w:vAlign w:val="center"/>
          </w:tcPr>
          <w:p w14:paraId="570D909E"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Strefa nasypu pod powierzchnią (niweletą)</w:t>
            </w:r>
          </w:p>
          <w:p w14:paraId="3E71E71F"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robót ziemnych</w:t>
            </w:r>
          </w:p>
        </w:tc>
        <w:tc>
          <w:tcPr>
            <w:tcW w:w="5968" w:type="dxa"/>
            <w:gridSpan w:val="3"/>
            <w:vAlign w:val="center"/>
          </w:tcPr>
          <w:p w14:paraId="32BC756B"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Minimalna wartość wskaźnika zagęszczenia I</w:t>
            </w:r>
            <w:r w:rsidRPr="006431C4">
              <w:rPr>
                <w:rFonts w:cs="Arial"/>
                <w:szCs w:val="20"/>
                <w:vertAlign w:val="subscript"/>
              </w:rPr>
              <w:t>s</w:t>
            </w:r>
          </w:p>
        </w:tc>
      </w:tr>
      <w:tr w:rsidR="00793CD0" w:rsidRPr="006431C4" w14:paraId="03F683A6" w14:textId="77777777" w:rsidTr="00793CD0">
        <w:tc>
          <w:tcPr>
            <w:tcW w:w="4957" w:type="dxa"/>
            <w:vMerge/>
            <w:vAlign w:val="center"/>
          </w:tcPr>
          <w:p w14:paraId="7D0782C6"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tc>
        <w:tc>
          <w:tcPr>
            <w:tcW w:w="5968" w:type="dxa"/>
            <w:gridSpan w:val="3"/>
            <w:vAlign w:val="center"/>
          </w:tcPr>
          <w:p w14:paraId="2430ECBB"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Kategoria ruchu</w:t>
            </w:r>
          </w:p>
        </w:tc>
      </w:tr>
      <w:tr w:rsidR="00793CD0" w:rsidRPr="006431C4" w14:paraId="533D6CD8" w14:textId="77777777" w:rsidTr="00793CD0">
        <w:tc>
          <w:tcPr>
            <w:tcW w:w="4957" w:type="dxa"/>
            <w:vMerge/>
            <w:vAlign w:val="center"/>
          </w:tcPr>
          <w:p w14:paraId="2325363F"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tc>
        <w:tc>
          <w:tcPr>
            <w:tcW w:w="2410" w:type="dxa"/>
            <w:vAlign w:val="center"/>
          </w:tcPr>
          <w:p w14:paraId="659ED88A"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KR1-KR2,</w:t>
            </w:r>
          </w:p>
          <w:p w14:paraId="19E6152E"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zjazdy, chodniki, ścieżki rowerowe, ciągi pieszojezdne</w:t>
            </w:r>
          </w:p>
        </w:tc>
        <w:tc>
          <w:tcPr>
            <w:tcW w:w="1680" w:type="dxa"/>
            <w:vAlign w:val="center"/>
          </w:tcPr>
          <w:p w14:paraId="2AC74088"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KR3-KR4</w:t>
            </w:r>
          </w:p>
        </w:tc>
        <w:tc>
          <w:tcPr>
            <w:tcW w:w="1878" w:type="dxa"/>
            <w:vAlign w:val="center"/>
          </w:tcPr>
          <w:p w14:paraId="39036B70"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KR5-KR7</w:t>
            </w:r>
          </w:p>
        </w:tc>
      </w:tr>
      <w:tr w:rsidR="00793CD0" w:rsidRPr="006431C4" w14:paraId="4C396B54" w14:textId="77777777" w:rsidTr="00793CD0">
        <w:tc>
          <w:tcPr>
            <w:tcW w:w="4957" w:type="dxa"/>
          </w:tcPr>
          <w:p w14:paraId="76858D68"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do głębokości równej grubości górnej warstwy nasypu lub równej grubości warstwy ulepszonego podłoża</w:t>
            </w:r>
          </w:p>
          <w:p w14:paraId="7C8EC10B"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 (o ile występuje)</w:t>
            </w:r>
          </w:p>
        </w:tc>
        <w:tc>
          <w:tcPr>
            <w:tcW w:w="2410" w:type="dxa"/>
          </w:tcPr>
          <w:p w14:paraId="0B90C35A"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p w14:paraId="4BA30D04"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p w14:paraId="49372A92"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1680" w:type="dxa"/>
          </w:tcPr>
          <w:p w14:paraId="6468EDE4"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p w14:paraId="287B2F47"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p w14:paraId="18D17C67"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1878" w:type="dxa"/>
          </w:tcPr>
          <w:p w14:paraId="379E4B71"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p w14:paraId="4EC10797"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p>
          <w:p w14:paraId="5E4D0804"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r w:rsidR="00793CD0" w:rsidRPr="006431C4" w14:paraId="2AF67B6B" w14:textId="77777777" w:rsidTr="00793CD0">
        <w:tc>
          <w:tcPr>
            <w:tcW w:w="4957" w:type="dxa"/>
          </w:tcPr>
          <w:p w14:paraId="51D7423E"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niżej do głębokości </w:t>
            </w:r>
            <w:smartTag w:uri="urn:schemas-microsoft-com:office:smarttags" w:element="metricconverter">
              <w:smartTagPr>
                <w:attr w:name="ProductID" w:val="1,2 m"/>
              </w:smartTagPr>
              <w:r w:rsidRPr="006431C4">
                <w:rPr>
                  <w:rFonts w:cs="Arial"/>
                  <w:szCs w:val="20"/>
                </w:rPr>
                <w:t>1,2 m</w:t>
              </w:r>
            </w:smartTag>
          </w:p>
        </w:tc>
        <w:tc>
          <w:tcPr>
            <w:tcW w:w="2410" w:type="dxa"/>
          </w:tcPr>
          <w:p w14:paraId="4A151E5D"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0,97</w:t>
            </w:r>
          </w:p>
        </w:tc>
        <w:tc>
          <w:tcPr>
            <w:tcW w:w="1680" w:type="dxa"/>
          </w:tcPr>
          <w:p w14:paraId="273AA775"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1878" w:type="dxa"/>
          </w:tcPr>
          <w:p w14:paraId="10370CE6"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r w:rsidR="00793CD0" w:rsidRPr="006431C4" w14:paraId="284654EA" w14:textId="77777777" w:rsidTr="00793CD0">
        <w:tc>
          <w:tcPr>
            <w:tcW w:w="4957" w:type="dxa"/>
          </w:tcPr>
          <w:p w14:paraId="4CE983A0"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smartTag w:uri="urn:schemas-microsoft-com:office:smarttags" w:element="metricconverter">
              <w:smartTagPr>
                <w:attr w:name="ProductID" w:val="1,2 m"/>
              </w:smartTagPr>
              <w:r w:rsidRPr="006431C4">
                <w:rPr>
                  <w:rFonts w:cs="Arial"/>
                  <w:szCs w:val="20"/>
                </w:rPr>
                <w:t>1,2 m</w:t>
              </w:r>
            </w:smartTag>
            <w:r w:rsidRPr="006431C4">
              <w:rPr>
                <w:rFonts w:cs="Arial"/>
                <w:szCs w:val="20"/>
              </w:rPr>
              <w:t xml:space="preserve"> –2,0 m</w:t>
            </w:r>
          </w:p>
        </w:tc>
        <w:tc>
          <w:tcPr>
            <w:tcW w:w="2410" w:type="dxa"/>
          </w:tcPr>
          <w:p w14:paraId="356B5D1A"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0,95</w:t>
            </w:r>
          </w:p>
        </w:tc>
        <w:tc>
          <w:tcPr>
            <w:tcW w:w="1680" w:type="dxa"/>
          </w:tcPr>
          <w:p w14:paraId="72DF8F53"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0,97</w:t>
            </w:r>
          </w:p>
        </w:tc>
        <w:tc>
          <w:tcPr>
            <w:tcW w:w="1878" w:type="dxa"/>
          </w:tcPr>
          <w:p w14:paraId="058A5E0A"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r w:rsidR="00793CD0" w:rsidRPr="006431C4" w14:paraId="2696612B" w14:textId="77777777" w:rsidTr="00793CD0">
        <w:tc>
          <w:tcPr>
            <w:tcW w:w="4957" w:type="dxa"/>
          </w:tcPr>
          <w:p w14:paraId="2D346016"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poniżej </w:t>
            </w:r>
            <w:smartTag w:uri="urn:schemas-microsoft-com:office:smarttags" w:element="metricconverter">
              <w:smartTagPr>
                <w:attr w:name="ProductID" w:val="2,0 m"/>
              </w:smartTagPr>
              <w:r w:rsidRPr="006431C4">
                <w:rPr>
                  <w:rFonts w:cs="Arial"/>
                  <w:szCs w:val="20"/>
                </w:rPr>
                <w:t>2,0 m</w:t>
              </w:r>
            </w:smartTag>
          </w:p>
        </w:tc>
        <w:tc>
          <w:tcPr>
            <w:tcW w:w="2410" w:type="dxa"/>
          </w:tcPr>
          <w:p w14:paraId="4D5705FB"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0,95</w:t>
            </w:r>
          </w:p>
        </w:tc>
        <w:tc>
          <w:tcPr>
            <w:tcW w:w="1680" w:type="dxa"/>
          </w:tcPr>
          <w:p w14:paraId="1E8D4DCB"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0,97</w:t>
            </w:r>
          </w:p>
        </w:tc>
        <w:tc>
          <w:tcPr>
            <w:tcW w:w="1878" w:type="dxa"/>
          </w:tcPr>
          <w:p w14:paraId="2DEE35E5" w14:textId="77777777" w:rsidR="00793CD0" w:rsidRPr="006431C4" w:rsidRDefault="00793CD0" w:rsidP="00BE2485">
            <w:pPr>
              <w:overflowPunct w:val="0"/>
              <w:autoSpaceDE w:val="0"/>
              <w:autoSpaceDN w:val="0"/>
              <w:adjustRightInd w:val="0"/>
              <w:spacing w:line="240" w:lineRule="auto"/>
              <w:jc w:val="center"/>
              <w:textAlignment w:val="baseline"/>
              <w:rPr>
                <w:rFonts w:cs="Arial"/>
                <w:szCs w:val="20"/>
              </w:rPr>
            </w:pPr>
            <w:r w:rsidRPr="006431C4">
              <w:rPr>
                <w:rFonts w:cs="Arial"/>
                <w:szCs w:val="20"/>
              </w:rPr>
              <w:t>0,97</w:t>
            </w:r>
          </w:p>
        </w:tc>
      </w:tr>
    </w:tbl>
    <w:p w14:paraId="721A7354"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p>
    <w:p w14:paraId="7BC74D01"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badania kontrolne wykażą, że zagęszczenie warstwy nie jest wystarczające, to Wykonawca powinien spulchnić warstwę, doprowadzić grunt (skałę, materiał)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 lub zastosowanie ulepszenia gruntu (materiału) wbudowanego w warstwę.</w:t>
      </w:r>
    </w:p>
    <w:p w14:paraId="27E22A5B"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Inżynier może dopuścić kontrolę zagęszczenia po ułożeniu i zagęszczeniu wyżej leżącej warstwy. W takiej sytuacji wyżej leżąca warstwa zostanie w niezbędnym zakresie usunięta w celu określenia osiągniętego wskaźnika zagęszczenia Is warstwy leżącej poniżej. Jeżeli wymagana wartość wskaźnika zagęszczenia zostanie osiągnięta, wówczas warstwa zostanie zaakceptowana. Jeżeli wartość wskaźnika zagęszczenia nie zostanie osiągnięta, wówczas ta warstwa oraz warstwa ułożona na niej, zostaną usunięte i ponownie wykonane. </w:t>
      </w:r>
    </w:p>
    <w:p w14:paraId="2A7FBCCD"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Dopuszcza się, za zgodą Inżyniera,  ocenę stanu zagęszczenia warstwy na podstawie wartości wskaźnika odkształcenia Io według zasad i kryteriów określonych w SST  D-02.00.01 „Roboty ziemne. Wymagania ogólne” w punkcie </w:t>
      </w:r>
      <w:r w:rsidRPr="006431C4">
        <w:rPr>
          <w:rFonts w:cs="Arial"/>
          <w:szCs w:val="20"/>
        </w:rPr>
        <w:lastRenderedPageBreak/>
        <w:t xml:space="preserve">5.9.2. Do bieżącej kontroli zagęszczenia dopuszcza się stosowanie systemów umożliwiających ciągłą kontrolę stanu zagęszczenia, zainstalowanych na walcach wibracyjnych, po przeprowadzeniu kalibracji na odcinku o długości </w:t>
      </w:r>
      <w:smartTag w:uri="urn:schemas-microsoft-com:office:smarttags" w:element="metricconverter">
        <w:smartTagPr>
          <w:attr w:name="ProductID" w:val="100 metr￳w"/>
        </w:smartTagPr>
        <w:r w:rsidRPr="006431C4">
          <w:rPr>
            <w:rFonts w:cs="Arial"/>
            <w:szCs w:val="20"/>
          </w:rPr>
          <w:t>100 metrów</w:t>
        </w:r>
      </w:smartTag>
      <w:r w:rsidRPr="006431C4">
        <w:rPr>
          <w:rFonts w:cs="Arial"/>
          <w:szCs w:val="20"/>
        </w:rPr>
        <w:t xml:space="preserve">. Wykonawca przedstawi do akceptacji Inżyniera sprzęt i metodę, która ma być wykorzystana i wykaże jej przydatność w istniejących warunkach. Nie należy przeprowadzać pomiarów z zastosowaniem systemów umożliwiających ciągłą kontrolę stanu zagęszczenia, zainstalowanych na walcach wibracyjnych, jeżeli woda gruntowa występuje płycej niż </w:t>
      </w:r>
      <w:smartTag w:uri="urn:schemas-microsoft-com:office:smarttags" w:element="metricconverter">
        <w:smartTagPr>
          <w:attr w:name="ProductID" w:val="1 metr"/>
        </w:smartTagPr>
        <w:r w:rsidRPr="006431C4">
          <w:rPr>
            <w:rFonts w:cs="Arial"/>
            <w:szCs w:val="20"/>
          </w:rPr>
          <w:t>1 metr</w:t>
        </w:r>
      </w:smartTag>
      <w:r w:rsidRPr="006431C4">
        <w:rPr>
          <w:rFonts w:cs="Arial"/>
          <w:szCs w:val="20"/>
        </w:rPr>
        <w:t xml:space="preserve"> od powierzchni warstwy oraz jeżeli jest ona wykonana z gruntu lub materiału o zawartości frakcji ≤0,063 mm powyżej 15%. Kontrola i odbiór tak zagęszczonej warstwy powinny odbywać się na ogólnych zasadach, z zastrzeżeniem, że  musi zostać opracowana SST określająca zasady wykonania pomiarów w czasie ciągłej kontroli stanu zagęszczenia, wymagania dotyczące systemu gromadzenia i oceny wyników oraz kalibracji z wartościami wskaźnika zagęszczenia Is i zakres dopuszczonego ograniczenia badań podstawowych.</w:t>
      </w:r>
    </w:p>
    <w:p w14:paraId="017AD2DA"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5.3.4.5. Wymagania odnośnie do nośności podłoża gruntowego nawierzchni w nasypie</w:t>
      </w:r>
    </w:p>
    <w:p w14:paraId="5FF7A885"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Nośność podłoża gruntowego nawierzchni w nasypie należy określić na podstawie oceny wartości wtórnego modułu odkształcenia E2 oznaczonego według zasad określonych w SST D-02.00.01 „Roboty ziemne. Wymagania ogólne” w p. 5.10. Wymagana wartość E2: </w:t>
      </w:r>
    </w:p>
    <w:p w14:paraId="3B08E06B" w14:textId="77777777" w:rsidR="00793CD0" w:rsidRPr="006431C4" w:rsidRDefault="00793CD0" w:rsidP="00CF1E7D">
      <w:pPr>
        <w:numPr>
          <w:ilvl w:val="0"/>
          <w:numId w:val="130"/>
        </w:numPr>
        <w:overflowPunct w:val="0"/>
        <w:autoSpaceDE w:val="0"/>
        <w:autoSpaceDN w:val="0"/>
        <w:adjustRightInd w:val="0"/>
        <w:spacing w:line="240" w:lineRule="auto"/>
        <w:jc w:val="both"/>
        <w:textAlignment w:val="baseline"/>
        <w:rPr>
          <w:rFonts w:cs="Arial"/>
          <w:szCs w:val="20"/>
        </w:rPr>
      </w:pPr>
      <w:r w:rsidRPr="006431C4">
        <w:rPr>
          <w:rFonts w:cs="Arial"/>
          <w:szCs w:val="20"/>
        </w:rPr>
        <w:t>dla ruchu KR3-KR7 musi być określona przez projektanta w dokumentacji projektowej, przy czym minimalna wartość E2 na górnej powierzchni podłoża gruntowego nawierzchni w nasypie wynosi 50 MPa. W dokumentacji projektowej może zostać określona wyższa wartość E2 jeżeli została ona przyjęta w projekcie konstrukcji nawierzchni,</w:t>
      </w:r>
    </w:p>
    <w:p w14:paraId="5E962F9A" w14:textId="77777777" w:rsidR="00793CD0" w:rsidRPr="006431C4" w:rsidRDefault="00793CD0" w:rsidP="00CF1E7D">
      <w:pPr>
        <w:numPr>
          <w:ilvl w:val="0"/>
          <w:numId w:val="130"/>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dla ruchu KR1–KR2 minimalna wartość E2 na górnej powierzchni podłoża gruntowego nawierzchni musi być określona przez projektanta w dokumentacji projektowej.  </w:t>
      </w:r>
    </w:p>
    <w:p w14:paraId="42AD12C4"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zaprojektowano wykonanie w nasypie warstwy ulepszonego podłoża, to należy określić nośność gruntu nasypowego pod tą warstwą. Wymagana wartość E</w:t>
      </w:r>
      <w:r w:rsidRPr="006431C4">
        <w:rPr>
          <w:rFonts w:cs="Arial"/>
          <w:szCs w:val="20"/>
          <w:vertAlign w:val="subscript"/>
        </w:rPr>
        <w:t>2</w:t>
      </w:r>
      <w:r w:rsidRPr="006431C4">
        <w:rPr>
          <w:rFonts w:cs="Arial"/>
          <w:szCs w:val="20"/>
        </w:rPr>
        <w:t xml:space="preserve"> gruntu nasypowego musi być określona przez projektanta w dokumentacji projektowej. Stwierdzona wartość E</w:t>
      </w:r>
      <w:r w:rsidRPr="006431C4">
        <w:rPr>
          <w:rFonts w:cs="Arial"/>
          <w:szCs w:val="20"/>
          <w:vertAlign w:val="subscript"/>
        </w:rPr>
        <w:t>2</w:t>
      </w:r>
      <w:r w:rsidRPr="006431C4">
        <w:rPr>
          <w:rFonts w:cs="Arial"/>
          <w:szCs w:val="20"/>
        </w:rPr>
        <w:t xml:space="preserve"> nie może być mniejsza niż przyjęta w dokumentacji projektowej. Jeżeli stwierdzona wartość E</w:t>
      </w:r>
      <w:r w:rsidRPr="006431C4">
        <w:rPr>
          <w:rFonts w:cs="Arial"/>
          <w:szCs w:val="20"/>
          <w:vertAlign w:val="subscript"/>
        </w:rPr>
        <w:t>2</w:t>
      </w:r>
      <w:r w:rsidRPr="006431C4">
        <w:rPr>
          <w:rFonts w:cs="Arial"/>
          <w:szCs w:val="20"/>
        </w:rPr>
        <w:t xml:space="preserve"> jest mniejsza od wymaganej wówczas Wykonawca zaproponuje do akceptacji Inżyniera sposób uzyskania wymaganej nośności. Dopuszcza się ocenę nośności w sytuacjach opisanych w punkcie 5.9.2.2 SST D-02.00.01 „Roboty ziemne. Wymagania ogólne” z zastosowaniem lekkiej płyty dynamicznej LPD na zasadach określonych w SST D-02.00.01 w punkt 5.10. Podane wymagania, dotyczące zagęszczenia i nośności nasypu, obowiązują na całej szerokości korpusu ziemnego.</w:t>
      </w:r>
    </w:p>
    <w:p w14:paraId="04B5D1A8"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5.3.4.6.</w:t>
      </w:r>
      <w:r w:rsidRPr="006431C4">
        <w:rPr>
          <w:rFonts w:cs="Arial"/>
          <w:b/>
          <w:szCs w:val="20"/>
        </w:rPr>
        <w:t xml:space="preserve"> </w:t>
      </w:r>
      <w:r w:rsidRPr="006431C4">
        <w:rPr>
          <w:rFonts w:cs="Arial"/>
          <w:szCs w:val="20"/>
        </w:rPr>
        <w:t>Odcinek próbny</w:t>
      </w:r>
    </w:p>
    <w:p w14:paraId="4E38D573"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Odcinek próbny może być zlokalizowany w miejscu docelowym korpusu ziemnego lub poza docelowym korpusem ziemnym. Odcinek dla próbnego zagęszczenia gruntu o minimalnej powierzchni </w:t>
      </w:r>
      <w:smartTag w:uri="urn:schemas-microsoft-com:office:smarttags" w:element="metricconverter">
        <w:smartTagPr>
          <w:attr w:name="ProductID" w:val="300 m2"/>
        </w:smartTagPr>
        <w:r w:rsidRPr="006431C4">
          <w:rPr>
            <w:rFonts w:cs="Arial"/>
            <w:szCs w:val="20"/>
          </w:rPr>
          <w:t>300 m</w:t>
        </w:r>
        <w:r w:rsidRPr="006431C4">
          <w:rPr>
            <w:rFonts w:cs="Arial"/>
            <w:szCs w:val="20"/>
            <w:vertAlign w:val="superscript"/>
          </w:rPr>
          <w:t>2</w:t>
        </w:r>
      </w:smartTag>
      <w:r w:rsidRPr="006431C4">
        <w:rPr>
          <w:rFonts w:cs="Arial"/>
          <w:szCs w:val="20"/>
        </w:rPr>
        <w:t>, powinien być wykonany na terenie oczyszczonym z gleby, na którym układa się grunt czterema pasmami o szerokości od 3,5</w:t>
      </w:r>
      <w:r w:rsidRPr="006431C4">
        <w:rPr>
          <w:rFonts w:cs="Arial"/>
          <w:b/>
          <w:szCs w:val="20"/>
        </w:rPr>
        <w:t xml:space="preserve"> </w:t>
      </w:r>
      <w:r w:rsidRPr="006431C4">
        <w:rPr>
          <w:rFonts w:cs="Arial"/>
          <w:szCs w:val="20"/>
        </w:rPr>
        <w:t>do</w:t>
      </w:r>
      <w:r w:rsidRPr="006431C4">
        <w:rPr>
          <w:rFonts w:cs="Arial"/>
          <w:b/>
          <w:szCs w:val="20"/>
        </w:rPr>
        <w:t xml:space="preserve"> </w:t>
      </w:r>
      <w:smartTag w:uri="urn:schemas-microsoft-com:office:smarttags" w:element="metricconverter">
        <w:smartTagPr>
          <w:attr w:name="ProductID" w:val="4,5 m"/>
        </w:smartTagPr>
        <w:r w:rsidRPr="006431C4">
          <w:rPr>
            <w:rFonts w:cs="Arial"/>
            <w:szCs w:val="20"/>
          </w:rPr>
          <w:t>4,5 m</w:t>
        </w:r>
      </w:smartTag>
      <w:r w:rsidRPr="006431C4">
        <w:rPr>
          <w:rFonts w:cs="Arial"/>
          <w:szCs w:val="20"/>
        </w:rPr>
        <w:t xml:space="preserve"> każde. Poszczególne  warstwy układanego gruntu powinny mieć w każdym pasie inną grubość z tym, że wszystkie muszą mieścić się w granicach właściwych dla danego sprzętu zagęszczającego. Wilgotność gruntu powinna być równa optymalnej z tolerancją podaną w tabeli 8. Grunt ułożony na poletku według podanej wyżej zasady powinien być następnie zagęszczony, a po każdej serii przejść maszyny należy określić wskaźniki zagęszczenia,  dopuszczając stosowanie innych, szybkich metod pomiaru (np. lekka płyta dynamiczna po skalibrowaniu w warunkach terenowych).</w:t>
      </w:r>
    </w:p>
    <w:p w14:paraId="75617830"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Oznaczenie wskaźnika zagęszczenia należy wykonać co najmniej w 4 punktach, z których co najmniej 2 powinny umożliwić ustalenie wskaźnika zagęszczenia w dolnej części warstwy. Na podstawie porównania uzyskanych wyników zagęszczenia z wymaganiami podanymi w pkcie 5.3.4.4 dokonuje się wyboru sprzętu i ustala się potrzebną liczbę przejść oraz grubość warstwy rozkładanego gruntu. </w:t>
      </w:r>
    </w:p>
    <w:p w14:paraId="374CBA5B"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Inżynier może odstąpić od wymagania wykonania odcinka próbnego w przypadku posiadania przez Wykonawcę dokumentów (badań) potwierdzających możliwość uzyskania wymaganej jakości wbudowania zgodnej z wymaganiami SST dla stosowanego materiału. Od wymagania wykonania odcinka próbnego można również odstąpić w przypadku stosowania przez Wykonawcę w czasie zagęszczania warstwy ciągłej kontroli zagęszczenia z zastosowaniem mierników zainstalowanych na walcach wibracyjnych.</w:t>
      </w:r>
    </w:p>
    <w:p w14:paraId="159604B6"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dopuszczono kontrolę zagęszczenia na podstawie innego parametru niż wskaźnik zagęszczenia Is (na przykład wskaźnik odkształcenia Io) albo kontrolę nośności na podstawie innego parametru niż wtórny moduł odkształcenia E</w:t>
      </w:r>
      <w:r w:rsidRPr="006431C4">
        <w:rPr>
          <w:rFonts w:cs="Arial"/>
          <w:szCs w:val="20"/>
          <w:vertAlign w:val="subscript"/>
        </w:rPr>
        <w:t>2</w:t>
      </w:r>
      <w:r w:rsidRPr="006431C4">
        <w:rPr>
          <w:rFonts w:cs="Arial"/>
          <w:szCs w:val="20"/>
        </w:rPr>
        <w:t xml:space="preserve"> (na przykład moduł Evd w badaniu lekką płytą dynamiczną LPD) to jest konieczne przeprowadzenie badań na odcinku próbnym w celu określenia korelacji pomiędzy wielkościami. Zasady i zakres przeprowadzenia badań na odcinku próbnym powinny być ustalone między Wykonawcą a Inżynierem w dostosowaniu do wymagań wynikających z ustalanej korelacji.</w:t>
      </w:r>
    </w:p>
    <w:p w14:paraId="373F70D1"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Grubość warstw poddanych badaniu na odcinku próbnym musi umożliwiać wykonanie korelacji w sposób uwzględniający działanie poszczególnych przyrządów służących do określania modułów warstw. W przypadku badań płytą VSS grubość ocenianych warstw musi być nie mniejsza niż dwie średnice płyty, w przypadku lekkiej płyty dynamicznej (LPD) grubość warstwy nie może być mniejsza niż średnica płyty.  </w:t>
      </w:r>
    </w:p>
    <w:p w14:paraId="17D7CC55"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5.4. Ruch budowlany </w:t>
      </w:r>
    </w:p>
    <w:p w14:paraId="4CC69A84"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Ruch środków transportowych, dowożących grunt, skałę lub inny materiał do budowy nasypu oraz maszyn rozkładających powinien być tak zorganizowany, aby powodował równomierne oddziaływanie i zagęszczanie warstw, bez tworzenia kolein. </w:t>
      </w:r>
    </w:p>
    <w:p w14:paraId="7A229849"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Jeżeli Wykonawca przewiduje użycie powierzchni korony uformowanego nasypu jako drogi tymczasowej dla ruchu budowlanego, to powinien na powierzchni wykorzystywanej przez pojazdy wykonać nasyp o wysokości co najmniej </w:t>
      </w:r>
      <w:smartTag w:uri="urn:schemas-microsoft-com:office:smarttags" w:element="metricconverter">
        <w:smartTagPr>
          <w:attr w:name="ProductID" w:val="0,3 m"/>
        </w:smartTagPr>
        <w:r w:rsidRPr="006431C4">
          <w:rPr>
            <w:rFonts w:cs="Arial"/>
            <w:szCs w:val="20"/>
          </w:rPr>
          <w:t>0,3 m</w:t>
        </w:r>
      </w:smartTag>
      <w:r w:rsidRPr="006431C4">
        <w:rPr>
          <w:rFonts w:cs="Arial"/>
          <w:szCs w:val="20"/>
        </w:rPr>
        <w:t xml:space="preserve"> większej, niż wynika to z rzędnych niwelety robót ziemnych. Ruch budowlany powinien odbywać się w odległości nie mniejszej niż </w:t>
      </w:r>
      <w:smartTag w:uri="urn:schemas-microsoft-com:office:smarttags" w:element="metricconverter">
        <w:smartTagPr>
          <w:attr w:name="ProductID" w:val="2,0 m"/>
        </w:smartTagPr>
        <w:r w:rsidRPr="006431C4">
          <w:rPr>
            <w:rFonts w:cs="Arial"/>
            <w:szCs w:val="20"/>
          </w:rPr>
          <w:t>2,0 m</w:t>
        </w:r>
      </w:smartTag>
      <w:r w:rsidRPr="006431C4">
        <w:rPr>
          <w:rFonts w:cs="Arial"/>
          <w:szCs w:val="20"/>
        </w:rPr>
        <w:t xml:space="preserve"> od krawędzi korony wykonanego nasypu. Podłoże gruntowe w obrębie niskich nasypów, w przypadku których po usunięciu humusu grunt rodzimy znajduje się nie więcej niż </w:t>
      </w:r>
      <w:smartTag w:uri="urn:schemas-microsoft-com:office:smarttags" w:element="metricconverter">
        <w:smartTagPr>
          <w:attr w:name="ProductID" w:val="0,3 m"/>
        </w:smartTagPr>
        <w:r w:rsidRPr="006431C4">
          <w:rPr>
            <w:rFonts w:cs="Arial"/>
            <w:szCs w:val="20"/>
          </w:rPr>
          <w:t>0,3 m</w:t>
        </w:r>
      </w:smartTag>
      <w:r w:rsidRPr="006431C4">
        <w:rPr>
          <w:rFonts w:cs="Arial"/>
          <w:szCs w:val="20"/>
        </w:rPr>
        <w:t xml:space="preserve"> od projektowanej niwelety robót ziemnych, nie powinno być używane do ruchu pojazdów. Jeżeli według Wykonawcy użycie wymienionych powierzchni do ruchu </w:t>
      </w:r>
      <w:r w:rsidRPr="006431C4">
        <w:rPr>
          <w:rFonts w:cs="Arial"/>
          <w:szCs w:val="20"/>
        </w:rPr>
        <w:lastRenderedPageBreak/>
        <w:t xml:space="preserve">budowlanego jest konieczne, to wcześniej należy wykonać na nich nasyp o wysokości co najmniej </w:t>
      </w:r>
      <w:smartTag w:uri="urn:schemas-microsoft-com:office:smarttags" w:element="metricconverter">
        <w:smartTagPr>
          <w:attr w:name="ProductID" w:val="0,3 m"/>
        </w:smartTagPr>
        <w:r w:rsidRPr="006431C4">
          <w:rPr>
            <w:rFonts w:cs="Arial"/>
            <w:szCs w:val="20"/>
          </w:rPr>
          <w:t>0,3 m</w:t>
        </w:r>
      </w:smartTag>
      <w:r w:rsidRPr="006431C4">
        <w:rPr>
          <w:rFonts w:cs="Arial"/>
          <w:szCs w:val="20"/>
        </w:rPr>
        <w:t xml:space="preserve"> większej niż to wynika z rzędnych niwelety robót ziemnych. Ta dodatkowa warstwa nasypu, zostanie usunięta podczas ostatecznego kształtowania korony nasypu. Jeżeli okaże się wówczas, że wskutek działania ruchu budowlanego jest konieczne przeprowadzenie napraw w obrębie korony robót ziemnych, to Wykonawca przeprowadzi te prace według wskazań Inżyniera na własny koszt. Z chwilą przystąpienia do ostatecznego profilowania korony robót ziemnych w nasypie dopuszcza się po niej ruch jedynie maszyn wykonujących tę czynność budowlaną oraz maszyn niezbędnych do wykonania pierwszej warstwy nawierzchni. Za zgodą Inżyniera może odbywać się sporadyczny ruch innych pojazdów, o ile nie spowodują uszkodzeń powierzchni korpusu ziemnego.</w:t>
      </w:r>
    </w:p>
    <w:p w14:paraId="1C391CA9" w14:textId="77777777" w:rsidR="00793CD0" w:rsidRPr="006431C4" w:rsidRDefault="00793CD0"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380" w:name="_Toc406295866"/>
      <w:bookmarkStart w:id="381" w:name="_Toc407161286"/>
      <w:bookmarkStart w:id="382" w:name="_Toc418994950"/>
      <w:bookmarkStart w:id="383" w:name="_Toc418996357"/>
      <w:bookmarkStart w:id="384" w:name="_Toc418996726"/>
      <w:bookmarkStart w:id="385" w:name="_Toc418997113"/>
      <w:bookmarkStart w:id="386" w:name="_Toc418998523"/>
      <w:bookmarkStart w:id="387" w:name="_Toc418998879"/>
      <w:bookmarkStart w:id="388" w:name="_Toc419000124"/>
      <w:bookmarkStart w:id="389" w:name="_Toc17407568"/>
      <w:bookmarkStart w:id="390" w:name="_Toc17407803"/>
      <w:bookmarkStart w:id="391" w:name="_Toc17407927"/>
      <w:bookmarkStart w:id="392" w:name="_Toc17408046"/>
      <w:r w:rsidRPr="006431C4">
        <w:rPr>
          <w:rFonts w:cs="Arial"/>
          <w:b/>
          <w:caps/>
          <w:kern w:val="28"/>
          <w:szCs w:val="20"/>
        </w:rPr>
        <w:t>6. Kontrola jakości robót</w:t>
      </w:r>
      <w:bookmarkEnd w:id="380"/>
      <w:bookmarkEnd w:id="381"/>
      <w:bookmarkEnd w:id="382"/>
      <w:bookmarkEnd w:id="383"/>
      <w:bookmarkEnd w:id="384"/>
      <w:bookmarkEnd w:id="385"/>
      <w:bookmarkEnd w:id="386"/>
      <w:bookmarkEnd w:id="387"/>
      <w:bookmarkEnd w:id="388"/>
      <w:bookmarkEnd w:id="389"/>
      <w:bookmarkEnd w:id="390"/>
      <w:bookmarkEnd w:id="391"/>
      <w:bookmarkEnd w:id="392"/>
    </w:p>
    <w:p w14:paraId="560D47D9"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93" w:name="_Toc406295867"/>
      <w:bookmarkStart w:id="394" w:name="_Toc407161287"/>
      <w:r w:rsidRPr="006431C4">
        <w:rPr>
          <w:rFonts w:cs="Arial"/>
          <w:b/>
          <w:szCs w:val="20"/>
        </w:rPr>
        <w:t>6.1. Ogólne zasady kontroli jakości robót</w:t>
      </w:r>
      <w:bookmarkEnd w:id="393"/>
      <w:bookmarkEnd w:id="394"/>
    </w:p>
    <w:p w14:paraId="568A4279"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kontroli jakości robót podano w SST D-02.00.01 pkt 6.</w:t>
      </w:r>
    </w:p>
    <w:p w14:paraId="1124F25A"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95" w:name="_Toc406295868"/>
      <w:bookmarkStart w:id="396" w:name="_Toc407161288"/>
      <w:r w:rsidRPr="006431C4">
        <w:rPr>
          <w:rFonts w:cs="Arial"/>
          <w:b/>
          <w:szCs w:val="20"/>
        </w:rPr>
        <w:t xml:space="preserve"> 6.2. Sprawdzenie wykonania ukopu i dokopu</w:t>
      </w:r>
      <w:bookmarkEnd w:id="395"/>
      <w:bookmarkEnd w:id="396"/>
    </w:p>
    <w:p w14:paraId="51722ABB"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wykonania ukopu i dokopu polega na kontrolowaniu zgodności z wymaganiami określonymi w pkcie 5.2 niniejszej specyfikacji oraz w dokumentacji projektowej i SST. W czasie kontroli należy zwrócić szczególną uwagę na sprawdzenie:</w:t>
      </w:r>
    </w:p>
    <w:p w14:paraId="23DE1F14" w14:textId="77777777" w:rsidR="00793CD0" w:rsidRPr="006431C4" w:rsidRDefault="00793CD0" w:rsidP="00CF1E7D">
      <w:pPr>
        <w:numPr>
          <w:ilvl w:val="0"/>
          <w:numId w:val="126"/>
        </w:numPr>
        <w:overflowPunct w:val="0"/>
        <w:autoSpaceDE w:val="0"/>
        <w:autoSpaceDN w:val="0"/>
        <w:adjustRightInd w:val="0"/>
        <w:spacing w:line="240" w:lineRule="auto"/>
        <w:jc w:val="both"/>
        <w:textAlignment w:val="baseline"/>
        <w:rPr>
          <w:rFonts w:cs="Arial"/>
          <w:szCs w:val="20"/>
        </w:rPr>
      </w:pPr>
      <w:r w:rsidRPr="006431C4">
        <w:rPr>
          <w:rFonts w:cs="Arial"/>
          <w:szCs w:val="20"/>
        </w:rPr>
        <w:t>zgodności rodzaju gruntu z określonym w dokumentacji projektowej i SST z pkt. 6.3.2.,</w:t>
      </w:r>
    </w:p>
    <w:p w14:paraId="1B5AFF43" w14:textId="77777777" w:rsidR="00793CD0" w:rsidRPr="006431C4" w:rsidRDefault="00793CD0" w:rsidP="00CF1E7D">
      <w:pPr>
        <w:numPr>
          <w:ilvl w:val="0"/>
          <w:numId w:val="126"/>
        </w:numPr>
        <w:overflowPunct w:val="0"/>
        <w:autoSpaceDE w:val="0"/>
        <w:autoSpaceDN w:val="0"/>
        <w:adjustRightInd w:val="0"/>
        <w:spacing w:line="240" w:lineRule="auto"/>
        <w:jc w:val="both"/>
        <w:textAlignment w:val="baseline"/>
        <w:rPr>
          <w:rFonts w:cs="Arial"/>
          <w:szCs w:val="20"/>
        </w:rPr>
      </w:pPr>
      <w:r w:rsidRPr="006431C4">
        <w:rPr>
          <w:rFonts w:cs="Arial"/>
          <w:szCs w:val="20"/>
        </w:rPr>
        <w:t>zachowania kształtu zboczy, zapewniającego ich stateczność,</w:t>
      </w:r>
    </w:p>
    <w:p w14:paraId="0CFF5B46" w14:textId="77777777" w:rsidR="00793CD0" w:rsidRPr="006431C4" w:rsidRDefault="00793CD0" w:rsidP="00CF1E7D">
      <w:pPr>
        <w:numPr>
          <w:ilvl w:val="0"/>
          <w:numId w:val="126"/>
        </w:numPr>
        <w:overflowPunct w:val="0"/>
        <w:autoSpaceDE w:val="0"/>
        <w:autoSpaceDN w:val="0"/>
        <w:adjustRightInd w:val="0"/>
        <w:spacing w:line="240" w:lineRule="auto"/>
        <w:jc w:val="both"/>
        <w:textAlignment w:val="baseline"/>
        <w:rPr>
          <w:rFonts w:cs="Arial"/>
          <w:szCs w:val="20"/>
        </w:rPr>
      </w:pPr>
      <w:r w:rsidRPr="006431C4">
        <w:rPr>
          <w:rFonts w:cs="Arial"/>
          <w:szCs w:val="20"/>
        </w:rPr>
        <w:t>odwodnienia,</w:t>
      </w:r>
    </w:p>
    <w:p w14:paraId="3B5D4D2B" w14:textId="77777777" w:rsidR="00793CD0" w:rsidRPr="006431C4" w:rsidRDefault="00793CD0" w:rsidP="00CF1E7D">
      <w:pPr>
        <w:numPr>
          <w:ilvl w:val="0"/>
          <w:numId w:val="126"/>
        </w:numPr>
        <w:overflowPunct w:val="0"/>
        <w:autoSpaceDE w:val="0"/>
        <w:autoSpaceDN w:val="0"/>
        <w:adjustRightInd w:val="0"/>
        <w:spacing w:line="240" w:lineRule="auto"/>
        <w:jc w:val="both"/>
        <w:textAlignment w:val="baseline"/>
        <w:rPr>
          <w:rFonts w:cs="Arial"/>
          <w:szCs w:val="20"/>
        </w:rPr>
      </w:pPr>
      <w:r w:rsidRPr="006431C4">
        <w:rPr>
          <w:rFonts w:cs="Arial"/>
          <w:szCs w:val="20"/>
        </w:rPr>
        <w:t>zagospodarowania (rekultywacji) terenu po zakończeniu eksploatacji ukopu.</w:t>
      </w:r>
    </w:p>
    <w:p w14:paraId="05664211"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97" w:name="_Toc406295869"/>
      <w:bookmarkStart w:id="398" w:name="_Toc407161289"/>
      <w:r w:rsidRPr="006431C4">
        <w:rPr>
          <w:rFonts w:cs="Arial"/>
          <w:b/>
          <w:szCs w:val="20"/>
        </w:rPr>
        <w:t>6.3. Kontrola podczas  wykonania nasypów</w:t>
      </w:r>
      <w:bookmarkEnd w:id="397"/>
      <w:bookmarkEnd w:id="398"/>
    </w:p>
    <w:p w14:paraId="3F0138AE"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6.3.1. </w:t>
      </w:r>
      <w:r w:rsidRPr="006431C4">
        <w:rPr>
          <w:rFonts w:cs="Arial"/>
          <w:szCs w:val="20"/>
        </w:rPr>
        <w:t>Rodzaje badań i pomiarów</w:t>
      </w:r>
    </w:p>
    <w:p w14:paraId="2CE82F06"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jakości wykonania nasypów polega na kontrolowaniu zgodności z wymaganiami określonymi w niniejszej specyfikacji, w dokumentacji projektowej i SST.</w:t>
      </w:r>
    </w:p>
    <w:p w14:paraId="6260BB6A"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Szczególną uwagę należy zwrócić na:</w:t>
      </w:r>
    </w:p>
    <w:p w14:paraId="3402C13A" w14:textId="77777777" w:rsidR="00793CD0" w:rsidRPr="006431C4" w:rsidRDefault="00793CD0" w:rsidP="00CF1E7D">
      <w:pPr>
        <w:numPr>
          <w:ilvl w:val="0"/>
          <w:numId w:val="127"/>
        </w:numPr>
        <w:overflowPunct w:val="0"/>
        <w:autoSpaceDE w:val="0"/>
        <w:autoSpaceDN w:val="0"/>
        <w:adjustRightInd w:val="0"/>
        <w:spacing w:line="240" w:lineRule="auto"/>
        <w:jc w:val="both"/>
        <w:textAlignment w:val="baseline"/>
        <w:rPr>
          <w:rFonts w:cs="Arial"/>
          <w:szCs w:val="20"/>
        </w:rPr>
      </w:pPr>
      <w:r w:rsidRPr="006431C4">
        <w:rPr>
          <w:rFonts w:cs="Arial"/>
          <w:szCs w:val="20"/>
        </w:rPr>
        <w:t>badania przydatności gruntów do budowy nasypów,</w:t>
      </w:r>
    </w:p>
    <w:p w14:paraId="68BBA13D" w14:textId="77777777" w:rsidR="00793CD0" w:rsidRPr="006431C4" w:rsidRDefault="00793CD0" w:rsidP="00CF1E7D">
      <w:pPr>
        <w:numPr>
          <w:ilvl w:val="0"/>
          <w:numId w:val="127"/>
        </w:numPr>
        <w:overflowPunct w:val="0"/>
        <w:autoSpaceDE w:val="0"/>
        <w:autoSpaceDN w:val="0"/>
        <w:adjustRightInd w:val="0"/>
        <w:spacing w:line="240" w:lineRule="auto"/>
        <w:jc w:val="both"/>
        <w:textAlignment w:val="baseline"/>
        <w:rPr>
          <w:rFonts w:cs="Arial"/>
          <w:szCs w:val="20"/>
        </w:rPr>
      </w:pPr>
      <w:r w:rsidRPr="006431C4">
        <w:rPr>
          <w:rFonts w:cs="Arial"/>
          <w:szCs w:val="20"/>
        </w:rPr>
        <w:t>badania zagęszczenia i nośności podłoża pod nasypem</w:t>
      </w:r>
    </w:p>
    <w:p w14:paraId="012592D5" w14:textId="77777777" w:rsidR="00793CD0" w:rsidRPr="006431C4" w:rsidRDefault="00793CD0" w:rsidP="00CF1E7D">
      <w:pPr>
        <w:numPr>
          <w:ilvl w:val="0"/>
          <w:numId w:val="127"/>
        </w:numPr>
        <w:overflowPunct w:val="0"/>
        <w:autoSpaceDE w:val="0"/>
        <w:autoSpaceDN w:val="0"/>
        <w:adjustRightInd w:val="0"/>
        <w:spacing w:line="240" w:lineRule="auto"/>
        <w:jc w:val="both"/>
        <w:textAlignment w:val="baseline"/>
        <w:rPr>
          <w:rFonts w:cs="Arial"/>
          <w:szCs w:val="20"/>
        </w:rPr>
      </w:pPr>
      <w:r w:rsidRPr="006431C4">
        <w:rPr>
          <w:rFonts w:cs="Arial"/>
          <w:szCs w:val="20"/>
        </w:rPr>
        <w:t>badania prawidłowości wykonania poszczególnych warstw nasypu,</w:t>
      </w:r>
    </w:p>
    <w:p w14:paraId="197E978D" w14:textId="77777777" w:rsidR="00793CD0" w:rsidRPr="006431C4" w:rsidRDefault="00793CD0" w:rsidP="00CF1E7D">
      <w:pPr>
        <w:numPr>
          <w:ilvl w:val="0"/>
          <w:numId w:val="127"/>
        </w:numPr>
        <w:overflowPunct w:val="0"/>
        <w:autoSpaceDE w:val="0"/>
        <w:autoSpaceDN w:val="0"/>
        <w:adjustRightInd w:val="0"/>
        <w:spacing w:line="240" w:lineRule="auto"/>
        <w:jc w:val="both"/>
        <w:textAlignment w:val="baseline"/>
        <w:rPr>
          <w:rFonts w:cs="Arial"/>
          <w:szCs w:val="20"/>
        </w:rPr>
      </w:pPr>
      <w:r w:rsidRPr="006431C4">
        <w:rPr>
          <w:rFonts w:cs="Arial"/>
          <w:szCs w:val="20"/>
        </w:rPr>
        <w:t>badania zagęszczenia nasypu,</w:t>
      </w:r>
    </w:p>
    <w:p w14:paraId="2888A91C" w14:textId="77777777" w:rsidR="00793CD0" w:rsidRPr="006431C4" w:rsidRDefault="00793CD0" w:rsidP="00CF1E7D">
      <w:pPr>
        <w:numPr>
          <w:ilvl w:val="0"/>
          <w:numId w:val="127"/>
        </w:numPr>
        <w:overflowPunct w:val="0"/>
        <w:autoSpaceDE w:val="0"/>
        <w:autoSpaceDN w:val="0"/>
        <w:adjustRightInd w:val="0"/>
        <w:spacing w:line="240" w:lineRule="auto"/>
        <w:jc w:val="both"/>
        <w:textAlignment w:val="baseline"/>
        <w:rPr>
          <w:rFonts w:cs="Arial"/>
          <w:szCs w:val="20"/>
        </w:rPr>
      </w:pPr>
      <w:r w:rsidRPr="006431C4">
        <w:rPr>
          <w:rFonts w:cs="Arial"/>
          <w:szCs w:val="20"/>
        </w:rPr>
        <w:t>pomiary kształtu nasypu,</w:t>
      </w:r>
    </w:p>
    <w:p w14:paraId="1DCC4E95" w14:textId="77777777" w:rsidR="00793CD0" w:rsidRPr="006431C4" w:rsidRDefault="00793CD0" w:rsidP="00CF1E7D">
      <w:pPr>
        <w:numPr>
          <w:ilvl w:val="0"/>
          <w:numId w:val="127"/>
        </w:numPr>
        <w:overflowPunct w:val="0"/>
        <w:autoSpaceDE w:val="0"/>
        <w:autoSpaceDN w:val="0"/>
        <w:adjustRightInd w:val="0"/>
        <w:spacing w:line="240" w:lineRule="auto"/>
        <w:jc w:val="both"/>
        <w:textAlignment w:val="baseline"/>
        <w:rPr>
          <w:rFonts w:cs="Arial"/>
          <w:szCs w:val="20"/>
        </w:rPr>
      </w:pPr>
      <w:r w:rsidRPr="006431C4">
        <w:rPr>
          <w:rFonts w:cs="Arial"/>
          <w:szCs w:val="20"/>
        </w:rPr>
        <w:t>odwodnienie nasypu.</w:t>
      </w:r>
    </w:p>
    <w:p w14:paraId="41EF7D30"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6.3.2. </w:t>
      </w:r>
      <w:r w:rsidRPr="006431C4">
        <w:rPr>
          <w:rFonts w:cs="Arial"/>
          <w:szCs w:val="20"/>
        </w:rPr>
        <w:t>Badania przydatności gruntów do budowy nasypów</w:t>
      </w:r>
    </w:p>
    <w:p w14:paraId="1BA26E79"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Przed przystąpieniem do wykonania nasypów należy skontrolować materiał gruntowy przeznaczony do wykonania nasypów.  </w:t>
      </w:r>
    </w:p>
    <w:p w14:paraId="4174D373"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przypadku, gdy grunt przewidziany na zasypki będzie ulepszany, Wykonawca przed przystąpieniem do robót powinien uzyskać akceptację Inżyniera dla metody wykonania tego ulepszenia oraz wykazać, że tak uzdatniony materiał spełni wymagania niniejszej SST. </w:t>
      </w:r>
    </w:p>
    <w:p w14:paraId="39E0C529"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Badania przydatności gruntów, skał i materiałów antropogenicznych do budowy nasypu powinny być przeprowadzone na próbkach pobranych z każdej partii przeznaczonej do wbudowania w korpus ziemny, pochodzącej z nowego źródła, jednak nie rzadziej niż jeden raz na </w:t>
      </w:r>
      <w:smartTag w:uri="urn:schemas-microsoft-com:office:smarttags" w:element="metricconverter">
        <w:smartTagPr>
          <w:attr w:name="ProductID" w:val="3000 m3"/>
        </w:smartTagPr>
        <w:r w:rsidRPr="006431C4">
          <w:rPr>
            <w:rFonts w:cs="Arial"/>
            <w:szCs w:val="20"/>
          </w:rPr>
          <w:t>3000 m</w:t>
        </w:r>
        <w:r w:rsidRPr="006431C4">
          <w:rPr>
            <w:rFonts w:cs="Arial"/>
            <w:szCs w:val="20"/>
            <w:vertAlign w:val="superscript"/>
          </w:rPr>
          <w:t>3</w:t>
        </w:r>
      </w:smartTag>
      <w:r w:rsidRPr="006431C4">
        <w:rPr>
          <w:rFonts w:cs="Arial"/>
          <w:szCs w:val="20"/>
        </w:rPr>
        <w:t xml:space="preserve">. W każdym badaniu należy określić następujące właściwości: </w:t>
      </w:r>
    </w:p>
    <w:p w14:paraId="7EF87C53" w14:textId="77777777" w:rsidR="00793CD0" w:rsidRPr="006431C4" w:rsidRDefault="00793CD0" w:rsidP="00CF1E7D">
      <w:pPr>
        <w:numPr>
          <w:ilvl w:val="0"/>
          <w:numId w:val="131"/>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skład granulometryczny, wg PN-EN ISO 17892-4 [10] dla gruntów i wg PN-EN 933-1 [13] dla mieszanek kruszyw, </w:t>
      </w:r>
    </w:p>
    <w:p w14:paraId="1DC67277" w14:textId="77777777" w:rsidR="00793CD0" w:rsidRPr="006431C4" w:rsidRDefault="00793CD0" w:rsidP="00CF1E7D">
      <w:pPr>
        <w:numPr>
          <w:ilvl w:val="0"/>
          <w:numId w:val="131"/>
        </w:numPr>
        <w:overflowPunct w:val="0"/>
        <w:autoSpaceDE w:val="0"/>
        <w:autoSpaceDN w:val="0"/>
        <w:adjustRightInd w:val="0"/>
        <w:spacing w:line="240" w:lineRule="auto"/>
        <w:jc w:val="both"/>
        <w:textAlignment w:val="baseline"/>
        <w:rPr>
          <w:rFonts w:cs="Arial"/>
          <w:szCs w:val="20"/>
        </w:rPr>
      </w:pPr>
      <w:r w:rsidRPr="006431C4">
        <w:rPr>
          <w:rFonts w:cs="Arial"/>
          <w:szCs w:val="20"/>
        </w:rPr>
        <w:t>zawartość części organicznych, wg PN-B-04481 [7] lub PN-EN 1744-1 [16],</w:t>
      </w:r>
    </w:p>
    <w:p w14:paraId="612211E0" w14:textId="77777777" w:rsidR="00793CD0" w:rsidRPr="006431C4" w:rsidRDefault="00793CD0" w:rsidP="00CF1E7D">
      <w:pPr>
        <w:numPr>
          <w:ilvl w:val="0"/>
          <w:numId w:val="131"/>
        </w:numPr>
        <w:overflowPunct w:val="0"/>
        <w:autoSpaceDE w:val="0"/>
        <w:autoSpaceDN w:val="0"/>
        <w:adjustRightInd w:val="0"/>
        <w:spacing w:line="240" w:lineRule="auto"/>
        <w:jc w:val="both"/>
        <w:textAlignment w:val="baseline"/>
        <w:rPr>
          <w:rFonts w:cs="Arial"/>
          <w:szCs w:val="20"/>
        </w:rPr>
      </w:pPr>
      <w:r w:rsidRPr="006431C4">
        <w:rPr>
          <w:rFonts w:cs="Arial"/>
          <w:szCs w:val="20"/>
        </w:rPr>
        <w:t>wilgotność naturalną, wg PN-EN ISO 17892-1 [17] dla gruntów i wg PN-EN 1097-5 [18] dla mieszanek kruszyw,</w:t>
      </w:r>
    </w:p>
    <w:p w14:paraId="7314A5A0" w14:textId="77777777" w:rsidR="00793CD0" w:rsidRPr="006431C4" w:rsidRDefault="00793CD0" w:rsidP="00CF1E7D">
      <w:pPr>
        <w:numPr>
          <w:ilvl w:val="0"/>
          <w:numId w:val="131"/>
        </w:numPr>
        <w:overflowPunct w:val="0"/>
        <w:autoSpaceDE w:val="0"/>
        <w:autoSpaceDN w:val="0"/>
        <w:adjustRightInd w:val="0"/>
        <w:spacing w:line="240" w:lineRule="auto"/>
        <w:jc w:val="both"/>
        <w:textAlignment w:val="baseline"/>
        <w:rPr>
          <w:rFonts w:cs="Arial"/>
          <w:szCs w:val="20"/>
        </w:rPr>
      </w:pPr>
      <w:r w:rsidRPr="006431C4">
        <w:rPr>
          <w:rFonts w:cs="Arial"/>
          <w:szCs w:val="20"/>
        </w:rPr>
        <w:t>wilgotność optymalną i maksymalną gęstość objętościową szkieletu gruntowego, wg PN-B-04481 [7] lub PN-EN 13286-2 [15] (należy stosować badanie Proctora i energię zagęszczania ok. 0,6 MJ/m</w:t>
      </w:r>
      <w:r w:rsidRPr="006431C4">
        <w:rPr>
          <w:rFonts w:cs="Arial"/>
          <w:szCs w:val="20"/>
          <w:vertAlign w:val="superscript"/>
        </w:rPr>
        <w:t>3</w:t>
      </w:r>
      <w:r w:rsidRPr="006431C4">
        <w:rPr>
          <w:rFonts w:cs="Arial"/>
          <w:szCs w:val="20"/>
        </w:rPr>
        <w:t>),</w:t>
      </w:r>
    </w:p>
    <w:p w14:paraId="7A22D080" w14:textId="77777777" w:rsidR="00793CD0" w:rsidRPr="006431C4" w:rsidRDefault="00793CD0" w:rsidP="00CF1E7D">
      <w:pPr>
        <w:numPr>
          <w:ilvl w:val="0"/>
          <w:numId w:val="131"/>
        </w:numPr>
        <w:overflowPunct w:val="0"/>
        <w:autoSpaceDE w:val="0"/>
        <w:autoSpaceDN w:val="0"/>
        <w:adjustRightInd w:val="0"/>
        <w:spacing w:line="240" w:lineRule="auto"/>
        <w:jc w:val="both"/>
        <w:textAlignment w:val="baseline"/>
        <w:rPr>
          <w:rFonts w:cs="Arial"/>
          <w:szCs w:val="20"/>
        </w:rPr>
      </w:pPr>
      <w:r w:rsidRPr="006431C4">
        <w:rPr>
          <w:rFonts w:cs="Arial"/>
          <w:szCs w:val="20"/>
        </w:rPr>
        <w:t>granicę płynności (nie dotyczy gruntów i materiałów niespoistych), wg PN-EN ISO 17892-12 [19],</w:t>
      </w:r>
    </w:p>
    <w:p w14:paraId="24A5B590" w14:textId="77777777" w:rsidR="00793CD0" w:rsidRPr="006431C4" w:rsidRDefault="00793CD0" w:rsidP="00CF1E7D">
      <w:pPr>
        <w:numPr>
          <w:ilvl w:val="0"/>
          <w:numId w:val="131"/>
        </w:numPr>
        <w:overflowPunct w:val="0"/>
        <w:autoSpaceDE w:val="0"/>
        <w:autoSpaceDN w:val="0"/>
        <w:adjustRightInd w:val="0"/>
        <w:spacing w:line="240" w:lineRule="auto"/>
        <w:jc w:val="both"/>
        <w:textAlignment w:val="baseline"/>
        <w:rPr>
          <w:rFonts w:cs="Arial"/>
          <w:szCs w:val="20"/>
        </w:rPr>
      </w:pPr>
      <w:r w:rsidRPr="006431C4">
        <w:rPr>
          <w:rFonts w:cs="Arial"/>
          <w:szCs w:val="20"/>
        </w:rPr>
        <w:t>współczynnik filtracji wg PN-B-04492 [20], wskaźnik piaskowy wg BN-64/8931-01 [9] dla gruntów i wg PN-EN 933-8[ 14] dla mieszanek kruszyw.</w:t>
      </w:r>
    </w:p>
    <w:p w14:paraId="043320EB"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Grunty powinny spełniać wymagania podane w pkt.2.2 niniejszej SST.</w:t>
      </w:r>
    </w:p>
    <w:p w14:paraId="3882956A"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6.3.3. </w:t>
      </w:r>
      <w:r w:rsidRPr="006431C4">
        <w:rPr>
          <w:rFonts w:cs="Arial"/>
          <w:szCs w:val="20"/>
        </w:rPr>
        <w:t>Sprawdzenie zagęszczenia i nośności podłoża nasypu</w:t>
      </w:r>
    </w:p>
    <w:p w14:paraId="04AAC646" w14:textId="77777777" w:rsidR="00793CD0" w:rsidRPr="006431C4" w:rsidRDefault="00793CD0"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zagęszczenia podłoża nasypu polega na skontrolowaniu zgodności wartości wskaźnika zagęszczenia I</w:t>
      </w:r>
      <w:r w:rsidRPr="006431C4">
        <w:rPr>
          <w:rFonts w:cs="Arial"/>
          <w:szCs w:val="20"/>
          <w:vertAlign w:val="subscript"/>
        </w:rPr>
        <w:t>s</w:t>
      </w:r>
      <w:r w:rsidRPr="006431C4">
        <w:rPr>
          <w:rFonts w:cs="Arial"/>
          <w:szCs w:val="20"/>
        </w:rPr>
        <w:t xml:space="preserve"> lub stosunku modułów odkształcenia z wartościami określonymi w pkt. 5.3.1.2.1. niniejszej SST. Częstotliwość wykonania badań zagęszczenia podłoża gruntowego pod nasypem – wg D-02.00.01, pkt.6.4.2. </w:t>
      </w:r>
    </w:p>
    <w:p w14:paraId="268518D7" w14:textId="77777777" w:rsidR="00793CD0" w:rsidRPr="006431C4" w:rsidRDefault="00793CD0"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nośności podłoża nasypu polega na skontrolowaniu zgodności modułu odkształcenia E</w:t>
      </w:r>
      <w:r w:rsidRPr="006431C4">
        <w:rPr>
          <w:rFonts w:cs="Arial"/>
          <w:szCs w:val="20"/>
          <w:vertAlign w:val="subscript"/>
        </w:rPr>
        <w:t>2</w:t>
      </w:r>
      <w:r w:rsidRPr="006431C4">
        <w:rPr>
          <w:rFonts w:cs="Arial"/>
          <w:szCs w:val="20"/>
        </w:rPr>
        <w:t xml:space="preserve"> lub modułu dynamicznego Evd określonymi w pkt.  5.3.1.2.2. niniejszej SST.</w:t>
      </w:r>
    </w:p>
    <w:p w14:paraId="5B16A66D" w14:textId="77777777" w:rsidR="00793CD0" w:rsidRPr="006431C4" w:rsidRDefault="00793CD0" w:rsidP="00BE2485">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Jeżeli dopuszczono kontrolę nośności na podstawie oceny wartości modułu Evd określonego w badaniu lekką płytą dynamiczną LPD, to sprawdzenie polega na skontrolowaniu zgodności wartości modułu Evd z wartościami określonymi na odcinku próbnym, zaakceptowanymi przez Inżyniera. </w:t>
      </w:r>
    </w:p>
    <w:p w14:paraId="0EFB97E4" w14:textId="77777777" w:rsidR="00793CD0" w:rsidRPr="006431C4" w:rsidRDefault="00793CD0" w:rsidP="00BE2485">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Częstotliwość kontroli nośności podłoża pod nasypem powinna być zgodna z SST D-02.00.01. pkt.6.4.3.</w:t>
      </w:r>
    </w:p>
    <w:p w14:paraId="64FEB5B5" w14:textId="77777777" w:rsidR="00793CD0" w:rsidRPr="006431C4" w:rsidRDefault="00793CD0" w:rsidP="00BE2485">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Wyniki kontroli zagęszczenia i nośności podłoża pod nasypem Wykonawca powinien wpisywać do dokumentów laboratoryjnych. Prawidłowość zagęszczenia podłoża pod nasypem powinna być potwierdzona przez Inżyniera wpisem w dzienniku budowy.</w:t>
      </w:r>
    </w:p>
    <w:p w14:paraId="1A8DBD38" w14:textId="77777777" w:rsidR="00793CD0" w:rsidRPr="006431C4" w:rsidRDefault="00793CD0" w:rsidP="00BE2485">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Dodatkowo należy skontrolować brak zastoisk wody w podłożu.</w:t>
      </w:r>
    </w:p>
    <w:p w14:paraId="4AA0C65D"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6.3.4. </w:t>
      </w:r>
      <w:r w:rsidRPr="006431C4">
        <w:rPr>
          <w:rFonts w:cs="Arial"/>
          <w:szCs w:val="20"/>
        </w:rPr>
        <w:t>Badania kontrolne prawidłowości wykonania poszczególnych warstw nasypu</w:t>
      </w:r>
    </w:p>
    <w:p w14:paraId="14E6C065"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ab/>
        <w:t>Badania kontrolne prawidłowości wykonania poszczególnych warstw nasypu polegają na sprawdzeniu zgodności z pkt. 5.3.3. niniejszej SST:</w:t>
      </w:r>
    </w:p>
    <w:p w14:paraId="736F97AA" w14:textId="77777777" w:rsidR="00793CD0" w:rsidRPr="006431C4" w:rsidRDefault="00793CD0" w:rsidP="00CF1E7D">
      <w:pPr>
        <w:numPr>
          <w:ilvl w:val="0"/>
          <w:numId w:val="128"/>
        </w:numPr>
        <w:overflowPunct w:val="0"/>
        <w:autoSpaceDE w:val="0"/>
        <w:autoSpaceDN w:val="0"/>
        <w:adjustRightInd w:val="0"/>
        <w:spacing w:line="240" w:lineRule="auto"/>
        <w:jc w:val="both"/>
        <w:textAlignment w:val="baseline"/>
        <w:rPr>
          <w:rFonts w:cs="Arial"/>
          <w:szCs w:val="20"/>
        </w:rPr>
      </w:pPr>
      <w:r w:rsidRPr="006431C4">
        <w:rPr>
          <w:rFonts w:cs="Arial"/>
          <w:szCs w:val="20"/>
        </w:rPr>
        <w:t>prawidłowości rozmieszczenia gruntów o różnych właściwościach w nasypie,</w:t>
      </w:r>
    </w:p>
    <w:p w14:paraId="1B1A3EB6" w14:textId="77777777" w:rsidR="00793CD0" w:rsidRPr="006431C4" w:rsidRDefault="00793CD0" w:rsidP="00CF1E7D">
      <w:pPr>
        <w:numPr>
          <w:ilvl w:val="0"/>
          <w:numId w:val="128"/>
        </w:numPr>
        <w:overflowPunct w:val="0"/>
        <w:autoSpaceDE w:val="0"/>
        <w:autoSpaceDN w:val="0"/>
        <w:adjustRightInd w:val="0"/>
        <w:spacing w:line="240" w:lineRule="auto"/>
        <w:jc w:val="both"/>
        <w:textAlignment w:val="baseline"/>
        <w:rPr>
          <w:rFonts w:cs="Arial"/>
          <w:szCs w:val="20"/>
        </w:rPr>
      </w:pPr>
      <w:r w:rsidRPr="006431C4">
        <w:rPr>
          <w:rFonts w:cs="Arial"/>
          <w:szCs w:val="20"/>
        </w:rPr>
        <w:t>odwodnienia każdej warstwy,</w:t>
      </w:r>
    </w:p>
    <w:p w14:paraId="58E47999" w14:textId="77777777" w:rsidR="00793CD0" w:rsidRPr="006431C4" w:rsidRDefault="00793CD0" w:rsidP="00CF1E7D">
      <w:pPr>
        <w:numPr>
          <w:ilvl w:val="0"/>
          <w:numId w:val="128"/>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grubości każdej warstwy i jej wilgotności przy zagęszczaniu; badania należy przeprowadzić nie rzadziej niż jeden raz na </w:t>
      </w:r>
      <w:smartTag w:uri="urn:schemas-microsoft-com:office:smarttags" w:element="metricconverter">
        <w:smartTagPr>
          <w:attr w:name="ProductID" w:val="500 m2"/>
        </w:smartTagPr>
        <w:r w:rsidRPr="006431C4">
          <w:rPr>
            <w:rFonts w:cs="Arial"/>
            <w:szCs w:val="20"/>
          </w:rPr>
          <w:t>500 m</w:t>
        </w:r>
        <w:r w:rsidRPr="006431C4">
          <w:rPr>
            <w:rFonts w:cs="Arial"/>
            <w:szCs w:val="20"/>
            <w:vertAlign w:val="superscript"/>
          </w:rPr>
          <w:t>2</w:t>
        </w:r>
      </w:smartTag>
      <w:r w:rsidRPr="006431C4">
        <w:rPr>
          <w:rFonts w:cs="Arial"/>
          <w:szCs w:val="20"/>
        </w:rPr>
        <w:t xml:space="preserve"> warstwy,</w:t>
      </w:r>
    </w:p>
    <w:p w14:paraId="5019C63C" w14:textId="77777777" w:rsidR="00793CD0" w:rsidRPr="006431C4" w:rsidRDefault="00793CD0" w:rsidP="00CF1E7D">
      <w:pPr>
        <w:numPr>
          <w:ilvl w:val="0"/>
          <w:numId w:val="128"/>
        </w:numPr>
        <w:overflowPunct w:val="0"/>
        <w:autoSpaceDE w:val="0"/>
        <w:autoSpaceDN w:val="0"/>
        <w:adjustRightInd w:val="0"/>
        <w:spacing w:line="240" w:lineRule="auto"/>
        <w:jc w:val="both"/>
        <w:textAlignment w:val="baseline"/>
        <w:rPr>
          <w:rFonts w:cs="Arial"/>
          <w:szCs w:val="20"/>
        </w:rPr>
      </w:pPr>
      <w:r w:rsidRPr="006431C4">
        <w:rPr>
          <w:rFonts w:cs="Arial"/>
          <w:szCs w:val="20"/>
        </w:rPr>
        <w:t>nadania spadków warstw z gruntów spoistych,</w:t>
      </w:r>
    </w:p>
    <w:p w14:paraId="07D6DBF8" w14:textId="77777777" w:rsidR="00793CD0" w:rsidRPr="006431C4" w:rsidRDefault="00793CD0" w:rsidP="00CF1E7D">
      <w:pPr>
        <w:numPr>
          <w:ilvl w:val="0"/>
          <w:numId w:val="128"/>
        </w:numPr>
        <w:overflowPunct w:val="0"/>
        <w:autoSpaceDE w:val="0"/>
        <w:autoSpaceDN w:val="0"/>
        <w:adjustRightInd w:val="0"/>
        <w:spacing w:line="240" w:lineRule="auto"/>
        <w:jc w:val="both"/>
        <w:textAlignment w:val="baseline"/>
        <w:rPr>
          <w:rFonts w:cs="Arial"/>
          <w:szCs w:val="20"/>
        </w:rPr>
      </w:pPr>
      <w:r w:rsidRPr="006431C4">
        <w:rPr>
          <w:rFonts w:cs="Arial"/>
          <w:szCs w:val="20"/>
        </w:rPr>
        <w:t>przestrzegania ograniczeń określonych w pktach 5.3.3.9 i 5.3.3.10, dotyczących wbudowania gruntów w okresie deszczów i mrozów.</w:t>
      </w:r>
    </w:p>
    <w:p w14:paraId="58C16959"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6.3.5. </w:t>
      </w:r>
      <w:r w:rsidRPr="006431C4">
        <w:rPr>
          <w:rFonts w:cs="Arial"/>
          <w:szCs w:val="20"/>
        </w:rPr>
        <w:t>Sprawdzenie zagęszczenia warstw nasypu</w:t>
      </w:r>
    </w:p>
    <w:p w14:paraId="0EF35446" w14:textId="77777777" w:rsidR="00793CD0" w:rsidRPr="006431C4" w:rsidRDefault="00793CD0"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zagęszczenia warstw nasypu polega na skontrolowaniu zgodności wartości wskaźnika zagęszczenia I</w:t>
      </w:r>
      <w:r w:rsidRPr="006431C4">
        <w:rPr>
          <w:rFonts w:cs="Arial"/>
          <w:szCs w:val="20"/>
          <w:vertAlign w:val="subscript"/>
        </w:rPr>
        <w:t>s</w:t>
      </w:r>
      <w:r w:rsidRPr="006431C4">
        <w:rPr>
          <w:rFonts w:cs="Arial"/>
          <w:szCs w:val="20"/>
        </w:rPr>
        <w:t xml:space="preserve"> lub stosunku modułów odkształcenia z wartościami określonymi w pktach 5.3.4.4. Częstotliwość wykonania badań zagęszczenia warstw nasypu – wg D-02.00.01, pkt.6.4.2. </w:t>
      </w:r>
    </w:p>
    <w:p w14:paraId="27F4CC36" w14:textId="77777777" w:rsidR="00793CD0" w:rsidRPr="006431C4" w:rsidRDefault="00793CD0" w:rsidP="00BE2485">
      <w:pPr>
        <w:numPr>
          <w:ilvl w:val="12"/>
          <w:numId w:val="0"/>
        </w:numPr>
        <w:overflowPunct w:val="0"/>
        <w:autoSpaceDE w:val="0"/>
        <w:autoSpaceDN w:val="0"/>
        <w:adjustRightInd w:val="0"/>
        <w:spacing w:line="240" w:lineRule="auto"/>
        <w:jc w:val="both"/>
        <w:textAlignment w:val="baseline"/>
        <w:rPr>
          <w:rFonts w:cs="Arial"/>
          <w:szCs w:val="20"/>
        </w:rPr>
      </w:pPr>
    </w:p>
    <w:p w14:paraId="754AF1BB" w14:textId="77777777" w:rsidR="00793CD0" w:rsidRPr="006431C4" w:rsidRDefault="00793CD0"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6.3.6.</w:t>
      </w:r>
      <w:r w:rsidRPr="006431C4">
        <w:rPr>
          <w:rFonts w:cs="Arial"/>
          <w:szCs w:val="20"/>
        </w:rPr>
        <w:t xml:space="preserve"> Sprawdzenie nośności podłoża pod nawierzchnię na nasypie</w:t>
      </w:r>
    </w:p>
    <w:p w14:paraId="57288306" w14:textId="77777777" w:rsidR="00793CD0" w:rsidRPr="006431C4" w:rsidRDefault="00793CD0"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nośności podłoża nasypu polega na skontrolowaniu zgodności modułu odkształcenia E</w:t>
      </w:r>
      <w:r w:rsidRPr="006431C4">
        <w:rPr>
          <w:rFonts w:cs="Arial"/>
          <w:szCs w:val="20"/>
          <w:vertAlign w:val="subscript"/>
        </w:rPr>
        <w:t>2</w:t>
      </w:r>
      <w:r w:rsidRPr="006431C4">
        <w:rPr>
          <w:rFonts w:cs="Arial"/>
          <w:szCs w:val="20"/>
        </w:rPr>
        <w:t xml:space="preserve"> lub modułu dynamicznego Evd określonymi w pkt.  5.3.4.5. niniejszej SST.</w:t>
      </w:r>
    </w:p>
    <w:p w14:paraId="48377331" w14:textId="77777777" w:rsidR="00793CD0" w:rsidRPr="006431C4" w:rsidRDefault="00793CD0"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Jeżeli dopuszczono kontrolę nośności na podstawie oceny wartości modułu Evd określonego w badaniu lekką płytą dynamiczną LPD, to sprawdzenie polega na skontrolowaniu zgodności wartości modułu Evd z wartościami określonymi na odcinku próbnym, zaakceptowanymi przez Inżyniera. </w:t>
      </w:r>
    </w:p>
    <w:p w14:paraId="124AFBDD" w14:textId="77777777" w:rsidR="00793CD0" w:rsidRPr="006431C4" w:rsidRDefault="00793CD0" w:rsidP="00BE2485">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Częstotliwość kontroli nośności podłoża pod nawierzchnię na nasypie  powinna być zgodna z SST D-02.00.01. pkt.6.4.3.</w:t>
      </w:r>
    </w:p>
    <w:p w14:paraId="61AD17B0" w14:textId="77777777" w:rsidR="00793CD0" w:rsidRPr="006431C4" w:rsidRDefault="00793CD0"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6.3.7. </w:t>
      </w:r>
      <w:r w:rsidRPr="006431C4">
        <w:rPr>
          <w:rFonts w:cs="Arial"/>
          <w:szCs w:val="20"/>
        </w:rPr>
        <w:t>Pomiary kształtu nasypu</w:t>
      </w:r>
    </w:p>
    <w:p w14:paraId="4872A2F0" w14:textId="77777777" w:rsidR="00793CD0" w:rsidRPr="006431C4" w:rsidRDefault="00793CD0" w:rsidP="00BE2485">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Pomiary kształtu nasypu obejmują kontrolę:</w:t>
      </w:r>
    </w:p>
    <w:p w14:paraId="70E1AF85"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prawidłowości wykonania skarp,</w:t>
      </w:r>
    </w:p>
    <w:p w14:paraId="1D177575"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szerokości korony korpusu.</w:t>
      </w:r>
    </w:p>
    <w:p w14:paraId="2801D1F6"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prawidłowości wykonania skarp polega na skontrolowaniu zgodności z wymaganiami dotyczącymi pochyleń i dokładności wykonania skarp, określonymi w dokumentacji projektowej, SST oraz w pkcie 6.4.1. SST D-02.00.01.</w:t>
      </w:r>
    </w:p>
    <w:p w14:paraId="68E096A4"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szerokości korony korpusu polega na porównaniu szerokości korony korpusu na poziomie wykonywanej warstwy nasypu z szerokością wynikającą z wymiarów geometrycznych korpusu, określonych w dokumentacji projektowej.</w:t>
      </w:r>
    </w:p>
    <w:p w14:paraId="0B000E56"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399" w:name="_Toc406295870"/>
      <w:bookmarkStart w:id="400" w:name="_Toc407161290"/>
      <w:r w:rsidRPr="006431C4">
        <w:rPr>
          <w:rFonts w:cs="Arial"/>
          <w:b/>
          <w:szCs w:val="20"/>
        </w:rPr>
        <w:t>6.4. Sprawdzenie jakości wykonania odkładu</w:t>
      </w:r>
      <w:bookmarkEnd w:id="399"/>
      <w:bookmarkEnd w:id="400"/>
    </w:p>
    <w:p w14:paraId="1C32BD48"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Sprawdzenie wykonania odkładu polega na sprawdzeniu zgodności z wymaganiami określonymi w pkt. 5.11 SST D-02.00.01, w dokumentacji projektowej i SST.</w:t>
      </w:r>
    </w:p>
    <w:p w14:paraId="619423EF"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Szczególną uwagę należy zwrócić na:</w:t>
      </w:r>
    </w:p>
    <w:p w14:paraId="0B336B2F" w14:textId="77777777" w:rsidR="00793CD0" w:rsidRPr="006431C4" w:rsidRDefault="00793CD0" w:rsidP="00CF1E7D">
      <w:pPr>
        <w:numPr>
          <w:ilvl w:val="0"/>
          <w:numId w:val="129"/>
        </w:numPr>
        <w:overflowPunct w:val="0"/>
        <w:autoSpaceDE w:val="0"/>
        <w:autoSpaceDN w:val="0"/>
        <w:adjustRightInd w:val="0"/>
        <w:spacing w:line="240" w:lineRule="auto"/>
        <w:jc w:val="both"/>
        <w:textAlignment w:val="baseline"/>
        <w:rPr>
          <w:rFonts w:cs="Arial"/>
          <w:szCs w:val="20"/>
        </w:rPr>
      </w:pPr>
      <w:r w:rsidRPr="006431C4">
        <w:rPr>
          <w:rFonts w:cs="Arial"/>
          <w:szCs w:val="20"/>
        </w:rPr>
        <w:t>prawidłowość usytuowania i kształt geometryczny odkładu,</w:t>
      </w:r>
    </w:p>
    <w:p w14:paraId="4EA39801" w14:textId="77777777" w:rsidR="00793CD0" w:rsidRPr="006431C4" w:rsidRDefault="00793CD0" w:rsidP="00CF1E7D">
      <w:pPr>
        <w:numPr>
          <w:ilvl w:val="0"/>
          <w:numId w:val="129"/>
        </w:numPr>
        <w:overflowPunct w:val="0"/>
        <w:autoSpaceDE w:val="0"/>
        <w:autoSpaceDN w:val="0"/>
        <w:adjustRightInd w:val="0"/>
        <w:spacing w:line="240" w:lineRule="auto"/>
        <w:jc w:val="both"/>
        <w:textAlignment w:val="baseline"/>
        <w:rPr>
          <w:rFonts w:cs="Arial"/>
          <w:szCs w:val="20"/>
        </w:rPr>
      </w:pPr>
      <w:r w:rsidRPr="006431C4">
        <w:rPr>
          <w:rFonts w:cs="Arial"/>
          <w:szCs w:val="20"/>
        </w:rPr>
        <w:t>odpowiednie wbudowanie gruntu,</w:t>
      </w:r>
    </w:p>
    <w:p w14:paraId="750B4576" w14:textId="77777777" w:rsidR="00793CD0" w:rsidRPr="006431C4" w:rsidRDefault="00793CD0" w:rsidP="00CF1E7D">
      <w:pPr>
        <w:numPr>
          <w:ilvl w:val="0"/>
          <w:numId w:val="129"/>
        </w:numPr>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rPr>
        <w:t>właściwe zagospodarowanie (rekultywację) odkładu.</w:t>
      </w:r>
    </w:p>
    <w:p w14:paraId="4C74BDAC"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6.5. Sprawdzenie ułożenia geosyntetyku </w:t>
      </w:r>
    </w:p>
    <w:p w14:paraId="359D486D"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W przypadku stosowania geosyntetyku należy skontrolować, czy podłoże jest równe i bez ostrych występów, mogących spowodować uszkodzenie geosyntetyku w czasie układania lub pracy.</w:t>
      </w:r>
    </w:p>
    <w:p w14:paraId="6DF04860"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Należy na bieżąco kontrolować stan geosyntetyku (powinien być bez rozdarć i innych nienaprawionych uszkodzeń) oraz wielkość zakładów na zgodność z pkt.5.8. SST D-02.00.01. Po rozłożeniu geosyntetyk powinien przylegać do podłoża na całej powierzchni.</w:t>
      </w:r>
    </w:p>
    <w:p w14:paraId="36156F5B" w14:textId="77777777" w:rsidR="00793CD0" w:rsidRPr="006431C4" w:rsidRDefault="00793CD0"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401" w:name="_Toc406295871"/>
      <w:bookmarkStart w:id="402" w:name="_Toc407161291"/>
      <w:bookmarkStart w:id="403" w:name="_Toc418994951"/>
      <w:bookmarkStart w:id="404" w:name="_Toc418996358"/>
      <w:bookmarkStart w:id="405" w:name="_Toc418996727"/>
      <w:bookmarkStart w:id="406" w:name="_Toc418997114"/>
      <w:bookmarkStart w:id="407" w:name="_Toc418998524"/>
      <w:bookmarkStart w:id="408" w:name="_Toc418998880"/>
      <w:bookmarkStart w:id="409" w:name="_Toc419000125"/>
      <w:bookmarkStart w:id="410" w:name="_Toc17407569"/>
      <w:bookmarkStart w:id="411" w:name="_Toc17407804"/>
      <w:bookmarkStart w:id="412" w:name="_Toc17407928"/>
      <w:bookmarkStart w:id="413" w:name="_Toc17408047"/>
      <w:r w:rsidRPr="006431C4">
        <w:rPr>
          <w:rFonts w:cs="Arial"/>
          <w:b/>
          <w:caps/>
          <w:kern w:val="28"/>
          <w:szCs w:val="20"/>
        </w:rPr>
        <w:t>7. Obmiar robót</w:t>
      </w:r>
      <w:bookmarkEnd w:id="401"/>
      <w:bookmarkEnd w:id="402"/>
      <w:bookmarkEnd w:id="403"/>
      <w:bookmarkEnd w:id="404"/>
      <w:bookmarkEnd w:id="405"/>
      <w:bookmarkEnd w:id="406"/>
      <w:bookmarkEnd w:id="407"/>
      <w:bookmarkEnd w:id="408"/>
      <w:bookmarkEnd w:id="409"/>
      <w:bookmarkEnd w:id="410"/>
      <w:bookmarkEnd w:id="411"/>
      <w:bookmarkEnd w:id="412"/>
      <w:bookmarkEnd w:id="413"/>
    </w:p>
    <w:p w14:paraId="6F5DBFDC"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414" w:name="_Toc406295872"/>
      <w:bookmarkStart w:id="415" w:name="_Toc407161292"/>
      <w:r w:rsidRPr="006431C4">
        <w:rPr>
          <w:rFonts w:cs="Arial"/>
          <w:b/>
          <w:szCs w:val="20"/>
        </w:rPr>
        <w:t>7.1. Ogólne zasady obmiaru robót</w:t>
      </w:r>
      <w:bookmarkEnd w:id="414"/>
      <w:bookmarkEnd w:id="415"/>
    </w:p>
    <w:p w14:paraId="7A9657E6"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obmiaru robót podano w SST D-02.00.01 pkt 7.</w:t>
      </w:r>
    </w:p>
    <w:p w14:paraId="74B711DB"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416" w:name="_Toc406295873"/>
      <w:bookmarkStart w:id="417" w:name="_Toc407161293"/>
      <w:r w:rsidRPr="006431C4">
        <w:rPr>
          <w:rFonts w:cs="Arial"/>
          <w:b/>
          <w:szCs w:val="20"/>
        </w:rPr>
        <w:t>7.2. Jednostka obmiarowa</w:t>
      </w:r>
      <w:bookmarkEnd w:id="416"/>
      <w:bookmarkEnd w:id="417"/>
    </w:p>
    <w:p w14:paraId="2E34EFC7"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Jednostką obmiarową jest m</w:t>
      </w:r>
      <w:r w:rsidRPr="006431C4">
        <w:rPr>
          <w:rFonts w:cs="Arial"/>
          <w:szCs w:val="20"/>
          <w:vertAlign w:val="superscript"/>
        </w:rPr>
        <w:t>3</w:t>
      </w:r>
      <w:r w:rsidRPr="006431C4">
        <w:rPr>
          <w:rFonts w:cs="Arial"/>
          <w:szCs w:val="20"/>
        </w:rPr>
        <w:t xml:space="preserve"> (metr sześcienny).</w:t>
      </w:r>
    </w:p>
    <w:p w14:paraId="3FDF6A74"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Objętość ukopu i dokopu będzie ustalona w metrach sześciennych jako różnica ogólnej objętości nasypów i ogólnej objętości wykopów, pomniejszonej o objętość gruntów nieprzydatnych do budowy nasypów, z uwzględnieniem spulchnienia gruntu, tj. procentowego stosunku objętości gruntu w stanie rodzimym do objętości w nasypie.</w:t>
      </w:r>
    </w:p>
    <w:p w14:paraId="7903B0B7"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Objętość nasypów będzie ustalona w metrach sześciennych na podstawie obliczeń z przekrojów poprzecznych, w oparciu o poziom gruntu rodzimego lub poziom gruntu po usunięciu warstw gruntów nieprzydatnych.</w:t>
      </w:r>
    </w:p>
    <w:p w14:paraId="1D9F4EC0"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Objętość odkładu będzie określona w metrach sześciennych na podstawie obmiaru jako różnica objętości wykopów,  powiększonej o objętość ukopów i objętości nasypów, z uwzględnieniem spulchnienia gruntu i zastrzeżeń sformułowanych w pkt. 5.11 SST D-02.00.01.</w:t>
      </w:r>
    </w:p>
    <w:p w14:paraId="039CCF61" w14:textId="77777777" w:rsidR="00793CD0" w:rsidRPr="006431C4" w:rsidRDefault="00793CD0"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418" w:name="_Toc406295874"/>
      <w:bookmarkStart w:id="419" w:name="_Toc407161294"/>
      <w:bookmarkStart w:id="420" w:name="_Toc418994952"/>
      <w:bookmarkStart w:id="421" w:name="_Toc418996359"/>
      <w:bookmarkStart w:id="422" w:name="_Toc418996728"/>
      <w:bookmarkStart w:id="423" w:name="_Toc418997115"/>
      <w:bookmarkStart w:id="424" w:name="_Toc418998525"/>
      <w:bookmarkStart w:id="425" w:name="_Toc418998881"/>
      <w:bookmarkStart w:id="426" w:name="_Toc419000126"/>
      <w:bookmarkStart w:id="427" w:name="_Toc17407570"/>
      <w:bookmarkStart w:id="428" w:name="_Toc17407805"/>
      <w:bookmarkStart w:id="429" w:name="_Toc17407929"/>
      <w:bookmarkStart w:id="430" w:name="_Toc17408048"/>
      <w:r w:rsidRPr="006431C4">
        <w:rPr>
          <w:rFonts w:cs="Arial"/>
          <w:b/>
          <w:caps/>
          <w:kern w:val="28"/>
          <w:szCs w:val="20"/>
        </w:rPr>
        <w:t>8. Odbiór robót</w:t>
      </w:r>
      <w:bookmarkEnd w:id="418"/>
      <w:bookmarkEnd w:id="419"/>
      <w:bookmarkEnd w:id="420"/>
      <w:bookmarkEnd w:id="421"/>
      <w:bookmarkEnd w:id="422"/>
      <w:bookmarkEnd w:id="423"/>
      <w:bookmarkEnd w:id="424"/>
      <w:bookmarkEnd w:id="425"/>
      <w:bookmarkEnd w:id="426"/>
      <w:bookmarkEnd w:id="427"/>
      <w:bookmarkEnd w:id="428"/>
      <w:bookmarkEnd w:id="429"/>
      <w:bookmarkEnd w:id="430"/>
    </w:p>
    <w:p w14:paraId="31CC757C"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odbioru robót podano w SST D-02.00.01 pkt 8.</w:t>
      </w:r>
    </w:p>
    <w:p w14:paraId="0BC3E733" w14:textId="77777777" w:rsidR="00793CD0" w:rsidRPr="006431C4" w:rsidRDefault="00793CD0" w:rsidP="00BE2485">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Każda wykonana warstwa nasypu musi być poddana procedurze odbioru robót zanikających i ulegających zakryciu. Przystąpienie do wbudowania kolejnej warstwy nasypu może nastąpić dopiero po stwierdzeniu przez Inżyniera prawidłowego wykonania warstwy poprzedniej.</w:t>
      </w:r>
    </w:p>
    <w:p w14:paraId="75893823" w14:textId="77777777" w:rsidR="00793CD0" w:rsidRPr="006431C4" w:rsidRDefault="00793CD0"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431" w:name="_Toc406295875"/>
      <w:bookmarkStart w:id="432" w:name="_Toc407161295"/>
      <w:bookmarkStart w:id="433" w:name="_Toc418994953"/>
      <w:bookmarkStart w:id="434" w:name="_Toc418996360"/>
      <w:bookmarkStart w:id="435" w:name="_Toc418996729"/>
      <w:bookmarkStart w:id="436" w:name="_Toc418997116"/>
      <w:bookmarkStart w:id="437" w:name="_Toc418998526"/>
      <w:bookmarkStart w:id="438" w:name="_Toc418998882"/>
      <w:bookmarkStart w:id="439" w:name="_Toc419000127"/>
      <w:bookmarkStart w:id="440" w:name="_Toc17407571"/>
      <w:bookmarkStart w:id="441" w:name="_Toc17407806"/>
      <w:bookmarkStart w:id="442" w:name="_Toc17407930"/>
      <w:bookmarkStart w:id="443" w:name="_Toc17408049"/>
      <w:r w:rsidRPr="006431C4">
        <w:rPr>
          <w:rFonts w:cs="Arial"/>
          <w:b/>
          <w:caps/>
          <w:kern w:val="28"/>
          <w:szCs w:val="20"/>
        </w:rPr>
        <w:lastRenderedPageBreak/>
        <w:t>9. Podstawa płatności</w:t>
      </w:r>
      <w:bookmarkEnd w:id="431"/>
      <w:bookmarkEnd w:id="432"/>
      <w:bookmarkEnd w:id="433"/>
      <w:bookmarkEnd w:id="434"/>
      <w:bookmarkEnd w:id="435"/>
      <w:bookmarkEnd w:id="436"/>
      <w:bookmarkEnd w:id="437"/>
      <w:bookmarkEnd w:id="438"/>
      <w:bookmarkEnd w:id="439"/>
      <w:bookmarkEnd w:id="440"/>
      <w:bookmarkEnd w:id="441"/>
      <w:bookmarkEnd w:id="442"/>
      <w:bookmarkEnd w:id="443"/>
    </w:p>
    <w:p w14:paraId="2C3B81CA"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444" w:name="_Toc406295876"/>
      <w:bookmarkStart w:id="445" w:name="_Toc407161296"/>
      <w:r w:rsidRPr="006431C4">
        <w:rPr>
          <w:rFonts w:cs="Arial"/>
          <w:b/>
          <w:szCs w:val="20"/>
        </w:rPr>
        <w:t>9.1. Ogólne ustalenia dotyczące podstawy płatności</w:t>
      </w:r>
      <w:bookmarkEnd w:id="444"/>
      <w:bookmarkEnd w:id="445"/>
    </w:p>
    <w:p w14:paraId="01EEEB98"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ustalenia dotyczące podstawy płatności podano w SST D-02.00.01 pkt 9.</w:t>
      </w:r>
    </w:p>
    <w:p w14:paraId="45D0C517" w14:textId="77777777" w:rsidR="00793CD0" w:rsidRPr="006431C4" w:rsidRDefault="00793CD0" w:rsidP="00BE2485">
      <w:pPr>
        <w:keepNext/>
        <w:overflowPunct w:val="0"/>
        <w:autoSpaceDE w:val="0"/>
        <w:autoSpaceDN w:val="0"/>
        <w:adjustRightInd w:val="0"/>
        <w:spacing w:line="240" w:lineRule="auto"/>
        <w:jc w:val="both"/>
        <w:textAlignment w:val="baseline"/>
        <w:outlineLvl w:val="1"/>
        <w:rPr>
          <w:rFonts w:cs="Arial"/>
          <w:b/>
          <w:szCs w:val="20"/>
        </w:rPr>
      </w:pPr>
      <w:bookmarkStart w:id="446" w:name="_Toc406295877"/>
      <w:bookmarkStart w:id="447" w:name="_Toc407161297"/>
      <w:r w:rsidRPr="006431C4">
        <w:rPr>
          <w:rFonts w:cs="Arial"/>
          <w:b/>
          <w:szCs w:val="20"/>
        </w:rPr>
        <w:t>9.2. Cena jednostki obmiarowej</w:t>
      </w:r>
      <w:bookmarkEnd w:id="446"/>
      <w:bookmarkEnd w:id="447"/>
    </w:p>
    <w:p w14:paraId="7525D6E6" w14:textId="77777777" w:rsidR="00793CD0" w:rsidRPr="006431C4"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Cena wykonania </w:t>
      </w:r>
      <w:smartTag w:uri="urn:schemas-microsoft-com:office:smarttags" w:element="metricconverter">
        <w:smartTagPr>
          <w:attr w:name="ProductID" w:val="1 m3"/>
        </w:smartTagPr>
        <w:r w:rsidRPr="006431C4">
          <w:rPr>
            <w:rFonts w:cs="Arial"/>
            <w:szCs w:val="20"/>
          </w:rPr>
          <w:t>1 m</w:t>
        </w:r>
        <w:r w:rsidRPr="006431C4">
          <w:rPr>
            <w:rFonts w:cs="Arial"/>
            <w:szCs w:val="20"/>
            <w:vertAlign w:val="superscript"/>
          </w:rPr>
          <w:t>3</w:t>
        </w:r>
      </w:smartTag>
      <w:r w:rsidRPr="006431C4">
        <w:rPr>
          <w:rFonts w:cs="Arial"/>
          <w:szCs w:val="20"/>
        </w:rPr>
        <w:t xml:space="preserve"> nasypów obejmuje:</w:t>
      </w:r>
    </w:p>
    <w:p w14:paraId="47B23AB4"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prace pomiarowe,</w:t>
      </w:r>
    </w:p>
    <w:p w14:paraId="1B82DCB1"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oznakowanie robót,</w:t>
      </w:r>
    </w:p>
    <w:p w14:paraId="065928DA"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pozyskanie gruntu z ukopu lub/i dokopu, jego odspojenie i załadunek na środki transportowe,</w:t>
      </w:r>
    </w:p>
    <w:p w14:paraId="2580EFAA"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transport urobku z ukopu lub/i dokopu na miejsce wbudowania,</w:t>
      </w:r>
    </w:p>
    <w:p w14:paraId="5E7716A3"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wykonanie badań materiału (gruntu) określających typ, rodzaj materiału do wbudowania w nasyp,</w:t>
      </w:r>
    </w:p>
    <w:p w14:paraId="19AC48CE"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doprowadzenie gruntu lub materiału do wilgotności optymalnej,</w:t>
      </w:r>
    </w:p>
    <w:p w14:paraId="0171B54C"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wbudowanie dostarczonego gruntu w nasyp,</w:t>
      </w:r>
    </w:p>
    <w:p w14:paraId="0244C967"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zagęszczenie gruntu,</w:t>
      </w:r>
    </w:p>
    <w:p w14:paraId="23EF2F04"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profilowanie powierzchni nasypu, rowów i skarp,</w:t>
      </w:r>
    </w:p>
    <w:p w14:paraId="29EB6D14"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sformowanie odkładu,</w:t>
      </w:r>
    </w:p>
    <w:p w14:paraId="47C4616F"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wyprofilowanie skarp ukopu,  dokopu i odkładu,</w:t>
      </w:r>
    </w:p>
    <w:p w14:paraId="53DAB441"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rekultywację dokopu i terenu przyległego do drogi,</w:t>
      </w:r>
    </w:p>
    <w:p w14:paraId="08420A5E"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odwodnienie terenu robót,</w:t>
      </w:r>
    </w:p>
    <w:p w14:paraId="68946913"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ewentualne ułożenie geosyntetyku,</w:t>
      </w:r>
    </w:p>
    <w:p w14:paraId="208FEF32"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wykonanie dróg dojazdowych na czas budowy, a następnie ich rozebranie,</w:t>
      </w:r>
    </w:p>
    <w:p w14:paraId="4CD81D37" w14:textId="77777777" w:rsidR="00793CD0" w:rsidRPr="006431C4" w:rsidRDefault="00793CD0" w:rsidP="00BE2485">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przeprowadzenie pomiarów i badań laboratoryjnych wymaganych w specyfikacji technicznej.</w:t>
      </w:r>
      <w:r w:rsidRPr="006431C4">
        <w:rPr>
          <w:rFonts w:cs="Arial"/>
          <w:szCs w:val="20"/>
        </w:rPr>
        <w:tab/>
      </w:r>
    </w:p>
    <w:p w14:paraId="19E5AED5" w14:textId="77777777" w:rsidR="00793CD0" w:rsidRPr="006431C4" w:rsidRDefault="00793CD0" w:rsidP="00BE2485">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448" w:name="_Toc406295878"/>
      <w:bookmarkStart w:id="449" w:name="_Toc407161298"/>
      <w:bookmarkStart w:id="450" w:name="_Toc418994954"/>
      <w:bookmarkStart w:id="451" w:name="_Toc418996361"/>
      <w:bookmarkStart w:id="452" w:name="_Toc418996730"/>
      <w:bookmarkStart w:id="453" w:name="_Toc418997117"/>
      <w:bookmarkStart w:id="454" w:name="_Toc418998527"/>
      <w:bookmarkStart w:id="455" w:name="_Toc418998883"/>
      <w:bookmarkStart w:id="456" w:name="_Toc419000128"/>
      <w:bookmarkStart w:id="457" w:name="_Toc17407572"/>
      <w:bookmarkStart w:id="458" w:name="_Toc17407807"/>
      <w:bookmarkStart w:id="459" w:name="_Toc17407931"/>
      <w:bookmarkStart w:id="460" w:name="_Toc17408050"/>
      <w:r w:rsidRPr="006431C4">
        <w:rPr>
          <w:rFonts w:cs="Arial"/>
          <w:b/>
          <w:caps/>
          <w:kern w:val="28"/>
          <w:szCs w:val="20"/>
        </w:rPr>
        <w:t>10. Przepisy związane</w:t>
      </w:r>
      <w:bookmarkEnd w:id="448"/>
      <w:bookmarkEnd w:id="449"/>
      <w:bookmarkEnd w:id="450"/>
      <w:bookmarkEnd w:id="451"/>
      <w:bookmarkEnd w:id="452"/>
      <w:bookmarkEnd w:id="453"/>
      <w:bookmarkEnd w:id="454"/>
      <w:bookmarkEnd w:id="455"/>
      <w:bookmarkEnd w:id="456"/>
      <w:bookmarkEnd w:id="457"/>
      <w:bookmarkEnd w:id="458"/>
      <w:bookmarkEnd w:id="459"/>
      <w:bookmarkEnd w:id="460"/>
    </w:p>
    <w:p w14:paraId="0B22059F" w14:textId="594613AA" w:rsidR="00793CD0" w:rsidRPr="001D2C51" w:rsidRDefault="00793CD0" w:rsidP="00BE2485">
      <w:pPr>
        <w:overflowPunct w:val="0"/>
        <w:autoSpaceDE w:val="0"/>
        <w:autoSpaceDN w:val="0"/>
        <w:adjustRightInd w:val="0"/>
        <w:spacing w:line="240" w:lineRule="auto"/>
        <w:jc w:val="both"/>
        <w:textAlignment w:val="baseline"/>
        <w:rPr>
          <w:rFonts w:cs="Arial"/>
          <w:szCs w:val="20"/>
        </w:rPr>
      </w:pPr>
      <w:r w:rsidRPr="006431C4">
        <w:rPr>
          <w:rFonts w:cs="Arial"/>
          <w:szCs w:val="20"/>
        </w:rPr>
        <w:tab/>
        <w:t>Spis przepisów związanych podano w SST D-02.00.01 pkt 10.</w:t>
      </w:r>
    </w:p>
    <w:p w14:paraId="132CB9A4" w14:textId="7B16C84D" w:rsidR="00242468" w:rsidRPr="006431C4" w:rsidRDefault="00284CBE" w:rsidP="00BE2485">
      <w:pPr>
        <w:pStyle w:val="Nagwek4"/>
        <w:shd w:val="clear" w:color="auto" w:fill="FFFFFF" w:themeFill="background1"/>
        <w:tabs>
          <w:tab w:val="left" w:pos="142"/>
        </w:tabs>
        <w:spacing w:before="240" w:line="240" w:lineRule="auto"/>
        <w:jc w:val="both"/>
        <w:rPr>
          <w:rFonts w:cs="Arial"/>
          <w:szCs w:val="20"/>
        </w:rPr>
      </w:pPr>
      <w:bookmarkStart w:id="461" w:name="_Toc465277769"/>
      <w:bookmarkStart w:id="462" w:name="_Toc111635978"/>
      <w:r w:rsidRPr="006431C4">
        <w:rPr>
          <w:rFonts w:cs="Arial"/>
          <w:szCs w:val="20"/>
        </w:rPr>
        <w:t>D-03.02.01 - KANALIZACJA</w:t>
      </w:r>
      <w:r w:rsidR="00242468" w:rsidRPr="006431C4">
        <w:rPr>
          <w:rFonts w:cs="Arial"/>
          <w:szCs w:val="20"/>
        </w:rPr>
        <w:t xml:space="preserve"> DESZCZOWA</w:t>
      </w:r>
      <w:bookmarkEnd w:id="461"/>
      <w:bookmarkEnd w:id="462"/>
    </w:p>
    <w:p w14:paraId="35DA7D41"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63" w:name="_Toc423928988"/>
      <w:r w:rsidRPr="006431C4">
        <w:rPr>
          <w:rFonts w:cs="Arial"/>
          <w:szCs w:val="20"/>
        </w:rPr>
        <w:t>1. WSTĘP</w:t>
      </w:r>
      <w:bookmarkEnd w:id="463"/>
    </w:p>
    <w:p w14:paraId="1A03F4B1"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1.1. Przedmiot SST</w:t>
      </w:r>
    </w:p>
    <w:p w14:paraId="24CEE81E" w14:textId="77777777" w:rsidR="00242468" w:rsidRPr="006431C4" w:rsidRDefault="00242468" w:rsidP="00BE2485">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Przedmiotem niniejszej szczegółowej specyfikacji technicznej są wymagania dotyczące wykonania i odbioru robót związanych z budową kanalizacji deszczowej.</w:t>
      </w:r>
    </w:p>
    <w:p w14:paraId="30AB9B1E"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1.2. Zakres stosowania SST</w:t>
      </w:r>
    </w:p>
    <w:p w14:paraId="426AAE08" w14:textId="77777777" w:rsidR="00242468" w:rsidRPr="006431C4" w:rsidRDefault="00242468" w:rsidP="00BE2485">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1145277842"/>
        <w:placeholder>
          <w:docPart w:val="9CB5B90054CE4B059FDE9C39370E66D3"/>
        </w:placeholder>
        <w:dataBinding w:prefixMappings="xmlns:ns0='http://purl.org/dc/elements/1.1/' xmlns:ns1='http://schemas.openxmlformats.org/package/2006/metadata/core-properties' " w:xpath="/ns1:coreProperties[1]/ns0:subject[1]" w:storeItemID="{6C3C8BC8-F283-45AE-878A-BAB7291924A1}"/>
        <w:text/>
      </w:sdtPr>
      <w:sdtEndPr/>
      <w:sdtContent>
        <w:p w14:paraId="11A34479" w14:textId="1513020A" w:rsidR="00242468" w:rsidRPr="006431C4" w:rsidRDefault="00484E05" w:rsidP="00BE2485">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3F868816"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1.3. Zakres robót objętych SST</w:t>
      </w:r>
    </w:p>
    <w:p w14:paraId="271F7B5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Ustalenia zawarte w niniejszej szczegółowej specyfikacji dotyczą zasad prowadzenia robót związanych z wykonaniem kanalizacji deszczowej przy budowie, modernizacji i remontach dróg.</w:t>
      </w:r>
    </w:p>
    <w:p w14:paraId="7DCAF5FE"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1.4. Określenia podstawowe</w:t>
      </w:r>
    </w:p>
    <w:p w14:paraId="6E4BFF1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1.4.1.</w:t>
      </w:r>
      <w:r w:rsidRPr="006431C4">
        <w:rPr>
          <w:rFonts w:ascii="Arial" w:hAnsi="Arial" w:cs="Arial"/>
          <w:sz w:val="20"/>
        </w:rPr>
        <w:t xml:space="preserve"> Kanalizacja deszczowa - sieć kanalizacyjna zewnętrzna przeznaczona do odprowadzania ścieków opadowych.</w:t>
      </w:r>
    </w:p>
    <w:p w14:paraId="748706D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1.4.2.</w:t>
      </w:r>
      <w:r w:rsidRPr="006431C4">
        <w:rPr>
          <w:rFonts w:ascii="Arial" w:hAnsi="Arial" w:cs="Arial"/>
          <w:sz w:val="20"/>
        </w:rPr>
        <w:t xml:space="preserve"> Kanały</w:t>
      </w:r>
    </w:p>
    <w:p w14:paraId="7B1DC04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1.4.2.1. Kanał - liniowa budowla przeznaczona do grawitacyjnego odprowadzania ścieków.</w:t>
      </w:r>
    </w:p>
    <w:p w14:paraId="3F65D50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1.4.2.2. Kanał deszczowy - kanał przeznaczony do odprowadzania ścieków opadowych.</w:t>
      </w:r>
    </w:p>
    <w:p w14:paraId="40AA762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1.4.2.3. Przykanalik - kanał przeznaczony do połączenia wpustu deszczowego z siecią kanalizacji deszczowej.</w:t>
      </w:r>
    </w:p>
    <w:p w14:paraId="6682FB92"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1.4.2.4. Kanał zbiorczy - kanał przeznaczony do zbierania ścieków z co najmniej dwóch kanałów bocznych.</w:t>
      </w:r>
    </w:p>
    <w:p w14:paraId="49FA0E9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1.4.2.5. Kolektor główny - kanał przeznaczony do zbierania ścieków z kanałów oraz kanałów zbiorczych i odprowadzenia ich do odbiornika.</w:t>
      </w:r>
    </w:p>
    <w:p w14:paraId="190EAF0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1.4.2.6. Kanał nieprzełazowy - kanał zamknięty o wysokości wewnętrznej mniejszej niż            1,0 m.</w:t>
      </w:r>
    </w:p>
    <w:p w14:paraId="635DF9F5"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1.4.2.7. Kanał przełazowy - kanał zamknięty o wysokości wewnętrznej równej lub większej niż 1,0 m.</w:t>
      </w:r>
    </w:p>
    <w:p w14:paraId="274B185A" w14:textId="77777777" w:rsidR="00242468" w:rsidRPr="006431C4" w:rsidRDefault="00242468" w:rsidP="00BE2485">
      <w:pPr>
        <w:pStyle w:val="StylIwony"/>
        <w:keepNext/>
        <w:shd w:val="clear" w:color="auto" w:fill="FFFFFF" w:themeFill="background1"/>
        <w:tabs>
          <w:tab w:val="left" w:pos="142"/>
        </w:tabs>
        <w:spacing w:before="0" w:after="0"/>
        <w:rPr>
          <w:rFonts w:ascii="Arial" w:hAnsi="Arial" w:cs="Arial"/>
          <w:sz w:val="20"/>
        </w:rPr>
      </w:pPr>
      <w:r w:rsidRPr="006431C4">
        <w:rPr>
          <w:rFonts w:ascii="Arial" w:hAnsi="Arial" w:cs="Arial"/>
          <w:b/>
          <w:sz w:val="20"/>
        </w:rPr>
        <w:t>1.4.3.</w:t>
      </w:r>
      <w:r w:rsidRPr="006431C4">
        <w:rPr>
          <w:rFonts w:ascii="Arial" w:hAnsi="Arial" w:cs="Arial"/>
          <w:sz w:val="20"/>
        </w:rPr>
        <w:t xml:space="preserve"> Urządzenia (elementy) uzbrojenia sieci</w:t>
      </w:r>
    </w:p>
    <w:p w14:paraId="06F2013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1.4.3.1. Studzienka kanalizacyjna - studzienka rewizyjna - na kanale nieprzełazowym przeznaczona do kontroli i prawidłowej eksploatacji kanałów.</w:t>
      </w:r>
    </w:p>
    <w:p w14:paraId="0D24C67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1.4.3.2. Studzienka przelotowa - studzienka kanalizacyjna zlokalizowana na załamaniach osi kanału w planie, na załamaniach spadku kanału oraz na odcinkach prostych.</w:t>
      </w:r>
    </w:p>
    <w:p w14:paraId="56DE7AE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1.4.3.3. Studzienka połączeniowa - studzienka kanalizacyjna przeznaczona do łączenia co najmniej dwóch kanałów dopływowych w jeden kanał odpływowy.</w:t>
      </w:r>
    </w:p>
    <w:p w14:paraId="301DC82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1.4.3.4. Studzienka kaskadowa (spadowa) - studzienka kanalizacyjna mająca dodatkowy przewód pionowy umożliwiający wytrącenie nadmiaru energii ścieków, spływających z wyżej położonego kanału dopływowego do niżej położonego kanału odpływowego.</w:t>
      </w:r>
    </w:p>
    <w:p w14:paraId="01958BD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1.4.3.5. Studzienka bezwłazowa - ślepa - studzienka kanalizacyjna przykryta stropem bez otworu włazowego, spełniająca funkcje studzienki połączeniowej.</w:t>
      </w:r>
    </w:p>
    <w:p w14:paraId="6123807D"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1.4.3.6. Komora kanalizacyjna - komora rewizyjna na kanale przełazowym przeznaczona do kontroli i prawidłowej eksploatacji kanałów.</w:t>
      </w:r>
    </w:p>
    <w:p w14:paraId="2A052822"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lastRenderedPageBreak/>
        <w:t>1.4.3.7. Komora połączeniowa - komora kanalizacyjna przeznaczona do łączenia co najmniej dwóch kanałów dopływowych w jeden kanał odpływowy.</w:t>
      </w:r>
    </w:p>
    <w:p w14:paraId="22E174C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1.4.3.8. Komora spadowa (kaskadowa) - komora mająca pochylnię i zagłębienie dna umożliwiające wytrącenie nadmiaru energii ścieków spływających z wyżej położonego kanału dopływowego.</w:t>
      </w:r>
    </w:p>
    <w:p w14:paraId="3E4A84C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1.4.3.9. Wylot ścieków - element na końcu kanału odprowadzającego ścieki do odbiornika.</w:t>
      </w:r>
    </w:p>
    <w:p w14:paraId="4BD4E23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1.4.3.10. Przejście syfonowe - jeden lub więcej zamkniętych przewodów kanalizacyjnych z rur żeliwnych, stalowych lub żelbetowych pracujących pod ciśnieniem, przeznaczonych do przepływu ścieków pod przeszkodą na trasie kanału.</w:t>
      </w:r>
    </w:p>
    <w:p w14:paraId="40F757F5"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1.4.3.11. Zbiornik retencyjny - obiekt budowlany na sieci kanalizacyjnej przeznaczony do okresowego zatrzymania części ścieków opadowych i zredukowania maksymalnego natężenia przepływu.</w:t>
      </w:r>
    </w:p>
    <w:p w14:paraId="6BF63522"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1.4.3.12. Przepompownia ścieków - obiekt budowlany wyposażony w zespoły pompowe, instalacje i pomocnicze urządzenia techniczne, przeznaczone do przepompowywania ścieków z poziomu niższego na wyższy.</w:t>
      </w:r>
    </w:p>
    <w:p w14:paraId="5F613F1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1.4.3.13. Wpust deszczowy - urządzenie do odbioru ścieków opadowych, spływających do kanału z utwardzonych powierzchni terenu.</w:t>
      </w:r>
    </w:p>
    <w:p w14:paraId="30BEBC1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1.4.4.</w:t>
      </w:r>
      <w:r w:rsidRPr="006431C4">
        <w:rPr>
          <w:rFonts w:ascii="Arial" w:hAnsi="Arial" w:cs="Arial"/>
          <w:sz w:val="20"/>
        </w:rPr>
        <w:t xml:space="preserve"> Elementy studzienek i komór</w:t>
      </w:r>
    </w:p>
    <w:p w14:paraId="20416FB5"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1.4.4.1. Komora robocza - zasadnicza część studzienki lub komory przeznaczona do czynności eksploatacyjnych. Wysokość komory roboczej jest to odległość pomiędzy rzędną dolnej powierzchni płyty lub innego elementu przykrycia studzienki lub komory, a rzędną spocznika.</w:t>
      </w:r>
    </w:p>
    <w:p w14:paraId="09672795"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1.4.4.2. Komin włazowy - szyb połączeniowy komory roboczej z powierzchnią ziemi, przeznaczony do zejścia obsługi do komory roboczej.</w:t>
      </w:r>
    </w:p>
    <w:p w14:paraId="556634C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1.4.4.3. Płyta przykrycia studzienki lub komory - płyta przykrywająca komorę roboczą.</w:t>
      </w:r>
    </w:p>
    <w:p w14:paraId="4D03923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1.4.4.4. Właz kanałowy - element żeliwny przeznaczony do przykrycia podziemnych studzienek rewizyjnych lub komór kanalizacyjnych, umożliwiający dostęp do urządzeń kanalizacyjnych.</w:t>
      </w:r>
    </w:p>
    <w:p w14:paraId="1D0DB66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1.4.4.5. Kineta - wyprofilowany rowek w dnie studzienki, przeznaczony do przepływu w nim ścieków.</w:t>
      </w:r>
    </w:p>
    <w:p w14:paraId="321B6682"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1.4.4.6. Spocznik - element dna studzienki lub komory kanalizacyjnej pomiędzy kinetą a ścianą komory roboczej.</w:t>
      </w:r>
    </w:p>
    <w:p w14:paraId="603861F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1.4.5.</w:t>
      </w:r>
      <w:r w:rsidRPr="006431C4">
        <w:rPr>
          <w:rFonts w:ascii="Arial" w:hAnsi="Arial" w:cs="Arial"/>
          <w:sz w:val="20"/>
        </w:rPr>
        <w:t xml:space="preserve"> Pozostałe określenia podstawowe są zgodne z obowiązującymi, odpowiednimi polskimi normami i z definicjami podanymi w SST D-M-00.00.00 „Wymagania ogólne” pkt 1.4.</w:t>
      </w:r>
    </w:p>
    <w:p w14:paraId="6E1236C9"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1.5. Ogólne wymagania dotyczące robót</w:t>
      </w:r>
    </w:p>
    <w:p w14:paraId="4BCCADD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Ogólne wymagania dotyczące robót podano w SST D-M-00.00.00 „Wymagania ogólne” pkt 1.5.</w:t>
      </w:r>
    </w:p>
    <w:p w14:paraId="0636C00B"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64" w:name="_Toc423928989"/>
      <w:r w:rsidRPr="006431C4">
        <w:rPr>
          <w:rFonts w:cs="Arial"/>
          <w:szCs w:val="20"/>
        </w:rPr>
        <w:t>2. MATERIAŁY</w:t>
      </w:r>
      <w:bookmarkEnd w:id="464"/>
    </w:p>
    <w:p w14:paraId="7D7227C8"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2.1. Ogólne wymagania dotyczące materiałów</w:t>
      </w:r>
    </w:p>
    <w:p w14:paraId="1F6D0FE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Ogólne wymagania dotyczące materiałów, ich pozyskiwania  i składowania podano w SST D-M-00.00.00 „Wymagania ogólne” pkt 2.</w:t>
      </w:r>
    </w:p>
    <w:p w14:paraId="3608E312" w14:textId="77777777" w:rsidR="00242468" w:rsidRPr="006431C4" w:rsidRDefault="00242468" w:rsidP="00BE2485">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Stosować należy wyroby budowlane wprowadzone do obrotu zgodnie z ustawą o wyrobach budowlanych [26].</w:t>
      </w:r>
    </w:p>
    <w:p w14:paraId="0DFBF99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 właściwościach podanych w dokumentacji projektowej.</w:t>
      </w:r>
    </w:p>
    <w:p w14:paraId="16A1E2DB"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2.6. Studzienki ściekowe</w:t>
      </w:r>
    </w:p>
    <w:p w14:paraId="5B88A15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2.6.1.</w:t>
      </w:r>
      <w:r w:rsidRPr="006431C4">
        <w:rPr>
          <w:rFonts w:ascii="Arial" w:hAnsi="Arial" w:cs="Arial"/>
          <w:sz w:val="20"/>
        </w:rPr>
        <w:t xml:space="preserve"> Wpusty uliczne żeliwne</w:t>
      </w:r>
    </w:p>
    <w:p w14:paraId="23A309E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Wpusty uliczne żeliwne powinny odpowiadać wymaganiom PN-EN 124 [1].</w:t>
      </w:r>
    </w:p>
    <w:p w14:paraId="40C0E28D"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2.6.2.</w:t>
      </w:r>
      <w:r w:rsidRPr="006431C4">
        <w:rPr>
          <w:rFonts w:ascii="Arial" w:hAnsi="Arial" w:cs="Arial"/>
          <w:sz w:val="20"/>
        </w:rPr>
        <w:t xml:space="preserve"> Kręgi betonowe prefabrykowane</w:t>
      </w:r>
    </w:p>
    <w:p w14:paraId="42C0151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Na studzienki ściekowe stosowane są prefabrykowane kręgi betonowe o średnicy 50 cm, wysokości 30 cm lub 60 cm, z betonu klasy C 20/25, wg KB1-22.2.6 (6) [22].</w:t>
      </w:r>
    </w:p>
    <w:p w14:paraId="5DF4D87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2.6.3.</w:t>
      </w:r>
      <w:r w:rsidRPr="006431C4">
        <w:rPr>
          <w:rFonts w:ascii="Arial" w:hAnsi="Arial" w:cs="Arial"/>
          <w:sz w:val="20"/>
        </w:rPr>
        <w:t xml:space="preserve"> Pierścienie żelbetowe prefabrykowane</w:t>
      </w:r>
    </w:p>
    <w:p w14:paraId="1521E67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Pierścienie żelbetowe prefabrykowane o średnicy 65 cm powinny być wykonane z betonu wibrowanego klasy C 16/20 zbrojonego stalą StOS.</w:t>
      </w:r>
    </w:p>
    <w:p w14:paraId="509224E9" w14:textId="77777777" w:rsidR="00242468" w:rsidRPr="006431C4" w:rsidRDefault="00242468" w:rsidP="00BE2485">
      <w:pPr>
        <w:pStyle w:val="StylIwony"/>
        <w:keepNext/>
        <w:shd w:val="clear" w:color="auto" w:fill="FFFFFF" w:themeFill="background1"/>
        <w:tabs>
          <w:tab w:val="left" w:pos="142"/>
        </w:tabs>
        <w:spacing w:before="0" w:after="0"/>
        <w:rPr>
          <w:rFonts w:ascii="Arial" w:hAnsi="Arial" w:cs="Arial"/>
          <w:sz w:val="20"/>
        </w:rPr>
      </w:pPr>
      <w:r w:rsidRPr="006431C4">
        <w:rPr>
          <w:rFonts w:ascii="Arial" w:hAnsi="Arial" w:cs="Arial"/>
          <w:b/>
          <w:sz w:val="20"/>
        </w:rPr>
        <w:t>2.6.4.</w:t>
      </w:r>
      <w:r w:rsidRPr="006431C4">
        <w:rPr>
          <w:rFonts w:ascii="Arial" w:hAnsi="Arial" w:cs="Arial"/>
          <w:sz w:val="20"/>
        </w:rPr>
        <w:t xml:space="preserve"> Płyty żelbetowe prefabrykowane</w:t>
      </w:r>
    </w:p>
    <w:p w14:paraId="119EF0C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Płyty żelbetowe prefabrykowane powinny mieć grubość 11 cm i być wykonane z betonu wibrowanego klasy C 16/20 zbrojonego stalą StOS.</w:t>
      </w:r>
    </w:p>
    <w:p w14:paraId="198734D2"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2.6.5.</w:t>
      </w:r>
      <w:r w:rsidRPr="006431C4">
        <w:rPr>
          <w:rFonts w:ascii="Arial" w:hAnsi="Arial" w:cs="Arial"/>
          <w:sz w:val="20"/>
        </w:rPr>
        <w:t xml:space="preserve"> Płyty fundamentowe zbrojone</w:t>
      </w:r>
    </w:p>
    <w:p w14:paraId="730216C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Płyty fundamentowe zbrojone powinny posiadać grubość 15 cm i być wykonane z betonu klasy C 12/15.</w:t>
      </w:r>
    </w:p>
    <w:p w14:paraId="3231D7B8" w14:textId="77777777" w:rsidR="00242468" w:rsidRPr="006431C4" w:rsidRDefault="00242468" w:rsidP="00BE2485">
      <w:pPr>
        <w:pStyle w:val="StylIwony"/>
        <w:keepNext/>
        <w:shd w:val="clear" w:color="auto" w:fill="FFFFFF" w:themeFill="background1"/>
        <w:tabs>
          <w:tab w:val="left" w:pos="142"/>
        </w:tabs>
        <w:spacing w:before="0" w:after="0"/>
        <w:rPr>
          <w:rFonts w:ascii="Arial" w:hAnsi="Arial" w:cs="Arial"/>
          <w:sz w:val="20"/>
        </w:rPr>
      </w:pPr>
      <w:r w:rsidRPr="006431C4">
        <w:rPr>
          <w:rFonts w:ascii="Arial" w:hAnsi="Arial" w:cs="Arial"/>
          <w:b/>
          <w:sz w:val="20"/>
        </w:rPr>
        <w:t>2.6.6.</w:t>
      </w:r>
      <w:r w:rsidRPr="006431C4">
        <w:rPr>
          <w:rFonts w:ascii="Arial" w:hAnsi="Arial" w:cs="Arial"/>
          <w:sz w:val="20"/>
        </w:rPr>
        <w:t xml:space="preserve"> Kruszywo na podsypkę</w:t>
      </w:r>
    </w:p>
    <w:p w14:paraId="3D2D837D"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Podsypka może być wykonana z tłucznia lub żwiru. Użyty materiał na podsypkę powinien odpowiadać wymaganiom stosownych norm, np. PN-B-06712 [10], PN-EN 13043 [7], PN-EN 12620 [6].</w:t>
      </w:r>
    </w:p>
    <w:p w14:paraId="161A1D7E"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2.7. Beton</w:t>
      </w:r>
    </w:p>
    <w:p w14:paraId="02EA1E6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 xml:space="preserve">2.7.1. </w:t>
      </w:r>
      <w:r w:rsidRPr="006431C4">
        <w:rPr>
          <w:rFonts w:ascii="Arial" w:hAnsi="Arial" w:cs="Arial"/>
          <w:sz w:val="20"/>
        </w:rPr>
        <w:t>Cement</w:t>
      </w:r>
    </w:p>
    <w:p w14:paraId="6A9D0EA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Do betonu należy zastosować cement 32,5 lub 42,5 wg PN-EN 197-1 [2].</w:t>
      </w:r>
    </w:p>
    <w:p w14:paraId="264860E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 xml:space="preserve">2.7.2. </w:t>
      </w:r>
      <w:r w:rsidRPr="006431C4">
        <w:rPr>
          <w:rFonts w:ascii="Arial" w:hAnsi="Arial" w:cs="Arial"/>
          <w:sz w:val="20"/>
        </w:rPr>
        <w:t>Kruszywo</w:t>
      </w:r>
    </w:p>
    <w:p w14:paraId="41BA8A42"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Do betonu należy zastosować kruszywo zgodne z normą PN-B-06712 [10]. Marka kruszywa nie może być niższa niż klasa betonu (np. B-30 – marka min. 30, B-20 – marka min. 20).</w:t>
      </w:r>
    </w:p>
    <w:p w14:paraId="2C56E7F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 xml:space="preserve">2.7.3. </w:t>
      </w:r>
      <w:r w:rsidRPr="006431C4">
        <w:rPr>
          <w:rFonts w:ascii="Arial" w:hAnsi="Arial" w:cs="Arial"/>
          <w:sz w:val="20"/>
        </w:rPr>
        <w:t>Beton hydrotechniczny</w:t>
      </w:r>
    </w:p>
    <w:p w14:paraId="1D0E788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Beton hydrotechniczny C12/15 i C16/20 powinien odpowiadać wymaganiom PN-EN 206-1 [3] w zastosowaniach przyszłościowych, a tymczasowo PN-B-06250 [9].</w:t>
      </w:r>
    </w:p>
    <w:p w14:paraId="4F31AB0E"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2.8. Zaprawa cementowa</w:t>
      </w:r>
    </w:p>
    <w:p w14:paraId="3F7C08C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Zaprawa cementowa powinna odpowiadać wymaganiom PN–B-14501 [16].</w:t>
      </w:r>
    </w:p>
    <w:p w14:paraId="1469D28D"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lastRenderedPageBreak/>
        <w:t>2.9. Składowanie materiałów</w:t>
      </w:r>
    </w:p>
    <w:p w14:paraId="3ABF224C" w14:textId="77777777" w:rsidR="00242468" w:rsidRPr="006431C4" w:rsidRDefault="00242468" w:rsidP="00BE2485">
      <w:pPr>
        <w:pStyle w:val="StylIwony"/>
        <w:keepNext/>
        <w:shd w:val="clear" w:color="auto" w:fill="FFFFFF" w:themeFill="background1"/>
        <w:tabs>
          <w:tab w:val="left" w:pos="142"/>
        </w:tabs>
        <w:spacing w:before="0" w:after="0"/>
        <w:rPr>
          <w:rFonts w:ascii="Arial" w:hAnsi="Arial" w:cs="Arial"/>
          <w:sz w:val="20"/>
        </w:rPr>
      </w:pPr>
      <w:r w:rsidRPr="006431C4">
        <w:rPr>
          <w:rFonts w:ascii="Arial" w:hAnsi="Arial" w:cs="Arial"/>
          <w:b/>
          <w:sz w:val="20"/>
        </w:rPr>
        <w:t>2.9.1.</w:t>
      </w:r>
      <w:r w:rsidRPr="006431C4">
        <w:rPr>
          <w:rFonts w:ascii="Arial" w:hAnsi="Arial" w:cs="Arial"/>
          <w:sz w:val="20"/>
        </w:rPr>
        <w:t xml:space="preserve"> Kręgi</w:t>
      </w:r>
    </w:p>
    <w:p w14:paraId="5193847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Kręgi można składować na powierzchni nieutwardzonej pod warunkiem, że nacisk kręgów przekazywany na grunt nie przekracza 0,5 MPa.</w:t>
      </w:r>
    </w:p>
    <w:p w14:paraId="234EA92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Przy składowaniu wyrobów w pozycji wbudowania wysokość składowania nie powinna przekraczać 1,8 m. Składowanie powinno umożliwiać dostęp do poszczególnych stosów wyrobów lub pojedynczych kręgów.</w:t>
      </w:r>
    </w:p>
    <w:p w14:paraId="1BBCB6D5"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2.9.2.</w:t>
      </w:r>
      <w:r w:rsidRPr="006431C4">
        <w:rPr>
          <w:rFonts w:ascii="Arial" w:hAnsi="Arial" w:cs="Arial"/>
          <w:sz w:val="20"/>
        </w:rPr>
        <w:t xml:space="preserve"> Wpusty żeliwne</w:t>
      </w:r>
    </w:p>
    <w:p w14:paraId="31BEC58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Skrzynki lub ramki wpustów mogą  być składowane na otwartej przestrzeni, na paletach w stosach o wysokości maksimum 1,5 m.</w:t>
      </w:r>
    </w:p>
    <w:p w14:paraId="7EAD603A"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65" w:name="_Toc423928990"/>
      <w:r w:rsidRPr="006431C4">
        <w:rPr>
          <w:rFonts w:cs="Arial"/>
          <w:szCs w:val="20"/>
        </w:rPr>
        <w:t>3. SPRZĘT</w:t>
      </w:r>
      <w:bookmarkEnd w:id="465"/>
    </w:p>
    <w:p w14:paraId="5C517F23"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3.1. Ogólne wymagania dotyczące sprzętu</w:t>
      </w:r>
    </w:p>
    <w:p w14:paraId="3D875B7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Ogólne wymagania dotyczące sprzętu podano w SST D-M-00.00.00 „Wymagania ogólne” pkt 3.</w:t>
      </w:r>
    </w:p>
    <w:p w14:paraId="0CCD112B"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3.2. Sprzęt do wykonania kanalizacji deszczowej</w:t>
      </w:r>
    </w:p>
    <w:p w14:paraId="32185AC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Wykonawca przystępujący do wykonania kanalizacji deszczowej powinien wykazać się możliwością korzystania z następującego sprzętu:</w:t>
      </w:r>
    </w:p>
    <w:p w14:paraId="6B5FCBC0"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żurawi budowlanych samochodowych,</w:t>
      </w:r>
    </w:p>
    <w:p w14:paraId="551872D2"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koparek przedsiębiernych,</w:t>
      </w:r>
    </w:p>
    <w:p w14:paraId="25F9B5B0"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spycharek kołowych lub gąsienicowych,</w:t>
      </w:r>
    </w:p>
    <w:p w14:paraId="77BBDAC7"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sprzętu do zagęszczania gruntu,</w:t>
      </w:r>
    </w:p>
    <w:p w14:paraId="7CC50D2F"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wciągarek mechanicznych,</w:t>
      </w:r>
    </w:p>
    <w:p w14:paraId="2E97BEE2"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beczkowozów.</w:t>
      </w:r>
    </w:p>
    <w:p w14:paraId="0E82B2DB"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66" w:name="_Toc423928991"/>
      <w:r w:rsidRPr="006431C4">
        <w:rPr>
          <w:rFonts w:cs="Arial"/>
          <w:szCs w:val="20"/>
        </w:rPr>
        <w:t>4. TRANSPORT</w:t>
      </w:r>
      <w:bookmarkEnd w:id="466"/>
    </w:p>
    <w:p w14:paraId="47142B5D"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4.1. Ogólne wymagania dotyczące transportu</w:t>
      </w:r>
    </w:p>
    <w:p w14:paraId="6BD0644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Ogólne wymagania dotyczące transportu podano w SST D-M-00.00.00 „Wymagania ogólne” pkt 4.</w:t>
      </w:r>
    </w:p>
    <w:p w14:paraId="34A3DB4C"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4.3. Transport kręgów</w:t>
      </w:r>
    </w:p>
    <w:p w14:paraId="0D20D4D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Transport kręgów powinien odbywać się samochodami w pozycji wbudowania lub prostopadle do pozycji wbudowania.</w:t>
      </w:r>
    </w:p>
    <w:p w14:paraId="3F921AF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Dla zabezpieczenia przed uszkodzeniem przewożonych elementów, Wykonawca dokona ich usztywnienia przez zastosowanie przekładek, rozporów i klinów z drewna, gumy lub innych odpowiednich materiałów.</w:t>
      </w:r>
    </w:p>
    <w:p w14:paraId="63214DE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Podnoszenie i opuszczanie kręgów o średnicach 1,2 m i 1,4 m należy wykonywać za pomocą minimum trzech lin zawiesia rozmieszczonych równomiernie na obwodzie prefabrykatu.</w:t>
      </w:r>
    </w:p>
    <w:p w14:paraId="0FB7288F"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4.6. Transport wpustów żeliwnych</w:t>
      </w:r>
    </w:p>
    <w:p w14:paraId="009BB6E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Skrzynki lub ramki wpustów mogą być przewożone dowolnymi środkami transportu w sposób zabezpieczony przed przesuwaniem się podczas transportu.</w:t>
      </w:r>
    </w:p>
    <w:p w14:paraId="70C4F4FD"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4.7. Transport mieszanki betonowej</w:t>
      </w:r>
    </w:p>
    <w:p w14:paraId="4EF780C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Do przewozu mieszanki betonowej Wykonawca zapewni takie środki transportowe, które nie spowodują segregacji składników, zmiany składu mieszanki, zanieczyszczenia mieszanki i obniżenia temperatury przekraczającej granicę określoną w wymaganiach technologicznych.</w:t>
      </w:r>
    </w:p>
    <w:p w14:paraId="081422D8"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4.8. Transport kruszyw</w:t>
      </w:r>
    </w:p>
    <w:p w14:paraId="0789761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Kruszywa mogą być przewożone dowolnymi środkami transportu, w sposób zabezpieczający je przed zanieczyszczeniem i nadmiernym zawilgoceniem.</w:t>
      </w:r>
    </w:p>
    <w:p w14:paraId="3F830321"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4.9. Transport cementu i jego przechowywanie</w:t>
      </w:r>
    </w:p>
    <w:p w14:paraId="201BCF2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Transport cementu i przechowywanie powinny być zgodne z BN-88/6731-08 [20].</w:t>
      </w:r>
    </w:p>
    <w:p w14:paraId="65E5B2B3"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67" w:name="_Toc423928992"/>
      <w:r w:rsidRPr="006431C4">
        <w:rPr>
          <w:rFonts w:cs="Arial"/>
          <w:szCs w:val="20"/>
        </w:rPr>
        <w:t>5. WYKONANIE ROBÓT</w:t>
      </w:r>
      <w:bookmarkEnd w:id="467"/>
    </w:p>
    <w:p w14:paraId="38056015"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5.1. Ogólne zasady wykonania robót</w:t>
      </w:r>
    </w:p>
    <w:p w14:paraId="4143E46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Ogólne zasady wykonania robót podano w SST D-M-00.00.00 „Wymagania ogólne” pkt 5.</w:t>
      </w:r>
    </w:p>
    <w:p w14:paraId="649E87BA"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5.2. Roboty przygotowawcze</w:t>
      </w:r>
    </w:p>
    <w:p w14:paraId="30C9E6E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Przed przystąpieniem do robót Wykonawca dokona ich wytyczenia i trwale oznaczy je w terenie za pomocą kołków osiowych, kołków świadków i kołków krawędziowych.</w:t>
      </w:r>
    </w:p>
    <w:p w14:paraId="4CAB065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 przypadku niedostatecznej ilości reperów stałych, Wykonawca wbuduje repery tymczasowe (z rzędnymi sprawdzonymi przez służby geodezyjne), a szkice sytuacyjne reperów i ich rzędne przekaże Inżynierowi.</w:t>
      </w:r>
    </w:p>
    <w:p w14:paraId="581E8E05"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5.3. Roboty ziemne</w:t>
      </w:r>
    </w:p>
    <w:p w14:paraId="273B36ED"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Wykopy należy wykonać jako wykopy otwarte obudowane. Metody wykonania robót - wykopu (ręcznie lub mechanicznie) powinny być dostosowane do głębokości wykopu, danych geotechnicznych oraz posiadanego sprzętu mechanicznego.</w:t>
      </w:r>
    </w:p>
    <w:p w14:paraId="25B6E52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Szerokość wykopu uwarunkowana jest zewnętrznymi wymiarami kanału, do których dodaje się obustronnie 0,4 m jako zapas potrzebny na deskowanie ścian i uszczelnienie styków. Deskowanie ścian należy prowadzić w miarę jego głębienia. Wydobyty grunt z wykopu powinien być wywieziony przez Wykonawcę na odkład.</w:t>
      </w:r>
    </w:p>
    <w:p w14:paraId="74821F2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Dno wykopu powinno być równe i wykonane ze spadkiem ustalonym w dokumentacji projektowej, przy czym dno wykopu Wykonawca wykona na poziomie wyższym od rzędnej projektowanej o 0,20 m.</w:t>
      </w:r>
    </w:p>
    <w:p w14:paraId="3EF2CD8D"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Zdjęcie pozostawionej warstwy 0,20 m gruntu powinno być wykonane bezpośrednio przed ułożeniem przewodów rurowych. Zdjęcie tej warstwy Wykonawca wykona ręcznie lub w sposób uzgodniony z Inżynierem.</w:t>
      </w:r>
    </w:p>
    <w:p w14:paraId="03C469B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 gruntach skalistych dno wykopu powinno być wykonane od  0,10 do 0,15 m głębiej od projektowanego poziomu dna.</w:t>
      </w:r>
    </w:p>
    <w:p w14:paraId="2118AD55"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5.4. Przygotowanie podłoża</w:t>
      </w:r>
    </w:p>
    <w:p w14:paraId="4ABE688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 gruntach suchych piaszczystych, żwirowo-piaszczystych i piaszczysto-gliniastych podłożem jest grunt naturalny o nienaruszonej strukturze dna wykopu.</w:t>
      </w:r>
    </w:p>
    <w:p w14:paraId="05BCC3E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lastRenderedPageBreak/>
        <w:t>W gruntach skalistych gliniastych lub stanowiących zbite iły należy wykonać podłoże z pospółki, żwiru lub tłucznia o grubości od 15 do 20 cm. Dla przewodów o średnicy powyżej 0,50 m należy wykonać fundament betonowy</w:t>
      </w:r>
      <w:r w:rsidRPr="006431C4">
        <w:rPr>
          <w:rFonts w:ascii="Arial" w:hAnsi="Arial" w:cs="Arial"/>
          <w:sz w:val="20"/>
          <w:vertAlign w:val="superscript"/>
        </w:rPr>
        <w:t>2</w:t>
      </w:r>
      <w:r w:rsidRPr="006431C4">
        <w:rPr>
          <w:rFonts w:ascii="Arial" w:hAnsi="Arial" w:cs="Arial"/>
          <w:sz w:val="20"/>
        </w:rPr>
        <w:t xml:space="preserve"> zgodnie z dokumentacją projektową lub SST.</w:t>
      </w:r>
    </w:p>
    <w:p w14:paraId="35B566D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Zagęszczenie podłoża powinno być zgodne z określonym w SST.</w:t>
      </w:r>
    </w:p>
    <w:p w14:paraId="0B3716BB"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5.5. Roboty montażowe</w:t>
      </w:r>
    </w:p>
    <w:p w14:paraId="5B6FC87E" w14:textId="77777777" w:rsidR="00242468" w:rsidRPr="006431C4" w:rsidRDefault="00242468" w:rsidP="00BE2485">
      <w:pPr>
        <w:pStyle w:val="StylIwony"/>
        <w:keepNext/>
        <w:shd w:val="clear" w:color="auto" w:fill="FFFFFF" w:themeFill="background1"/>
        <w:tabs>
          <w:tab w:val="left" w:pos="142"/>
        </w:tabs>
        <w:spacing w:before="0" w:after="0"/>
        <w:rPr>
          <w:rFonts w:ascii="Arial" w:hAnsi="Arial" w:cs="Arial"/>
          <w:sz w:val="20"/>
        </w:rPr>
      </w:pPr>
      <w:r w:rsidRPr="006431C4">
        <w:rPr>
          <w:rFonts w:ascii="Arial" w:hAnsi="Arial" w:cs="Arial"/>
          <w:b/>
          <w:sz w:val="20"/>
        </w:rPr>
        <w:t>5.5.1. Przykanaliki</w:t>
      </w:r>
    </w:p>
    <w:p w14:paraId="6A6B6B54"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Jeżeli dokumentacja projektowa nie stanowi inaczej to przy wykonywaniu przykanalików należy przestrzegać następujących zasad:</w:t>
      </w:r>
    </w:p>
    <w:p w14:paraId="36016263"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trasa przykanalika powinna być prosta, bez załamań w planie i pionie (z wyjątkiem łuków dla podłączenia do wpustu bocznego w kanale lub do syfonu przy podłączeniach do kanału ogólnospławnego),</w:t>
      </w:r>
    </w:p>
    <w:p w14:paraId="6E2846E1"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minimalny przekrój przewodu przykanalika powinien wynosić 0,20 m (dla pojedynczych wpustów i przykanalików nie dłuższych niż 12 m można stosować średnicę 0,15 m),</w:t>
      </w:r>
    </w:p>
    <w:p w14:paraId="1A341A8E"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długość przykanalika od studzienki ściekowej (wpustu ulicznego) do kanału lub studzienki rewizyjnej połączeniowej nie powinna przekraczać 24 m,</w:t>
      </w:r>
    </w:p>
    <w:p w14:paraId="5BEB73F4"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włączenie przykanalika do kanału może być wykonane za pośrednictwem studzienki rewizyjnej, studzienki krytej (tzw. ślepej) lub wpustu bocznego,</w:t>
      </w:r>
    </w:p>
    <w:p w14:paraId="72CC4495"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 xml:space="preserve">spadki przykanalików powinny wynosić od min. 20 </w:t>
      </w:r>
      <w:r w:rsidRPr="006431C4">
        <w:rPr>
          <w:rFonts w:ascii="Arial" w:hAnsi="Arial" w:cs="Arial"/>
          <w:sz w:val="20"/>
        </w:rPr>
        <w:sym w:font="Bookman Old Style" w:char="2030"/>
      </w:r>
      <w:r w:rsidRPr="006431C4">
        <w:rPr>
          <w:rFonts w:ascii="Arial" w:hAnsi="Arial" w:cs="Arial"/>
          <w:sz w:val="20"/>
        </w:rPr>
        <w:t xml:space="preserve"> do max. 400 </w:t>
      </w:r>
      <w:r w:rsidRPr="006431C4">
        <w:rPr>
          <w:rFonts w:ascii="Arial" w:hAnsi="Arial" w:cs="Arial"/>
          <w:sz w:val="20"/>
        </w:rPr>
        <w:sym w:font="Bookman Old Style" w:char="2030"/>
      </w:r>
      <w:r w:rsidRPr="006431C4">
        <w:rPr>
          <w:rFonts w:ascii="Arial" w:hAnsi="Arial" w:cs="Arial"/>
          <w:sz w:val="20"/>
        </w:rPr>
        <w:t xml:space="preserve"> z tym, że przy spadkach większych od 250 </w:t>
      </w:r>
      <w:r w:rsidRPr="006431C4">
        <w:rPr>
          <w:rFonts w:ascii="Arial" w:hAnsi="Arial" w:cs="Arial"/>
          <w:sz w:val="20"/>
        </w:rPr>
        <w:sym w:font="Bookman Old Style" w:char="2030"/>
      </w:r>
      <w:r w:rsidRPr="006431C4">
        <w:rPr>
          <w:rFonts w:ascii="Arial" w:hAnsi="Arial" w:cs="Arial"/>
          <w:sz w:val="20"/>
        </w:rPr>
        <w:t xml:space="preserve"> należy stosować rury żeliwne,</w:t>
      </w:r>
    </w:p>
    <w:p w14:paraId="21700C61"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kierunek trasy przykanalika powinien być zgodny z kierunkiem spadku kanału zbiorczego,</w:t>
      </w:r>
    </w:p>
    <w:p w14:paraId="6297AFA4"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włączenie przykanalika do kanału powinno być wykonane pod kątem min. 45</w:t>
      </w:r>
      <w:r w:rsidRPr="006431C4">
        <w:rPr>
          <w:rFonts w:ascii="Arial" w:hAnsi="Arial" w:cs="Arial"/>
          <w:sz w:val="20"/>
          <w:vertAlign w:val="superscript"/>
        </w:rPr>
        <w:t>o</w:t>
      </w:r>
      <w:r w:rsidRPr="006431C4">
        <w:rPr>
          <w:rFonts w:ascii="Arial" w:hAnsi="Arial" w:cs="Arial"/>
          <w:sz w:val="20"/>
        </w:rPr>
        <w:t>, max. 90</w:t>
      </w:r>
      <w:r w:rsidRPr="006431C4">
        <w:rPr>
          <w:rFonts w:ascii="Arial" w:hAnsi="Arial" w:cs="Arial"/>
          <w:sz w:val="20"/>
          <w:vertAlign w:val="superscript"/>
        </w:rPr>
        <w:t>o</w:t>
      </w:r>
      <w:r w:rsidRPr="006431C4">
        <w:rPr>
          <w:rFonts w:ascii="Arial" w:hAnsi="Arial" w:cs="Arial"/>
          <w:sz w:val="20"/>
        </w:rPr>
        <w:t xml:space="preserve"> (optymalnym 60</w:t>
      </w:r>
      <w:r w:rsidRPr="006431C4">
        <w:rPr>
          <w:rFonts w:ascii="Arial" w:hAnsi="Arial" w:cs="Arial"/>
          <w:sz w:val="20"/>
          <w:vertAlign w:val="superscript"/>
        </w:rPr>
        <w:t>o</w:t>
      </w:r>
      <w:r w:rsidRPr="006431C4">
        <w:rPr>
          <w:rFonts w:ascii="Arial" w:hAnsi="Arial" w:cs="Arial"/>
          <w:sz w:val="20"/>
        </w:rPr>
        <w:t>),</w:t>
      </w:r>
    </w:p>
    <w:p w14:paraId="703A0E93"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włączenie przykanalika do kanału poprzez studzienkę połączeniową należy dokonywać tak, aby wysokość spadku przykanalika nad podłogą studzienki wynosiła max. 50,0 cm. W przypadku konieczności włączenia przykanalika na wysokości większej należy stosować przepady (kaskady) umieszczone na zewnątrz poza ścianką studzienki,</w:t>
      </w:r>
    </w:p>
    <w:p w14:paraId="7E4E2219"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włączenia przykanalików z dwóch stron do kanału zbiorczego poprzez wpusty boczne powinny być usytuowane w odległości min. 1,0 m od siebie.</w:t>
      </w:r>
    </w:p>
    <w:p w14:paraId="167F0D4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b/>
          <w:sz w:val="20"/>
        </w:rPr>
      </w:pPr>
      <w:r w:rsidRPr="006431C4">
        <w:rPr>
          <w:rFonts w:ascii="Arial" w:hAnsi="Arial" w:cs="Arial"/>
          <w:b/>
          <w:sz w:val="20"/>
        </w:rPr>
        <w:t>5.5.2. Studzienki ściekowe</w:t>
      </w:r>
    </w:p>
    <w:p w14:paraId="232DEBF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Studzienki ściekowe, przeznaczone do odprowadzania wód opadowych z jezdni dróg i placów, powinny być z wpustem ulicznym żeliwnym i osadnikiem.</w:t>
      </w:r>
    </w:p>
    <w:p w14:paraId="33C1FD8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Podstawowe wymiary studzienek powinny wynosić:</w:t>
      </w:r>
    </w:p>
    <w:p w14:paraId="34290B7A"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głębokość studzienki od wierzchu skrzynki wpustu do dna wylotu przykanalika 1,65 m (wyjątkowo - min. 1,50 m i  max. 2,05 m),</w:t>
      </w:r>
    </w:p>
    <w:p w14:paraId="25AA0776"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głębokość osadnika 0,95 m,</w:t>
      </w:r>
    </w:p>
    <w:p w14:paraId="06ECFFEE"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średnica osadnika (studzienki) 0,50 m.</w:t>
      </w:r>
    </w:p>
    <w:p w14:paraId="4D22FA9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Krata ściekowa wpustu powinna być usytuowana w ścieku jezdni, przy czym wierzch kraty powinien być usytuowany 2 cm poniżej ścieku jezdni.</w:t>
      </w:r>
    </w:p>
    <w:p w14:paraId="51F373D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Lokalizacja studzienek wynika z rozwiązania drogowego.</w:t>
      </w:r>
    </w:p>
    <w:p w14:paraId="03B0509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Liczba studzienek ściekowych i ich rozmieszczenie uzależnione jest przede wszystkim od wielkości odwadnianej powierzchni jezdni i jej spadku podłużnego. Należy przyjmować, że na jedną studzienkę powinno przypadać od 800 do 1000 m</w:t>
      </w:r>
      <w:r w:rsidRPr="006431C4">
        <w:rPr>
          <w:rFonts w:ascii="Arial" w:hAnsi="Arial" w:cs="Arial"/>
          <w:sz w:val="20"/>
          <w:vertAlign w:val="superscript"/>
        </w:rPr>
        <w:t>2</w:t>
      </w:r>
      <w:r w:rsidRPr="006431C4">
        <w:rPr>
          <w:rFonts w:ascii="Arial" w:hAnsi="Arial" w:cs="Arial"/>
          <w:sz w:val="20"/>
        </w:rPr>
        <w:t xml:space="preserve"> nawierzchni szczelnej.</w:t>
      </w:r>
    </w:p>
    <w:p w14:paraId="1E111F0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Rozstaw wpustów przy pochyleniu podłużnym ścieku do 3 </w:t>
      </w:r>
      <w:r w:rsidRPr="006431C4">
        <w:rPr>
          <w:rFonts w:ascii="Arial" w:hAnsi="Arial" w:cs="Arial"/>
          <w:sz w:val="20"/>
        </w:rPr>
        <w:sym w:font="Bookman Old Style" w:char="2030"/>
      </w:r>
      <w:r w:rsidRPr="006431C4">
        <w:rPr>
          <w:rFonts w:ascii="Arial" w:hAnsi="Arial" w:cs="Arial"/>
          <w:sz w:val="20"/>
        </w:rPr>
        <w:t xml:space="preserve"> powinien wynosić od 40 do 50 m; od 3 do 5 </w:t>
      </w:r>
      <w:r w:rsidRPr="006431C4">
        <w:rPr>
          <w:rFonts w:ascii="Arial" w:hAnsi="Arial" w:cs="Arial"/>
          <w:sz w:val="20"/>
        </w:rPr>
        <w:sym w:font="Bookman Old Style" w:char="2030"/>
      </w:r>
      <w:r w:rsidRPr="006431C4">
        <w:rPr>
          <w:rFonts w:ascii="Arial" w:hAnsi="Arial" w:cs="Arial"/>
          <w:sz w:val="20"/>
        </w:rPr>
        <w:t xml:space="preserve"> powinien wynosić od 50 do 70 m; od 5 do 10 </w:t>
      </w:r>
      <w:r w:rsidRPr="006431C4">
        <w:rPr>
          <w:rFonts w:ascii="Arial" w:hAnsi="Arial" w:cs="Arial"/>
          <w:sz w:val="20"/>
        </w:rPr>
        <w:sym w:font="Bookman Old Style" w:char="2030"/>
      </w:r>
      <w:r w:rsidRPr="006431C4">
        <w:rPr>
          <w:rFonts w:ascii="Arial" w:hAnsi="Arial" w:cs="Arial"/>
          <w:sz w:val="20"/>
        </w:rPr>
        <w:t xml:space="preserve"> - od 70 do 100 m.</w:t>
      </w:r>
    </w:p>
    <w:p w14:paraId="11E1204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Wpusty uliczne na skrzyżowaniach ulic należy rozmieszczać przy krawężnikach prostych w odległości minimum 2,0 m od zakończenia łuku krawężnika.</w:t>
      </w:r>
    </w:p>
    <w:p w14:paraId="049FDC2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Przy umieszczeniu kratek ściekowych bezpośrednio w nawierzchni, wierzch kraty powinien znajdować się 0,5 cm poniżej poziomu warstwy ścieralnej.</w:t>
      </w:r>
    </w:p>
    <w:p w14:paraId="03CD528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Każdy wpust powinien być podłączony do kanału za pośrednictwem studzienki rewizyjnej połączeniowej, studzienki krytej (tzw. ślepej) lub wyjątkowo za pomocą wpustu bocznego.</w:t>
      </w:r>
    </w:p>
    <w:p w14:paraId="76E4E6A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Wpustów deszczowych nie należy sprzęgać. Gdy zachodzi konieczność zwiększenia powierzchni spływu, dopuszcza się w wyjątkowych przypadkach stosowanie wpustów podwójnych.</w:t>
      </w:r>
    </w:p>
    <w:p w14:paraId="46708E8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 przypadkach kolizyjnych, gdy zachodzi konieczność usytuowania wpustu nad istniejącymi urządzeniami podziemnymi, można studzienkę ściekową wypłycić do min. 0,60 m nie stosując osadnika. Osadnik natomiast powinien być ustawiony poza kolizyjnym urządzeniem i połączony przykanalikiem ze studzienką, jak również z kanałem zbiorczym. Odległość osadnika od krawężnika jezdni nie powinna przekraczać 3,0 m.</w:t>
      </w:r>
    </w:p>
    <w:p w14:paraId="6719659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b/>
          <w:sz w:val="20"/>
        </w:rPr>
      </w:pPr>
      <w:r w:rsidRPr="006431C4">
        <w:rPr>
          <w:rFonts w:ascii="Arial" w:hAnsi="Arial" w:cs="Arial"/>
          <w:b/>
          <w:sz w:val="20"/>
        </w:rPr>
        <w:t>5.5.8. Izolacje</w:t>
      </w:r>
    </w:p>
    <w:p w14:paraId="545BAF7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Rury betonowe i żelbetowe użyte do budowy kanalizacji powinny być zabezpieczone przed korozją, zgodnie z zasadami zawartymi w „Instrukcji zabezpieczania przed korozją konstrukcji betonowych” opracowanej przez Instytut Techniki Budowlanej w 1986 r. [21].</w:t>
      </w:r>
    </w:p>
    <w:p w14:paraId="5C6859DA" w14:textId="77777777" w:rsidR="00242468" w:rsidRPr="006431C4" w:rsidRDefault="00242468" w:rsidP="00BE2485">
      <w:pPr>
        <w:pStyle w:val="tekstost"/>
        <w:shd w:val="clear" w:color="auto" w:fill="FFFFFF" w:themeFill="background1"/>
        <w:tabs>
          <w:tab w:val="left" w:pos="142"/>
        </w:tabs>
        <w:rPr>
          <w:rFonts w:ascii="Arial" w:hAnsi="Arial" w:cs="Arial"/>
        </w:rPr>
      </w:pPr>
      <w:r w:rsidRPr="006431C4">
        <w:rPr>
          <w:rFonts w:ascii="Arial" w:hAnsi="Arial" w:cs="Arial"/>
        </w:rPr>
        <w:t>Zabezpieczenie rur kanałowych polega na powleczeniu ich zewnętrznej i wewnętrznej powierzchni warstwą izolacyjną asfaltową, posiadającą aprobatę techniczną, wydaną przez upoważnioną jednostkę.</w:t>
      </w:r>
    </w:p>
    <w:p w14:paraId="2A4BDB4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Studzienki zabezpiecza się przez posmarowanie z zewnątrz izolacją bitumiczną.</w:t>
      </w:r>
    </w:p>
    <w:p w14:paraId="3B293AB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Dopuszcza się stosowanie innego środka izolacyjnego uzgodnionego z Inżynierem.</w:t>
      </w:r>
    </w:p>
    <w:p w14:paraId="37BF6B15"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 środowisku słabo agresywnym, niezależnie od czynnika agresji, studzienki należy zabezpieczyć przez zagruntowanie izolacją asfaltową oraz trzykrotne posmarowanie lepikiem asfaltowym stosowanym na gorąco wg PN-C-96177 [14].</w:t>
      </w:r>
    </w:p>
    <w:p w14:paraId="457BD93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lastRenderedPageBreak/>
        <w:t>W środowisku silnie agresywnym (z uwagi na dużą różnorodność i bardzo duży przedział natężenia czynnika agresji) sposób zabezpieczenia rur przed korozją Wykonawca uzgodni z Inżynierem.</w:t>
      </w:r>
    </w:p>
    <w:p w14:paraId="3B493C52" w14:textId="77777777" w:rsidR="00242468" w:rsidRPr="006431C4" w:rsidRDefault="00242468" w:rsidP="00BE2485">
      <w:pPr>
        <w:pStyle w:val="StylIwony"/>
        <w:keepNext/>
        <w:shd w:val="clear" w:color="auto" w:fill="FFFFFF" w:themeFill="background1"/>
        <w:tabs>
          <w:tab w:val="left" w:pos="142"/>
        </w:tabs>
        <w:spacing w:before="0" w:after="0"/>
        <w:rPr>
          <w:rFonts w:ascii="Arial" w:hAnsi="Arial" w:cs="Arial"/>
          <w:sz w:val="20"/>
        </w:rPr>
      </w:pPr>
      <w:r w:rsidRPr="006431C4">
        <w:rPr>
          <w:rFonts w:ascii="Arial" w:hAnsi="Arial" w:cs="Arial"/>
          <w:b/>
          <w:sz w:val="20"/>
        </w:rPr>
        <w:t>5.5.9.</w:t>
      </w:r>
      <w:r w:rsidRPr="006431C4">
        <w:rPr>
          <w:rFonts w:ascii="Arial" w:hAnsi="Arial" w:cs="Arial"/>
          <w:sz w:val="20"/>
        </w:rPr>
        <w:t xml:space="preserve"> Zasypanie wykopów i ich zagęszczenie</w:t>
      </w:r>
    </w:p>
    <w:p w14:paraId="039BDCC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Zasypywanie rur w wykopie należy prowadzić warstwami grubości 20 cm. Materiał zasypkowy powinien być równomiernie układany i zagęszczany po obu stronach przewodu. Wskaźnik zagęszczenia powinien być zgodny z określonym w SST.</w:t>
      </w:r>
    </w:p>
    <w:p w14:paraId="0D7065C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Rodzaj gruntu do zasypywania wykopów Wykonawca uzgodni z Inżynierem.</w:t>
      </w:r>
    </w:p>
    <w:p w14:paraId="2BFC52D7"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68" w:name="_Toc423928993"/>
      <w:r w:rsidRPr="006431C4">
        <w:rPr>
          <w:rFonts w:cs="Arial"/>
          <w:szCs w:val="20"/>
        </w:rPr>
        <w:t>6. KONTROLA JAKOŚCI ROBÓT</w:t>
      </w:r>
      <w:bookmarkEnd w:id="468"/>
    </w:p>
    <w:p w14:paraId="0A02BEA7"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6.1. Ogólne zasady kontroli jakości robót</w:t>
      </w:r>
    </w:p>
    <w:p w14:paraId="2658B72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Ogólne zasady kontroli jakości robót podano w SST D-M-00.00.00 „Wymagania ogólne” pkt 6.</w:t>
      </w:r>
    </w:p>
    <w:p w14:paraId="34772CA2"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6.2. Kontrola, pomiary i badania</w:t>
      </w:r>
    </w:p>
    <w:p w14:paraId="5AF8180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6.2.1.</w:t>
      </w:r>
      <w:r w:rsidRPr="006431C4">
        <w:rPr>
          <w:rFonts w:ascii="Arial" w:hAnsi="Arial" w:cs="Arial"/>
          <w:sz w:val="20"/>
        </w:rPr>
        <w:t xml:space="preserve"> Badania przed przystąpieniem do robót</w:t>
      </w:r>
    </w:p>
    <w:p w14:paraId="7ABF4BFD"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Przed przystąpieniem do robót Wykonawca powinien:</w:t>
      </w:r>
    </w:p>
    <w:p w14:paraId="17D31BA1" w14:textId="77777777" w:rsidR="00242468" w:rsidRPr="006431C4" w:rsidRDefault="00242468" w:rsidP="00BE2485">
      <w:pPr>
        <w:pStyle w:val="StylIwony"/>
        <w:numPr>
          <w:ilvl w:val="0"/>
          <w:numId w:val="4"/>
        </w:numPr>
        <w:shd w:val="clear" w:color="auto" w:fill="FFFFFF" w:themeFill="background1"/>
        <w:tabs>
          <w:tab w:val="left" w:pos="142"/>
          <w:tab w:val="num" w:pos="567"/>
        </w:tabs>
        <w:spacing w:before="0" w:after="0"/>
        <w:ind w:left="0" w:firstLine="0"/>
        <w:rPr>
          <w:rFonts w:ascii="Arial" w:hAnsi="Arial" w:cs="Arial"/>
          <w:sz w:val="20"/>
        </w:rPr>
      </w:pPr>
      <w:r w:rsidRPr="006431C4">
        <w:rPr>
          <w:rFonts w:ascii="Arial" w:hAnsi="Arial" w:cs="Arial"/>
          <w:sz w:val="20"/>
        </w:rPr>
        <w:t>wykonać badania materiałów do betonu i zapraw i ustalić receptę,</w:t>
      </w:r>
    </w:p>
    <w:p w14:paraId="18D7A690" w14:textId="77777777" w:rsidR="00242468" w:rsidRPr="006431C4" w:rsidRDefault="00242468" w:rsidP="00BE2485">
      <w:pPr>
        <w:pStyle w:val="StylIwony"/>
        <w:numPr>
          <w:ilvl w:val="0"/>
          <w:numId w:val="4"/>
        </w:numPr>
        <w:shd w:val="clear" w:color="auto" w:fill="FFFFFF" w:themeFill="background1"/>
        <w:tabs>
          <w:tab w:val="left" w:pos="142"/>
          <w:tab w:val="num" w:pos="567"/>
        </w:tabs>
        <w:spacing w:before="0" w:after="0"/>
        <w:ind w:left="0" w:firstLine="0"/>
        <w:rPr>
          <w:rFonts w:ascii="Arial" w:hAnsi="Arial" w:cs="Arial"/>
          <w:sz w:val="20"/>
        </w:rPr>
      </w:pPr>
      <w:r w:rsidRPr="006431C4">
        <w:rPr>
          <w:rFonts w:ascii="Arial" w:hAnsi="Arial" w:cs="Arial"/>
          <w:sz w:val="20"/>
        </w:rPr>
        <w:t>uzyskać wymagane dokumenty, dopuszczające wyroby budowlane do obrotu (aprobaty techniczne, certyfikaty zgodności, deklaracje zgodności, ew. badania materiałów wykonane przez dostawców itp.) [27],</w:t>
      </w:r>
    </w:p>
    <w:p w14:paraId="241DA932" w14:textId="77777777" w:rsidR="00242468" w:rsidRPr="006431C4" w:rsidRDefault="00242468" w:rsidP="00BE2485">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Wszystkie dokumenty oraz wyniki badań Wykonawca przedstawia Inżynierowi do akceptacji.</w:t>
      </w:r>
    </w:p>
    <w:p w14:paraId="20F0B69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b/>
          <w:sz w:val="20"/>
        </w:rPr>
        <w:t>6.2.2.</w:t>
      </w:r>
      <w:r w:rsidRPr="006431C4">
        <w:rPr>
          <w:rFonts w:ascii="Arial" w:hAnsi="Arial" w:cs="Arial"/>
          <w:sz w:val="20"/>
        </w:rPr>
        <w:t xml:space="preserve"> Kontrola, pomiary i badania w czasie robót</w:t>
      </w:r>
    </w:p>
    <w:p w14:paraId="4D986C2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Wykonawca jest zobowiązany do stałej i systematycznej kontroli prowadzonych robót w zakresie i z częstotliwością określoną w niniejszej SST i zaakceptowaną przez Inżyniera.</w:t>
      </w:r>
    </w:p>
    <w:p w14:paraId="6B7A1D0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 szczególności kontrola powinna obejmować:</w:t>
      </w:r>
    </w:p>
    <w:p w14:paraId="46B9C32F"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sprawdzenie rzędnych założonych ław celowniczych w nawiązaniu do podanych stałych punktów wysokościowych z dokładnością do 1 cm,</w:t>
      </w:r>
    </w:p>
    <w:p w14:paraId="5F81A9EE"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badanie zabezpieczenia wykopów przed zalaniem wodą,</w:t>
      </w:r>
    </w:p>
    <w:p w14:paraId="0C60F0B9"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badanie i pomiary szerokości, grubości i zagęszczenia wykonanej warstwy podłoża z kruszywa mineralnego lub betonu,</w:t>
      </w:r>
    </w:p>
    <w:p w14:paraId="7DFF93D6"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badanie odchylenia osi kolektora,</w:t>
      </w:r>
    </w:p>
    <w:p w14:paraId="50D78681"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sprawdzenie zgodności z dokumentacją projektową założenia przewodów i studzienek,</w:t>
      </w:r>
    </w:p>
    <w:p w14:paraId="774FF62D"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badanie odchylenia spadku kolektora deszczowego,</w:t>
      </w:r>
    </w:p>
    <w:p w14:paraId="51A40B17"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sprawdzenie prawidłowości ułożenia przewodów,</w:t>
      </w:r>
    </w:p>
    <w:p w14:paraId="1D4A5D2E"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sprawdzenie prawidłowości uszczelniania przewodów,</w:t>
      </w:r>
    </w:p>
    <w:p w14:paraId="48E56FCC"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badanie wskaźników zagęszczenia poszczególnych warstw zasypu,</w:t>
      </w:r>
    </w:p>
    <w:p w14:paraId="24FEC6E5"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sprawdzenie rzędnych posadowienia studzienek ściekowych (kratek) i pokryw włazowych,</w:t>
      </w:r>
    </w:p>
    <w:p w14:paraId="5D20F43D"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sprawdzenie zabezpieczenia przed korozją.</w:t>
      </w:r>
    </w:p>
    <w:p w14:paraId="5446B914" w14:textId="77777777" w:rsidR="00242468" w:rsidRPr="006431C4" w:rsidRDefault="00242468" w:rsidP="00BE2485">
      <w:pPr>
        <w:pStyle w:val="StylIwony"/>
        <w:keepNext/>
        <w:shd w:val="clear" w:color="auto" w:fill="FFFFFF" w:themeFill="background1"/>
        <w:tabs>
          <w:tab w:val="left" w:pos="142"/>
        </w:tabs>
        <w:spacing w:before="0" w:after="0"/>
        <w:rPr>
          <w:rFonts w:ascii="Arial" w:hAnsi="Arial" w:cs="Arial"/>
          <w:sz w:val="20"/>
        </w:rPr>
      </w:pPr>
      <w:r w:rsidRPr="006431C4">
        <w:rPr>
          <w:rFonts w:ascii="Arial" w:hAnsi="Arial" w:cs="Arial"/>
          <w:b/>
          <w:sz w:val="20"/>
        </w:rPr>
        <w:t>6.2.3.</w:t>
      </w:r>
      <w:r w:rsidRPr="006431C4">
        <w:rPr>
          <w:rFonts w:ascii="Arial" w:hAnsi="Arial" w:cs="Arial"/>
          <w:sz w:val="20"/>
        </w:rPr>
        <w:t xml:space="preserve"> Dopuszczalne tolerancje i wymagania</w:t>
      </w:r>
    </w:p>
    <w:p w14:paraId="383703D7"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 xml:space="preserve">odchylenie odległości krawędzi wykopu w dnie od ustalonej w planie osi wykopu nie powinno wynosić więcej niż </w:t>
      </w:r>
      <w:r w:rsidRPr="006431C4">
        <w:rPr>
          <w:rFonts w:ascii="Arial" w:hAnsi="Arial" w:cs="Arial"/>
          <w:sz w:val="20"/>
        </w:rPr>
        <w:sym w:font="Symbol" w:char="F0B1"/>
      </w:r>
      <w:r w:rsidRPr="006431C4">
        <w:rPr>
          <w:rFonts w:ascii="Arial" w:hAnsi="Arial" w:cs="Arial"/>
          <w:sz w:val="20"/>
        </w:rPr>
        <w:t xml:space="preserve"> 5 cm,</w:t>
      </w:r>
    </w:p>
    <w:p w14:paraId="319B2533"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odchylenie wymiarów w planie nie powinno być większe niż 0,1 m,</w:t>
      </w:r>
    </w:p>
    <w:p w14:paraId="27EEE40E"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 xml:space="preserve">odchylenie grubości warstwy podłoża nie powinno przekraczać </w:t>
      </w:r>
      <w:r w:rsidRPr="006431C4">
        <w:rPr>
          <w:rFonts w:ascii="Arial" w:hAnsi="Arial" w:cs="Arial"/>
          <w:sz w:val="20"/>
        </w:rPr>
        <w:sym w:font="Symbol" w:char="F0B1"/>
      </w:r>
      <w:r w:rsidRPr="006431C4">
        <w:rPr>
          <w:rFonts w:ascii="Arial" w:hAnsi="Arial" w:cs="Arial"/>
          <w:sz w:val="20"/>
        </w:rPr>
        <w:t xml:space="preserve"> 3 cm,</w:t>
      </w:r>
    </w:p>
    <w:p w14:paraId="12AFAE5A"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 xml:space="preserve">odchylenie szerokości warstwy podłoża nie powinno przekraczać </w:t>
      </w:r>
      <w:r w:rsidRPr="006431C4">
        <w:rPr>
          <w:rFonts w:ascii="Arial" w:hAnsi="Arial" w:cs="Arial"/>
          <w:sz w:val="20"/>
        </w:rPr>
        <w:sym w:font="Symbol" w:char="F0B1"/>
      </w:r>
      <w:r w:rsidRPr="006431C4">
        <w:rPr>
          <w:rFonts w:ascii="Arial" w:hAnsi="Arial" w:cs="Arial"/>
          <w:sz w:val="20"/>
        </w:rPr>
        <w:t xml:space="preserve"> 5 cm,</w:t>
      </w:r>
    </w:p>
    <w:p w14:paraId="78C06E2F"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 xml:space="preserve">odchylenie kolektora rurowego w planie, odchylenie odległości osi ułożonego kolektora od osi przewodu ustalonej na ławach celowniczych nie powinna przekraczać </w:t>
      </w:r>
      <w:r w:rsidRPr="006431C4">
        <w:rPr>
          <w:rFonts w:ascii="Arial" w:hAnsi="Arial" w:cs="Arial"/>
          <w:sz w:val="20"/>
        </w:rPr>
        <w:sym w:font="Symbol" w:char="F0B1"/>
      </w:r>
      <w:r w:rsidRPr="006431C4">
        <w:rPr>
          <w:rFonts w:ascii="Arial" w:hAnsi="Arial" w:cs="Arial"/>
          <w:sz w:val="20"/>
        </w:rPr>
        <w:t xml:space="preserve"> 5 mm,</w:t>
      </w:r>
    </w:p>
    <w:p w14:paraId="095009D2"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odchylenie spadku ułożonego kolektora od przewidzianego w projekcie nie powinno przekraczać -5% projektowanego spadku (przy zmniejszonym spadku) i +10% projektowanego spadku (przy zwiększonym spadku),</w:t>
      </w:r>
    </w:p>
    <w:p w14:paraId="5E9583CC"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wskaźnik zagęszczenia zasypki wykopów określony w trzech miejscach na długości 100 m powinien być zgodny z pkt 5.5.9,</w:t>
      </w:r>
    </w:p>
    <w:p w14:paraId="28EE0007"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 xml:space="preserve">rzędne kratek ściekowych i pokryw studzienek powinny być wykonane z dokładnością do </w:t>
      </w:r>
      <w:r w:rsidRPr="006431C4">
        <w:rPr>
          <w:rFonts w:ascii="Arial" w:hAnsi="Arial" w:cs="Arial"/>
          <w:sz w:val="20"/>
        </w:rPr>
        <w:sym w:font="Symbol" w:char="F0B1"/>
      </w:r>
      <w:r w:rsidRPr="006431C4">
        <w:rPr>
          <w:rFonts w:ascii="Arial" w:hAnsi="Arial" w:cs="Arial"/>
          <w:sz w:val="20"/>
        </w:rPr>
        <w:t xml:space="preserve"> 5 mm.</w:t>
      </w:r>
    </w:p>
    <w:p w14:paraId="4D83DAFE"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69" w:name="_Toc423928994"/>
      <w:r w:rsidRPr="006431C4">
        <w:rPr>
          <w:rFonts w:cs="Arial"/>
          <w:szCs w:val="20"/>
        </w:rPr>
        <w:t>7. OBMIAR ROBÓT</w:t>
      </w:r>
      <w:bookmarkEnd w:id="469"/>
    </w:p>
    <w:p w14:paraId="567522EE"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7.1. Ogólne zasady obmiaru robót</w:t>
      </w:r>
    </w:p>
    <w:p w14:paraId="66C9EA7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Ogólne zasady obmiaru robót podano w SST D-M-00.00.00 „Wymagania ogólne” pkt 7.</w:t>
      </w:r>
    </w:p>
    <w:p w14:paraId="6B33ACB1"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7.2. Jednostka obmiarowa</w:t>
      </w:r>
    </w:p>
    <w:p w14:paraId="3874F29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Jednostką obmiarową jest m (metr) wykonanej i odebranej kanalizacji.</w:t>
      </w:r>
    </w:p>
    <w:p w14:paraId="798C7C06"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70" w:name="_Toc423928995"/>
      <w:r w:rsidRPr="006431C4">
        <w:rPr>
          <w:rFonts w:cs="Arial"/>
          <w:szCs w:val="20"/>
        </w:rPr>
        <w:t>8. ODBIÓR ROBÓT</w:t>
      </w:r>
      <w:bookmarkEnd w:id="470"/>
    </w:p>
    <w:p w14:paraId="1D7EF036"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8.1. Ogólne zasady odbioru robót</w:t>
      </w:r>
    </w:p>
    <w:p w14:paraId="29D20F2D"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Ogólne zasady odbioru robót podano w SST D-M-00.00.00 „Wymagania ogólne” pkt 8.</w:t>
      </w:r>
    </w:p>
    <w:p w14:paraId="7A9CF6B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Roboty uznaje się za wykonane zgodnie z dokumentacją projektową, SST i wymaganiami Inżyniera, jeżeli wszystkie pomiary i badania z zachowaniem tolerancji wg pkt 6 dały wyniki pozytywne.</w:t>
      </w:r>
    </w:p>
    <w:p w14:paraId="72B2456A"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8.2. Odbiór robót zanikających i ulegających zakryciu</w:t>
      </w:r>
    </w:p>
    <w:p w14:paraId="3C1DD97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Odbiorowi robót zanikających i ulegających zakryciu podlegają:</w:t>
      </w:r>
    </w:p>
    <w:p w14:paraId="602D4C20"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roboty montażowe wykonania rur kanałowych i przykanalika,</w:t>
      </w:r>
    </w:p>
    <w:p w14:paraId="44CE5EE9"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wykonane studzienki ściekowe i kanalizacyjne,</w:t>
      </w:r>
    </w:p>
    <w:p w14:paraId="3C1BF114"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wykonane komory,</w:t>
      </w:r>
    </w:p>
    <w:p w14:paraId="16FC5D57"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wykonana izolacja,</w:t>
      </w:r>
    </w:p>
    <w:p w14:paraId="6A959A9C"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zasypany  zagęszczony wykop.</w:t>
      </w:r>
    </w:p>
    <w:p w14:paraId="085941D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lastRenderedPageBreak/>
        <w:t>Odbiór robót zanikających powinien być dokonany w czasie umożliwiającym wykonanie korekt i poprawek, bez hamowania ogólnego postępu robót.</w:t>
      </w:r>
    </w:p>
    <w:p w14:paraId="6340AA6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Długość odcinka robót ziemnych poddana odbiorowi nie powinna być mniejsza od 50 m.</w:t>
      </w:r>
    </w:p>
    <w:p w14:paraId="42D61992"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71" w:name="_Toc423928996"/>
      <w:r w:rsidRPr="006431C4">
        <w:rPr>
          <w:rFonts w:cs="Arial"/>
          <w:szCs w:val="20"/>
        </w:rPr>
        <w:t>9. PODSTAWA PŁATNOŚCI</w:t>
      </w:r>
      <w:bookmarkEnd w:id="471"/>
    </w:p>
    <w:p w14:paraId="2A9FBBF3"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9.1. Ogólne ustalenia dotyczące podstawy płatności</w:t>
      </w:r>
    </w:p>
    <w:p w14:paraId="4CFA1EC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Ogólne ustalenia dotyczące podstawy płatności podano w SST D-M-00.00.00 „Wymagania ogólne” pkt 9.</w:t>
      </w:r>
    </w:p>
    <w:p w14:paraId="327CDA9E"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9.2. Cena jednostki obmiarowej</w:t>
      </w:r>
    </w:p>
    <w:p w14:paraId="7ADBBD0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Cena 1 m wykonanej i odebranej kanalizacji obejmuje:</w:t>
      </w:r>
    </w:p>
    <w:p w14:paraId="5AF0C43C"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oznakowanie robót,</w:t>
      </w:r>
    </w:p>
    <w:p w14:paraId="61A51F44"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dostawę materiałów,</w:t>
      </w:r>
    </w:p>
    <w:p w14:paraId="16AD5C02"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wykonanie robót przygotowawczych,</w:t>
      </w:r>
    </w:p>
    <w:p w14:paraId="13AF6636"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wykonanie wykopu w gruncie kat. I-IV wraz z umocnieniem ścian wykopu i jego odwodnienie,</w:t>
      </w:r>
    </w:p>
    <w:p w14:paraId="4AF0E2E8"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przygotowanie podłoża i fundamentu,</w:t>
      </w:r>
    </w:p>
    <w:p w14:paraId="163DCE74"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wykonanie wylotu kolektora,</w:t>
      </w:r>
    </w:p>
    <w:p w14:paraId="5C25E865"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ułożenie przewodów kanalizacyjnych, przykanalików, studni, studzienek ściekowych,</w:t>
      </w:r>
    </w:p>
    <w:p w14:paraId="355143A2"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wykonanie izolacji rur i studzienek,</w:t>
      </w:r>
    </w:p>
    <w:p w14:paraId="099C68A2"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zasypanie i zagęszczenie wykopu,</w:t>
      </w:r>
    </w:p>
    <w:p w14:paraId="5066CCF7" w14:textId="77777777" w:rsidR="00242468" w:rsidRPr="006431C4" w:rsidRDefault="00242468" w:rsidP="00BE2485">
      <w:pPr>
        <w:pStyle w:val="StylIwony"/>
        <w:numPr>
          <w:ilvl w:val="0"/>
          <w:numId w:val="4"/>
        </w:numPr>
        <w:shd w:val="clear" w:color="auto" w:fill="FFFFFF" w:themeFill="background1"/>
        <w:tabs>
          <w:tab w:val="left" w:pos="142"/>
        </w:tabs>
        <w:spacing w:before="0" w:after="0"/>
        <w:ind w:left="0" w:firstLine="0"/>
        <w:rPr>
          <w:rFonts w:ascii="Arial" w:hAnsi="Arial" w:cs="Arial"/>
          <w:sz w:val="20"/>
        </w:rPr>
      </w:pPr>
      <w:r w:rsidRPr="006431C4">
        <w:rPr>
          <w:rFonts w:ascii="Arial" w:hAnsi="Arial" w:cs="Arial"/>
          <w:sz w:val="20"/>
        </w:rPr>
        <w:t>przeprowadzenie pomiarów i badań wymaganych w specyfikacji technicznej.</w:t>
      </w:r>
    </w:p>
    <w:p w14:paraId="12D20FD4" w14:textId="77777777" w:rsidR="00242468" w:rsidRPr="006431C4" w:rsidRDefault="00242468" w:rsidP="00BE2485">
      <w:pPr>
        <w:pStyle w:val="Nagwek1"/>
        <w:shd w:val="clear" w:color="auto" w:fill="FFFFFF" w:themeFill="background1"/>
        <w:tabs>
          <w:tab w:val="left" w:pos="142"/>
        </w:tabs>
        <w:spacing w:line="240" w:lineRule="auto"/>
        <w:jc w:val="both"/>
        <w:rPr>
          <w:rFonts w:cs="Arial"/>
          <w:szCs w:val="20"/>
        </w:rPr>
      </w:pPr>
      <w:bookmarkStart w:id="472" w:name="_Toc423928997"/>
      <w:r w:rsidRPr="006431C4">
        <w:rPr>
          <w:rFonts w:cs="Arial"/>
          <w:szCs w:val="20"/>
        </w:rPr>
        <w:t>10. PRZEPISY ZWIĄZANE</w:t>
      </w:r>
      <w:bookmarkEnd w:id="472"/>
    </w:p>
    <w:p w14:paraId="1FB5E14E"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10.1. Normy</w:t>
      </w:r>
    </w:p>
    <w:tbl>
      <w:tblPr>
        <w:tblW w:w="10632" w:type="dxa"/>
        <w:tblLayout w:type="fixed"/>
        <w:tblCellMar>
          <w:left w:w="70" w:type="dxa"/>
          <w:right w:w="70" w:type="dxa"/>
        </w:tblCellMar>
        <w:tblLook w:val="0000" w:firstRow="0" w:lastRow="0" w:firstColumn="0" w:lastColumn="0" w:noHBand="0" w:noVBand="0"/>
      </w:tblPr>
      <w:tblGrid>
        <w:gridCol w:w="496"/>
        <w:gridCol w:w="1842"/>
        <w:gridCol w:w="8294"/>
      </w:tblGrid>
      <w:tr w:rsidR="00242468" w:rsidRPr="006431C4" w14:paraId="2EE6D862" w14:textId="77777777" w:rsidTr="00462D74">
        <w:tc>
          <w:tcPr>
            <w:tcW w:w="496" w:type="dxa"/>
          </w:tcPr>
          <w:p w14:paraId="1F91240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  1.</w:t>
            </w:r>
          </w:p>
        </w:tc>
        <w:tc>
          <w:tcPr>
            <w:tcW w:w="1842" w:type="dxa"/>
          </w:tcPr>
          <w:p w14:paraId="1E2037AD"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PN-EN 124:2000</w:t>
            </w:r>
          </w:p>
        </w:tc>
        <w:tc>
          <w:tcPr>
            <w:tcW w:w="8294" w:type="dxa"/>
          </w:tcPr>
          <w:p w14:paraId="5504A97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Zwieńczenia wpustów i studzienek kanalizacyjnych do nawierzchni dla ruchu pieszego i kołowego. Zasady konstrukcji, badania typu, znakowanie, sterowanie jakością</w:t>
            </w:r>
          </w:p>
        </w:tc>
      </w:tr>
      <w:tr w:rsidR="00242468" w:rsidRPr="006431C4" w14:paraId="0D9A1A2A" w14:textId="77777777" w:rsidTr="00462D74">
        <w:tc>
          <w:tcPr>
            <w:tcW w:w="496" w:type="dxa"/>
          </w:tcPr>
          <w:p w14:paraId="6907F56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  2.</w:t>
            </w:r>
          </w:p>
        </w:tc>
        <w:tc>
          <w:tcPr>
            <w:tcW w:w="1842" w:type="dxa"/>
          </w:tcPr>
          <w:p w14:paraId="715D528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PN-EN 197-1:2002</w:t>
            </w:r>
          </w:p>
        </w:tc>
        <w:tc>
          <w:tcPr>
            <w:tcW w:w="8294" w:type="dxa"/>
          </w:tcPr>
          <w:p w14:paraId="24348334"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Cement. Część 1: Skład, wymagania i kryteria zgodności dotyczące cementu powszechnego użytku</w:t>
            </w:r>
          </w:p>
        </w:tc>
      </w:tr>
      <w:tr w:rsidR="00242468" w:rsidRPr="006431C4" w14:paraId="0CB149EE" w14:textId="77777777" w:rsidTr="00462D74">
        <w:tc>
          <w:tcPr>
            <w:tcW w:w="496" w:type="dxa"/>
          </w:tcPr>
          <w:p w14:paraId="6BEA808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  3.</w:t>
            </w:r>
          </w:p>
        </w:tc>
        <w:tc>
          <w:tcPr>
            <w:tcW w:w="1842" w:type="dxa"/>
          </w:tcPr>
          <w:p w14:paraId="1E5232A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PN-EN 206-1:2000</w:t>
            </w:r>
          </w:p>
        </w:tc>
        <w:tc>
          <w:tcPr>
            <w:tcW w:w="8294" w:type="dxa"/>
          </w:tcPr>
          <w:p w14:paraId="526F237D"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Beton. Część 1: Wymagania, właściwości, produkcja i zgodność</w:t>
            </w:r>
          </w:p>
        </w:tc>
      </w:tr>
      <w:tr w:rsidR="00242468" w:rsidRPr="006431C4" w14:paraId="2D473A96" w14:textId="77777777" w:rsidTr="00462D74">
        <w:tc>
          <w:tcPr>
            <w:tcW w:w="496" w:type="dxa"/>
          </w:tcPr>
          <w:p w14:paraId="086DE8E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  4.</w:t>
            </w:r>
          </w:p>
        </w:tc>
        <w:tc>
          <w:tcPr>
            <w:tcW w:w="1842" w:type="dxa"/>
          </w:tcPr>
          <w:p w14:paraId="7B8DD88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PN-EN 295:2002</w:t>
            </w:r>
          </w:p>
        </w:tc>
        <w:tc>
          <w:tcPr>
            <w:tcW w:w="8294" w:type="dxa"/>
          </w:tcPr>
          <w:p w14:paraId="0BB8029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Rury i kształtki kamionkowe i ich połączenia w sieci drenażowej i kanalizacyjnej</w:t>
            </w:r>
          </w:p>
        </w:tc>
      </w:tr>
      <w:tr w:rsidR="00242468" w:rsidRPr="006431C4" w14:paraId="5782BC4F" w14:textId="77777777" w:rsidTr="00462D74">
        <w:tc>
          <w:tcPr>
            <w:tcW w:w="496" w:type="dxa"/>
          </w:tcPr>
          <w:p w14:paraId="209F520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  5.</w:t>
            </w:r>
          </w:p>
        </w:tc>
        <w:tc>
          <w:tcPr>
            <w:tcW w:w="1842" w:type="dxa"/>
          </w:tcPr>
          <w:p w14:paraId="1B1A9F9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PN-EN 1115:2002</w:t>
            </w:r>
          </w:p>
        </w:tc>
        <w:tc>
          <w:tcPr>
            <w:tcW w:w="8294" w:type="dxa"/>
          </w:tcPr>
          <w:p w14:paraId="67698E3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Systemy przewodów rurowych z tworzyw sztucznych do kanalizacji ciśnieniowej deszczowej i ściekowej. Utwardzalne tworzywa sztuczne na bazie nienasyconej żywicy poliestrowej (UP) wzmocnione włóknem szklanym (GRP)</w:t>
            </w:r>
          </w:p>
        </w:tc>
      </w:tr>
      <w:tr w:rsidR="00242468" w:rsidRPr="006431C4" w14:paraId="097FBF39" w14:textId="77777777" w:rsidTr="00462D74">
        <w:tc>
          <w:tcPr>
            <w:tcW w:w="496" w:type="dxa"/>
          </w:tcPr>
          <w:p w14:paraId="4D7F101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  6.</w:t>
            </w:r>
          </w:p>
        </w:tc>
        <w:tc>
          <w:tcPr>
            <w:tcW w:w="1842" w:type="dxa"/>
          </w:tcPr>
          <w:p w14:paraId="1E994A0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PN-EN 12620:2004</w:t>
            </w:r>
          </w:p>
        </w:tc>
        <w:tc>
          <w:tcPr>
            <w:tcW w:w="8294" w:type="dxa"/>
          </w:tcPr>
          <w:p w14:paraId="79BAACA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color w:val="FF0000"/>
                <w:sz w:val="20"/>
              </w:rPr>
            </w:pPr>
            <w:r w:rsidRPr="006431C4">
              <w:rPr>
                <w:rFonts w:ascii="Arial" w:hAnsi="Arial" w:cs="Arial"/>
                <w:sz w:val="20"/>
              </w:rPr>
              <w:t>Kruszywa do betonu (Norma do zastosowań przyszłościo</w:t>
            </w:r>
            <w:r w:rsidRPr="006431C4">
              <w:rPr>
                <w:rFonts w:ascii="Arial" w:hAnsi="Arial" w:cs="Arial"/>
                <w:sz w:val="20"/>
              </w:rPr>
              <w:softHyphen/>
              <w:t>wych. Tymczasowo należy stosować normę PN-B-06712 [10])</w:t>
            </w:r>
          </w:p>
        </w:tc>
      </w:tr>
      <w:tr w:rsidR="00242468" w:rsidRPr="006431C4" w14:paraId="4E9117DC" w14:textId="77777777" w:rsidTr="00462D74">
        <w:tc>
          <w:tcPr>
            <w:tcW w:w="496" w:type="dxa"/>
          </w:tcPr>
          <w:p w14:paraId="04D794C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  7.</w:t>
            </w:r>
          </w:p>
        </w:tc>
        <w:tc>
          <w:tcPr>
            <w:tcW w:w="1842" w:type="dxa"/>
          </w:tcPr>
          <w:p w14:paraId="5D722F3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trike/>
                <w:sz w:val="20"/>
              </w:rPr>
            </w:pPr>
            <w:r w:rsidRPr="006431C4">
              <w:rPr>
                <w:rFonts w:ascii="Arial" w:hAnsi="Arial" w:cs="Arial"/>
                <w:sz w:val="20"/>
              </w:rPr>
              <w:t>PN-EN 13043:2004</w:t>
            </w:r>
          </w:p>
        </w:tc>
        <w:tc>
          <w:tcPr>
            <w:tcW w:w="8294" w:type="dxa"/>
          </w:tcPr>
          <w:p w14:paraId="008A23E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trike/>
                <w:color w:val="FF0000"/>
                <w:sz w:val="20"/>
              </w:rPr>
            </w:pPr>
            <w:r w:rsidRPr="006431C4">
              <w:rPr>
                <w:rFonts w:ascii="Arial" w:hAnsi="Arial" w:cs="Arial"/>
                <w:sz w:val="20"/>
              </w:rPr>
              <w:t>Kruszywa do mieszanek bitumicznych i powierzchniowych utrwaleń stosowanych na drogach, lotniskach i innych powierzchniach przeznaczonych do ruchu (Norma do zastosowań przyszłościowych. Tymczasowo należy stosować normy: PN-B-11111 [11] i PN-B-11112 [12])</w:t>
            </w:r>
          </w:p>
        </w:tc>
      </w:tr>
      <w:tr w:rsidR="00242468" w:rsidRPr="006431C4" w14:paraId="24C90F4D" w14:textId="77777777" w:rsidTr="00462D74">
        <w:tc>
          <w:tcPr>
            <w:tcW w:w="496" w:type="dxa"/>
          </w:tcPr>
          <w:p w14:paraId="2F4D27D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  8.</w:t>
            </w:r>
          </w:p>
        </w:tc>
        <w:tc>
          <w:tcPr>
            <w:tcW w:w="1842" w:type="dxa"/>
          </w:tcPr>
          <w:p w14:paraId="3DFD5A8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PN-EN 13101:2002</w:t>
            </w:r>
          </w:p>
        </w:tc>
        <w:tc>
          <w:tcPr>
            <w:tcW w:w="8294" w:type="dxa"/>
          </w:tcPr>
          <w:p w14:paraId="3B86286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Stopnie do studzienek włazowych. Wymagania, znakowanie, badania i ocena zgodności</w:t>
            </w:r>
          </w:p>
        </w:tc>
      </w:tr>
      <w:tr w:rsidR="00242468" w:rsidRPr="006431C4" w14:paraId="5DF1491C" w14:textId="77777777" w:rsidTr="00462D74">
        <w:tc>
          <w:tcPr>
            <w:tcW w:w="496" w:type="dxa"/>
          </w:tcPr>
          <w:p w14:paraId="505CB79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  9.</w:t>
            </w:r>
          </w:p>
        </w:tc>
        <w:tc>
          <w:tcPr>
            <w:tcW w:w="1842" w:type="dxa"/>
          </w:tcPr>
          <w:p w14:paraId="0FFB112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PN-B-06250:1988</w:t>
            </w:r>
          </w:p>
        </w:tc>
        <w:tc>
          <w:tcPr>
            <w:tcW w:w="8294" w:type="dxa"/>
          </w:tcPr>
          <w:p w14:paraId="2DCE49C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Beton zwykły</w:t>
            </w:r>
          </w:p>
        </w:tc>
      </w:tr>
      <w:tr w:rsidR="00242468" w:rsidRPr="006431C4" w14:paraId="0B4F4F8A" w14:textId="77777777" w:rsidTr="00462D74">
        <w:tc>
          <w:tcPr>
            <w:tcW w:w="496" w:type="dxa"/>
          </w:tcPr>
          <w:p w14:paraId="0C8E8DA5"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10.</w:t>
            </w:r>
          </w:p>
        </w:tc>
        <w:tc>
          <w:tcPr>
            <w:tcW w:w="1842" w:type="dxa"/>
          </w:tcPr>
          <w:p w14:paraId="53DC9795"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PN-B-06712:1986</w:t>
            </w:r>
          </w:p>
        </w:tc>
        <w:tc>
          <w:tcPr>
            <w:tcW w:w="8294" w:type="dxa"/>
          </w:tcPr>
          <w:p w14:paraId="50B0022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Kruszywa mineralne do betonu</w:t>
            </w:r>
          </w:p>
        </w:tc>
      </w:tr>
      <w:tr w:rsidR="00242468" w:rsidRPr="006431C4" w14:paraId="2B2379FC" w14:textId="77777777" w:rsidTr="00462D74">
        <w:tc>
          <w:tcPr>
            <w:tcW w:w="496" w:type="dxa"/>
          </w:tcPr>
          <w:p w14:paraId="7CAB0B8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11.</w:t>
            </w:r>
          </w:p>
        </w:tc>
        <w:tc>
          <w:tcPr>
            <w:tcW w:w="1842" w:type="dxa"/>
          </w:tcPr>
          <w:p w14:paraId="48E6A5F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PN-B-11111:1996</w:t>
            </w:r>
          </w:p>
        </w:tc>
        <w:tc>
          <w:tcPr>
            <w:tcW w:w="8294" w:type="dxa"/>
          </w:tcPr>
          <w:p w14:paraId="537ADAA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Kruszywa mineralne. Kruszywa naturalne do nawierzchni drogowych. Żwir i mieszanka</w:t>
            </w:r>
          </w:p>
        </w:tc>
      </w:tr>
      <w:tr w:rsidR="00242468" w:rsidRPr="006431C4" w14:paraId="77528969" w14:textId="77777777" w:rsidTr="00462D74">
        <w:tc>
          <w:tcPr>
            <w:tcW w:w="496" w:type="dxa"/>
          </w:tcPr>
          <w:p w14:paraId="0B0B844E"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12.</w:t>
            </w:r>
          </w:p>
        </w:tc>
        <w:tc>
          <w:tcPr>
            <w:tcW w:w="1842" w:type="dxa"/>
          </w:tcPr>
          <w:p w14:paraId="53DF49F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PN-B-11112:1996</w:t>
            </w:r>
          </w:p>
        </w:tc>
        <w:tc>
          <w:tcPr>
            <w:tcW w:w="8294" w:type="dxa"/>
          </w:tcPr>
          <w:p w14:paraId="3824D02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Kruszywa mineralne. Kruszywa łamane do nawierzchni drogowych</w:t>
            </w:r>
          </w:p>
        </w:tc>
      </w:tr>
      <w:tr w:rsidR="00242468" w:rsidRPr="006431C4" w14:paraId="2F5328E0" w14:textId="77777777" w:rsidTr="00462D74">
        <w:tc>
          <w:tcPr>
            <w:tcW w:w="496" w:type="dxa"/>
          </w:tcPr>
          <w:p w14:paraId="346E7D2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13.</w:t>
            </w:r>
          </w:p>
        </w:tc>
        <w:tc>
          <w:tcPr>
            <w:tcW w:w="1842" w:type="dxa"/>
          </w:tcPr>
          <w:p w14:paraId="0DC40C5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PN-B-12037:1998</w:t>
            </w:r>
          </w:p>
        </w:tc>
        <w:tc>
          <w:tcPr>
            <w:tcW w:w="8294" w:type="dxa"/>
          </w:tcPr>
          <w:p w14:paraId="351986BF"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Wyroby budowlane ceramiczne. Cegły kanalizacyjne</w:t>
            </w:r>
          </w:p>
        </w:tc>
      </w:tr>
      <w:tr w:rsidR="00242468" w:rsidRPr="006431C4" w14:paraId="3E122D2B" w14:textId="77777777" w:rsidTr="00462D74">
        <w:tc>
          <w:tcPr>
            <w:tcW w:w="496" w:type="dxa"/>
          </w:tcPr>
          <w:p w14:paraId="2453EAE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14.</w:t>
            </w:r>
          </w:p>
        </w:tc>
        <w:tc>
          <w:tcPr>
            <w:tcW w:w="1842" w:type="dxa"/>
          </w:tcPr>
          <w:p w14:paraId="42674502"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PN-C-96177:1958</w:t>
            </w:r>
          </w:p>
        </w:tc>
        <w:tc>
          <w:tcPr>
            <w:tcW w:w="8294" w:type="dxa"/>
          </w:tcPr>
          <w:p w14:paraId="0ECF3432"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Lepik asfaltowy bez wypełniaczy stosowany na gorąco</w:t>
            </w:r>
          </w:p>
        </w:tc>
      </w:tr>
      <w:tr w:rsidR="00242468" w:rsidRPr="006431C4" w14:paraId="1B951F75" w14:textId="77777777" w:rsidTr="00462D74">
        <w:tc>
          <w:tcPr>
            <w:tcW w:w="496" w:type="dxa"/>
          </w:tcPr>
          <w:p w14:paraId="5A5B9DA4"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15.</w:t>
            </w:r>
          </w:p>
        </w:tc>
        <w:tc>
          <w:tcPr>
            <w:tcW w:w="1842" w:type="dxa"/>
          </w:tcPr>
          <w:p w14:paraId="07BB805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PN-H-74101:1984</w:t>
            </w:r>
          </w:p>
        </w:tc>
        <w:tc>
          <w:tcPr>
            <w:tcW w:w="8294" w:type="dxa"/>
          </w:tcPr>
          <w:p w14:paraId="3F36277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Żeliwne rury ciśnieniowe do połączeń sztywnych</w:t>
            </w:r>
          </w:p>
        </w:tc>
      </w:tr>
      <w:tr w:rsidR="00242468" w:rsidRPr="006431C4" w14:paraId="7DA29D14" w14:textId="77777777" w:rsidTr="00462D74">
        <w:tc>
          <w:tcPr>
            <w:tcW w:w="496" w:type="dxa"/>
          </w:tcPr>
          <w:p w14:paraId="42E47E75"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16.</w:t>
            </w:r>
          </w:p>
        </w:tc>
        <w:tc>
          <w:tcPr>
            <w:tcW w:w="1842" w:type="dxa"/>
          </w:tcPr>
          <w:p w14:paraId="52D415C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PN-B-14501:1990</w:t>
            </w:r>
          </w:p>
        </w:tc>
        <w:tc>
          <w:tcPr>
            <w:tcW w:w="8294" w:type="dxa"/>
          </w:tcPr>
          <w:p w14:paraId="2D53A9B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Zaprawy budowlane zwykłe</w:t>
            </w:r>
          </w:p>
        </w:tc>
      </w:tr>
      <w:tr w:rsidR="00242468" w:rsidRPr="006431C4" w14:paraId="7CF05288" w14:textId="77777777" w:rsidTr="00462D74">
        <w:tc>
          <w:tcPr>
            <w:tcW w:w="496" w:type="dxa"/>
          </w:tcPr>
          <w:p w14:paraId="6271130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17.</w:t>
            </w:r>
          </w:p>
        </w:tc>
        <w:tc>
          <w:tcPr>
            <w:tcW w:w="1842" w:type="dxa"/>
          </w:tcPr>
          <w:p w14:paraId="26F4030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BN-86/8971-06.00</w:t>
            </w:r>
          </w:p>
        </w:tc>
        <w:tc>
          <w:tcPr>
            <w:tcW w:w="8294" w:type="dxa"/>
          </w:tcPr>
          <w:p w14:paraId="7A251DA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Rury bezciśnieniowe. Kielichowe rury betonowe i żelbetowe „Wipro”</w:t>
            </w:r>
          </w:p>
        </w:tc>
      </w:tr>
      <w:tr w:rsidR="00242468" w:rsidRPr="006431C4" w14:paraId="0C07DF81" w14:textId="77777777" w:rsidTr="00462D74">
        <w:tc>
          <w:tcPr>
            <w:tcW w:w="496" w:type="dxa"/>
          </w:tcPr>
          <w:p w14:paraId="2A9B1FC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18.</w:t>
            </w:r>
          </w:p>
        </w:tc>
        <w:tc>
          <w:tcPr>
            <w:tcW w:w="1842" w:type="dxa"/>
          </w:tcPr>
          <w:p w14:paraId="1C1EA5D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BN-83/8971-06.02</w:t>
            </w:r>
          </w:p>
        </w:tc>
        <w:tc>
          <w:tcPr>
            <w:tcW w:w="8294" w:type="dxa"/>
          </w:tcPr>
          <w:p w14:paraId="5ECD7B8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Rury bezciśnieniowe. Rury betonowe i żelbetowe</w:t>
            </w:r>
          </w:p>
        </w:tc>
      </w:tr>
      <w:tr w:rsidR="00242468" w:rsidRPr="006431C4" w14:paraId="2C87EB82" w14:textId="77777777" w:rsidTr="00462D74">
        <w:tc>
          <w:tcPr>
            <w:tcW w:w="496" w:type="dxa"/>
          </w:tcPr>
          <w:p w14:paraId="251610F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19.</w:t>
            </w:r>
          </w:p>
        </w:tc>
        <w:tc>
          <w:tcPr>
            <w:tcW w:w="1842" w:type="dxa"/>
          </w:tcPr>
          <w:p w14:paraId="5A957094"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BN-86/8971-08</w:t>
            </w:r>
          </w:p>
        </w:tc>
        <w:tc>
          <w:tcPr>
            <w:tcW w:w="8294" w:type="dxa"/>
          </w:tcPr>
          <w:p w14:paraId="320CB4FC"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Prefabrykaty budowlane z betonu. Kręgi betonowe                        i żelbetowe</w:t>
            </w:r>
          </w:p>
        </w:tc>
      </w:tr>
      <w:tr w:rsidR="00242468" w:rsidRPr="006431C4" w14:paraId="4A597DA5" w14:textId="77777777" w:rsidTr="00462D74">
        <w:tc>
          <w:tcPr>
            <w:tcW w:w="496" w:type="dxa"/>
          </w:tcPr>
          <w:p w14:paraId="7562AA6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20.</w:t>
            </w:r>
          </w:p>
        </w:tc>
        <w:tc>
          <w:tcPr>
            <w:tcW w:w="1842" w:type="dxa"/>
          </w:tcPr>
          <w:p w14:paraId="652FF28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BN-88/6731-08</w:t>
            </w:r>
          </w:p>
        </w:tc>
        <w:tc>
          <w:tcPr>
            <w:tcW w:w="8294" w:type="dxa"/>
          </w:tcPr>
          <w:p w14:paraId="7B781F6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Cement. Transport i przechowywanie</w:t>
            </w:r>
          </w:p>
        </w:tc>
      </w:tr>
    </w:tbl>
    <w:p w14:paraId="66360ADD" w14:textId="77777777" w:rsidR="00242468" w:rsidRPr="006431C4" w:rsidRDefault="00242468" w:rsidP="00BE2485">
      <w:pPr>
        <w:pStyle w:val="Nagwek2"/>
        <w:shd w:val="clear" w:color="auto" w:fill="FFFFFF" w:themeFill="background1"/>
        <w:tabs>
          <w:tab w:val="left" w:pos="142"/>
        </w:tabs>
        <w:spacing w:line="240" w:lineRule="auto"/>
        <w:jc w:val="both"/>
        <w:rPr>
          <w:rFonts w:cs="Arial"/>
          <w:szCs w:val="20"/>
        </w:rPr>
      </w:pPr>
      <w:r w:rsidRPr="006431C4">
        <w:rPr>
          <w:rFonts w:cs="Arial"/>
          <w:szCs w:val="20"/>
        </w:rPr>
        <w:t>10.2. Inne dokumenty</w:t>
      </w:r>
    </w:p>
    <w:tbl>
      <w:tblPr>
        <w:tblW w:w="10773" w:type="dxa"/>
        <w:tblLayout w:type="fixed"/>
        <w:tblCellMar>
          <w:left w:w="70" w:type="dxa"/>
          <w:right w:w="70" w:type="dxa"/>
        </w:tblCellMar>
        <w:tblLook w:val="0000" w:firstRow="0" w:lastRow="0" w:firstColumn="0" w:lastColumn="0" w:noHBand="0" w:noVBand="0"/>
      </w:tblPr>
      <w:tblGrid>
        <w:gridCol w:w="496"/>
        <w:gridCol w:w="10277"/>
      </w:tblGrid>
      <w:tr w:rsidR="00242468" w:rsidRPr="006431C4" w14:paraId="279A51A1" w14:textId="77777777" w:rsidTr="00695EA6">
        <w:tc>
          <w:tcPr>
            <w:tcW w:w="496" w:type="dxa"/>
          </w:tcPr>
          <w:p w14:paraId="424BBE04"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21.</w:t>
            </w:r>
          </w:p>
        </w:tc>
        <w:tc>
          <w:tcPr>
            <w:tcW w:w="10277" w:type="dxa"/>
          </w:tcPr>
          <w:p w14:paraId="6EC5715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Instrukcja zabezpieczania przed korozją konstrukcji betonowych opracowana przez Instytut Techniki Budowlanej - Warszawa 1986 r.</w:t>
            </w:r>
          </w:p>
        </w:tc>
      </w:tr>
      <w:tr w:rsidR="00242468" w:rsidRPr="006431C4" w14:paraId="275B70E5" w14:textId="77777777" w:rsidTr="00695EA6">
        <w:tc>
          <w:tcPr>
            <w:tcW w:w="496" w:type="dxa"/>
          </w:tcPr>
          <w:p w14:paraId="663A4F5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22.</w:t>
            </w:r>
          </w:p>
        </w:tc>
        <w:tc>
          <w:tcPr>
            <w:tcW w:w="10277" w:type="dxa"/>
          </w:tcPr>
          <w:p w14:paraId="6602FC92"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Katalog budownictwa</w:t>
            </w:r>
          </w:p>
          <w:p w14:paraId="1BA054D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KB4-4.12.1.(6)     Studzienki połączeniowe (lipiec 1980)</w:t>
            </w:r>
          </w:p>
          <w:p w14:paraId="70E29F5A"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KB4-4.12.1.(7)     Studzienki przelotowe (lipiec 1980)</w:t>
            </w:r>
          </w:p>
          <w:p w14:paraId="41084033"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KB4-4.12.1.(8)     Studzienki spadowe (lipiec 1980)</w:t>
            </w:r>
          </w:p>
          <w:p w14:paraId="7493ABC8"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KB4-4.12.1.(11)   Studzienki ślepe (lipiec 1980)</w:t>
            </w:r>
          </w:p>
          <w:p w14:paraId="60320DE4"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KB4-3.3.1.10.(1)  Studzienki ściekowe do odwodnienia dróg (październik 1983)</w:t>
            </w:r>
          </w:p>
          <w:p w14:paraId="7B4BD5F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KB1-22.2.6.(6)     Kręgi betonowe średnicy 50 cm; wysokości 30 lub  60 cm</w:t>
            </w:r>
          </w:p>
        </w:tc>
      </w:tr>
      <w:tr w:rsidR="00242468" w:rsidRPr="006431C4" w14:paraId="15775BCB" w14:textId="77777777" w:rsidTr="00695EA6">
        <w:tc>
          <w:tcPr>
            <w:tcW w:w="496" w:type="dxa"/>
          </w:tcPr>
          <w:p w14:paraId="7A06BBD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23.</w:t>
            </w:r>
          </w:p>
        </w:tc>
        <w:tc>
          <w:tcPr>
            <w:tcW w:w="10277" w:type="dxa"/>
          </w:tcPr>
          <w:p w14:paraId="6F61C960"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„Katalog powtarzalnych elementów drogowych”. „Transprojekt” - Warszawa,                1979-1982 r.</w:t>
            </w:r>
          </w:p>
        </w:tc>
      </w:tr>
      <w:tr w:rsidR="00242468" w:rsidRPr="006431C4" w14:paraId="14B0ECA1" w14:textId="77777777" w:rsidTr="00695EA6">
        <w:tc>
          <w:tcPr>
            <w:tcW w:w="496" w:type="dxa"/>
          </w:tcPr>
          <w:p w14:paraId="1F092E39"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24.</w:t>
            </w:r>
          </w:p>
        </w:tc>
        <w:tc>
          <w:tcPr>
            <w:tcW w:w="10277" w:type="dxa"/>
          </w:tcPr>
          <w:p w14:paraId="3E3F126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Tymczasowa instrukcja projektowania i budowy przewodów kanalizacyjnych z rur „Wipro”, Centrum Techniki Komunalnej,  1978 r.</w:t>
            </w:r>
          </w:p>
        </w:tc>
      </w:tr>
      <w:tr w:rsidR="00242468" w:rsidRPr="006431C4" w14:paraId="3A8B9BC6" w14:textId="77777777" w:rsidTr="00695EA6">
        <w:tc>
          <w:tcPr>
            <w:tcW w:w="496" w:type="dxa"/>
          </w:tcPr>
          <w:p w14:paraId="6272AAB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25.</w:t>
            </w:r>
          </w:p>
        </w:tc>
        <w:tc>
          <w:tcPr>
            <w:tcW w:w="10277" w:type="dxa"/>
          </w:tcPr>
          <w:p w14:paraId="640BFA3B"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 xml:space="preserve">Wytyczne eksploatacyjne do projektowania sieci i urządzeń sieciowych, wodociągowych i kanalizacyjnych, BPC </w:t>
            </w:r>
            <w:r w:rsidRPr="006431C4">
              <w:rPr>
                <w:rFonts w:ascii="Arial" w:hAnsi="Arial" w:cs="Arial"/>
                <w:sz w:val="20"/>
              </w:rPr>
              <w:lastRenderedPageBreak/>
              <w:t>WiK „Cewok” i BPBBO Miastoprojekt- Warszawa, zaakceptowane i zalecone do stosowania przez Zespół Doradczy ds. procesu inwestycyjnego powołany przez Prezydenta m.st. Warszawy -sierpień 1984 r.</w:t>
            </w:r>
          </w:p>
        </w:tc>
      </w:tr>
      <w:tr w:rsidR="00242468" w:rsidRPr="006431C4" w14:paraId="2AA1EE46" w14:textId="77777777" w:rsidTr="00695EA6">
        <w:tc>
          <w:tcPr>
            <w:tcW w:w="496" w:type="dxa"/>
          </w:tcPr>
          <w:p w14:paraId="18E3DBD1"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lastRenderedPageBreak/>
              <w:t>26.</w:t>
            </w:r>
          </w:p>
        </w:tc>
        <w:tc>
          <w:tcPr>
            <w:tcW w:w="10277" w:type="dxa"/>
          </w:tcPr>
          <w:p w14:paraId="78748F14" w14:textId="77777777" w:rsidR="00242468" w:rsidRPr="006431C4" w:rsidRDefault="00242468" w:rsidP="00BE2485">
            <w:pPr>
              <w:shd w:val="clear" w:color="auto" w:fill="FFFFFF" w:themeFill="background1"/>
              <w:tabs>
                <w:tab w:val="left" w:pos="142"/>
              </w:tabs>
              <w:spacing w:line="240" w:lineRule="auto"/>
              <w:jc w:val="both"/>
              <w:rPr>
                <w:rFonts w:cs="Arial"/>
                <w:szCs w:val="20"/>
              </w:rPr>
            </w:pPr>
            <w:r w:rsidRPr="006431C4">
              <w:rPr>
                <w:rFonts w:cs="Arial"/>
                <w:szCs w:val="20"/>
              </w:rPr>
              <w:t>Ustawa z dnia 16 kwietnia 2004 r. o wyrobach budowlanych ( Dz. U. nr 92, poz. 881)</w:t>
            </w:r>
          </w:p>
        </w:tc>
      </w:tr>
      <w:tr w:rsidR="00242468" w:rsidRPr="006431C4" w14:paraId="5F41967A" w14:textId="77777777" w:rsidTr="00695EA6">
        <w:tc>
          <w:tcPr>
            <w:tcW w:w="496" w:type="dxa"/>
          </w:tcPr>
          <w:p w14:paraId="213EBE96"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27.</w:t>
            </w:r>
          </w:p>
        </w:tc>
        <w:tc>
          <w:tcPr>
            <w:tcW w:w="10277" w:type="dxa"/>
          </w:tcPr>
          <w:p w14:paraId="7F223B15" w14:textId="77777777" w:rsidR="00242468" w:rsidRPr="006431C4" w:rsidRDefault="00242468" w:rsidP="00BE2485">
            <w:pPr>
              <w:shd w:val="clear" w:color="auto" w:fill="FFFFFF" w:themeFill="background1"/>
              <w:tabs>
                <w:tab w:val="left" w:pos="142"/>
              </w:tabs>
              <w:spacing w:line="240" w:lineRule="auto"/>
              <w:jc w:val="both"/>
              <w:rPr>
                <w:rFonts w:cs="Arial"/>
                <w:szCs w:val="20"/>
              </w:rPr>
            </w:pPr>
            <w:r w:rsidRPr="006431C4">
              <w:rPr>
                <w:rFonts w:cs="Arial"/>
                <w:szCs w:val="20"/>
              </w:rPr>
              <w:t>Rozporządzenie Ministra Infrastruktury z dn. 11 sierpnia 2004 r. w sprawie sposobów deklarowania zgodności wyrobów budowlanych oraz sposobu znakowania ich znakiem budowlanym (Dz. U. nr 198, poz. 2041)</w:t>
            </w:r>
          </w:p>
        </w:tc>
      </w:tr>
      <w:tr w:rsidR="00242468" w:rsidRPr="006431C4" w14:paraId="4D1FDA1D" w14:textId="77777777" w:rsidTr="00695EA6">
        <w:tc>
          <w:tcPr>
            <w:tcW w:w="496" w:type="dxa"/>
          </w:tcPr>
          <w:p w14:paraId="7236BE47" w14:textId="77777777" w:rsidR="00242468" w:rsidRPr="006431C4" w:rsidRDefault="00242468" w:rsidP="00BE2485">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28.</w:t>
            </w:r>
          </w:p>
        </w:tc>
        <w:tc>
          <w:tcPr>
            <w:tcW w:w="10277" w:type="dxa"/>
          </w:tcPr>
          <w:p w14:paraId="392EA294" w14:textId="77777777" w:rsidR="00242468" w:rsidRPr="006431C4" w:rsidRDefault="00242468" w:rsidP="00BE2485">
            <w:pPr>
              <w:shd w:val="clear" w:color="auto" w:fill="FFFFFF" w:themeFill="background1"/>
              <w:tabs>
                <w:tab w:val="left" w:pos="142"/>
              </w:tabs>
              <w:spacing w:line="240" w:lineRule="auto"/>
              <w:jc w:val="both"/>
              <w:rPr>
                <w:rFonts w:cs="Arial"/>
                <w:szCs w:val="20"/>
              </w:rPr>
            </w:pPr>
            <w:r w:rsidRPr="006431C4">
              <w:rPr>
                <w:rFonts w:cs="Arial"/>
                <w:szCs w:val="20"/>
              </w:rPr>
              <w:t>Rozporządzenie Ministra Infrastruktury z dn. 08 listopada 2004 r. w sprawie aprobat technicznych oraz jednostek organizacyjnych upoważnionych do ich wydawania (Dz. U. nr 249, poz. 2497)</w:t>
            </w:r>
          </w:p>
        </w:tc>
      </w:tr>
    </w:tbl>
    <w:p w14:paraId="630C2A24" w14:textId="77777777" w:rsidR="006A3D8E" w:rsidRPr="006A3D8E" w:rsidRDefault="006A3D8E" w:rsidP="006A3D8E">
      <w:pPr>
        <w:spacing w:line="240" w:lineRule="auto"/>
        <w:rPr>
          <w:rFonts w:cs="Arial"/>
          <w:szCs w:val="20"/>
        </w:rPr>
      </w:pPr>
    </w:p>
    <w:p w14:paraId="0A858B8A" w14:textId="086AE1F8" w:rsidR="0041264F" w:rsidRPr="006431C4" w:rsidRDefault="0041264F" w:rsidP="00BE2485">
      <w:pPr>
        <w:pStyle w:val="Nagwek4"/>
        <w:shd w:val="clear" w:color="auto" w:fill="FFFFFF" w:themeFill="background1"/>
        <w:spacing w:before="240" w:line="240" w:lineRule="auto"/>
        <w:jc w:val="both"/>
        <w:rPr>
          <w:rFonts w:cs="Arial"/>
        </w:rPr>
      </w:pPr>
      <w:bookmarkStart w:id="473" w:name="_Toc111635979"/>
      <w:r w:rsidRPr="006431C4">
        <w:rPr>
          <w:rFonts w:cs="Arial"/>
        </w:rPr>
        <w:t>D-04.03.01 – OCZYSZCZENIE I SKROPIENIE WARSTW KONSTRUKCYJNYCH</w:t>
      </w:r>
      <w:bookmarkEnd w:id="473"/>
    </w:p>
    <w:p w14:paraId="4046E1A8" w14:textId="77777777" w:rsidR="0041264F" w:rsidRPr="006431C4" w:rsidRDefault="0041264F" w:rsidP="00BE2485">
      <w:pPr>
        <w:keepNext/>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1. WSTĘP</w:t>
      </w:r>
    </w:p>
    <w:p w14:paraId="7A4BD088" w14:textId="77777777" w:rsidR="0041264F" w:rsidRPr="006431C4" w:rsidRDefault="0041264F" w:rsidP="00BE2485">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1.1. Przedmiot SST</w:t>
      </w:r>
    </w:p>
    <w:p w14:paraId="498BDDD4" w14:textId="77777777" w:rsidR="00AE7B31" w:rsidRPr="006431C4" w:rsidRDefault="00AE7B31" w:rsidP="00BE2485">
      <w:p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ab/>
      </w:r>
      <w:r w:rsidR="0041264F" w:rsidRPr="006431C4">
        <w:rPr>
          <w:rFonts w:cs="Arial"/>
          <w:szCs w:val="20"/>
        </w:rPr>
        <w:t>Przedmiotem niniejszej szczegóło</w:t>
      </w:r>
      <w:r w:rsidRPr="006431C4">
        <w:rPr>
          <w:rFonts w:cs="Arial"/>
          <w:szCs w:val="20"/>
        </w:rPr>
        <w:t>wej specyfikacji technicznej są wymagania dotyczące wykonania i odbioru robót związanych z oczyszczeniem i skropieniem warstw konstrukcyjnych nawierzchni.</w:t>
      </w:r>
    </w:p>
    <w:p w14:paraId="15C9E190" w14:textId="77777777" w:rsidR="0041264F" w:rsidRPr="006431C4" w:rsidRDefault="0041264F" w:rsidP="00BE2485">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1.2. Zakres stosowania SST</w:t>
      </w:r>
    </w:p>
    <w:p w14:paraId="7CDF1917" w14:textId="77777777" w:rsidR="0041264F" w:rsidRPr="006431C4" w:rsidRDefault="0041264F" w:rsidP="00BE2485">
      <w:pPr>
        <w:shd w:val="clear" w:color="auto" w:fill="FFFFFF" w:themeFill="background1"/>
        <w:tabs>
          <w:tab w:val="left" w:pos="142"/>
        </w:tabs>
        <w:spacing w:line="240" w:lineRule="auto"/>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1541817418"/>
        <w:placeholder>
          <w:docPart w:val="BB5F5E7632C648C38AE316D8B5593933"/>
        </w:placeholder>
        <w:dataBinding w:prefixMappings="xmlns:ns0='http://purl.org/dc/elements/1.1/' xmlns:ns1='http://schemas.openxmlformats.org/package/2006/metadata/core-properties' " w:xpath="/ns1:coreProperties[1]/ns0:subject[1]" w:storeItemID="{6C3C8BC8-F283-45AE-878A-BAB7291924A1}"/>
        <w:text/>
      </w:sdtPr>
      <w:sdtEndPr/>
      <w:sdtContent>
        <w:p w14:paraId="15D28803" w14:textId="3C7F3B84" w:rsidR="0041264F" w:rsidRPr="006431C4" w:rsidRDefault="00484E05" w:rsidP="00BE2485">
          <w:pPr>
            <w:shd w:val="clear" w:color="auto" w:fill="FFFFFF" w:themeFill="background1"/>
            <w:tabs>
              <w:tab w:val="left" w:pos="142"/>
            </w:tabs>
            <w:spacing w:line="240" w:lineRule="auto"/>
            <w:jc w:val="both"/>
            <w:rPr>
              <w:rFonts w:cs="Arial"/>
              <w:szCs w:val="20"/>
            </w:rPr>
          </w:pPr>
          <w:r>
            <w:rPr>
              <w:rFonts w:cs="Arial"/>
              <w:szCs w:val="20"/>
            </w:rPr>
            <w:t>„Przebudowa drogi wojewódzkiej nr 957 w miejscowości Jabłonka odc. referencyjny 100 w km 9+073.78 - 9+279.58 (budowa chodnika) "</w:t>
          </w:r>
        </w:p>
      </w:sdtContent>
    </w:sdt>
    <w:p w14:paraId="48B889EB" w14:textId="77777777" w:rsidR="0041264F" w:rsidRPr="006431C4" w:rsidRDefault="0041264F" w:rsidP="00BE2485">
      <w:pPr>
        <w:keepNext/>
        <w:shd w:val="clear" w:color="auto" w:fill="FFFFFF" w:themeFill="background1"/>
        <w:spacing w:line="240" w:lineRule="auto"/>
        <w:jc w:val="both"/>
        <w:outlineLvl w:val="1"/>
        <w:rPr>
          <w:rFonts w:cs="Arial"/>
          <w:b/>
          <w:bCs/>
        </w:rPr>
      </w:pPr>
      <w:r w:rsidRPr="006431C4">
        <w:rPr>
          <w:rFonts w:cs="Arial"/>
          <w:b/>
          <w:bCs/>
        </w:rPr>
        <w:t>1.3. Zakres robót objętych SST</w:t>
      </w:r>
    </w:p>
    <w:p w14:paraId="6A8FEA5D"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 xml:space="preserve">Ustalenia zawarte w niniejszej specyfikacji dotyczą zasad prowadzenia robót związanych z oczyszczeniem i skropieniem warstw konstrukcyjnych przed ułożeniem następnej warstwy nawierzchni. </w:t>
      </w:r>
    </w:p>
    <w:p w14:paraId="2E1EE480"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474" w:name="_Toc407069664"/>
      <w:bookmarkStart w:id="475" w:name="_Toc407081629"/>
      <w:bookmarkStart w:id="476" w:name="_Toc407081772"/>
      <w:bookmarkStart w:id="477" w:name="_Toc407083428"/>
      <w:bookmarkStart w:id="478" w:name="_Toc407084262"/>
      <w:bookmarkStart w:id="479" w:name="_Toc407085381"/>
      <w:bookmarkStart w:id="480" w:name="_Toc407085524"/>
      <w:bookmarkStart w:id="481" w:name="_Toc407085667"/>
      <w:bookmarkStart w:id="482" w:name="_Toc407086115"/>
      <w:r w:rsidRPr="006431C4">
        <w:rPr>
          <w:rFonts w:cs="Arial"/>
          <w:b/>
          <w:szCs w:val="20"/>
        </w:rPr>
        <w:t>1.4. Określenia podstawowe</w:t>
      </w:r>
      <w:bookmarkEnd w:id="474"/>
      <w:bookmarkEnd w:id="475"/>
      <w:bookmarkEnd w:id="476"/>
      <w:bookmarkEnd w:id="477"/>
      <w:bookmarkEnd w:id="478"/>
      <w:bookmarkEnd w:id="479"/>
      <w:bookmarkEnd w:id="480"/>
      <w:bookmarkEnd w:id="481"/>
      <w:bookmarkEnd w:id="482"/>
    </w:p>
    <w:p w14:paraId="7230DFDC"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Określenia podstawowe są zgodne z obowiązującymi, odpowiednimi polskimi normami i z definicjami podanymi w SST D-M-00.00.00 „Wymagania ogólne” pkt 1.4.</w:t>
      </w:r>
    </w:p>
    <w:p w14:paraId="5808E133"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483" w:name="_Toc407069665"/>
      <w:bookmarkStart w:id="484" w:name="_Toc407081630"/>
      <w:bookmarkStart w:id="485" w:name="_Toc407081773"/>
      <w:bookmarkStart w:id="486" w:name="_Toc407083429"/>
      <w:bookmarkStart w:id="487" w:name="_Toc407084263"/>
      <w:bookmarkStart w:id="488" w:name="_Toc407085382"/>
      <w:bookmarkStart w:id="489" w:name="_Toc407085525"/>
      <w:bookmarkStart w:id="490" w:name="_Toc407085668"/>
      <w:bookmarkStart w:id="491" w:name="_Toc407086116"/>
      <w:r w:rsidRPr="006431C4">
        <w:rPr>
          <w:rFonts w:cs="Arial"/>
          <w:b/>
          <w:szCs w:val="20"/>
        </w:rPr>
        <w:t>1.5. Ogólne wymagania dotyczące robót</w:t>
      </w:r>
      <w:bookmarkEnd w:id="483"/>
      <w:bookmarkEnd w:id="484"/>
      <w:bookmarkEnd w:id="485"/>
      <w:bookmarkEnd w:id="486"/>
      <w:bookmarkEnd w:id="487"/>
      <w:bookmarkEnd w:id="488"/>
      <w:bookmarkEnd w:id="489"/>
      <w:bookmarkEnd w:id="490"/>
      <w:bookmarkEnd w:id="491"/>
    </w:p>
    <w:p w14:paraId="67B4391E"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robót podano w SST D-M-00.00.00 „Wymagania ogólne” pkt 1.5.</w:t>
      </w:r>
    </w:p>
    <w:p w14:paraId="08001AB4"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492" w:name="_Toc407069666"/>
      <w:bookmarkStart w:id="493" w:name="_Toc407081631"/>
      <w:bookmarkStart w:id="494" w:name="_Toc407081774"/>
      <w:bookmarkStart w:id="495" w:name="_Toc407083430"/>
      <w:bookmarkStart w:id="496" w:name="_Toc407084264"/>
      <w:bookmarkStart w:id="497" w:name="_Toc407085383"/>
      <w:bookmarkStart w:id="498" w:name="_Toc407085526"/>
      <w:bookmarkStart w:id="499" w:name="_Toc407085669"/>
      <w:bookmarkStart w:id="500" w:name="_Toc407086117"/>
      <w:r w:rsidRPr="006431C4">
        <w:rPr>
          <w:rFonts w:cs="Arial"/>
          <w:b/>
          <w:szCs w:val="20"/>
        </w:rPr>
        <w:t>2. materiały</w:t>
      </w:r>
      <w:bookmarkEnd w:id="492"/>
      <w:bookmarkEnd w:id="493"/>
      <w:bookmarkEnd w:id="494"/>
      <w:bookmarkEnd w:id="495"/>
      <w:bookmarkEnd w:id="496"/>
      <w:bookmarkEnd w:id="497"/>
      <w:bookmarkEnd w:id="498"/>
      <w:bookmarkEnd w:id="499"/>
      <w:bookmarkEnd w:id="500"/>
    </w:p>
    <w:p w14:paraId="070D26F6"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01" w:name="_Toc407069667"/>
      <w:bookmarkStart w:id="502" w:name="_Toc407081632"/>
      <w:bookmarkStart w:id="503" w:name="_Toc407081775"/>
      <w:bookmarkStart w:id="504" w:name="_Toc407083431"/>
      <w:bookmarkStart w:id="505" w:name="_Toc407084265"/>
      <w:bookmarkStart w:id="506" w:name="_Toc407085384"/>
      <w:bookmarkStart w:id="507" w:name="_Toc407085527"/>
      <w:bookmarkStart w:id="508" w:name="_Toc407085670"/>
      <w:bookmarkStart w:id="509" w:name="_Toc407086118"/>
      <w:r w:rsidRPr="006431C4">
        <w:rPr>
          <w:rFonts w:cs="Arial"/>
          <w:b/>
          <w:szCs w:val="20"/>
        </w:rPr>
        <w:t>2.1. Ogólne wymagania dotyczące materiałów</w:t>
      </w:r>
      <w:bookmarkEnd w:id="501"/>
      <w:bookmarkEnd w:id="502"/>
      <w:bookmarkEnd w:id="503"/>
      <w:bookmarkEnd w:id="504"/>
      <w:bookmarkEnd w:id="505"/>
      <w:bookmarkEnd w:id="506"/>
      <w:bookmarkEnd w:id="507"/>
      <w:bookmarkEnd w:id="508"/>
      <w:bookmarkEnd w:id="509"/>
    </w:p>
    <w:p w14:paraId="1E9C6E5B"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materiałów, ich pozyskiwania i składowania, podano w SST D-M-00.00.00 „Wymagania ogólne” pkt 2.</w:t>
      </w:r>
    </w:p>
    <w:p w14:paraId="72425B5E"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10" w:name="_Toc407069668"/>
      <w:bookmarkStart w:id="511" w:name="_Toc407081633"/>
      <w:bookmarkStart w:id="512" w:name="_Toc407081776"/>
      <w:bookmarkStart w:id="513" w:name="_Toc407083432"/>
      <w:bookmarkStart w:id="514" w:name="_Toc407084266"/>
      <w:bookmarkStart w:id="515" w:name="_Toc407085385"/>
      <w:bookmarkStart w:id="516" w:name="_Toc407085528"/>
      <w:bookmarkStart w:id="517" w:name="_Toc407085671"/>
      <w:bookmarkStart w:id="518" w:name="_Toc407086119"/>
      <w:r w:rsidRPr="006431C4">
        <w:rPr>
          <w:rFonts w:cs="Arial"/>
          <w:b/>
          <w:szCs w:val="20"/>
        </w:rPr>
        <w:t>2.2. Rodzaje materiałów do wykonania skropienia</w:t>
      </w:r>
      <w:bookmarkEnd w:id="510"/>
      <w:bookmarkEnd w:id="511"/>
      <w:bookmarkEnd w:id="512"/>
      <w:bookmarkEnd w:id="513"/>
      <w:bookmarkEnd w:id="514"/>
      <w:bookmarkEnd w:id="515"/>
      <w:bookmarkEnd w:id="516"/>
      <w:bookmarkEnd w:id="517"/>
      <w:bookmarkEnd w:id="518"/>
    </w:p>
    <w:p w14:paraId="76B81BD5"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Materiałami stosowanymi przy skropieniu warstw konstrukcyjnych nawierzchni są:</w:t>
      </w:r>
    </w:p>
    <w:p w14:paraId="1010AFCB"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 do skropienia podbudowy nieasfaltowej:</w:t>
      </w:r>
    </w:p>
    <w:p w14:paraId="6B34CA7F"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kationowe emulsje średniorozpadowe wg WT.EmA-1994 [5],</w:t>
      </w:r>
    </w:p>
    <w:p w14:paraId="63495C7A"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upłynnione asfalty średnioodparowalne wg PN-C-96173 [3];</w:t>
      </w:r>
    </w:p>
    <w:p w14:paraId="106D955B"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b) do skropienia podbudów asfaltowych i warstw z mieszanek mineralno-asfaltowych:</w:t>
      </w:r>
    </w:p>
    <w:p w14:paraId="57078026"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kationowe emulsje szybkorozpadowe wg WT.EmA-1994 [5],</w:t>
      </w:r>
    </w:p>
    <w:p w14:paraId="55CC2591"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upłynnione asfalty szybkoodparowywalne wg PN-C-96173 [3],</w:t>
      </w:r>
    </w:p>
    <w:p w14:paraId="13CA1DDF"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asfalty drogowe D 200 lub D 300 wg PN-C-96170 [2], za zgodą Inżyniera.</w:t>
      </w:r>
    </w:p>
    <w:p w14:paraId="4BE8A098"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19" w:name="_Toc407069669"/>
      <w:bookmarkStart w:id="520" w:name="_Toc407081634"/>
      <w:bookmarkStart w:id="521" w:name="_Toc407081777"/>
      <w:bookmarkStart w:id="522" w:name="_Toc407083433"/>
      <w:bookmarkStart w:id="523" w:name="_Toc407084267"/>
      <w:bookmarkStart w:id="524" w:name="_Toc407085386"/>
      <w:bookmarkStart w:id="525" w:name="_Toc407085529"/>
      <w:bookmarkStart w:id="526" w:name="_Toc407085672"/>
      <w:bookmarkStart w:id="527" w:name="_Toc407086120"/>
      <w:r w:rsidRPr="006431C4">
        <w:rPr>
          <w:rFonts w:cs="Arial"/>
          <w:b/>
          <w:szCs w:val="20"/>
        </w:rPr>
        <w:t>2.3. Wymagania dla materiałów</w:t>
      </w:r>
      <w:bookmarkEnd w:id="519"/>
      <w:bookmarkEnd w:id="520"/>
      <w:bookmarkEnd w:id="521"/>
      <w:bookmarkEnd w:id="522"/>
      <w:bookmarkEnd w:id="523"/>
      <w:bookmarkEnd w:id="524"/>
      <w:bookmarkEnd w:id="525"/>
      <w:bookmarkEnd w:id="526"/>
      <w:bookmarkEnd w:id="527"/>
    </w:p>
    <w:p w14:paraId="3665C3FB"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Wymagania dla kationowej emulsji asfaltowej podano w EmA-94 [5].</w:t>
      </w:r>
    </w:p>
    <w:p w14:paraId="791C4913"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Wymagania dla asfaltów drogowych podano w PN-C-96170 [2].</w:t>
      </w:r>
    </w:p>
    <w:p w14:paraId="4D2C5663"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28" w:name="_Toc407069670"/>
      <w:bookmarkStart w:id="529" w:name="_Toc407081635"/>
      <w:bookmarkStart w:id="530" w:name="_Toc407081778"/>
      <w:bookmarkStart w:id="531" w:name="_Toc407083434"/>
      <w:bookmarkStart w:id="532" w:name="_Toc407084268"/>
      <w:bookmarkStart w:id="533" w:name="_Toc407085387"/>
      <w:bookmarkStart w:id="534" w:name="_Toc407085530"/>
      <w:bookmarkStart w:id="535" w:name="_Toc407085673"/>
      <w:bookmarkStart w:id="536" w:name="_Toc407086121"/>
      <w:r w:rsidRPr="006431C4">
        <w:rPr>
          <w:rFonts w:cs="Arial"/>
          <w:b/>
          <w:szCs w:val="20"/>
        </w:rPr>
        <w:t>2.4. Zużycie lepiszczy do skropienia</w:t>
      </w:r>
      <w:bookmarkEnd w:id="528"/>
      <w:bookmarkEnd w:id="529"/>
      <w:bookmarkEnd w:id="530"/>
      <w:bookmarkEnd w:id="531"/>
      <w:bookmarkEnd w:id="532"/>
      <w:bookmarkEnd w:id="533"/>
      <w:bookmarkEnd w:id="534"/>
      <w:bookmarkEnd w:id="535"/>
      <w:bookmarkEnd w:id="536"/>
    </w:p>
    <w:p w14:paraId="38FAF0CD"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Orientacyjne zużycie lepiszczy do skropienia warstw konstrukcyjnych nawierzchni podano w tablicy 1.</w:t>
      </w:r>
    </w:p>
    <w:p w14:paraId="0DF4C457"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Tablica 1. Orientacyjne zużycie lepiszczy do skropienia warstw konstrukcyjnych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252"/>
        <w:gridCol w:w="2762"/>
      </w:tblGrid>
      <w:tr w:rsidR="00AE7B31" w:rsidRPr="006431C4" w14:paraId="244BEFFA" w14:textId="77777777" w:rsidTr="00AE7B31">
        <w:tc>
          <w:tcPr>
            <w:tcW w:w="496" w:type="dxa"/>
            <w:tcBorders>
              <w:bottom w:val="double" w:sz="6" w:space="0" w:color="auto"/>
            </w:tcBorders>
          </w:tcPr>
          <w:p w14:paraId="021CE53F"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Lp.</w:t>
            </w:r>
          </w:p>
        </w:tc>
        <w:tc>
          <w:tcPr>
            <w:tcW w:w="4252" w:type="dxa"/>
            <w:tcBorders>
              <w:bottom w:val="double" w:sz="6" w:space="0" w:color="auto"/>
            </w:tcBorders>
          </w:tcPr>
          <w:p w14:paraId="299358BC"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Rodzaj lepiszcza</w:t>
            </w:r>
          </w:p>
        </w:tc>
        <w:tc>
          <w:tcPr>
            <w:tcW w:w="2762" w:type="dxa"/>
            <w:tcBorders>
              <w:bottom w:val="double" w:sz="6" w:space="0" w:color="auto"/>
            </w:tcBorders>
          </w:tcPr>
          <w:p w14:paraId="14BFFCA5"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Zużycie (kg/m</w:t>
            </w:r>
            <w:r w:rsidRPr="006431C4">
              <w:rPr>
                <w:rFonts w:cs="Arial"/>
                <w:szCs w:val="20"/>
                <w:vertAlign w:val="superscript"/>
              </w:rPr>
              <w:t>2</w:t>
            </w:r>
            <w:r w:rsidRPr="006431C4">
              <w:rPr>
                <w:rFonts w:cs="Arial"/>
                <w:szCs w:val="20"/>
              </w:rPr>
              <w:t>)</w:t>
            </w:r>
          </w:p>
        </w:tc>
      </w:tr>
      <w:tr w:rsidR="00AE7B31" w:rsidRPr="006431C4" w14:paraId="2CEC8BE0" w14:textId="77777777" w:rsidTr="00AE7B31">
        <w:tc>
          <w:tcPr>
            <w:tcW w:w="496" w:type="dxa"/>
            <w:tcBorders>
              <w:top w:val="nil"/>
            </w:tcBorders>
          </w:tcPr>
          <w:p w14:paraId="10421FD7"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1</w:t>
            </w:r>
          </w:p>
          <w:p w14:paraId="53CC42A9"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4252" w:type="dxa"/>
            <w:tcBorders>
              <w:top w:val="nil"/>
            </w:tcBorders>
          </w:tcPr>
          <w:p w14:paraId="5E263924"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Emulsja asfaltowa kationowa</w:t>
            </w:r>
          </w:p>
          <w:p w14:paraId="7B6AFB8E"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Asfalt drogowy D 200, D 300</w:t>
            </w:r>
          </w:p>
        </w:tc>
        <w:tc>
          <w:tcPr>
            <w:tcW w:w="2762" w:type="dxa"/>
            <w:tcBorders>
              <w:top w:val="nil"/>
            </w:tcBorders>
          </w:tcPr>
          <w:p w14:paraId="524182DA"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od 0,4  do  1,2</w:t>
            </w:r>
          </w:p>
          <w:p w14:paraId="3645C03C"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od 0,4  do  0,6</w:t>
            </w:r>
          </w:p>
        </w:tc>
      </w:tr>
    </w:tbl>
    <w:p w14:paraId="09BECE32" w14:textId="77777777" w:rsidR="00AE7B31" w:rsidRPr="006431C4" w:rsidRDefault="00AE7B31" w:rsidP="00BE2485">
      <w:pPr>
        <w:shd w:val="clear" w:color="auto" w:fill="FFFFFF" w:themeFill="background1"/>
        <w:tabs>
          <w:tab w:val="left" w:pos="142"/>
        </w:tabs>
        <w:spacing w:line="240" w:lineRule="auto"/>
        <w:jc w:val="both"/>
        <w:rPr>
          <w:rFonts w:cs="Arial"/>
          <w:szCs w:val="20"/>
        </w:rPr>
      </w:pPr>
    </w:p>
    <w:p w14:paraId="77F90204"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Dokładne zużycie lepiszczy powinno być ustalone w zależności od rodzaju warstwy i stanu jej powierzchni i zaakceptowane przez Inżyniera.</w:t>
      </w:r>
    </w:p>
    <w:p w14:paraId="26CF59F4"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37" w:name="_Toc407069671"/>
      <w:bookmarkStart w:id="538" w:name="_Toc407081636"/>
      <w:bookmarkStart w:id="539" w:name="_Toc407081779"/>
      <w:bookmarkStart w:id="540" w:name="_Toc407083435"/>
      <w:bookmarkStart w:id="541" w:name="_Toc407084269"/>
      <w:bookmarkStart w:id="542" w:name="_Toc407085388"/>
      <w:bookmarkStart w:id="543" w:name="_Toc407085531"/>
      <w:bookmarkStart w:id="544" w:name="_Toc407085674"/>
      <w:bookmarkStart w:id="545" w:name="_Toc407086122"/>
      <w:r w:rsidRPr="006431C4">
        <w:rPr>
          <w:rFonts w:cs="Arial"/>
          <w:b/>
          <w:szCs w:val="20"/>
        </w:rPr>
        <w:t>2.5. Składowanie lepiszczy</w:t>
      </w:r>
      <w:bookmarkEnd w:id="537"/>
      <w:bookmarkEnd w:id="538"/>
      <w:bookmarkEnd w:id="539"/>
      <w:bookmarkEnd w:id="540"/>
      <w:bookmarkEnd w:id="541"/>
      <w:bookmarkEnd w:id="542"/>
      <w:bookmarkEnd w:id="543"/>
      <w:bookmarkEnd w:id="544"/>
      <w:bookmarkEnd w:id="545"/>
    </w:p>
    <w:p w14:paraId="7BBA9AE9"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Warunki przechowywania nie mogą powodować utraty cech lepiszcza i obniżenia jego jakości.</w:t>
      </w:r>
    </w:p>
    <w:p w14:paraId="40D5E277"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14:paraId="685DD8F4"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Emulsję można magazynować w opakowaniach transportowych lub stacjonarnych zbiornikach pionowych z nalewaniem od dna.</w:t>
      </w:r>
    </w:p>
    <w:p w14:paraId="7358EDCA"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Nie należy stosować zbiornika walcowego leżącego, ze względu na tworzenie się na dużej powierzchni cieczy „kożucha” asfaltowego zatykającego później przewody.</w:t>
      </w:r>
    </w:p>
    <w:p w14:paraId="35A766D4"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Przy przechowywaniu emulsji asfaltowej należy przestrzegać zasad ustalonych przez producenta.</w:t>
      </w:r>
    </w:p>
    <w:p w14:paraId="7220A403"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46" w:name="_Toc407069672"/>
      <w:bookmarkStart w:id="547" w:name="_Toc407081637"/>
      <w:bookmarkStart w:id="548" w:name="_Toc407081780"/>
      <w:bookmarkStart w:id="549" w:name="_Toc407083436"/>
      <w:bookmarkStart w:id="550" w:name="_Toc407084270"/>
      <w:bookmarkStart w:id="551" w:name="_Toc407085389"/>
      <w:bookmarkStart w:id="552" w:name="_Toc407085532"/>
      <w:bookmarkStart w:id="553" w:name="_Toc407085675"/>
      <w:bookmarkStart w:id="554" w:name="_Toc407086123"/>
      <w:r w:rsidRPr="006431C4">
        <w:rPr>
          <w:rFonts w:cs="Arial"/>
          <w:b/>
          <w:szCs w:val="20"/>
        </w:rPr>
        <w:t>3. sprzęt</w:t>
      </w:r>
      <w:bookmarkEnd w:id="546"/>
      <w:bookmarkEnd w:id="547"/>
      <w:bookmarkEnd w:id="548"/>
      <w:bookmarkEnd w:id="549"/>
      <w:bookmarkEnd w:id="550"/>
      <w:bookmarkEnd w:id="551"/>
      <w:bookmarkEnd w:id="552"/>
      <w:bookmarkEnd w:id="553"/>
      <w:bookmarkEnd w:id="554"/>
    </w:p>
    <w:p w14:paraId="6940EE7D"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55" w:name="_Toc407069673"/>
      <w:bookmarkStart w:id="556" w:name="_Toc407081638"/>
      <w:bookmarkStart w:id="557" w:name="_Toc407081781"/>
      <w:bookmarkStart w:id="558" w:name="_Toc407083437"/>
      <w:bookmarkStart w:id="559" w:name="_Toc407084271"/>
      <w:bookmarkStart w:id="560" w:name="_Toc407085390"/>
      <w:bookmarkStart w:id="561" w:name="_Toc407085533"/>
      <w:bookmarkStart w:id="562" w:name="_Toc407085676"/>
      <w:bookmarkStart w:id="563" w:name="_Toc407086124"/>
      <w:r w:rsidRPr="006431C4">
        <w:rPr>
          <w:rFonts w:cs="Arial"/>
          <w:b/>
          <w:szCs w:val="20"/>
        </w:rPr>
        <w:lastRenderedPageBreak/>
        <w:t>3.1. Ogólne wymagania dotyczące sprzętu</w:t>
      </w:r>
      <w:bookmarkEnd w:id="555"/>
      <w:bookmarkEnd w:id="556"/>
      <w:bookmarkEnd w:id="557"/>
      <w:bookmarkEnd w:id="558"/>
      <w:bookmarkEnd w:id="559"/>
      <w:bookmarkEnd w:id="560"/>
      <w:bookmarkEnd w:id="561"/>
      <w:bookmarkEnd w:id="562"/>
      <w:bookmarkEnd w:id="563"/>
    </w:p>
    <w:p w14:paraId="7B0A24B9"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sprzętu podano w SST D-M-00.00.00 „Wymagania ogólne” pkt 3.</w:t>
      </w:r>
    </w:p>
    <w:p w14:paraId="4F2FBBF3"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64" w:name="_Toc407069674"/>
      <w:bookmarkStart w:id="565" w:name="_Toc407081639"/>
      <w:bookmarkStart w:id="566" w:name="_Toc407081782"/>
      <w:bookmarkStart w:id="567" w:name="_Toc407083438"/>
      <w:bookmarkStart w:id="568" w:name="_Toc407084272"/>
      <w:bookmarkStart w:id="569" w:name="_Toc407085391"/>
      <w:bookmarkStart w:id="570" w:name="_Toc407085534"/>
      <w:bookmarkStart w:id="571" w:name="_Toc407085677"/>
      <w:bookmarkStart w:id="572" w:name="_Toc407086125"/>
      <w:r w:rsidRPr="006431C4">
        <w:rPr>
          <w:rFonts w:cs="Arial"/>
          <w:b/>
          <w:szCs w:val="20"/>
        </w:rPr>
        <w:t>3.2. Sprzęt do oczyszczania warstw nawierzchni</w:t>
      </w:r>
      <w:bookmarkEnd w:id="564"/>
      <w:bookmarkEnd w:id="565"/>
      <w:bookmarkEnd w:id="566"/>
      <w:bookmarkEnd w:id="567"/>
      <w:bookmarkEnd w:id="568"/>
      <w:bookmarkEnd w:id="569"/>
      <w:bookmarkEnd w:id="570"/>
      <w:bookmarkEnd w:id="571"/>
      <w:bookmarkEnd w:id="572"/>
    </w:p>
    <w:p w14:paraId="754A4519"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Wykonawca przystępujący do oczyszczania warstw nawierzchni, powinien wykazać się możliwością korzystania z następującego sprzętu:</w:t>
      </w:r>
    </w:p>
    <w:p w14:paraId="3D49B888"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 xml:space="preserve">szczotek mechanicznych,              </w:t>
      </w:r>
    </w:p>
    <w:p w14:paraId="50391B56"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14:paraId="39DA9B98"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sprężarek,</w:t>
      </w:r>
    </w:p>
    <w:p w14:paraId="128FD889"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zbiorników z wodą,</w:t>
      </w:r>
    </w:p>
    <w:p w14:paraId="3372A9BB"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szczotek ręcznych.</w:t>
      </w:r>
    </w:p>
    <w:p w14:paraId="50E639FB"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73" w:name="_Toc407069675"/>
      <w:bookmarkStart w:id="574" w:name="_Toc407081640"/>
      <w:bookmarkStart w:id="575" w:name="_Toc407081783"/>
      <w:bookmarkStart w:id="576" w:name="_Toc407083439"/>
      <w:bookmarkStart w:id="577" w:name="_Toc407084273"/>
      <w:bookmarkStart w:id="578" w:name="_Toc407085392"/>
      <w:bookmarkStart w:id="579" w:name="_Toc407085535"/>
      <w:bookmarkStart w:id="580" w:name="_Toc407085678"/>
      <w:bookmarkStart w:id="581" w:name="_Toc407086126"/>
      <w:r w:rsidRPr="006431C4">
        <w:rPr>
          <w:rFonts w:cs="Arial"/>
          <w:b/>
          <w:szCs w:val="20"/>
        </w:rPr>
        <w:t>3.3. Sprzęt do skrapiania warstw nawierzchni</w:t>
      </w:r>
      <w:bookmarkEnd w:id="573"/>
      <w:bookmarkEnd w:id="574"/>
      <w:bookmarkEnd w:id="575"/>
      <w:bookmarkEnd w:id="576"/>
      <w:bookmarkEnd w:id="577"/>
      <w:bookmarkEnd w:id="578"/>
      <w:bookmarkEnd w:id="579"/>
      <w:bookmarkEnd w:id="580"/>
      <w:bookmarkEnd w:id="581"/>
    </w:p>
    <w:p w14:paraId="2B4B443A"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Do skrapiania warstw nawierzchni należy używać skrapiarkę lepiszcza. Skrapiarka powinna być wyposażona w urządzenia pomiarowo-kontrolne pozwalające na sprawdzanie i regulowanie następujących parametrów:</w:t>
      </w:r>
    </w:p>
    <w:p w14:paraId="01852A15"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temperatury rozkładanego lepiszcza,</w:t>
      </w:r>
    </w:p>
    <w:p w14:paraId="6CAC2644"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ciśnienia lepiszcza w kolektorze,</w:t>
      </w:r>
    </w:p>
    <w:p w14:paraId="2344F937"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obrotów pompy dozującej lepiszcze,</w:t>
      </w:r>
    </w:p>
    <w:p w14:paraId="28197166"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prędkości poruszania się skrapiarki,</w:t>
      </w:r>
    </w:p>
    <w:p w14:paraId="7320154B"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wysokości i długości kolektora do rozkładania lepiszcza,</w:t>
      </w:r>
    </w:p>
    <w:p w14:paraId="30DDC3C6"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dozatora lepiszcza.</w:t>
      </w:r>
    </w:p>
    <w:p w14:paraId="46AC6190"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Zbiornik na lepiszcze skrapiarki powinien być izolowany termicznie tak, aby było możliwe zachowanie stałej temperatury lepiszcza.</w:t>
      </w:r>
    </w:p>
    <w:p w14:paraId="5E27BAF6"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Wykonawca powinien posiadać aktualne świadectwo cechowania skrapiarki.</w:t>
      </w:r>
    </w:p>
    <w:p w14:paraId="353C4D8E"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 xml:space="preserve">Skrapiarka powinna zapewnić rozkładanie lepiszcza z tolerancją </w:t>
      </w:r>
      <w:r w:rsidRPr="006431C4">
        <w:rPr>
          <w:rFonts w:cs="Arial"/>
          <w:szCs w:val="20"/>
        </w:rPr>
        <w:sym w:font="Symbol" w:char="F0B1"/>
      </w:r>
      <w:r w:rsidRPr="006431C4">
        <w:rPr>
          <w:rFonts w:cs="Arial"/>
          <w:szCs w:val="20"/>
        </w:rPr>
        <w:t xml:space="preserve"> 10% od ilości założonej.</w:t>
      </w:r>
    </w:p>
    <w:p w14:paraId="6578006C"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82" w:name="_Toc407069676"/>
      <w:bookmarkStart w:id="583" w:name="_Toc407081641"/>
      <w:bookmarkStart w:id="584" w:name="_Toc407081784"/>
      <w:bookmarkStart w:id="585" w:name="_Toc407083440"/>
      <w:bookmarkStart w:id="586" w:name="_Toc407084274"/>
      <w:bookmarkStart w:id="587" w:name="_Toc407085393"/>
      <w:bookmarkStart w:id="588" w:name="_Toc407085536"/>
      <w:bookmarkStart w:id="589" w:name="_Toc407085679"/>
      <w:bookmarkStart w:id="590" w:name="_Toc407086127"/>
      <w:r w:rsidRPr="006431C4">
        <w:rPr>
          <w:rFonts w:cs="Arial"/>
          <w:b/>
          <w:szCs w:val="20"/>
        </w:rPr>
        <w:t>4. transport</w:t>
      </w:r>
      <w:bookmarkEnd w:id="582"/>
      <w:bookmarkEnd w:id="583"/>
      <w:bookmarkEnd w:id="584"/>
      <w:bookmarkEnd w:id="585"/>
      <w:bookmarkEnd w:id="586"/>
      <w:bookmarkEnd w:id="587"/>
      <w:bookmarkEnd w:id="588"/>
      <w:bookmarkEnd w:id="589"/>
      <w:bookmarkEnd w:id="590"/>
    </w:p>
    <w:p w14:paraId="47B52625"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591" w:name="_Toc407069677"/>
      <w:bookmarkStart w:id="592" w:name="_Toc407081642"/>
      <w:bookmarkStart w:id="593" w:name="_Toc407081785"/>
      <w:bookmarkStart w:id="594" w:name="_Toc407083441"/>
      <w:bookmarkStart w:id="595" w:name="_Toc407084275"/>
      <w:bookmarkStart w:id="596" w:name="_Toc407085394"/>
      <w:bookmarkStart w:id="597" w:name="_Toc407085537"/>
      <w:bookmarkStart w:id="598" w:name="_Toc407085680"/>
      <w:bookmarkStart w:id="599" w:name="_Toc407086128"/>
      <w:r w:rsidRPr="006431C4">
        <w:rPr>
          <w:rFonts w:cs="Arial"/>
          <w:b/>
          <w:szCs w:val="20"/>
        </w:rPr>
        <w:t>4.1. Ogólne wymagania dotyczące transportu</w:t>
      </w:r>
      <w:bookmarkEnd w:id="591"/>
      <w:bookmarkEnd w:id="592"/>
      <w:bookmarkEnd w:id="593"/>
      <w:bookmarkEnd w:id="594"/>
      <w:bookmarkEnd w:id="595"/>
      <w:bookmarkEnd w:id="596"/>
      <w:bookmarkEnd w:id="597"/>
      <w:bookmarkEnd w:id="598"/>
      <w:bookmarkEnd w:id="599"/>
    </w:p>
    <w:p w14:paraId="0B853D66"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transportu podano w SST D-M-00.00.00 „Wymagania ogólne” pkt 4.</w:t>
      </w:r>
    </w:p>
    <w:p w14:paraId="1191315F"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00" w:name="_Toc407069678"/>
      <w:bookmarkStart w:id="601" w:name="_Toc407081643"/>
      <w:bookmarkStart w:id="602" w:name="_Toc407081786"/>
      <w:bookmarkStart w:id="603" w:name="_Toc407083442"/>
      <w:bookmarkStart w:id="604" w:name="_Toc407084276"/>
      <w:bookmarkStart w:id="605" w:name="_Toc407085395"/>
      <w:bookmarkStart w:id="606" w:name="_Toc407085538"/>
      <w:bookmarkStart w:id="607" w:name="_Toc407085681"/>
      <w:bookmarkStart w:id="608" w:name="_Toc407086129"/>
      <w:r w:rsidRPr="006431C4">
        <w:rPr>
          <w:rFonts w:cs="Arial"/>
          <w:b/>
          <w:szCs w:val="20"/>
        </w:rPr>
        <w:t>4.2. Transport lepiszczy</w:t>
      </w:r>
      <w:bookmarkEnd w:id="600"/>
      <w:bookmarkEnd w:id="601"/>
      <w:bookmarkEnd w:id="602"/>
      <w:bookmarkEnd w:id="603"/>
      <w:bookmarkEnd w:id="604"/>
      <w:bookmarkEnd w:id="605"/>
      <w:bookmarkEnd w:id="606"/>
      <w:bookmarkEnd w:id="607"/>
      <w:bookmarkEnd w:id="608"/>
    </w:p>
    <w:p w14:paraId="0A1FCFA6"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Asfalty mogą być transportowane w cysternach kolejowych lub samochodowych, posiadających izolację termiczną, zaopatrzonych w urządzenia grzewcze, zawory spustowe i zabezpieczonych przed dostępem wody.</w:t>
      </w:r>
    </w:p>
    <w:p w14:paraId="016DC762"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w:t>
      </w:r>
      <w:r w:rsidRPr="006431C4">
        <w:rPr>
          <w:rFonts w:cs="Arial"/>
          <w:szCs w:val="20"/>
          <w:vertAlign w:val="superscript"/>
        </w:rPr>
        <w:t>3</w:t>
      </w:r>
      <w:r w:rsidRPr="006431C4">
        <w:rPr>
          <w:rFonts w:cs="Arial"/>
          <w:szCs w:val="20"/>
        </w:rPr>
        <w:t>, a każda przegroda powinna mieć wykroje w dnie umożliwiające przepływ emulsji. Cysterny, pojemniki i zbiorniki przeznaczone do transportu lub składowania emulsji powinny być czyste i nie powinny zawierać resztek innych lepiszczy.</w:t>
      </w:r>
    </w:p>
    <w:p w14:paraId="6B86B74B"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09" w:name="_Toc407069679"/>
      <w:bookmarkStart w:id="610" w:name="_Toc407081644"/>
      <w:bookmarkStart w:id="611" w:name="_Toc407081787"/>
      <w:bookmarkStart w:id="612" w:name="_Toc407083443"/>
      <w:bookmarkStart w:id="613" w:name="_Toc407084277"/>
      <w:bookmarkStart w:id="614" w:name="_Toc407085396"/>
      <w:bookmarkStart w:id="615" w:name="_Toc407085539"/>
      <w:bookmarkStart w:id="616" w:name="_Toc407085682"/>
      <w:bookmarkStart w:id="617" w:name="_Toc407086130"/>
      <w:r w:rsidRPr="006431C4">
        <w:rPr>
          <w:rFonts w:cs="Arial"/>
          <w:b/>
          <w:szCs w:val="20"/>
        </w:rPr>
        <w:t>5. wykonanie robót</w:t>
      </w:r>
      <w:bookmarkEnd w:id="609"/>
      <w:bookmarkEnd w:id="610"/>
      <w:bookmarkEnd w:id="611"/>
      <w:bookmarkEnd w:id="612"/>
      <w:bookmarkEnd w:id="613"/>
      <w:bookmarkEnd w:id="614"/>
      <w:bookmarkEnd w:id="615"/>
      <w:bookmarkEnd w:id="616"/>
      <w:bookmarkEnd w:id="617"/>
    </w:p>
    <w:p w14:paraId="2A329709"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18" w:name="_Toc407069680"/>
      <w:bookmarkStart w:id="619" w:name="_Toc407081645"/>
      <w:bookmarkStart w:id="620" w:name="_Toc407081788"/>
      <w:bookmarkStart w:id="621" w:name="_Toc407083444"/>
      <w:bookmarkStart w:id="622" w:name="_Toc407084278"/>
      <w:bookmarkStart w:id="623" w:name="_Toc407085397"/>
      <w:bookmarkStart w:id="624" w:name="_Toc407085540"/>
      <w:bookmarkStart w:id="625" w:name="_Toc407085683"/>
      <w:bookmarkStart w:id="626" w:name="_Toc407086131"/>
      <w:r w:rsidRPr="006431C4">
        <w:rPr>
          <w:rFonts w:cs="Arial"/>
          <w:b/>
          <w:szCs w:val="20"/>
        </w:rPr>
        <w:t>5.1. Ogólne zasady wykonania robót</w:t>
      </w:r>
      <w:bookmarkEnd w:id="618"/>
      <w:bookmarkEnd w:id="619"/>
      <w:bookmarkEnd w:id="620"/>
      <w:bookmarkEnd w:id="621"/>
      <w:bookmarkEnd w:id="622"/>
      <w:bookmarkEnd w:id="623"/>
      <w:bookmarkEnd w:id="624"/>
      <w:bookmarkEnd w:id="625"/>
      <w:bookmarkEnd w:id="626"/>
    </w:p>
    <w:p w14:paraId="71D8EABD"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Ogólne zasady wykonania robót podano w SST D-M-00.00.00 „Wymagania ogólne” pkt 5.</w:t>
      </w:r>
    </w:p>
    <w:p w14:paraId="29B256E3"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27" w:name="_Toc407069681"/>
      <w:bookmarkStart w:id="628" w:name="_Toc407081646"/>
      <w:bookmarkStart w:id="629" w:name="_Toc407081789"/>
      <w:bookmarkStart w:id="630" w:name="_Toc407083445"/>
      <w:bookmarkStart w:id="631" w:name="_Toc407084279"/>
      <w:bookmarkStart w:id="632" w:name="_Toc407085398"/>
      <w:bookmarkStart w:id="633" w:name="_Toc407085541"/>
      <w:bookmarkStart w:id="634" w:name="_Toc407085684"/>
      <w:bookmarkStart w:id="635" w:name="_Toc407086132"/>
      <w:r w:rsidRPr="006431C4">
        <w:rPr>
          <w:rFonts w:cs="Arial"/>
          <w:b/>
          <w:szCs w:val="20"/>
        </w:rPr>
        <w:t>5.2. Oczyszczenie warstw nawierzchni</w:t>
      </w:r>
      <w:bookmarkEnd w:id="627"/>
      <w:bookmarkEnd w:id="628"/>
      <w:bookmarkEnd w:id="629"/>
      <w:bookmarkEnd w:id="630"/>
      <w:bookmarkEnd w:id="631"/>
      <w:bookmarkEnd w:id="632"/>
      <w:bookmarkEnd w:id="633"/>
      <w:bookmarkEnd w:id="634"/>
      <w:bookmarkEnd w:id="635"/>
    </w:p>
    <w:p w14:paraId="39BC109E"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14:paraId="7ED6422E"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36" w:name="_Toc407069682"/>
      <w:bookmarkStart w:id="637" w:name="_Toc407081647"/>
      <w:bookmarkStart w:id="638" w:name="_Toc407081790"/>
      <w:bookmarkStart w:id="639" w:name="_Toc407083446"/>
      <w:bookmarkStart w:id="640" w:name="_Toc407084280"/>
      <w:bookmarkStart w:id="641" w:name="_Toc407085399"/>
      <w:bookmarkStart w:id="642" w:name="_Toc407085542"/>
      <w:bookmarkStart w:id="643" w:name="_Toc407085685"/>
      <w:bookmarkStart w:id="644" w:name="_Toc407086133"/>
      <w:r w:rsidRPr="006431C4">
        <w:rPr>
          <w:rFonts w:cs="Arial"/>
          <w:b/>
          <w:szCs w:val="20"/>
        </w:rPr>
        <w:t>5.3. Skropienie warstw nawierzchni</w:t>
      </w:r>
      <w:bookmarkEnd w:id="636"/>
      <w:bookmarkEnd w:id="637"/>
      <w:bookmarkEnd w:id="638"/>
      <w:bookmarkEnd w:id="639"/>
      <w:bookmarkEnd w:id="640"/>
      <w:bookmarkEnd w:id="641"/>
      <w:bookmarkEnd w:id="642"/>
      <w:bookmarkEnd w:id="643"/>
      <w:bookmarkEnd w:id="644"/>
    </w:p>
    <w:p w14:paraId="7CB5D52B"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Warstwa przed skropieniem powinna być oczyszczona.</w:t>
      </w:r>
    </w:p>
    <w:p w14:paraId="66BFD991"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Jeżeli do czyszczenia warstwy była używana woda, to skropienie lepiszczem może nastąpić dopiero po wyschnięciu warstwy, z wyjątkiem zastosowania emulsji, przy których nawierzchnia może być wilgotna.</w:t>
      </w:r>
    </w:p>
    <w:p w14:paraId="690A6EC2"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Skropienie warstwy może rozpocząć się po akceptacji przez Inżyniera jej oczyszczenia.</w:t>
      </w:r>
    </w:p>
    <w:p w14:paraId="5047F592"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Warstwa nawierzchni powinna być skrapiana lepiszczem przy użyciu skrapiarek, a w miejscach trudno dostępnych ręcznie (za pomocą węża z dyszą rozpryskową).</w:t>
      </w:r>
    </w:p>
    <w:p w14:paraId="73A4CDDC"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Temperatury lepiszczy powinny mieścić się w przedziałach podanych w tablicy 2.</w:t>
      </w:r>
    </w:p>
    <w:p w14:paraId="147A5960"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Tablica 2. Temperatury lepiszczy przy skrapianiu</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AE7B31" w:rsidRPr="006431C4" w14:paraId="213C7A42" w14:textId="77777777" w:rsidTr="00AE7B31">
        <w:tc>
          <w:tcPr>
            <w:tcW w:w="496" w:type="dxa"/>
            <w:tcBorders>
              <w:bottom w:val="double" w:sz="6" w:space="0" w:color="auto"/>
            </w:tcBorders>
          </w:tcPr>
          <w:p w14:paraId="34C37372"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Lp.</w:t>
            </w:r>
          </w:p>
        </w:tc>
        <w:tc>
          <w:tcPr>
            <w:tcW w:w="3507" w:type="dxa"/>
            <w:tcBorders>
              <w:bottom w:val="double" w:sz="6" w:space="0" w:color="auto"/>
            </w:tcBorders>
          </w:tcPr>
          <w:p w14:paraId="49309F66"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Rodzaj lepiszcza</w:t>
            </w:r>
          </w:p>
        </w:tc>
        <w:tc>
          <w:tcPr>
            <w:tcW w:w="3507" w:type="dxa"/>
            <w:tcBorders>
              <w:bottom w:val="double" w:sz="6" w:space="0" w:color="auto"/>
            </w:tcBorders>
          </w:tcPr>
          <w:p w14:paraId="695FF4BA"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Temperatury (</w:t>
            </w:r>
            <w:r w:rsidRPr="006431C4">
              <w:rPr>
                <w:rFonts w:cs="Arial"/>
                <w:szCs w:val="20"/>
                <w:vertAlign w:val="superscript"/>
              </w:rPr>
              <w:t>o</w:t>
            </w:r>
            <w:r w:rsidRPr="006431C4">
              <w:rPr>
                <w:rFonts w:cs="Arial"/>
                <w:szCs w:val="20"/>
              </w:rPr>
              <w:t>C)</w:t>
            </w:r>
          </w:p>
        </w:tc>
      </w:tr>
      <w:tr w:rsidR="00AE7B31" w:rsidRPr="006431C4" w14:paraId="4B39C1AC" w14:textId="77777777" w:rsidTr="00AE7B31">
        <w:tc>
          <w:tcPr>
            <w:tcW w:w="496" w:type="dxa"/>
            <w:tcBorders>
              <w:top w:val="nil"/>
            </w:tcBorders>
          </w:tcPr>
          <w:p w14:paraId="282B0507"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1</w:t>
            </w:r>
          </w:p>
          <w:p w14:paraId="156CA939"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2</w:t>
            </w:r>
          </w:p>
          <w:p w14:paraId="04A4B4B8"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3</w:t>
            </w:r>
          </w:p>
        </w:tc>
        <w:tc>
          <w:tcPr>
            <w:tcW w:w="3507" w:type="dxa"/>
            <w:tcBorders>
              <w:top w:val="nil"/>
            </w:tcBorders>
          </w:tcPr>
          <w:p w14:paraId="3DB5B57C"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Emulsja asfaltowa kationowa</w:t>
            </w:r>
          </w:p>
          <w:p w14:paraId="7F002A30" w14:textId="77777777" w:rsidR="00AE7B31" w:rsidRPr="006431C4" w:rsidRDefault="00AE7B31" w:rsidP="00BE2485">
            <w:pPr>
              <w:shd w:val="clear" w:color="auto" w:fill="FFFFFF" w:themeFill="background1"/>
              <w:tabs>
                <w:tab w:val="left" w:pos="142"/>
              </w:tabs>
              <w:spacing w:line="240" w:lineRule="auto"/>
              <w:jc w:val="both"/>
              <w:rPr>
                <w:rFonts w:cs="Arial"/>
                <w:szCs w:val="20"/>
                <w:lang w:val="de-DE"/>
              </w:rPr>
            </w:pPr>
            <w:r w:rsidRPr="006431C4">
              <w:rPr>
                <w:rFonts w:cs="Arial"/>
                <w:szCs w:val="20"/>
                <w:lang w:val="de-DE"/>
              </w:rPr>
              <w:t>Asfalt drogowy D 200</w:t>
            </w:r>
          </w:p>
          <w:p w14:paraId="445F72F7" w14:textId="77777777" w:rsidR="00AE7B31" w:rsidRPr="006431C4" w:rsidRDefault="00AE7B31" w:rsidP="00BE2485">
            <w:pPr>
              <w:shd w:val="clear" w:color="auto" w:fill="FFFFFF" w:themeFill="background1"/>
              <w:tabs>
                <w:tab w:val="left" w:pos="142"/>
              </w:tabs>
              <w:spacing w:line="240" w:lineRule="auto"/>
              <w:jc w:val="both"/>
              <w:rPr>
                <w:rFonts w:cs="Arial"/>
                <w:szCs w:val="20"/>
                <w:lang w:val="de-DE"/>
              </w:rPr>
            </w:pPr>
            <w:r w:rsidRPr="006431C4">
              <w:rPr>
                <w:rFonts w:cs="Arial"/>
                <w:szCs w:val="20"/>
                <w:lang w:val="de-DE"/>
              </w:rPr>
              <w:t>Asfalt drogowy D 300</w:t>
            </w:r>
          </w:p>
        </w:tc>
        <w:tc>
          <w:tcPr>
            <w:tcW w:w="3507" w:type="dxa"/>
            <w:tcBorders>
              <w:top w:val="nil"/>
            </w:tcBorders>
          </w:tcPr>
          <w:p w14:paraId="1CCA4D91" w14:textId="77777777" w:rsidR="00AE7B31" w:rsidRPr="006431C4" w:rsidRDefault="00AE7B31" w:rsidP="00BE2485">
            <w:pPr>
              <w:shd w:val="clear" w:color="auto" w:fill="FFFFFF" w:themeFill="background1"/>
              <w:tabs>
                <w:tab w:val="left" w:pos="142"/>
              </w:tabs>
              <w:spacing w:line="240" w:lineRule="auto"/>
              <w:jc w:val="both"/>
              <w:rPr>
                <w:rFonts w:cs="Arial"/>
                <w:szCs w:val="20"/>
                <w:u w:val="single"/>
                <w:vertAlign w:val="superscript"/>
              </w:rPr>
            </w:pPr>
            <w:r w:rsidRPr="006431C4">
              <w:rPr>
                <w:rFonts w:cs="Arial"/>
                <w:szCs w:val="20"/>
                <w:lang w:val="de-DE"/>
              </w:rPr>
              <w:t xml:space="preserve">   </w:t>
            </w:r>
            <w:r w:rsidRPr="006431C4">
              <w:rPr>
                <w:rFonts w:cs="Arial"/>
                <w:szCs w:val="20"/>
              </w:rPr>
              <w:t>od 20</w:t>
            </w:r>
            <w:r w:rsidRPr="006431C4">
              <w:rPr>
                <w:rFonts w:cs="Arial"/>
                <w:b/>
                <w:szCs w:val="20"/>
              </w:rPr>
              <w:t xml:space="preserve"> </w:t>
            </w:r>
            <w:r w:rsidRPr="006431C4">
              <w:rPr>
                <w:rFonts w:cs="Arial"/>
                <w:szCs w:val="20"/>
              </w:rPr>
              <w:t>do</w:t>
            </w:r>
            <w:r w:rsidRPr="006431C4">
              <w:rPr>
                <w:rFonts w:cs="Arial"/>
                <w:b/>
                <w:szCs w:val="20"/>
              </w:rPr>
              <w:t xml:space="preserve"> </w:t>
            </w:r>
            <w:r w:rsidRPr="006431C4">
              <w:rPr>
                <w:rFonts w:cs="Arial"/>
                <w:szCs w:val="20"/>
              </w:rPr>
              <w:t xml:space="preserve">40 </w:t>
            </w:r>
            <w:r w:rsidRPr="006431C4">
              <w:rPr>
                <w:rFonts w:cs="Arial"/>
                <w:szCs w:val="20"/>
                <w:vertAlign w:val="superscript"/>
              </w:rPr>
              <w:t>*)</w:t>
            </w:r>
          </w:p>
          <w:p w14:paraId="180E735E"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od 140 do 150</w:t>
            </w:r>
          </w:p>
          <w:p w14:paraId="7D6C9FC2"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od 130 do 140</w:t>
            </w:r>
          </w:p>
        </w:tc>
      </w:tr>
    </w:tbl>
    <w:p w14:paraId="01C7C86B"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 W razie potrzeby emulsję należy ogrzać do temperatury zapewniającej wymaganą lepkość.</w:t>
      </w:r>
    </w:p>
    <w:p w14:paraId="686057AF"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14:paraId="5310B1DD"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lastRenderedPageBreak/>
        <w:tab/>
        <w:t xml:space="preserve">Przed ułożeniem warstwy z mieszanki mineralno-bitumicznej Wykonawca powinien zabezpieczyć skropioną warstwę nawierzchni przed uszkodzeniem dopuszczając tylko niezbędny ruch budowlany. </w:t>
      </w:r>
    </w:p>
    <w:p w14:paraId="42843B3C"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45" w:name="_Toc407069683"/>
      <w:bookmarkStart w:id="646" w:name="_Toc407081648"/>
      <w:bookmarkStart w:id="647" w:name="_Toc407081791"/>
      <w:bookmarkStart w:id="648" w:name="_Toc407083447"/>
      <w:bookmarkStart w:id="649" w:name="_Toc407084281"/>
      <w:bookmarkStart w:id="650" w:name="_Toc407085400"/>
      <w:bookmarkStart w:id="651" w:name="_Toc407085543"/>
      <w:bookmarkStart w:id="652" w:name="_Toc407085686"/>
      <w:bookmarkStart w:id="653" w:name="_Toc407086134"/>
      <w:r w:rsidRPr="006431C4">
        <w:rPr>
          <w:rFonts w:cs="Arial"/>
          <w:b/>
          <w:szCs w:val="20"/>
        </w:rPr>
        <w:t>6. kontrola jakości robót</w:t>
      </w:r>
      <w:bookmarkEnd w:id="645"/>
      <w:bookmarkEnd w:id="646"/>
      <w:bookmarkEnd w:id="647"/>
      <w:bookmarkEnd w:id="648"/>
      <w:bookmarkEnd w:id="649"/>
      <w:bookmarkEnd w:id="650"/>
      <w:bookmarkEnd w:id="651"/>
      <w:bookmarkEnd w:id="652"/>
      <w:bookmarkEnd w:id="653"/>
    </w:p>
    <w:p w14:paraId="65E13F5E"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54" w:name="_Toc407069684"/>
      <w:bookmarkStart w:id="655" w:name="_Toc407081649"/>
      <w:bookmarkStart w:id="656" w:name="_Toc407081792"/>
      <w:bookmarkStart w:id="657" w:name="_Toc407083448"/>
      <w:bookmarkStart w:id="658" w:name="_Toc407084282"/>
      <w:bookmarkStart w:id="659" w:name="_Toc407085401"/>
      <w:bookmarkStart w:id="660" w:name="_Toc407085544"/>
      <w:bookmarkStart w:id="661" w:name="_Toc407085687"/>
      <w:bookmarkStart w:id="662" w:name="_Toc407086135"/>
      <w:r w:rsidRPr="006431C4">
        <w:rPr>
          <w:rFonts w:cs="Arial"/>
          <w:b/>
          <w:szCs w:val="20"/>
        </w:rPr>
        <w:t>6.1. Ogólne zasady kontroli jakości robót</w:t>
      </w:r>
      <w:bookmarkEnd w:id="654"/>
      <w:bookmarkEnd w:id="655"/>
      <w:bookmarkEnd w:id="656"/>
      <w:bookmarkEnd w:id="657"/>
      <w:bookmarkEnd w:id="658"/>
      <w:bookmarkEnd w:id="659"/>
      <w:bookmarkEnd w:id="660"/>
      <w:bookmarkEnd w:id="661"/>
      <w:bookmarkEnd w:id="662"/>
    </w:p>
    <w:p w14:paraId="0D48D96F"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Ogólne zasady kontroli jakości robót podano w SST D-M-00.00.00 „Wymagania ogólne” pkt 6.</w:t>
      </w:r>
    </w:p>
    <w:p w14:paraId="3ECA3A76"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63" w:name="_Toc407069685"/>
      <w:bookmarkStart w:id="664" w:name="_Toc407081650"/>
      <w:bookmarkStart w:id="665" w:name="_Toc407081793"/>
      <w:bookmarkStart w:id="666" w:name="_Toc407083449"/>
      <w:bookmarkStart w:id="667" w:name="_Toc407084283"/>
      <w:bookmarkStart w:id="668" w:name="_Toc407085402"/>
      <w:bookmarkStart w:id="669" w:name="_Toc407085545"/>
      <w:bookmarkStart w:id="670" w:name="_Toc407085688"/>
      <w:bookmarkStart w:id="671" w:name="_Toc407086136"/>
      <w:r w:rsidRPr="006431C4">
        <w:rPr>
          <w:rFonts w:cs="Arial"/>
          <w:b/>
          <w:szCs w:val="20"/>
        </w:rPr>
        <w:t>6.2. Badania przed przystąpieniem do robót</w:t>
      </w:r>
      <w:bookmarkEnd w:id="663"/>
      <w:bookmarkEnd w:id="664"/>
      <w:bookmarkEnd w:id="665"/>
      <w:bookmarkEnd w:id="666"/>
      <w:bookmarkEnd w:id="667"/>
      <w:bookmarkEnd w:id="668"/>
      <w:bookmarkEnd w:id="669"/>
      <w:bookmarkEnd w:id="670"/>
      <w:bookmarkEnd w:id="671"/>
    </w:p>
    <w:p w14:paraId="6F31911D"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14:paraId="5B98F3FA"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72" w:name="_Toc407069686"/>
      <w:bookmarkStart w:id="673" w:name="_Toc407081651"/>
      <w:bookmarkStart w:id="674" w:name="_Toc407081794"/>
      <w:bookmarkStart w:id="675" w:name="_Toc407083450"/>
      <w:bookmarkStart w:id="676" w:name="_Toc407084284"/>
      <w:bookmarkStart w:id="677" w:name="_Toc407085403"/>
      <w:bookmarkStart w:id="678" w:name="_Toc407085546"/>
      <w:bookmarkStart w:id="679" w:name="_Toc407085689"/>
      <w:bookmarkStart w:id="680" w:name="_Toc407086137"/>
      <w:r w:rsidRPr="006431C4">
        <w:rPr>
          <w:rFonts w:cs="Arial"/>
          <w:b/>
          <w:szCs w:val="20"/>
        </w:rPr>
        <w:t>6.3. Badania w czasie robót</w:t>
      </w:r>
      <w:bookmarkEnd w:id="672"/>
      <w:bookmarkEnd w:id="673"/>
      <w:bookmarkEnd w:id="674"/>
      <w:bookmarkEnd w:id="675"/>
      <w:bookmarkEnd w:id="676"/>
      <w:bookmarkEnd w:id="677"/>
      <w:bookmarkEnd w:id="678"/>
      <w:bookmarkEnd w:id="679"/>
      <w:bookmarkEnd w:id="680"/>
    </w:p>
    <w:p w14:paraId="15D4B423"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b/>
          <w:szCs w:val="20"/>
        </w:rPr>
        <w:t xml:space="preserve">6.3.1. </w:t>
      </w:r>
      <w:r w:rsidRPr="006431C4">
        <w:rPr>
          <w:rFonts w:cs="Arial"/>
          <w:szCs w:val="20"/>
        </w:rPr>
        <w:t>Badania lepiszczy</w:t>
      </w:r>
    </w:p>
    <w:p w14:paraId="1C0F4EED"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Ocena lepiszczy powinna być oparta na atestach producenta z tym, że Wykonawca powinien kontrolować dla każdej dostawy właściwości lepiszczy podane w tablicy 3.</w:t>
      </w:r>
    </w:p>
    <w:p w14:paraId="12539405"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Tablica 3. Właściwości lepiszczy kontrolowane w czasie robót</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2977"/>
        <w:gridCol w:w="2757"/>
        <w:gridCol w:w="2977"/>
      </w:tblGrid>
      <w:tr w:rsidR="00AE7B31" w:rsidRPr="006431C4" w14:paraId="0FF833CB" w14:textId="77777777" w:rsidTr="008F0AE8">
        <w:tc>
          <w:tcPr>
            <w:tcW w:w="637" w:type="dxa"/>
            <w:tcBorders>
              <w:bottom w:val="double" w:sz="6" w:space="0" w:color="auto"/>
            </w:tcBorders>
          </w:tcPr>
          <w:p w14:paraId="2B6246F4"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Lp.</w:t>
            </w:r>
          </w:p>
        </w:tc>
        <w:tc>
          <w:tcPr>
            <w:tcW w:w="2977" w:type="dxa"/>
            <w:tcBorders>
              <w:bottom w:val="double" w:sz="6" w:space="0" w:color="auto"/>
            </w:tcBorders>
          </w:tcPr>
          <w:p w14:paraId="7448CEE3"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Rodzaj lepiszcza</w:t>
            </w:r>
          </w:p>
        </w:tc>
        <w:tc>
          <w:tcPr>
            <w:tcW w:w="2757" w:type="dxa"/>
            <w:tcBorders>
              <w:bottom w:val="double" w:sz="6" w:space="0" w:color="auto"/>
            </w:tcBorders>
          </w:tcPr>
          <w:p w14:paraId="2835C8E9"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Kontrolowane właściwości</w:t>
            </w:r>
          </w:p>
        </w:tc>
        <w:tc>
          <w:tcPr>
            <w:tcW w:w="2977" w:type="dxa"/>
            <w:tcBorders>
              <w:bottom w:val="double" w:sz="6" w:space="0" w:color="auto"/>
            </w:tcBorders>
          </w:tcPr>
          <w:p w14:paraId="32696298"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Badanie</w:t>
            </w:r>
            <w:r w:rsidR="008F0AE8" w:rsidRPr="006431C4">
              <w:rPr>
                <w:rFonts w:cs="Arial"/>
                <w:szCs w:val="20"/>
              </w:rPr>
              <w:t xml:space="preserve"> </w:t>
            </w:r>
            <w:r w:rsidRPr="006431C4">
              <w:rPr>
                <w:rFonts w:cs="Arial"/>
                <w:szCs w:val="20"/>
              </w:rPr>
              <w:t>według normy</w:t>
            </w:r>
          </w:p>
        </w:tc>
      </w:tr>
      <w:tr w:rsidR="00AE7B31" w:rsidRPr="006431C4" w14:paraId="730378C1" w14:textId="77777777" w:rsidTr="008F0AE8">
        <w:tc>
          <w:tcPr>
            <w:tcW w:w="637" w:type="dxa"/>
            <w:tcBorders>
              <w:top w:val="nil"/>
            </w:tcBorders>
          </w:tcPr>
          <w:p w14:paraId="3FE7ACAA"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1</w:t>
            </w:r>
          </w:p>
          <w:p w14:paraId="35D7DF42"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2977" w:type="dxa"/>
            <w:tcBorders>
              <w:top w:val="nil"/>
            </w:tcBorders>
          </w:tcPr>
          <w:p w14:paraId="359CB73A"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Emulsja asfaltowa kationowa</w:t>
            </w:r>
          </w:p>
          <w:p w14:paraId="582DF426"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Asfalt drogowy</w:t>
            </w:r>
          </w:p>
        </w:tc>
        <w:tc>
          <w:tcPr>
            <w:tcW w:w="2757" w:type="dxa"/>
            <w:tcBorders>
              <w:top w:val="nil"/>
            </w:tcBorders>
          </w:tcPr>
          <w:p w14:paraId="75FC4BF7"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lepkość</w:t>
            </w:r>
          </w:p>
          <w:p w14:paraId="6AFB2DBA"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penetracja</w:t>
            </w:r>
          </w:p>
        </w:tc>
        <w:tc>
          <w:tcPr>
            <w:tcW w:w="2977" w:type="dxa"/>
            <w:tcBorders>
              <w:top w:val="nil"/>
            </w:tcBorders>
          </w:tcPr>
          <w:p w14:paraId="41162118"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EmA-94 [5]</w:t>
            </w:r>
          </w:p>
          <w:p w14:paraId="09007E8C"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PN-C-04134 [1]</w:t>
            </w:r>
          </w:p>
        </w:tc>
      </w:tr>
    </w:tbl>
    <w:p w14:paraId="673C7148" w14:textId="77777777" w:rsidR="00AE7B31" w:rsidRPr="006431C4" w:rsidRDefault="00AE7B31" w:rsidP="00BE2485">
      <w:pPr>
        <w:shd w:val="clear" w:color="auto" w:fill="FFFFFF" w:themeFill="background1"/>
        <w:tabs>
          <w:tab w:val="left" w:pos="142"/>
        </w:tabs>
        <w:spacing w:line="240" w:lineRule="auto"/>
        <w:jc w:val="both"/>
        <w:rPr>
          <w:rFonts w:cs="Arial"/>
          <w:szCs w:val="20"/>
        </w:rPr>
      </w:pPr>
    </w:p>
    <w:p w14:paraId="14D2CA06"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b/>
          <w:szCs w:val="20"/>
        </w:rPr>
        <w:t xml:space="preserve">6.3.2. </w:t>
      </w:r>
      <w:r w:rsidRPr="006431C4">
        <w:rPr>
          <w:rFonts w:cs="Arial"/>
          <w:szCs w:val="20"/>
        </w:rPr>
        <w:t>Sprawdzenie jednorodności skropienia i zużycia lepiszcza</w:t>
      </w:r>
    </w:p>
    <w:p w14:paraId="759D0D1C"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Należy przeprowadzić kontrolę ilości rozkładanego lepiszcza według metody podanej w opracowaniu „Powierzchniowe utrwalenia. Oznaczanie ilości rozkładanego lepiszcza i kruszywa” [4].</w:t>
      </w:r>
    </w:p>
    <w:p w14:paraId="250CEF92"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81" w:name="_Toc407069687"/>
      <w:bookmarkStart w:id="682" w:name="_Toc407081652"/>
      <w:bookmarkStart w:id="683" w:name="_Toc407081795"/>
      <w:bookmarkStart w:id="684" w:name="_Toc407083451"/>
      <w:bookmarkStart w:id="685" w:name="_Toc407084285"/>
      <w:bookmarkStart w:id="686" w:name="_Toc407085404"/>
      <w:bookmarkStart w:id="687" w:name="_Toc407085547"/>
      <w:bookmarkStart w:id="688" w:name="_Toc407085690"/>
      <w:bookmarkStart w:id="689" w:name="_Toc407086138"/>
      <w:r w:rsidRPr="006431C4">
        <w:rPr>
          <w:rFonts w:cs="Arial"/>
          <w:b/>
          <w:szCs w:val="20"/>
        </w:rPr>
        <w:t>7. obmiar robót</w:t>
      </w:r>
      <w:bookmarkEnd w:id="681"/>
      <w:bookmarkEnd w:id="682"/>
      <w:bookmarkEnd w:id="683"/>
      <w:bookmarkEnd w:id="684"/>
      <w:bookmarkEnd w:id="685"/>
      <w:bookmarkEnd w:id="686"/>
      <w:bookmarkEnd w:id="687"/>
      <w:bookmarkEnd w:id="688"/>
      <w:bookmarkEnd w:id="689"/>
    </w:p>
    <w:p w14:paraId="7C4F8C60"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90" w:name="_Toc407069688"/>
      <w:bookmarkStart w:id="691" w:name="_Toc407081653"/>
      <w:bookmarkStart w:id="692" w:name="_Toc407081796"/>
      <w:bookmarkStart w:id="693" w:name="_Toc407083452"/>
      <w:bookmarkStart w:id="694" w:name="_Toc407084286"/>
      <w:bookmarkStart w:id="695" w:name="_Toc407085405"/>
      <w:bookmarkStart w:id="696" w:name="_Toc407085548"/>
      <w:bookmarkStart w:id="697" w:name="_Toc407085691"/>
      <w:bookmarkStart w:id="698" w:name="_Toc407086139"/>
      <w:r w:rsidRPr="006431C4">
        <w:rPr>
          <w:rFonts w:cs="Arial"/>
          <w:b/>
          <w:szCs w:val="20"/>
        </w:rPr>
        <w:t>7.1. Ogólne zasady obmiaru robót</w:t>
      </w:r>
      <w:bookmarkEnd w:id="690"/>
      <w:bookmarkEnd w:id="691"/>
      <w:bookmarkEnd w:id="692"/>
      <w:bookmarkEnd w:id="693"/>
      <w:bookmarkEnd w:id="694"/>
      <w:bookmarkEnd w:id="695"/>
      <w:bookmarkEnd w:id="696"/>
      <w:bookmarkEnd w:id="697"/>
      <w:bookmarkEnd w:id="698"/>
    </w:p>
    <w:p w14:paraId="12C94500"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Ogólne zasady obmiaru robót podano w SST D-M-00.00.00 „Wymagania ogólne” pkt 7.</w:t>
      </w:r>
    </w:p>
    <w:p w14:paraId="4E68C9DF"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699" w:name="_Toc407069689"/>
      <w:bookmarkStart w:id="700" w:name="_Toc407081654"/>
      <w:bookmarkStart w:id="701" w:name="_Toc407081797"/>
      <w:bookmarkStart w:id="702" w:name="_Toc407083453"/>
      <w:bookmarkStart w:id="703" w:name="_Toc407084287"/>
      <w:bookmarkStart w:id="704" w:name="_Toc407085406"/>
      <w:bookmarkStart w:id="705" w:name="_Toc407085549"/>
      <w:bookmarkStart w:id="706" w:name="_Toc407085692"/>
      <w:bookmarkStart w:id="707" w:name="_Toc407086140"/>
      <w:r w:rsidRPr="006431C4">
        <w:rPr>
          <w:rFonts w:cs="Arial"/>
          <w:b/>
          <w:szCs w:val="20"/>
        </w:rPr>
        <w:t>7.2. Jednostka obmiarowa</w:t>
      </w:r>
      <w:bookmarkEnd w:id="699"/>
      <w:bookmarkEnd w:id="700"/>
      <w:bookmarkEnd w:id="701"/>
      <w:bookmarkEnd w:id="702"/>
      <w:bookmarkEnd w:id="703"/>
      <w:bookmarkEnd w:id="704"/>
      <w:bookmarkEnd w:id="705"/>
      <w:bookmarkEnd w:id="706"/>
      <w:bookmarkEnd w:id="707"/>
    </w:p>
    <w:p w14:paraId="251544AF"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Jednostką obmiarową jest:</w:t>
      </w:r>
    </w:p>
    <w:p w14:paraId="3BF8AACB"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 m</w:t>
      </w:r>
      <w:r w:rsidRPr="006431C4">
        <w:rPr>
          <w:rFonts w:cs="Arial"/>
          <w:szCs w:val="20"/>
          <w:vertAlign w:val="superscript"/>
        </w:rPr>
        <w:t>2</w:t>
      </w:r>
      <w:r w:rsidRPr="006431C4">
        <w:rPr>
          <w:rFonts w:cs="Arial"/>
          <w:szCs w:val="20"/>
        </w:rPr>
        <w:t xml:space="preserve"> (metr kwadratowy) oczyszczonej powierzchni,</w:t>
      </w:r>
    </w:p>
    <w:p w14:paraId="4DBCF095"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 m</w:t>
      </w:r>
      <w:r w:rsidRPr="006431C4">
        <w:rPr>
          <w:rFonts w:cs="Arial"/>
          <w:szCs w:val="20"/>
          <w:vertAlign w:val="superscript"/>
        </w:rPr>
        <w:t>2</w:t>
      </w:r>
      <w:r w:rsidRPr="006431C4">
        <w:rPr>
          <w:rFonts w:cs="Arial"/>
          <w:szCs w:val="20"/>
        </w:rPr>
        <w:t xml:space="preserve"> (metr kwadratowy) powierzchni skropionej.</w:t>
      </w:r>
    </w:p>
    <w:p w14:paraId="64665EDD"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708" w:name="_Toc407069690"/>
      <w:bookmarkStart w:id="709" w:name="_Toc407081655"/>
      <w:bookmarkStart w:id="710" w:name="_Toc407081798"/>
      <w:bookmarkStart w:id="711" w:name="_Toc407083454"/>
      <w:bookmarkStart w:id="712" w:name="_Toc407084288"/>
      <w:bookmarkStart w:id="713" w:name="_Toc407085407"/>
      <w:bookmarkStart w:id="714" w:name="_Toc407085550"/>
      <w:bookmarkStart w:id="715" w:name="_Toc407085693"/>
      <w:bookmarkStart w:id="716" w:name="_Toc407086141"/>
      <w:r w:rsidRPr="006431C4">
        <w:rPr>
          <w:rFonts w:cs="Arial"/>
          <w:b/>
          <w:szCs w:val="20"/>
        </w:rPr>
        <w:t>8. odbiór robót</w:t>
      </w:r>
      <w:bookmarkEnd w:id="708"/>
      <w:bookmarkEnd w:id="709"/>
      <w:bookmarkEnd w:id="710"/>
      <w:bookmarkEnd w:id="711"/>
      <w:bookmarkEnd w:id="712"/>
      <w:bookmarkEnd w:id="713"/>
      <w:bookmarkEnd w:id="714"/>
      <w:bookmarkEnd w:id="715"/>
      <w:bookmarkEnd w:id="716"/>
    </w:p>
    <w:p w14:paraId="46524337"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Ogólne zasady odbioru robót podano w SST D-M-00.00.00 „Wymagania ogólne” pkt 8.</w:t>
      </w:r>
    </w:p>
    <w:p w14:paraId="5CE96347"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Roboty uznaje się za wykonane zgodnie z dokumentacją projektową, SST i wymaganiami Inżyniera, jeżeli wszystkie pomiary i badania z zachowaniem tolerancji wg pkt 6 dały wyniki pozytywne.</w:t>
      </w:r>
    </w:p>
    <w:p w14:paraId="009293E2"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717" w:name="_Toc407069691"/>
      <w:bookmarkStart w:id="718" w:name="_Toc407081656"/>
      <w:bookmarkStart w:id="719" w:name="_Toc407081799"/>
      <w:bookmarkStart w:id="720" w:name="_Toc407083455"/>
      <w:bookmarkStart w:id="721" w:name="_Toc407084289"/>
      <w:bookmarkStart w:id="722" w:name="_Toc407085408"/>
      <w:bookmarkStart w:id="723" w:name="_Toc407085551"/>
      <w:bookmarkStart w:id="724" w:name="_Toc407085694"/>
      <w:bookmarkStart w:id="725" w:name="_Toc407086142"/>
      <w:r w:rsidRPr="006431C4">
        <w:rPr>
          <w:rFonts w:cs="Arial"/>
          <w:b/>
          <w:szCs w:val="20"/>
        </w:rPr>
        <w:t>9. podstawa płatności</w:t>
      </w:r>
      <w:bookmarkEnd w:id="717"/>
      <w:bookmarkEnd w:id="718"/>
      <w:bookmarkEnd w:id="719"/>
      <w:bookmarkEnd w:id="720"/>
      <w:bookmarkEnd w:id="721"/>
      <w:bookmarkEnd w:id="722"/>
      <w:bookmarkEnd w:id="723"/>
      <w:bookmarkEnd w:id="724"/>
      <w:bookmarkEnd w:id="725"/>
    </w:p>
    <w:p w14:paraId="123FE699"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726" w:name="_Toc407069692"/>
      <w:bookmarkStart w:id="727" w:name="_Toc407081657"/>
      <w:bookmarkStart w:id="728" w:name="_Toc407081800"/>
      <w:bookmarkStart w:id="729" w:name="_Toc407083456"/>
      <w:bookmarkStart w:id="730" w:name="_Toc407084290"/>
      <w:bookmarkStart w:id="731" w:name="_Toc407085409"/>
      <w:bookmarkStart w:id="732" w:name="_Toc407085552"/>
      <w:bookmarkStart w:id="733" w:name="_Toc407085695"/>
      <w:bookmarkStart w:id="734" w:name="_Toc407086143"/>
      <w:r w:rsidRPr="006431C4">
        <w:rPr>
          <w:rFonts w:cs="Arial"/>
          <w:b/>
          <w:szCs w:val="20"/>
        </w:rPr>
        <w:t>9.1. Ogólne ustalenia dotyczące podstawy płatności</w:t>
      </w:r>
      <w:bookmarkEnd w:id="726"/>
      <w:bookmarkEnd w:id="727"/>
      <w:bookmarkEnd w:id="728"/>
      <w:bookmarkEnd w:id="729"/>
      <w:bookmarkEnd w:id="730"/>
      <w:bookmarkEnd w:id="731"/>
      <w:bookmarkEnd w:id="732"/>
      <w:bookmarkEnd w:id="733"/>
      <w:bookmarkEnd w:id="734"/>
    </w:p>
    <w:p w14:paraId="387E367A"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Ogólne ustalenia dotyczące podstawy płatności podano w SST D-M-00.00.00 „Wymagania ogólne” pkt 9.</w:t>
      </w:r>
    </w:p>
    <w:p w14:paraId="5CFCC2D1"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735" w:name="_Toc407069693"/>
      <w:bookmarkStart w:id="736" w:name="_Toc407081658"/>
      <w:bookmarkStart w:id="737" w:name="_Toc407081801"/>
      <w:bookmarkStart w:id="738" w:name="_Toc407083457"/>
      <w:bookmarkStart w:id="739" w:name="_Toc407084291"/>
      <w:bookmarkStart w:id="740" w:name="_Toc407085410"/>
      <w:bookmarkStart w:id="741" w:name="_Toc407085553"/>
      <w:bookmarkStart w:id="742" w:name="_Toc407085696"/>
      <w:bookmarkStart w:id="743" w:name="_Toc407086144"/>
      <w:r w:rsidRPr="006431C4">
        <w:rPr>
          <w:rFonts w:cs="Arial"/>
          <w:b/>
          <w:szCs w:val="20"/>
        </w:rPr>
        <w:t>9.2. Cena jednostki obmiarowej</w:t>
      </w:r>
      <w:bookmarkEnd w:id="735"/>
      <w:bookmarkEnd w:id="736"/>
      <w:bookmarkEnd w:id="737"/>
      <w:bookmarkEnd w:id="738"/>
      <w:bookmarkEnd w:id="739"/>
      <w:bookmarkEnd w:id="740"/>
      <w:bookmarkEnd w:id="741"/>
      <w:bookmarkEnd w:id="742"/>
      <w:bookmarkEnd w:id="743"/>
    </w:p>
    <w:p w14:paraId="67CAC203"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Cena 1 m</w:t>
      </w:r>
      <w:r w:rsidRPr="006431C4">
        <w:rPr>
          <w:rFonts w:cs="Arial"/>
          <w:szCs w:val="20"/>
          <w:vertAlign w:val="superscript"/>
        </w:rPr>
        <w:t>2</w:t>
      </w:r>
      <w:r w:rsidRPr="006431C4">
        <w:rPr>
          <w:rFonts w:cs="Arial"/>
          <w:szCs w:val="20"/>
        </w:rPr>
        <w:t xml:space="preserve">  oczyszczenia  warstw konstrukcyjnych obejmuje:</w:t>
      </w:r>
    </w:p>
    <w:p w14:paraId="6881D11E"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 xml:space="preserve">mechaniczne oczyszczenie każdej niżej położonej warstwy konstrukcyjnej nawierzchni z ewentualnym polewaniem wodą lub użyciem sprężonego powietrza, </w:t>
      </w:r>
    </w:p>
    <w:p w14:paraId="5740588B"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ręczne odspojenie stwardniałych zanieczyszczeń.</w:t>
      </w:r>
    </w:p>
    <w:p w14:paraId="5A91B4DF"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ab/>
        <w:t>Cena  1 m</w:t>
      </w:r>
      <w:r w:rsidRPr="006431C4">
        <w:rPr>
          <w:rFonts w:cs="Arial"/>
          <w:szCs w:val="20"/>
          <w:vertAlign w:val="superscript"/>
        </w:rPr>
        <w:t>2</w:t>
      </w:r>
      <w:r w:rsidRPr="006431C4">
        <w:rPr>
          <w:rFonts w:cs="Arial"/>
          <w:szCs w:val="20"/>
        </w:rPr>
        <w:t xml:space="preserve"> skropienia warstw konstrukcyjnych obejmuje:</w:t>
      </w:r>
    </w:p>
    <w:p w14:paraId="22D4A9D4"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dostarczenie lepiszcza i napełnienie nim skrapiarek,</w:t>
      </w:r>
    </w:p>
    <w:p w14:paraId="5383E32F"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podgrzanie lepiszcza  do wymaganej temperatury,</w:t>
      </w:r>
    </w:p>
    <w:p w14:paraId="05AF729F"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skropienie powierzchni warstwy lepiszczem,</w:t>
      </w:r>
    </w:p>
    <w:p w14:paraId="36CCEA7F" w14:textId="77777777" w:rsidR="00AE7B31" w:rsidRPr="006431C4" w:rsidRDefault="00AE7B31" w:rsidP="00BE2485">
      <w:pPr>
        <w:numPr>
          <w:ilvl w:val="0"/>
          <w:numId w:val="4"/>
        </w:numPr>
        <w:shd w:val="clear" w:color="auto" w:fill="FFFFFF" w:themeFill="background1"/>
        <w:tabs>
          <w:tab w:val="left" w:pos="142"/>
        </w:tabs>
        <w:spacing w:line="240" w:lineRule="auto"/>
        <w:jc w:val="both"/>
        <w:rPr>
          <w:rFonts w:cs="Arial"/>
          <w:szCs w:val="20"/>
        </w:rPr>
      </w:pPr>
      <w:r w:rsidRPr="006431C4">
        <w:rPr>
          <w:rFonts w:cs="Arial"/>
          <w:szCs w:val="20"/>
        </w:rPr>
        <w:t>przeprowadzenie pomiarów i badań laboratoryjnych wymaganych w specyfikacji technicznej.</w:t>
      </w:r>
    </w:p>
    <w:p w14:paraId="6E4CCE78"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744" w:name="_Toc407069694"/>
      <w:bookmarkStart w:id="745" w:name="_Toc407081659"/>
      <w:bookmarkStart w:id="746" w:name="_Toc407081802"/>
      <w:bookmarkStart w:id="747" w:name="_Toc407083458"/>
      <w:bookmarkStart w:id="748" w:name="_Toc407084292"/>
      <w:bookmarkStart w:id="749" w:name="_Toc407085411"/>
      <w:bookmarkStart w:id="750" w:name="_Toc407085554"/>
      <w:bookmarkStart w:id="751" w:name="_Toc407085697"/>
      <w:bookmarkStart w:id="752" w:name="_Toc407086145"/>
      <w:r w:rsidRPr="006431C4">
        <w:rPr>
          <w:rFonts w:cs="Arial"/>
          <w:b/>
          <w:szCs w:val="20"/>
        </w:rPr>
        <w:t>10. przepisy związane</w:t>
      </w:r>
      <w:bookmarkEnd w:id="744"/>
      <w:bookmarkEnd w:id="745"/>
      <w:bookmarkEnd w:id="746"/>
      <w:bookmarkEnd w:id="747"/>
      <w:bookmarkEnd w:id="748"/>
      <w:bookmarkEnd w:id="749"/>
      <w:bookmarkEnd w:id="750"/>
      <w:bookmarkEnd w:id="751"/>
      <w:bookmarkEnd w:id="752"/>
    </w:p>
    <w:p w14:paraId="1399C49D"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753" w:name="_Toc407069695"/>
      <w:bookmarkStart w:id="754" w:name="_Toc407081660"/>
      <w:bookmarkStart w:id="755" w:name="_Toc407081803"/>
      <w:bookmarkStart w:id="756" w:name="_Toc407083459"/>
      <w:bookmarkStart w:id="757" w:name="_Toc407084293"/>
      <w:bookmarkStart w:id="758" w:name="_Toc407085412"/>
      <w:bookmarkStart w:id="759" w:name="_Toc407085555"/>
      <w:bookmarkStart w:id="760" w:name="_Toc407085698"/>
      <w:bookmarkStart w:id="761" w:name="_Toc407086146"/>
      <w:r w:rsidRPr="006431C4">
        <w:rPr>
          <w:rFonts w:cs="Arial"/>
          <w:b/>
          <w:szCs w:val="20"/>
        </w:rPr>
        <w:t>10.1. Normy</w:t>
      </w:r>
      <w:bookmarkEnd w:id="753"/>
      <w:bookmarkEnd w:id="754"/>
      <w:bookmarkEnd w:id="755"/>
      <w:bookmarkEnd w:id="756"/>
      <w:bookmarkEnd w:id="757"/>
      <w:bookmarkEnd w:id="758"/>
      <w:bookmarkEnd w:id="759"/>
      <w:bookmarkEnd w:id="760"/>
      <w:bookmarkEnd w:id="761"/>
    </w:p>
    <w:tbl>
      <w:tblPr>
        <w:tblW w:w="0" w:type="auto"/>
        <w:tblLayout w:type="fixed"/>
        <w:tblCellMar>
          <w:left w:w="70" w:type="dxa"/>
          <w:right w:w="70" w:type="dxa"/>
        </w:tblCellMar>
        <w:tblLook w:val="0000" w:firstRow="0" w:lastRow="0" w:firstColumn="0" w:lastColumn="0" w:noHBand="0" w:noVBand="0"/>
      </w:tblPr>
      <w:tblGrid>
        <w:gridCol w:w="496"/>
        <w:gridCol w:w="1984"/>
        <w:gridCol w:w="7018"/>
      </w:tblGrid>
      <w:tr w:rsidR="00AE7B31" w:rsidRPr="006431C4" w14:paraId="3889E994" w14:textId="77777777" w:rsidTr="008F0AE8">
        <w:tc>
          <w:tcPr>
            <w:tcW w:w="496" w:type="dxa"/>
          </w:tcPr>
          <w:p w14:paraId="0D18679F"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1.</w:t>
            </w:r>
          </w:p>
        </w:tc>
        <w:tc>
          <w:tcPr>
            <w:tcW w:w="1984" w:type="dxa"/>
          </w:tcPr>
          <w:p w14:paraId="7C4BF528"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PN-C-04134</w:t>
            </w:r>
          </w:p>
        </w:tc>
        <w:tc>
          <w:tcPr>
            <w:tcW w:w="7018" w:type="dxa"/>
          </w:tcPr>
          <w:p w14:paraId="0908FACB"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Przetwory naftowe. Pomiar penetracji asfaltów</w:t>
            </w:r>
          </w:p>
        </w:tc>
      </w:tr>
      <w:tr w:rsidR="00AE7B31" w:rsidRPr="006431C4" w14:paraId="408A5D99" w14:textId="77777777" w:rsidTr="008F0AE8">
        <w:tc>
          <w:tcPr>
            <w:tcW w:w="496" w:type="dxa"/>
          </w:tcPr>
          <w:p w14:paraId="1DD2B693"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1984" w:type="dxa"/>
          </w:tcPr>
          <w:p w14:paraId="37B2D6C8"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PN-C-96170</w:t>
            </w:r>
          </w:p>
        </w:tc>
        <w:tc>
          <w:tcPr>
            <w:tcW w:w="7018" w:type="dxa"/>
          </w:tcPr>
          <w:p w14:paraId="62E68508"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Przetwory naftowe. Asfalty drogowe</w:t>
            </w:r>
          </w:p>
        </w:tc>
      </w:tr>
      <w:tr w:rsidR="00AE7B31" w:rsidRPr="006431C4" w14:paraId="6F21020A" w14:textId="77777777" w:rsidTr="008F0AE8">
        <w:tc>
          <w:tcPr>
            <w:tcW w:w="496" w:type="dxa"/>
          </w:tcPr>
          <w:p w14:paraId="17357A52"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3.</w:t>
            </w:r>
          </w:p>
        </w:tc>
        <w:tc>
          <w:tcPr>
            <w:tcW w:w="1984" w:type="dxa"/>
          </w:tcPr>
          <w:p w14:paraId="79A2570E"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PN-C-96173</w:t>
            </w:r>
          </w:p>
        </w:tc>
        <w:tc>
          <w:tcPr>
            <w:tcW w:w="7018" w:type="dxa"/>
          </w:tcPr>
          <w:p w14:paraId="63F2A7EC" w14:textId="77777777" w:rsidR="00AE7B31" w:rsidRPr="006431C4" w:rsidRDefault="00AE7B31" w:rsidP="00BE2485">
            <w:pPr>
              <w:shd w:val="clear" w:color="auto" w:fill="FFFFFF" w:themeFill="background1"/>
              <w:tabs>
                <w:tab w:val="left" w:pos="142"/>
              </w:tabs>
              <w:spacing w:line="240" w:lineRule="auto"/>
              <w:jc w:val="both"/>
              <w:rPr>
                <w:rFonts w:cs="Arial"/>
                <w:szCs w:val="20"/>
              </w:rPr>
            </w:pPr>
            <w:r w:rsidRPr="006431C4">
              <w:rPr>
                <w:rFonts w:cs="Arial"/>
                <w:szCs w:val="20"/>
              </w:rPr>
              <w:t>Przetwory naftowe. Asfalty upłynnione AUN do nawierzchni drogowych</w:t>
            </w:r>
          </w:p>
        </w:tc>
      </w:tr>
    </w:tbl>
    <w:p w14:paraId="60583CC1" w14:textId="77777777" w:rsidR="00AE7B31" w:rsidRPr="006431C4" w:rsidRDefault="00AE7B31" w:rsidP="00BE2485">
      <w:pPr>
        <w:shd w:val="clear" w:color="auto" w:fill="FFFFFF" w:themeFill="background1"/>
        <w:tabs>
          <w:tab w:val="left" w:pos="142"/>
        </w:tabs>
        <w:spacing w:line="240" w:lineRule="auto"/>
        <w:jc w:val="both"/>
        <w:rPr>
          <w:rFonts w:cs="Arial"/>
          <w:b/>
          <w:szCs w:val="20"/>
        </w:rPr>
      </w:pPr>
      <w:bookmarkStart w:id="762" w:name="_Toc407069696"/>
      <w:bookmarkStart w:id="763" w:name="_Toc407081661"/>
      <w:bookmarkStart w:id="764" w:name="_Toc407081804"/>
      <w:bookmarkStart w:id="765" w:name="_Toc407083460"/>
      <w:bookmarkStart w:id="766" w:name="_Toc407084294"/>
      <w:bookmarkStart w:id="767" w:name="_Toc407085413"/>
      <w:bookmarkStart w:id="768" w:name="_Toc407085556"/>
      <w:bookmarkStart w:id="769" w:name="_Toc407085699"/>
      <w:bookmarkStart w:id="770" w:name="_Toc407086147"/>
      <w:r w:rsidRPr="006431C4">
        <w:rPr>
          <w:rFonts w:cs="Arial"/>
          <w:b/>
          <w:szCs w:val="20"/>
        </w:rPr>
        <w:t>10.2. Inne dokumenty</w:t>
      </w:r>
      <w:bookmarkEnd w:id="762"/>
      <w:bookmarkEnd w:id="763"/>
      <w:bookmarkEnd w:id="764"/>
      <w:bookmarkEnd w:id="765"/>
      <w:bookmarkEnd w:id="766"/>
      <w:bookmarkEnd w:id="767"/>
      <w:bookmarkEnd w:id="768"/>
      <w:bookmarkEnd w:id="769"/>
      <w:bookmarkEnd w:id="770"/>
    </w:p>
    <w:p w14:paraId="341FB385" w14:textId="77777777" w:rsidR="00AE7B31" w:rsidRPr="006431C4" w:rsidRDefault="00AE7B31" w:rsidP="00CF1E7D">
      <w:pPr>
        <w:numPr>
          <w:ilvl w:val="0"/>
          <w:numId w:val="110"/>
        </w:numPr>
        <w:shd w:val="clear" w:color="auto" w:fill="FFFFFF" w:themeFill="background1"/>
        <w:tabs>
          <w:tab w:val="left" w:pos="142"/>
        </w:tabs>
        <w:spacing w:line="240" w:lineRule="auto"/>
        <w:jc w:val="both"/>
        <w:rPr>
          <w:rFonts w:cs="Arial"/>
          <w:szCs w:val="20"/>
        </w:rPr>
      </w:pPr>
      <w:r w:rsidRPr="006431C4">
        <w:rPr>
          <w:rFonts w:cs="Arial"/>
          <w:szCs w:val="20"/>
        </w:rPr>
        <w:t>„Powierzchniowe utrwalenia. Oznaczanie ilości rozkładanego lepiszcza i kruszywa”. Zalecone przez GDDP do stosowania pismem GDDP-5.3a-551/5/92 z dnia                1992-02-03.</w:t>
      </w:r>
    </w:p>
    <w:p w14:paraId="1B41E4E4" w14:textId="4A4B7649" w:rsidR="00B5540E" w:rsidRPr="00050320" w:rsidRDefault="00AE7B31" w:rsidP="00CF1E7D">
      <w:pPr>
        <w:numPr>
          <w:ilvl w:val="0"/>
          <w:numId w:val="110"/>
        </w:numPr>
        <w:shd w:val="clear" w:color="auto" w:fill="FFFFFF" w:themeFill="background1"/>
        <w:tabs>
          <w:tab w:val="left" w:pos="142"/>
        </w:tabs>
        <w:spacing w:line="240" w:lineRule="auto"/>
        <w:jc w:val="both"/>
        <w:rPr>
          <w:rFonts w:cs="Arial"/>
          <w:szCs w:val="20"/>
        </w:rPr>
      </w:pPr>
      <w:r w:rsidRPr="006431C4">
        <w:rPr>
          <w:rFonts w:cs="Arial"/>
          <w:szCs w:val="20"/>
        </w:rPr>
        <w:t xml:space="preserve">Warunki Techniczne. Drogowe kationowe emulsje asfaltowe EmA-94. </w:t>
      </w:r>
      <w:proofErr w:type="spellStart"/>
      <w:r w:rsidRPr="006431C4">
        <w:rPr>
          <w:rFonts w:cs="Arial"/>
          <w:szCs w:val="20"/>
        </w:rPr>
        <w:t>IBDiM</w:t>
      </w:r>
      <w:proofErr w:type="spellEnd"/>
      <w:r w:rsidRPr="006431C4">
        <w:rPr>
          <w:rFonts w:cs="Arial"/>
          <w:szCs w:val="20"/>
        </w:rPr>
        <w:t xml:space="preserve"> - 1994 r.</w:t>
      </w:r>
    </w:p>
    <w:p w14:paraId="36DB2421" w14:textId="774CBCAC" w:rsidR="00416677" w:rsidRPr="00416677" w:rsidRDefault="00416677" w:rsidP="00416677">
      <w:pPr>
        <w:pStyle w:val="Nagwek4"/>
        <w:shd w:val="clear" w:color="auto" w:fill="FFFFFF" w:themeFill="background1"/>
        <w:spacing w:before="240" w:line="240" w:lineRule="auto"/>
        <w:jc w:val="both"/>
        <w:rPr>
          <w:rFonts w:cs="Arial"/>
        </w:rPr>
      </w:pPr>
      <w:bookmarkStart w:id="771" w:name="_Toc111635980"/>
      <w:r w:rsidRPr="006431C4">
        <w:rPr>
          <w:rFonts w:cs="Arial"/>
        </w:rPr>
        <w:t>D-04.0</w:t>
      </w:r>
      <w:r>
        <w:rPr>
          <w:rFonts w:cs="Arial"/>
        </w:rPr>
        <w:t>3</w:t>
      </w:r>
      <w:r w:rsidRPr="006431C4">
        <w:rPr>
          <w:rFonts w:cs="Arial"/>
        </w:rPr>
        <w:t>.0</w:t>
      </w:r>
      <w:r>
        <w:rPr>
          <w:rFonts w:cs="Arial"/>
        </w:rPr>
        <w:t>1a</w:t>
      </w:r>
      <w:r w:rsidRPr="006431C4">
        <w:rPr>
          <w:rFonts w:cs="Arial"/>
        </w:rPr>
        <w:t xml:space="preserve"> – </w:t>
      </w:r>
      <w:r>
        <w:rPr>
          <w:rFonts w:cs="Arial"/>
        </w:rPr>
        <w:t>POŁĄCZENIE MIĘDZYWARSTWOWE NAWIERZCHNI DROGOWEJ EMULSJĄ ASFALTOWĄ</w:t>
      </w:r>
      <w:bookmarkEnd w:id="771"/>
    </w:p>
    <w:p w14:paraId="1CB955AB" w14:textId="77777777" w:rsidR="00416677" w:rsidRPr="00416677" w:rsidRDefault="00416677" w:rsidP="00416677">
      <w:pPr>
        <w:pStyle w:val="Nagwek1"/>
        <w:spacing w:line="240" w:lineRule="auto"/>
        <w:rPr>
          <w:rFonts w:cs="Arial"/>
          <w:szCs w:val="20"/>
        </w:rPr>
      </w:pPr>
      <w:bookmarkStart w:id="772" w:name="_Toc236626155"/>
      <w:bookmarkStart w:id="773" w:name="_Toc344981393"/>
      <w:r w:rsidRPr="00416677">
        <w:rPr>
          <w:rFonts w:cs="Arial"/>
          <w:szCs w:val="20"/>
        </w:rPr>
        <w:t xml:space="preserve">1. </w:t>
      </w:r>
      <w:bookmarkEnd w:id="772"/>
      <w:r w:rsidRPr="00416677">
        <w:rPr>
          <w:rFonts w:cs="Arial"/>
          <w:szCs w:val="20"/>
        </w:rPr>
        <w:t>Wstęp</w:t>
      </w:r>
      <w:bookmarkEnd w:id="773"/>
    </w:p>
    <w:p w14:paraId="0D1846E2" w14:textId="3AF0B381" w:rsidR="00416677" w:rsidRPr="00416677" w:rsidRDefault="00416677" w:rsidP="00416677">
      <w:pPr>
        <w:pStyle w:val="Nagwek2"/>
        <w:spacing w:line="240" w:lineRule="auto"/>
        <w:rPr>
          <w:rFonts w:cs="Arial"/>
          <w:szCs w:val="20"/>
        </w:rPr>
      </w:pPr>
      <w:r w:rsidRPr="00416677">
        <w:rPr>
          <w:rFonts w:cs="Arial"/>
          <w:szCs w:val="20"/>
        </w:rPr>
        <w:t xml:space="preserve">1.1. Przedmiot </w:t>
      </w:r>
      <w:r w:rsidR="00546967">
        <w:rPr>
          <w:rFonts w:cs="Arial"/>
          <w:szCs w:val="20"/>
        </w:rPr>
        <w:t>S</w:t>
      </w:r>
      <w:r w:rsidRPr="00416677">
        <w:rPr>
          <w:rFonts w:cs="Arial"/>
          <w:szCs w:val="20"/>
        </w:rPr>
        <w:t>ST</w:t>
      </w:r>
    </w:p>
    <w:p w14:paraId="776403B2" w14:textId="3AFCA862" w:rsidR="00416677" w:rsidRPr="00416677" w:rsidRDefault="00416677" w:rsidP="00416677">
      <w:pPr>
        <w:pStyle w:val="Standardowytekst"/>
        <w:rPr>
          <w:rFonts w:ascii="Arial" w:hAnsi="Arial" w:cs="Arial"/>
        </w:rPr>
      </w:pPr>
      <w:r w:rsidRPr="00416677">
        <w:rPr>
          <w:rFonts w:ascii="Arial" w:hAnsi="Arial" w:cs="Arial"/>
        </w:rPr>
        <w:tab/>
        <w:t xml:space="preserve">Przedmiotem niniejszej </w:t>
      </w:r>
      <w:r w:rsidR="00546967">
        <w:rPr>
          <w:rFonts w:ascii="Arial" w:hAnsi="Arial" w:cs="Arial"/>
        </w:rPr>
        <w:t>szczegółowej</w:t>
      </w:r>
      <w:r w:rsidRPr="00416677">
        <w:rPr>
          <w:rFonts w:ascii="Arial" w:hAnsi="Arial" w:cs="Arial"/>
        </w:rPr>
        <w:t xml:space="preserve"> specyfikacji technicznej (</w:t>
      </w:r>
      <w:r w:rsidR="00546967">
        <w:rPr>
          <w:rFonts w:ascii="Arial" w:hAnsi="Arial" w:cs="Arial"/>
        </w:rPr>
        <w:t>S</w:t>
      </w:r>
      <w:r w:rsidRPr="00416677">
        <w:rPr>
          <w:rFonts w:ascii="Arial" w:hAnsi="Arial" w:cs="Arial"/>
        </w:rPr>
        <w:t xml:space="preserve">ST) są wymagania dotyczące wykonania i odbioru robót związanych z połączeniem </w:t>
      </w:r>
      <w:proofErr w:type="spellStart"/>
      <w:r w:rsidRPr="00416677">
        <w:rPr>
          <w:rFonts w:ascii="Arial" w:hAnsi="Arial" w:cs="Arial"/>
        </w:rPr>
        <w:t>międzywarstwowym</w:t>
      </w:r>
      <w:proofErr w:type="spellEnd"/>
      <w:r w:rsidRPr="00416677">
        <w:rPr>
          <w:rFonts w:ascii="Arial" w:hAnsi="Arial" w:cs="Arial"/>
        </w:rPr>
        <w:t xml:space="preserve"> emulsją asfaltową warstw nawierzchni drogowej.</w:t>
      </w:r>
    </w:p>
    <w:p w14:paraId="52EEBB53" w14:textId="635893CB" w:rsidR="00416677" w:rsidRPr="00416677" w:rsidRDefault="00416677" w:rsidP="00416677">
      <w:pPr>
        <w:pStyle w:val="Nagwek2"/>
        <w:spacing w:line="240" w:lineRule="auto"/>
        <w:rPr>
          <w:rFonts w:cs="Arial"/>
          <w:szCs w:val="20"/>
        </w:rPr>
      </w:pPr>
      <w:r w:rsidRPr="00416677">
        <w:rPr>
          <w:rFonts w:cs="Arial"/>
          <w:szCs w:val="20"/>
        </w:rPr>
        <w:t xml:space="preserve">1.2. Zakres stosowania </w:t>
      </w:r>
      <w:r w:rsidR="00546967">
        <w:rPr>
          <w:rFonts w:cs="Arial"/>
          <w:szCs w:val="20"/>
        </w:rPr>
        <w:t>S</w:t>
      </w:r>
      <w:r w:rsidRPr="00416677">
        <w:rPr>
          <w:rFonts w:cs="Arial"/>
          <w:szCs w:val="20"/>
        </w:rPr>
        <w:t>ST</w:t>
      </w:r>
    </w:p>
    <w:p w14:paraId="5B3E6E68" w14:textId="77777777" w:rsidR="00546967" w:rsidRPr="006431C4" w:rsidRDefault="00416677" w:rsidP="00546967">
      <w:pPr>
        <w:shd w:val="clear" w:color="auto" w:fill="FFFFFF" w:themeFill="background1"/>
        <w:tabs>
          <w:tab w:val="left" w:pos="142"/>
        </w:tabs>
        <w:spacing w:line="240" w:lineRule="auto"/>
        <w:jc w:val="both"/>
        <w:rPr>
          <w:rFonts w:cs="Arial"/>
          <w:szCs w:val="20"/>
        </w:rPr>
      </w:pPr>
      <w:r w:rsidRPr="00416677">
        <w:rPr>
          <w:rFonts w:cs="Arial"/>
          <w:szCs w:val="20"/>
        </w:rPr>
        <w:tab/>
      </w:r>
      <w:r w:rsidR="00546967"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1905529839"/>
        <w:placeholder>
          <w:docPart w:val="D566568369674997BA74D4CDBE0BDC1C"/>
        </w:placeholder>
        <w:dataBinding w:prefixMappings="xmlns:ns0='http://purl.org/dc/elements/1.1/' xmlns:ns1='http://schemas.openxmlformats.org/package/2006/metadata/core-properties' " w:xpath="/ns1:coreProperties[1]/ns0:subject[1]" w:storeItemID="{6C3C8BC8-F283-45AE-878A-BAB7291924A1}"/>
        <w:text/>
      </w:sdtPr>
      <w:sdtEndPr/>
      <w:sdtContent>
        <w:p w14:paraId="051E7210" w14:textId="77777777" w:rsidR="00546967" w:rsidRPr="006431C4" w:rsidRDefault="00546967" w:rsidP="00546967">
          <w:pPr>
            <w:shd w:val="clear" w:color="auto" w:fill="FFFFFF" w:themeFill="background1"/>
            <w:tabs>
              <w:tab w:val="left" w:pos="142"/>
            </w:tabs>
            <w:spacing w:line="240" w:lineRule="auto"/>
            <w:jc w:val="both"/>
            <w:rPr>
              <w:rFonts w:cs="Arial"/>
              <w:szCs w:val="20"/>
            </w:rPr>
          </w:pPr>
          <w:r>
            <w:rPr>
              <w:rFonts w:cs="Arial"/>
              <w:szCs w:val="20"/>
            </w:rPr>
            <w:t>„Przebudowa drogi wojewódzkiej nr 957 w miejscowości Jabłonka odc. referencyjny 100 w km 9+073.78 - 9+279.58 (budowa chodnika) "</w:t>
          </w:r>
        </w:p>
      </w:sdtContent>
    </w:sdt>
    <w:p w14:paraId="1730F484" w14:textId="5B818AA5" w:rsidR="00416677" w:rsidRPr="00546967" w:rsidRDefault="00416677" w:rsidP="00546967">
      <w:pPr>
        <w:spacing w:line="240" w:lineRule="auto"/>
        <w:rPr>
          <w:rFonts w:cs="Arial"/>
          <w:b/>
          <w:bCs/>
          <w:szCs w:val="20"/>
        </w:rPr>
      </w:pPr>
      <w:r w:rsidRPr="00546967">
        <w:rPr>
          <w:rFonts w:cs="Arial"/>
          <w:b/>
          <w:bCs/>
          <w:szCs w:val="20"/>
        </w:rPr>
        <w:t xml:space="preserve">1.3. Zakres robót objętych </w:t>
      </w:r>
      <w:r w:rsidR="00546967">
        <w:rPr>
          <w:rFonts w:cs="Arial"/>
          <w:b/>
          <w:bCs/>
          <w:szCs w:val="20"/>
        </w:rPr>
        <w:t>S</w:t>
      </w:r>
      <w:r w:rsidRPr="00546967">
        <w:rPr>
          <w:rFonts w:cs="Arial"/>
          <w:b/>
          <w:bCs/>
          <w:szCs w:val="20"/>
        </w:rPr>
        <w:t>ST</w:t>
      </w:r>
    </w:p>
    <w:p w14:paraId="4C2131B6" w14:textId="77777777" w:rsidR="00416677" w:rsidRPr="00416677" w:rsidRDefault="00416677" w:rsidP="00416677">
      <w:pPr>
        <w:spacing w:line="240" w:lineRule="auto"/>
        <w:rPr>
          <w:rFonts w:cs="Arial"/>
          <w:szCs w:val="20"/>
        </w:rPr>
      </w:pPr>
      <w:r w:rsidRPr="00416677">
        <w:rPr>
          <w:rFonts w:cs="Arial"/>
          <w:szCs w:val="20"/>
        </w:rPr>
        <w:tab/>
        <w:t xml:space="preserve">Ustalenia zawarte w niniejszej specyfikacji dotyczą zasad prowadzenia robót związanych z wykonaniem i odbiorem połączeń </w:t>
      </w:r>
      <w:proofErr w:type="spellStart"/>
      <w:r w:rsidRPr="00416677">
        <w:rPr>
          <w:rFonts w:cs="Arial"/>
          <w:szCs w:val="20"/>
        </w:rPr>
        <w:t>międzywarstwowych</w:t>
      </w:r>
      <w:proofErr w:type="spellEnd"/>
      <w:r w:rsidRPr="00416677">
        <w:rPr>
          <w:rFonts w:cs="Arial"/>
          <w:szCs w:val="20"/>
        </w:rPr>
        <w:t xml:space="preserve"> warstw z mieszanek mineralno-asfaltowych i warstwy podbudowy znajdujących się w ciągu drogi.</w:t>
      </w:r>
    </w:p>
    <w:p w14:paraId="307CF114" w14:textId="77777777" w:rsidR="00416677" w:rsidRPr="00416677" w:rsidRDefault="00416677" w:rsidP="00416677">
      <w:pPr>
        <w:spacing w:line="240" w:lineRule="auto"/>
        <w:rPr>
          <w:rFonts w:cs="Arial"/>
          <w:szCs w:val="20"/>
        </w:rPr>
      </w:pPr>
      <w:r w:rsidRPr="00416677">
        <w:rPr>
          <w:rFonts w:cs="Arial"/>
          <w:szCs w:val="20"/>
        </w:rPr>
        <w:tab/>
        <w:t xml:space="preserve">Połączenia </w:t>
      </w:r>
      <w:proofErr w:type="spellStart"/>
      <w:r w:rsidRPr="00416677">
        <w:rPr>
          <w:rFonts w:cs="Arial"/>
          <w:szCs w:val="20"/>
        </w:rPr>
        <w:t>międzywarstwowe</w:t>
      </w:r>
      <w:proofErr w:type="spellEnd"/>
      <w:r w:rsidRPr="00416677">
        <w:rPr>
          <w:rFonts w:cs="Arial"/>
          <w:szCs w:val="20"/>
        </w:rPr>
        <w:t xml:space="preserve"> mają zadanie powiązania warstw nawierzchni w jeden monolit, co jest konieczne ze względu na nośność (przenoszenie obciążeń na podłoże) oraz zapobieganie sfalowaniu, koleinowaniu a także łuszczeniu się nawierzchni.</w:t>
      </w:r>
    </w:p>
    <w:p w14:paraId="44395D90" w14:textId="77777777" w:rsidR="00416677" w:rsidRPr="00416677" w:rsidRDefault="00416677" w:rsidP="00416677">
      <w:pPr>
        <w:spacing w:line="240" w:lineRule="auto"/>
        <w:rPr>
          <w:rFonts w:cs="Arial"/>
          <w:szCs w:val="20"/>
        </w:rPr>
      </w:pPr>
      <w:r w:rsidRPr="00416677">
        <w:rPr>
          <w:rFonts w:cs="Arial"/>
          <w:szCs w:val="20"/>
        </w:rPr>
        <w:tab/>
        <w:t xml:space="preserve">Połączenia </w:t>
      </w:r>
      <w:proofErr w:type="spellStart"/>
      <w:r w:rsidRPr="00416677">
        <w:rPr>
          <w:rFonts w:cs="Arial"/>
          <w:szCs w:val="20"/>
        </w:rPr>
        <w:t>międzywarstwowe</w:t>
      </w:r>
      <w:proofErr w:type="spellEnd"/>
      <w:r w:rsidRPr="00416677">
        <w:rPr>
          <w:rFonts w:cs="Arial"/>
          <w:szCs w:val="20"/>
        </w:rPr>
        <w:t xml:space="preserve"> wykonuje się z zasady przez skropienie emulsją asfaltową.</w:t>
      </w:r>
    </w:p>
    <w:p w14:paraId="67C73A39" w14:textId="1FEE3644" w:rsidR="00416677" w:rsidRPr="00416677" w:rsidRDefault="00416677" w:rsidP="00416677">
      <w:pPr>
        <w:spacing w:line="240" w:lineRule="auto"/>
        <w:rPr>
          <w:rFonts w:cs="Arial"/>
          <w:szCs w:val="20"/>
        </w:rPr>
      </w:pPr>
      <w:r w:rsidRPr="00416677">
        <w:rPr>
          <w:rFonts w:cs="Arial"/>
          <w:szCs w:val="20"/>
        </w:rPr>
        <w:tab/>
        <w:t xml:space="preserve">W </w:t>
      </w:r>
      <w:r w:rsidR="00546967">
        <w:rPr>
          <w:rFonts w:cs="Arial"/>
          <w:szCs w:val="20"/>
        </w:rPr>
        <w:t>S</w:t>
      </w:r>
      <w:r w:rsidRPr="00416677">
        <w:rPr>
          <w:rFonts w:cs="Arial"/>
          <w:szCs w:val="20"/>
        </w:rPr>
        <w:t xml:space="preserve">ST podano wymagania, dotyczące połączeń </w:t>
      </w:r>
      <w:proofErr w:type="spellStart"/>
      <w:r w:rsidRPr="00416677">
        <w:rPr>
          <w:rFonts w:cs="Arial"/>
          <w:szCs w:val="20"/>
        </w:rPr>
        <w:t>międzywarstwowych</w:t>
      </w:r>
      <w:proofErr w:type="spellEnd"/>
      <w:r w:rsidRPr="00416677">
        <w:rPr>
          <w:rFonts w:cs="Arial"/>
          <w:szCs w:val="20"/>
        </w:rPr>
        <w:t xml:space="preserve"> układanych warstw asfaltowych z betonu asfaltowego, asfaltu porowatego, mieszanek SMA i BBTM na warstwach asfaltowych oraz podbudowach z kruszyw.</w:t>
      </w:r>
    </w:p>
    <w:p w14:paraId="61117F89" w14:textId="77777777" w:rsidR="00416677" w:rsidRPr="00416677" w:rsidRDefault="00416677" w:rsidP="00416677">
      <w:pPr>
        <w:spacing w:line="240" w:lineRule="auto"/>
        <w:ind w:firstLine="709"/>
        <w:rPr>
          <w:rFonts w:cs="Arial"/>
          <w:szCs w:val="20"/>
        </w:rPr>
      </w:pPr>
      <w:r w:rsidRPr="00416677">
        <w:rPr>
          <w:rFonts w:cs="Arial"/>
          <w:szCs w:val="20"/>
        </w:rPr>
        <w:t>Można odstąpić od wykonania skropienia w następujących przypadkach:</w:t>
      </w:r>
    </w:p>
    <w:p w14:paraId="77569B02" w14:textId="77777777" w:rsidR="00416677" w:rsidRPr="00416677" w:rsidRDefault="00416677" w:rsidP="00CF1E7D">
      <w:pPr>
        <w:numPr>
          <w:ilvl w:val="0"/>
          <w:numId w:val="270"/>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przy rozkładaniu dwóch warstw asfaltowych w jednym cyklu technologicznym nie wykonuje się skropienia lepiszczem (tzw. połączenie gorące na gorące – technologia asfaltowych warstw kompaktowych),</w:t>
      </w:r>
    </w:p>
    <w:p w14:paraId="50859FAD" w14:textId="77777777" w:rsidR="00416677" w:rsidRPr="00416677" w:rsidRDefault="00416677" w:rsidP="00CF1E7D">
      <w:pPr>
        <w:numPr>
          <w:ilvl w:val="0"/>
          <w:numId w:val="270"/>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nie stosuje się skropienia przed ułożeniem mieszanki asfaltu lanego, chyba że technologia w sposób jednoznaczny tego wymaga lub z przyczyn technologicznych jest to zalecane.</w:t>
      </w:r>
    </w:p>
    <w:p w14:paraId="314B84BE" w14:textId="77777777" w:rsidR="00416677" w:rsidRPr="00416677" w:rsidRDefault="00416677" w:rsidP="00416677">
      <w:pPr>
        <w:pStyle w:val="Nagwek2"/>
        <w:spacing w:line="240" w:lineRule="auto"/>
        <w:rPr>
          <w:rFonts w:cs="Arial"/>
          <w:szCs w:val="20"/>
        </w:rPr>
      </w:pPr>
      <w:r w:rsidRPr="00416677">
        <w:rPr>
          <w:rFonts w:cs="Arial"/>
          <w:szCs w:val="20"/>
        </w:rPr>
        <w:t>1.4. Określenia podstawowe</w:t>
      </w:r>
    </w:p>
    <w:p w14:paraId="39303F25" w14:textId="77777777" w:rsidR="00416677" w:rsidRPr="00416677" w:rsidRDefault="00416677" w:rsidP="00416677">
      <w:pPr>
        <w:spacing w:after="120" w:line="240" w:lineRule="auto"/>
        <w:rPr>
          <w:rFonts w:cs="Arial"/>
          <w:b/>
          <w:szCs w:val="20"/>
        </w:rPr>
      </w:pPr>
      <w:r w:rsidRPr="00416677">
        <w:rPr>
          <w:rFonts w:cs="Arial"/>
          <w:b/>
          <w:szCs w:val="20"/>
        </w:rPr>
        <w:t xml:space="preserve">1.4.1. </w:t>
      </w:r>
      <w:r w:rsidRPr="00416677">
        <w:rPr>
          <w:rFonts w:cs="Arial"/>
          <w:szCs w:val="20"/>
        </w:rPr>
        <w:t>Nawierzchnia – konstrukcja składająca się z jednej lub kilku warstw, służących do przejmowania i rozkładania na podłoże obciążeń od ruchu pojazdów.</w:t>
      </w:r>
    </w:p>
    <w:p w14:paraId="0AF34B48" w14:textId="77777777" w:rsidR="00416677" w:rsidRPr="00416677" w:rsidRDefault="00416677" w:rsidP="00416677">
      <w:pPr>
        <w:spacing w:line="240" w:lineRule="auto"/>
        <w:rPr>
          <w:rFonts w:cs="Arial"/>
          <w:szCs w:val="20"/>
        </w:rPr>
      </w:pPr>
      <w:r w:rsidRPr="00416677">
        <w:rPr>
          <w:rFonts w:cs="Arial"/>
          <w:b/>
          <w:szCs w:val="20"/>
        </w:rPr>
        <w:t xml:space="preserve">1.4.2. </w:t>
      </w:r>
      <w:r w:rsidRPr="00416677">
        <w:rPr>
          <w:rFonts w:cs="Arial"/>
          <w:szCs w:val="20"/>
        </w:rPr>
        <w:t>Warstwa – element konstrukcji nawierzchni zbudowany z jednego materiału, który może składać się z jednej lub wielu warstw układanych w pojedynczej operacji.</w:t>
      </w:r>
    </w:p>
    <w:p w14:paraId="329BBEA8" w14:textId="77777777" w:rsidR="00416677" w:rsidRPr="00416677" w:rsidRDefault="00416677" w:rsidP="00416677">
      <w:pPr>
        <w:spacing w:before="120" w:line="240" w:lineRule="auto"/>
        <w:rPr>
          <w:rFonts w:cs="Arial"/>
          <w:szCs w:val="20"/>
        </w:rPr>
      </w:pPr>
      <w:r w:rsidRPr="00416677">
        <w:rPr>
          <w:rFonts w:cs="Arial"/>
          <w:b/>
          <w:szCs w:val="20"/>
        </w:rPr>
        <w:t xml:space="preserve">1.4.3. </w:t>
      </w:r>
      <w:r w:rsidRPr="00416677">
        <w:rPr>
          <w:rFonts w:cs="Arial"/>
          <w:szCs w:val="20"/>
        </w:rPr>
        <w:t>Warstwa ścieralna</w:t>
      </w:r>
      <w:r w:rsidRPr="00416677">
        <w:rPr>
          <w:rFonts w:cs="Arial"/>
          <w:b/>
          <w:szCs w:val="20"/>
        </w:rPr>
        <w:t xml:space="preserve"> </w:t>
      </w:r>
      <w:r w:rsidRPr="00416677">
        <w:rPr>
          <w:rFonts w:cs="Arial"/>
          <w:szCs w:val="20"/>
        </w:rPr>
        <w:t>– górna warstwa nawierzchni będąca w bezpośrednim kontakcie z kołami pojazdów.</w:t>
      </w:r>
    </w:p>
    <w:p w14:paraId="1BEE0109" w14:textId="77777777" w:rsidR="00416677" w:rsidRPr="00416677" w:rsidRDefault="00416677" w:rsidP="00416677">
      <w:pPr>
        <w:spacing w:before="120" w:line="240" w:lineRule="auto"/>
        <w:rPr>
          <w:rFonts w:cs="Arial"/>
          <w:szCs w:val="20"/>
        </w:rPr>
      </w:pPr>
      <w:r w:rsidRPr="00416677">
        <w:rPr>
          <w:rFonts w:cs="Arial"/>
          <w:b/>
          <w:szCs w:val="20"/>
        </w:rPr>
        <w:t xml:space="preserve">1.4.4. </w:t>
      </w:r>
      <w:r w:rsidRPr="00416677">
        <w:rPr>
          <w:rFonts w:cs="Arial"/>
          <w:szCs w:val="20"/>
        </w:rPr>
        <w:t>Warstwa wiążąca – warstwa nawierzchni między warstwą ścieralną a podbudową.</w:t>
      </w:r>
    </w:p>
    <w:p w14:paraId="14AA6D1F" w14:textId="77777777" w:rsidR="00416677" w:rsidRPr="00416677" w:rsidRDefault="00416677" w:rsidP="00416677">
      <w:pPr>
        <w:spacing w:before="120" w:line="240" w:lineRule="auto"/>
        <w:rPr>
          <w:rFonts w:cs="Arial"/>
          <w:szCs w:val="20"/>
        </w:rPr>
      </w:pPr>
      <w:r w:rsidRPr="00416677">
        <w:rPr>
          <w:rFonts w:cs="Arial"/>
          <w:b/>
          <w:szCs w:val="20"/>
        </w:rPr>
        <w:t xml:space="preserve">1.4.5. </w:t>
      </w:r>
      <w:r w:rsidRPr="00416677">
        <w:rPr>
          <w:rFonts w:cs="Arial"/>
          <w:szCs w:val="20"/>
        </w:rPr>
        <w:t>Podbudowa – główny element konstrukcyjny nawierzchni przenoszący obciążenia na warstwę podłoża, który może być ułożony w jednej lub kilku warstwach.</w:t>
      </w:r>
    </w:p>
    <w:p w14:paraId="6928F03D" w14:textId="77777777" w:rsidR="00416677" w:rsidRPr="00416677" w:rsidRDefault="00416677" w:rsidP="00416677">
      <w:pPr>
        <w:spacing w:before="120" w:line="240" w:lineRule="auto"/>
        <w:rPr>
          <w:rFonts w:cs="Arial"/>
          <w:szCs w:val="20"/>
        </w:rPr>
      </w:pPr>
      <w:r w:rsidRPr="00416677">
        <w:rPr>
          <w:rFonts w:cs="Arial"/>
          <w:b/>
          <w:szCs w:val="20"/>
        </w:rPr>
        <w:t>1.4.6.</w:t>
      </w:r>
      <w:r w:rsidRPr="00416677">
        <w:rPr>
          <w:rFonts w:cs="Arial"/>
          <w:szCs w:val="20"/>
        </w:rPr>
        <w:t xml:space="preserve"> Mieszanka mineralno-asfaltowa – mieszanka kruszywa i lepiszcza asfaltowego.</w:t>
      </w:r>
    </w:p>
    <w:p w14:paraId="629533EB" w14:textId="77777777" w:rsidR="00416677" w:rsidRPr="00416677" w:rsidRDefault="00416677" w:rsidP="00416677">
      <w:pPr>
        <w:spacing w:before="120" w:line="240" w:lineRule="auto"/>
        <w:rPr>
          <w:rFonts w:cs="Arial"/>
          <w:szCs w:val="20"/>
        </w:rPr>
      </w:pPr>
      <w:r w:rsidRPr="00416677">
        <w:rPr>
          <w:rFonts w:cs="Arial"/>
          <w:b/>
          <w:szCs w:val="20"/>
        </w:rPr>
        <w:t>1.4.7.</w:t>
      </w:r>
      <w:r w:rsidRPr="00416677">
        <w:rPr>
          <w:rFonts w:cs="Arial"/>
          <w:szCs w:val="20"/>
        </w:rPr>
        <w:t xml:space="preserve"> Beton asfaltowy – mieszanka mineralno-asfaltowa, w której kruszywo o uziarnieniu ciągłym lub nieciągłym tworzy strukturę wzajemnie klinującą się.</w:t>
      </w:r>
    </w:p>
    <w:p w14:paraId="10F59D75" w14:textId="77777777" w:rsidR="00416677" w:rsidRPr="00416677" w:rsidRDefault="00416677" w:rsidP="00416677">
      <w:pPr>
        <w:spacing w:before="120" w:line="240" w:lineRule="auto"/>
        <w:rPr>
          <w:rFonts w:cs="Arial"/>
          <w:szCs w:val="20"/>
        </w:rPr>
      </w:pPr>
      <w:r w:rsidRPr="00416677">
        <w:rPr>
          <w:rFonts w:cs="Arial"/>
          <w:b/>
          <w:szCs w:val="20"/>
        </w:rPr>
        <w:t>1.4.8.</w:t>
      </w:r>
      <w:r w:rsidRPr="00416677">
        <w:rPr>
          <w:rFonts w:cs="Arial"/>
          <w:szCs w:val="20"/>
        </w:rPr>
        <w:t xml:space="preserve"> Mieszanka SMA – mieszanka mastyksowo-grysowa, będąca mieszanką mineralno-asfaltową, składająca się z grubego łamanego kruszywa o nieciągłym uziarnieniu, związanego zaprawą mastyksową.</w:t>
      </w:r>
    </w:p>
    <w:p w14:paraId="39A6583D" w14:textId="77777777" w:rsidR="00416677" w:rsidRPr="00416677" w:rsidRDefault="00416677" w:rsidP="00416677">
      <w:pPr>
        <w:spacing w:line="240" w:lineRule="auto"/>
        <w:rPr>
          <w:rFonts w:cs="Arial"/>
          <w:szCs w:val="20"/>
        </w:rPr>
      </w:pPr>
      <w:r w:rsidRPr="00416677">
        <w:rPr>
          <w:rFonts w:cs="Arial"/>
          <w:b/>
          <w:szCs w:val="20"/>
        </w:rPr>
        <w:t>1.4.9.</w:t>
      </w:r>
      <w:r w:rsidRPr="00416677">
        <w:rPr>
          <w:rFonts w:cs="Arial"/>
          <w:szCs w:val="20"/>
        </w:rPr>
        <w:t xml:space="preserve"> Mieszanka SMA LA – mieszanka mineralno-asfaltowa składająca się z grubego łamanego kruszywa o nieciągłym uziarnieniu, związanego zaprawą mastyksową, o zwiększonej zawartości wolnej przestrzeni w celu polepszenia zdolności tłumienia hałasu na styku opona – nawierzchnia asfaltowa.</w:t>
      </w:r>
    </w:p>
    <w:p w14:paraId="3D93E19F" w14:textId="77777777" w:rsidR="00416677" w:rsidRPr="00416677" w:rsidRDefault="00416677" w:rsidP="00416677">
      <w:pPr>
        <w:spacing w:before="120" w:line="240" w:lineRule="auto"/>
        <w:rPr>
          <w:rFonts w:cs="Arial"/>
          <w:szCs w:val="20"/>
        </w:rPr>
      </w:pPr>
      <w:r w:rsidRPr="00416677">
        <w:rPr>
          <w:rFonts w:cs="Arial"/>
          <w:b/>
          <w:szCs w:val="20"/>
        </w:rPr>
        <w:t>1.4.10.</w:t>
      </w:r>
      <w:r w:rsidRPr="00416677">
        <w:rPr>
          <w:rFonts w:cs="Arial"/>
          <w:szCs w:val="20"/>
        </w:rPr>
        <w:t xml:space="preserve"> Mieszanka BBTM – beton asfaltowy do bardzo cienkich warstw grubości od 20 do </w:t>
      </w:r>
      <w:smartTag w:uri="urn:schemas-microsoft-com:office:smarttags" w:element="metricconverter">
        <w:smartTagPr>
          <w:attr w:name="ProductID" w:val="30 mm"/>
        </w:smartTagPr>
        <w:r w:rsidRPr="00416677">
          <w:rPr>
            <w:rFonts w:cs="Arial"/>
            <w:szCs w:val="20"/>
          </w:rPr>
          <w:t>30 mm</w:t>
        </w:r>
      </w:smartTag>
      <w:r w:rsidRPr="00416677">
        <w:rPr>
          <w:rFonts w:cs="Arial"/>
          <w:szCs w:val="20"/>
        </w:rPr>
        <w:t>, w którym kruszywo ma nieciągłe uziarnienie i tworzy połączenia ziarno do ziarna, co zapewnia uzyskanie otwartej tekstury.</w:t>
      </w:r>
    </w:p>
    <w:p w14:paraId="6D4352D9" w14:textId="77777777" w:rsidR="00416677" w:rsidRPr="00416677" w:rsidRDefault="00416677" w:rsidP="00416677">
      <w:pPr>
        <w:spacing w:before="120" w:line="240" w:lineRule="auto"/>
        <w:rPr>
          <w:rFonts w:cs="Arial"/>
          <w:szCs w:val="20"/>
        </w:rPr>
      </w:pPr>
      <w:r w:rsidRPr="00416677">
        <w:rPr>
          <w:rFonts w:cs="Arial"/>
          <w:b/>
          <w:szCs w:val="20"/>
        </w:rPr>
        <w:t>1.4.11.</w:t>
      </w:r>
      <w:r w:rsidRPr="00416677">
        <w:rPr>
          <w:rFonts w:cs="Arial"/>
          <w:szCs w:val="20"/>
        </w:rPr>
        <w:t xml:space="preserve"> Asfalt lany – mieszanka mineralno-asfaltowa o bardzo małej zawartości wolnych przestrzeni, w której objętość wypełniacza i lepiszcza jest większa niż objętość wolnych przestrzeni w kruszywie.</w:t>
      </w:r>
    </w:p>
    <w:p w14:paraId="4ACE309D" w14:textId="77777777" w:rsidR="00416677" w:rsidRPr="00416677" w:rsidRDefault="00416677" w:rsidP="00416677">
      <w:pPr>
        <w:spacing w:before="120" w:line="240" w:lineRule="auto"/>
        <w:rPr>
          <w:rFonts w:cs="Arial"/>
          <w:szCs w:val="20"/>
        </w:rPr>
      </w:pPr>
      <w:r w:rsidRPr="00416677">
        <w:rPr>
          <w:rFonts w:cs="Arial"/>
          <w:b/>
          <w:szCs w:val="20"/>
        </w:rPr>
        <w:t>1.4.12.</w:t>
      </w:r>
      <w:r w:rsidRPr="00416677">
        <w:rPr>
          <w:rFonts w:cs="Arial"/>
          <w:szCs w:val="20"/>
        </w:rPr>
        <w:t xml:space="preserve"> Asfalt porowaty –  mieszanka mineralno-asfaltowa o bardzo dużej zawartości połączonych wolnych przestrzeni, które umożliwiają przepływ wody i powietrza, co zapewnia właściwości drenażowe i zmniejszające hałas.</w:t>
      </w:r>
    </w:p>
    <w:p w14:paraId="632BD285" w14:textId="77777777" w:rsidR="00416677" w:rsidRPr="00416677" w:rsidRDefault="00416677" w:rsidP="00416677">
      <w:pPr>
        <w:spacing w:before="120" w:line="240" w:lineRule="auto"/>
        <w:rPr>
          <w:rFonts w:cs="Arial"/>
          <w:szCs w:val="20"/>
        </w:rPr>
      </w:pPr>
      <w:r w:rsidRPr="00416677">
        <w:rPr>
          <w:rFonts w:cs="Arial"/>
          <w:b/>
          <w:szCs w:val="20"/>
        </w:rPr>
        <w:t>1.4.13.</w:t>
      </w:r>
      <w:r w:rsidRPr="00416677">
        <w:rPr>
          <w:rFonts w:cs="Arial"/>
          <w:szCs w:val="20"/>
        </w:rPr>
        <w:t xml:space="preserve">  Emulsja asfaltowa – emulsja będąca zawiesiną asfaltu w wodzie, w której fazą zdyspergowaną (rozproszoną) jest asfalt, a fazą ciągłą jest woda lub roztwór wodny.</w:t>
      </w:r>
    </w:p>
    <w:p w14:paraId="23383034" w14:textId="77777777" w:rsidR="00416677" w:rsidRPr="00416677" w:rsidRDefault="00416677" w:rsidP="00416677">
      <w:pPr>
        <w:spacing w:before="120" w:line="240" w:lineRule="auto"/>
        <w:rPr>
          <w:rFonts w:cs="Arial"/>
          <w:szCs w:val="20"/>
        </w:rPr>
      </w:pPr>
      <w:r w:rsidRPr="00416677">
        <w:rPr>
          <w:rFonts w:cs="Arial"/>
          <w:b/>
          <w:szCs w:val="20"/>
        </w:rPr>
        <w:t>1.4.14.</w:t>
      </w:r>
      <w:r w:rsidRPr="00416677">
        <w:rPr>
          <w:rFonts w:cs="Arial"/>
          <w:szCs w:val="20"/>
        </w:rPr>
        <w:t xml:space="preserve"> Kationowa emulsja asfaltowa – emulsja, w której emulgator nadaje dodatnie ładunki cząstkom zdyspergowanego asfaltu.</w:t>
      </w:r>
    </w:p>
    <w:p w14:paraId="3D9E0658" w14:textId="77777777" w:rsidR="00416677" w:rsidRPr="00416677" w:rsidRDefault="00416677" w:rsidP="00416677">
      <w:pPr>
        <w:spacing w:before="120" w:line="240" w:lineRule="auto"/>
        <w:rPr>
          <w:rFonts w:cs="Arial"/>
          <w:szCs w:val="20"/>
        </w:rPr>
      </w:pPr>
      <w:r w:rsidRPr="00416677">
        <w:rPr>
          <w:rFonts w:cs="Arial"/>
          <w:b/>
          <w:szCs w:val="20"/>
        </w:rPr>
        <w:t>1.4.15.</w:t>
      </w:r>
      <w:r w:rsidRPr="00416677">
        <w:rPr>
          <w:rFonts w:cs="Arial"/>
          <w:szCs w:val="20"/>
        </w:rPr>
        <w:t xml:space="preserve"> Emulsja asfaltowa modyfikowana polimerami – emulsja, w której asfalt jest modyfikowany polimerami albo jest to emulsja modyfikowana lateksem kationowym.</w:t>
      </w:r>
    </w:p>
    <w:p w14:paraId="7266346F" w14:textId="77777777" w:rsidR="00416677" w:rsidRPr="00416677" w:rsidRDefault="00416677" w:rsidP="00416677">
      <w:pPr>
        <w:spacing w:before="120" w:line="240" w:lineRule="auto"/>
        <w:rPr>
          <w:rFonts w:cs="Arial"/>
          <w:szCs w:val="20"/>
        </w:rPr>
      </w:pPr>
      <w:r w:rsidRPr="00416677">
        <w:rPr>
          <w:rFonts w:cs="Arial"/>
          <w:b/>
          <w:szCs w:val="20"/>
        </w:rPr>
        <w:t>1.4.16.</w:t>
      </w:r>
      <w:r w:rsidRPr="00416677">
        <w:rPr>
          <w:rFonts w:cs="Arial"/>
          <w:szCs w:val="20"/>
        </w:rPr>
        <w:t xml:space="preserve"> Połączenie </w:t>
      </w:r>
      <w:proofErr w:type="spellStart"/>
      <w:r w:rsidRPr="00416677">
        <w:rPr>
          <w:rFonts w:cs="Arial"/>
          <w:szCs w:val="20"/>
        </w:rPr>
        <w:t>międzywarstwowe</w:t>
      </w:r>
      <w:proofErr w:type="spellEnd"/>
      <w:r w:rsidRPr="00416677">
        <w:rPr>
          <w:rFonts w:cs="Arial"/>
          <w:szCs w:val="20"/>
        </w:rPr>
        <w:t xml:space="preserve"> – związanie asfaltowych warstw konstrukcyjnych nawierzchni i podbudowy  z kruszyw przez skropienie warstwy dolnej emulsją asfaltową w celu zwiększenia wytrzymałości zespołu warstw (dolnej i górnej) i uniemożliwienia penetracji wody między warstwami.</w:t>
      </w:r>
    </w:p>
    <w:p w14:paraId="55F677B1" w14:textId="77777777" w:rsidR="00416677" w:rsidRPr="00416677" w:rsidRDefault="00416677" w:rsidP="00416677">
      <w:pPr>
        <w:spacing w:before="120" w:line="240" w:lineRule="auto"/>
        <w:rPr>
          <w:rFonts w:cs="Arial"/>
          <w:szCs w:val="20"/>
        </w:rPr>
      </w:pPr>
      <w:r w:rsidRPr="00416677">
        <w:rPr>
          <w:rFonts w:cs="Arial"/>
          <w:b/>
          <w:szCs w:val="20"/>
        </w:rPr>
        <w:t>1.4.17.</w:t>
      </w:r>
      <w:r w:rsidRPr="00416677">
        <w:rPr>
          <w:rFonts w:cs="Arial"/>
          <w:szCs w:val="20"/>
        </w:rPr>
        <w:t xml:space="preserve"> Mieszanka niezwiązana – ziarnisty materiał (kruszywa naturalne, sztuczne, z recyklingu lub mieszaniny tych kruszyw), który jest stosowany do wykonania ulepszonego podłoża gruntowego lub warstw konstrukcji nawierzchni dróg.</w:t>
      </w:r>
    </w:p>
    <w:p w14:paraId="6B5A9465" w14:textId="77777777" w:rsidR="00416677" w:rsidRPr="00416677" w:rsidRDefault="00416677" w:rsidP="00416677">
      <w:pPr>
        <w:spacing w:before="120" w:line="240" w:lineRule="auto"/>
        <w:rPr>
          <w:rFonts w:cs="Arial"/>
          <w:szCs w:val="20"/>
        </w:rPr>
      </w:pPr>
      <w:r w:rsidRPr="00416677">
        <w:rPr>
          <w:rFonts w:cs="Arial"/>
          <w:b/>
          <w:szCs w:val="20"/>
        </w:rPr>
        <w:t>1.4.18.</w:t>
      </w:r>
      <w:r w:rsidRPr="00416677">
        <w:rPr>
          <w:rFonts w:cs="Arial"/>
          <w:szCs w:val="20"/>
        </w:rPr>
        <w:t xml:space="preserve"> Mieszanka związana spoiwem hydraulicznym – mieszanka z kruszywa naturalnego, sztucznego, z recyklingu lub ich mieszanina oraz spoiwa hydraulicznego, w której następuje wiązanie i twardnienie na skutek reakcji hydraulicznych.</w:t>
      </w:r>
    </w:p>
    <w:p w14:paraId="0CFBD165" w14:textId="77777777" w:rsidR="00416677" w:rsidRPr="00416677" w:rsidRDefault="00416677" w:rsidP="00416677">
      <w:pPr>
        <w:spacing w:before="120" w:line="240" w:lineRule="auto"/>
        <w:rPr>
          <w:rFonts w:cs="Arial"/>
          <w:szCs w:val="20"/>
        </w:rPr>
      </w:pPr>
      <w:r w:rsidRPr="00416677">
        <w:rPr>
          <w:rFonts w:cs="Arial"/>
          <w:b/>
          <w:szCs w:val="20"/>
        </w:rPr>
        <w:t>1.4.19.</w:t>
      </w:r>
      <w:r w:rsidRPr="00416677">
        <w:rPr>
          <w:rFonts w:cs="Arial"/>
          <w:szCs w:val="20"/>
        </w:rPr>
        <w:t xml:space="preserve"> Kategoria ruchu (KR1-KR7) – obciążenie drogi ruchem samochodowym, wyrażone w osiach obliczeniowych (100 kN) według „Katalogu typowych konstrukcji nawierzchni podatnych i półsztywnych” [24].</w:t>
      </w:r>
    </w:p>
    <w:p w14:paraId="339CB5FB" w14:textId="77777777" w:rsidR="00416677" w:rsidRPr="00416677" w:rsidRDefault="00416677" w:rsidP="00416677">
      <w:pPr>
        <w:spacing w:before="120" w:line="240" w:lineRule="auto"/>
        <w:rPr>
          <w:rFonts w:cs="Arial"/>
          <w:szCs w:val="20"/>
          <w:lang w:val="en-US"/>
        </w:rPr>
      </w:pPr>
      <w:r w:rsidRPr="00416677">
        <w:rPr>
          <w:rFonts w:cs="Arial"/>
          <w:b/>
          <w:szCs w:val="20"/>
          <w:lang w:val="en-US"/>
        </w:rPr>
        <w:lastRenderedPageBreak/>
        <w:t>1.4.20.</w:t>
      </w:r>
      <w:r w:rsidRPr="00416677">
        <w:rPr>
          <w:rFonts w:cs="Arial"/>
          <w:szCs w:val="20"/>
          <w:lang w:val="en-US"/>
        </w:rPr>
        <w:t xml:space="preserve"> </w:t>
      </w:r>
      <w:proofErr w:type="spellStart"/>
      <w:r w:rsidRPr="00416677">
        <w:rPr>
          <w:rFonts w:cs="Arial"/>
          <w:szCs w:val="20"/>
          <w:lang w:val="en-US"/>
        </w:rPr>
        <w:t>Symbole</w:t>
      </w:r>
      <w:proofErr w:type="spellEnd"/>
      <w:r w:rsidRPr="00416677">
        <w:rPr>
          <w:rFonts w:cs="Arial"/>
          <w:szCs w:val="20"/>
          <w:lang w:val="en-US"/>
        </w:rPr>
        <w:t xml:space="preserve"> </w:t>
      </w:r>
      <w:proofErr w:type="spellStart"/>
      <w:r w:rsidRPr="00416677">
        <w:rPr>
          <w:rFonts w:cs="Arial"/>
          <w:szCs w:val="20"/>
          <w:lang w:val="en-US"/>
        </w:rPr>
        <w:t>i</w:t>
      </w:r>
      <w:proofErr w:type="spellEnd"/>
      <w:r w:rsidRPr="00416677">
        <w:rPr>
          <w:rFonts w:cs="Arial"/>
          <w:szCs w:val="20"/>
          <w:lang w:val="en-US"/>
        </w:rPr>
        <w:t xml:space="preserve"> </w:t>
      </w:r>
      <w:proofErr w:type="spellStart"/>
      <w:r w:rsidRPr="00416677">
        <w:rPr>
          <w:rFonts w:cs="Arial"/>
          <w:szCs w:val="20"/>
          <w:lang w:val="en-US"/>
        </w:rPr>
        <w:t>skróty</w:t>
      </w:r>
      <w:proofErr w:type="spellEnd"/>
    </w:p>
    <w:p w14:paraId="1DFE310F" w14:textId="77777777" w:rsidR="00416677" w:rsidRPr="00416677" w:rsidRDefault="00416677" w:rsidP="00416677">
      <w:pPr>
        <w:tabs>
          <w:tab w:val="left" w:pos="851"/>
          <w:tab w:val="left" w:pos="964"/>
        </w:tabs>
        <w:spacing w:before="120" w:line="240" w:lineRule="auto"/>
        <w:ind w:left="964" w:hanging="964"/>
        <w:rPr>
          <w:rFonts w:cs="Arial"/>
          <w:szCs w:val="20"/>
          <w:lang w:val="en-US"/>
        </w:rPr>
      </w:pPr>
      <w:r w:rsidRPr="00416677">
        <w:rPr>
          <w:rFonts w:cs="Arial"/>
          <w:szCs w:val="20"/>
          <w:lang w:val="en-US"/>
        </w:rPr>
        <w:t>AC</w:t>
      </w:r>
      <w:r w:rsidRPr="00416677">
        <w:rPr>
          <w:rFonts w:cs="Arial"/>
          <w:szCs w:val="20"/>
          <w:lang w:val="en-US"/>
        </w:rPr>
        <w:tab/>
        <w:t>-</w:t>
      </w:r>
      <w:r w:rsidRPr="00416677">
        <w:rPr>
          <w:rFonts w:cs="Arial"/>
          <w:szCs w:val="20"/>
          <w:lang w:val="en-US"/>
        </w:rPr>
        <w:tab/>
      </w:r>
      <w:proofErr w:type="spellStart"/>
      <w:r w:rsidRPr="00416677">
        <w:rPr>
          <w:rFonts w:cs="Arial"/>
          <w:szCs w:val="20"/>
          <w:lang w:val="en-US"/>
        </w:rPr>
        <w:t>beton</w:t>
      </w:r>
      <w:proofErr w:type="spellEnd"/>
      <w:r w:rsidRPr="00416677">
        <w:rPr>
          <w:rFonts w:cs="Arial"/>
          <w:szCs w:val="20"/>
          <w:lang w:val="en-US"/>
        </w:rPr>
        <w:t xml:space="preserve"> </w:t>
      </w:r>
      <w:proofErr w:type="spellStart"/>
      <w:r w:rsidRPr="00416677">
        <w:rPr>
          <w:rFonts w:cs="Arial"/>
          <w:szCs w:val="20"/>
          <w:lang w:val="en-US"/>
        </w:rPr>
        <w:t>asfaltowy</w:t>
      </w:r>
      <w:proofErr w:type="spellEnd"/>
      <w:r w:rsidRPr="00416677">
        <w:rPr>
          <w:rFonts w:cs="Arial"/>
          <w:szCs w:val="20"/>
          <w:lang w:val="en-US"/>
        </w:rPr>
        <w:t xml:space="preserve"> (ang. Asphalt Concrete)</w:t>
      </w:r>
    </w:p>
    <w:p w14:paraId="3BACBBE1" w14:textId="77777777" w:rsidR="00416677" w:rsidRPr="00416677" w:rsidRDefault="00416677" w:rsidP="00416677">
      <w:pPr>
        <w:tabs>
          <w:tab w:val="left" w:pos="851"/>
          <w:tab w:val="left" w:pos="964"/>
        </w:tabs>
        <w:spacing w:line="240" w:lineRule="auto"/>
        <w:ind w:left="964" w:hanging="964"/>
        <w:rPr>
          <w:rFonts w:cs="Arial"/>
          <w:szCs w:val="20"/>
          <w:lang w:val="en-US"/>
        </w:rPr>
      </w:pPr>
      <w:r w:rsidRPr="00416677">
        <w:rPr>
          <w:rFonts w:cs="Arial"/>
          <w:szCs w:val="20"/>
        </w:rPr>
        <w:t>BBTM</w:t>
      </w:r>
      <w:r w:rsidRPr="00416677">
        <w:rPr>
          <w:rFonts w:cs="Arial"/>
          <w:szCs w:val="20"/>
        </w:rPr>
        <w:tab/>
        <w:t>-</w:t>
      </w:r>
      <w:r w:rsidRPr="00416677">
        <w:rPr>
          <w:rFonts w:cs="Arial"/>
          <w:szCs w:val="20"/>
        </w:rPr>
        <w:tab/>
        <w:t xml:space="preserve">beton asfaltowy do bardzo cienkich warstw (franc. </w:t>
      </w:r>
      <w:r w:rsidRPr="00416677">
        <w:rPr>
          <w:rFonts w:cs="Arial"/>
          <w:szCs w:val="20"/>
          <w:lang w:val="en-US"/>
        </w:rPr>
        <w:t xml:space="preserve">Béton </w:t>
      </w:r>
      <w:proofErr w:type="spellStart"/>
      <w:r w:rsidRPr="00416677">
        <w:rPr>
          <w:rFonts w:cs="Arial"/>
          <w:szCs w:val="20"/>
          <w:lang w:val="en-US"/>
        </w:rPr>
        <w:t>bitumineux</w:t>
      </w:r>
      <w:proofErr w:type="spellEnd"/>
      <w:r w:rsidRPr="00416677">
        <w:rPr>
          <w:rFonts w:cs="Arial"/>
          <w:szCs w:val="20"/>
          <w:lang w:val="en-US"/>
        </w:rPr>
        <w:t xml:space="preserve"> </w:t>
      </w:r>
      <w:proofErr w:type="spellStart"/>
      <w:r w:rsidRPr="00416677">
        <w:rPr>
          <w:rFonts w:cs="Arial"/>
          <w:szCs w:val="20"/>
          <w:lang w:val="en-US"/>
        </w:rPr>
        <w:t>trés</w:t>
      </w:r>
      <w:proofErr w:type="spellEnd"/>
      <w:r w:rsidRPr="00416677">
        <w:rPr>
          <w:rFonts w:cs="Arial"/>
          <w:szCs w:val="20"/>
          <w:lang w:val="en-US"/>
        </w:rPr>
        <w:t xml:space="preserve"> mince)</w:t>
      </w:r>
    </w:p>
    <w:p w14:paraId="6CB07FC0" w14:textId="77777777" w:rsidR="00416677" w:rsidRPr="00416677" w:rsidRDefault="00416677" w:rsidP="00416677">
      <w:pPr>
        <w:tabs>
          <w:tab w:val="left" w:pos="851"/>
          <w:tab w:val="left" w:pos="964"/>
        </w:tabs>
        <w:spacing w:line="240" w:lineRule="auto"/>
        <w:ind w:left="964" w:hanging="964"/>
        <w:rPr>
          <w:rFonts w:cs="Arial"/>
          <w:szCs w:val="20"/>
        </w:rPr>
      </w:pPr>
      <w:r w:rsidRPr="00416677">
        <w:rPr>
          <w:rFonts w:cs="Arial"/>
          <w:szCs w:val="20"/>
          <w:lang w:val="en-US"/>
        </w:rPr>
        <w:t>MA</w:t>
      </w:r>
      <w:r w:rsidRPr="00416677">
        <w:rPr>
          <w:rFonts w:cs="Arial"/>
          <w:szCs w:val="20"/>
          <w:lang w:val="en-US"/>
        </w:rPr>
        <w:tab/>
        <w:t>-</w:t>
      </w:r>
      <w:r w:rsidRPr="00416677">
        <w:rPr>
          <w:rFonts w:cs="Arial"/>
          <w:szCs w:val="20"/>
          <w:lang w:val="en-US"/>
        </w:rPr>
        <w:tab/>
      </w:r>
      <w:proofErr w:type="spellStart"/>
      <w:r w:rsidRPr="00416677">
        <w:rPr>
          <w:rFonts w:cs="Arial"/>
          <w:szCs w:val="20"/>
          <w:lang w:val="en-US"/>
        </w:rPr>
        <w:t>asfalt</w:t>
      </w:r>
      <w:proofErr w:type="spellEnd"/>
      <w:r w:rsidRPr="00416677">
        <w:rPr>
          <w:rFonts w:cs="Arial"/>
          <w:szCs w:val="20"/>
          <w:lang w:val="en-US"/>
        </w:rPr>
        <w:t xml:space="preserve"> </w:t>
      </w:r>
      <w:proofErr w:type="spellStart"/>
      <w:r w:rsidRPr="00416677">
        <w:rPr>
          <w:rFonts w:cs="Arial"/>
          <w:szCs w:val="20"/>
          <w:lang w:val="en-US"/>
        </w:rPr>
        <w:t>lany</w:t>
      </w:r>
      <w:proofErr w:type="spellEnd"/>
      <w:r w:rsidRPr="00416677">
        <w:rPr>
          <w:rFonts w:cs="Arial"/>
          <w:szCs w:val="20"/>
          <w:lang w:val="en-US"/>
        </w:rPr>
        <w:t xml:space="preserve"> (ang. </w:t>
      </w:r>
      <w:proofErr w:type="spellStart"/>
      <w:r w:rsidRPr="00416677">
        <w:rPr>
          <w:rFonts w:cs="Arial"/>
          <w:szCs w:val="20"/>
        </w:rPr>
        <w:t>Mastic</w:t>
      </w:r>
      <w:proofErr w:type="spellEnd"/>
      <w:r w:rsidRPr="00416677">
        <w:rPr>
          <w:rFonts w:cs="Arial"/>
          <w:szCs w:val="20"/>
        </w:rPr>
        <w:t xml:space="preserve"> </w:t>
      </w:r>
      <w:proofErr w:type="spellStart"/>
      <w:r w:rsidRPr="00416677">
        <w:rPr>
          <w:rFonts w:cs="Arial"/>
          <w:szCs w:val="20"/>
        </w:rPr>
        <w:t>Asphalt</w:t>
      </w:r>
      <w:proofErr w:type="spellEnd"/>
      <w:r w:rsidRPr="00416677">
        <w:rPr>
          <w:rFonts w:cs="Arial"/>
          <w:szCs w:val="20"/>
        </w:rPr>
        <w:t>)</w:t>
      </w:r>
    </w:p>
    <w:p w14:paraId="4A21E0DC" w14:textId="77777777" w:rsidR="00416677" w:rsidRPr="00416677" w:rsidRDefault="00416677" w:rsidP="00416677">
      <w:pPr>
        <w:tabs>
          <w:tab w:val="left" w:pos="851"/>
          <w:tab w:val="left" w:pos="964"/>
        </w:tabs>
        <w:spacing w:line="240" w:lineRule="auto"/>
        <w:ind w:left="964" w:hanging="964"/>
        <w:rPr>
          <w:rFonts w:cs="Arial"/>
          <w:szCs w:val="20"/>
        </w:rPr>
      </w:pPr>
      <w:proofErr w:type="spellStart"/>
      <w:r w:rsidRPr="00416677">
        <w:rPr>
          <w:rFonts w:cs="Arial"/>
          <w:szCs w:val="20"/>
        </w:rPr>
        <w:t>mma</w:t>
      </w:r>
      <w:proofErr w:type="spellEnd"/>
      <w:r w:rsidRPr="00416677">
        <w:rPr>
          <w:rFonts w:cs="Arial"/>
          <w:szCs w:val="20"/>
        </w:rPr>
        <w:tab/>
        <w:t>-</w:t>
      </w:r>
      <w:r w:rsidRPr="00416677">
        <w:rPr>
          <w:rFonts w:cs="Arial"/>
          <w:szCs w:val="20"/>
        </w:rPr>
        <w:tab/>
        <w:t xml:space="preserve">mieszanka </w:t>
      </w:r>
      <w:proofErr w:type="spellStart"/>
      <w:r w:rsidRPr="00416677">
        <w:rPr>
          <w:rFonts w:cs="Arial"/>
          <w:szCs w:val="20"/>
        </w:rPr>
        <w:t>mineralno</w:t>
      </w:r>
      <w:proofErr w:type="spellEnd"/>
      <w:r w:rsidRPr="00416677">
        <w:rPr>
          <w:rFonts w:cs="Arial"/>
          <w:szCs w:val="20"/>
        </w:rPr>
        <w:t xml:space="preserve"> asfaltowa</w:t>
      </w:r>
    </w:p>
    <w:p w14:paraId="10BC385C" w14:textId="77777777" w:rsidR="00416677" w:rsidRPr="00416677" w:rsidRDefault="00416677" w:rsidP="00416677">
      <w:pPr>
        <w:tabs>
          <w:tab w:val="left" w:pos="851"/>
          <w:tab w:val="left" w:pos="964"/>
        </w:tabs>
        <w:spacing w:line="240" w:lineRule="auto"/>
        <w:ind w:left="964" w:hanging="964"/>
        <w:rPr>
          <w:rFonts w:cs="Arial"/>
          <w:szCs w:val="20"/>
        </w:rPr>
      </w:pPr>
      <w:r w:rsidRPr="00416677">
        <w:rPr>
          <w:rFonts w:cs="Arial"/>
          <w:szCs w:val="20"/>
        </w:rPr>
        <w:t>PA</w:t>
      </w:r>
      <w:r w:rsidRPr="00416677">
        <w:rPr>
          <w:rFonts w:cs="Arial"/>
          <w:szCs w:val="20"/>
        </w:rPr>
        <w:tab/>
        <w:t>-</w:t>
      </w:r>
      <w:r w:rsidRPr="00416677">
        <w:rPr>
          <w:rFonts w:cs="Arial"/>
          <w:szCs w:val="20"/>
        </w:rPr>
        <w:tab/>
        <w:t xml:space="preserve">asfalt porowaty (ang. </w:t>
      </w:r>
      <w:proofErr w:type="spellStart"/>
      <w:r w:rsidRPr="00416677">
        <w:rPr>
          <w:rFonts w:cs="Arial"/>
          <w:szCs w:val="20"/>
        </w:rPr>
        <w:t>Porous</w:t>
      </w:r>
      <w:proofErr w:type="spellEnd"/>
      <w:r w:rsidRPr="00416677">
        <w:rPr>
          <w:rFonts w:cs="Arial"/>
          <w:szCs w:val="20"/>
        </w:rPr>
        <w:t xml:space="preserve"> </w:t>
      </w:r>
      <w:proofErr w:type="spellStart"/>
      <w:r w:rsidRPr="00416677">
        <w:rPr>
          <w:rFonts w:cs="Arial"/>
          <w:szCs w:val="20"/>
        </w:rPr>
        <w:t>Asphalt</w:t>
      </w:r>
      <w:proofErr w:type="spellEnd"/>
      <w:r w:rsidRPr="00416677">
        <w:rPr>
          <w:rFonts w:cs="Arial"/>
          <w:szCs w:val="20"/>
        </w:rPr>
        <w:t>)</w:t>
      </w:r>
    </w:p>
    <w:p w14:paraId="1FCACC22" w14:textId="77777777" w:rsidR="00416677" w:rsidRPr="00416677" w:rsidRDefault="00416677" w:rsidP="00416677">
      <w:pPr>
        <w:tabs>
          <w:tab w:val="left" w:pos="851"/>
          <w:tab w:val="left" w:pos="964"/>
        </w:tabs>
        <w:spacing w:line="240" w:lineRule="auto"/>
        <w:ind w:left="964" w:hanging="964"/>
        <w:rPr>
          <w:rFonts w:cs="Arial"/>
          <w:szCs w:val="20"/>
        </w:rPr>
      </w:pPr>
      <w:proofErr w:type="spellStart"/>
      <w:r w:rsidRPr="00416677">
        <w:rPr>
          <w:rFonts w:cs="Arial"/>
          <w:szCs w:val="20"/>
        </w:rPr>
        <w:t>pH</w:t>
      </w:r>
      <w:proofErr w:type="spellEnd"/>
      <w:r w:rsidRPr="00416677">
        <w:rPr>
          <w:rFonts w:cs="Arial"/>
          <w:szCs w:val="20"/>
        </w:rPr>
        <w:tab/>
        <w:t>-</w:t>
      </w:r>
      <w:r w:rsidRPr="00416677">
        <w:rPr>
          <w:rFonts w:cs="Arial"/>
          <w:szCs w:val="20"/>
        </w:rPr>
        <w:tab/>
        <w:t>wykładnik stężenia jonów wodorowych</w:t>
      </w:r>
    </w:p>
    <w:p w14:paraId="4205FC5C" w14:textId="77777777" w:rsidR="00416677" w:rsidRPr="00416677" w:rsidRDefault="00416677" w:rsidP="00416677">
      <w:pPr>
        <w:tabs>
          <w:tab w:val="left" w:pos="851"/>
          <w:tab w:val="left" w:pos="964"/>
        </w:tabs>
        <w:spacing w:line="240" w:lineRule="auto"/>
        <w:ind w:left="964" w:hanging="964"/>
        <w:rPr>
          <w:rFonts w:cs="Arial"/>
          <w:szCs w:val="20"/>
          <w:lang w:val="en-US"/>
        </w:rPr>
      </w:pPr>
      <w:r w:rsidRPr="00416677">
        <w:rPr>
          <w:rFonts w:cs="Arial"/>
          <w:szCs w:val="20"/>
          <w:lang w:val="en-US"/>
        </w:rPr>
        <w:t>SMA</w:t>
      </w:r>
      <w:r w:rsidRPr="00416677">
        <w:rPr>
          <w:rFonts w:cs="Arial"/>
          <w:szCs w:val="20"/>
          <w:lang w:val="en-US"/>
        </w:rPr>
        <w:tab/>
        <w:t>-</w:t>
      </w:r>
      <w:r w:rsidRPr="00416677">
        <w:rPr>
          <w:rFonts w:cs="Arial"/>
          <w:szCs w:val="20"/>
          <w:lang w:val="en-US"/>
        </w:rPr>
        <w:tab/>
      </w:r>
      <w:proofErr w:type="spellStart"/>
      <w:r w:rsidRPr="00416677">
        <w:rPr>
          <w:rFonts w:cs="Arial"/>
          <w:szCs w:val="20"/>
          <w:lang w:val="en-US"/>
        </w:rPr>
        <w:t>mastyks</w:t>
      </w:r>
      <w:proofErr w:type="spellEnd"/>
      <w:r w:rsidRPr="00416677">
        <w:rPr>
          <w:rFonts w:cs="Arial"/>
          <w:szCs w:val="20"/>
          <w:lang w:val="en-US"/>
        </w:rPr>
        <w:t xml:space="preserve"> </w:t>
      </w:r>
      <w:proofErr w:type="spellStart"/>
      <w:r w:rsidRPr="00416677">
        <w:rPr>
          <w:rFonts w:cs="Arial"/>
          <w:szCs w:val="20"/>
          <w:lang w:val="en-US"/>
        </w:rPr>
        <w:t>grysowy</w:t>
      </w:r>
      <w:proofErr w:type="spellEnd"/>
      <w:r w:rsidRPr="00416677">
        <w:rPr>
          <w:rFonts w:cs="Arial"/>
          <w:szCs w:val="20"/>
          <w:lang w:val="en-US"/>
        </w:rPr>
        <w:t xml:space="preserve"> (ang. Stone Mastic Asphalt)</w:t>
      </w:r>
    </w:p>
    <w:p w14:paraId="7AAF1E40" w14:textId="77777777" w:rsidR="00416677" w:rsidRPr="00416677" w:rsidRDefault="00416677" w:rsidP="00416677">
      <w:pPr>
        <w:tabs>
          <w:tab w:val="left" w:pos="851"/>
          <w:tab w:val="left" w:pos="964"/>
        </w:tabs>
        <w:spacing w:line="240" w:lineRule="auto"/>
        <w:ind w:left="964" w:hanging="964"/>
        <w:rPr>
          <w:rFonts w:cs="Arial"/>
          <w:szCs w:val="20"/>
        </w:rPr>
      </w:pPr>
      <w:r w:rsidRPr="00416677">
        <w:rPr>
          <w:rFonts w:cs="Arial"/>
          <w:szCs w:val="20"/>
        </w:rPr>
        <w:t>WMS</w:t>
      </w:r>
      <w:r w:rsidRPr="00416677">
        <w:rPr>
          <w:rFonts w:cs="Arial"/>
          <w:szCs w:val="20"/>
        </w:rPr>
        <w:tab/>
        <w:t>-</w:t>
      </w:r>
      <w:r w:rsidRPr="00416677">
        <w:rPr>
          <w:rFonts w:cs="Arial"/>
          <w:szCs w:val="20"/>
        </w:rPr>
        <w:tab/>
        <w:t>wysoki moduł sztywności</w:t>
      </w:r>
    </w:p>
    <w:p w14:paraId="2B286C5F" w14:textId="77777777" w:rsidR="00416677" w:rsidRPr="00416677" w:rsidRDefault="00416677" w:rsidP="00416677">
      <w:pPr>
        <w:tabs>
          <w:tab w:val="left" w:pos="851"/>
          <w:tab w:val="left" w:pos="964"/>
        </w:tabs>
        <w:spacing w:line="240" w:lineRule="auto"/>
        <w:ind w:left="964" w:hanging="964"/>
        <w:rPr>
          <w:rFonts w:cs="Arial"/>
          <w:szCs w:val="20"/>
        </w:rPr>
      </w:pPr>
      <w:r w:rsidRPr="00416677">
        <w:rPr>
          <w:rFonts w:cs="Arial"/>
          <w:szCs w:val="20"/>
        </w:rPr>
        <w:t>%(m/m)</w:t>
      </w:r>
      <w:r w:rsidRPr="00416677">
        <w:rPr>
          <w:rFonts w:cs="Arial"/>
          <w:szCs w:val="20"/>
        </w:rPr>
        <w:tab/>
        <w:t>-</w:t>
      </w:r>
      <w:r w:rsidRPr="00416677">
        <w:rPr>
          <w:rFonts w:cs="Arial"/>
          <w:szCs w:val="20"/>
        </w:rPr>
        <w:tab/>
        <w:t>ułamek masowy wyrażony w procentach</w:t>
      </w:r>
    </w:p>
    <w:p w14:paraId="48D23A60" w14:textId="0A665144" w:rsidR="00416677" w:rsidRPr="00416677" w:rsidRDefault="00416677" w:rsidP="00416677">
      <w:pPr>
        <w:spacing w:before="120" w:line="240" w:lineRule="auto"/>
        <w:rPr>
          <w:rFonts w:cs="Arial"/>
          <w:szCs w:val="20"/>
        </w:rPr>
      </w:pPr>
      <w:r w:rsidRPr="00416677">
        <w:rPr>
          <w:rFonts w:cs="Arial"/>
          <w:b/>
          <w:szCs w:val="20"/>
        </w:rPr>
        <w:t xml:space="preserve">1.4.21. </w:t>
      </w:r>
      <w:r w:rsidRPr="00416677">
        <w:rPr>
          <w:rFonts w:cs="Arial"/>
          <w:szCs w:val="20"/>
        </w:rPr>
        <w:t xml:space="preserve">Pozostałe określenia podstawowe są zgodne z obowiązującymi, odpowiednimi polskimi normami i z definicjami podanymi w </w:t>
      </w:r>
      <w:r w:rsidR="00546967">
        <w:rPr>
          <w:rFonts w:cs="Arial"/>
          <w:szCs w:val="20"/>
        </w:rPr>
        <w:t>S</w:t>
      </w:r>
      <w:r w:rsidRPr="00416677">
        <w:rPr>
          <w:rFonts w:cs="Arial"/>
          <w:szCs w:val="20"/>
        </w:rPr>
        <w:t>ST D-M-00.00.00 „Wymagania ogólne”[1] pkt 1.4.</w:t>
      </w:r>
    </w:p>
    <w:p w14:paraId="441641C0" w14:textId="77777777" w:rsidR="00416677" w:rsidRPr="00416677" w:rsidRDefault="00416677" w:rsidP="00416677">
      <w:pPr>
        <w:pStyle w:val="Nagwek2"/>
        <w:spacing w:line="240" w:lineRule="auto"/>
        <w:rPr>
          <w:rFonts w:cs="Arial"/>
          <w:szCs w:val="20"/>
        </w:rPr>
      </w:pPr>
      <w:r w:rsidRPr="00416677">
        <w:rPr>
          <w:rFonts w:cs="Arial"/>
          <w:szCs w:val="20"/>
        </w:rPr>
        <w:t>1.5. Ogólne wymagania dotyczące robót</w:t>
      </w:r>
    </w:p>
    <w:p w14:paraId="24E54A87" w14:textId="2E35BEF5" w:rsidR="00416677" w:rsidRPr="00416677" w:rsidRDefault="00416677" w:rsidP="00416677">
      <w:pPr>
        <w:spacing w:line="240" w:lineRule="auto"/>
        <w:rPr>
          <w:rFonts w:cs="Arial"/>
          <w:szCs w:val="20"/>
        </w:rPr>
      </w:pPr>
      <w:r w:rsidRPr="00416677">
        <w:rPr>
          <w:rFonts w:cs="Arial"/>
          <w:szCs w:val="20"/>
        </w:rPr>
        <w:tab/>
        <w:t xml:space="preserve">Ogólne wymagania dotyczące robót podano w </w:t>
      </w:r>
      <w:r w:rsidR="00546967">
        <w:rPr>
          <w:rFonts w:cs="Arial"/>
          <w:szCs w:val="20"/>
        </w:rPr>
        <w:t>S</w:t>
      </w:r>
      <w:r w:rsidRPr="00416677">
        <w:rPr>
          <w:rFonts w:cs="Arial"/>
          <w:szCs w:val="20"/>
        </w:rPr>
        <w:t>ST D-M-00.00.00 „Wymagania ogólne” [1] pkt 1.5.</w:t>
      </w:r>
    </w:p>
    <w:p w14:paraId="0B68E67A" w14:textId="77777777" w:rsidR="00416677" w:rsidRPr="00416677" w:rsidRDefault="00416677" w:rsidP="00416677">
      <w:pPr>
        <w:pStyle w:val="Nagwek1"/>
        <w:spacing w:line="240" w:lineRule="auto"/>
        <w:rPr>
          <w:rFonts w:cs="Arial"/>
          <w:szCs w:val="20"/>
        </w:rPr>
      </w:pPr>
      <w:bookmarkStart w:id="774" w:name="_Toc344981394"/>
      <w:r w:rsidRPr="00416677">
        <w:rPr>
          <w:rFonts w:cs="Arial"/>
          <w:szCs w:val="20"/>
        </w:rPr>
        <w:t>2. Materiały</w:t>
      </w:r>
      <w:bookmarkEnd w:id="774"/>
    </w:p>
    <w:p w14:paraId="525E8A18" w14:textId="77777777" w:rsidR="00416677" w:rsidRPr="00416677" w:rsidRDefault="00416677" w:rsidP="00416677">
      <w:pPr>
        <w:pStyle w:val="Nagwek2"/>
        <w:spacing w:line="240" w:lineRule="auto"/>
        <w:rPr>
          <w:rFonts w:cs="Arial"/>
          <w:szCs w:val="20"/>
        </w:rPr>
      </w:pPr>
      <w:bookmarkStart w:id="775" w:name="_Toc344981395"/>
      <w:r w:rsidRPr="00416677">
        <w:rPr>
          <w:rFonts w:cs="Arial"/>
          <w:szCs w:val="20"/>
        </w:rPr>
        <w:t>2.1. Ogólne wymagania dotyczące materiałów</w:t>
      </w:r>
    </w:p>
    <w:p w14:paraId="0FE4A844" w14:textId="4BDCA46B" w:rsidR="00416677" w:rsidRPr="00416677" w:rsidRDefault="00416677" w:rsidP="00416677">
      <w:pPr>
        <w:spacing w:line="240" w:lineRule="auto"/>
        <w:rPr>
          <w:rFonts w:cs="Arial"/>
          <w:szCs w:val="20"/>
        </w:rPr>
      </w:pPr>
      <w:r w:rsidRPr="00416677">
        <w:rPr>
          <w:rFonts w:cs="Arial"/>
          <w:szCs w:val="20"/>
        </w:rPr>
        <w:tab/>
        <w:t xml:space="preserve">Ogólne wymagania dotyczące materiałów, ich pozyskiwania i składowania, podano w  </w:t>
      </w:r>
      <w:r w:rsidR="00546967">
        <w:rPr>
          <w:rFonts w:cs="Arial"/>
          <w:szCs w:val="20"/>
        </w:rPr>
        <w:t>S</w:t>
      </w:r>
      <w:r w:rsidRPr="00416677">
        <w:rPr>
          <w:rFonts w:cs="Arial"/>
          <w:szCs w:val="20"/>
        </w:rPr>
        <w:t>ST D-M-00.00.00 „Wymagania ogólne” [1] pkt 2.</w:t>
      </w:r>
    </w:p>
    <w:p w14:paraId="5218019C" w14:textId="77777777" w:rsidR="00416677" w:rsidRPr="00416677" w:rsidRDefault="00416677" w:rsidP="00416677">
      <w:pPr>
        <w:pStyle w:val="Nagwek2"/>
        <w:spacing w:line="240" w:lineRule="auto"/>
        <w:rPr>
          <w:rFonts w:cs="Arial"/>
          <w:szCs w:val="20"/>
        </w:rPr>
      </w:pPr>
      <w:r w:rsidRPr="00416677">
        <w:rPr>
          <w:rFonts w:cs="Arial"/>
          <w:szCs w:val="20"/>
        </w:rPr>
        <w:t>2.2. Materiały do wykonania robót</w:t>
      </w:r>
    </w:p>
    <w:p w14:paraId="7E028D64" w14:textId="77777777" w:rsidR="00416677" w:rsidRPr="00416677" w:rsidRDefault="00416677" w:rsidP="00416677">
      <w:pPr>
        <w:spacing w:line="240" w:lineRule="auto"/>
        <w:rPr>
          <w:rFonts w:cs="Arial"/>
          <w:szCs w:val="20"/>
        </w:rPr>
      </w:pPr>
      <w:r w:rsidRPr="00416677">
        <w:rPr>
          <w:rFonts w:cs="Arial"/>
          <w:b/>
          <w:szCs w:val="20"/>
        </w:rPr>
        <w:t xml:space="preserve">2.2.1. </w:t>
      </w:r>
      <w:r w:rsidRPr="00416677">
        <w:rPr>
          <w:rFonts w:cs="Arial"/>
          <w:szCs w:val="20"/>
        </w:rPr>
        <w:t xml:space="preserve">Zgodność materiałów z dokumentacją projektową </w:t>
      </w:r>
    </w:p>
    <w:p w14:paraId="42F73FB9" w14:textId="77777777" w:rsidR="00416677" w:rsidRPr="00416677" w:rsidRDefault="00416677" w:rsidP="00416677">
      <w:pPr>
        <w:spacing w:before="120" w:line="240" w:lineRule="auto"/>
        <w:rPr>
          <w:rFonts w:cs="Arial"/>
          <w:szCs w:val="20"/>
        </w:rPr>
      </w:pPr>
      <w:r w:rsidRPr="00416677">
        <w:rPr>
          <w:rFonts w:cs="Arial"/>
          <w:szCs w:val="20"/>
        </w:rPr>
        <w:tab/>
        <w:t>Materiały do wykonania robót powinny być zgodne z ustaleniami dokumentacji projektowej lub ST.</w:t>
      </w:r>
    </w:p>
    <w:p w14:paraId="22546291" w14:textId="77777777" w:rsidR="00416677" w:rsidRPr="00416677" w:rsidRDefault="00416677" w:rsidP="00416677">
      <w:pPr>
        <w:spacing w:before="120" w:after="120" w:line="240" w:lineRule="auto"/>
        <w:rPr>
          <w:rFonts w:cs="Arial"/>
          <w:szCs w:val="20"/>
        </w:rPr>
      </w:pPr>
      <w:r w:rsidRPr="00416677">
        <w:rPr>
          <w:rFonts w:cs="Arial"/>
          <w:b/>
          <w:szCs w:val="20"/>
        </w:rPr>
        <w:t xml:space="preserve">2.2.2. </w:t>
      </w:r>
      <w:r w:rsidRPr="00416677">
        <w:rPr>
          <w:rFonts w:cs="Arial"/>
          <w:szCs w:val="20"/>
        </w:rPr>
        <w:t xml:space="preserve">Rodzaje materiałów do wykonania połączenia </w:t>
      </w:r>
      <w:proofErr w:type="spellStart"/>
      <w:r w:rsidRPr="00416677">
        <w:rPr>
          <w:rFonts w:cs="Arial"/>
          <w:szCs w:val="20"/>
        </w:rPr>
        <w:t>międzywarstwowego</w:t>
      </w:r>
      <w:proofErr w:type="spellEnd"/>
    </w:p>
    <w:p w14:paraId="1A561DA9" w14:textId="77777777" w:rsidR="00416677" w:rsidRPr="00416677" w:rsidRDefault="00416677" w:rsidP="00416677">
      <w:pPr>
        <w:spacing w:line="240" w:lineRule="auto"/>
        <w:rPr>
          <w:rFonts w:cs="Arial"/>
          <w:szCs w:val="20"/>
        </w:rPr>
      </w:pPr>
      <w:r w:rsidRPr="00416677">
        <w:rPr>
          <w:rFonts w:cs="Arial"/>
          <w:szCs w:val="20"/>
        </w:rPr>
        <w:tab/>
        <w:t xml:space="preserve">Do wykonania połączenia </w:t>
      </w:r>
      <w:proofErr w:type="spellStart"/>
      <w:r w:rsidRPr="00416677">
        <w:rPr>
          <w:rFonts w:cs="Arial"/>
          <w:szCs w:val="20"/>
        </w:rPr>
        <w:t>międzywarstwowego</w:t>
      </w:r>
      <w:proofErr w:type="spellEnd"/>
      <w:r w:rsidRPr="00416677">
        <w:rPr>
          <w:rFonts w:cs="Arial"/>
          <w:szCs w:val="20"/>
        </w:rPr>
        <w:t xml:space="preserve"> mogą być stosowane następujące materiały:</w:t>
      </w:r>
    </w:p>
    <w:p w14:paraId="74BC8CB8" w14:textId="77777777" w:rsidR="00416677" w:rsidRPr="00416677" w:rsidRDefault="00416677" w:rsidP="00CF1E7D">
      <w:pPr>
        <w:numPr>
          <w:ilvl w:val="0"/>
          <w:numId w:val="261"/>
        </w:numPr>
        <w:overflowPunct w:val="0"/>
        <w:autoSpaceDE w:val="0"/>
        <w:autoSpaceDN w:val="0"/>
        <w:adjustRightInd w:val="0"/>
        <w:spacing w:line="240" w:lineRule="auto"/>
        <w:jc w:val="both"/>
        <w:textAlignment w:val="baseline"/>
        <w:rPr>
          <w:rFonts w:cs="Arial"/>
          <w:szCs w:val="20"/>
        </w:rPr>
      </w:pPr>
      <w:r w:rsidRPr="00416677">
        <w:rPr>
          <w:rFonts w:cs="Arial"/>
          <w:szCs w:val="20"/>
        </w:rPr>
        <w:t>kationowe emulsje asfaltowe niemodyfikowane,</w:t>
      </w:r>
    </w:p>
    <w:p w14:paraId="006F751F" w14:textId="77777777" w:rsidR="00416677" w:rsidRPr="00416677" w:rsidRDefault="00416677" w:rsidP="00CF1E7D">
      <w:pPr>
        <w:numPr>
          <w:ilvl w:val="0"/>
          <w:numId w:val="261"/>
        </w:numPr>
        <w:overflowPunct w:val="0"/>
        <w:autoSpaceDE w:val="0"/>
        <w:autoSpaceDN w:val="0"/>
        <w:adjustRightInd w:val="0"/>
        <w:spacing w:line="240" w:lineRule="auto"/>
        <w:jc w:val="both"/>
        <w:textAlignment w:val="baseline"/>
        <w:rPr>
          <w:rFonts w:cs="Arial"/>
          <w:szCs w:val="20"/>
        </w:rPr>
      </w:pPr>
      <w:r w:rsidRPr="00416677">
        <w:rPr>
          <w:rFonts w:cs="Arial"/>
          <w:szCs w:val="20"/>
        </w:rPr>
        <w:t>kationowe emulsje asfaltowe modyfikowane polimerami,</w:t>
      </w:r>
    </w:p>
    <w:p w14:paraId="4EECC68E" w14:textId="77777777" w:rsidR="00416677" w:rsidRPr="00416677" w:rsidRDefault="00416677" w:rsidP="00CF1E7D">
      <w:pPr>
        <w:numPr>
          <w:ilvl w:val="0"/>
          <w:numId w:val="261"/>
        </w:numPr>
        <w:overflowPunct w:val="0"/>
        <w:autoSpaceDE w:val="0"/>
        <w:autoSpaceDN w:val="0"/>
        <w:adjustRightInd w:val="0"/>
        <w:spacing w:line="240" w:lineRule="auto"/>
        <w:jc w:val="both"/>
        <w:textAlignment w:val="baseline"/>
        <w:rPr>
          <w:rFonts w:cs="Arial"/>
          <w:szCs w:val="20"/>
        </w:rPr>
      </w:pPr>
      <w:r w:rsidRPr="00416677">
        <w:rPr>
          <w:rFonts w:cs="Arial"/>
          <w:szCs w:val="20"/>
        </w:rPr>
        <w:t>kruszywo (grysy) do posypania emulsji.</w:t>
      </w:r>
    </w:p>
    <w:p w14:paraId="6C8A1A70" w14:textId="77777777" w:rsidR="00416677" w:rsidRPr="00416677" w:rsidRDefault="00416677" w:rsidP="00416677">
      <w:pPr>
        <w:spacing w:line="240" w:lineRule="auto"/>
        <w:ind w:firstLine="709"/>
        <w:rPr>
          <w:rFonts w:cs="Arial"/>
          <w:szCs w:val="20"/>
        </w:rPr>
      </w:pPr>
      <w:r w:rsidRPr="00416677">
        <w:rPr>
          <w:rFonts w:cs="Arial"/>
          <w:szCs w:val="20"/>
        </w:rPr>
        <w:t>Należy stosować emulsje wg aktualnego wydania Załącznika krajowego NA do PN-EN 13808 [21].</w:t>
      </w:r>
    </w:p>
    <w:p w14:paraId="092532BA" w14:textId="77777777" w:rsidR="00416677" w:rsidRPr="00416677" w:rsidRDefault="00416677" w:rsidP="00416677">
      <w:pPr>
        <w:spacing w:line="240" w:lineRule="auto"/>
        <w:ind w:firstLine="709"/>
        <w:rPr>
          <w:rFonts w:cs="Arial"/>
          <w:szCs w:val="20"/>
        </w:rPr>
      </w:pPr>
      <w:r w:rsidRPr="00416677">
        <w:rPr>
          <w:rFonts w:cs="Arial"/>
          <w:szCs w:val="20"/>
        </w:rPr>
        <w:t xml:space="preserve">Spośród rodzajów emulsji wymienionych w Załączniku krajowym NA [22] do normy PN-EN 13808 [21], należy stosować emulsje oznaczone kodem ZM. </w:t>
      </w:r>
    </w:p>
    <w:p w14:paraId="7317BCBE" w14:textId="77777777" w:rsidR="00416677" w:rsidRPr="00416677" w:rsidRDefault="00416677" w:rsidP="00416677">
      <w:pPr>
        <w:spacing w:before="120" w:after="120" w:line="240" w:lineRule="auto"/>
        <w:rPr>
          <w:rFonts w:cs="Arial"/>
          <w:szCs w:val="20"/>
        </w:rPr>
      </w:pPr>
      <w:r w:rsidRPr="00416677">
        <w:rPr>
          <w:rFonts w:cs="Arial"/>
          <w:b/>
          <w:szCs w:val="20"/>
        </w:rPr>
        <w:t xml:space="preserve">2.2.3. </w:t>
      </w:r>
      <w:r w:rsidRPr="00416677">
        <w:rPr>
          <w:rFonts w:cs="Arial"/>
          <w:szCs w:val="20"/>
        </w:rPr>
        <w:t>Kationowe</w:t>
      </w:r>
      <w:r w:rsidRPr="00416677">
        <w:rPr>
          <w:rFonts w:cs="Arial"/>
          <w:b/>
          <w:szCs w:val="20"/>
        </w:rPr>
        <w:t xml:space="preserve"> </w:t>
      </w:r>
      <w:r w:rsidRPr="00416677">
        <w:rPr>
          <w:rFonts w:cs="Arial"/>
          <w:szCs w:val="20"/>
        </w:rPr>
        <w:t>emulsje asfaltowe</w:t>
      </w:r>
    </w:p>
    <w:p w14:paraId="70B0C78C" w14:textId="77777777" w:rsidR="00416677" w:rsidRPr="00416677" w:rsidRDefault="00416677" w:rsidP="00416677">
      <w:pPr>
        <w:spacing w:before="120" w:after="120" w:line="240" w:lineRule="auto"/>
        <w:rPr>
          <w:rFonts w:cs="Arial"/>
          <w:b/>
          <w:szCs w:val="20"/>
        </w:rPr>
      </w:pPr>
      <w:r w:rsidRPr="00416677">
        <w:rPr>
          <w:rFonts w:cs="Arial"/>
          <w:szCs w:val="20"/>
        </w:rPr>
        <w:t xml:space="preserve">2.2.3.1. Rodzaje i właściwości kationowych emulsji asfaltowych </w:t>
      </w:r>
    </w:p>
    <w:p w14:paraId="48E42FE2" w14:textId="77777777" w:rsidR="00416677" w:rsidRPr="00416677" w:rsidRDefault="00416677" w:rsidP="00416677">
      <w:pPr>
        <w:spacing w:line="240" w:lineRule="auto"/>
        <w:ind w:firstLine="709"/>
        <w:rPr>
          <w:rFonts w:cs="Arial"/>
          <w:szCs w:val="20"/>
        </w:rPr>
      </w:pPr>
      <w:r w:rsidRPr="00416677">
        <w:rPr>
          <w:rFonts w:cs="Arial"/>
          <w:szCs w:val="20"/>
        </w:rPr>
        <w:t>W emulsjach kationowych cząstki w emulsji jonowej mają dodatnią polarność wg PN-EN 1430 [8].</w:t>
      </w:r>
    </w:p>
    <w:p w14:paraId="750DCBD6" w14:textId="77777777" w:rsidR="00416677" w:rsidRPr="00416677" w:rsidRDefault="00416677" w:rsidP="00416677">
      <w:pPr>
        <w:spacing w:line="240" w:lineRule="auto"/>
        <w:rPr>
          <w:rFonts w:cs="Arial"/>
          <w:szCs w:val="20"/>
        </w:rPr>
      </w:pPr>
      <w:r w:rsidRPr="00416677">
        <w:rPr>
          <w:rFonts w:cs="Arial"/>
          <w:b/>
          <w:szCs w:val="20"/>
        </w:rPr>
        <w:tab/>
      </w:r>
      <w:r w:rsidRPr="00416677">
        <w:rPr>
          <w:rFonts w:cs="Arial"/>
          <w:szCs w:val="20"/>
        </w:rPr>
        <w:t>Kationowe emulsje asfaltowe powinny odpowiadać wymaganiom Załącznika krajowego NA (normatywnego) [22] do normy PN-EN 13808 [21], w którym umieszczono następujące trzy krajowe emulsje asfaltowe przeznaczone do złączania warstw asfaltowych nawierzchni:</w:t>
      </w:r>
    </w:p>
    <w:p w14:paraId="2D51CFAC" w14:textId="77777777" w:rsidR="00416677" w:rsidRPr="00416677" w:rsidRDefault="00416677" w:rsidP="00CF1E7D">
      <w:pPr>
        <w:numPr>
          <w:ilvl w:val="0"/>
          <w:numId w:val="271"/>
        </w:numPr>
        <w:tabs>
          <w:tab w:val="clear" w:pos="720"/>
        </w:tabs>
        <w:overflowPunct w:val="0"/>
        <w:autoSpaceDE w:val="0"/>
        <w:autoSpaceDN w:val="0"/>
        <w:adjustRightInd w:val="0"/>
        <w:spacing w:line="240" w:lineRule="auto"/>
        <w:ind w:left="284" w:hanging="284"/>
        <w:jc w:val="both"/>
        <w:textAlignment w:val="baseline"/>
        <w:rPr>
          <w:rFonts w:cs="Arial"/>
          <w:szCs w:val="20"/>
        </w:rPr>
      </w:pPr>
      <w:r w:rsidRPr="00416677">
        <w:rPr>
          <w:rFonts w:cs="Arial"/>
          <w:szCs w:val="20"/>
        </w:rPr>
        <w:t>C60B3 ZM,</w:t>
      </w:r>
    </w:p>
    <w:p w14:paraId="3698C7EF" w14:textId="77777777" w:rsidR="00416677" w:rsidRPr="00416677" w:rsidRDefault="00416677" w:rsidP="00CF1E7D">
      <w:pPr>
        <w:numPr>
          <w:ilvl w:val="0"/>
          <w:numId w:val="271"/>
        </w:numPr>
        <w:tabs>
          <w:tab w:val="clear" w:pos="720"/>
        </w:tabs>
        <w:overflowPunct w:val="0"/>
        <w:autoSpaceDE w:val="0"/>
        <w:autoSpaceDN w:val="0"/>
        <w:adjustRightInd w:val="0"/>
        <w:spacing w:line="240" w:lineRule="auto"/>
        <w:ind w:left="284" w:hanging="284"/>
        <w:jc w:val="both"/>
        <w:textAlignment w:val="baseline"/>
        <w:rPr>
          <w:rFonts w:cs="Arial"/>
          <w:szCs w:val="20"/>
        </w:rPr>
      </w:pPr>
      <w:r w:rsidRPr="00416677">
        <w:rPr>
          <w:rFonts w:cs="Arial"/>
          <w:szCs w:val="20"/>
        </w:rPr>
        <w:t>C60BP3 ZM,</w:t>
      </w:r>
    </w:p>
    <w:p w14:paraId="1E3AFC7C" w14:textId="77777777" w:rsidR="00416677" w:rsidRPr="00416677" w:rsidRDefault="00416677" w:rsidP="00CF1E7D">
      <w:pPr>
        <w:numPr>
          <w:ilvl w:val="0"/>
          <w:numId w:val="271"/>
        </w:numPr>
        <w:tabs>
          <w:tab w:val="clear" w:pos="720"/>
        </w:tabs>
        <w:overflowPunct w:val="0"/>
        <w:autoSpaceDE w:val="0"/>
        <w:autoSpaceDN w:val="0"/>
        <w:adjustRightInd w:val="0"/>
        <w:spacing w:line="240" w:lineRule="auto"/>
        <w:ind w:left="284" w:hanging="284"/>
        <w:jc w:val="both"/>
        <w:textAlignment w:val="baseline"/>
        <w:rPr>
          <w:rFonts w:cs="Arial"/>
          <w:szCs w:val="20"/>
        </w:rPr>
      </w:pPr>
      <w:r w:rsidRPr="00416677">
        <w:rPr>
          <w:rFonts w:cs="Arial"/>
          <w:szCs w:val="20"/>
        </w:rPr>
        <w:t>C60B10 ZM/R.</w:t>
      </w:r>
    </w:p>
    <w:p w14:paraId="57F4E0A9" w14:textId="77777777" w:rsidR="00416677" w:rsidRPr="00416677" w:rsidRDefault="00416677" w:rsidP="00416677">
      <w:pPr>
        <w:spacing w:line="240" w:lineRule="auto"/>
        <w:rPr>
          <w:rFonts w:cs="Arial"/>
          <w:szCs w:val="20"/>
        </w:rPr>
      </w:pPr>
      <w:r w:rsidRPr="00416677">
        <w:rPr>
          <w:rFonts w:cs="Arial"/>
          <w:szCs w:val="20"/>
        </w:rPr>
        <w:tab/>
        <w:t>Pełne nazwy i zastosowanie powyższych emulsji asfaltowych wyspecyfikowano w tablicy 1.</w:t>
      </w:r>
    </w:p>
    <w:p w14:paraId="685B9566" w14:textId="77777777" w:rsidR="00416677" w:rsidRPr="00416677" w:rsidRDefault="00416677" w:rsidP="00416677">
      <w:pPr>
        <w:spacing w:line="240" w:lineRule="auto"/>
        <w:rPr>
          <w:rFonts w:cs="Arial"/>
          <w:szCs w:val="20"/>
        </w:rPr>
      </w:pPr>
    </w:p>
    <w:p w14:paraId="1C7F5A60" w14:textId="77777777" w:rsidR="00416677" w:rsidRPr="00416677" w:rsidRDefault="00416677" w:rsidP="00416677">
      <w:pPr>
        <w:tabs>
          <w:tab w:val="left" w:pos="993"/>
        </w:tabs>
        <w:spacing w:after="120" w:line="240" w:lineRule="auto"/>
        <w:ind w:left="993" w:hanging="993"/>
        <w:rPr>
          <w:rFonts w:cs="Arial"/>
          <w:szCs w:val="20"/>
        </w:rPr>
      </w:pPr>
      <w:r w:rsidRPr="00416677">
        <w:rPr>
          <w:rFonts w:cs="Arial"/>
          <w:szCs w:val="20"/>
        </w:rPr>
        <w:t>Tablica 1.</w:t>
      </w:r>
      <w:r w:rsidRPr="00416677">
        <w:rPr>
          <w:rFonts w:cs="Arial"/>
          <w:szCs w:val="20"/>
        </w:rPr>
        <w:tab/>
        <w:t>Nazwa i zastosowanie emulsji asfaltowych wg Załącznika krajowego NA [22] do PN-EN 13808 [21]</w:t>
      </w:r>
    </w:p>
    <w:tbl>
      <w:tblPr>
        <w:tblW w:w="8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1407"/>
        <w:gridCol w:w="4394"/>
        <w:gridCol w:w="2331"/>
      </w:tblGrid>
      <w:tr w:rsidR="00416677" w:rsidRPr="00416677" w14:paraId="0C330F20" w14:textId="77777777" w:rsidTr="007B6855">
        <w:tc>
          <w:tcPr>
            <w:tcW w:w="828" w:type="dxa"/>
          </w:tcPr>
          <w:p w14:paraId="5CBAD310" w14:textId="77777777" w:rsidR="00416677" w:rsidRPr="00416677" w:rsidRDefault="00416677" w:rsidP="00416677">
            <w:pPr>
              <w:spacing w:line="240" w:lineRule="auto"/>
              <w:jc w:val="center"/>
              <w:rPr>
                <w:rFonts w:cs="Arial"/>
                <w:szCs w:val="20"/>
              </w:rPr>
            </w:pPr>
          </w:p>
          <w:p w14:paraId="064003E1" w14:textId="77777777" w:rsidR="00416677" w:rsidRPr="00416677" w:rsidRDefault="00416677" w:rsidP="00416677">
            <w:pPr>
              <w:spacing w:line="240" w:lineRule="auto"/>
              <w:jc w:val="center"/>
              <w:rPr>
                <w:rFonts w:cs="Arial"/>
                <w:szCs w:val="20"/>
              </w:rPr>
            </w:pPr>
            <w:r w:rsidRPr="00416677">
              <w:rPr>
                <w:rFonts w:cs="Arial"/>
                <w:szCs w:val="20"/>
              </w:rPr>
              <w:t>Lp.</w:t>
            </w:r>
          </w:p>
        </w:tc>
        <w:tc>
          <w:tcPr>
            <w:tcW w:w="1407" w:type="dxa"/>
          </w:tcPr>
          <w:p w14:paraId="60E173E7" w14:textId="77777777" w:rsidR="00416677" w:rsidRPr="00416677" w:rsidRDefault="00416677" w:rsidP="00416677">
            <w:pPr>
              <w:spacing w:line="240" w:lineRule="auto"/>
              <w:jc w:val="center"/>
              <w:rPr>
                <w:rFonts w:cs="Arial"/>
                <w:szCs w:val="20"/>
              </w:rPr>
            </w:pPr>
            <w:r w:rsidRPr="00416677">
              <w:rPr>
                <w:rFonts w:cs="Arial"/>
                <w:szCs w:val="20"/>
              </w:rPr>
              <w:t>Oznaczenie kodowe emulsji</w:t>
            </w:r>
          </w:p>
        </w:tc>
        <w:tc>
          <w:tcPr>
            <w:tcW w:w="4394" w:type="dxa"/>
          </w:tcPr>
          <w:p w14:paraId="4428425B" w14:textId="77777777" w:rsidR="00416677" w:rsidRPr="00416677" w:rsidRDefault="00416677" w:rsidP="00416677">
            <w:pPr>
              <w:spacing w:line="240" w:lineRule="auto"/>
              <w:jc w:val="center"/>
              <w:rPr>
                <w:rFonts w:cs="Arial"/>
                <w:szCs w:val="20"/>
              </w:rPr>
            </w:pPr>
          </w:p>
          <w:p w14:paraId="578663F1" w14:textId="77777777" w:rsidR="00416677" w:rsidRPr="00416677" w:rsidRDefault="00416677" w:rsidP="00416677">
            <w:pPr>
              <w:spacing w:line="240" w:lineRule="auto"/>
              <w:jc w:val="center"/>
              <w:rPr>
                <w:rFonts w:cs="Arial"/>
                <w:szCs w:val="20"/>
              </w:rPr>
            </w:pPr>
            <w:r w:rsidRPr="00416677">
              <w:rPr>
                <w:rFonts w:cs="Arial"/>
                <w:szCs w:val="20"/>
              </w:rPr>
              <w:t>Pełna nazwa emulsji</w:t>
            </w:r>
          </w:p>
        </w:tc>
        <w:tc>
          <w:tcPr>
            <w:tcW w:w="2331" w:type="dxa"/>
          </w:tcPr>
          <w:p w14:paraId="59B4E7F2" w14:textId="77777777" w:rsidR="00416677" w:rsidRPr="00416677" w:rsidRDefault="00416677" w:rsidP="00416677">
            <w:pPr>
              <w:spacing w:before="120" w:line="240" w:lineRule="auto"/>
              <w:jc w:val="center"/>
              <w:rPr>
                <w:rFonts w:cs="Arial"/>
                <w:szCs w:val="20"/>
              </w:rPr>
            </w:pPr>
            <w:r w:rsidRPr="00416677">
              <w:rPr>
                <w:rFonts w:cs="Arial"/>
                <w:szCs w:val="20"/>
              </w:rPr>
              <w:t>Zalecane zastosowanie</w:t>
            </w:r>
          </w:p>
        </w:tc>
      </w:tr>
      <w:tr w:rsidR="00416677" w:rsidRPr="00416677" w14:paraId="212B19BC" w14:textId="77777777" w:rsidTr="007B6855">
        <w:tc>
          <w:tcPr>
            <w:tcW w:w="828" w:type="dxa"/>
          </w:tcPr>
          <w:p w14:paraId="1DD7FACB" w14:textId="77777777" w:rsidR="00416677" w:rsidRPr="00416677" w:rsidRDefault="00416677" w:rsidP="00416677">
            <w:pPr>
              <w:spacing w:line="240" w:lineRule="auto"/>
              <w:jc w:val="center"/>
              <w:rPr>
                <w:rFonts w:cs="Arial"/>
                <w:szCs w:val="20"/>
              </w:rPr>
            </w:pPr>
            <w:r w:rsidRPr="00416677">
              <w:rPr>
                <w:rFonts w:cs="Arial"/>
                <w:szCs w:val="20"/>
              </w:rPr>
              <w:t>1</w:t>
            </w:r>
          </w:p>
        </w:tc>
        <w:tc>
          <w:tcPr>
            <w:tcW w:w="1407" w:type="dxa"/>
          </w:tcPr>
          <w:p w14:paraId="01BD121F" w14:textId="77777777" w:rsidR="00416677" w:rsidRPr="00416677" w:rsidRDefault="00416677" w:rsidP="00416677">
            <w:pPr>
              <w:spacing w:line="240" w:lineRule="auto"/>
              <w:rPr>
                <w:rFonts w:cs="Arial"/>
                <w:szCs w:val="20"/>
              </w:rPr>
            </w:pPr>
            <w:r w:rsidRPr="00416677">
              <w:rPr>
                <w:rFonts w:cs="Arial"/>
                <w:szCs w:val="20"/>
              </w:rPr>
              <w:t>C60B3 ZM</w:t>
            </w:r>
          </w:p>
        </w:tc>
        <w:tc>
          <w:tcPr>
            <w:tcW w:w="4394" w:type="dxa"/>
          </w:tcPr>
          <w:p w14:paraId="4D6CD09B" w14:textId="77777777" w:rsidR="00416677" w:rsidRPr="00416677" w:rsidRDefault="00416677" w:rsidP="00416677">
            <w:pPr>
              <w:spacing w:line="240" w:lineRule="auto"/>
              <w:rPr>
                <w:rFonts w:cs="Arial"/>
                <w:szCs w:val="20"/>
              </w:rPr>
            </w:pPr>
            <w:r w:rsidRPr="00416677">
              <w:rPr>
                <w:rFonts w:cs="Arial"/>
                <w:szCs w:val="20"/>
              </w:rPr>
              <w:t>Kationowa emulsja asfaltowa o zawartości lepiszcza 60%, wyprodukowana z asfaltu drogowego, o klasie indeksu rozpadu 3, przeznaczona do złączania warstw konstrukcyjnych nawierzchni</w:t>
            </w:r>
          </w:p>
        </w:tc>
        <w:tc>
          <w:tcPr>
            <w:tcW w:w="2331" w:type="dxa"/>
          </w:tcPr>
          <w:p w14:paraId="628B9DA1" w14:textId="77777777" w:rsidR="00416677" w:rsidRPr="00416677" w:rsidRDefault="00416677" w:rsidP="00416677">
            <w:pPr>
              <w:spacing w:line="240" w:lineRule="auto"/>
              <w:rPr>
                <w:rFonts w:cs="Arial"/>
                <w:szCs w:val="20"/>
              </w:rPr>
            </w:pPr>
            <w:r w:rsidRPr="00416677">
              <w:rPr>
                <w:rFonts w:cs="Arial"/>
                <w:szCs w:val="20"/>
              </w:rPr>
              <w:t>Do złączania warstw asfaltowych, wyko-</w:t>
            </w:r>
            <w:proofErr w:type="spellStart"/>
            <w:r w:rsidRPr="00416677">
              <w:rPr>
                <w:rFonts w:cs="Arial"/>
                <w:szCs w:val="20"/>
              </w:rPr>
              <w:t>nanych</w:t>
            </w:r>
            <w:proofErr w:type="spellEnd"/>
            <w:r w:rsidRPr="00416677">
              <w:rPr>
                <w:rFonts w:cs="Arial"/>
                <w:szCs w:val="20"/>
              </w:rPr>
              <w:t xml:space="preserve"> z asfaltów niemodyfikowanych na drogach obciążonych ruchem od KR1 do KR7</w:t>
            </w:r>
          </w:p>
        </w:tc>
      </w:tr>
      <w:tr w:rsidR="00416677" w:rsidRPr="00416677" w14:paraId="4F27DECC" w14:textId="77777777" w:rsidTr="007B6855">
        <w:tc>
          <w:tcPr>
            <w:tcW w:w="828" w:type="dxa"/>
          </w:tcPr>
          <w:p w14:paraId="0D86F886" w14:textId="77777777" w:rsidR="00416677" w:rsidRPr="00416677" w:rsidRDefault="00416677" w:rsidP="00416677">
            <w:pPr>
              <w:spacing w:line="240" w:lineRule="auto"/>
              <w:jc w:val="center"/>
              <w:rPr>
                <w:rFonts w:cs="Arial"/>
                <w:szCs w:val="20"/>
              </w:rPr>
            </w:pPr>
            <w:r w:rsidRPr="00416677">
              <w:rPr>
                <w:rFonts w:cs="Arial"/>
                <w:szCs w:val="20"/>
              </w:rPr>
              <w:t>2</w:t>
            </w:r>
          </w:p>
        </w:tc>
        <w:tc>
          <w:tcPr>
            <w:tcW w:w="1407" w:type="dxa"/>
          </w:tcPr>
          <w:p w14:paraId="0DF8DB23" w14:textId="77777777" w:rsidR="00416677" w:rsidRPr="00416677" w:rsidRDefault="00416677" w:rsidP="00416677">
            <w:pPr>
              <w:spacing w:line="240" w:lineRule="auto"/>
              <w:rPr>
                <w:rFonts w:cs="Arial"/>
                <w:szCs w:val="20"/>
              </w:rPr>
            </w:pPr>
            <w:r w:rsidRPr="00416677">
              <w:rPr>
                <w:rFonts w:cs="Arial"/>
                <w:szCs w:val="20"/>
              </w:rPr>
              <w:t>C60BP3 ZM</w:t>
            </w:r>
          </w:p>
        </w:tc>
        <w:tc>
          <w:tcPr>
            <w:tcW w:w="4394" w:type="dxa"/>
          </w:tcPr>
          <w:p w14:paraId="1EFB98DF" w14:textId="77777777" w:rsidR="00416677" w:rsidRPr="00416677" w:rsidRDefault="00416677" w:rsidP="00416677">
            <w:pPr>
              <w:spacing w:line="240" w:lineRule="auto"/>
              <w:rPr>
                <w:rFonts w:cs="Arial"/>
                <w:szCs w:val="20"/>
              </w:rPr>
            </w:pPr>
            <w:r w:rsidRPr="00416677">
              <w:rPr>
                <w:rFonts w:cs="Arial"/>
                <w:szCs w:val="20"/>
              </w:rPr>
              <w:t>Kationowa emulsja asfaltowa o zawartości lepiszcza 60%, wyprodukowana z asfaltu modyfikowanego polimerami, o klasie indeksu rozpadu 3, przeznaczona do złączania warstw konstrukcyjnych nawierzchni</w:t>
            </w:r>
          </w:p>
        </w:tc>
        <w:tc>
          <w:tcPr>
            <w:tcW w:w="2331" w:type="dxa"/>
          </w:tcPr>
          <w:p w14:paraId="35245D9B" w14:textId="77777777" w:rsidR="00416677" w:rsidRPr="00416677" w:rsidRDefault="00416677" w:rsidP="00416677">
            <w:pPr>
              <w:spacing w:line="240" w:lineRule="auto"/>
              <w:rPr>
                <w:rFonts w:cs="Arial"/>
                <w:szCs w:val="20"/>
              </w:rPr>
            </w:pPr>
            <w:r w:rsidRPr="00416677">
              <w:rPr>
                <w:rFonts w:cs="Arial"/>
                <w:szCs w:val="20"/>
              </w:rPr>
              <w:t>Do złączania wszystkich warstw asfaltowych na drogach obciążonych ruchem od KR1 do KR7</w:t>
            </w:r>
          </w:p>
        </w:tc>
      </w:tr>
      <w:tr w:rsidR="00416677" w:rsidRPr="00416677" w14:paraId="1A495921" w14:textId="77777777" w:rsidTr="007B6855">
        <w:tc>
          <w:tcPr>
            <w:tcW w:w="828" w:type="dxa"/>
          </w:tcPr>
          <w:p w14:paraId="479B09A2" w14:textId="77777777" w:rsidR="00416677" w:rsidRPr="00416677" w:rsidRDefault="00416677" w:rsidP="00416677">
            <w:pPr>
              <w:spacing w:line="240" w:lineRule="auto"/>
              <w:jc w:val="center"/>
              <w:rPr>
                <w:rFonts w:cs="Arial"/>
                <w:szCs w:val="20"/>
              </w:rPr>
            </w:pPr>
            <w:r w:rsidRPr="00416677">
              <w:rPr>
                <w:rFonts w:cs="Arial"/>
                <w:szCs w:val="20"/>
              </w:rPr>
              <w:t>3</w:t>
            </w:r>
          </w:p>
        </w:tc>
        <w:tc>
          <w:tcPr>
            <w:tcW w:w="1407" w:type="dxa"/>
          </w:tcPr>
          <w:p w14:paraId="21CD574E" w14:textId="77777777" w:rsidR="00416677" w:rsidRPr="00416677" w:rsidRDefault="00416677" w:rsidP="00416677">
            <w:pPr>
              <w:spacing w:line="240" w:lineRule="auto"/>
              <w:rPr>
                <w:rFonts w:cs="Arial"/>
                <w:szCs w:val="20"/>
                <w:highlight w:val="yellow"/>
              </w:rPr>
            </w:pPr>
            <w:r w:rsidRPr="00416677">
              <w:rPr>
                <w:rFonts w:cs="Arial"/>
                <w:szCs w:val="20"/>
              </w:rPr>
              <w:t>C60B10 ZM/R</w:t>
            </w:r>
          </w:p>
        </w:tc>
        <w:tc>
          <w:tcPr>
            <w:tcW w:w="4394" w:type="dxa"/>
          </w:tcPr>
          <w:p w14:paraId="5D9B21CD" w14:textId="77777777" w:rsidR="00416677" w:rsidRPr="00416677" w:rsidRDefault="00416677" w:rsidP="00416677">
            <w:pPr>
              <w:spacing w:line="240" w:lineRule="auto"/>
              <w:rPr>
                <w:rFonts w:cs="Arial"/>
                <w:szCs w:val="20"/>
                <w:highlight w:val="yellow"/>
              </w:rPr>
            </w:pPr>
            <w:r w:rsidRPr="00416677">
              <w:rPr>
                <w:rFonts w:cs="Arial"/>
                <w:szCs w:val="20"/>
              </w:rPr>
              <w:t xml:space="preserve">Kationowa emulsja asfaltowa o zawartości lepiszcza 60%, wyprodukowana z asfaltu drogowego, o klasie indeksu rozpadu 10, przeznaczona do recyklingu nawierzchni oraz </w:t>
            </w:r>
            <w:r w:rsidRPr="00416677">
              <w:rPr>
                <w:rFonts w:cs="Arial"/>
                <w:szCs w:val="20"/>
              </w:rPr>
              <w:lastRenderedPageBreak/>
              <w:t>do złączania warstw konstrukcyjnych nawierzchni</w:t>
            </w:r>
          </w:p>
        </w:tc>
        <w:tc>
          <w:tcPr>
            <w:tcW w:w="2331" w:type="dxa"/>
          </w:tcPr>
          <w:p w14:paraId="236CA6D7" w14:textId="77777777" w:rsidR="00416677" w:rsidRPr="00416677" w:rsidRDefault="00416677" w:rsidP="00416677">
            <w:pPr>
              <w:spacing w:line="240" w:lineRule="auto"/>
              <w:rPr>
                <w:rFonts w:cs="Arial"/>
                <w:szCs w:val="20"/>
                <w:highlight w:val="yellow"/>
              </w:rPr>
            </w:pPr>
            <w:r w:rsidRPr="00416677">
              <w:rPr>
                <w:rFonts w:cs="Arial"/>
                <w:szCs w:val="20"/>
              </w:rPr>
              <w:lastRenderedPageBreak/>
              <w:t xml:space="preserve">Do recyklingu nawierzchni obciążonych ruchem od KR1 do KR7 oraz do </w:t>
            </w:r>
            <w:r w:rsidRPr="00416677">
              <w:rPr>
                <w:rFonts w:cs="Arial"/>
                <w:szCs w:val="20"/>
              </w:rPr>
              <w:lastRenderedPageBreak/>
              <w:t xml:space="preserve">złączania wszystkich rodzajów warstw z wyłączeniem warstw asfaltowych wykonanych z asfaltów modyfikowanych, wbudowywanych na drogach obciążonych ruchem od KR1 do KR7 </w:t>
            </w:r>
          </w:p>
        </w:tc>
      </w:tr>
    </w:tbl>
    <w:p w14:paraId="0AED045C" w14:textId="77777777" w:rsidR="00416677" w:rsidRPr="00416677" w:rsidRDefault="00416677" w:rsidP="00416677">
      <w:pPr>
        <w:spacing w:line="240" w:lineRule="auto"/>
        <w:rPr>
          <w:rFonts w:cs="Arial"/>
          <w:szCs w:val="20"/>
        </w:rPr>
      </w:pPr>
    </w:p>
    <w:p w14:paraId="67E972B0" w14:textId="475E1036" w:rsidR="00416677" w:rsidRPr="00416677" w:rsidRDefault="00416677" w:rsidP="00546967">
      <w:pPr>
        <w:spacing w:line="240" w:lineRule="auto"/>
        <w:rPr>
          <w:rFonts w:cs="Arial"/>
          <w:szCs w:val="20"/>
        </w:rPr>
      </w:pPr>
      <w:r w:rsidRPr="00416677">
        <w:rPr>
          <w:rFonts w:cs="Arial"/>
          <w:szCs w:val="20"/>
        </w:rPr>
        <w:tab/>
        <w:t xml:space="preserve">Kationowe emulsje asfaltowe, przeznaczone do wykonania połączeń </w:t>
      </w:r>
      <w:proofErr w:type="spellStart"/>
      <w:r w:rsidRPr="00416677">
        <w:rPr>
          <w:rFonts w:cs="Arial"/>
          <w:szCs w:val="20"/>
        </w:rPr>
        <w:t>międzywarstwowych</w:t>
      </w:r>
      <w:proofErr w:type="spellEnd"/>
      <w:r w:rsidRPr="00416677">
        <w:rPr>
          <w:rFonts w:cs="Arial"/>
          <w:szCs w:val="20"/>
        </w:rPr>
        <w:t xml:space="preserve"> powinny spełniać wymagania określone w tablicy 2</w:t>
      </w:r>
    </w:p>
    <w:p w14:paraId="01E1B790" w14:textId="77777777" w:rsidR="00416677" w:rsidRPr="00416677" w:rsidRDefault="00416677" w:rsidP="00416677">
      <w:pPr>
        <w:spacing w:before="120" w:after="120" w:line="240" w:lineRule="auto"/>
        <w:ind w:left="993" w:hanging="1080"/>
        <w:rPr>
          <w:rFonts w:cs="Arial"/>
          <w:szCs w:val="20"/>
        </w:rPr>
      </w:pPr>
    </w:p>
    <w:p w14:paraId="4B4BB8D3" w14:textId="77777777" w:rsidR="00416677" w:rsidRPr="00416677" w:rsidRDefault="00416677" w:rsidP="00416677">
      <w:pPr>
        <w:spacing w:before="120" w:after="120" w:line="240" w:lineRule="auto"/>
        <w:ind w:left="993" w:hanging="1080"/>
        <w:rPr>
          <w:rFonts w:cs="Arial"/>
          <w:szCs w:val="20"/>
        </w:rPr>
      </w:pPr>
      <w:r w:rsidRPr="00416677">
        <w:rPr>
          <w:rFonts w:cs="Arial"/>
          <w:szCs w:val="20"/>
        </w:rPr>
        <w:t xml:space="preserve">Tablica 2. Wymagania dotyczące krajowych emulsji asfaltowych do wykonania połączeń </w:t>
      </w:r>
      <w:proofErr w:type="spellStart"/>
      <w:r w:rsidRPr="00416677">
        <w:rPr>
          <w:rFonts w:cs="Arial"/>
          <w:szCs w:val="20"/>
        </w:rPr>
        <w:t>międzywarstwowych</w:t>
      </w:r>
      <w:proofErr w:type="spellEnd"/>
      <w:r w:rsidRPr="00416677">
        <w:rPr>
          <w:rFonts w:cs="Arial"/>
          <w:szCs w:val="20"/>
        </w:rPr>
        <w:t xml:space="preserve"> wg Załącznika krajowego NA [22] do PN-EN 13808 [21]</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2"/>
        <w:gridCol w:w="13"/>
        <w:gridCol w:w="1418"/>
        <w:gridCol w:w="1417"/>
        <w:gridCol w:w="993"/>
        <w:gridCol w:w="1275"/>
        <w:gridCol w:w="142"/>
        <w:gridCol w:w="1276"/>
        <w:gridCol w:w="142"/>
        <w:gridCol w:w="1559"/>
      </w:tblGrid>
      <w:tr w:rsidR="00416677" w:rsidRPr="00416677" w14:paraId="40899FB6" w14:textId="77777777" w:rsidTr="007B6855">
        <w:tc>
          <w:tcPr>
            <w:tcW w:w="675" w:type="dxa"/>
            <w:gridSpan w:val="2"/>
            <w:vMerge w:val="restart"/>
            <w:vAlign w:val="center"/>
          </w:tcPr>
          <w:p w14:paraId="32FE4242" w14:textId="77777777" w:rsidR="00416677" w:rsidRPr="00416677" w:rsidRDefault="00416677" w:rsidP="00416677">
            <w:pPr>
              <w:spacing w:before="120" w:after="120" w:line="240" w:lineRule="auto"/>
              <w:jc w:val="center"/>
              <w:rPr>
                <w:rFonts w:cs="Arial"/>
                <w:szCs w:val="20"/>
              </w:rPr>
            </w:pPr>
            <w:r w:rsidRPr="00416677">
              <w:rPr>
                <w:rFonts w:cs="Arial"/>
                <w:szCs w:val="20"/>
              </w:rPr>
              <w:t>Lp.</w:t>
            </w:r>
          </w:p>
        </w:tc>
        <w:tc>
          <w:tcPr>
            <w:tcW w:w="1418" w:type="dxa"/>
            <w:vMerge w:val="restart"/>
            <w:vAlign w:val="center"/>
          </w:tcPr>
          <w:p w14:paraId="5F40B305" w14:textId="77777777" w:rsidR="00416677" w:rsidRPr="00416677" w:rsidRDefault="00416677" w:rsidP="00416677">
            <w:pPr>
              <w:spacing w:before="120" w:after="120" w:line="240" w:lineRule="auto"/>
              <w:jc w:val="center"/>
              <w:rPr>
                <w:rFonts w:cs="Arial"/>
                <w:szCs w:val="20"/>
                <w:vertAlign w:val="superscript"/>
              </w:rPr>
            </w:pPr>
            <w:r w:rsidRPr="00416677">
              <w:rPr>
                <w:rFonts w:cs="Arial"/>
                <w:szCs w:val="20"/>
              </w:rPr>
              <w:t>Właściwość</w:t>
            </w:r>
          </w:p>
        </w:tc>
        <w:tc>
          <w:tcPr>
            <w:tcW w:w="1417" w:type="dxa"/>
            <w:vMerge w:val="restart"/>
            <w:vAlign w:val="center"/>
          </w:tcPr>
          <w:p w14:paraId="5020A6E0" w14:textId="77777777" w:rsidR="00416677" w:rsidRPr="00416677" w:rsidRDefault="00416677" w:rsidP="00416677">
            <w:pPr>
              <w:spacing w:before="120" w:after="120" w:line="240" w:lineRule="auto"/>
              <w:jc w:val="center"/>
              <w:rPr>
                <w:rFonts w:cs="Arial"/>
                <w:szCs w:val="20"/>
              </w:rPr>
            </w:pPr>
            <w:r w:rsidRPr="00416677">
              <w:rPr>
                <w:rFonts w:cs="Arial"/>
                <w:szCs w:val="20"/>
              </w:rPr>
              <w:t>Metoda badania</w:t>
            </w:r>
          </w:p>
        </w:tc>
        <w:tc>
          <w:tcPr>
            <w:tcW w:w="993" w:type="dxa"/>
            <w:vMerge w:val="restart"/>
            <w:vAlign w:val="center"/>
          </w:tcPr>
          <w:p w14:paraId="0FAEB3F9" w14:textId="77777777" w:rsidR="00416677" w:rsidRPr="00416677" w:rsidRDefault="00416677" w:rsidP="00416677">
            <w:pPr>
              <w:spacing w:before="120" w:after="120" w:line="240" w:lineRule="auto"/>
              <w:jc w:val="center"/>
              <w:rPr>
                <w:rFonts w:cs="Arial"/>
                <w:szCs w:val="20"/>
              </w:rPr>
            </w:pPr>
            <w:proofErr w:type="spellStart"/>
            <w:r w:rsidRPr="00416677">
              <w:rPr>
                <w:rFonts w:cs="Arial"/>
                <w:szCs w:val="20"/>
              </w:rPr>
              <w:t>Jednos</w:t>
            </w:r>
            <w:proofErr w:type="spellEnd"/>
            <w:r w:rsidRPr="00416677">
              <w:rPr>
                <w:rFonts w:cs="Arial"/>
                <w:szCs w:val="20"/>
              </w:rPr>
              <w:t>-tka</w:t>
            </w:r>
          </w:p>
        </w:tc>
        <w:tc>
          <w:tcPr>
            <w:tcW w:w="4394" w:type="dxa"/>
            <w:gridSpan w:val="5"/>
            <w:vAlign w:val="center"/>
          </w:tcPr>
          <w:p w14:paraId="3C3B0DB5" w14:textId="77777777" w:rsidR="00416677" w:rsidRPr="00416677" w:rsidRDefault="00416677" w:rsidP="00416677">
            <w:pPr>
              <w:spacing w:before="120" w:after="120" w:line="240" w:lineRule="auto"/>
              <w:jc w:val="center"/>
              <w:rPr>
                <w:rFonts w:cs="Arial"/>
                <w:szCs w:val="20"/>
              </w:rPr>
            </w:pPr>
            <w:r w:rsidRPr="00416677">
              <w:rPr>
                <w:rFonts w:cs="Arial"/>
                <w:szCs w:val="20"/>
              </w:rPr>
              <w:t>Wymagania dotyczące emulsji (klasa)</w:t>
            </w:r>
            <w:r w:rsidRPr="00416677">
              <w:rPr>
                <w:rFonts w:cs="Arial"/>
                <w:szCs w:val="20"/>
                <w:vertAlign w:val="superscript"/>
              </w:rPr>
              <w:t xml:space="preserve"> b</w:t>
            </w:r>
          </w:p>
        </w:tc>
      </w:tr>
      <w:tr w:rsidR="00416677" w:rsidRPr="00416677" w14:paraId="7F2063DE" w14:textId="77777777" w:rsidTr="007B6855">
        <w:tc>
          <w:tcPr>
            <w:tcW w:w="675" w:type="dxa"/>
            <w:gridSpan w:val="2"/>
            <w:vMerge/>
            <w:vAlign w:val="center"/>
          </w:tcPr>
          <w:p w14:paraId="7AC0E37A" w14:textId="77777777" w:rsidR="00416677" w:rsidRPr="00416677" w:rsidRDefault="00416677" w:rsidP="00416677">
            <w:pPr>
              <w:spacing w:before="120" w:after="120" w:line="240" w:lineRule="auto"/>
              <w:jc w:val="center"/>
              <w:rPr>
                <w:rFonts w:cs="Arial"/>
                <w:szCs w:val="20"/>
              </w:rPr>
            </w:pPr>
          </w:p>
        </w:tc>
        <w:tc>
          <w:tcPr>
            <w:tcW w:w="1418" w:type="dxa"/>
            <w:vMerge/>
            <w:vAlign w:val="center"/>
          </w:tcPr>
          <w:p w14:paraId="54E3C1C5" w14:textId="77777777" w:rsidR="00416677" w:rsidRPr="00416677" w:rsidRDefault="00416677" w:rsidP="00416677">
            <w:pPr>
              <w:spacing w:before="120" w:after="120" w:line="240" w:lineRule="auto"/>
              <w:jc w:val="center"/>
              <w:rPr>
                <w:rFonts w:cs="Arial"/>
                <w:szCs w:val="20"/>
              </w:rPr>
            </w:pPr>
          </w:p>
        </w:tc>
        <w:tc>
          <w:tcPr>
            <w:tcW w:w="1417" w:type="dxa"/>
            <w:vMerge/>
            <w:vAlign w:val="center"/>
          </w:tcPr>
          <w:p w14:paraId="408D858C" w14:textId="77777777" w:rsidR="00416677" w:rsidRPr="00416677" w:rsidRDefault="00416677" w:rsidP="00416677">
            <w:pPr>
              <w:spacing w:before="120" w:after="120" w:line="240" w:lineRule="auto"/>
              <w:jc w:val="center"/>
              <w:rPr>
                <w:rFonts w:cs="Arial"/>
                <w:szCs w:val="20"/>
              </w:rPr>
            </w:pPr>
          </w:p>
        </w:tc>
        <w:tc>
          <w:tcPr>
            <w:tcW w:w="993" w:type="dxa"/>
            <w:vMerge/>
            <w:vAlign w:val="center"/>
          </w:tcPr>
          <w:p w14:paraId="104923AE" w14:textId="77777777" w:rsidR="00416677" w:rsidRPr="00416677" w:rsidRDefault="00416677" w:rsidP="00416677">
            <w:pPr>
              <w:spacing w:before="120" w:after="120" w:line="240" w:lineRule="auto"/>
              <w:jc w:val="center"/>
              <w:rPr>
                <w:rFonts w:cs="Arial"/>
                <w:szCs w:val="20"/>
              </w:rPr>
            </w:pPr>
          </w:p>
        </w:tc>
        <w:tc>
          <w:tcPr>
            <w:tcW w:w="1417" w:type="dxa"/>
            <w:gridSpan w:val="2"/>
            <w:vAlign w:val="center"/>
          </w:tcPr>
          <w:p w14:paraId="60EA7930" w14:textId="77777777" w:rsidR="00416677" w:rsidRPr="00416677" w:rsidRDefault="00416677" w:rsidP="00416677">
            <w:pPr>
              <w:spacing w:before="120" w:after="120" w:line="240" w:lineRule="auto"/>
              <w:jc w:val="center"/>
              <w:rPr>
                <w:rFonts w:cs="Arial"/>
                <w:szCs w:val="20"/>
              </w:rPr>
            </w:pPr>
            <w:r w:rsidRPr="00416677">
              <w:rPr>
                <w:rFonts w:cs="Arial"/>
                <w:szCs w:val="20"/>
              </w:rPr>
              <w:t>C60B3 ZM</w:t>
            </w:r>
          </w:p>
        </w:tc>
        <w:tc>
          <w:tcPr>
            <w:tcW w:w="1418" w:type="dxa"/>
            <w:gridSpan w:val="2"/>
            <w:vAlign w:val="center"/>
          </w:tcPr>
          <w:p w14:paraId="1E38225F" w14:textId="77777777" w:rsidR="00416677" w:rsidRPr="00416677" w:rsidRDefault="00416677" w:rsidP="00416677">
            <w:pPr>
              <w:spacing w:before="120" w:after="120" w:line="240" w:lineRule="auto"/>
              <w:jc w:val="center"/>
              <w:rPr>
                <w:rFonts w:cs="Arial"/>
                <w:szCs w:val="20"/>
              </w:rPr>
            </w:pPr>
            <w:r w:rsidRPr="00416677">
              <w:rPr>
                <w:rFonts w:cs="Arial"/>
                <w:szCs w:val="20"/>
              </w:rPr>
              <w:t>C60BP3 ZM</w:t>
            </w:r>
          </w:p>
        </w:tc>
        <w:tc>
          <w:tcPr>
            <w:tcW w:w="1559" w:type="dxa"/>
            <w:vAlign w:val="center"/>
          </w:tcPr>
          <w:p w14:paraId="6A8B5A9F" w14:textId="77777777" w:rsidR="00416677" w:rsidRPr="00416677" w:rsidRDefault="00416677" w:rsidP="00416677">
            <w:pPr>
              <w:spacing w:before="120" w:after="120" w:line="240" w:lineRule="auto"/>
              <w:jc w:val="center"/>
              <w:rPr>
                <w:rFonts w:cs="Arial"/>
                <w:szCs w:val="20"/>
              </w:rPr>
            </w:pPr>
            <w:r w:rsidRPr="00416677">
              <w:rPr>
                <w:rFonts w:cs="Arial"/>
                <w:szCs w:val="20"/>
              </w:rPr>
              <w:t>C60B10 ZM/R</w:t>
            </w:r>
          </w:p>
        </w:tc>
      </w:tr>
      <w:tr w:rsidR="00416677" w:rsidRPr="00416677" w14:paraId="09A06DA6" w14:textId="77777777" w:rsidTr="007B6855">
        <w:tc>
          <w:tcPr>
            <w:tcW w:w="675" w:type="dxa"/>
            <w:gridSpan w:val="2"/>
          </w:tcPr>
          <w:p w14:paraId="18A44140" w14:textId="77777777" w:rsidR="00416677" w:rsidRPr="00416677" w:rsidRDefault="00416677" w:rsidP="00416677">
            <w:pPr>
              <w:spacing w:line="240" w:lineRule="auto"/>
              <w:jc w:val="center"/>
              <w:rPr>
                <w:rFonts w:cs="Arial"/>
                <w:szCs w:val="20"/>
              </w:rPr>
            </w:pPr>
            <w:r w:rsidRPr="00416677">
              <w:rPr>
                <w:rFonts w:cs="Arial"/>
                <w:szCs w:val="20"/>
              </w:rPr>
              <w:t>1.</w:t>
            </w:r>
          </w:p>
        </w:tc>
        <w:tc>
          <w:tcPr>
            <w:tcW w:w="1418" w:type="dxa"/>
          </w:tcPr>
          <w:p w14:paraId="7067E2A1" w14:textId="77777777" w:rsidR="00416677" w:rsidRPr="00416677" w:rsidRDefault="00416677" w:rsidP="00416677">
            <w:pPr>
              <w:spacing w:line="240" w:lineRule="auto"/>
              <w:rPr>
                <w:rFonts w:cs="Arial"/>
                <w:szCs w:val="20"/>
              </w:rPr>
            </w:pPr>
            <w:r w:rsidRPr="00416677">
              <w:rPr>
                <w:rFonts w:cs="Arial"/>
                <w:szCs w:val="20"/>
              </w:rPr>
              <w:t>Zawartość lepiszcza</w:t>
            </w:r>
          </w:p>
        </w:tc>
        <w:tc>
          <w:tcPr>
            <w:tcW w:w="1417" w:type="dxa"/>
          </w:tcPr>
          <w:p w14:paraId="5C6E2509" w14:textId="77777777" w:rsidR="00416677" w:rsidRPr="00416677" w:rsidRDefault="00416677" w:rsidP="00416677">
            <w:pPr>
              <w:spacing w:line="240" w:lineRule="auto"/>
              <w:jc w:val="center"/>
              <w:rPr>
                <w:rFonts w:cs="Arial"/>
                <w:szCs w:val="20"/>
              </w:rPr>
            </w:pPr>
            <w:r w:rsidRPr="00416677">
              <w:rPr>
                <w:rFonts w:cs="Arial"/>
                <w:szCs w:val="20"/>
              </w:rPr>
              <w:t>PN-EN 1428[6]</w:t>
            </w:r>
          </w:p>
        </w:tc>
        <w:tc>
          <w:tcPr>
            <w:tcW w:w="993" w:type="dxa"/>
          </w:tcPr>
          <w:p w14:paraId="088FAF80" w14:textId="77777777" w:rsidR="00416677" w:rsidRPr="00416677" w:rsidRDefault="00416677" w:rsidP="00416677">
            <w:pPr>
              <w:spacing w:line="240" w:lineRule="auto"/>
              <w:jc w:val="center"/>
              <w:rPr>
                <w:rFonts w:cs="Arial"/>
                <w:szCs w:val="20"/>
              </w:rPr>
            </w:pPr>
            <w:r w:rsidRPr="00416677">
              <w:rPr>
                <w:rFonts w:cs="Arial"/>
                <w:szCs w:val="20"/>
              </w:rPr>
              <w:t>% (m/m)</w:t>
            </w:r>
          </w:p>
        </w:tc>
        <w:tc>
          <w:tcPr>
            <w:tcW w:w="1417" w:type="dxa"/>
            <w:gridSpan w:val="2"/>
          </w:tcPr>
          <w:p w14:paraId="0B4C8431" w14:textId="77777777" w:rsidR="00416677" w:rsidRPr="00416677" w:rsidRDefault="00416677" w:rsidP="00416677">
            <w:pPr>
              <w:spacing w:line="240" w:lineRule="auto"/>
              <w:jc w:val="center"/>
              <w:rPr>
                <w:rFonts w:cs="Arial"/>
                <w:szCs w:val="20"/>
              </w:rPr>
            </w:pPr>
            <w:r w:rsidRPr="00416677">
              <w:rPr>
                <w:rFonts w:cs="Arial"/>
                <w:szCs w:val="20"/>
              </w:rPr>
              <w:t>58 do 62(6)</w:t>
            </w:r>
          </w:p>
        </w:tc>
        <w:tc>
          <w:tcPr>
            <w:tcW w:w="1418" w:type="dxa"/>
            <w:gridSpan w:val="2"/>
          </w:tcPr>
          <w:p w14:paraId="1177F23E" w14:textId="77777777" w:rsidR="00416677" w:rsidRPr="00416677" w:rsidRDefault="00416677" w:rsidP="00416677">
            <w:pPr>
              <w:spacing w:line="240" w:lineRule="auto"/>
              <w:jc w:val="center"/>
              <w:rPr>
                <w:rFonts w:cs="Arial"/>
                <w:szCs w:val="20"/>
              </w:rPr>
            </w:pPr>
            <w:r w:rsidRPr="00416677">
              <w:rPr>
                <w:rFonts w:cs="Arial"/>
                <w:szCs w:val="20"/>
              </w:rPr>
              <w:t>58 do 62(6)</w:t>
            </w:r>
          </w:p>
        </w:tc>
        <w:tc>
          <w:tcPr>
            <w:tcW w:w="1559" w:type="dxa"/>
          </w:tcPr>
          <w:p w14:paraId="4194EEF8" w14:textId="77777777" w:rsidR="00416677" w:rsidRPr="00416677" w:rsidRDefault="00416677" w:rsidP="00416677">
            <w:pPr>
              <w:spacing w:line="240" w:lineRule="auto"/>
              <w:jc w:val="center"/>
              <w:rPr>
                <w:rFonts w:cs="Arial"/>
                <w:szCs w:val="20"/>
              </w:rPr>
            </w:pPr>
            <w:r w:rsidRPr="00416677">
              <w:rPr>
                <w:rFonts w:cs="Arial"/>
                <w:szCs w:val="20"/>
              </w:rPr>
              <w:t>58 do 62(6)</w:t>
            </w:r>
          </w:p>
        </w:tc>
      </w:tr>
      <w:tr w:rsidR="00416677" w:rsidRPr="00416677" w14:paraId="0DFF9F23" w14:textId="77777777" w:rsidTr="007B6855">
        <w:tc>
          <w:tcPr>
            <w:tcW w:w="675" w:type="dxa"/>
            <w:gridSpan w:val="2"/>
          </w:tcPr>
          <w:p w14:paraId="6A9B2CB4" w14:textId="77777777" w:rsidR="00416677" w:rsidRPr="00416677" w:rsidRDefault="00416677" w:rsidP="00416677">
            <w:pPr>
              <w:spacing w:line="240" w:lineRule="auto"/>
              <w:jc w:val="center"/>
              <w:rPr>
                <w:rFonts w:cs="Arial"/>
                <w:szCs w:val="20"/>
              </w:rPr>
            </w:pPr>
            <w:r w:rsidRPr="00416677">
              <w:rPr>
                <w:rFonts w:cs="Arial"/>
                <w:szCs w:val="20"/>
              </w:rPr>
              <w:t>2.</w:t>
            </w:r>
          </w:p>
        </w:tc>
        <w:tc>
          <w:tcPr>
            <w:tcW w:w="1418" w:type="dxa"/>
          </w:tcPr>
          <w:p w14:paraId="5E0EE675" w14:textId="77777777" w:rsidR="00416677" w:rsidRPr="00416677" w:rsidRDefault="00416677" w:rsidP="00416677">
            <w:pPr>
              <w:spacing w:line="240" w:lineRule="auto"/>
              <w:rPr>
                <w:rFonts w:cs="Arial"/>
                <w:szCs w:val="20"/>
              </w:rPr>
            </w:pPr>
            <w:r w:rsidRPr="00416677">
              <w:rPr>
                <w:rFonts w:cs="Arial"/>
                <w:szCs w:val="20"/>
              </w:rPr>
              <w:t>Indeks rozpadu</w:t>
            </w:r>
          </w:p>
        </w:tc>
        <w:tc>
          <w:tcPr>
            <w:tcW w:w="1417" w:type="dxa"/>
          </w:tcPr>
          <w:p w14:paraId="7CABF403" w14:textId="77777777" w:rsidR="00416677" w:rsidRPr="00416677" w:rsidRDefault="00416677" w:rsidP="00416677">
            <w:pPr>
              <w:spacing w:line="240" w:lineRule="auto"/>
              <w:jc w:val="center"/>
              <w:rPr>
                <w:rFonts w:cs="Arial"/>
                <w:szCs w:val="20"/>
              </w:rPr>
            </w:pPr>
            <w:r w:rsidRPr="00416677">
              <w:rPr>
                <w:rFonts w:cs="Arial"/>
                <w:szCs w:val="20"/>
              </w:rPr>
              <w:t>PN-EN 13075-1[16]</w:t>
            </w:r>
          </w:p>
        </w:tc>
        <w:tc>
          <w:tcPr>
            <w:tcW w:w="993" w:type="dxa"/>
          </w:tcPr>
          <w:p w14:paraId="6BBD0B4D" w14:textId="77777777" w:rsidR="00416677" w:rsidRPr="00416677" w:rsidRDefault="00416677" w:rsidP="00416677">
            <w:pPr>
              <w:spacing w:line="240" w:lineRule="auto"/>
              <w:jc w:val="center"/>
              <w:rPr>
                <w:rFonts w:cs="Arial"/>
                <w:szCs w:val="20"/>
              </w:rPr>
            </w:pPr>
            <w:r w:rsidRPr="00416677">
              <w:rPr>
                <w:rFonts w:cs="Arial"/>
                <w:szCs w:val="20"/>
              </w:rPr>
              <w:t>g/100 g</w:t>
            </w:r>
          </w:p>
        </w:tc>
        <w:tc>
          <w:tcPr>
            <w:tcW w:w="1417" w:type="dxa"/>
            <w:gridSpan w:val="2"/>
          </w:tcPr>
          <w:p w14:paraId="4E677EAF" w14:textId="77777777" w:rsidR="00416677" w:rsidRPr="00416677" w:rsidRDefault="00416677" w:rsidP="00416677">
            <w:pPr>
              <w:spacing w:line="240" w:lineRule="auto"/>
              <w:jc w:val="center"/>
              <w:rPr>
                <w:rFonts w:cs="Arial"/>
                <w:szCs w:val="20"/>
              </w:rPr>
            </w:pPr>
            <w:r w:rsidRPr="00416677">
              <w:rPr>
                <w:rFonts w:cs="Arial"/>
                <w:szCs w:val="20"/>
              </w:rPr>
              <w:t>70-155 (3)</w:t>
            </w:r>
          </w:p>
        </w:tc>
        <w:tc>
          <w:tcPr>
            <w:tcW w:w="1418" w:type="dxa"/>
            <w:gridSpan w:val="2"/>
          </w:tcPr>
          <w:p w14:paraId="7373E732" w14:textId="77777777" w:rsidR="00416677" w:rsidRPr="00416677" w:rsidRDefault="00416677" w:rsidP="00416677">
            <w:pPr>
              <w:spacing w:line="240" w:lineRule="auto"/>
              <w:jc w:val="center"/>
              <w:rPr>
                <w:rFonts w:cs="Arial"/>
                <w:szCs w:val="20"/>
              </w:rPr>
            </w:pPr>
            <w:r w:rsidRPr="00416677">
              <w:rPr>
                <w:rFonts w:cs="Arial"/>
                <w:szCs w:val="20"/>
              </w:rPr>
              <w:t>70-155 (3)</w:t>
            </w:r>
          </w:p>
        </w:tc>
        <w:tc>
          <w:tcPr>
            <w:tcW w:w="1559" w:type="dxa"/>
          </w:tcPr>
          <w:p w14:paraId="40797162" w14:textId="77777777" w:rsidR="00416677" w:rsidRPr="00416677" w:rsidRDefault="00416677" w:rsidP="00416677">
            <w:pPr>
              <w:spacing w:line="240" w:lineRule="auto"/>
              <w:jc w:val="center"/>
              <w:rPr>
                <w:rFonts w:cs="Arial"/>
                <w:szCs w:val="20"/>
              </w:rPr>
            </w:pPr>
            <w:proofErr w:type="spellStart"/>
            <w:r w:rsidRPr="00416677">
              <w:rPr>
                <w:rFonts w:cs="Arial"/>
                <w:szCs w:val="20"/>
              </w:rPr>
              <w:t>NR</w:t>
            </w:r>
            <w:r w:rsidRPr="00416677">
              <w:rPr>
                <w:rFonts w:cs="Arial"/>
                <w:szCs w:val="20"/>
                <w:vertAlign w:val="superscript"/>
              </w:rPr>
              <w:t>a</w:t>
            </w:r>
            <w:proofErr w:type="spellEnd"/>
            <w:r w:rsidRPr="00416677">
              <w:rPr>
                <w:rFonts w:cs="Arial"/>
                <w:szCs w:val="20"/>
              </w:rPr>
              <w:t xml:space="preserve"> (0)</w:t>
            </w:r>
          </w:p>
        </w:tc>
      </w:tr>
      <w:tr w:rsidR="00416677" w:rsidRPr="00416677" w14:paraId="6C8B5255" w14:textId="77777777" w:rsidTr="007B6855">
        <w:tc>
          <w:tcPr>
            <w:tcW w:w="675" w:type="dxa"/>
            <w:gridSpan w:val="2"/>
          </w:tcPr>
          <w:p w14:paraId="2288AFB9" w14:textId="77777777" w:rsidR="00416677" w:rsidRPr="00416677" w:rsidRDefault="00416677" w:rsidP="00416677">
            <w:pPr>
              <w:spacing w:line="240" w:lineRule="auto"/>
              <w:jc w:val="center"/>
              <w:rPr>
                <w:rFonts w:cs="Arial"/>
                <w:szCs w:val="20"/>
              </w:rPr>
            </w:pPr>
            <w:r w:rsidRPr="00416677">
              <w:rPr>
                <w:rFonts w:cs="Arial"/>
                <w:szCs w:val="20"/>
              </w:rPr>
              <w:t>3.</w:t>
            </w:r>
          </w:p>
        </w:tc>
        <w:tc>
          <w:tcPr>
            <w:tcW w:w="1418" w:type="dxa"/>
          </w:tcPr>
          <w:p w14:paraId="70CA13E9" w14:textId="77777777" w:rsidR="00416677" w:rsidRPr="00416677" w:rsidRDefault="00416677" w:rsidP="00416677">
            <w:pPr>
              <w:spacing w:line="240" w:lineRule="auto"/>
              <w:rPr>
                <w:rFonts w:cs="Arial"/>
                <w:szCs w:val="20"/>
              </w:rPr>
            </w:pPr>
            <w:r w:rsidRPr="00416677">
              <w:rPr>
                <w:rFonts w:cs="Arial"/>
                <w:szCs w:val="20"/>
              </w:rPr>
              <w:t>Pozostałość na sicie</w:t>
            </w:r>
          </w:p>
        </w:tc>
        <w:tc>
          <w:tcPr>
            <w:tcW w:w="1417" w:type="dxa"/>
          </w:tcPr>
          <w:p w14:paraId="136ACB55" w14:textId="77777777" w:rsidR="00416677" w:rsidRPr="00416677" w:rsidRDefault="00416677" w:rsidP="00416677">
            <w:pPr>
              <w:spacing w:line="240" w:lineRule="auto"/>
              <w:jc w:val="center"/>
              <w:rPr>
                <w:rFonts w:cs="Arial"/>
                <w:szCs w:val="20"/>
              </w:rPr>
            </w:pPr>
            <w:r w:rsidRPr="00416677">
              <w:rPr>
                <w:rFonts w:cs="Arial"/>
                <w:szCs w:val="20"/>
              </w:rPr>
              <w:t>PN-EN 1429[7]</w:t>
            </w:r>
          </w:p>
        </w:tc>
        <w:tc>
          <w:tcPr>
            <w:tcW w:w="993" w:type="dxa"/>
          </w:tcPr>
          <w:p w14:paraId="03072EC2" w14:textId="77777777" w:rsidR="00416677" w:rsidRPr="00416677" w:rsidRDefault="00416677" w:rsidP="00416677">
            <w:pPr>
              <w:spacing w:line="240" w:lineRule="auto"/>
              <w:jc w:val="center"/>
              <w:rPr>
                <w:rFonts w:cs="Arial"/>
                <w:szCs w:val="20"/>
              </w:rPr>
            </w:pPr>
            <w:r w:rsidRPr="00416677">
              <w:rPr>
                <w:rFonts w:cs="Arial"/>
                <w:szCs w:val="20"/>
              </w:rPr>
              <w:t>% (m/m)</w:t>
            </w:r>
          </w:p>
        </w:tc>
        <w:tc>
          <w:tcPr>
            <w:tcW w:w="1417" w:type="dxa"/>
            <w:gridSpan w:val="2"/>
          </w:tcPr>
          <w:p w14:paraId="459988C4" w14:textId="77777777" w:rsidR="00416677" w:rsidRPr="00416677" w:rsidRDefault="00416677" w:rsidP="00416677">
            <w:pPr>
              <w:spacing w:line="240" w:lineRule="auto"/>
              <w:jc w:val="center"/>
              <w:rPr>
                <w:rFonts w:cs="Arial"/>
                <w:szCs w:val="20"/>
              </w:rPr>
            </w:pPr>
            <w:r w:rsidRPr="00416677">
              <w:rPr>
                <w:rFonts w:cs="Arial"/>
                <w:szCs w:val="20"/>
              </w:rPr>
              <w:t>≤0,2 (3)</w:t>
            </w:r>
          </w:p>
        </w:tc>
        <w:tc>
          <w:tcPr>
            <w:tcW w:w="1418" w:type="dxa"/>
            <w:gridSpan w:val="2"/>
          </w:tcPr>
          <w:p w14:paraId="2E209B34" w14:textId="77777777" w:rsidR="00416677" w:rsidRPr="00416677" w:rsidRDefault="00416677" w:rsidP="00416677">
            <w:pPr>
              <w:spacing w:line="240" w:lineRule="auto"/>
              <w:jc w:val="center"/>
              <w:rPr>
                <w:rFonts w:cs="Arial"/>
                <w:szCs w:val="20"/>
              </w:rPr>
            </w:pPr>
            <w:r w:rsidRPr="00416677">
              <w:rPr>
                <w:rFonts w:cs="Arial"/>
                <w:szCs w:val="20"/>
              </w:rPr>
              <w:t>≤0,2 (3)</w:t>
            </w:r>
          </w:p>
        </w:tc>
        <w:tc>
          <w:tcPr>
            <w:tcW w:w="1559" w:type="dxa"/>
          </w:tcPr>
          <w:p w14:paraId="33EED5C2" w14:textId="77777777" w:rsidR="00416677" w:rsidRPr="00416677" w:rsidRDefault="00416677" w:rsidP="00416677">
            <w:pPr>
              <w:spacing w:line="240" w:lineRule="auto"/>
              <w:jc w:val="center"/>
              <w:rPr>
                <w:rFonts w:cs="Arial"/>
                <w:szCs w:val="20"/>
              </w:rPr>
            </w:pPr>
            <w:r w:rsidRPr="00416677">
              <w:rPr>
                <w:rFonts w:cs="Arial"/>
                <w:szCs w:val="20"/>
              </w:rPr>
              <w:t>≤0,2 (3)</w:t>
            </w:r>
          </w:p>
        </w:tc>
      </w:tr>
      <w:tr w:rsidR="00416677" w:rsidRPr="00416677" w14:paraId="4670A0F9" w14:textId="77777777" w:rsidTr="007B6855">
        <w:tc>
          <w:tcPr>
            <w:tcW w:w="675" w:type="dxa"/>
            <w:gridSpan w:val="2"/>
          </w:tcPr>
          <w:p w14:paraId="37E2856F" w14:textId="77777777" w:rsidR="00416677" w:rsidRPr="00416677" w:rsidRDefault="00416677" w:rsidP="00416677">
            <w:pPr>
              <w:spacing w:line="240" w:lineRule="auto"/>
              <w:jc w:val="center"/>
              <w:rPr>
                <w:rFonts w:cs="Arial"/>
                <w:szCs w:val="20"/>
              </w:rPr>
            </w:pPr>
            <w:r w:rsidRPr="00416677">
              <w:rPr>
                <w:rFonts w:cs="Arial"/>
                <w:szCs w:val="20"/>
              </w:rPr>
              <w:t>4.</w:t>
            </w:r>
          </w:p>
        </w:tc>
        <w:tc>
          <w:tcPr>
            <w:tcW w:w="1418" w:type="dxa"/>
          </w:tcPr>
          <w:p w14:paraId="0825C539" w14:textId="77777777" w:rsidR="00416677" w:rsidRPr="00416677" w:rsidRDefault="00416677" w:rsidP="00416677">
            <w:pPr>
              <w:spacing w:line="240" w:lineRule="auto"/>
              <w:rPr>
                <w:rFonts w:cs="Arial"/>
                <w:szCs w:val="20"/>
              </w:rPr>
            </w:pPr>
            <w:r w:rsidRPr="00416677">
              <w:rPr>
                <w:rFonts w:cs="Arial"/>
                <w:szCs w:val="20"/>
              </w:rPr>
              <w:t>Czas wypływu Ø 2 mm przy 40°C</w:t>
            </w:r>
          </w:p>
        </w:tc>
        <w:tc>
          <w:tcPr>
            <w:tcW w:w="1417" w:type="dxa"/>
          </w:tcPr>
          <w:p w14:paraId="2C0BE3A4" w14:textId="77777777" w:rsidR="00416677" w:rsidRPr="00416677" w:rsidRDefault="00416677" w:rsidP="00416677">
            <w:pPr>
              <w:spacing w:line="240" w:lineRule="auto"/>
              <w:jc w:val="center"/>
              <w:rPr>
                <w:rFonts w:cs="Arial"/>
                <w:szCs w:val="20"/>
              </w:rPr>
            </w:pPr>
            <w:r w:rsidRPr="00416677">
              <w:rPr>
                <w:rFonts w:cs="Arial"/>
                <w:szCs w:val="20"/>
              </w:rPr>
              <w:t>PN-EN 12846-1[12]</w:t>
            </w:r>
          </w:p>
        </w:tc>
        <w:tc>
          <w:tcPr>
            <w:tcW w:w="993" w:type="dxa"/>
          </w:tcPr>
          <w:p w14:paraId="5F28CC70" w14:textId="77777777" w:rsidR="00416677" w:rsidRPr="00416677" w:rsidRDefault="00416677" w:rsidP="00416677">
            <w:pPr>
              <w:spacing w:line="240" w:lineRule="auto"/>
              <w:jc w:val="center"/>
              <w:rPr>
                <w:rFonts w:cs="Arial"/>
                <w:szCs w:val="20"/>
              </w:rPr>
            </w:pPr>
            <w:r w:rsidRPr="00416677">
              <w:rPr>
                <w:rFonts w:cs="Arial"/>
                <w:szCs w:val="20"/>
              </w:rPr>
              <w:t>S</w:t>
            </w:r>
          </w:p>
        </w:tc>
        <w:tc>
          <w:tcPr>
            <w:tcW w:w="1417" w:type="dxa"/>
            <w:gridSpan w:val="2"/>
          </w:tcPr>
          <w:p w14:paraId="3B37D7EE" w14:textId="77777777" w:rsidR="00416677" w:rsidRPr="00416677" w:rsidRDefault="00416677" w:rsidP="00416677">
            <w:pPr>
              <w:spacing w:line="240" w:lineRule="auto"/>
              <w:jc w:val="center"/>
              <w:rPr>
                <w:rFonts w:cs="Arial"/>
                <w:szCs w:val="20"/>
              </w:rPr>
            </w:pPr>
            <w:r w:rsidRPr="00416677">
              <w:rPr>
                <w:rFonts w:cs="Arial"/>
                <w:szCs w:val="20"/>
              </w:rPr>
              <w:t>15-70 (3)</w:t>
            </w:r>
          </w:p>
        </w:tc>
        <w:tc>
          <w:tcPr>
            <w:tcW w:w="1418" w:type="dxa"/>
            <w:gridSpan w:val="2"/>
          </w:tcPr>
          <w:p w14:paraId="686386DF" w14:textId="77777777" w:rsidR="00416677" w:rsidRPr="00416677" w:rsidRDefault="00416677" w:rsidP="00416677">
            <w:pPr>
              <w:spacing w:line="240" w:lineRule="auto"/>
              <w:jc w:val="center"/>
              <w:rPr>
                <w:rFonts w:cs="Arial"/>
                <w:szCs w:val="20"/>
              </w:rPr>
            </w:pPr>
            <w:r w:rsidRPr="00416677">
              <w:rPr>
                <w:rFonts w:cs="Arial"/>
                <w:szCs w:val="20"/>
              </w:rPr>
              <w:t>15-70 (3)</w:t>
            </w:r>
          </w:p>
        </w:tc>
        <w:tc>
          <w:tcPr>
            <w:tcW w:w="1559" w:type="dxa"/>
          </w:tcPr>
          <w:p w14:paraId="4D3A08CE" w14:textId="77777777" w:rsidR="00416677" w:rsidRPr="00416677" w:rsidRDefault="00416677" w:rsidP="00416677">
            <w:pPr>
              <w:spacing w:line="240" w:lineRule="auto"/>
              <w:jc w:val="center"/>
              <w:rPr>
                <w:rFonts w:cs="Arial"/>
                <w:szCs w:val="20"/>
              </w:rPr>
            </w:pPr>
            <w:r w:rsidRPr="00416677">
              <w:rPr>
                <w:rFonts w:cs="Arial"/>
                <w:szCs w:val="20"/>
              </w:rPr>
              <w:t>15-70 (3)</w:t>
            </w:r>
          </w:p>
        </w:tc>
      </w:tr>
      <w:tr w:rsidR="00416677" w:rsidRPr="00416677" w14:paraId="7021B30C" w14:textId="77777777" w:rsidTr="007B6855">
        <w:tc>
          <w:tcPr>
            <w:tcW w:w="675" w:type="dxa"/>
            <w:gridSpan w:val="2"/>
          </w:tcPr>
          <w:p w14:paraId="69DC5E00" w14:textId="77777777" w:rsidR="00416677" w:rsidRPr="00416677" w:rsidRDefault="00416677" w:rsidP="00416677">
            <w:pPr>
              <w:spacing w:line="240" w:lineRule="auto"/>
              <w:jc w:val="center"/>
              <w:rPr>
                <w:rFonts w:cs="Arial"/>
                <w:szCs w:val="20"/>
              </w:rPr>
            </w:pPr>
            <w:r w:rsidRPr="00416677">
              <w:rPr>
                <w:rFonts w:cs="Arial"/>
                <w:szCs w:val="20"/>
              </w:rPr>
              <w:t>5.</w:t>
            </w:r>
          </w:p>
        </w:tc>
        <w:tc>
          <w:tcPr>
            <w:tcW w:w="1418" w:type="dxa"/>
          </w:tcPr>
          <w:p w14:paraId="460F1545" w14:textId="77777777" w:rsidR="00416677" w:rsidRPr="00416677" w:rsidRDefault="00416677" w:rsidP="00416677">
            <w:pPr>
              <w:spacing w:line="240" w:lineRule="auto"/>
              <w:rPr>
                <w:rFonts w:cs="Arial"/>
                <w:szCs w:val="20"/>
              </w:rPr>
            </w:pPr>
            <w:r w:rsidRPr="00416677">
              <w:rPr>
                <w:rFonts w:cs="Arial"/>
                <w:szCs w:val="20"/>
              </w:rPr>
              <w:t>Przyczep-</w:t>
            </w:r>
            <w:proofErr w:type="spellStart"/>
            <w:r w:rsidRPr="00416677">
              <w:rPr>
                <w:rFonts w:cs="Arial"/>
                <w:szCs w:val="20"/>
              </w:rPr>
              <w:t>ność</w:t>
            </w:r>
            <w:proofErr w:type="spellEnd"/>
            <w:r w:rsidRPr="00416677">
              <w:rPr>
                <w:rFonts w:cs="Arial"/>
                <w:szCs w:val="20"/>
              </w:rPr>
              <w:t xml:space="preserve"> do kruszywa referencyjnego</w:t>
            </w:r>
          </w:p>
        </w:tc>
        <w:tc>
          <w:tcPr>
            <w:tcW w:w="1417" w:type="dxa"/>
          </w:tcPr>
          <w:p w14:paraId="4BAFC7CA" w14:textId="77777777" w:rsidR="00416677" w:rsidRPr="00416677" w:rsidRDefault="00416677" w:rsidP="00416677">
            <w:pPr>
              <w:spacing w:line="240" w:lineRule="auto"/>
              <w:jc w:val="center"/>
              <w:rPr>
                <w:rFonts w:cs="Arial"/>
                <w:szCs w:val="20"/>
              </w:rPr>
            </w:pPr>
            <w:r w:rsidRPr="00416677">
              <w:rPr>
                <w:rFonts w:cs="Arial"/>
                <w:szCs w:val="20"/>
              </w:rPr>
              <w:t>PN-EN 13614[19]</w:t>
            </w:r>
          </w:p>
          <w:p w14:paraId="3190746A" w14:textId="77777777" w:rsidR="00416677" w:rsidRPr="00416677" w:rsidRDefault="00416677" w:rsidP="00416677">
            <w:pPr>
              <w:spacing w:line="240" w:lineRule="auto"/>
              <w:jc w:val="center"/>
              <w:rPr>
                <w:rFonts w:cs="Arial"/>
                <w:szCs w:val="20"/>
              </w:rPr>
            </w:pPr>
            <w:r w:rsidRPr="00416677">
              <w:rPr>
                <w:rFonts w:cs="Arial"/>
                <w:szCs w:val="20"/>
              </w:rPr>
              <w:t>(badanie na kruszywie bazaltowym)</w:t>
            </w:r>
          </w:p>
        </w:tc>
        <w:tc>
          <w:tcPr>
            <w:tcW w:w="993" w:type="dxa"/>
          </w:tcPr>
          <w:p w14:paraId="0DCECCCB" w14:textId="77777777" w:rsidR="00416677" w:rsidRPr="00416677" w:rsidRDefault="00416677" w:rsidP="00416677">
            <w:pPr>
              <w:spacing w:line="240" w:lineRule="auto"/>
              <w:jc w:val="center"/>
              <w:rPr>
                <w:rFonts w:cs="Arial"/>
                <w:szCs w:val="20"/>
              </w:rPr>
            </w:pPr>
            <w:r w:rsidRPr="00416677">
              <w:rPr>
                <w:rFonts w:cs="Arial"/>
                <w:szCs w:val="20"/>
              </w:rPr>
              <w:t xml:space="preserve">% </w:t>
            </w:r>
            <w:r w:rsidRPr="00416677">
              <w:rPr>
                <w:rFonts w:cs="Arial"/>
                <w:szCs w:val="20"/>
              </w:rPr>
              <w:br/>
              <w:t>po-wierzch-ni</w:t>
            </w:r>
          </w:p>
        </w:tc>
        <w:tc>
          <w:tcPr>
            <w:tcW w:w="1417" w:type="dxa"/>
            <w:gridSpan w:val="2"/>
          </w:tcPr>
          <w:p w14:paraId="519349C2" w14:textId="77777777" w:rsidR="00416677" w:rsidRPr="00416677" w:rsidRDefault="00416677" w:rsidP="00416677">
            <w:pPr>
              <w:spacing w:line="240" w:lineRule="auto"/>
              <w:jc w:val="center"/>
              <w:rPr>
                <w:rFonts w:cs="Arial"/>
                <w:szCs w:val="20"/>
              </w:rPr>
            </w:pPr>
            <w:proofErr w:type="spellStart"/>
            <w:r w:rsidRPr="00416677">
              <w:rPr>
                <w:rFonts w:cs="Arial"/>
                <w:szCs w:val="20"/>
              </w:rPr>
              <w:t>NR</w:t>
            </w:r>
            <w:r w:rsidRPr="00416677">
              <w:rPr>
                <w:rFonts w:cs="Arial"/>
                <w:szCs w:val="20"/>
                <w:vertAlign w:val="superscript"/>
              </w:rPr>
              <w:t>a</w:t>
            </w:r>
            <w:proofErr w:type="spellEnd"/>
            <w:r w:rsidRPr="00416677">
              <w:rPr>
                <w:rFonts w:cs="Arial"/>
                <w:szCs w:val="20"/>
              </w:rPr>
              <w:t xml:space="preserve"> (0)</w:t>
            </w:r>
          </w:p>
        </w:tc>
        <w:tc>
          <w:tcPr>
            <w:tcW w:w="1418" w:type="dxa"/>
            <w:gridSpan w:val="2"/>
          </w:tcPr>
          <w:p w14:paraId="1A81724B" w14:textId="77777777" w:rsidR="00416677" w:rsidRPr="00416677" w:rsidRDefault="00416677" w:rsidP="00416677">
            <w:pPr>
              <w:spacing w:line="240" w:lineRule="auto"/>
              <w:jc w:val="center"/>
              <w:rPr>
                <w:rFonts w:cs="Arial"/>
                <w:szCs w:val="20"/>
              </w:rPr>
            </w:pPr>
            <w:proofErr w:type="spellStart"/>
            <w:r w:rsidRPr="00416677">
              <w:rPr>
                <w:rFonts w:cs="Arial"/>
                <w:szCs w:val="20"/>
              </w:rPr>
              <w:t>NR</w:t>
            </w:r>
            <w:r w:rsidRPr="00416677">
              <w:rPr>
                <w:rFonts w:cs="Arial"/>
                <w:szCs w:val="20"/>
                <w:vertAlign w:val="superscript"/>
              </w:rPr>
              <w:t>a</w:t>
            </w:r>
            <w:proofErr w:type="spellEnd"/>
            <w:r w:rsidRPr="00416677">
              <w:rPr>
                <w:rFonts w:cs="Arial"/>
                <w:szCs w:val="20"/>
              </w:rPr>
              <w:t xml:space="preserve"> (0)</w:t>
            </w:r>
          </w:p>
        </w:tc>
        <w:tc>
          <w:tcPr>
            <w:tcW w:w="1559" w:type="dxa"/>
          </w:tcPr>
          <w:p w14:paraId="730A606A" w14:textId="77777777" w:rsidR="00416677" w:rsidRPr="00416677" w:rsidRDefault="00416677" w:rsidP="00416677">
            <w:pPr>
              <w:spacing w:line="240" w:lineRule="auto"/>
              <w:jc w:val="center"/>
              <w:rPr>
                <w:rFonts w:cs="Arial"/>
                <w:szCs w:val="20"/>
              </w:rPr>
            </w:pPr>
            <w:r w:rsidRPr="00416677">
              <w:rPr>
                <w:rFonts w:cs="Arial"/>
                <w:szCs w:val="20"/>
              </w:rPr>
              <w:t>≥75 (2)</w:t>
            </w:r>
          </w:p>
        </w:tc>
      </w:tr>
      <w:tr w:rsidR="00416677" w:rsidRPr="00416677" w14:paraId="58352702" w14:textId="77777777" w:rsidTr="007B6855">
        <w:tc>
          <w:tcPr>
            <w:tcW w:w="675" w:type="dxa"/>
            <w:gridSpan w:val="2"/>
          </w:tcPr>
          <w:p w14:paraId="57DECCF8" w14:textId="77777777" w:rsidR="00416677" w:rsidRPr="00416677" w:rsidRDefault="00416677" w:rsidP="00416677">
            <w:pPr>
              <w:spacing w:line="240" w:lineRule="auto"/>
              <w:jc w:val="center"/>
              <w:rPr>
                <w:rFonts w:cs="Arial"/>
                <w:szCs w:val="20"/>
              </w:rPr>
            </w:pPr>
            <w:r w:rsidRPr="00416677">
              <w:rPr>
                <w:rFonts w:cs="Arial"/>
                <w:szCs w:val="20"/>
              </w:rPr>
              <w:t>6.</w:t>
            </w:r>
          </w:p>
        </w:tc>
        <w:tc>
          <w:tcPr>
            <w:tcW w:w="1418" w:type="dxa"/>
          </w:tcPr>
          <w:p w14:paraId="196A1871" w14:textId="77777777" w:rsidR="00416677" w:rsidRPr="00416677" w:rsidRDefault="00416677" w:rsidP="00416677">
            <w:pPr>
              <w:spacing w:line="240" w:lineRule="auto"/>
              <w:rPr>
                <w:rFonts w:cs="Arial"/>
                <w:szCs w:val="20"/>
              </w:rPr>
            </w:pPr>
            <w:r w:rsidRPr="00416677">
              <w:rPr>
                <w:rFonts w:cs="Arial"/>
                <w:szCs w:val="20"/>
              </w:rPr>
              <w:t>Pozostałość na sicie po 7 dniach magazynowania, sito 0,5 mm</w:t>
            </w:r>
          </w:p>
        </w:tc>
        <w:tc>
          <w:tcPr>
            <w:tcW w:w="1417" w:type="dxa"/>
          </w:tcPr>
          <w:p w14:paraId="1638726E" w14:textId="77777777" w:rsidR="00416677" w:rsidRPr="00416677" w:rsidRDefault="00416677" w:rsidP="00416677">
            <w:pPr>
              <w:spacing w:line="240" w:lineRule="auto"/>
              <w:jc w:val="center"/>
              <w:rPr>
                <w:rFonts w:cs="Arial"/>
                <w:szCs w:val="20"/>
              </w:rPr>
            </w:pPr>
            <w:r w:rsidRPr="00416677">
              <w:rPr>
                <w:rFonts w:cs="Arial"/>
                <w:szCs w:val="20"/>
              </w:rPr>
              <w:t>PN-EN 1429[7]</w:t>
            </w:r>
          </w:p>
        </w:tc>
        <w:tc>
          <w:tcPr>
            <w:tcW w:w="993" w:type="dxa"/>
          </w:tcPr>
          <w:p w14:paraId="0E8AB577" w14:textId="77777777" w:rsidR="00416677" w:rsidRPr="00416677" w:rsidRDefault="00416677" w:rsidP="00416677">
            <w:pPr>
              <w:spacing w:line="240" w:lineRule="auto"/>
              <w:jc w:val="center"/>
              <w:rPr>
                <w:rFonts w:cs="Arial"/>
                <w:szCs w:val="20"/>
              </w:rPr>
            </w:pPr>
            <w:r w:rsidRPr="00416677">
              <w:rPr>
                <w:rFonts w:cs="Arial"/>
                <w:szCs w:val="20"/>
              </w:rPr>
              <w:t>% (m/m)</w:t>
            </w:r>
          </w:p>
        </w:tc>
        <w:tc>
          <w:tcPr>
            <w:tcW w:w="1417" w:type="dxa"/>
            <w:gridSpan w:val="2"/>
          </w:tcPr>
          <w:p w14:paraId="7A603EFD" w14:textId="77777777" w:rsidR="00416677" w:rsidRPr="00416677" w:rsidRDefault="00416677" w:rsidP="00416677">
            <w:pPr>
              <w:spacing w:line="240" w:lineRule="auto"/>
              <w:jc w:val="center"/>
              <w:rPr>
                <w:rFonts w:cs="Arial"/>
                <w:szCs w:val="20"/>
              </w:rPr>
            </w:pPr>
            <w:r w:rsidRPr="00416677">
              <w:rPr>
                <w:rFonts w:cs="Arial"/>
                <w:szCs w:val="20"/>
              </w:rPr>
              <w:t>≤0,2 (3)</w:t>
            </w:r>
          </w:p>
        </w:tc>
        <w:tc>
          <w:tcPr>
            <w:tcW w:w="1418" w:type="dxa"/>
            <w:gridSpan w:val="2"/>
          </w:tcPr>
          <w:p w14:paraId="595D68EB" w14:textId="77777777" w:rsidR="00416677" w:rsidRPr="00416677" w:rsidRDefault="00416677" w:rsidP="00416677">
            <w:pPr>
              <w:spacing w:line="240" w:lineRule="auto"/>
              <w:jc w:val="center"/>
              <w:rPr>
                <w:rFonts w:cs="Arial"/>
                <w:szCs w:val="20"/>
              </w:rPr>
            </w:pPr>
            <w:r w:rsidRPr="00416677">
              <w:rPr>
                <w:rFonts w:cs="Arial"/>
                <w:szCs w:val="20"/>
              </w:rPr>
              <w:t>≤0,2 (3)</w:t>
            </w:r>
          </w:p>
        </w:tc>
        <w:tc>
          <w:tcPr>
            <w:tcW w:w="1559" w:type="dxa"/>
          </w:tcPr>
          <w:p w14:paraId="6F8EE6B2" w14:textId="77777777" w:rsidR="00416677" w:rsidRPr="00416677" w:rsidRDefault="00416677" w:rsidP="00416677">
            <w:pPr>
              <w:spacing w:line="240" w:lineRule="auto"/>
              <w:jc w:val="center"/>
              <w:rPr>
                <w:rFonts w:cs="Arial"/>
                <w:szCs w:val="20"/>
              </w:rPr>
            </w:pPr>
            <w:r w:rsidRPr="00416677">
              <w:rPr>
                <w:rFonts w:cs="Arial"/>
                <w:szCs w:val="20"/>
              </w:rPr>
              <w:t>≤0,2 (3)</w:t>
            </w:r>
          </w:p>
        </w:tc>
      </w:tr>
      <w:tr w:rsidR="00416677" w:rsidRPr="00416677" w14:paraId="53525FA3" w14:textId="77777777" w:rsidTr="007B6855">
        <w:tc>
          <w:tcPr>
            <w:tcW w:w="2093" w:type="dxa"/>
            <w:gridSpan w:val="3"/>
            <w:vAlign w:val="center"/>
          </w:tcPr>
          <w:p w14:paraId="0A266ABF" w14:textId="77777777" w:rsidR="00416677" w:rsidRPr="00416677" w:rsidRDefault="00416677" w:rsidP="00416677">
            <w:pPr>
              <w:spacing w:line="240" w:lineRule="auto"/>
              <w:rPr>
                <w:rFonts w:cs="Arial"/>
                <w:szCs w:val="20"/>
              </w:rPr>
            </w:pPr>
            <w:r w:rsidRPr="00416677">
              <w:rPr>
                <w:rFonts w:cs="Arial"/>
                <w:szCs w:val="20"/>
              </w:rPr>
              <w:t>Asfalt odzyskany i stabilizowany</w:t>
            </w:r>
          </w:p>
        </w:tc>
        <w:tc>
          <w:tcPr>
            <w:tcW w:w="1417" w:type="dxa"/>
          </w:tcPr>
          <w:p w14:paraId="7ED9CDE4" w14:textId="77777777" w:rsidR="00416677" w:rsidRPr="00416677" w:rsidRDefault="00416677" w:rsidP="00416677">
            <w:pPr>
              <w:spacing w:line="240" w:lineRule="auto"/>
              <w:jc w:val="center"/>
              <w:rPr>
                <w:rFonts w:cs="Arial"/>
                <w:szCs w:val="20"/>
                <w:lang w:val="en-US"/>
              </w:rPr>
            </w:pPr>
            <w:r w:rsidRPr="00416677">
              <w:rPr>
                <w:rFonts w:cs="Arial"/>
                <w:szCs w:val="20"/>
                <w:lang w:val="en-US"/>
              </w:rPr>
              <w:t xml:space="preserve">PN-EN 13074-1[14] </w:t>
            </w:r>
            <w:proofErr w:type="spellStart"/>
            <w:r w:rsidRPr="00416677">
              <w:rPr>
                <w:rFonts w:cs="Arial"/>
                <w:szCs w:val="20"/>
                <w:lang w:val="en-US"/>
              </w:rPr>
              <w:t>i</w:t>
            </w:r>
            <w:proofErr w:type="spellEnd"/>
            <w:r w:rsidRPr="00416677">
              <w:rPr>
                <w:rFonts w:cs="Arial"/>
                <w:szCs w:val="20"/>
                <w:lang w:val="en-US"/>
              </w:rPr>
              <w:t xml:space="preserve"> PN-EN 13074-2[15]</w:t>
            </w:r>
          </w:p>
        </w:tc>
        <w:tc>
          <w:tcPr>
            <w:tcW w:w="5387" w:type="dxa"/>
            <w:gridSpan w:val="6"/>
            <w:vAlign w:val="center"/>
          </w:tcPr>
          <w:p w14:paraId="04BC9FFD" w14:textId="77777777" w:rsidR="00416677" w:rsidRPr="00416677" w:rsidRDefault="00416677" w:rsidP="00416677">
            <w:pPr>
              <w:spacing w:line="240" w:lineRule="auto"/>
              <w:jc w:val="center"/>
              <w:rPr>
                <w:rFonts w:cs="Arial"/>
                <w:szCs w:val="20"/>
                <w:lang w:val="en-US"/>
              </w:rPr>
            </w:pPr>
            <w:r w:rsidRPr="00416677">
              <w:rPr>
                <w:rFonts w:cs="Arial"/>
                <w:szCs w:val="20"/>
                <w:lang w:val="en-US"/>
              </w:rPr>
              <w:t>-</w:t>
            </w:r>
          </w:p>
        </w:tc>
      </w:tr>
      <w:tr w:rsidR="00416677" w:rsidRPr="00416677" w14:paraId="61F6F0B5" w14:textId="77777777" w:rsidTr="007B6855">
        <w:tc>
          <w:tcPr>
            <w:tcW w:w="662" w:type="dxa"/>
          </w:tcPr>
          <w:p w14:paraId="1A2BC8EF" w14:textId="77777777" w:rsidR="00416677" w:rsidRPr="00416677" w:rsidRDefault="00416677" w:rsidP="00416677">
            <w:pPr>
              <w:spacing w:line="240" w:lineRule="auto"/>
              <w:jc w:val="center"/>
              <w:rPr>
                <w:rFonts w:cs="Arial"/>
                <w:szCs w:val="20"/>
              </w:rPr>
            </w:pPr>
            <w:r w:rsidRPr="00416677">
              <w:rPr>
                <w:rFonts w:cs="Arial"/>
                <w:szCs w:val="20"/>
              </w:rPr>
              <w:t>7.</w:t>
            </w:r>
          </w:p>
        </w:tc>
        <w:tc>
          <w:tcPr>
            <w:tcW w:w="1431" w:type="dxa"/>
            <w:gridSpan w:val="2"/>
          </w:tcPr>
          <w:p w14:paraId="1CC82EB3" w14:textId="77777777" w:rsidR="00416677" w:rsidRPr="00416677" w:rsidRDefault="00416677" w:rsidP="00416677">
            <w:pPr>
              <w:spacing w:line="240" w:lineRule="auto"/>
              <w:rPr>
                <w:rFonts w:cs="Arial"/>
                <w:szCs w:val="20"/>
                <w:vertAlign w:val="subscript"/>
              </w:rPr>
            </w:pPr>
            <w:r w:rsidRPr="00416677">
              <w:rPr>
                <w:rFonts w:cs="Arial"/>
                <w:szCs w:val="20"/>
              </w:rPr>
              <w:t>Penetracja w 25°C asfaltu odzyskanego</w:t>
            </w:r>
          </w:p>
        </w:tc>
        <w:tc>
          <w:tcPr>
            <w:tcW w:w="1417" w:type="dxa"/>
          </w:tcPr>
          <w:p w14:paraId="46B45382" w14:textId="77777777" w:rsidR="00416677" w:rsidRPr="00416677" w:rsidRDefault="00416677" w:rsidP="00416677">
            <w:pPr>
              <w:spacing w:line="240" w:lineRule="auto"/>
              <w:jc w:val="center"/>
              <w:rPr>
                <w:rFonts w:cs="Arial"/>
                <w:szCs w:val="20"/>
              </w:rPr>
            </w:pPr>
            <w:r w:rsidRPr="00416677">
              <w:rPr>
                <w:rFonts w:cs="Arial"/>
                <w:szCs w:val="20"/>
              </w:rPr>
              <w:t>PN-EN 1426[4]</w:t>
            </w:r>
          </w:p>
        </w:tc>
        <w:tc>
          <w:tcPr>
            <w:tcW w:w="993" w:type="dxa"/>
          </w:tcPr>
          <w:p w14:paraId="0EF46AD6" w14:textId="77777777" w:rsidR="00416677" w:rsidRPr="00416677" w:rsidRDefault="00416677" w:rsidP="00416677">
            <w:pPr>
              <w:spacing w:line="240" w:lineRule="auto"/>
              <w:jc w:val="center"/>
              <w:rPr>
                <w:rFonts w:cs="Arial"/>
                <w:szCs w:val="20"/>
              </w:rPr>
            </w:pPr>
            <w:r w:rsidRPr="00416677">
              <w:rPr>
                <w:rFonts w:cs="Arial"/>
                <w:szCs w:val="20"/>
              </w:rPr>
              <w:t>0,1 mm</w:t>
            </w:r>
          </w:p>
        </w:tc>
        <w:tc>
          <w:tcPr>
            <w:tcW w:w="1275" w:type="dxa"/>
          </w:tcPr>
          <w:p w14:paraId="51B34798" w14:textId="77777777" w:rsidR="00416677" w:rsidRPr="00416677" w:rsidRDefault="00416677" w:rsidP="00416677">
            <w:pPr>
              <w:spacing w:line="240" w:lineRule="auto"/>
              <w:jc w:val="center"/>
              <w:rPr>
                <w:rFonts w:cs="Arial"/>
                <w:szCs w:val="20"/>
              </w:rPr>
            </w:pPr>
            <w:r w:rsidRPr="00416677">
              <w:rPr>
                <w:rFonts w:cs="Arial"/>
                <w:szCs w:val="20"/>
              </w:rPr>
              <w:t>≤100 (3)</w:t>
            </w:r>
          </w:p>
        </w:tc>
        <w:tc>
          <w:tcPr>
            <w:tcW w:w="1418" w:type="dxa"/>
            <w:gridSpan w:val="2"/>
          </w:tcPr>
          <w:p w14:paraId="65CE605E" w14:textId="77777777" w:rsidR="00416677" w:rsidRPr="00416677" w:rsidRDefault="00416677" w:rsidP="00416677">
            <w:pPr>
              <w:spacing w:line="240" w:lineRule="auto"/>
              <w:jc w:val="center"/>
              <w:rPr>
                <w:rFonts w:cs="Arial"/>
                <w:szCs w:val="20"/>
              </w:rPr>
            </w:pPr>
            <w:r w:rsidRPr="00416677">
              <w:rPr>
                <w:rFonts w:cs="Arial"/>
                <w:szCs w:val="20"/>
              </w:rPr>
              <w:t>≤100 (3)</w:t>
            </w:r>
          </w:p>
        </w:tc>
        <w:tc>
          <w:tcPr>
            <w:tcW w:w="1701" w:type="dxa"/>
            <w:gridSpan w:val="2"/>
          </w:tcPr>
          <w:p w14:paraId="3953E14C" w14:textId="77777777" w:rsidR="00416677" w:rsidRPr="00416677" w:rsidRDefault="00416677" w:rsidP="00416677">
            <w:pPr>
              <w:spacing w:line="240" w:lineRule="auto"/>
              <w:jc w:val="center"/>
              <w:rPr>
                <w:rFonts w:cs="Arial"/>
                <w:szCs w:val="20"/>
              </w:rPr>
            </w:pPr>
            <w:r w:rsidRPr="00416677">
              <w:rPr>
                <w:rFonts w:cs="Arial"/>
                <w:szCs w:val="20"/>
              </w:rPr>
              <w:t>≤100 (3)</w:t>
            </w:r>
          </w:p>
        </w:tc>
      </w:tr>
      <w:tr w:rsidR="00416677" w:rsidRPr="00416677" w14:paraId="0D7D9D09" w14:textId="77777777" w:rsidTr="007B6855">
        <w:tc>
          <w:tcPr>
            <w:tcW w:w="662" w:type="dxa"/>
          </w:tcPr>
          <w:p w14:paraId="597D3043" w14:textId="77777777" w:rsidR="00416677" w:rsidRPr="00416677" w:rsidRDefault="00416677" w:rsidP="00416677">
            <w:pPr>
              <w:spacing w:line="240" w:lineRule="auto"/>
              <w:jc w:val="center"/>
              <w:rPr>
                <w:rFonts w:cs="Arial"/>
                <w:szCs w:val="20"/>
              </w:rPr>
            </w:pPr>
            <w:r w:rsidRPr="00416677">
              <w:rPr>
                <w:rFonts w:cs="Arial"/>
                <w:szCs w:val="20"/>
              </w:rPr>
              <w:t>8.</w:t>
            </w:r>
          </w:p>
        </w:tc>
        <w:tc>
          <w:tcPr>
            <w:tcW w:w="1431" w:type="dxa"/>
            <w:gridSpan w:val="2"/>
          </w:tcPr>
          <w:p w14:paraId="32B15262" w14:textId="77777777" w:rsidR="00416677" w:rsidRPr="00416677" w:rsidRDefault="00416677" w:rsidP="00416677">
            <w:pPr>
              <w:spacing w:line="240" w:lineRule="auto"/>
              <w:rPr>
                <w:rFonts w:cs="Arial"/>
                <w:szCs w:val="20"/>
              </w:rPr>
            </w:pPr>
            <w:r w:rsidRPr="00416677">
              <w:rPr>
                <w:rFonts w:cs="Arial"/>
                <w:szCs w:val="20"/>
              </w:rPr>
              <w:t>Temperatura mięknienia asfaltu odzyskanego</w:t>
            </w:r>
          </w:p>
        </w:tc>
        <w:tc>
          <w:tcPr>
            <w:tcW w:w="1417" w:type="dxa"/>
          </w:tcPr>
          <w:p w14:paraId="57B23D7C" w14:textId="77777777" w:rsidR="00416677" w:rsidRPr="00416677" w:rsidRDefault="00416677" w:rsidP="00416677">
            <w:pPr>
              <w:spacing w:line="240" w:lineRule="auto"/>
              <w:jc w:val="center"/>
              <w:rPr>
                <w:rFonts w:cs="Arial"/>
                <w:szCs w:val="20"/>
              </w:rPr>
            </w:pPr>
            <w:r w:rsidRPr="00416677">
              <w:rPr>
                <w:rFonts w:cs="Arial"/>
                <w:szCs w:val="20"/>
              </w:rPr>
              <w:t>PN-EN 1427[5]</w:t>
            </w:r>
          </w:p>
        </w:tc>
        <w:tc>
          <w:tcPr>
            <w:tcW w:w="993" w:type="dxa"/>
          </w:tcPr>
          <w:p w14:paraId="6BEDAD9D" w14:textId="77777777" w:rsidR="00416677" w:rsidRPr="00416677" w:rsidRDefault="00416677" w:rsidP="00416677">
            <w:pPr>
              <w:spacing w:line="240" w:lineRule="auto"/>
              <w:jc w:val="center"/>
              <w:rPr>
                <w:rFonts w:cs="Arial"/>
                <w:szCs w:val="20"/>
              </w:rPr>
            </w:pPr>
            <w:r w:rsidRPr="00416677">
              <w:rPr>
                <w:rFonts w:cs="Arial"/>
                <w:szCs w:val="20"/>
              </w:rPr>
              <w:t>°C</w:t>
            </w:r>
          </w:p>
        </w:tc>
        <w:tc>
          <w:tcPr>
            <w:tcW w:w="1275" w:type="dxa"/>
          </w:tcPr>
          <w:p w14:paraId="182A4BA3" w14:textId="77777777" w:rsidR="00416677" w:rsidRPr="00416677" w:rsidRDefault="00416677" w:rsidP="00416677">
            <w:pPr>
              <w:spacing w:line="240" w:lineRule="auto"/>
              <w:jc w:val="center"/>
              <w:rPr>
                <w:rFonts w:cs="Arial"/>
                <w:szCs w:val="20"/>
              </w:rPr>
            </w:pPr>
            <w:r w:rsidRPr="00416677">
              <w:rPr>
                <w:rFonts w:cs="Arial"/>
                <w:szCs w:val="20"/>
              </w:rPr>
              <w:t>≥43 (6)</w:t>
            </w:r>
          </w:p>
        </w:tc>
        <w:tc>
          <w:tcPr>
            <w:tcW w:w="1418" w:type="dxa"/>
            <w:gridSpan w:val="2"/>
          </w:tcPr>
          <w:p w14:paraId="29A45966" w14:textId="77777777" w:rsidR="00416677" w:rsidRPr="00416677" w:rsidRDefault="00416677" w:rsidP="00416677">
            <w:pPr>
              <w:spacing w:line="240" w:lineRule="auto"/>
              <w:jc w:val="center"/>
              <w:rPr>
                <w:rFonts w:cs="Arial"/>
                <w:szCs w:val="20"/>
              </w:rPr>
            </w:pPr>
            <w:r w:rsidRPr="00416677">
              <w:rPr>
                <w:rFonts w:cs="Arial"/>
                <w:szCs w:val="20"/>
              </w:rPr>
              <w:t>≥46 (5)</w:t>
            </w:r>
          </w:p>
        </w:tc>
        <w:tc>
          <w:tcPr>
            <w:tcW w:w="1701" w:type="dxa"/>
            <w:gridSpan w:val="2"/>
          </w:tcPr>
          <w:p w14:paraId="210665D7" w14:textId="77777777" w:rsidR="00416677" w:rsidRPr="00416677" w:rsidRDefault="00416677" w:rsidP="00416677">
            <w:pPr>
              <w:spacing w:line="240" w:lineRule="auto"/>
              <w:jc w:val="center"/>
              <w:rPr>
                <w:rFonts w:cs="Arial"/>
                <w:szCs w:val="20"/>
              </w:rPr>
            </w:pPr>
            <w:r w:rsidRPr="00416677">
              <w:rPr>
                <w:rFonts w:cs="Arial"/>
                <w:szCs w:val="20"/>
              </w:rPr>
              <w:t>≥43 (6)</w:t>
            </w:r>
          </w:p>
        </w:tc>
      </w:tr>
      <w:tr w:rsidR="00416677" w:rsidRPr="00416677" w14:paraId="006407A9" w14:textId="77777777" w:rsidTr="007B6855">
        <w:tc>
          <w:tcPr>
            <w:tcW w:w="662" w:type="dxa"/>
          </w:tcPr>
          <w:p w14:paraId="26FE1107" w14:textId="77777777" w:rsidR="00416677" w:rsidRPr="00416677" w:rsidRDefault="00416677" w:rsidP="00416677">
            <w:pPr>
              <w:spacing w:line="240" w:lineRule="auto"/>
              <w:jc w:val="center"/>
              <w:rPr>
                <w:rFonts w:cs="Arial"/>
                <w:szCs w:val="20"/>
              </w:rPr>
            </w:pPr>
            <w:r w:rsidRPr="00416677">
              <w:rPr>
                <w:rFonts w:cs="Arial"/>
                <w:szCs w:val="20"/>
              </w:rPr>
              <w:t>9.</w:t>
            </w:r>
          </w:p>
        </w:tc>
        <w:tc>
          <w:tcPr>
            <w:tcW w:w="1431" w:type="dxa"/>
            <w:gridSpan w:val="2"/>
          </w:tcPr>
          <w:p w14:paraId="7BDFFA34" w14:textId="77777777" w:rsidR="00416677" w:rsidRPr="00416677" w:rsidRDefault="00416677" w:rsidP="00416677">
            <w:pPr>
              <w:spacing w:line="240" w:lineRule="auto"/>
              <w:rPr>
                <w:rFonts w:cs="Arial"/>
                <w:szCs w:val="20"/>
              </w:rPr>
            </w:pPr>
            <w:r w:rsidRPr="00416677">
              <w:rPr>
                <w:rFonts w:cs="Arial"/>
                <w:szCs w:val="20"/>
              </w:rPr>
              <w:t>Energia kohezji</w:t>
            </w:r>
          </w:p>
        </w:tc>
        <w:tc>
          <w:tcPr>
            <w:tcW w:w="1417" w:type="dxa"/>
          </w:tcPr>
          <w:p w14:paraId="5A8E93BA" w14:textId="77777777" w:rsidR="00416677" w:rsidRPr="00416677" w:rsidRDefault="00416677" w:rsidP="00416677">
            <w:pPr>
              <w:spacing w:line="240" w:lineRule="auto"/>
              <w:jc w:val="center"/>
              <w:rPr>
                <w:rFonts w:cs="Arial"/>
                <w:szCs w:val="20"/>
              </w:rPr>
            </w:pPr>
            <w:r w:rsidRPr="00416677">
              <w:rPr>
                <w:rFonts w:cs="Arial"/>
                <w:szCs w:val="20"/>
              </w:rPr>
              <w:t>PN-EN 13589 [18]i PN-EN 13703[20]</w:t>
            </w:r>
          </w:p>
        </w:tc>
        <w:tc>
          <w:tcPr>
            <w:tcW w:w="993" w:type="dxa"/>
          </w:tcPr>
          <w:p w14:paraId="2AC623B5" w14:textId="77777777" w:rsidR="00416677" w:rsidRPr="00416677" w:rsidRDefault="00416677" w:rsidP="00416677">
            <w:pPr>
              <w:spacing w:line="240" w:lineRule="auto"/>
              <w:jc w:val="center"/>
              <w:rPr>
                <w:rFonts w:cs="Arial"/>
                <w:szCs w:val="20"/>
              </w:rPr>
            </w:pPr>
            <w:r w:rsidRPr="00416677">
              <w:rPr>
                <w:rFonts w:cs="Arial"/>
                <w:szCs w:val="20"/>
              </w:rPr>
              <w:t>J/cm</w:t>
            </w:r>
            <w:r w:rsidRPr="00416677">
              <w:rPr>
                <w:rFonts w:cs="Arial"/>
                <w:szCs w:val="20"/>
                <w:vertAlign w:val="superscript"/>
              </w:rPr>
              <w:t>2</w:t>
            </w:r>
          </w:p>
        </w:tc>
        <w:tc>
          <w:tcPr>
            <w:tcW w:w="1275" w:type="dxa"/>
          </w:tcPr>
          <w:p w14:paraId="0E54A821" w14:textId="77777777" w:rsidR="00416677" w:rsidRPr="00416677" w:rsidRDefault="00416677" w:rsidP="00416677">
            <w:pPr>
              <w:spacing w:line="240" w:lineRule="auto"/>
              <w:jc w:val="center"/>
              <w:rPr>
                <w:rFonts w:cs="Arial"/>
                <w:szCs w:val="20"/>
              </w:rPr>
            </w:pPr>
            <w:proofErr w:type="spellStart"/>
            <w:r w:rsidRPr="00416677">
              <w:rPr>
                <w:rFonts w:cs="Arial"/>
                <w:szCs w:val="20"/>
              </w:rPr>
              <w:t>NR</w:t>
            </w:r>
            <w:r w:rsidRPr="00416677">
              <w:rPr>
                <w:rFonts w:cs="Arial"/>
                <w:szCs w:val="20"/>
                <w:vertAlign w:val="superscript"/>
              </w:rPr>
              <w:t>a</w:t>
            </w:r>
            <w:proofErr w:type="spellEnd"/>
            <w:r w:rsidRPr="00416677">
              <w:rPr>
                <w:rFonts w:cs="Arial"/>
                <w:szCs w:val="20"/>
              </w:rPr>
              <w:t xml:space="preserve"> (0)</w:t>
            </w:r>
          </w:p>
        </w:tc>
        <w:tc>
          <w:tcPr>
            <w:tcW w:w="1418" w:type="dxa"/>
            <w:gridSpan w:val="2"/>
          </w:tcPr>
          <w:p w14:paraId="60C2B781" w14:textId="77777777" w:rsidR="00416677" w:rsidRPr="00416677" w:rsidRDefault="00416677" w:rsidP="00416677">
            <w:pPr>
              <w:spacing w:line="240" w:lineRule="auto"/>
              <w:jc w:val="center"/>
              <w:rPr>
                <w:rFonts w:cs="Arial"/>
                <w:szCs w:val="20"/>
              </w:rPr>
            </w:pPr>
            <w:r w:rsidRPr="00416677">
              <w:rPr>
                <w:rFonts w:cs="Arial"/>
                <w:szCs w:val="20"/>
              </w:rPr>
              <w:t>Wartość deklarowana</w:t>
            </w:r>
          </w:p>
        </w:tc>
        <w:tc>
          <w:tcPr>
            <w:tcW w:w="1701" w:type="dxa"/>
            <w:gridSpan w:val="2"/>
          </w:tcPr>
          <w:p w14:paraId="2906AE93" w14:textId="77777777" w:rsidR="00416677" w:rsidRPr="00416677" w:rsidRDefault="00416677" w:rsidP="00416677">
            <w:pPr>
              <w:spacing w:line="240" w:lineRule="auto"/>
              <w:jc w:val="center"/>
              <w:rPr>
                <w:rFonts w:cs="Arial"/>
                <w:szCs w:val="20"/>
              </w:rPr>
            </w:pPr>
            <w:proofErr w:type="spellStart"/>
            <w:r w:rsidRPr="00416677">
              <w:rPr>
                <w:rFonts w:cs="Arial"/>
                <w:szCs w:val="20"/>
              </w:rPr>
              <w:t>NR</w:t>
            </w:r>
            <w:r w:rsidRPr="00416677">
              <w:rPr>
                <w:rFonts w:cs="Arial"/>
                <w:szCs w:val="20"/>
                <w:vertAlign w:val="superscript"/>
              </w:rPr>
              <w:t>a</w:t>
            </w:r>
            <w:proofErr w:type="spellEnd"/>
            <w:r w:rsidRPr="00416677">
              <w:rPr>
                <w:rFonts w:cs="Arial"/>
                <w:szCs w:val="20"/>
              </w:rPr>
              <w:t xml:space="preserve"> (0)</w:t>
            </w:r>
          </w:p>
        </w:tc>
      </w:tr>
      <w:tr w:rsidR="00416677" w:rsidRPr="00416677" w14:paraId="31DAF731" w14:textId="77777777" w:rsidTr="007B6855">
        <w:tc>
          <w:tcPr>
            <w:tcW w:w="662" w:type="dxa"/>
          </w:tcPr>
          <w:p w14:paraId="18869219" w14:textId="77777777" w:rsidR="00416677" w:rsidRPr="00416677" w:rsidRDefault="00416677" w:rsidP="00416677">
            <w:pPr>
              <w:spacing w:line="240" w:lineRule="auto"/>
              <w:jc w:val="center"/>
              <w:rPr>
                <w:rFonts w:cs="Arial"/>
                <w:szCs w:val="20"/>
              </w:rPr>
            </w:pPr>
            <w:r w:rsidRPr="00416677">
              <w:rPr>
                <w:rFonts w:cs="Arial"/>
                <w:szCs w:val="20"/>
              </w:rPr>
              <w:t>10.</w:t>
            </w:r>
          </w:p>
        </w:tc>
        <w:tc>
          <w:tcPr>
            <w:tcW w:w="1431" w:type="dxa"/>
            <w:gridSpan w:val="2"/>
          </w:tcPr>
          <w:p w14:paraId="7D9F894B" w14:textId="77777777" w:rsidR="00416677" w:rsidRPr="00416677" w:rsidRDefault="00416677" w:rsidP="00416677">
            <w:pPr>
              <w:spacing w:line="240" w:lineRule="auto"/>
              <w:rPr>
                <w:rFonts w:cs="Arial"/>
                <w:szCs w:val="20"/>
              </w:rPr>
            </w:pPr>
            <w:r w:rsidRPr="00416677">
              <w:rPr>
                <w:rFonts w:cs="Arial"/>
                <w:szCs w:val="20"/>
              </w:rPr>
              <w:t>Nawrót sprężysty w 25°C</w:t>
            </w:r>
          </w:p>
        </w:tc>
        <w:tc>
          <w:tcPr>
            <w:tcW w:w="1417" w:type="dxa"/>
          </w:tcPr>
          <w:p w14:paraId="6C630400" w14:textId="77777777" w:rsidR="00416677" w:rsidRPr="00416677" w:rsidRDefault="00416677" w:rsidP="00416677">
            <w:pPr>
              <w:spacing w:line="240" w:lineRule="auto"/>
              <w:jc w:val="center"/>
              <w:rPr>
                <w:rFonts w:cs="Arial"/>
                <w:szCs w:val="20"/>
              </w:rPr>
            </w:pPr>
            <w:r w:rsidRPr="00416677">
              <w:rPr>
                <w:rFonts w:cs="Arial"/>
                <w:szCs w:val="20"/>
              </w:rPr>
              <w:t>PN-EN 13398[17]</w:t>
            </w:r>
          </w:p>
        </w:tc>
        <w:tc>
          <w:tcPr>
            <w:tcW w:w="993" w:type="dxa"/>
          </w:tcPr>
          <w:p w14:paraId="2D9D6CDC" w14:textId="77777777" w:rsidR="00416677" w:rsidRPr="00416677" w:rsidRDefault="00416677" w:rsidP="00416677">
            <w:pPr>
              <w:spacing w:line="240" w:lineRule="auto"/>
              <w:jc w:val="center"/>
              <w:rPr>
                <w:rFonts w:cs="Arial"/>
                <w:szCs w:val="20"/>
              </w:rPr>
            </w:pPr>
            <w:r w:rsidRPr="00416677">
              <w:rPr>
                <w:rFonts w:cs="Arial"/>
                <w:szCs w:val="20"/>
              </w:rPr>
              <w:t>%</w:t>
            </w:r>
          </w:p>
        </w:tc>
        <w:tc>
          <w:tcPr>
            <w:tcW w:w="1275" w:type="dxa"/>
          </w:tcPr>
          <w:p w14:paraId="0B660D51" w14:textId="77777777" w:rsidR="00416677" w:rsidRPr="00416677" w:rsidRDefault="00416677" w:rsidP="00416677">
            <w:pPr>
              <w:spacing w:line="240" w:lineRule="auto"/>
              <w:jc w:val="center"/>
              <w:rPr>
                <w:rFonts w:cs="Arial"/>
                <w:szCs w:val="20"/>
              </w:rPr>
            </w:pPr>
            <w:proofErr w:type="spellStart"/>
            <w:r w:rsidRPr="00416677">
              <w:rPr>
                <w:rFonts w:cs="Arial"/>
                <w:szCs w:val="20"/>
              </w:rPr>
              <w:t>NR</w:t>
            </w:r>
            <w:r w:rsidRPr="00416677">
              <w:rPr>
                <w:rFonts w:cs="Arial"/>
                <w:szCs w:val="20"/>
                <w:vertAlign w:val="superscript"/>
              </w:rPr>
              <w:t>a</w:t>
            </w:r>
            <w:proofErr w:type="spellEnd"/>
            <w:r w:rsidRPr="00416677">
              <w:rPr>
                <w:rFonts w:cs="Arial"/>
                <w:szCs w:val="20"/>
              </w:rPr>
              <w:t xml:space="preserve"> (0)</w:t>
            </w:r>
          </w:p>
        </w:tc>
        <w:tc>
          <w:tcPr>
            <w:tcW w:w="1418" w:type="dxa"/>
            <w:gridSpan w:val="2"/>
          </w:tcPr>
          <w:p w14:paraId="65198449" w14:textId="77777777" w:rsidR="00416677" w:rsidRPr="00416677" w:rsidRDefault="00416677" w:rsidP="00416677">
            <w:pPr>
              <w:spacing w:line="240" w:lineRule="auto"/>
              <w:jc w:val="center"/>
              <w:rPr>
                <w:rFonts w:cs="Arial"/>
                <w:szCs w:val="20"/>
              </w:rPr>
            </w:pPr>
            <w:r w:rsidRPr="00416677">
              <w:rPr>
                <w:rFonts w:cs="Arial"/>
                <w:szCs w:val="20"/>
              </w:rPr>
              <w:t>≥ 50 (5)</w:t>
            </w:r>
          </w:p>
        </w:tc>
        <w:tc>
          <w:tcPr>
            <w:tcW w:w="1701" w:type="dxa"/>
            <w:gridSpan w:val="2"/>
          </w:tcPr>
          <w:p w14:paraId="1EF4D6A3" w14:textId="77777777" w:rsidR="00416677" w:rsidRPr="00416677" w:rsidRDefault="00416677" w:rsidP="00416677">
            <w:pPr>
              <w:spacing w:line="240" w:lineRule="auto"/>
              <w:jc w:val="center"/>
              <w:rPr>
                <w:rFonts w:cs="Arial"/>
                <w:szCs w:val="20"/>
              </w:rPr>
            </w:pPr>
            <w:proofErr w:type="spellStart"/>
            <w:r w:rsidRPr="00416677">
              <w:rPr>
                <w:rFonts w:cs="Arial"/>
                <w:szCs w:val="20"/>
              </w:rPr>
              <w:t>NR</w:t>
            </w:r>
            <w:r w:rsidRPr="00416677">
              <w:rPr>
                <w:rFonts w:cs="Arial"/>
                <w:szCs w:val="20"/>
                <w:vertAlign w:val="superscript"/>
              </w:rPr>
              <w:t>a</w:t>
            </w:r>
            <w:proofErr w:type="spellEnd"/>
            <w:r w:rsidRPr="00416677">
              <w:rPr>
                <w:rFonts w:cs="Arial"/>
                <w:szCs w:val="20"/>
              </w:rPr>
              <w:t xml:space="preserve"> (0)</w:t>
            </w:r>
          </w:p>
        </w:tc>
      </w:tr>
    </w:tbl>
    <w:p w14:paraId="3849F3AF" w14:textId="77777777" w:rsidR="00416677" w:rsidRPr="00416677" w:rsidRDefault="00416677" w:rsidP="00416677">
      <w:pPr>
        <w:spacing w:line="240" w:lineRule="auto"/>
        <w:rPr>
          <w:rFonts w:cs="Arial"/>
          <w:szCs w:val="20"/>
          <w:lang w:val="en-US"/>
        </w:rPr>
      </w:pPr>
      <w:r w:rsidRPr="00416677">
        <w:rPr>
          <w:rFonts w:cs="Arial"/>
          <w:szCs w:val="20"/>
          <w:vertAlign w:val="superscript"/>
          <w:lang w:val="en-US"/>
        </w:rPr>
        <w:t>a</w:t>
      </w:r>
      <w:r w:rsidRPr="00416677">
        <w:rPr>
          <w:rFonts w:cs="Arial"/>
          <w:szCs w:val="20"/>
          <w:lang w:val="en-US"/>
        </w:rPr>
        <w:t xml:space="preserve"> NR – No Requirements (</w:t>
      </w:r>
      <w:proofErr w:type="spellStart"/>
      <w:r w:rsidRPr="00416677">
        <w:rPr>
          <w:rFonts w:cs="Arial"/>
          <w:szCs w:val="20"/>
          <w:lang w:val="en-US"/>
        </w:rPr>
        <w:t>brak</w:t>
      </w:r>
      <w:proofErr w:type="spellEnd"/>
      <w:r w:rsidRPr="00416677">
        <w:rPr>
          <w:rFonts w:cs="Arial"/>
          <w:szCs w:val="20"/>
          <w:lang w:val="en-US"/>
        </w:rPr>
        <w:t xml:space="preserve"> </w:t>
      </w:r>
      <w:proofErr w:type="spellStart"/>
      <w:r w:rsidRPr="00416677">
        <w:rPr>
          <w:rFonts w:cs="Arial"/>
          <w:szCs w:val="20"/>
          <w:lang w:val="en-US"/>
        </w:rPr>
        <w:t>wymagań</w:t>
      </w:r>
      <w:proofErr w:type="spellEnd"/>
      <w:r w:rsidRPr="00416677">
        <w:rPr>
          <w:rFonts w:cs="Arial"/>
          <w:szCs w:val="20"/>
          <w:lang w:val="en-US"/>
        </w:rPr>
        <w:t>)</w:t>
      </w:r>
    </w:p>
    <w:p w14:paraId="08165519" w14:textId="77777777" w:rsidR="00416677" w:rsidRPr="00416677" w:rsidRDefault="00416677" w:rsidP="00416677">
      <w:pPr>
        <w:spacing w:after="120" w:line="240" w:lineRule="auto"/>
        <w:ind w:left="238" w:hanging="238"/>
        <w:rPr>
          <w:rFonts w:cs="Arial"/>
          <w:szCs w:val="20"/>
        </w:rPr>
      </w:pPr>
      <w:r w:rsidRPr="00416677">
        <w:rPr>
          <w:rFonts w:cs="Arial"/>
          <w:szCs w:val="20"/>
          <w:vertAlign w:val="superscript"/>
        </w:rPr>
        <w:t>b</w:t>
      </w:r>
      <w:r w:rsidRPr="00416677">
        <w:rPr>
          <w:rFonts w:cs="Arial"/>
          <w:szCs w:val="20"/>
        </w:rPr>
        <w:t xml:space="preserve"> Klasa wymagania podana jest w nawiasie obok wymagania liczbowego</w:t>
      </w:r>
    </w:p>
    <w:p w14:paraId="5BCB4F5C" w14:textId="77777777" w:rsidR="00416677" w:rsidRPr="00416677" w:rsidRDefault="00416677" w:rsidP="00416677">
      <w:pPr>
        <w:keepNext/>
        <w:spacing w:after="120" w:line="240" w:lineRule="auto"/>
        <w:ind w:left="238" w:hanging="238"/>
        <w:rPr>
          <w:rFonts w:cs="Arial"/>
          <w:szCs w:val="20"/>
        </w:rPr>
      </w:pPr>
      <w:r w:rsidRPr="00416677">
        <w:rPr>
          <w:rFonts w:cs="Arial"/>
          <w:szCs w:val="20"/>
        </w:rPr>
        <w:lastRenderedPageBreak/>
        <w:t>2.2.3.2. Składowanie emulsji asfaltowej</w:t>
      </w:r>
    </w:p>
    <w:p w14:paraId="21B06DDE" w14:textId="77777777" w:rsidR="00416677" w:rsidRPr="00416677" w:rsidRDefault="00416677" w:rsidP="00416677">
      <w:pPr>
        <w:spacing w:line="240" w:lineRule="auto"/>
        <w:rPr>
          <w:rFonts w:cs="Arial"/>
          <w:szCs w:val="20"/>
        </w:rPr>
      </w:pPr>
      <w:r w:rsidRPr="00416677">
        <w:rPr>
          <w:rFonts w:cs="Arial"/>
          <w:szCs w:val="20"/>
        </w:rPr>
        <w:tab/>
        <w:t>Emulsję można magazynować w opakowaniach transportowych lub stacjonarnych zbiornikach pionowych z nalewaniem od dna.</w:t>
      </w:r>
    </w:p>
    <w:p w14:paraId="08739147" w14:textId="77777777" w:rsidR="00416677" w:rsidRPr="00416677" w:rsidRDefault="00416677" w:rsidP="00416677">
      <w:pPr>
        <w:spacing w:line="240" w:lineRule="auto"/>
        <w:rPr>
          <w:rFonts w:cs="Arial"/>
          <w:szCs w:val="20"/>
        </w:rPr>
      </w:pPr>
      <w:r w:rsidRPr="00416677">
        <w:rPr>
          <w:rFonts w:cs="Arial"/>
          <w:szCs w:val="20"/>
        </w:rPr>
        <w:tab/>
        <w:t>Przy przechowywaniu emulsji asfaltowej należy przestrzegać zasad ustalonych przez producenta w celu zachowania ich jakości.</w:t>
      </w:r>
    </w:p>
    <w:p w14:paraId="54990A0A" w14:textId="77777777" w:rsidR="00416677" w:rsidRPr="00416677" w:rsidRDefault="00416677" w:rsidP="00416677">
      <w:pPr>
        <w:spacing w:before="120" w:after="120" w:line="240" w:lineRule="auto"/>
        <w:rPr>
          <w:rFonts w:cs="Arial"/>
          <w:szCs w:val="20"/>
        </w:rPr>
      </w:pPr>
      <w:r w:rsidRPr="00416677">
        <w:rPr>
          <w:rFonts w:cs="Arial"/>
          <w:b/>
          <w:szCs w:val="20"/>
        </w:rPr>
        <w:t>2.2.4.</w:t>
      </w:r>
      <w:r w:rsidRPr="00416677">
        <w:rPr>
          <w:rFonts w:cs="Arial"/>
          <w:szCs w:val="20"/>
        </w:rPr>
        <w:t xml:space="preserve"> Grysy do posypania emulsji</w:t>
      </w:r>
    </w:p>
    <w:p w14:paraId="0E22F2C9" w14:textId="77777777" w:rsidR="00416677" w:rsidRPr="00416677" w:rsidRDefault="00416677" w:rsidP="00416677">
      <w:pPr>
        <w:spacing w:line="240" w:lineRule="auto"/>
        <w:rPr>
          <w:rFonts w:cs="Arial"/>
          <w:szCs w:val="20"/>
        </w:rPr>
      </w:pPr>
      <w:r w:rsidRPr="00416677">
        <w:rPr>
          <w:rFonts w:cs="Arial"/>
          <w:szCs w:val="20"/>
        </w:rPr>
        <w:tab/>
        <w:t xml:space="preserve">Do posypania emulsji asfaltowej, którą spryskano podbudowę z gruntu lub kruszywa związanego spoiwem hydraulicznym (patrz tab. 5 i 6) należy stosować kruszywo (grysy) 2/5 mm w celu uzyskania membrany poprawiającej połączenie </w:t>
      </w:r>
      <w:proofErr w:type="spellStart"/>
      <w:r w:rsidRPr="00416677">
        <w:rPr>
          <w:rFonts w:cs="Arial"/>
          <w:szCs w:val="20"/>
        </w:rPr>
        <w:t>międzywarstwowe</w:t>
      </w:r>
      <w:proofErr w:type="spellEnd"/>
      <w:r w:rsidRPr="00416677">
        <w:rPr>
          <w:rFonts w:cs="Arial"/>
          <w:szCs w:val="20"/>
        </w:rPr>
        <w:t xml:space="preserve"> oraz zmniejszające ryzyko spękań odbitych. Kruszywo powinno spełniać wymagania dla kruszyw warstwy ścieralnej na drodze.</w:t>
      </w:r>
    </w:p>
    <w:p w14:paraId="6DC8B1A1" w14:textId="77777777" w:rsidR="00416677" w:rsidRPr="00416677" w:rsidRDefault="00416677" w:rsidP="00416677">
      <w:pPr>
        <w:pStyle w:val="Nagwek1"/>
        <w:spacing w:line="240" w:lineRule="auto"/>
        <w:rPr>
          <w:rFonts w:cs="Arial"/>
          <w:szCs w:val="20"/>
        </w:rPr>
      </w:pPr>
      <w:r w:rsidRPr="00416677">
        <w:rPr>
          <w:rFonts w:cs="Arial"/>
          <w:szCs w:val="20"/>
        </w:rPr>
        <w:t>3. Sprzęt</w:t>
      </w:r>
      <w:bookmarkEnd w:id="775"/>
    </w:p>
    <w:p w14:paraId="47535890" w14:textId="77777777" w:rsidR="00416677" w:rsidRPr="00416677" w:rsidRDefault="00416677" w:rsidP="00416677">
      <w:pPr>
        <w:pStyle w:val="Nagwek2"/>
        <w:numPr>
          <w:ilvl w:val="12"/>
          <w:numId w:val="0"/>
        </w:numPr>
        <w:spacing w:line="240" w:lineRule="auto"/>
        <w:rPr>
          <w:rFonts w:cs="Arial"/>
          <w:szCs w:val="20"/>
        </w:rPr>
      </w:pPr>
      <w:bookmarkStart w:id="776" w:name="_Toc344981396"/>
      <w:r w:rsidRPr="00416677">
        <w:rPr>
          <w:rFonts w:cs="Arial"/>
          <w:szCs w:val="20"/>
        </w:rPr>
        <w:t>3.1. Ogólne wymagania dotyczące sprzętu</w:t>
      </w:r>
    </w:p>
    <w:p w14:paraId="63795584" w14:textId="57BB67CD" w:rsidR="00416677" w:rsidRPr="00416677" w:rsidRDefault="00416677" w:rsidP="00416677">
      <w:pPr>
        <w:numPr>
          <w:ilvl w:val="12"/>
          <w:numId w:val="0"/>
        </w:numPr>
        <w:spacing w:line="240" w:lineRule="auto"/>
        <w:rPr>
          <w:rFonts w:cs="Arial"/>
          <w:szCs w:val="20"/>
        </w:rPr>
      </w:pPr>
      <w:r w:rsidRPr="00416677">
        <w:rPr>
          <w:rFonts w:cs="Arial"/>
          <w:szCs w:val="20"/>
        </w:rPr>
        <w:tab/>
        <w:t xml:space="preserve">Ogólne wymagania dotyczące sprzętu podano w </w:t>
      </w:r>
      <w:r w:rsidR="00546967">
        <w:rPr>
          <w:rFonts w:cs="Arial"/>
          <w:szCs w:val="20"/>
        </w:rPr>
        <w:t>S</w:t>
      </w:r>
      <w:r w:rsidRPr="00416677">
        <w:rPr>
          <w:rFonts w:cs="Arial"/>
          <w:szCs w:val="20"/>
        </w:rPr>
        <w:t>ST  D-M-00.00.00 „Wymagania ogólne” [1] pkt 3.</w:t>
      </w:r>
    </w:p>
    <w:p w14:paraId="40D2948D" w14:textId="77777777" w:rsidR="00416677" w:rsidRPr="00416677" w:rsidRDefault="00416677" w:rsidP="00416677">
      <w:pPr>
        <w:pStyle w:val="Nagwek2"/>
        <w:spacing w:line="240" w:lineRule="auto"/>
        <w:rPr>
          <w:rFonts w:cs="Arial"/>
          <w:szCs w:val="20"/>
        </w:rPr>
      </w:pPr>
      <w:r w:rsidRPr="00416677">
        <w:rPr>
          <w:rFonts w:cs="Arial"/>
          <w:szCs w:val="20"/>
        </w:rPr>
        <w:t>3.2. Sprzęt stosowany do wykonania robót</w:t>
      </w:r>
    </w:p>
    <w:p w14:paraId="6999B8C4" w14:textId="77777777" w:rsidR="00416677" w:rsidRPr="00416677" w:rsidRDefault="00416677" w:rsidP="00416677">
      <w:pPr>
        <w:spacing w:line="240" w:lineRule="auto"/>
        <w:rPr>
          <w:rFonts w:cs="Arial"/>
          <w:szCs w:val="20"/>
        </w:rPr>
      </w:pPr>
      <w:r w:rsidRPr="00416677">
        <w:rPr>
          <w:rFonts w:cs="Arial"/>
          <w:szCs w:val="20"/>
        </w:rPr>
        <w:tab/>
        <w:t xml:space="preserve">  Przy wykonywaniu robót Wykonawca w zależności od potrzeb, powinien wykazać się możliwością korzystania ze sprzętu dostosowanego do przyjętej metody robót, jak:</w:t>
      </w:r>
    </w:p>
    <w:p w14:paraId="49522559" w14:textId="77777777" w:rsidR="00416677" w:rsidRPr="00416677" w:rsidRDefault="00416677" w:rsidP="00CF1E7D">
      <w:pPr>
        <w:numPr>
          <w:ilvl w:val="0"/>
          <w:numId w:val="262"/>
        </w:numPr>
        <w:overflowPunct w:val="0"/>
        <w:autoSpaceDE w:val="0"/>
        <w:autoSpaceDN w:val="0"/>
        <w:adjustRightInd w:val="0"/>
        <w:spacing w:line="240" w:lineRule="auto"/>
        <w:jc w:val="both"/>
        <w:textAlignment w:val="baseline"/>
        <w:rPr>
          <w:rFonts w:cs="Arial"/>
          <w:szCs w:val="20"/>
        </w:rPr>
      </w:pPr>
      <w:r w:rsidRPr="00416677">
        <w:rPr>
          <w:rFonts w:cs="Arial"/>
          <w:szCs w:val="20"/>
        </w:rPr>
        <w:t>sprzęt do oczyszczenia warstw nawierzchni</w:t>
      </w:r>
    </w:p>
    <w:p w14:paraId="6F6FA19E" w14:textId="77777777" w:rsidR="00416677" w:rsidRPr="00416677" w:rsidRDefault="00416677" w:rsidP="00CF1E7D">
      <w:pPr>
        <w:numPr>
          <w:ilvl w:val="0"/>
          <w:numId w:val="259"/>
        </w:numPr>
        <w:overflowPunct w:val="0"/>
        <w:autoSpaceDE w:val="0"/>
        <w:autoSpaceDN w:val="0"/>
        <w:adjustRightInd w:val="0"/>
        <w:spacing w:line="240" w:lineRule="auto"/>
        <w:ind w:hanging="37"/>
        <w:jc w:val="both"/>
        <w:textAlignment w:val="baseline"/>
        <w:rPr>
          <w:rFonts w:cs="Arial"/>
          <w:szCs w:val="20"/>
        </w:rPr>
      </w:pPr>
      <w:r w:rsidRPr="00416677">
        <w:rPr>
          <w:rFonts w:cs="Arial"/>
          <w:szCs w:val="20"/>
        </w:rPr>
        <w:t>szczotki mechaniczne,</w:t>
      </w:r>
    </w:p>
    <w:p w14:paraId="289825E2" w14:textId="77777777" w:rsidR="00416677" w:rsidRPr="00416677" w:rsidRDefault="00416677" w:rsidP="00CF1E7D">
      <w:pPr>
        <w:numPr>
          <w:ilvl w:val="0"/>
          <w:numId w:val="259"/>
        </w:numPr>
        <w:overflowPunct w:val="0"/>
        <w:autoSpaceDE w:val="0"/>
        <w:autoSpaceDN w:val="0"/>
        <w:adjustRightInd w:val="0"/>
        <w:spacing w:line="240" w:lineRule="auto"/>
        <w:ind w:hanging="37"/>
        <w:jc w:val="both"/>
        <w:textAlignment w:val="baseline"/>
        <w:rPr>
          <w:rFonts w:cs="Arial"/>
          <w:szCs w:val="20"/>
        </w:rPr>
      </w:pPr>
      <w:r w:rsidRPr="00416677">
        <w:rPr>
          <w:rFonts w:cs="Arial"/>
          <w:szCs w:val="20"/>
        </w:rPr>
        <w:t>sprężarki,</w:t>
      </w:r>
    </w:p>
    <w:p w14:paraId="6FF20FC3" w14:textId="77777777" w:rsidR="00416677" w:rsidRPr="00416677" w:rsidRDefault="00416677" w:rsidP="00CF1E7D">
      <w:pPr>
        <w:numPr>
          <w:ilvl w:val="0"/>
          <w:numId w:val="259"/>
        </w:numPr>
        <w:overflowPunct w:val="0"/>
        <w:autoSpaceDE w:val="0"/>
        <w:autoSpaceDN w:val="0"/>
        <w:adjustRightInd w:val="0"/>
        <w:spacing w:line="240" w:lineRule="auto"/>
        <w:ind w:hanging="37"/>
        <w:jc w:val="both"/>
        <w:textAlignment w:val="baseline"/>
        <w:rPr>
          <w:rFonts w:cs="Arial"/>
          <w:szCs w:val="20"/>
        </w:rPr>
      </w:pPr>
      <w:r w:rsidRPr="00416677">
        <w:rPr>
          <w:rFonts w:cs="Arial"/>
          <w:szCs w:val="20"/>
        </w:rPr>
        <w:t>zbiorniki z wodą,</w:t>
      </w:r>
    </w:p>
    <w:p w14:paraId="3453A2AD" w14:textId="77777777" w:rsidR="00416677" w:rsidRPr="00416677" w:rsidRDefault="00416677" w:rsidP="00CF1E7D">
      <w:pPr>
        <w:numPr>
          <w:ilvl w:val="0"/>
          <w:numId w:val="259"/>
        </w:numPr>
        <w:overflowPunct w:val="0"/>
        <w:autoSpaceDE w:val="0"/>
        <w:autoSpaceDN w:val="0"/>
        <w:adjustRightInd w:val="0"/>
        <w:spacing w:line="240" w:lineRule="auto"/>
        <w:ind w:hanging="37"/>
        <w:jc w:val="both"/>
        <w:textAlignment w:val="baseline"/>
        <w:rPr>
          <w:rFonts w:cs="Arial"/>
          <w:szCs w:val="20"/>
        </w:rPr>
      </w:pPr>
      <w:r w:rsidRPr="00416677">
        <w:rPr>
          <w:rFonts w:cs="Arial"/>
          <w:szCs w:val="20"/>
        </w:rPr>
        <w:t>szczotki ręczne,</w:t>
      </w:r>
    </w:p>
    <w:p w14:paraId="0794A3FD" w14:textId="77777777" w:rsidR="00416677" w:rsidRPr="00416677" w:rsidRDefault="00416677" w:rsidP="00CF1E7D">
      <w:pPr>
        <w:numPr>
          <w:ilvl w:val="0"/>
          <w:numId w:val="262"/>
        </w:numPr>
        <w:overflowPunct w:val="0"/>
        <w:autoSpaceDE w:val="0"/>
        <w:autoSpaceDN w:val="0"/>
        <w:adjustRightInd w:val="0"/>
        <w:spacing w:line="240" w:lineRule="auto"/>
        <w:jc w:val="both"/>
        <w:textAlignment w:val="baseline"/>
        <w:rPr>
          <w:rFonts w:cs="Arial"/>
          <w:szCs w:val="20"/>
        </w:rPr>
      </w:pPr>
      <w:r w:rsidRPr="00416677">
        <w:rPr>
          <w:rFonts w:cs="Arial"/>
          <w:szCs w:val="20"/>
        </w:rPr>
        <w:t>sprzęt do skrapiania emulsją asfaltową warstw nawierzchni</w:t>
      </w:r>
    </w:p>
    <w:p w14:paraId="6C63CBEB" w14:textId="77777777" w:rsidR="00416677" w:rsidRPr="00416677" w:rsidRDefault="00416677" w:rsidP="00416677">
      <w:pPr>
        <w:spacing w:line="240" w:lineRule="auto"/>
        <w:ind w:left="360" w:firstLine="349"/>
        <w:rPr>
          <w:rFonts w:cs="Arial"/>
          <w:szCs w:val="20"/>
        </w:rPr>
      </w:pPr>
      <w:r w:rsidRPr="00416677">
        <w:rPr>
          <w:rFonts w:cs="Arial"/>
          <w:szCs w:val="20"/>
        </w:rPr>
        <w:t>Należy używać skrapiarki wyposażonej w urządzenia pomiarowo-kontrolne pozwalające na sprawdzanie i regulowanie następujących parametrów:</w:t>
      </w:r>
    </w:p>
    <w:p w14:paraId="4B92DA40" w14:textId="77777777" w:rsidR="00416677" w:rsidRPr="00416677" w:rsidRDefault="00416677" w:rsidP="00CF1E7D">
      <w:pPr>
        <w:numPr>
          <w:ilvl w:val="1"/>
          <w:numId w:val="262"/>
        </w:numPr>
        <w:tabs>
          <w:tab w:val="clear" w:pos="1477"/>
          <w:tab w:val="num" w:pos="360"/>
        </w:tabs>
        <w:overflowPunct w:val="0"/>
        <w:autoSpaceDE w:val="0"/>
        <w:autoSpaceDN w:val="0"/>
        <w:adjustRightInd w:val="0"/>
        <w:spacing w:line="240" w:lineRule="auto"/>
        <w:ind w:left="360" w:firstLine="0"/>
        <w:jc w:val="both"/>
        <w:textAlignment w:val="baseline"/>
        <w:rPr>
          <w:rFonts w:cs="Arial"/>
          <w:szCs w:val="20"/>
        </w:rPr>
      </w:pPr>
      <w:r w:rsidRPr="00416677">
        <w:rPr>
          <w:rFonts w:cs="Arial"/>
          <w:szCs w:val="20"/>
        </w:rPr>
        <w:t>temperatury rozkładanego lepiszcza,</w:t>
      </w:r>
    </w:p>
    <w:p w14:paraId="5BCBA808" w14:textId="77777777" w:rsidR="00416677" w:rsidRPr="00416677" w:rsidRDefault="00416677" w:rsidP="00CF1E7D">
      <w:pPr>
        <w:numPr>
          <w:ilvl w:val="1"/>
          <w:numId w:val="262"/>
        </w:numPr>
        <w:tabs>
          <w:tab w:val="clear" w:pos="1477"/>
          <w:tab w:val="num" w:pos="360"/>
        </w:tabs>
        <w:overflowPunct w:val="0"/>
        <w:autoSpaceDE w:val="0"/>
        <w:autoSpaceDN w:val="0"/>
        <w:adjustRightInd w:val="0"/>
        <w:spacing w:line="240" w:lineRule="auto"/>
        <w:ind w:left="360" w:firstLine="0"/>
        <w:jc w:val="both"/>
        <w:textAlignment w:val="baseline"/>
        <w:rPr>
          <w:rFonts w:cs="Arial"/>
          <w:szCs w:val="20"/>
        </w:rPr>
      </w:pPr>
      <w:r w:rsidRPr="00416677">
        <w:rPr>
          <w:rFonts w:cs="Arial"/>
          <w:szCs w:val="20"/>
        </w:rPr>
        <w:t>ciśnienia lepiszcza w kolektorze,</w:t>
      </w:r>
    </w:p>
    <w:p w14:paraId="2EFA327E" w14:textId="77777777" w:rsidR="00416677" w:rsidRPr="00416677" w:rsidRDefault="00416677" w:rsidP="00CF1E7D">
      <w:pPr>
        <w:numPr>
          <w:ilvl w:val="1"/>
          <w:numId w:val="262"/>
        </w:numPr>
        <w:tabs>
          <w:tab w:val="clear" w:pos="1477"/>
          <w:tab w:val="num" w:pos="360"/>
        </w:tabs>
        <w:overflowPunct w:val="0"/>
        <w:autoSpaceDE w:val="0"/>
        <w:autoSpaceDN w:val="0"/>
        <w:adjustRightInd w:val="0"/>
        <w:spacing w:line="240" w:lineRule="auto"/>
        <w:ind w:left="360" w:firstLine="0"/>
        <w:jc w:val="both"/>
        <w:textAlignment w:val="baseline"/>
        <w:rPr>
          <w:rFonts w:cs="Arial"/>
          <w:szCs w:val="20"/>
        </w:rPr>
      </w:pPr>
      <w:r w:rsidRPr="00416677">
        <w:rPr>
          <w:rFonts w:cs="Arial"/>
          <w:szCs w:val="20"/>
        </w:rPr>
        <w:t>obrotów pompy dozującej emulsję,</w:t>
      </w:r>
    </w:p>
    <w:p w14:paraId="4F6FE1B7" w14:textId="77777777" w:rsidR="00416677" w:rsidRPr="00416677" w:rsidRDefault="00416677" w:rsidP="00CF1E7D">
      <w:pPr>
        <w:numPr>
          <w:ilvl w:val="1"/>
          <w:numId w:val="262"/>
        </w:numPr>
        <w:tabs>
          <w:tab w:val="clear" w:pos="1477"/>
          <w:tab w:val="num" w:pos="360"/>
        </w:tabs>
        <w:overflowPunct w:val="0"/>
        <w:autoSpaceDE w:val="0"/>
        <w:autoSpaceDN w:val="0"/>
        <w:adjustRightInd w:val="0"/>
        <w:spacing w:line="240" w:lineRule="auto"/>
        <w:ind w:left="360" w:firstLine="0"/>
        <w:jc w:val="both"/>
        <w:textAlignment w:val="baseline"/>
        <w:rPr>
          <w:rFonts w:cs="Arial"/>
          <w:szCs w:val="20"/>
        </w:rPr>
      </w:pPr>
      <w:r w:rsidRPr="00416677">
        <w:rPr>
          <w:rFonts w:cs="Arial"/>
          <w:szCs w:val="20"/>
        </w:rPr>
        <w:t>prędkości poruszania się skrapiarki,</w:t>
      </w:r>
    </w:p>
    <w:p w14:paraId="1233106F" w14:textId="77777777" w:rsidR="00416677" w:rsidRPr="00416677" w:rsidRDefault="00416677" w:rsidP="00CF1E7D">
      <w:pPr>
        <w:numPr>
          <w:ilvl w:val="1"/>
          <w:numId w:val="262"/>
        </w:numPr>
        <w:tabs>
          <w:tab w:val="clear" w:pos="1477"/>
          <w:tab w:val="num" w:pos="360"/>
        </w:tabs>
        <w:overflowPunct w:val="0"/>
        <w:autoSpaceDE w:val="0"/>
        <w:autoSpaceDN w:val="0"/>
        <w:adjustRightInd w:val="0"/>
        <w:spacing w:line="240" w:lineRule="auto"/>
        <w:ind w:left="360" w:firstLine="0"/>
        <w:jc w:val="both"/>
        <w:textAlignment w:val="baseline"/>
        <w:rPr>
          <w:rFonts w:cs="Arial"/>
          <w:szCs w:val="20"/>
        </w:rPr>
      </w:pPr>
      <w:r w:rsidRPr="00416677">
        <w:rPr>
          <w:rFonts w:cs="Arial"/>
          <w:szCs w:val="20"/>
        </w:rPr>
        <w:t>wysokości i długości kolektora,</w:t>
      </w:r>
    </w:p>
    <w:p w14:paraId="4C0A3BD4" w14:textId="77777777" w:rsidR="00416677" w:rsidRPr="00416677" w:rsidRDefault="00416677" w:rsidP="00CF1E7D">
      <w:pPr>
        <w:numPr>
          <w:ilvl w:val="1"/>
          <w:numId w:val="262"/>
        </w:numPr>
        <w:tabs>
          <w:tab w:val="clear" w:pos="1477"/>
          <w:tab w:val="num" w:pos="720"/>
        </w:tabs>
        <w:overflowPunct w:val="0"/>
        <w:autoSpaceDE w:val="0"/>
        <w:autoSpaceDN w:val="0"/>
        <w:adjustRightInd w:val="0"/>
        <w:spacing w:line="240" w:lineRule="auto"/>
        <w:ind w:left="720" w:hanging="360"/>
        <w:jc w:val="both"/>
        <w:textAlignment w:val="baseline"/>
        <w:rPr>
          <w:rFonts w:cs="Arial"/>
          <w:szCs w:val="20"/>
        </w:rPr>
      </w:pPr>
      <w:r w:rsidRPr="00416677">
        <w:rPr>
          <w:rFonts w:cs="Arial"/>
          <w:szCs w:val="20"/>
        </w:rPr>
        <w:t>ilości dozowanej emulsji (dozator), przy czym skrapiarka powinna zapewnić  rozkładanie emulsji z tolerancją ± 10% od ilości założonej.</w:t>
      </w:r>
    </w:p>
    <w:p w14:paraId="3FA6151F" w14:textId="77777777" w:rsidR="00416677" w:rsidRPr="00416677" w:rsidRDefault="00416677" w:rsidP="00416677">
      <w:pPr>
        <w:spacing w:line="240" w:lineRule="auto"/>
        <w:ind w:firstLine="709"/>
        <w:rPr>
          <w:rFonts w:cs="Arial"/>
          <w:szCs w:val="20"/>
        </w:rPr>
      </w:pPr>
      <w:r w:rsidRPr="00416677">
        <w:rPr>
          <w:rFonts w:cs="Arial"/>
          <w:szCs w:val="20"/>
        </w:rPr>
        <w:t>Zbiornik na lepiszcze skrapiarki powinien być izolowany termicznie tak, aby było możliwe zachowanie stałej temperatury lepiszcza.</w:t>
      </w:r>
    </w:p>
    <w:p w14:paraId="61852FAF" w14:textId="77777777" w:rsidR="00416677" w:rsidRPr="00416677" w:rsidRDefault="00416677" w:rsidP="00416677">
      <w:pPr>
        <w:spacing w:line="240" w:lineRule="auto"/>
        <w:ind w:firstLine="709"/>
        <w:rPr>
          <w:rFonts w:cs="Arial"/>
          <w:szCs w:val="20"/>
        </w:rPr>
      </w:pPr>
      <w:r w:rsidRPr="00416677">
        <w:rPr>
          <w:rFonts w:cs="Arial"/>
          <w:szCs w:val="20"/>
        </w:rPr>
        <w:t>Wykonawca powinien posiadać aktualne świadectwo cechowania skrapiarki (kopię protokołu kalibracji skrapiarki – równomierności skrapiania oraz wydatku emulsji przy ustalonej prędkości przejazdu.) Skrapiarka, dla której nie wykonano kalibracji nie może zostać dopuszczona do wykonania skropienia.</w:t>
      </w:r>
    </w:p>
    <w:p w14:paraId="4D833C38" w14:textId="77777777" w:rsidR="00416677" w:rsidRPr="00416677" w:rsidRDefault="00416677" w:rsidP="00416677">
      <w:pPr>
        <w:spacing w:line="240" w:lineRule="auto"/>
        <w:rPr>
          <w:rFonts w:cs="Arial"/>
          <w:szCs w:val="20"/>
        </w:rPr>
      </w:pPr>
      <w:r w:rsidRPr="00416677">
        <w:rPr>
          <w:rFonts w:cs="Arial"/>
          <w:szCs w:val="20"/>
        </w:rPr>
        <w:tab/>
        <w:t>Sprzęt powinien odpowiadać wymaganiom określonym w dokumentacji projektowej, ST, instrukcjach producentów lub propozycji Wykonawcy i powinien być zaakceptowany przez Inżyniera.</w:t>
      </w:r>
    </w:p>
    <w:p w14:paraId="3EA9FC8C" w14:textId="77777777" w:rsidR="00416677" w:rsidRPr="00416677" w:rsidRDefault="00416677" w:rsidP="00416677">
      <w:pPr>
        <w:pStyle w:val="Nagwek1"/>
        <w:spacing w:line="240" w:lineRule="auto"/>
        <w:rPr>
          <w:rFonts w:cs="Arial"/>
          <w:szCs w:val="20"/>
        </w:rPr>
      </w:pPr>
      <w:r w:rsidRPr="00416677">
        <w:rPr>
          <w:rFonts w:cs="Arial"/>
          <w:szCs w:val="20"/>
        </w:rPr>
        <w:t>4. Transport</w:t>
      </w:r>
      <w:bookmarkEnd w:id="776"/>
    </w:p>
    <w:p w14:paraId="1A4A5649" w14:textId="77777777" w:rsidR="00416677" w:rsidRPr="00416677" w:rsidRDefault="00416677" w:rsidP="00416677">
      <w:pPr>
        <w:pStyle w:val="Nagwek2"/>
        <w:numPr>
          <w:ilvl w:val="12"/>
          <w:numId w:val="0"/>
        </w:numPr>
        <w:spacing w:line="240" w:lineRule="auto"/>
        <w:rPr>
          <w:rFonts w:cs="Arial"/>
          <w:szCs w:val="20"/>
        </w:rPr>
      </w:pPr>
      <w:bookmarkStart w:id="777" w:name="_Toc344981397"/>
      <w:r w:rsidRPr="00416677">
        <w:rPr>
          <w:rFonts w:cs="Arial"/>
          <w:szCs w:val="20"/>
        </w:rPr>
        <w:t>4.1. Ogólne wymagania dotyczące transportu</w:t>
      </w:r>
    </w:p>
    <w:p w14:paraId="30DCF6AD" w14:textId="4ED7AFBD" w:rsidR="00416677" w:rsidRPr="00416677" w:rsidRDefault="00416677" w:rsidP="00416677">
      <w:pPr>
        <w:numPr>
          <w:ilvl w:val="12"/>
          <w:numId w:val="0"/>
        </w:numPr>
        <w:spacing w:line="240" w:lineRule="auto"/>
        <w:rPr>
          <w:rFonts w:cs="Arial"/>
          <w:szCs w:val="20"/>
        </w:rPr>
      </w:pPr>
      <w:r w:rsidRPr="00416677">
        <w:rPr>
          <w:rFonts w:cs="Arial"/>
          <w:szCs w:val="20"/>
        </w:rPr>
        <w:tab/>
        <w:t xml:space="preserve">Ogólne wymagania dotyczące transportu podano w </w:t>
      </w:r>
      <w:r w:rsidR="00546967">
        <w:rPr>
          <w:rFonts w:cs="Arial"/>
          <w:szCs w:val="20"/>
        </w:rPr>
        <w:t>S</w:t>
      </w:r>
      <w:r w:rsidRPr="00416677">
        <w:rPr>
          <w:rFonts w:cs="Arial"/>
          <w:szCs w:val="20"/>
        </w:rPr>
        <w:t>ST D-M-00.00.00 „Wymagania ogólne” [1] pkt 4.</w:t>
      </w:r>
      <w:r w:rsidRPr="00416677">
        <w:rPr>
          <w:rFonts w:cs="Arial"/>
          <w:szCs w:val="20"/>
        </w:rPr>
        <w:tab/>
      </w:r>
    </w:p>
    <w:p w14:paraId="27F0219E" w14:textId="77777777" w:rsidR="00416677" w:rsidRPr="00416677" w:rsidRDefault="00416677" w:rsidP="00416677">
      <w:pPr>
        <w:pStyle w:val="Nagwek2"/>
        <w:spacing w:line="240" w:lineRule="auto"/>
        <w:rPr>
          <w:rFonts w:cs="Arial"/>
          <w:szCs w:val="20"/>
        </w:rPr>
      </w:pPr>
      <w:r w:rsidRPr="00416677">
        <w:rPr>
          <w:rFonts w:cs="Arial"/>
          <w:szCs w:val="20"/>
        </w:rPr>
        <w:t xml:space="preserve">4.2. Transport materiałów </w:t>
      </w:r>
    </w:p>
    <w:p w14:paraId="42466AE9" w14:textId="77777777" w:rsidR="00416677" w:rsidRPr="00416677" w:rsidRDefault="00416677" w:rsidP="00416677">
      <w:pPr>
        <w:spacing w:line="240" w:lineRule="auto"/>
        <w:rPr>
          <w:rFonts w:cs="Arial"/>
          <w:szCs w:val="20"/>
        </w:rPr>
      </w:pPr>
      <w:r w:rsidRPr="00416677">
        <w:rPr>
          <w:rFonts w:cs="Arial"/>
          <w:szCs w:val="20"/>
        </w:rPr>
        <w:tab/>
        <w:t>Materiały sypkie (kruszywa) można przewozić dowolnymi środkami transportu, w warunkach zabezpieczających je przed zanieczyszczeniem, zmieszaniem z innymi materiałami i nadmiernym zawilgoceniem.</w:t>
      </w:r>
    </w:p>
    <w:p w14:paraId="2280558C" w14:textId="77777777" w:rsidR="00416677" w:rsidRPr="00416677" w:rsidRDefault="00416677" w:rsidP="00416677">
      <w:pPr>
        <w:spacing w:line="240" w:lineRule="auto"/>
        <w:rPr>
          <w:rFonts w:cs="Arial"/>
          <w:szCs w:val="20"/>
        </w:rPr>
      </w:pPr>
      <w:r w:rsidRPr="00416677">
        <w:rPr>
          <w:rFonts w:cs="Arial"/>
          <w:szCs w:val="20"/>
        </w:rPr>
        <w:tab/>
        <w:t>Emulsja asfaltowa może być transportowana w cysternach, autocysternach, skrapiarkach, beczkach i innych opakowaniach pod warunkiem, że nie będą korodowały pod wpływem emulsji i nie będą powodowały jej rozpadu. Zbiorniki przeznaczone do transportu emulsji powinny być czyste i nie powinny zawierać resztek innych lepiszczy.</w:t>
      </w:r>
    </w:p>
    <w:p w14:paraId="305E9ABA" w14:textId="77777777" w:rsidR="00416677" w:rsidRPr="00416677" w:rsidRDefault="00416677" w:rsidP="00416677">
      <w:pPr>
        <w:pStyle w:val="Nagwek1"/>
        <w:spacing w:line="240" w:lineRule="auto"/>
        <w:rPr>
          <w:rFonts w:cs="Arial"/>
          <w:szCs w:val="20"/>
        </w:rPr>
      </w:pPr>
      <w:r w:rsidRPr="00416677">
        <w:rPr>
          <w:rFonts w:cs="Arial"/>
          <w:szCs w:val="20"/>
        </w:rPr>
        <w:t>5. Wykonanie robót</w:t>
      </w:r>
      <w:bookmarkEnd w:id="777"/>
    </w:p>
    <w:p w14:paraId="38629442" w14:textId="77777777" w:rsidR="00416677" w:rsidRPr="00416677" w:rsidRDefault="00416677" w:rsidP="00416677">
      <w:pPr>
        <w:pStyle w:val="Nagwek2"/>
        <w:numPr>
          <w:ilvl w:val="12"/>
          <w:numId w:val="0"/>
        </w:numPr>
        <w:spacing w:line="240" w:lineRule="auto"/>
        <w:rPr>
          <w:rFonts w:cs="Arial"/>
          <w:szCs w:val="20"/>
        </w:rPr>
      </w:pPr>
      <w:bookmarkStart w:id="778" w:name="_Toc344981398"/>
      <w:r w:rsidRPr="00416677">
        <w:rPr>
          <w:rFonts w:cs="Arial"/>
          <w:szCs w:val="20"/>
        </w:rPr>
        <w:t>5.1. Ogólne zasady wykonania robót</w:t>
      </w:r>
    </w:p>
    <w:p w14:paraId="38DE74C7" w14:textId="21DEB58D" w:rsidR="00416677" w:rsidRPr="00416677" w:rsidRDefault="00416677" w:rsidP="00416677">
      <w:pPr>
        <w:numPr>
          <w:ilvl w:val="12"/>
          <w:numId w:val="0"/>
        </w:numPr>
        <w:spacing w:line="240" w:lineRule="auto"/>
        <w:rPr>
          <w:rFonts w:cs="Arial"/>
          <w:szCs w:val="20"/>
        </w:rPr>
      </w:pPr>
      <w:r w:rsidRPr="00416677">
        <w:rPr>
          <w:rFonts w:cs="Arial"/>
          <w:szCs w:val="20"/>
        </w:rPr>
        <w:tab/>
        <w:t xml:space="preserve">Ogólne zasady wykonania robót podano w </w:t>
      </w:r>
      <w:r w:rsidR="00546967">
        <w:rPr>
          <w:rFonts w:cs="Arial"/>
          <w:szCs w:val="20"/>
        </w:rPr>
        <w:t>S</w:t>
      </w:r>
      <w:r w:rsidRPr="00416677">
        <w:rPr>
          <w:rFonts w:cs="Arial"/>
          <w:szCs w:val="20"/>
        </w:rPr>
        <w:t>ST D-M-00.00.00 „Wymagania ogólne” [1] pkt 5.</w:t>
      </w:r>
    </w:p>
    <w:p w14:paraId="4932D71A" w14:textId="77777777" w:rsidR="00416677" w:rsidRPr="00416677" w:rsidRDefault="00416677" w:rsidP="00416677">
      <w:pPr>
        <w:pStyle w:val="Nagwek2"/>
        <w:spacing w:line="240" w:lineRule="auto"/>
        <w:rPr>
          <w:rFonts w:cs="Arial"/>
          <w:szCs w:val="20"/>
        </w:rPr>
      </w:pPr>
      <w:r w:rsidRPr="00416677">
        <w:rPr>
          <w:rFonts w:cs="Arial"/>
          <w:szCs w:val="20"/>
        </w:rPr>
        <w:t>5.2. Zasady wykonywania robót</w:t>
      </w:r>
    </w:p>
    <w:p w14:paraId="3E72CDFF" w14:textId="77777777" w:rsidR="00416677" w:rsidRPr="00416677" w:rsidRDefault="00416677" w:rsidP="00416677">
      <w:pPr>
        <w:spacing w:line="240" w:lineRule="auto"/>
        <w:rPr>
          <w:rFonts w:cs="Arial"/>
          <w:szCs w:val="20"/>
        </w:rPr>
      </w:pPr>
      <w:r w:rsidRPr="00416677">
        <w:rPr>
          <w:rFonts w:cs="Arial"/>
          <w:szCs w:val="20"/>
        </w:rPr>
        <w:tab/>
        <w:t>Sposób wykonania robót powinien być zgodny z dokumentacją projektową i ST. W przypadku braku wystarczających danych można korzystać z ustaleń podanych w niniejszej specyfikacji oraz z informacji podanych w załączniku.</w:t>
      </w:r>
    </w:p>
    <w:p w14:paraId="55558966" w14:textId="77777777" w:rsidR="00416677" w:rsidRPr="00416677" w:rsidRDefault="00416677" w:rsidP="00416677">
      <w:pPr>
        <w:spacing w:line="240" w:lineRule="auto"/>
        <w:rPr>
          <w:rFonts w:cs="Arial"/>
          <w:szCs w:val="20"/>
        </w:rPr>
      </w:pPr>
      <w:r w:rsidRPr="00416677">
        <w:rPr>
          <w:rFonts w:cs="Arial"/>
          <w:szCs w:val="20"/>
        </w:rPr>
        <w:tab/>
        <w:t>Podstawowe czynności przy wykonywaniu robót obejmują:</w:t>
      </w:r>
    </w:p>
    <w:p w14:paraId="4D84FF1F" w14:textId="77777777" w:rsidR="00416677" w:rsidRPr="00416677" w:rsidRDefault="00416677" w:rsidP="00CF1E7D">
      <w:pPr>
        <w:numPr>
          <w:ilvl w:val="0"/>
          <w:numId w:val="269"/>
        </w:numPr>
        <w:overflowPunct w:val="0"/>
        <w:autoSpaceDE w:val="0"/>
        <w:autoSpaceDN w:val="0"/>
        <w:adjustRightInd w:val="0"/>
        <w:spacing w:line="240" w:lineRule="auto"/>
        <w:jc w:val="both"/>
        <w:textAlignment w:val="baseline"/>
        <w:rPr>
          <w:rFonts w:cs="Arial"/>
          <w:szCs w:val="20"/>
        </w:rPr>
      </w:pPr>
      <w:r w:rsidRPr="00416677">
        <w:rPr>
          <w:rFonts w:cs="Arial"/>
          <w:szCs w:val="20"/>
        </w:rPr>
        <w:t xml:space="preserve">roboty przygotowawcze, </w:t>
      </w:r>
    </w:p>
    <w:p w14:paraId="023C25C7" w14:textId="77777777" w:rsidR="00416677" w:rsidRPr="00416677" w:rsidRDefault="00416677" w:rsidP="00CF1E7D">
      <w:pPr>
        <w:numPr>
          <w:ilvl w:val="0"/>
          <w:numId w:val="269"/>
        </w:numPr>
        <w:overflowPunct w:val="0"/>
        <w:autoSpaceDE w:val="0"/>
        <w:autoSpaceDN w:val="0"/>
        <w:adjustRightInd w:val="0"/>
        <w:spacing w:line="240" w:lineRule="auto"/>
        <w:jc w:val="both"/>
        <w:textAlignment w:val="baseline"/>
        <w:rPr>
          <w:rFonts w:cs="Arial"/>
          <w:szCs w:val="20"/>
        </w:rPr>
      </w:pPr>
      <w:r w:rsidRPr="00416677">
        <w:rPr>
          <w:rFonts w:cs="Arial"/>
          <w:szCs w:val="20"/>
        </w:rPr>
        <w:t>oczyszczenie warstwy przed skropieniem,</w:t>
      </w:r>
    </w:p>
    <w:p w14:paraId="5881EAC7" w14:textId="77777777" w:rsidR="00416677" w:rsidRPr="00416677" w:rsidRDefault="00416677" w:rsidP="00CF1E7D">
      <w:pPr>
        <w:numPr>
          <w:ilvl w:val="0"/>
          <w:numId w:val="269"/>
        </w:numPr>
        <w:overflowPunct w:val="0"/>
        <w:autoSpaceDE w:val="0"/>
        <w:autoSpaceDN w:val="0"/>
        <w:adjustRightInd w:val="0"/>
        <w:spacing w:line="240" w:lineRule="auto"/>
        <w:jc w:val="both"/>
        <w:textAlignment w:val="baseline"/>
        <w:rPr>
          <w:rFonts w:cs="Arial"/>
          <w:szCs w:val="20"/>
        </w:rPr>
      </w:pPr>
      <w:r w:rsidRPr="00416677">
        <w:rPr>
          <w:rFonts w:cs="Arial"/>
          <w:szCs w:val="20"/>
        </w:rPr>
        <w:t>odcinek próbny,</w:t>
      </w:r>
    </w:p>
    <w:p w14:paraId="0B18C9F0" w14:textId="77777777" w:rsidR="00416677" w:rsidRPr="00416677" w:rsidRDefault="00416677" w:rsidP="00CF1E7D">
      <w:pPr>
        <w:numPr>
          <w:ilvl w:val="0"/>
          <w:numId w:val="269"/>
        </w:numPr>
        <w:overflowPunct w:val="0"/>
        <w:autoSpaceDE w:val="0"/>
        <w:autoSpaceDN w:val="0"/>
        <w:adjustRightInd w:val="0"/>
        <w:spacing w:line="240" w:lineRule="auto"/>
        <w:jc w:val="both"/>
        <w:textAlignment w:val="baseline"/>
        <w:rPr>
          <w:rFonts w:cs="Arial"/>
          <w:szCs w:val="20"/>
        </w:rPr>
      </w:pPr>
      <w:r w:rsidRPr="00416677">
        <w:rPr>
          <w:rFonts w:cs="Arial"/>
          <w:szCs w:val="20"/>
        </w:rPr>
        <w:t>skropienie warstw nawierzchni,</w:t>
      </w:r>
    </w:p>
    <w:p w14:paraId="5107A70C" w14:textId="77777777" w:rsidR="00416677" w:rsidRPr="00416677" w:rsidRDefault="00416677" w:rsidP="00CF1E7D">
      <w:pPr>
        <w:numPr>
          <w:ilvl w:val="0"/>
          <w:numId w:val="269"/>
        </w:numPr>
        <w:overflowPunct w:val="0"/>
        <w:autoSpaceDE w:val="0"/>
        <w:autoSpaceDN w:val="0"/>
        <w:adjustRightInd w:val="0"/>
        <w:spacing w:line="240" w:lineRule="auto"/>
        <w:jc w:val="both"/>
        <w:textAlignment w:val="baseline"/>
        <w:rPr>
          <w:rFonts w:cs="Arial"/>
          <w:szCs w:val="20"/>
        </w:rPr>
      </w:pPr>
      <w:r w:rsidRPr="00416677">
        <w:rPr>
          <w:rFonts w:cs="Arial"/>
          <w:szCs w:val="20"/>
        </w:rPr>
        <w:t>roboty wykończeniowe.</w:t>
      </w:r>
    </w:p>
    <w:p w14:paraId="2DA04D4E" w14:textId="77777777" w:rsidR="00416677" w:rsidRPr="00416677" w:rsidRDefault="00416677" w:rsidP="00416677">
      <w:pPr>
        <w:pStyle w:val="Nagwek2"/>
        <w:spacing w:line="240" w:lineRule="auto"/>
        <w:rPr>
          <w:rFonts w:cs="Arial"/>
          <w:szCs w:val="20"/>
        </w:rPr>
      </w:pPr>
      <w:r w:rsidRPr="00416677">
        <w:rPr>
          <w:rFonts w:cs="Arial"/>
          <w:szCs w:val="20"/>
        </w:rPr>
        <w:t>5.3. Roboty przygotowawcze</w:t>
      </w:r>
    </w:p>
    <w:p w14:paraId="79C269EC" w14:textId="77777777" w:rsidR="00416677" w:rsidRPr="00416677" w:rsidRDefault="00416677" w:rsidP="00416677">
      <w:pPr>
        <w:spacing w:line="240" w:lineRule="auto"/>
        <w:rPr>
          <w:rFonts w:cs="Arial"/>
          <w:szCs w:val="20"/>
        </w:rPr>
      </w:pPr>
      <w:r w:rsidRPr="00416677">
        <w:rPr>
          <w:rFonts w:cs="Arial"/>
          <w:szCs w:val="20"/>
        </w:rPr>
        <w:tab/>
        <w:t>Przed przystąpieniem do robót należy, na podstawie dokumentacji projektowej,  ST lub wskazań Inżyniera:</w:t>
      </w:r>
    </w:p>
    <w:p w14:paraId="3266729A"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ustalić lokalizację terenu robót,</w:t>
      </w:r>
    </w:p>
    <w:p w14:paraId="1F475F21"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lastRenderedPageBreak/>
        <w:t>przeprowadzić szczegółowe  wytyczenie robót,</w:t>
      </w:r>
    </w:p>
    <w:p w14:paraId="10193F05"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usunąć przeszkody utrudniające wykonanie robót,</w:t>
      </w:r>
    </w:p>
    <w:p w14:paraId="339367FA"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wprowadzić oznakowanie drogi na okres robót,</w:t>
      </w:r>
    </w:p>
    <w:p w14:paraId="3908AE66"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zgromadzić materiały i sprzęt potrzebne do rozpoczęcia robót.</w:t>
      </w:r>
    </w:p>
    <w:p w14:paraId="1D174AF6" w14:textId="77777777" w:rsidR="00416677" w:rsidRPr="00416677" w:rsidRDefault="00416677" w:rsidP="00416677">
      <w:pPr>
        <w:spacing w:before="120" w:after="120" w:line="240" w:lineRule="auto"/>
        <w:rPr>
          <w:rFonts w:cs="Arial"/>
          <w:b/>
          <w:szCs w:val="20"/>
        </w:rPr>
      </w:pPr>
      <w:r w:rsidRPr="00416677">
        <w:rPr>
          <w:rFonts w:cs="Arial"/>
          <w:b/>
          <w:szCs w:val="20"/>
        </w:rPr>
        <w:t>5.4. Oczyszczenie warstwy przed skropieniem</w:t>
      </w:r>
    </w:p>
    <w:p w14:paraId="21A372EC" w14:textId="77777777" w:rsidR="00416677" w:rsidRPr="00416677" w:rsidRDefault="00416677" w:rsidP="00416677">
      <w:pPr>
        <w:spacing w:line="240" w:lineRule="auto"/>
        <w:rPr>
          <w:rFonts w:cs="Arial"/>
          <w:szCs w:val="20"/>
        </w:rPr>
      </w:pPr>
      <w:r w:rsidRPr="00416677">
        <w:rPr>
          <w:rFonts w:cs="Arial"/>
          <w:b/>
          <w:szCs w:val="20"/>
        </w:rPr>
        <w:t xml:space="preserve">5.4.1. </w:t>
      </w:r>
      <w:r w:rsidRPr="00416677">
        <w:rPr>
          <w:rFonts w:cs="Arial"/>
          <w:szCs w:val="20"/>
        </w:rPr>
        <w:t>Przygotowanie podłoża z mieszanki mineralno-asfaltowej</w:t>
      </w:r>
    </w:p>
    <w:p w14:paraId="167C7A04" w14:textId="77777777" w:rsidR="00416677" w:rsidRPr="00416677" w:rsidRDefault="00416677" w:rsidP="00416677">
      <w:pPr>
        <w:spacing w:line="240" w:lineRule="auto"/>
        <w:rPr>
          <w:rFonts w:cs="Arial"/>
          <w:szCs w:val="20"/>
        </w:rPr>
      </w:pPr>
      <w:r w:rsidRPr="00416677">
        <w:rPr>
          <w:rFonts w:cs="Arial"/>
          <w:b/>
          <w:szCs w:val="20"/>
        </w:rPr>
        <w:tab/>
      </w:r>
      <w:r w:rsidRPr="00416677">
        <w:rPr>
          <w:rFonts w:cs="Arial"/>
          <w:szCs w:val="20"/>
        </w:rPr>
        <w:t>Oczyszczenie warstwy nawierzchni przed skropieniem polega na usunięciu luźnego materiału, brudu, błota, kurzu, plam oleju itp. przy użyciu szczotek mechanicznych, a w razie potrzeby wody pod ciśnieniem i ew. absorbentów. W miejscach trudno dostępnych należy używać szczotek ręcznych. Na terenach niezabudowanych, bezpośrednio przed skropieniem warstwę nawierzchni można oczyścić przy użyciu sprężonego powietrza.</w:t>
      </w:r>
    </w:p>
    <w:p w14:paraId="40619A5C" w14:textId="77777777" w:rsidR="00416677" w:rsidRPr="00416677" w:rsidRDefault="00416677" w:rsidP="00416677">
      <w:pPr>
        <w:spacing w:line="240" w:lineRule="auto"/>
        <w:ind w:firstLine="709"/>
        <w:rPr>
          <w:rFonts w:cs="Arial"/>
          <w:szCs w:val="20"/>
        </w:rPr>
      </w:pPr>
      <w:r w:rsidRPr="00416677">
        <w:rPr>
          <w:rFonts w:cs="Arial"/>
          <w:szCs w:val="20"/>
        </w:rPr>
        <w:t>Przy używaniu szczotek mechanicznych należy zwrócić uwagę, aby nie została uszkodzona warstwa błonki asfaltowej na powierzchni ziaren kruszyw stanowiących górną powierzchnię warstwy. W przypadku zanieczyszczenia podłoża olejami, paliwem lub chemikaliami należy użyć specjalnych absorbentów do zebrania zanieczyszczeń, a następnie zmyć powierzchnie wodą pod ciśnieniem</w:t>
      </w:r>
    </w:p>
    <w:p w14:paraId="7B6B8A05" w14:textId="77777777" w:rsidR="00416677" w:rsidRPr="00416677" w:rsidRDefault="00416677" w:rsidP="00416677">
      <w:pPr>
        <w:pStyle w:val="Nagwek2"/>
        <w:spacing w:line="240" w:lineRule="auto"/>
        <w:rPr>
          <w:rFonts w:cs="Arial"/>
          <w:b w:val="0"/>
          <w:szCs w:val="20"/>
        </w:rPr>
      </w:pPr>
      <w:r w:rsidRPr="00416677">
        <w:rPr>
          <w:rFonts w:cs="Arial"/>
          <w:szCs w:val="20"/>
        </w:rPr>
        <w:t xml:space="preserve">5.4.2. </w:t>
      </w:r>
      <w:r w:rsidRPr="00416677">
        <w:rPr>
          <w:rFonts w:cs="Arial"/>
          <w:b w:val="0"/>
          <w:szCs w:val="20"/>
        </w:rPr>
        <w:t>Przygotowanie podłoża z mieszanki mineralnej niezwiązanej i związanej hydraulicznie</w:t>
      </w:r>
    </w:p>
    <w:p w14:paraId="679AD069" w14:textId="77777777" w:rsidR="00416677" w:rsidRPr="00416677" w:rsidRDefault="00416677" w:rsidP="00416677">
      <w:pPr>
        <w:spacing w:line="240" w:lineRule="auto"/>
        <w:ind w:firstLine="709"/>
        <w:rPr>
          <w:rFonts w:cs="Arial"/>
          <w:szCs w:val="20"/>
        </w:rPr>
      </w:pPr>
      <w:r w:rsidRPr="00416677">
        <w:rPr>
          <w:rFonts w:cs="Arial"/>
          <w:szCs w:val="20"/>
        </w:rPr>
        <w:t>Powierzchnia podłoża musi być oczyszczona z wszelkiego obcego materiału innego niż mieszanka mineralna, z której została wykonana warstwa.</w:t>
      </w:r>
    </w:p>
    <w:p w14:paraId="393A29E1" w14:textId="77777777" w:rsidR="00416677" w:rsidRPr="00416677" w:rsidRDefault="00416677" w:rsidP="00416677">
      <w:pPr>
        <w:spacing w:line="240" w:lineRule="auto"/>
        <w:ind w:firstLine="709"/>
        <w:rPr>
          <w:rFonts w:cs="Arial"/>
          <w:szCs w:val="20"/>
        </w:rPr>
      </w:pPr>
      <w:r w:rsidRPr="00416677">
        <w:rPr>
          <w:rFonts w:cs="Arial"/>
          <w:szCs w:val="20"/>
        </w:rPr>
        <w:t>W przypadku podbudowy bardzo suchej, bezpośrednio przed wykonanie skropienia emulsją asfaltową podłoże należy zwilżyć wodą, tak aby powierzchnię podłoża doprowadzić do stanu matowo-wilgotnego, bez zastoisk wodnych i bez zjawiska nasączania warstwy wodą.</w:t>
      </w:r>
    </w:p>
    <w:p w14:paraId="07657F7F" w14:textId="77777777" w:rsidR="00416677" w:rsidRPr="00416677" w:rsidRDefault="00416677" w:rsidP="00416677">
      <w:pPr>
        <w:spacing w:line="240" w:lineRule="auto"/>
        <w:ind w:firstLine="709"/>
        <w:rPr>
          <w:rFonts w:cs="Arial"/>
          <w:szCs w:val="20"/>
        </w:rPr>
      </w:pPr>
      <w:r w:rsidRPr="00416677">
        <w:rPr>
          <w:rFonts w:cs="Arial"/>
          <w:szCs w:val="20"/>
        </w:rPr>
        <w:t>W przypadku skrapiania warstwy niezwiązanej nasiąkniętej wodą po opadach atmosferycznych należy opóźnić skropienie do momentu częściowego przesuszenia powierzchniowego warstwy (do stanu matowo-wilgotnego).</w:t>
      </w:r>
    </w:p>
    <w:p w14:paraId="5BD8EE0C" w14:textId="77777777" w:rsidR="00416677" w:rsidRPr="00416677" w:rsidRDefault="00416677" w:rsidP="00416677">
      <w:pPr>
        <w:spacing w:before="120" w:after="120" w:line="240" w:lineRule="auto"/>
        <w:rPr>
          <w:rFonts w:cs="Arial"/>
          <w:szCs w:val="20"/>
        </w:rPr>
      </w:pPr>
      <w:r w:rsidRPr="00416677">
        <w:rPr>
          <w:rFonts w:cs="Arial"/>
          <w:b/>
          <w:szCs w:val="20"/>
        </w:rPr>
        <w:t>5.4.3.</w:t>
      </w:r>
      <w:r w:rsidRPr="00416677">
        <w:rPr>
          <w:rFonts w:cs="Arial"/>
          <w:szCs w:val="20"/>
        </w:rPr>
        <w:t xml:space="preserve"> Przygotowanie podłoża na obiektach inżynierskich</w:t>
      </w:r>
    </w:p>
    <w:p w14:paraId="2C312411" w14:textId="77777777" w:rsidR="00416677" w:rsidRPr="00416677" w:rsidRDefault="00416677" w:rsidP="00416677">
      <w:pPr>
        <w:spacing w:line="240" w:lineRule="auto"/>
        <w:ind w:firstLine="709"/>
        <w:rPr>
          <w:rFonts w:cs="Arial"/>
          <w:szCs w:val="20"/>
        </w:rPr>
      </w:pPr>
      <w:r w:rsidRPr="00416677">
        <w:rPr>
          <w:rFonts w:cs="Arial"/>
          <w:szCs w:val="20"/>
        </w:rPr>
        <w:t>W przypadku podłoża, które stanowi izolacja przeciwwodna na obiektach mostowych, należy postępować wg wskazań producenta izolacji lub zapisów normach lub aprobatach technicznych.</w:t>
      </w:r>
    </w:p>
    <w:p w14:paraId="7441749E" w14:textId="77777777" w:rsidR="00416677" w:rsidRPr="00416677" w:rsidRDefault="00416677" w:rsidP="00416677">
      <w:pPr>
        <w:pStyle w:val="Nagwek2"/>
        <w:spacing w:line="240" w:lineRule="auto"/>
        <w:rPr>
          <w:rFonts w:cs="Arial"/>
          <w:szCs w:val="20"/>
        </w:rPr>
      </w:pPr>
      <w:r w:rsidRPr="00416677">
        <w:rPr>
          <w:rFonts w:cs="Arial"/>
          <w:szCs w:val="20"/>
        </w:rPr>
        <w:t>5.5. Warunki wykonywania robót</w:t>
      </w:r>
    </w:p>
    <w:p w14:paraId="0E23C671" w14:textId="77777777" w:rsidR="00416677" w:rsidRPr="00416677" w:rsidRDefault="00416677" w:rsidP="00416677">
      <w:pPr>
        <w:spacing w:line="240" w:lineRule="auto"/>
        <w:rPr>
          <w:rFonts w:cs="Arial"/>
          <w:szCs w:val="20"/>
        </w:rPr>
      </w:pPr>
      <w:r w:rsidRPr="00416677">
        <w:rPr>
          <w:rFonts w:cs="Arial"/>
          <w:szCs w:val="20"/>
        </w:rPr>
        <w:tab/>
        <w:t>Temperatura podłoża w czasie skrapiania emulsją asfaltową powinna wynosić co najmniej +5°C. Nie</w:t>
      </w:r>
      <w:r w:rsidRPr="00416677">
        <w:rPr>
          <w:rFonts w:cs="Arial"/>
          <w:color w:val="FF0000"/>
          <w:szCs w:val="20"/>
        </w:rPr>
        <w:t xml:space="preserve"> </w:t>
      </w:r>
      <w:r w:rsidRPr="00416677">
        <w:rPr>
          <w:rFonts w:cs="Arial"/>
          <w:szCs w:val="20"/>
        </w:rPr>
        <w:t>dopuszcza się wykonywania skrapiania podczas opadów atmosferycznych,  bezpośrednio po nich lub tuż przed spodziewanymi opadami. Czasookres skropienia należy tak zaplanować, aby nie wystąpiły opady atmosferyczne wcześniej niż po całkowitym rozpadzie emulsji.</w:t>
      </w:r>
    </w:p>
    <w:p w14:paraId="0D80860A" w14:textId="77777777" w:rsidR="00416677" w:rsidRPr="00416677" w:rsidRDefault="00416677" w:rsidP="00416677">
      <w:pPr>
        <w:spacing w:line="240" w:lineRule="auto"/>
        <w:rPr>
          <w:rFonts w:cs="Arial"/>
          <w:szCs w:val="20"/>
        </w:rPr>
      </w:pPr>
      <w:r w:rsidRPr="00416677">
        <w:rPr>
          <w:rFonts w:cs="Arial"/>
          <w:szCs w:val="20"/>
        </w:rPr>
        <w:tab/>
        <w:t>Temperatury stosowania emulsji asfaltowych powinny mieścić się w przedziałach podanych w tablicy 3.</w:t>
      </w:r>
    </w:p>
    <w:p w14:paraId="16A2EED3" w14:textId="77777777" w:rsidR="00416677" w:rsidRPr="00416677" w:rsidRDefault="00416677" w:rsidP="00416677">
      <w:pPr>
        <w:spacing w:before="120" w:after="120" w:line="240" w:lineRule="auto"/>
        <w:rPr>
          <w:rFonts w:cs="Arial"/>
          <w:szCs w:val="20"/>
        </w:rPr>
      </w:pPr>
      <w:r w:rsidRPr="00416677">
        <w:rPr>
          <w:rFonts w:cs="Arial"/>
          <w:szCs w:val="20"/>
        </w:rPr>
        <w:t>Tablica 3. Temperatury stosowania emulsji asfaltowych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
        <w:gridCol w:w="4680"/>
        <w:gridCol w:w="3600"/>
      </w:tblGrid>
      <w:tr w:rsidR="00416677" w:rsidRPr="00416677" w14:paraId="325A4F16" w14:textId="77777777" w:rsidTr="007B6855">
        <w:tc>
          <w:tcPr>
            <w:tcW w:w="588" w:type="dxa"/>
          </w:tcPr>
          <w:p w14:paraId="03B0C92E" w14:textId="77777777" w:rsidR="00416677" w:rsidRPr="00416677" w:rsidRDefault="00416677" w:rsidP="00416677">
            <w:pPr>
              <w:spacing w:before="60" w:after="60" w:line="240" w:lineRule="auto"/>
              <w:jc w:val="center"/>
              <w:rPr>
                <w:rFonts w:cs="Arial"/>
                <w:szCs w:val="20"/>
              </w:rPr>
            </w:pPr>
            <w:r w:rsidRPr="00416677">
              <w:rPr>
                <w:rFonts w:cs="Arial"/>
                <w:szCs w:val="20"/>
              </w:rPr>
              <w:t>Lp.</w:t>
            </w:r>
          </w:p>
        </w:tc>
        <w:tc>
          <w:tcPr>
            <w:tcW w:w="4680" w:type="dxa"/>
          </w:tcPr>
          <w:p w14:paraId="3022A9DA" w14:textId="77777777" w:rsidR="00416677" w:rsidRPr="00416677" w:rsidRDefault="00416677" w:rsidP="00416677">
            <w:pPr>
              <w:spacing w:before="60" w:after="60" w:line="240" w:lineRule="auto"/>
              <w:jc w:val="center"/>
              <w:rPr>
                <w:rFonts w:cs="Arial"/>
                <w:szCs w:val="20"/>
              </w:rPr>
            </w:pPr>
            <w:r w:rsidRPr="00416677">
              <w:rPr>
                <w:rFonts w:cs="Arial"/>
                <w:szCs w:val="20"/>
              </w:rPr>
              <w:t>Rodzaj emulsji</w:t>
            </w:r>
          </w:p>
        </w:tc>
        <w:tc>
          <w:tcPr>
            <w:tcW w:w="3600" w:type="dxa"/>
          </w:tcPr>
          <w:p w14:paraId="3CDAD641" w14:textId="77777777" w:rsidR="00416677" w:rsidRPr="00416677" w:rsidRDefault="00416677" w:rsidP="00416677">
            <w:pPr>
              <w:spacing w:before="60" w:after="60" w:line="240" w:lineRule="auto"/>
              <w:jc w:val="center"/>
              <w:rPr>
                <w:rFonts w:cs="Arial"/>
                <w:szCs w:val="20"/>
              </w:rPr>
            </w:pPr>
            <w:r w:rsidRPr="00416677">
              <w:rPr>
                <w:rFonts w:cs="Arial"/>
                <w:szCs w:val="20"/>
              </w:rPr>
              <w:t>Temperatury (°C)</w:t>
            </w:r>
          </w:p>
        </w:tc>
      </w:tr>
      <w:tr w:rsidR="00416677" w:rsidRPr="00416677" w14:paraId="298E3C1D" w14:textId="77777777" w:rsidTr="007B6855">
        <w:tc>
          <w:tcPr>
            <w:tcW w:w="588" w:type="dxa"/>
          </w:tcPr>
          <w:p w14:paraId="4D98BFCE" w14:textId="77777777" w:rsidR="00416677" w:rsidRPr="00416677" w:rsidRDefault="00416677" w:rsidP="00416677">
            <w:pPr>
              <w:spacing w:before="60" w:after="60" w:line="240" w:lineRule="auto"/>
              <w:jc w:val="center"/>
              <w:rPr>
                <w:rFonts w:cs="Arial"/>
                <w:szCs w:val="20"/>
              </w:rPr>
            </w:pPr>
            <w:r w:rsidRPr="00416677">
              <w:rPr>
                <w:rFonts w:cs="Arial"/>
                <w:szCs w:val="20"/>
              </w:rPr>
              <w:t>1</w:t>
            </w:r>
          </w:p>
        </w:tc>
        <w:tc>
          <w:tcPr>
            <w:tcW w:w="4680" w:type="dxa"/>
          </w:tcPr>
          <w:p w14:paraId="7803203E" w14:textId="77777777" w:rsidR="00416677" w:rsidRPr="00416677" w:rsidRDefault="00416677" w:rsidP="00416677">
            <w:pPr>
              <w:spacing w:before="60" w:after="60" w:line="240" w:lineRule="auto"/>
              <w:rPr>
                <w:rFonts w:cs="Arial"/>
                <w:szCs w:val="20"/>
              </w:rPr>
            </w:pPr>
            <w:r w:rsidRPr="00416677">
              <w:rPr>
                <w:rFonts w:cs="Arial"/>
                <w:szCs w:val="20"/>
              </w:rPr>
              <w:t>Emulsja asfaltowa</w:t>
            </w:r>
          </w:p>
        </w:tc>
        <w:tc>
          <w:tcPr>
            <w:tcW w:w="3600" w:type="dxa"/>
          </w:tcPr>
          <w:p w14:paraId="2AF8E5A2" w14:textId="77777777" w:rsidR="00416677" w:rsidRPr="00416677" w:rsidRDefault="00416677" w:rsidP="00416677">
            <w:pPr>
              <w:spacing w:before="60" w:after="60" w:line="240" w:lineRule="auto"/>
              <w:jc w:val="center"/>
              <w:rPr>
                <w:rFonts w:cs="Arial"/>
                <w:szCs w:val="20"/>
              </w:rPr>
            </w:pPr>
            <w:r w:rsidRPr="00416677">
              <w:rPr>
                <w:rFonts w:cs="Arial"/>
                <w:szCs w:val="20"/>
              </w:rPr>
              <w:t>od 50 do 85</w:t>
            </w:r>
          </w:p>
        </w:tc>
      </w:tr>
      <w:tr w:rsidR="00416677" w:rsidRPr="00416677" w14:paraId="0210ECEF" w14:textId="77777777" w:rsidTr="007B6855">
        <w:tc>
          <w:tcPr>
            <w:tcW w:w="588" w:type="dxa"/>
          </w:tcPr>
          <w:p w14:paraId="50A4EA38" w14:textId="77777777" w:rsidR="00416677" w:rsidRPr="00416677" w:rsidRDefault="00416677" w:rsidP="00416677">
            <w:pPr>
              <w:spacing w:before="60" w:after="60" w:line="240" w:lineRule="auto"/>
              <w:jc w:val="center"/>
              <w:rPr>
                <w:rFonts w:cs="Arial"/>
                <w:szCs w:val="20"/>
              </w:rPr>
            </w:pPr>
            <w:r w:rsidRPr="00416677">
              <w:rPr>
                <w:rFonts w:cs="Arial"/>
                <w:szCs w:val="20"/>
              </w:rPr>
              <w:t>2</w:t>
            </w:r>
          </w:p>
        </w:tc>
        <w:tc>
          <w:tcPr>
            <w:tcW w:w="4680" w:type="dxa"/>
          </w:tcPr>
          <w:p w14:paraId="61BA3D55" w14:textId="77777777" w:rsidR="00416677" w:rsidRPr="00416677" w:rsidRDefault="00416677" w:rsidP="00416677">
            <w:pPr>
              <w:spacing w:before="60" w:after="60" w:line="240" w:lineRule="auto"/>
              <w:rPr>
                <w:rFonts w:cs="Arial"/>
                <w:szCs w:val="20"/>
              </w:rPr>
            </w:pPr>
            <w:r w:rsidRPr="00416677">
              <w:rPr>
                <w:rFonts w:cs="Arial"/>
                <w:szCs w:val="20"/>
              </w:rPr>
              <w:t>Emulsja asfaltowa modyfikowana polimerem</w:t>
            </w:r>
          </w:p>
        </w:tc>
        <w:tc>
          <w:tcPr>
            <w:tcW w:w="3600" w:type="dxa"/>
          </w:tcPr>
          <w:p w14:paraId="40CFE1A9" w14:textId="77777777" w:rsidR="00416677" w:rsidRPr="00416677" w:rsidRDefault="00416677" w:rsidP="00416677">
            <w:pPr>
              <w:spacing w:before="60" w:after="60" w:line="240" w:lineRule="auto"/>
              <w:jc w:val="center"/>
              <w:rPr>
                <w:rFonts w:cs="Arial"/>
                <w:szCs w:val="20"/>
              </w:rPr>
            </w:pPr>
            <w:r w:rsidRPr="00416677">
              <w:rPr>
                <w:rFonts w:cs="Arial"/>
                <w:szCs w:val="20"/>
              </w:rPr>
              <w:t>od 60 do 85</w:t>
            </w:r>
          </w:p>
        </w:tc>
      </w:tr>
    </w:tbl>
    <w:p w14:paraId="5E5E4CD0" w14:textId="77777777" w:rsidR="00416677" w:rsidRPr="00416677" w:rsidRDefault="00416677" w:rsidP="00416677">
      <w:pPr>
        <w:pStyle w:val="Nagwek2"/>
        <w:spacing w:line="240" w:lineRule="auto"/>
        <w:rPr>
          <w:rFonts w:cs="Arial"/>
          <w:szCs w:val="20"/>
        </w:rPr>
      </w:pPr>
      <w:r w:rsidRPr="00416677">
        <w:rPr>
          <w:rFonts w:cs="Arial"/>
          <w:szCs w:val="20"/>
        </w:rPr>
        <w:t>5.6. Odcinek próbny</w:t>
      </w:r>
    </w:p>
    <w:p w14:paraId="62B5A60C" w14:textId="77777777" w:rsidR="00416677" w:rsidRPr="00416677" w:rsidRDefault="00416677" w:rsidP="00416677">
      <w:pPr>
        <w:spacing w:line="240" w:lineRule="auto"/>
        <w:rPr>
          <w:rFonts w:cs="Arial"/>
          <w:szCs w:val="20"/>
        </w:rPr>
      </w:pPr>
      <w:r w:rsidRPr="00416677">
        <w:rPr>
          <w:rFonts w:cs="Arial"/>
          <w:szCs w:val="20"/>
        </w:rPr>
        <w:tab/>
        <w:t>Jeżeli w ST przewidziano potrzebę wykonania odcinka próbnego, to przed rozpoczęciem robót, w terminie uzgodnionym z Inżynierem, Wykonawca powinien wykonać odcinek próbny w celu:</w:t>
      </w:r>
    </w:p>
    <w:p w14:paraId="6DB00D12" w14:textId="77777777" w:rsidR="00416677" w:rsidRPr="00416677" w:rsidRDefault="00416677" w:rsidP="00CF1E7D">
      <w:pPr>
        <w:numPr>
          <w:ilvl w:val="0"/>
          <w:numId w:val="268"/>
        </w:numPr>
        <w:overflowPunct w:val="0"/>
        <w:autoSpaceDE w:val="0"/>
        <w:autoSpaceDN w:val="0"/>
        <w:adjustRightInd w:val="0"/>
        <w:spacing w:line="240" w:lineRule="auto"/>
        <w:jc w:val="both"/>
        <w:textAlignment w:val="baseline"/>
        <w:rPr>
          <w:rFonts w:cs="Arial"/>
          <w:szCs w:val="20"/>
        </w:rPr>
      </w:pPr>
      <w:r w:rsidRPr="00416677">
        <w:rPr>
          <w:rFonts w:cs="Arial"/>
          <w:szCs w:val="20"/>
        </w:rPr>
        <w:t>stwierdzenia czy właściwy jest sprzęt do skropienia emulsją asfaltową,</w:t>
      </w:r>
    </w:p>
    <w:p w14:paraId="15F26F44" w14:textId="77777777" w:rsidR="00416677" w:rsidRPr="00416677" w:rsidRDefault="00416677" w:rsidP="00CF1E7D">
      <w:pPr>
        <w:numPr>
          <w:ilvl w:val="0"/>
          <w:numId w:val="268"/>
        </w:numPr>
        <w:overflowPunct w:val="0"/>
        <w:autoSpaceDE w:val="0"/>
        <w:autoSpaceDN w:val="0"/>
        <w:adjustRightInd w:val="0"/>
        <w:spacing w:line="240" w:lineRule="auto"/>
        <w:jc w:val="both"/>
        <w:textAlignment w:val="baseline"/>
        <w:rPr>
          <w:rFonts w:cs="Arial"/>
          <w:szCs w:val="20"/>
        </w:rPr>
      </w:pPr>
      <w:r w:rsidRPr="00416677">
        <w:rPr>
          <w:rFonts w:cs="Arial"/>
          <w:szCs w:val="20"/>
        </w:rPr>
        <w:t>określenia poprawności dozowania emulsji.</w:t>
      </w:r>
    </w:p>
    <w:p w14:paraId="10A343C5" w14:textId="77777777" w:rsidR="00416677" w:rsidRPr="00416677" w:rsidRDefault="00416677" w:rsidP="00416677">
      <w:pPr>
        <w:spacing w:line="240" w:lineRule="auto"/>
        <w:ind w:firstLine="709"/>
        <w:rPr>
          <w:rFonts w:cs="Arial"/>
          <w:szCs w:val="20"/>
        </w:rPr>
      </w:pPr>
      <w:r w:rsidRPr="00416677">
        <w:rPr>
          <w:rFonts w:cs="Arial"/>
          <w:szCs w:val="20"/>
        </w:rPr>
        <w:t>Na odcinku próbnym Wykonawca powinien użyć takich materiałów oraz sprzętu jakie będą stosowane do wykonania skropienia warstwy.</w:t>
      </w:r>
    </w:p>
    <w:p w14:paraId="626B9BA7" w14:textId="77777777" w:rsidR="00416677" w:rsidRPr="00416677" w:rsidRDefault="00416677" w:rsidP="00416677">
      <w:pPr>
        <w:spacing w:line="240" w:lineRule="auto"/>
        <w:ind w:firstLine="709"/>
        <w:rPr>
          <w:rFonts w:cs="Arial"/>
          <w:szCs w:val="20"/>
        </w:rPr>
      </w:pPr>
      <w:r w:rsidRPr="00416677">
        <w:rPr>
          <w:rFonts w:cs="Arial"/>
          <w:szCs w:val="20"/>
        </w:rPr>
        <w:t>Powierzchnia odcinka próbnego powinna być uzgodniona z Inżynierem.</w:t>
      </w:r>
    </w:p>
    <w:p w14:paraId="553F539F" w14:textId="77777777" w:rsidR="00416677" w:rsidRPr="00416677" w:rsidRDefault="00416677" w:rsidP="00416677">
      <w:pPr>
        <w:spacing w:line="240" w:lineRule="auto"/>
        <w:ind w:firstLine="709"/>
        <w:rPr>
          <w:rFonts w:cs="Arial"/>
          <w:szCs w:val="20"/>
        </w:rPr>
      </w:pPr>
      <w:r w:rsidRPr="00416677">
        <w:rPr>
          <w:rFonts w:cs="Arial"/>
          <w:szCs w:val="20"/>
        </w:rPr>
        <w:t>Odcinek próbny powinien być zlokalizowany w miejscu wskazanym przez Inżyniera.</w:t>
      </w:r>
    </w:p>
    <w:p w14:paraId="7977E18F" w14:textId="77777777" w:rsidR="00416677" w:rsidRPr="00416677" w:rsidRDefault="00416677" w:rsidP="00416677">
      <w:pPr>
        <w:spacing w:line="240" w:lineRule="auto"/>
        <w:ind w:firstLine="709"/>
        <w:rPr>
          <w:rFonts w:cs="Arial"/>
          <w:szCs w:val="20"/>
        </w:rPr>
      </w:pPr>
      <w:r w:rsidRPr="00416677">
        <w:rPr>
          <w:rFonts w:cs="Arial"/>
          <w:szCs w:val="20"/>
        </w:rPr>
        <w:t>Wykonawca może przystąpić do wykonywania skropienia po zaakceptowaniu wyników prób na odcinku próbnym przez Inżyniera.</w:t>
      </w:r>
    </w:p>
    <w:p w14:paraId="0715333F" w14:textId="77777777" w:rsidR="00416677" w:rsidRPr="00416677" w:rsidRDefault="00416677" w:rsidP="00416677">
      <w:pPr>
        <w:pStyle w:val="Nagwek2"/>
        <w:spacing w:line="240" w:lineRule="auto"/>
        <w:rPr>
          <w:rFonts w:cs="Arial"/>
          <w:szCs w:val="20"/>
        </w:rPr>
      </w:pPr>
      <w:r w:rsidRPr="00416677">
        <w:rPr>
          <w:rFonts w:cs="Arial"/>
          <w:szCs w:val="20"/>
        </w:rPr>
        <w:t>5.7. Wykonanie skropienia warstw nawierzchni emulsją asfaltową</w:t>
      </w:r>
    </w:p>
    <w:p w14:paraId="535BBAF2" w14:textId="77777777" w:rsidR="00416677" w:rsidRPr="00416677" w:rsidRDefault="00416677" w:rsidP="00416677">
      <w:pPr>
        <w:spacing w:line="240" w:lineRule="auto"/>
        <w:rPr>
          <w:rFonts w:cs="Arial"/>
          <w:szCs w:val="20"/>
        </w:rPr>
      </w:pPr>
      <w:r w:rsidRPr="00416677">
        <w:rPr>
          <w:rFonts w:cs="Arial"/>
          <w:b/>
          <w:szCs w:val="20"/>
        </w:rPr>
        <w:t>5.7.1.</w:t>
      </w:r>
      <w:r w:rsidRPr="00416677">
        <w:rPr>
          <w:rFonts w:cs="Arial"/>
          <w:szCs w:val="20"/>
        </w:rPr>
        <w:t xml:space="preserve"> Zastosowanie emulsji asfaltowej </w:t>
      </w:r>
      <w:r w:rsidRPr="00416677">
        <w:rPr>
          <w:rFonts w:cs="Arial"/>
          <w:szCs w:val="20"/>
        </w:rPr>
        <w:tab/>
      </w:r>
    </w:p>
    <w:p w14:paraId="011FC590" w14:textId="77777777" w:rsidR="00416677" w:rsidRPr="00416677" w:rsidRDefault="00416677" w:rsidP="00416677">
      <w:pPr>
        <w:spacing w:before="120" w:line="240" w:lineRule="auto"/>
        <w:rPr>
          <w:rFonts w:cs="Arial"/>
          <w:szCs w:val="20"/>
        </w:rPr>
      </w:pPr>
      <w:r w:rsidRPr="00416677">
        <w:rPr>
          <w:rFonts w:cs="Arial"/>
          <w:szCs w:val="20"/>
        </w:rPr>
        <w:t>Rodzaj zastosowanej emulsji powinien być dostosowany do rodzaju łączonych materiałów zgodnie z tablicą 1, z zastrzeżeniami:.</w:t>
      </w:r>
    </w:p>
    <w:p w14:paraId="3AEACB27" w14:textId="77777777" w:rsidR="00416677" w:rsidRPr="00416677" w:rsidRDefault="00416677" w:rsidP="00CF1E7D">
      <w:pPr>
        <w:numPr>
          <w:ilvl w:val="0"/>
          <w:numId w:val="267"/>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 xml:space="preserve">Kationowe emulsje asfaltowe modyfikowane polimerami stosuje się zwłaszcza pod cienkie warstwy asfaltowe na gorąco oraz do łączenia </w:t>
      </w:r>
      <w:proofErr w:type="spellStart"/>
      <w:r w:rsidRPr="00416677">
        <w:rPr>
          <w:rFonts w:cs="Arial"/>
          <w:szCs w:val="20"/>
        </w:rPr>
        <w:t>geosyntetyków</w:t>
      </w:r>
      <w:proofErr w:type="spellEnd"/>
      <w:r w:rsidRPr="00416677">
        <w:rPr>
          <w:rFonts w:cs="Arial"/>
          <w:szCs w:val="20"/>
        </w:rPr>
        <w:t xml:space="preserve"> z warstwami asfaltowymi nawierzchni.</w:t>
      </w:r>
    </w:p>
    <w:p w14:paraId="5C806697" w14:textId="77777777" w:rsidR="00416677" w:rsidRPr="00416677" w:rsidRDefault="00416677" w:rsidP="00CF1E7D">
      <w:pPr>
        <w:numPr>
          <w:ilvl w:val="0"/>
          <w:numId w:val="267"/>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 xml:space="preserve">W przypadku stosowania emulsji asfaltowej do skropienia podłoża z warstwy niezwiązanej lub warstwy związanej hydraulicznie należy użyć emulsję o indeksie rozpadu od 120 do </w:t>
      </w:r>
      <w:smartTag w:uri="urn:schemas-microsoft-com:office:smarttags" w:element="metricconverter">
        <w:smartTagPr>
          <w:attr w:name="ProductID" w:val="180, a"/>
        </w:smartTagPr>
        <w:r w:rsidRPr="00416677">
          <w:rPr>
            <w:rFonts w:cs="Arial"/>
            <w:szCs w:val="20"/>
          </w:rPr>
          <w:t>180, a</w:t>
        </w:r>
      </w:smartTag>
      <w:r w:rsidRPr="00416677">
        <w:rPr>
          <w:rFonts w:cs="Arial"/>
          <w:szCs w:val="20"/>
        </w:rPr>
        <w:t xml:space="preserve"> do skropienia podłoża zawierającego spoiwo hydrauliczne – emulsję o </w:t>
      </w:r>
      <w:proofErr w:type="spellStart"/>
      <w:r w:rsidRPr="00416677">
        <w:rPr>
          <w:rFonts w:cs="Arial"/>
          <w:szCs w:val="20"/>
        </w:rPr>
        <w:t>pH</w:t>
      </w:r>
      <w:proofErr w:type="spellEnd"/>
      <w:r w:rsidRPr="00416677">
        <w:rPr>
          <w:rFonts w:cs="Arial"/>
          <w:szCs w:val="20"/>
        </w:rPr>
        <w:t xml:space="preserve"> większym niż 4.</w:t>
      </w:r>
    </w:p>
    <w:p w14:paraId="44ECA8D7" w14:textId="77777777" w:rsidR="00416677" w:rsidRPr="00416677" w:rsidRDefault="00416677" w:rsidP="00CF1E7D">
      <w:pPr>
        <w:numPr>
          <w:ilvl w:val="0"/>
          <w:numId w:val="267"/>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Na podbudowie z chudego betonu i podbudowie związanej spoiwem hydraulicznym w przypadku tworzenia membrany poprawiającej połączenie oraz przeciwdziałającej spękaniom odbitym (</w:t>
      </w:r>
      <w:proofErr w:type="spellStart"/>
      <w:r w:rsidRPr="00416677">
        <w:rPr>
          <w:rFonts w:cs="Arial"/>
          <w:szCs w:val="20"/>
        </w:rPr>
        <w:t>przeciwspękaniowej</w:t>
      </w:r>
      <w:proofErr w:type="spellEnd"/>
      <w:r w:rsidRPr="00416677">
        <w:rPr>
          <w:rFonts w:cs="Arial"/>
          <w:szCs w:val="20"/>
        </w:rPr>
        <w:t>) stosuje się powtórne skropienie emulsją z asfaltu modyfikowanego, którą posypuje się kruszywem (grysem) 2/5 mm.</w:t>
      </w:r>
    </w:p>
    <w:p w14:paraId="46160EDB" w14:textId="77777777" w:rsidR="00416677" w:rsidRPr="00416677" w:rsidRDefault="00416677" w:rsidP="00CF1E7D">
      <w:pPr>
        <w:numPr>
          <w:ilvl w:val="0"/>
          <w:numId w:val="267"/>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lastRenderedPageBreak/>
        <w:t>Skropienia lepiszczem nie należy stosować na izolacji przeciwwodnej obiektów inżynierskich oraz na podłożu pod asfalt lany. W wypadku podłoża z izolacji przeciwwodnej należy postępować według wskazań producenta lub zapisów w normach.</w:t>
      </w:r>
    </w:p>
    <w:p w14:paraId="5744BDBA" w14:textId="77777777" w:rsidR="00416677" w:rsidRPr="00416677" w:rsidRDefault="00416677" w:rsidP="00416677">
      <w:pPr>
        <w:spacing w:line="240" w:lineRule="auto"/>
        <w:rPr>
          <w:rFonts w:cs="Arial"/>
          <w:szCs w:val="20"/>
        </w:rPr>
      </w:pPr>
      <w:r w:rsidRPr="00416677">
        <w:rPr>
          <w:rFonts w:cs="Arial"/>
          <w:szCs w:val="20"/>
        </w:rPr>
        <w:tab/>
        <w:t>Jeśli w dokumentacji projektowej  lub ST nie określono rodzaju stosowanej emulsji asfaltowej, to jej rodzaj należy przyjąć według ogólnych ustaleń jak powyżej oraz zaleceń podanych w tablicy 4, po zaakceptowaniu rodzaju emulsji przez Inżyniera.</w:t>
      </w:r>
    </w:p>
    <w:p w14:paraId="032F5E11" w14:textId="77777777" w:rsidR="00416677" w:rsidRPr="00416677" w:rsidRDefault="00416677" w:rsidP="00416677">
      <w:pPr>
        <w:spacing w:before="120" w:after="120" w:line="240" w:lineRule="auto"/>
        <w:rPr>
          <w:rFonts w:cs="Arial"/>
          <w:szCs w:val="20"/>
        </w:rPr>
      </w:pPr>
      <w:r w:rsidRPr="00416677">
        <w:rPr>
          <w:rFonts w:cs="Arial"/>
          <w:szCs w:val="20"/>
        </w:rPr>
        <w:t xml:space="preserve">Tablica 4. Zalecane emulsje asfaltowe do połączeń </w:t>
      </w:r>
      <w:proofErr w:type="spellStart"/>
      <w:r w:rsidRPr="00416677">
        <w:rPr>
          <w:rFonts w:cs="Arial"/>
          <w:szCs w:val="20"/>
        </w:rPr>
        <w:t>międzywarstwowych</w:t>
      </w:r>
      <w:proofErr w:type="spellEnd"/>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6120"/>
        <w:gridCol w:w="1920"/>
      </w:tblGrid>
      <w:tr w:rsidR="00416677" w:rsidRPr="00416677" w14:paraId="273D9251" w14:textId="77777777" w:rsidTr="007B6855">
        <w:tc>
          <w:tcPr>
            <w:tcW w:w="828" w:type="dxa"/>
          </w:tcPr>
          <w:p w14:paraId="4B386F51" w14:textId="77777777" w:rsidR="00416677" w:rsidRPr="00416677" w:rsidRDefault="00416677" w:rsidP="00416677">
            <w:pPr>
              <w:spacing w:before="120" w:line="240" w:lineRule="auto"/>
              <w:jc w:val="center"/>
              <w:rPr>
                <w:rFonts w:cs="Arial"/>
                <w:szCs w:val="20"/>
              </w:rPr>
            </w:pPr>
            <w:r w:rsidRPr="00416677">
              <w:rPr>
                <w:rFonts w:cs="Arial"/>
                <w:szCs w:val="20"/>
              </w:rPr>
              <w:t>Lp.</w:t>
            </w:r>
          </w:p>
        </w:tc>
        <w:tc>
          <w:tcPr>
            <w:tcW w:w="6120" w:type="dxa"/>
          </w:tcPr>
          <w:p w14:paraId="4F1358A9" w14:textId="77777777" w:rsidR="00416677" w:rsidRPr="00416677" w:rsidRDefault="00416677" w:rsidP="00416677">
            <w:pPr>
              <w:spacing w:before="120" w:line="240" w:lineRule="auto"/>
              <w:jc w:val="center"/>
              <w:rPr>
                <w:rFonts w:cs="Arial"/>
                <w:szCs w:val="20"/>
              </w:rPr>
            </w:pPr>
            <w:r w:rsidRPr="00416677">
              <w:rPr>
                <w:rFonts w:cs="Arial"/>
                <w:szCs w:val="20"/>
              </w:rPr>
              <w:t xml:space="preserve">Rodzaj połączenia </w:t>
            </w:r>
            <w:proofErr w:type="spellStart"/>
            <w:r w:rsidRPr="00416677">
              <w:rPr>
                <w:rFonts w:cs="Arial"/>
                <w:szCs w:val="20"/>
              </w:rPr>
              <w:t>międzywarstwowego</w:t>
            </w:r>
            <w:proofErr w:type="spellEnd"/>
          </w:p>
        </w:tc>
        <w:tc>
          <w:tcPr>
            <w:tcW w:w="1920" w:type="dxa"/>
          </w:tcPr>
          <w:p w14:paraId="343D1AE5" w14:textId="77777777" w:rsidR="00416677" w:rsidRPr="00416677" w:rsidRDefault="00416677" w:rsidP="00416677">
            <w:pPr>
              <w:spacing w:line="240" w:lineRule="auto"/>
              <w:jc w:val="center"/>
              <w:rPr>
                <w:rFonts w:cs="Arial"/>
                <w:szCs w:val="20"/>
              </w:rPr>
            </w:pPr>
            <w:r w:rsidRPr="00416677">
              <w:rPr>
                <w:rFonts w:cs="Arial"/>
                <w:szCs w:val="20"/>
              </w:rPr>
              <w:t>Emulsja asfaltowa</w:t>
            </w:r>
          </w:p>
        </w:tc>
      </w:tr>
      <w:tr w:rsidR="00416677" w:rsidRPr="00416677" w14:paraId="4530BCF6" w14:textId="77777777" w:rsidTr="007B6855">
        <w:tc>
          <w:tcPr>
            <w:tcW w:w="828" w:type="dxa"/>
          </w:tcPr>
          <w:p w14:paraId="00230013" w14:textId="77777777" w:rsidR="00416677" w:rsidRPr="00416677" w:rsidRDefault="00416677" w:rsidP="00416677">
            <w:pPr>
              <w:spacing w:line="240" w:lineRule="auto"/>
              <w:jc w:val="center"/>
              <w:rPr>
                <w:rFonts w:cs="Arial"/>
                <w:szCs w:val="20"/>
              </w:rPr>
            </w:pPr>
            <w:r w:rsidRPr="00416677">
              <w:rPr>
                <w:rFonts w:cs="Arial"/>
                <w:szCs w:val="20"/>
              </w:rPr>
              <w:t>1</w:t>
            </w:r>
          </w:p>
        </w:tc>
        <w:tc>
          <w:tcPr>
            <w:tcW w:w="6120" w:type="dxa"/>
          </w:tcPr>
          <w:p w14:paraId="59C699CA" w14:textId="77777777" w:rsidR="00416677" w:rsidRPr="00416677" w:rsidRDefault="00416677" w:rsidP="00416677">
            <w:pPr>
              <w:spacing w:line="240" w:lineRule="auto"/>
              <w:rPr>
                <w:rFonts w:cs="Arial"/>
                <w:szCs w:val="20"/>
              </w:rPr>
            </w:pPr>
            <w:r w:rsidRPr="00416677">
              <w:rPr>
                <w:rFonts w:cs="Arial"/>
                <w:szCs w:val="20"/>
              </w:rPr>
              <w:t xml:space="preserve">Podbudowa z AC i AC WMS na podbudowie tłuczniowej </w:t>
            </w:r>
          </w:p>
          <w:p w14:paraId="3306BFC3" w14:textId="77777777" w:rsidR="00416677" w:rsidRPr="00416677" w:rsidRDefault="00416677" w:rsidP="00416677">
            <w:pPr>
              <w:spacing w:line="240" w:lineRule="auto"/>
              <w:rPr>
                <w:rFonts w:cs="Arial"/>
                <w:szCs w:val="20"/>
              </w:rPr>
            </w:pPr>
            <w:r w:rsidRPr="00416677">
              <w:rPr>
                <w:rFonts w:cs="Arial"/>
                <w:szCs w:val="20"/>
              </w:rPr>
              <w:t>i na podbudowie z kruszywa niezwiązanego</w:t>
            </w:r>
          </w:p>
        </w:tc>
        <w:tc>
          <w:tcPr>
            <w:tcW w:w="1920" w:type="dxa"/>
          </w:tcPr>
          <w:p w14:paraId="24F77ADA" w14:textId="77777777" w:rsidR="00416677" w:rsidRPr="00416677" w:rsidRDefault="00416677" w:rsidP="00416677">
            <w:pPr>
              <w:spacing w:before="120" w:line="240" w:lineRule="auto"/>
              <w:jc w:val="center"/>
              <w:rPr>
                <w:rFonts w:cs="Arial"/>
                <w:szCs w:val="20"/>
              </w:rPr>
            </w:pPr>
            <w:r w:rsidRPr="00416677">
              <w:rPr>
                <w:rFonts w:cs="Arial"/>
                <w:szCs w:val="20"/>
              </w:rPr>
              <w:t>C60B10 ZM/R</w:t>
            </w:r>
          </w:p>
        </w:tc>
      </w:tr>
      <w:tr w:rsidR="00416677" w:rsidRPr="00416677" w14:paraId="7EB69794" w14:textId="77777777" w:rsidTr="007B6855">
        <w:tc>
          <w:tcPr>
            <w:tcW w:w="828" w:type="dxa"/>
          </w:tcPr>
          <w:p w14:paraId="79CDF2F2" w14:textId="77777777" w:rsidR="00416677" w:rsidRPr="00416677" w:rsidRDefault="00416677" w:rsidP="00416677">
            <w:pPr>
              <w:spacing w:line="240" w:lineRule="auto"/>
              <w:jc w:val="center"/>
              <w:rPr>
                <w:rFonts w:cs="Arial"/>
                <w:szCs w:val="20"/>
              </w:rPr>
            </w:pPr>
            <w:r w:rsidRPr="00416677">
              <w:rPr>
                <w:rFonts w:cs="Arial"/>
                <w:szCs w:val="20"/>
              </w:rPr>
              <w:t>2</w:t>
            </w:r>
          </w:p>
        </w:tc>
        <w:tc>
          <w:tcPr>
            <w:tcW w:w="6120" w:type="dxa"/>
          </w:tcPr>
          <w:p w14:paraId="6CEE15FD" w14:textId="77777777" w:rsidR="00416677" w:rsidRPr="00416677" w:rsidRDefault="00416677" w:rsidP="00416677">
            <w:pPr>
              <w:spacing w:line="240" w:lineRule="auto"/>
              <w:rPr>
                <w:rFonts w:cs="Arial"/>
                <w:szCs w:val="20"/>
              </w:rPr>
            </w:pPr>
            <w:r w:rsidRPr="00416677">
              <w:rPr>
                <w:rFonts w:cs="Arial"/>
                <w:szCs w:val="20"/>
              </w:rPr>
              <w:t>Podbudowa z AC i AC WMS na nawierzchni asfaltowej o chropawej powierzchni</w:t>
            </w:r>
          </w:p>
        </w:tc>
        <w:tc>
          <w:tcPr>
            <w:tcW w:w="1920" w:type="dxa"/>
          </w:tcPr>
          <w:p w14:paraId="04CE704B" w14:textId="77777777" w:rsidR="00416677" w:rsidRPr="00416677" w:rsidRDefault="00416677" w:rsidP="00416677">
            <w:pPr>
              <w:spacing w:before="120" w:line="240" w:lineRule="auto"/>
              <w:jc w:val="center"/>
              <w:rPr>
                <w:rFonts w:cs="Arial"/>
                <w:szCs w:val="20"/>
                <w:vertAlign w:val="superscript"/>
              </w:rPr>
            </w:pPr>
            <w:r w:rsidRPr="00416677">
              <w:rPr>
                <w:rFonts w:cs="Arial"/>
                <w:szCs w:val="20"/>
                <w:vertAlign w:val="superscript"/>
              </w:rPr>
              <w:t>1)</w:t>
            </w:r>
          </w:p>
        </w:tc>
      </w:tr>
      <w:tr w:rsidR="00416677" w:rsidRPr="00416677" w14:paraId="32787778" w14:textId="77777777" w:rsidTr="007B6855">
        <w:tc>
          <w:tcPr>
            <w:tcW w:w="828" w:type="dxa"/>
          </w:tcPr>
          <w:p w14:paraId="3DE1FAA8" w14:textId="77777777" w:rsidR="00416677" w:rsidRPr="00416677" w:rsidRDefault="00416677" w:rsidP="00416677">
            <w:pPr>
              <w:spacing w:line="240" w:lineRule="auto"/>
              <w:jc w:val="center"/>
              <w:rPr>
                <w:rFonts w:cs="Arial"/>
                <w:szCs w:val="20"/>
              </w:rPr>
            </w:pPr>
          </w:p>
          <w:p w14:paraId="2159DC78" w14:textId="77777777" w:rsidR="00416677" w:rsidRPr="00416677" w:rsidRDefault="00416677" w:rsidP="00416677">
            <w:pPr>
              <w:spacing w:line="240" w:lineRule="auto"/>
              <w:jc w:val="center"/>
              <w:rPr>
                <w:rFonts w:cs="Arial"/>
                <w:szCs w:val="20"/>
              </w:rPr>
            </w:pPr>
            <w:r w:rsidRPr="00416677">
              <w:rPr>
                <w:rFonts w:cs="Arial"/>
                <w:szCs w:val="20"/>
              </w:rPr>
              <w:t>3</w:t>
            </w:r>
          </w:p>
        </w:tc>
        <w:tc>
          <w:tcPr>
            <w:tcW w:w="6120" w:type="dxa"/>
          </w:tcPr>
          <w:p w14:paraId="0F6BAE7B" w14:textId="77777777" w:rsidR="00416677" w:rsidRPr="00416677" w:rsidRDefault="00416677" w:rsidP="00416677">
            <w:pPr>
              <w:spacing w:line="240" w:lineRule="auto"/>
              <w:rPr>
                <w:rFonts w:cs="Arial"/>
                <w:szCs w:val="20"/>
              </w:rPr>
            </w:pPr>
            <w:r w:rsidRPr="00416677">
              <w:rPr>
                <w:rFonts w:cs="Arial"/>
                <w:szCs w:val="20"/>
              </w:rPr>
              <w:t>Podbudowa z AC i AC WMS na podbudowie z chudego betonu i podbudowie z gruntu lub kruszywa związanego spoiwem hydraulicznym (do sklejenia warstw)</w:t>
            </w:r>
          </w:p>
        </w:tc>
        <w:tc>
          <w:tcPr>
            <w:tcW w:w="1920" w:type="dxa"/>
          </w:tcPr>
          <w:p w14:paraId="311151B7" w14:textId="77777777" w:rsidR="00416677" w:rsidRPr="00416677" w:rsidRDefault="00416677" w:rsidP="00416677">
            <w:pPr>
              <w:spacing w:line="240" w:lineRule="auto"/>
              <w:jc w:val="center"/>
              <w:rPr>
                <w:rFonts w:cs="Arial"/>
                <w:szCs w:val="20"/>
              </w:rPr>
            </w:pPr>
          </w:p>
          <w:p w14:paraId="0078B9B1" w14:textId="77777777" w:rsidR="00416677" w:rsidRPr="00416677" w:rsidRDefault="00416677" w:rsidP="00416677">
            <w:pPr>
              <w:spacing w:line="240" w:lineRule="auto"/>
              <w:jc w:val="center"/>
              <w:rPr>
                <w:rFonts w:cs="Arial"/>
                <w:szCs w:val="20"/>
              </w:rPr>
            </w:pPr>
            <w:r w:rsidRPr="00416677">
              <w:rPr>
                <w:rFonts w:cs="Arial"/>
                <w:szCs w:val="20"/>
              </w:rPr>
              <w:t>C60B10 ZM/R</w:t>
            </w:r>
            <w:r w:rsidRPr="00416677">
              <w:rPr>
                <w:rFonts w:cs="Arial"/>
                <w:szCs w:val="20"/>
                <w:vertAlign w:val="superscript"/>
              </w:rPr>
              <w:t>2)</w:t>
            </w:r>
          </w:p>
        </w:tc>
      </w:tr>
      <w:tr w:rsidR="00416677" w:rsidRPr="00416677" w14:paraId="1578E6D7" w14:textId="77777777" w:rsidTr="007B6855">
        <w:tc>
          <w:tcPr>
            <w:tcW w:w="828" w:type="dxa"/>
          </w:tcPr>
          <w:p w14:paraId="528C0AF7" w14:textId="77777777" w:rsidR="00416677" w:rsidRPr="00416677" w:rsidRDefault="00416677" w:rsidP="00416677">
            <w:pPr>
              <w:spacing w:line="240" w:lineRule="auto"/>
              <w:jc w:val="center"/>
              <w:rPr>
                <w:rFonts w:cs="Arial"/>
                <w:szCs w:val="20"/>
              </w:rPr>
            </w:pPr>
          </w:p>
          <w:p w14:paraId="618D78F0" w14:textId="77777777" w:rsidR="00416677" w:rsidRPr="00416677" w:rsidRDefault="00416677" w:rsidP="00416677">
            <w:pPr>
              <w:spacing w:line="240" w:lineRule="auto"/>
              <w:jc w:val="center"/>
              <w:rPr>
                <w:rFonts w:cs="Arial"/>
                <w:szCs w:val="20"/>
              </w:rPr>
            </w:pPr>
            <w:r w:rsidRPr="00416677">
              <w:rPr>
                <w:rFonts w:cs="Arial"/>
                <w:szCs w:val="20"/>
              </w:rPr>
              <w:t>4</w:t>
            </w:r>
          </w:p>
        </w:tc>
        <w:tc>
          <w:tcPr>
            <w:tcW w:w="6120" w:type="dxa"/>
          </w:tcPr>
          <w:p w14:paraId="0B657132" w14:textId="77777777" w:rsidR="00416677" w:rsidRPr="00416677" w:rsidRDefault="00416677" w:rsidP="00416677">
            <w:pPr>
              <w:spacing w:line="240" w:lineRule="auto"/>
              <w:rPr>
                <w:rFonts w:cs="Arial"/>
                <w:szCs w:val="20"/>
              </w:rPr>
            </w:pPr>
            <w:r w:rsidRPr="00416677">
              <w:rPr>
                <w:rFonts w:cs="Arial"/>
                <w:szCs w:val="20"/>
              </w:rPr>
              <w:t xml:space="preserve">Podbudowa z AC i AC WMS na podbudowie z chudego betonu i podbudowie z gruntu lub kruszywa związanego spoiwem hydraulicznym (do stworzenia membrany poprawiającej połączenie i </w:t>
            </w:r>
            <w:proofErr w:type="spellStart"/>
            <w:r w:rsidRPr="00416677">
              <w:rPr>
                <w:rFonts w:cs="Arial"/>
                <w:szCs w:val="20"/>
              </w:rPr>
              <w:t>przeciwspękaniowej</w:t>
            </w:r>
            <w:proofErr w:type="spellEnd"/>
            <w:r w:rsidRPr="00416677">
              <w:rPr>
                <w:rFonts w:cs="Arial"/>
                <w:szCs w:val="20"/>
              </w:rPr>
              <w:t>)</w:t>
            </w:r>
          </w:p>
        </w:tc>
        <w:tc>
          <w:tcPr>
            <w:tcW w:w="1920" w:type="dxa"/>
          </w:tcPr>
          <w:p w14:paraId="4DB4551E" w14:textId="77777777" w:rsidR="00416677" w:rsidRPr="00416677" w:rsidRDefault="00416677" w:rsidP="00416677">
            <w:pPr>
              <w:spacing w:line="240" w:lineRule="auto"/>
              <w:jc w:val="center"/>
              <w:rPr>
                <w:rFonts w:cs="Arial"/>
                <w:szCs w:val="20"/>
              </w:rPr>
            </w:pPr>
          </w:p>
          <w:p w14:paraId="1A324474" w14:textId="77777777" w:rsidR="00416677" w:rsidRPr="00416677" w:rsidRDefault="00416677" w:rsidP="00416677">
            <w:pPr>
              <w:spacing w:line="240" w:lineRule="auto"/>
              <w:jc w:val="center"/>
              <w:rPr>
                <w:rFonts w:cs="Arial"/>
                <w:szCs w:val="20"/>
              </w:rPr>
            </w:pPr>
            <w:r w:rsidRPr="00416677">
              <w:rPr>
                <w:rFonts w:cs="Arial"/>
                <w:szCs w:val="20"/>
              </w:rPr>
              <w:t>C60BP3 ZM</w:t>
            </w:r>
            <w:r w:rsidRPr="00416677">
              <w:rPr>
                <w:rFonts w:cs="Arial"/>
                <w:szCs w:val="20"/>
                <w:vertAlign w:val="superscript"/>
              </w:rPr>
              <w:t>3)</w:t>
            </w:r>
          </w:p>
        </w:tc>
      </w:tr>
      <w:tr w:rsidR="00416677" w:rsidRPr="00416677" w14:paraId="2CD7949A" w14:textId="77777777" w:rsidTr="007B6855">
        <w:tc>
          <w:tcPr>
            <w:tcW w:w="828" w:type="dxa"/>
          </w:tcPr>
          <w:p w14:paraId="5A3C91A2" w14:textId="77777777" w:rsidR="00416677" w:rsidRPr="00416677" w:rsidRDefault="00416677" w:rsidP="00416677">
            <w:pPr>
              <w:spacing w:line="240" w:lineRule="auto"/>
              <w:jc w:val="center"/>
              <w:rPr>
                <w:rFonts w:cs="Arial"/>
                <w:szCs w:val="20"/>
              </w:rPr>
            </w:pPr>
            <w:r w:rsidRPr="00416677">
              <w:rPr>
                <w:rFonts w:cs="Arial"/>
                <w:szCs w:val="20"/>
              </w:rPr>
              <w:t>5</w:t>
            </w:r>
          </w:p>
        </w:tc>
        <w:tc>
          <w:tcPr>
            <w:tcW w:w="6120" w:type="dxa"/>
          </w:tcPr>
          <w:p w14:paraId="60ABD149" w14:textId="77777777" w:rsidR="00416677" w:rsidRPr="00416677" w:rsidRDefault="00416677" w:rsidP="00416677">
            <w:pPr>
              <w:spacing w:line="240" w:lineRule="auto"/>
              <w:rPr>
                <w:rFonts w:cs="Arial"/>
                <w:szCs w:val="20"/>
              </w:rPr>
            </w:pPr>
            <w:r w:rsidRPr="00416677">
              <w:rPr>
                <w:rFonts w:cs="Arial"/>
                <w:szCs w:val="20"/>
              </w:rPr>
              <w:t>Warstwa wiążąca z AC i AC WMS na podbudowie asfaltowej</w:t>
            </w:r>
          </w:p>
        </w:tc>
        <w:tc>
          <w:tcPr>
            <w:tcW w:w="1920" w:type="dxa"/>
          </w:tcPr>
          <w:p w14:paraId="3A88CAC4" w14:textId="77777777" w:rsidR="00416677" w:rsidRPr="00416677" w:rsidRDefault="00416677" w:rsidP="00416677">
            <w:pPr>
              <w:spacing w:line="240" w:lineRule="auto"/>
              <w:jc w:val="center"/>
              <w:rPr>
                <w:rFonts w:cs="Arial"/>
                <w:szCs w:val="20"/>
              </w:rPr>
            </w:pPr>
            <w:r w:rsidRPr="00416677">
              <w:rPr>
                <w:rFonts w:cs="Arial"/>
                <w:szCs w:val="20"/>
              </w:rPr>
              <w:t>C60B3 ZM</w:t>
            </w:r>
            <w:r w:rsidRPr="00416677">
              <w:rPr>
                <w:rFonts w:cs="Arial"/>
                <w:szCs w:val="20"/>
                <w:vertAlign w:val="superscript"/>
              </w:rPr>
              <w:t>4)</w:t>
            </w:r>
          </w:p>
        </w:tc>
      </w:tr>
      <w:tr w:rsidR="00416677" w:rsidRPr="00416677" w14:paraId="3092F5F2" w14:textId="77777777" w:rsidTr="007B6855">
        <w:tc>
          <w:tcPr>
            <w:tcW w:w="828" w:type="dxa"/>
          </w:tcPr>
          <w:p w14:paraId="656C91CA" w14:textId="77777777" w:rsidR="00416677" w:rsidRPr="00416677" w:rsidRDefault="00416677" w:rsidP="00416677">
            <w:pPr>
              <w:spacing w:before="60" w:after="60" w:line="240" w:lineRule="auto"/>
              <w:jc w:val="center"/>
              <w:rPr>
                <w:rFonts w:cs="Arial"/>
                <w:szCs w:val="20"/>
              </w:rPr>
            </w:pPr>
            <w:r w:rsidRPr="00416677">
              <w:rPr>
                <w:rFonts w:cs="Arial"/>
                <w:szCs w:val="20"/>
              </w:rPr>
              <w:t>6</w:t>
            </w:r>
          </w:p>
        </w:tc>
        <w:tc>
          <w:tcPr>
            <w:tcW w:w="6120" w:type="dxa"/>
          </w:tcPr>
          <w:p w14:paraId="1121D4EB" w14:textId="77777777" w:rsidR="00416677" w:rsidRPr="00416677" w:rsidRDefault="00416677" w:rsidP="00416677">
            <w:pPr>
              <w:spacing w:before="60" w:after="60" w:line="240" w:lineRule="auto"/>
              <w:rPr>
                <w:rFonts w:cs="Arial"/>
                <w:szCs w:val="20"/>
              </w:rPr>
            </w:pPr>
            <w:r w:rsidRPr="00416677">
              <w:rPr>
                <w:rFonts w:cs="Arial"/>
                <w:szCs w:val="20"/>
              </w:rPr>
              <w:t>Warstwa wiążąca z PA na podbudowie asfaltowej</w:t>
            </w:r>
          </w:p>
        </w:tc>
        <w:tc>
          <w:tcPr>
            <w:tcW w:w="1920" w:type="dxa"/>
          </w:tcPr>
          <w:p w14:paraId="59F1E960" w14:textId="77777777" w:rsidR="00416677" w:rsidRPr="00416677" w:rsidRDefault="00416677" w:rsidP="00416677">
            <w:pPr>
              <w:spacing w:before="60" w:after="60" w:line="240" w:lineRule="auto"/>
              <w:jc w:val="center"/>
              <w:rPr>
                <w:rFonts w:cs="Arial"/>
                <w:szCs w:val="20"/>
              </w:rPr>
            </w:pPr>
            <w:r w:rsidRPr="00416677">
              <w:rPr>
                <w:rFonts w:cs="Arial"/>
                <w:szCs w:val="20"/>
              </w:rPr>
              <w:t>C60BP3 ZM</w:t>
            </w:r>
          </w:p>
        </w:tc>
      </w:tr>
      <w:tr w:rsidR="00416677" w:rsidRPr="00416677" w14:paraId="19125BBB" w14:textId="77777777" w:rsidTr="007B6855">
        <w:tc>
          <w:tcPr>
            <w:tcW w:w="828" w:type="dxa"/>
          </w:tcPr>
          <w:p w14:paraId="10F2183D" w14:textId="77777777" w:rsidR="00416677" w:rsidRPr="00416677" w:rsidRDefault="00416677" w:rsidP="00416677">
            <w:pPr>
              <w:spacing w:before="60" w:after="60" w:line="240" w:lineRule="auto"/>
              <w:jc w:val="center"/>
              <w:rPr>
                <w:rFonts w:cs="Arial"/>
                <w:szCs w:val="20"/>
              </w:rPr>
            </w:pPr>
            <w:r w:rsidRPr="00416677">
              <w:rPr>
                <w:rFonts w:cs="Arial"/>
                <w:szCs w:val="20"/>
              </w:rPr>
              <w:t>7</w:t>
            </w:r>
          </w:p>
        </w:tc>
        <w:tc>
          <w:tcPr>
            <w:tcW w:w="6120" w:type="dxa"/>
          </w:tcPr>
          <w:p w14:paraId="32988F0A" w14:textId="77777777" w:rsidR="00416677" w:rsidRPr="00416677" w:rsidRDefault="00416677" w:rsidP="00416677">
            <w:pPr>
              <w:spacing w:before="60" w:after="60" w:line="240" w:lineRule="auto"/>
              <w:rPr>
                <w:rFonts w:cs="Arial"/>
                <w:szCs w:val="20"/>
              </w:rPr>
            </w:pPr>
            <w:r w:rsidRPr="00416677">
              <w:rPr>
                <w:rFonts w:cs="Arial"/>
                <w:szCs w:val="20"/>
              </w:rPr>
              <w:t>Warstwa ścieralna z AC na warstwie wiążącej asfaltowej</w:t>
            </w:r>
          </w:p>
        </w:tc>
        <w:tc>
          <w:tcPr>
            <w:tcW w:w="1920" w:type="dxa"/>
          </w:tcPr>
          <w:p w14:paraId="21B432EC" w14:textId="77777777" w:rsidR="00416677" w:rsidRPr="00416677" w:rsidRDefault="00416677" w:rsidP="00416677">
            <w:pPr>
              <w:spacing w:before="60" w:after="60" w:line="240" w:lineRule="auto"/>
              <w:jc w:val="center"/>
              <w:rPr>
                <w:rFonts w:cs="Arial"/>
                <w:szCs w:val="20"/>
              </w:rPr>
            </w:pPr>
            <w:r w:rsidRPr="00416677">
              <w:rPr>
                <w:rFonts w:cs="Arial"/>
                <w:szCs w:val="20"/>
              </w:rPr>
              <w:t>C60B3 ZM</w:t>
            </w:r>
            <w:r w:rsidRPr="00416677">
              <w:rPr>
                <w:rFonts w:cs="Arial"/>
                <w:szCs w:val="20"/>
                <w:vertAlign w:val="superscript"/>
              </w:rPr>
              <w:t>4)</w:t>
            </w:r>
          </w:p>
        </w:tc>
      </w:tr>
      <w:tr w:rsidR="00416677" w:rsidRPr="00416677" w14:paraId="3C795DCD" w14:textId="77777777" w:rsidTr="007B6855">
        <w:tc>
          <w:tcPr>
            <w:tcW w:w="828" w:type="dxa"/>
          </w:tcPr>
          <w:p w14:paraId="7055E029" w14:textId="77777777" w:rsidR="00416677" w:rsidRPr="00416677" w:rsidRDefault="00416677" w:rsidP="00416677">
            <w:pPr>
              <w:spacing w:line="240" w:lineRule="auto"/>
              <w:jc w:val="center"/>
              <w:rPr>
                <w:rFonts w:cs="Arial"/>
                <w:szCs w:val="20"/>
              </w:rPr>
            </w:pPr>
            <w:r w:rsidRPr="00416677">
              <w:rPr>
                <w:rFonts w:cs="Arial"/>
                <w:szCs w:val="20"/>
              </w:rPr>
              <w:t>8</w:t>
            </w:r>
          </w:p>
        </w:tc>
        <w:tc>
          <w:tcPr>
            <w:tcW w:w="6120" w:type="dxa"/>
          </w:tcPr>
          <w:p w14:paraId="29856CD2" w14:textId="77777777" w:rsidR="00416677" w:rsidRPr="00416677" w:rsidRDefault="00416677" w:rsidP="00416677">
            <w:pPr>
              <w:spacing w:line="240" w:lineRule="auto"/>
              <w:rPr>
                <w:rFonts w:cs="Arial"/>
                <w:szCs w:val="20"/>
              </w:rPr>
            </w:pPr>
            <w:r w:rsidRPr="00416677">
              <w:rPr>
                <w:rFonts w:cs="Arial"/>
                <w:szCs w:val="20"/>
              </w:rPr>
              <w:t>Warstwa ścieralna z SMA, BBTM i PA na warstwie wiążącej asfaltowej</w:t>
            </w:r>
          </w:p>
        </w:tc>
        <w:tc>
          <w:tcPr>
            <w:tcW w:w="1920" w:type="dxa"/>
          </w:tcPr>
          <w:p w14:paraId="7EAC8BBA" w14:textId="77777777" w:rsidR="00416677" w:rsidRPr="00416677" w:rsidRDefault="00416677" w:rsidP="00416677">
            <w:pPr>
              <w:spacing w:before="120" w:line="240" w:lineRule="auto"/>
              <w:jc w:val="center"/>
              <w:rPr>
                <w:rFonts w:cs="Arial"/>
                <w:szCs w:val="20"/>
              </w:rPr>
            </w:pPr>
            <w:r w:rsidRPr="00416677">
              <w:rPr>
                <w:rFonts w:cs="Arial"/>
                <w:szCs w:val="20"/>
              </w:rPr>
              <w:t>C60BP3 ZM</w:t>
            </w:r>
          </w:p>
        </w:tc>
      </w:tr>
      <w:tr w:rsidR="00416677" w:rsidRPr="00416677" w14:paraId="0BF66344" w14:textId="77777777" w:rsidTr="007B6855">
        <w:tc>
          <w:tcPr>
            <w:tcW w:w="8868" w:type="dxa"/>
            <w:gridSpan w:val="3"/>
          </w:tcPr>
          <w:p w14:paraId="1710456F" w14:textId="77777777" w:rsidR="00416677" w:rsidRPr="00416677" w:rsidRDefault="00416677" w:rsidP="00416677">
            <w:pPr>
              <w:spacing w:line="240" w:lineRule="auto"/>
              <w:ind w:left="360" w:hanging="360"/>
              <w:rPr>
                <w:rFonts w:cs="Arial"/>
                <w:szCs w:val="20"/>
              </w:rPr>
            </w:pPr>
            <w:r w:rsidRPr="00416677">
              <w:rPr>
                <w:rFonts w:cs="Arial"/>
                <w:szCs w:val="20"/>
                <w:vertAlign w:val="superscript"/>
              </w:rPr>
              <w:t>1)</w:t>
            </w:r>
            <w:r w:rsidRPr="00416677">
              <w:rPr>
                <w:rFonts w:cs="Arial"/>
                <w:szCs w:val="20"/>
              </w:rPr>
              <w:t xml:space="preserve"> Rodzaj emulsji należy przyjąć w zależności od stanu nawierzchni, np. przy dużym braku lepiszcza startego przez koła pojazdów i znacznym stopniu porowatości nawierzchni – C60B10 ZM/R, przy dość dużej szczelności nawierzchni – C60B3 ZM, w celu zapewnienia większej wytrzymałości połączeniu </w:t>
            </w:r>
            <w:proofErr w:type="spellStart"/>
            <w:r w:rsidRPr="00416677">
              <w:rPr>
                <w:rFonts w:cs="Arial"/>
                <w:szCs w:val="20"/>
              </w:rPr>
              <w:t>międzywarstwowemu</w:t>
            </w:r>
            <w:proofErr w:type="spellEnd"/>
            <w:r w:rsidRPr="00416677">
              <w:rPr>
                <w:rFonts w:cs="Arial"/>
                <w:szCs w:val="20"/>
              </w:rPr>
              <w:t xml:space="preserve"> – C60BP3 ZM</w:t>
            </w:r>
          </w:p>
          <w:p w14:paraId="6644837F" w14:textId="77777777" w:rsidR="00416677" w:rsidRPr="00416677" w:rsidRDefault="00416677" w:rsidP="00416677">
            <w:pPr>
              <w:spacing w:line="240" w:lineRule="auto"/>
              <w:ind w:left="360" w:hanging="360"/>
              <w:rPr>
                <w:rFonts w:cs="Arial"/>
                <w:szCs w:val="20"/>
              </w:rPr>
            </w:pPr>
            <w:r w:rsidRPr="00416677">
              <w:rPr>
                <w:rFonts w:cs="Arial"/>
                <w:szCs w:val="20"/>
                <w:vertAlign w:val="superscript"/>
              </w:rPr>
              <w:t>2)</w:t>
            </w:r>
            <w:r w:rsidRPr="00416677">
              <w:rPr>
                <w:rFonts w:cs="Arial"/>
                <w:szCs w:val="20"/>
              </w:rPr>
              <w:t xml:space="preserve">   Zalecana emulsja o </w:t>
            </w:r>
            <w:proofErr w:type="spellStart"/>
            <w:r w:rsidRPr="00416677">
              <w:rPr>
                <w:rFonts w:cs="Arial"/>
                <w:szCs w:val="20"/>
              </w:rPr>
              <w:t>pH</w:t>
            </w:r>
            <w:proofErr w:type="spellEnd"/>
            <w:r w:rsidRPr="00416677">
              <w:rPr>
                <w:rFonts w:cs="Arial"/>
                <w:szCs w:val="20"/>
              </w:rPr>
              <w:t xml:space="preserve"> &gt; 4</w:t>
            </w:r>
          </w:p>
          <w:p w14:paraId="6D75869C" w14:textId="77777777" w:rsidR="00416677" w:rsidRPr="00416677" w:rsidRDefault="00416677" w:rsidP="00416677">
            <w:pPr>
              <w:spacing w:line="240" w:lineRule="auto"/>
              <w:ind w:left="360" w:hanging="360"/>
              <w:rPr>
                <w:rFonts w:cs="Arial"/>
                <w:szCs w:val="20"/>
              </w:rPr>
            </w:pPr>
            <w:r w:rsidRPr="00416677">
              <w:rPr>
                <w:rFonts w:cs="Arial"/>
                <w:szCs w:val="20"/>
                <w:vertAlign w:val="superscript"/>
              </w:rPr>
              <w:t>3)</w:t>
            </w:r>
            <w:r w:rsidRPr="00416677">
              <w:rPr>
                <w:rFonts w:cs="Arial"/>
                <w:szCs w:val="20"/>
              </w:rPr>
              <w:t xml:space="preserve">   Emulsja posypana grysem 2/5 mm</w:t>
            </w:r>
          </w:p>
          <w:p w14:paraId="50BA08F4" w14:textId="77777777" w:rsidR="00416677" w:rsidRPr="00416677" w:rsidRDefault="00416677" w:rsidP="00416677">
            <w:pPr>
              <w:spacing w:line="240" w:lineRule="auto"/>
              <w:ind w:left="360" w:hanging="360"/>
              <w:rPr>
                <w:rFonts w:cs="Arial"/>
                <w:szCs w:val="20"/>
              </w:rPr>
            </w:pPr>
            <w:r w:rsidRPr="00416677">
              <w:rPr>
                <w:rFonts w:cs="Arial"/>
                <w:szCs w:val="20"/>
                <w:vertAlign w:val="superscript"/>
              </w:rPr>
              <w:t>4)</w:t>
            </w:r>
            <w:r w:rsidRPr="00416677">
              <w:rPr>
                <w:rFonts w:cs="Arial"/>
                <w:szCs w:val="20"/>
              </w:rPr>
              <w:t xml:space="preserve"> Można rozważyć stosowanie emulsji C60BP3 ZM w celu uzyskania większej wytrzymałości na ścinanie w połączeniu </w:t>
            </w:r>
            <w:proofErr w:type="spellStart"/>
            <w:r w:rsidRPr="00416677">
              <w:rPr>
                <w:rFonts w:cs="Arial"/>
                <w:szCs w:val="20"/>
              </w:rPr>
              <w:t>międzywarstwowym</w:t>
            </w:r>
            <w:proofErr w:type="spellEnd"/>
          </w:p>
        </w:tc>
      </w:tr>
    </w:tbl>
    <w:p w14:paraId="064AED64" w14:textId="77777777" w:rsidR="00416677" w:rsidRPr="00416677" w:rsidRDefault="00416677" w:rsidP="00416677">
      <w:pPr>
        <w:spacing w:line="240" w:lineRule="auto"/>
        <w:rPr>
          <w:rFonts w:cs="Arial"/>
          <w:szCs w:val="20"/>
        </w:rPr>
      </w:pPr>
      <w:r w:rsidRPr="00416677">
        <w:rPr>
          <w:rFonts w:cs="Arial"/>
          <w:szCs w:val="20"/>
        </w:rPr>
        <w:tab/>
      </w:r>
    </w:p>
    <w:p w14:paraId="0381C5F6" w14:textId="77777777" w:rsidR="00416677" w:rsidRPr="00416677" w:rsidRDefault="00416677" w:rsidP="00416677">
      <w:pPr>
        <w:keepNext/>
        <w:spacing w:before="120" w:after="120" w:line="240" w:lineRule="auto"/>
        <w:rPr>
          <w:rFonts w:cs="Arial"/>
          <w:szCs w:val="20"/>
        </w:rPr>
      </w:pPr>
      <w:r w:rsidRPr="00416677">
        <w:rPr>
          <w:rFonts w:cs="Arial"/>
          <w:b/>
          <w:szCs w:val="20"/>
        </w:rPr>
        <w:t>5.7.2.</w:t>
      </w:r>
      <w:r w:rsidRPr="00416677">
        <w:rPr>
          <w:rFonts w:cs="Arial"/>
          <w:szCs w:val="20"/>
        </w:rPr>
        <w:t xml:space="preserve"> Określenie ilości skropienia emulsją</w:t>
      </w:r>
    </w:p>
    <w:p w14:paraId="24941D6D" w14:textId="77777777" w:rsidR="00416677" w:rsidRPr="00416677" w:rsidRDefault="00416677" w:rsidP="00416677">
      <w:pPr>
        <w:keepNext/>
        <w:spacing w:after="120" w:line="240" w:lineRule="auto"/>
        <w:rPr>
          <w:rFonts w:cs="Arial"/>
          <w:szCs w:val="20"/>
        </w:rPr>
      </w:pPr>
      <w:r w:rsidRPr="00416677">
        <w:rPr>
          <w:rFonts w:cs="Arial"/>
          <w:szCs w:val="20"/>
        </w:rPr>
        <w:t>5.7.2.1. Skropienie warstwy z mieszanki mineralno-asfaltowej</w:t>
      </w:r>
    </w:p>
    <w:p w14:paraId="613994C5" w14:textId="77777777" w:rsidR="00416677" w:rsidRPr="00416677" w:rsidRDefault="00416677" w:rsidP="00416677">
      <w:pPr>
        <w:spacing w:line="240" w:lineRule="auto"/>
        <w:ind w:firstLine="709"/>
        <w:rPr>
          <w:rFonts w:cs="Arial"/>
          <w:szCs w:val="20"/>
        </w:rPr>
      </w:pPr>
      <w:r w:rsidRPr="00416677">
        <w:rPr>
          <w:rFonts w:cs="Arial"/>
          <w:szCs w:val="20"/>
        </w:rPr>
        <w:t>Skropienie lepiszczem powinno być wykonane w ilości podanej w tablicy 5.</w:t>
      </w:r>
    </w:p>
    <w:p w14:paraId="790D2FEA" w14:textId="77777777" w:rsidR="00416677" w:rsidRPr="00416677" w:rsidRDefault="00416677" w:rsidP="00416677">
      <w:pPr>
        <w:spacing w:line="240" w:lineRule="auto"/>
        <w:ind w:firstLine="709"/>
        <w:rPr>
          <w:rFonts w:cs="Arial"/>
          <w:szCs w:val="20"/>
        </w:rPr>
      </w:pPr>
      <w:r w:rsidRPr="00416677">
        <w:rPr>
          <w:rFonts w:cs="Arial"/>
          <w:szCs w:val="20"/>
        </w:rPr>
        <w:t>Kontrolę  ilości skropienia emulsją należy wykonać według PN-EN 12272-1 [10].</w:t>
      </w:r>
    </w:p>
    <w:p w14:paraId="09F428DC" w14:textId="77777777" w:rsidR="00416677" w:rsidRPr="00416677" w:rsidRDefault="00416677" w:rsidP="00416677">
      <w:pPr>
        <w:spacing w:before="120" w:after="120" w:line="240" w:lineRule="auto"/>
        <w:ind w:left="1077" w:hanging="1077"/>
        <w:rPr>
          <w:rFonts w:cs="Arial"/>
          <w:szCs w:val="20"/>
        </w:rPr>
      </w:pPr>
      <w:r w:rsidRPr="00416677">
        <w:rPr>
          <w:rFonts w:cs="Arial"/>
          <w:szCs w:val="20"/>
        </w:rPr>
        <w:t>Tablica 5. Zalecane ilości pozostałego lepiszcza (po odparowaniu wody) do skropienia emulsją asfaltową podłoża z mieszanki mineralno-asfaltowej [kg/m</w:t>
      </w:r>
      <w:r w:rsidRPr="00416677">
        <w:rPr>
          <w:rFonts w:cs="Arial"/>
          <w:szCs w:val="20"/>
          <w:vertAlign w:val="superscript"/>
        </w:rPr>
        <w:t>2</w:t>
      </w:r>
      <w:r w:rsidRPr="00416677">
        <w:rPr>
          <w:rFonts w:cs="Arial"/>
          <w:szCs w:val="20"/>
        </w:rPr>
        <w:t>] (uwaga- przyjęto dla emulsji kationowej o zawartości asfaltu 60%, wg Załącznika krajowego NA [22] do normy PN-EN 13808 [21], rodzaje C60B3 ZM, C60BP3ZM)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416677" w:rsidRPr="00416677" w14:paraId="5F7FF71E" w14:textId="77777777" w:rsidTr="007B6855">
        <w:tc>
          <w:tcPr>
            <w:tcW w:w="3570" w:type="dxa"/>
            <w:gridSpan w:val="2"/>
            <w:vAlign w:val="center"/>
          </w:tcPr>
          <w:p w14:paraId="76D03558" w14:textId="77777777" w:rsidR="00416677" w:rsidRPr="00416677" w:rsidRDefault="00416677" w:rsidP="00416677">
            <w:pPr>
              <w:spacing w:before="60" w:after="60" w:line="240" w:lineRule="auto"/>
              <w:jc w:val="center"/>
              <w:rPr>
                <w:rFonts w:cs="Arial"/>
                <w:szCs w:val="20"/>
              </w:rPr>
            </w:pPr>
            <w:r w:rsidRPr="00416677">
              <w:rPr>
                <w:rFonts w:cs="Arial"/>
                <w:szCs w:val="20"/>
              </w:rPr>
              <w:t>Podłoże pod układaną warstwę asfaltową</w:t>
            </w:r>
          </w:p>
        </w:tc>
        <w:tc>
          <w:tcPr>
            <w:tcW w:w="5357" w:type="dxa"/>
            <w:gridSpan w:val="3"/>
            <w:vAlign w:val="center"/>
          </w:tcPr>
          <w:p w14:paraId="2C9B5E5E" w14:textId="77777777" w:rsidR="00416677" w:rsidRPr="00416677" w:rsidRDefault="00416677" w:rsidP="00416677">
            <w:pPr>
              <w:spacing w:before="60" w:after="60" w:line="240" w:lineRule="auto"/>
              <w:jc w:val="center"/>
              <w:rPr>
                <w:rFonts w:cs="Arial"/>
                <w:szCs w:val="20"/>
              </w:rPr>
            </w:pPr>
            <w:r w:rsidRPr="00416677">
              <w:rPr>
                <w:rFonts w:cs="Arial"/>
                <w:szCs w:val="20"/>
              </w:rPr>
              <w:t>Układana warstwa</w:t>
            </w:r>
          </w:p>
        </w:tc>
      </w:tr>
      <w:tr w:rsidR="00416677" w:rsidRPr="00416677" w14:paraId="04415E44" w14:textId="77777777" w:rsidTr="007B6855">
        <w:tc>
          <w:tcPr>
            <w:tcW w:w="1785" w:type="dxa"/>
            <w:vAlign w:val="center"/>
          </w:tcPr>
          <w:p w14:paraId="4B3811DD" w14:textId="77777777" w:rsidR="00416677" w:rsidRPr="00416677" w:rsidRDefault="00416677" w:rsidP="00416677">
            <w:pPr>
              <w:spacing w:before="60" w:after="60" w:line="240" w:lineRule="auto"/>
              <w:jc w:val="center"/>
              <w:rPr>
                <w:rFonts w:cs="Arial"/>
                <w:szCs w:val="20"/>
              </w:rPr>
            </w:pPr>
            <w:r w:rsidRPr="00416677">
              <w:rPr>
                <w:rFonts w:cs="Arial"/>
                <w:szCs w:val="20"/>
              </w:rPr>
              <w:t>Rodzaj</w:t>
            </w:r>
          </w:p>
        </w:tc>
        <w:tc>
          <w:tcPr>
            <w:tcW w:w="1785" w:type="dxa"/>
            <w:vAlign w:val="center"/>
          </w:tcPr>
          <w:p w14:paraId="41122E91" w14:textId="77777777" w:rsidR="00416677" w:rsidRPr="00416677" w:rsidRDefault="00416677" w:rsidP="00416677">
            <w:pPr>
              <w:spacing w:before="60" w:after="60" w:line="240" w:lineRule="auto"/>
              <w:jc w:val="center"/>
              <w:rPr>
                <w:rFonts w:cs="Arial"/>
                <w:szCs w:val="20"/>
              </w:rPr>
            </w:pPr>
            <w:r w:rsidRPr="00416677">
              <w:rPr>
                <w:rFonts w:cs="Arial"/>
                <w:szCs w:val="20"/>
              </w:rPr>
              <w:t>cecha</w:t>
            </w:r>
          </w:p>
        </w:tc>
        <w:tc>
          <w:tcPr>
            <w:tcW w:w="1785" w:type="dxa"/>
            <w:vAlign w:val="center"/>
          </w:tcPr>
          <w:p w14:paraId="71913E00" w14:textId="77777777" w:rsidR="00416677" w:rsidRPr="00416677" w:rsidRDefault="00416677" w:rsidP="00416677">
            <w:pPr>
              <w:spacing w:before="60" w:after="60" w:line="240" w:lineRule="auto"/>
              <w:jc w:val="center"/>
              <w:rPr>
                <w:rFonts w:cs="Arial"/>
                <w:szCs w:val="20"/>
              </w:rPr>
            </w:pPr>
            <w:r w:rsidRPr="00416677">
              <w:rPr>
                <w:rFonts w:cs="Arial"/>
                <w:szCs w:val="20"/>
              </w:rPr>
              <w:t>Podbudowa asfaltowa</w:t>
            </w:r>
          </w:p>
        </w:tc>
        <w:tc>
          <w:tcPr>
            <w:tcW w:w="1786" w:type="dxa"/>
            <w:vAlign w:val="center"/>
          </w:tcPr>
          <w:p w14:paraId="6C047138" w14:textId="77777777" w:rsidR="00416677" w:rsidRPr="00416677" w:rsidRDefault="00416677" w:rsidP="00416677">
            <w:pPr>
              <w:spacing w:before="60" w:after="60" w:line="240" w:lineRule="auto"/>
              <w:jc w:val="center"/>
              <w:rPr>
                <w:rFonts w:cs="Arial"/>
                <w:szCs w:val="20"/>
              </w:rPr>
            </w:pPr>
            <w:r w:rsidRPr="00416677">
              <w:rPr>
                <w:rFonts w:cs="Arial"/>
                <w:szCs w:val="20"/>
              </w:rPr>
              <w:t>wiążąca</w:t>
            </w:r>
          </w:p>
        </w:tc>
        <w:tc>
          <w:tcPr>
            <w:tcW w:w="1786" w:type="dxa"/>
            <w:vAlign w:val="center"/>
          </w:tcPr>
          <w:p w14:paraId="01786EDA" w14:textId="77777777" w:rsidR="00416677" w:rsidRPr="00416677" w:rsidRDefault="00416677" w:rsidP="00416677">
            <w:pPr>
              <w:spacing w:before="60" w:after="60" w:line="240" w:lineRule="auto"/>
              <w:jc w:val="center"/>
              <w:rPr>
                <w:rFonts w:cs="Arial"/>
                <w:szCs w:val="20"/>
              </w:rPr>
            </w:pPr>
            <w:r w:rsidRPr="00416677">
              <w:rPr>
                <w:rFonts w:cs="Arial"/>
                <w:szCs w:val="20"/>
              </w:rPr>
              <w:t>Ścieralna z SMA lub z AC</w:t>
            </w:r>
          </w:p>
        </w:tc>
      </w:tr>
      <w:tr w:rsidR="00416677" w:rsidRPr="00416677" w14:paraId="142C016D" w14:textId="77777777" w:rsidTr="007B6855">
        <w:tc>
          <w:tcPr>
            <w:tcW w:w="8927" w:type="dxa"/>
            <w:gridSpan w:val="5"/>
          </w:tcPr>
          <w:p w14:paraId="5ACA0B9A" w14:textId="77777777" w:rsidR="00416677" w:rsidRPr="00416677" w:rsidRDefault="00416677" w:rsidP="00416677">
            <w:pPr>
              <w:spacing w:before="120" w:after="120" w:line="240" w:lineRule="auto"/>
              <w:rPr>
                <w:rFonts w:cs="Arial"/>
                <w:szCs w:val="20"/>
              </w:rPr>
            </w:pPr>
            <w:r w:rsidRPr="00416677">
              <w:rPr>
                <w:rFonts w:cs="Arial"/>
                <w:szCs w:val="20"/>
              </w:rPr>
              <w:t>Dla dróg kategorii ruchu od KR3 do KR7 – rodzaj emulsji C60BP3 ZM*</w:t>
            </w:r>
          </w:p>
        </w:tc>
      </w:tr>
      <w:tr w:rsidR="00416677" w:rsidRPr="00416677" w14:paraId="7BFD3B87" w14:textId="77777777" w:rsidTr="007B6855">
        <w:tc>
          <w:tcPr>
            <w:tcW w:w="1785" w:type="dxa"/>
            <w:vMerge w:val="restart"/>
          </w:tcPr>
          <w:p w14:paraId="773F6B17" w14:textId="77777777" w:rsidR="00416677" w:rsidRPr="00416677" w:rsidRDefault="00416677" w:rsidP="00416677">
            <w:pPr>
              <w:spacing w:line="240" w:lineRule="auto"/>
              <w:rPr>
                <w:rFonts w:cs="Arial"/>
                <w:szCs w:val="20"/>
              </w:rPr>
            </w:pPr>
            <w:r w:rsidRPr="00416677">
              <w:rPr>
                <w:rFonts w:cs="Arial"/>
                <w:szCs w:val="20"/>
              </w:rPr>
              <w:t>Warstwa podbudowy asfaltowej</w:t>
            </w:r>
          </w:p>
        </w:tc>
        <w:tc>
          <w:tcPr>
            <w:tcW w:w="1785" w:type="dxa"/>
          </w:tcPr>
          <w:p w14:paraId="56FC4FE9" w14:textId="77777777" w:rsidR="00416677" w:rsidRPr="00416677" w:rsidRDefault="00416677" w:rsidP="00416677">
            <w:pPr>
              <w:spacing w:line="240" w:lineRule="auto"/>
              <w:rPr>
                <w:rFonts w:cs="Arial"/>
                <w:szCs w:val="20"/>
              </w:rPr>
            </w:pPr>
            <w:r w:rsidRPr="00416677">
              <w:rPr>
                <w:rFonts w:cs="Arial"/>
                <w:szCs w:val="20"/>
              </w:rPr>
              <w:t>Nowo wykonana</w:t>
            </w:r>
          </w:p>
        </w:tc>
        <w:tc>
          <w:tcPr>
            <w:tcW w:w="1785" w:type="dxa"/>
          </w:tcPr>
          <w:p w14:paraId="28926F8B" w14:textId="77777777" w:rsidR="00416677" w:rsidRPr="00416677" w:rsidRDefault="00416677" w:rsidP="00416677">
            <w:pPr>
              <w:spacing w:line="240" w:lineRule="auto"/>
              <w:jc w:val="center"/>
              <w:rPr>
                <w:rFonts w:cs="Arial"/>
                <w:szCs w:val="20"/>
              </w:rPr>
            </w:pPr>
            <w:r w:rsidRPr="00416677">
              <w:rPr>
                <w:rFonts w:cs="Arial"/>
                <w:szCs w:val="20"/>
              </w:rPr>
              <w:t>0,2÷0,4</w:t>
            </w:r>
          </w:p>
        </w:tc>
        <w:tc>
          <w:tcPr>
            <w:tcW w:w="1786" w:type="dxa"/>
          </w:tcPr>
          <w:p w14:paraId="14CDEF6E"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3B6710D3" w14:textId="77777777" w:rsidR="00416677" w:rsidRPr="00416677" w:rsidRDefault="00416677" w:rsidP="00416677">
            <w:pPr>
              <w:spacing w:line="240" w:lineRule="auto"/>
              <w:jc w:val="center"/>
              <w:rPr>
                <w:rFonts w:cs="Arial"/>
                <w:szCs w:val="20"/>
              </w:rPr>
            </w:pPr>
            <w:r w:rsidRPr="00416677">
              <w:rPr>
                <w:rFonts w:cs="Arial"/>
                <w:szCs w:val="20"/>
              </w:rPr>
              <w:t>X</w:t>
            </w:r>
          </w:p>
        </w:tc>
      </w:tr>
      <w:tr w:rsidR="00416677" w:rsidRPr="00416677" w14:paraId="7D867932" w14:textId="77777777" w:rsidTr="007B6855">
        <w:tc>
          <w:tcPr>
            <w:tcW w:w="1785" w:type="dxa"/>
            <w:vMerge/>
          </w:tcPr>
          <w:p w14:paraId="3CE191D2" w14:textId="77777777" w:rsidR="00416677" w:rsidRPr="00416677" w:rsidRDefault="00416677" w:rsidP="00416677">
            <w:pPr>
              <w:spacing w:line="240" w:lineRule="auto"/>
              <w:rPr>
                <w:rFonts w:cs="Arial"/>
                <w:szCs w:val="20"/>
              </w:rPr>
            </w:pPr>
          </w:p>
        </w:tc>
        <w:tc>
          <w:tcPr>
            <w:tcW w:w="1785" w:type="dxa"/>
          </w:tcPr>
          <w:p w14:paraId="34A3EECB" w14:textId="77777777" w:rsidR="00416677" w:rsidRPr="00416677" w:rsidRDefault="00416677" w:rsidP="00416677">
            <w:pPr>
              <w:spacing w:line="240" w:lineRule="auto"/>
              <w:rPr>
                <w:rFonts w:cs="Arial"/>
                <w:szCs w:val="20"/>
              </w:rPr>
            </w:pPr>
            <w:r w:rsidRPr="00416677">
              <w:rPr>
                <w:rFonts w:cs="Arial"/>
                <w:szCs w:val="20"/>
              </w:rPr>
              <w:t>Frezowana</w:t>
            </w:r>
          </w:p>
        </w:tc>
        <w:tc>
          <w:tcPr>
            <w:tcW w:w="1785" w:type="dxa"/>
          </w:tcPr>
          <w:p w14:paraId="100CC2DB"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549C0E9E"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01E9B30C" w14:textId="77777777" w:rsidR="00416677" w:rsidRPr="00416677" w:rsidRDefault="00416677" w:rsidP="00416677">
            <w:pPr>
              <w:spacing w:line="240" w:lineRule="auto"/>
              <w:jc w:val="center"/>
              <w:rPr>
                <w:rFonts w:cs="Arial"/>
                <w:szCs w:val="20"/>
              </w:rPr>
            </w:pPr>
            <w:r w:rsidRPr="00416677">
              <w:rPr>
                <w:rFonts w:cs="Arial"/>
                <w:szCs w:val="20"/>
              </w:rPr>
              <w:t>X</w:t>
            </w:r>
          </w:p>
        </w:tc>
      </w:tr>
      <w:tr w:rsidR="00416677" w:rsidRPr="00416677" w14:paraId="497494AF" w14:textId="77777777" w:rsidTr="007B6855">
        <w:tc>
          <w:tcPr>
            <w:tcW w:w="1785" w:type="dxa"/>
            <w:vMerge/>
          </w:tcPr>
          <w:p w14:paraId="2AE468F5" w14:textId="77777777" w:rsidR="00416677" w:rsidRPr="00416677" w:rsidRDefault="00416677" w:rsidP="00416677">
            <w:pPr>
              <w:spacing w:line="240" w:lineRule="auto"/>
              <w:rPr>
                <w:rFonts w:cs="Arial"/>
                <w:szCs w:val="20"/>
              </w:rPr>
            </w:pPr>
          </w:p>
        </w:tc>
        <w:tc>
          <w:tcPr>
            <w:tcW w:w="1785" w:type="dxa"/>
          </w:tcPr>
          <w:p w14:paraId="179B37E1" w14:textId="77777777" w:rsidR="00416677" w:rsidRPr="00416677" w:rsidRDefault="00416677" w:rsidP="00416677">
            <w:pPr>
              <w:spacing w:line="240" w:lineRule="auto"/>
              <w:rPr>
                <w:rFonts w:cs="Arial"/>
                <w:szCs w:val="20"/>
              </w:rPr>
            </w:pPr>
            <w:r w:rsidRPr="00416677">
              <w:rPr>
                <w:rFonts w:cs="Arial"/>
                <w:szCs w:val="20"/>
              </w:rPr>
              <w:t>Porowata lub w złym stanie</w:t>
            </w:r>
          </w:p>
        </w:tc>
        <w:tc>
          <w:tcPr>
            <w:tcW w:w="1785" w:type="dxa"/>
          </w:tcPr>
          <w:p w14:paraId="38BB610B" w14:textId="77777777" w:rsidR="00416677" w:rsidRPr="00416677" w:rsidRDefault="00416677" w:rsidP="00416677">
            <w:pPr>
              <w:spacing w:line="240" w:lineRule="auto"/>
              <w:jc w:val="center"/>
              <w:rPr>
                <w:rFonts w:cs="Arial"/>
                <w:szCs w:val="20"/>
              </w:rPr>
            </w:pPr>
            <w:r w:rsidRPr="00416677">
              <w:rPr>
                <w:rFonts w:cs="Arial"/>
                <w:szCs w:val="20"/>
              </w:rPr>
              <w:t>0,3÷0,6</w:t>
            </w:r>
          </w:p>
        </w:tc>
        <w:tc>
          <w:tcPr>
            <w:tcW w:w="1786" w:type="dxa"/>
          </w:tcPr>
          <w:p w14:paraId="0786C694" w14:textId="77777777" w:rsidR="00416677" w:rsidRPr="00416677" w:rsidRDefault="00416677" w:rsidP="00416677">
            <w:pPr>
              <w:spacing w:line="240" w:lineRule="auto"/>
              <w:jc w:val="center"/>
              <w:rPr>
                <w:rFonts w:cs="Arial"/>
                <w:szCs w:val="20"/>
              </w:rPr>
            </w:pPr>
            <w:r w:rsidRPr="00416677">
              <w:rPr>
                <w:rFonts w:cs="Arial"/>
                <w:szCs w:val="20"/>
              </w:rPr>
              <w:t>0,3÷0,7</w:t>
            </w:r>
          </w:p>
        </w:tc>
        <w:tc>
          <w:tcPr>
            <w:tcW w:w="1786" w:type="dxa"/>
          </w:tcPr>
          <w:p w14:paraId="587CDE9A" w14:textId="77777777" w:rsidR="00416677" w:rsidRPr="00416677" w:rsidRDefault="00416677" w:rsidP="00416677">
            <w:pPr>
              <w:spacing w:line="240" w:lineRule="auto"/>
              <w:jc w:val="center"/>
              <w:rPr>
                <w:rFonts w:cs="Arial"/>
                <w:szCs w:val="20"/>
              </w:rPr>
            </w:pPr>
            <w:r w:rsidRPr="00416677">
              <w:rPr>
                <w:rFonts w:cs="Arial"/>
                <w:szCs w:val="20"/>
              </w:rPr>
              <w:t>X</w:t>
            </w:r>
          </w:p>
        </w:tc>
      </w:tr>
      <w:tr w:rsidR="00416677" w:rsidRPr="00416677" w14:paraId="48AEC8BA" w14:textId="77777777" w:rsidTr="007B6855">
        <w:tc>
          <w:tcPr>
            <w:tcW w:w="1785" w:type="dxa"/>
            <w:vMerge w:val="restart"/>
          </w:tcPr>
          <w:p w14:paraId="1878D624" w14:textId="77777777" w:rsidR="00416677" w:rsidRPr="00416677" w:rsidRDefault="00416677" w:rsidP="00416677">
            <w:pPr>
              <w:spacing w:line="240" w:lineRule="auto"/>
              <w:rPr>
                <w:rFonts w:cs="Arial"/>
                <w:szCs w:val="20"/>
              </w:rPr>
            </w:pPr>
            <w:r w:rsidRPr="00416677">
              <w:rPr>
                <w:rFonts w:cs="Arial"/>
                <w:szCs w:val="20"/>
              </w:rPr>
              <w:t>Warstwa wiążąca</w:t>
            </w:r>
          </w:p>
        </w:tc>
        <w:tc>
          <w:tcPr>
            <w:tcW w:w="1785" w:type="dxa"/>
          </w:tcPr>
          <w:p w14:paraId="6EBBF160" w14:textId="77777777" w:rsidR="00416677" w:rsidRPr="00416677" w:rsidRDefault="00416677" w:rsidP="00416677">
            <w:pPr>
              <w:spacing w:line="240" w:lineRule="auto"/>
              <w:rPr>
                <w:rFonts w:cs="Arial"/>
                <w:szCs w:val="20"/>
              </w:rPr>
            </w:pPr>
            <w:r w:rsidRPr="00416677">
              <w:rPr>
                <w:rFonts w:cs="Arial"/>
                <w:szCs w:val="20"/>
              </w:rPr>
              <w:t>Nowo wykonana</w:t>
            </w:r>
          </w:p>
        </w:tc>
        <w:tc>
          <w:tcPr>
            <w:tcW w:w="1785" w:type="dxa"/>
          </w:tcPr>
          <w:p w14:paraId="3B27E8F6" w14:textId="77777777" w:rsidR="00416677" w:rsidRPr="00416677" w:rsidRDefault="00416677" w:rsidP="00416677">
            <w:pPr>
              <w:spacing w:line="240" w:lineRule="auto"/>
              <w:jc w:val="center"/>
              <w:rPr>
                <w:rFonts w:cs="Arial"/>
                <w:szCs w:val="20"/>
              </w:rPr>
            </w:pPr>
            <w:r w:rsidRPr="00416677">
              <w:rPr>
                <w:rFonts w:cs="Arial"/>
                <w:szCs w:val="20"/>
              </w:rPr>
              <w:t>-</w:t>
            </w:r>
          </w:p>
        </w:tc>
        <w:tc>
          <w:tcPr>
            <w:tcW w:w="1786" w:type="dxa"/>
          </w:tcPr>
          <w:p w14:paraId="0520ED3A" w14:textId="77777777" w:rsidR="00416677" w:rsidRPr="00416677" w:rsidRDefault="00416677" w:rsidP="00416677">
            <w:pPr>
              <w:spacing w:line="240" w:lineRule="auto"/>
              <w:jc w:val="center"/>
              <w:rPr>
                <w:rFonts w:cs="Arial"/>
                <w:szCs w:val="20"/>
              </w:rPr>
            </w:pPr>
            <w:r w:rsidRPr="00416677">
              <w:rPr>
                <w:rFonts w:cs="Arial"/>
                <w:szCs w:val="20"/>
              </w:rPr>
              <w:t>X</w:t>
            </w:r>
          </w:p>
        </w:tc>
        <w:tc>
          <w:tcPr>
            <w:tcW w:w="1786" w:type="dxa"/>
          </w:tcPr>
          <w:p w14:paraId="5B3984F6" w14:textId="77777777" w:rsidR="00416677" w:rsidRPr="00416677" w:rsidRDefault="00416677" w:rsidP="00416677">
            <w:pPr>
              <w:spacing w:line="240" w:lineRule="auto"/>
              <w:jc w:val="center"/>
              <w:rPr>
                <w:rFonts w:cs="Arial"/>
                <w:szCs w:val="20"/>
              </w:rPr>
            </w:pPr>
            <w:r w:rsidRPr="00416677">
              <w:rPr>
                <w:rFonts w:cs="Arial"/>
                <w:szCs w:val="20"/>
              </w:rPr>
              <w:t>0,2÷0,4</w:t>
            </w:r>
          </w:p>
        </w:tc>
      </w:tr>
      <w:tr w:rsidR="00416677" w:rsidRPr="00416677" w14:paraId="4FC1DD7B" w14:textId="77777777" w:rsidTr="007B6855">
        <w:tc>
          <w:tcPr>
            <w:tcW w:w="1785" w:type="dxa"/>
            <w:vMerge/>
          </w:tcPr>
          <w:p w14:paraId="74576EF8" w14:textId="77777777" w:rsidR="00416677" w:rsidRPr="00416677" w:rsidRDefault="00416677" w:rsidP="00416677">
            <w:pPr>
              <w:spacing w:line="240" w:lineRule="auto"/>
              <w:rPr>
                <w:rFonts w:cs="Arial"/>
                <w:szCs w:val="20"/>
              </w:rPr>
            </w:pPr>
          </w:p>
        </w:tc>
        <w:tc>
          <w:tcPr>
            <w:tcW w:w="1785" w:type="dxa"/>
          </w:tcPr>
          <w:p w14:paraId="59491368" w14:textId="77777777" w:rsidR="00416677" w:rsidRPr="00416677" w:rsidRDefault="00416677" w:rsidP="00416677">
            <w:pPr>
              <w:spacing w:line="240" w:lineRule="auto"/>
              <w:rPr>
                <w:rFonts w:cs="Arial"/>
                <w:szCs w:val="20"/>
              </w:rPr>
            </w:pPr>
            <w:r w:rsidRPr="00416677">
              <w:rPr>
                <w:rFonts w:cs="Arial"/>
                <w:szCs w:val="20"/>
              </w:rPr>
              <w:t>frezowana</w:t>
            </w:r>
          </w:p>
        </w:tc>
        <w:tc>
          <w:tcPr>
            <w:tcW w:w="1785" w:type="dxa"/>
          </w:tcPr>
          <w:p w14:paraId="637A6B99" w14:textId="77777777" w:rsidR="00416677" w:rsidRPr="00416677" w:rsidRDefault="00416677" w:rsidP="00416677">
            <w:pPr>
              <w:spacing w:line="240" w:lineRule="auto"/>
              <w:jc w:val="center"/>
              <w:rPr>
                <w:rFonts w:cs="Arial"/>
                <w:szCs w:val="20"/>
              </w:rPr>
            </w:pPr>
            <w:r w:rsidRPr="00416677">
              <w:rPr>
                <w:rFonts w:cs="Arial"/>
                <w:szCs w:val="20"/>
              </w:rPr>
              <w:t>-</w:t>
            </w:r>
          </w:p>
        </w:tc>
        <w:tc>
          <w:tcPr>
            <w:tcW w:w="1786" w:type="dxa"/>
          </w:tcPr>
          <w:p w14:paraId="6A7EBF38"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1B7AC41A" w14:textId="77777777" w:rsidR="00416677" w:rsidRPr="00416677" w:rsidRDefault="00416677" w:rsidP="00416677">
            <w:pPr>
              <w:spacing w:line="240" w:lineRule="auto"/>
              <w:jc w:val="center"/>
              <w:rPr>
                <w:rFonts w:cs="Arial"/>
                <w:szCs w:val="20"/>
              </w:rPr>
            </w:pPr>
            <w:r w:rsidRPr="00416677">
              <w:rPr>
                <w:rFonts w:cs="Arial"/>
                <w:szCs w:val="20"/>
              </w:rPr>
              <w:t>0,3÷0,5</w:t>
            </w:r>
          </w:p>
        </w:tc>
      </w:tr>
      <w:tr w:rsidR="00416677" w:rsidRPr="00416677" w14:paraId="33C5AD6E" w14:textId="77777777" w:rsidTr="007B6855">
        <w:tc>
          <w:tcPr>
            <w:tcW w:w="1785" w:type="dxa"/>
            <w:vMerge/>
          </w:tcPr>
          <w:p w14:paraId="5B5A8ED3" w14:textId="77777777" w:rsidR="00416677" w:rsidRPr="00416677" w:rsidRDefault="00416677" w:rsidP="00416677">
            <w:pPr>
              <w:spacing w:line="240" w:lineRule="auto"/>
              <w:rPr>
                <w:rFonts w:cs="Arial"/>
                <w:szCs w:val="20"/>
              </w:rPr>
            </w:pPr>
          </w:p>
        </w:tc>
        <w:tc>
          <w:tcPr>
            <w:tcW w:w="1785" w:type="dxa"/>
          </w:tcPr>
          <w:p w14:paraId="3C261802" w14:textId="77777777" w:rsidR="00416677" w:rsidRPr="00416677" w:rsidRDefault="00416677" w:rsidP="00416677">
            <w:pPr>
              <w:spacing w:line="240" w:lineRule="auto"/>
              <w:rPr>
                <w:rFonts w:cs="Arial"/>
                <w:szCs w:val="20"/>
              </w:rPr>
            </w:pPr>
            <w:r w:rsidRPr="00416677">
              <w:rPr>
                <w:rFonts w:cs="Arial"/>
                <w:szCs w:val="20"/>
              </w:rPr>
              <w:t>Porowata lub w złym stanie</w:t>
            </w:r>
          </w:p>
        </w:tc>
        <w:tc>
          <w:tcPr>
            <w:tcW w:w="1785" w:type="dxa"/>
          </w:tcPr>
          <w:p w14:paraId="1C73D906" w14:textId="77777777" w:rsidR="00416677" w:rsidRPr="00416677" w:rsidRDefault="00416677" w:rsidP="00416677">
            <w:pPr>
              <w:spacing w:line="240" w:lineRule="auto"/>
              <w:jc w:val="center"/>
              <w:rPr>
                <w:rFonts w:cs="Arial"/>
                <w:szCs w:val="20"/>
              </w:rPr>
            </w:pPr>
            <w:r w:rsidRPr="00416677">
              <w:rPr>
                <w:rFonts w:cs="Arial"/>
                <w:szCs w:val="20"/>
              </w:rPr>
              <w:t>-</w:t>
            </w:r>
          </w:p>
        </w:tc>
        <w:tc>
          <w:tcPr>
            <w:tcW w:w="1786" w:type="dxa"/>
          </w:tcPr>
          <w:p w14:paraId="23597BEB" w14:textId="77777777" w:rsidR="00416677" w:rsidRPr="00416677" w:rsidRDefault="00416677" w:rsidP="00416677">
            <w:pPr>
              <w:spacing w:line="240" w:lineRule="auto"/>
              <w:jc w:val="center"/>
              <w:rPr>
                <w:rFonts w:cs="Arial"/>
                <w:szCs w:val="20"/>
              </w:rPr>
            </w:pPr>
            <w:r w:rsidRPr="00416677">
              <w:rPr>
                <w:rFonts w:cs="Arial"/>
                <w:szCs w:val="20"/>
              </w:rPr>
              <w:t>0,3÷0,7</w:t>
            </w:r>
          </w:p>
        </w:tc>
        <w:tc>
          <w:tcPr>
            <w:tcW w:w="1786" w:type="dxa"/>
          </w:tcPr>
          <w:p w14:paraId="3AF3BDD0" w14:textId="77777777" w:rsidR="00416677" w:rsidRPr="00416677" w:rsidRDefault="00416677" w:rsidP="00416677">
            <w:pPr>
              <w:spacing w:line="240" w:lineRule="auto"/>
              <w:jc w:val="center"/>
              <w:rPr>
                <w:rFonts w:cs="Arial"/>
                <w:szCs w:val="20"/>
              </w:rPr>
            </w:pPr>
            <w:r w:rsidRPr="00416677">
              <w:rPr>
                <w:rFonts w:cs="Arial"/>
                <w:szCs w:val="20"/>
              </w:rPr>
              <w:t>0,3÷0,5</w:t>
            </w:r>
          </w:p>
        </w:tc>
      </w:tr>
      <w:tr w:rsidR="00416677" w:rsidRPr="00416677" w14:paraId="35906830" w14:textId="77777777" w:rsidTr="007B6855">
        <w:tc>
          <w:tcPr>
            <w:tcW w:w="1785" w:type="dxa"/>
            <w:vMerge w:val="restart"/>
          </w:tcPr>
          <w:p w14:paraId="419B18C5" w14:textId="77777777" w:rsidR="00416677" w:rsidRPr="00416677" w:rsidRDefault="00416677" w:rsidP="00416677">
            <w:pPr>
              <w:spacing w:line="240" w:lineRule="auto"/>
              <w:rPr>
                <w:rFonts w:cs="Arial"/>
                <w:szCs w:val="20"/>
              </w:rPr>
            </w:pPr>
            <w:r w:rsidRPr="00416677">
              <w:rPr>
                <w:rFonts w:cs="Arial"/>
                <w:szCs w:val="20"/>
              </w:rPr>
              <w:t>Stara nawierzchnia asfaltowa</w:t>
            </w:r>
          </w:p>
        </w:tc>
        <w:tc>
          <w:tcPr>
            <w:tcW w:w="1785" w:type="dxa"/>
          </w:tcPr>
          <w:p w14:paraId="7612262A" w14:textId="77777777" w:rsidR="00416677" w:rsidRPr="00416677" w:rsidRDefault="00416677" w:rsidP="00416677">
            <w:pPr>
              <w:spacing w:line="240" w:lineRule="auto"/>
              <w:rPr>
                <w:rFonts w:cs="Arial"/>
                <w:szCs w:val="20"/>
              </w:rPr>
            </w:pPr>
            <w:r w:rsidRPr="00416677">
              <w:rPr>
                <w:rFonts w:cs="Arial"/>
                <w:szCs w:val="20"/>
              </w:rPr>
              <w:t>frezowana</w:t>
            </w:r>
          </w:p>
        </w:tc>
        <w:tc>
          <w:tcPr>
            <w:tcW w:w="1785" w:type="dxa"/>
          </w:tcPr>
          <w:p w14:paraId="314F08FA"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40183211"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7B458872" w14:textId="77777777" w:rsidR="00416677" w:rsidRPr="00416677" w:rsidRDefault="00416677" w:rsidP="00416677">
            <w:pPr>
              <w:spacing w:line="240" w:lineRule="auto"/>
              <w:jc w:val="center"/>
              <w:rPr>
                <w:rFonts w:cs="Arial"/>
                <w:szCs w:val="20"/>
              </w:rPr>
            </w:pPr>
            <w:r w:rsidRPr="00416677">
              <w:rPr>
                <w:rFonts w:cs="Arial"/>
                <w:szCs w:val="20"/>
              </w:rPr>
              <w:t>0,3÷0,5</w:t>
            </w:r>
          </w:p>
        </w:tc>
      </w:tr>
      <w:tr w:rsidR="00416677" w:rsidRPr="00416677" w14:paraId="3F530339" w14:textId="77777777" w:rsidTr="007B6855">
        <w:tc>
          <w:tcPr>
            <w:tcW w:w="1785" w:type="dxa"/>
            <w:vMerge/>
          </w:tcPr>
          <w:p w14:paraId="7FF9CD21" w14:textId="77777777" w:rsidR="00416677" w:rsidRPr="00416677" w:rsidRDefault="00416677" w:rsidP="00416677">
            <w:pPr>
              <w:spacing w:line="240" w:lineRule="auto"/>
              <w:rPr>
                <w:rFonts w:cs="Arial"/>
                <w:szCs w:val="20"/>
              </w:rPr>
            </w:pPr>
          </w:p>
        </w:tc>
        <w:tc>
          <w:tcPr>
            <w:tcW w:w="1785" w:type="dxa"/>
          </w:tcPr>
          <w:p w14:paraId="2D3F6712" w14:textId="77777777" w:rsidR="00416677" w:rsidRPr="00416677" w:rsidRDefault="00416677" w:rsidP="00416677">
            <w:pPr>
              <w:spacing w:line="240" w:lineRule="auto"/>
              <w:rPr>
                <w:rFonts w:cs="Arial"/>
                <w:szCs w:val="20"/>
              </w:rPr>
            </w:pPr>
            <w:r w:rsidRPr="00416677">
              <w:rPr>
                <w:rFonts w:cs="Arial"/>
                <w:szCs w:val="20"/>
              </w:rPr>
              <w:t>Porowata lub w złym stanie</w:t>
            </w:r>
          </w:p>
        </w:tc>
        <w:tc>
          <w:tcPr>
            <w:tcW w:w="1785" w:type="dxa"/>
          </w:tcPr>
          <w:p w14:paraId="7461EF95" w14:textId="77777777" w:rsidR="00416677" w:rsidRPr="00416677" w:rsidRDefault="00416677" w:rsidP="00416677">
            <w:pPr>
              <w:spacing w:line="240" w:lineRule="auto"/>
              <w:jc w:val="center"/>
              <w:rPr>
                <w:rFonts w:cs="Arial"/>
                <w:szCs w:val="20"/>
              </w:rPr>
            </w:pPr>
            <w:r w:rsidRPr="00416677">
              <w:rPr>
                <w:rFonts w:cs="Arial"/>
                <w:szCs w:val="20"/>
              </w:rPr>
              <w:t>0,3÷0,6</w:t>
            </w:r>
          </w:p>
        </w:tc>
        <w:tc>
          <w:tcPr>
            <w:tcW w:w="1786" w:type="dxa"/>
          </w:tcPr>
          <w:p w14:paraId="6C31235C" w14:textId="77777777" w:rsidR="00416677" w:rsidRPr="00416677" w:rsidRDefault="00416677" w:rsidP="00416677">
            <w:pPr>
              <w:spacing w:line="240" w:lineRule="auto"/>
              <w:jc w:val="center"/>
              <w:rPr>
                <w:rFonts w:cs="Arial"/>
                <w:szCs w:val="20"/>
              </w:rPr>
            </w:pPr>
            <w:r w:rsidRPr="00416677">
              <w:rPr>
                <w:rFonts w:cs="Arial"/>
                <w:szCs w:val="20"/>
              </w:rPr>
              <w:t>0,3÷0,7</w:t>
            </w:r>
          </w:p>
        </w:tc>
        <w:tc>
          <w:tcPr>
            <w:tcW w:w="1786" w:type="dxa"/>
          </w:tcPr>
          <w:p w14:paraId="3426608E" w14:textId="77777777" w:rsidR="00416677" w:rsidRPr="00416677" w:rsidRDefault="00416677" w:rsidP="00416677">
            <w:pPr>
              <w:spacing w:line="240" w:lineRule="auto"/>
              <w:jc w:val="center"/>
              <w:rPr>
                <w:rFonts w:cs="Arial"/>
                <w:szCs w:val="20"/>
              </w:rPr>
            </w:pPr>
            <w:r w:rsidRPr="00416677">
              <w:rPr>
                <w:rFonts w:cs="Arial"/>
                <w:szCs w:val="20"/>
              </w:rPr>
              <w:t>-</w:t>
            </w:r>
          </w:p>
        </w:tc>
      </w:tr>
    </w:tbl>
    <w:p w14:paraId="5DFB11D5" w14:textId="77777777" w:rsidR="00416677" w:rsidRPr="00416677" w:rsidRDefault="00416677" w:rsidP="00416677">
      <w:pPr>
        <w:spacing w:line="240" w:lineRule="auto"/>
        <w:rPr>
          <w:rFonts w:cs="Arial"/>
          <w:szCs w:val="20"/>
        </w:rPr>
      </w:pPr>
    </w:p>
    <w:p w14:paraId="03E7EFAD" w14:textId="77777777" w:rsidR="00416677" w:rsidRPr="00416677" w:rsidRDefault="00416677" w:rsidP="00416677">
      <w:pPr>
        <w:spacing w:line="240" w:lineRule="auto"/>
        <w:rPr>
          <w:rFonts w:cs="Arial"/>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416677" w:rsidRPr="00416677" w14:paraId="4F33028F" w14:textId="77777777" w:rsidTr="007B6855">
        <w:tc>
          <w:tcPr>
            <w:tcW w:w="8927" w:type="dxa"/>
            <w:gridSpan w:val="5"/>
          </w:tcPr>
          <w:p w14:paraId="73E26469" w14:textId="77777777" w:rsidR="00416677" w:rsidRPr="00416677" w:rsidRDefault="00416677" w:rsidP="00416677">
            <w:pPr>
              <w:spacing w:before="120" w:after="120" w:line="240" w:lineRule="auto"/>
              <w:rPr>
                <w:rFonts w:cs="Arial"/>
                <w:szCs w:val="20"/>
              </w:rPr>
            </w:pPr>
            <w:r w:rsidRPr="00416677">
              <w:rPr>
                <w:rFonts w:cs="Arial"/>
                <w:szCs w:val="20"/>
              </w:rPr>
              <w:t>Dla dróg kategorii ruchu od KR1 do KR2 – rodzaj emulsji C60B3ZM</w:t>
            </w:r>
          </w:p>
        </w:tc>
      </w:tr>
      <w:tr w:rsidR="00416677" w:rsidRPr="00416677" w14:paraId="276F7792" w14:textId="77777777" w:rsidTr="007B6855">
        <w:tc>
          <w:tcPr>
            <w:tcW w:w="1785" w:type="dxa"/>
            <w:vMerge w:val="restart"/>
          </w:tcPr>
          <w:p w14:paraId="72F60FDF" w14:textId="77777777" w:rsidR="00416677" w:rsidRPr="00416677" w:rsidRDefault="00416677" w:rsidP="00416677">
            <w:pPr>
              <w:spacing w:line="240" w:lineRule="auto"/>
              <w:rPr>
                <w:rFonts w:cs="Arial"/>
                <w:szCs w:val="20"/>
              </w:rPr>
            </w:pPr>
            <w:r w:rsidRPr="00416677">
              <w:rPr>
                <w:rFonts w:cs="Arial"/>
                <w:szCs w:val="20"/>
              </w:rPr>
              <w:t>Warstwa podbudowy asfaltowej lub stara nawierzchnia asfaltowa</w:t>
            </w:r>
          </w:p>
        </w:tc>
        <w:tc>
          <w:tcPr>
            <w:tcW w:w="1785" w:type="dxa"/>
          </w:tcPr>
          <w:p w14:paraId="64CBDBBD" w14:textId="77777777" w:rsidR="00416677" w:rsidRPr="00416677" w:rsidRDefault="00416677" w:rsidP="00416677">
            <w:pPr>
              <w:spacing w:line="240" w:lineRule="auto"/>
              <w:rPr>
                <w:rFonts w:cs="Arial"/>
                <w:szCs w:val="20"/>
              </w:rPr>
            </w:pPr>
            <w:r w:rsidRPr="00416677">
              <w:rPr>
                <w:rFonts w:cs="Arial"/>
                <w:szCs w:val="20"/>
              </w:rPr>
              <w:t>Nowo wykonana podbudowa lub stara nawierzchnia szczelna</w:t>
            </w:r>
          </w:p>
        </w:tc>
        <w:tc>
          <w:tcPr>
            <w:tcW w:w="1785" w:type="dxa"/>
          </w:tcPr>
          <w:p w14:paraId="7BB9DA11" w14:textId="77777777" w:rsidR="00416677" w:rsidRPr="00416677" w:rsidRDefault="00416677" w:rsidP="00416677">
            <w:pPr>
              <w:spacing w:line="240" w:lineRule="auto"/>
              <w:jc w:val="center"/>
              <w:rPr>
                <w:rFonts w:cs="Arial"/>
                <w:szCs w:val="20"/>
              </w:rPr>
            </w:pPr>
            <w:r w:rsidRPr="00416677">
              <w:rPr>
                <w:rFonts w:cs="Arial"/>
                <w:szCs w:val="20"/>
              </w:rPr>
              <w:t>0,2÷0,4</w:t>
            </w:r>
          </w:p>
        </w:tc>
        <w:tc>
          <w:tcPr>
            <w:tcW w:w="1786" w:type="dxa"/>
          </w:tcPr>
          <w:p w14:paraId="23EFBA69"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3ECF07EA" w14:textId="77777777" w:rsidR="00416677" w:rsidRPr="00416677" w:rsidRDefault="00416677" w:rsidP="00416677">
            <w:pPr>
              <w:spacing w:line="240" w:lineRule="auto"/>
              <w:jc w:val="center"/>
              <w:rPr>
                <w:rFonts w:cs="Arial"/>
                <w:szCs w:val="20"/>
              </w:rPr>
            </w:pPr>
            <w:r w:rsidRPr="00416677">
              <w:rPr>
                <w:rFonts w:cs="Arial"/>
                <w:szCs w:val="20"/>
              </w:rPr>
              <w:t>0,2÷0,4</w:t>
            </w:r>
          </w:p>
        </w:tc>
      </w:tr>
      <w:tr w:rsidR="00416677" w:rsidRPr="00416677" w14:paraId="4A101DFD" w14:textId="77777777" w:rsidTr="007B6855">
        <w:tc>
          <w:tcPr>
            <w:tcW w:w="1785" w:type="dxa"/>
            <w:vMerge/>
          </w:tcPr>
          <w:p w14:paraId="7A4AF487" w14:textId="77777777" w:rsidR="00416677" w:rsidRPr="00416677" w:rsidRDefault="00416677" w:rsidP="00416677">
            <w:pPr>
              <w:spacing w:line="240" w:lineRule="auto"/>
              <w:rPr>
                <w:rFonts w:cs="Arial"/>
                <w:szCs w:val="20"/>
              </w:rPr>
            </w:pPr>
          </w:p>
        </w:tc>
        <w:tc>
          <w:tcPr>
            <w:tcW w:w="1785" w:type="dxa"/>
          </w:tcPr>
          <w:p w14:paraId="2893CCBD" w14:textId="77777777" w:rsidR="00416677" w:rsidRPr="00416677" w:rsidRDefault="00416677" w:rsidP="00416677">
            <w:pPr>
              <w:spacing w:line="240" w:lineRule="auto"/>
              <w:rPr>
                <w:rFonts w:cs="Arial"/>
                <w:szCs w:val="20"/>
              </w:rPr>
            </w:pPr>
            <w:r w:rsidRPr="00416677">
              <w:rPr>
                <w:rFonts w:cs="Arial"/>
                <w:szCs w:val="20"/>
              </w:rPr>
              <w:t>Frezowana</w:t>
            </w:r>
          </w:p>
        </w:tc>
        <w:tc>
          <w:tcPr>
            <w:tcW w:w="1785" w:type="dxa"/>
          </w:tcPr>
          <w:p w14:paraId="49224580"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42D12D58"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6DC56DBF" w14:textId="77777777" w:rsidR="00416677" w:rsidRPr="00416677" w:rsidRDefault="00416677" w:rsidP="00416677">
            <w:pPr>
              <w:spacing w:line="240" w:lineRule="auto"/>
              <w:jc w:val="center"/>
              <w:rPr>
                <w:rFonts w:cs="Arial"/>
                <w:szCs w:val="20"/>
              </w:rPr>
            </w:pPr>
            <w:r w:rsidRPr="00416677">
              <w:rPr>
                <w:rFonts w:cs="Arial"/>
                <w:szCs w:val="20"/>
              </w:rPr>
              <w:t>0,3÷0,5</w:t>
            </w:r>
          </w:p>
        </w:tc>
      </w:tr>
      <w:tr w:rsidR="00416677" w:rsidRPr="00416677" w14:paraId="220FC83D" w14:textId="77777777" w:rsidTr="007B6855">
        <w:tc>
          <w:tcPr>
            <w:tcW w:w="1785" w:type="dxa"/>
            <w:vMerge/>
          </w:tcPr>
          <w:p w14:paraId="675B5870" w14:textId="77777777" w:rsidR="00416677" w:rsidRPr="00416677" w:rsidRDefault="00416677" w:rsidP="00416677">
            <w:pPr>
              <w:spacing w:line="240" w:lineRule="auto"/>
              <w:rPr>
                <w:rFonts w:cs="Arial"/>
                <w:szCs w:val="20"/>
              </w:rPr>
            </w:pPr>
          </w:p>
        </w:tc>
        <w:tc>
          <w:tcPr>
            <w:tcW w:w="1785" w:type="dxa"/>
          </w:tcPr>
          <w:p w14:paraId="365C9F3F" w14:textId="77777777" w:rsidR="00416677" w:rsidRPr="00416677" w:rsidRDefault="00416677" w:rsidP="00416677">
            <w:pPr>
              <w:spacing w:line="240" w:lineRule="auto"/>
              <w:rPr>
                <w:rFonts w:cs="Arial"/>
                <w:szCs w:val="20"/>
              </w:rPr>
            </w:pPr>
            <w:r w:rsidRPr="00416677">
              <w:rPr>
                <w:rFonts w:cs="Arial"/>
                <w:szCs w:val="20"/>
              </w:rPr>
              <w:t>Porowata lub w złym stanie</w:t>
            </w:r>
          </w:p>
        </w:tc>
        <w:tc>
          <w:tcPr>
            <w:tcW w:w="1785" w:type="dxa"/>
          </w:tcPr>
          <w:p w14:paraId="1A561692" w14:textId="77777777" w:rsidR="00416677" w:rsidRPr="00416677" w:rsidRDefault="00416677" w:rsidP="00416677">
            <w:pPr>
              <w:spacing w:line="240" w:lineRule="auto"/>
              <w:jc w:val="center"/>
              <w:rPr>
                <w:rFonts w:cs="Arial"/>
                <w:szCs w:val="20"/>
              </w:rPr>
            </w:pPr>
            <w:r w:rsidRPr="00416677">
              <w:rPr>
                <w:rFonts w:cs="Arial"/>
                <w:szCs w:val="20"/>
              </w:rPr>
              <w:t>0,3÷0,6</w:t>
            </w:r>
          </w:p>
        </w:tc>
        <w:tc>
          <w:tcPr>
            <w:tcW w:w="1786" w:type="dxa"/>
          </w:tcPr>
          <w:p w14:paraId="73AC9AFB" w14:textId="77777777" w:rsidR="00416677" w:rsidRPr="00416677" w:rsidRDefault="00416677" w:rsidP="00416677">
            <w:pPr>
              <w:spacing w:line="240" w:lineRule="auto"/>
              <w:jc w:val="center"/>
              <w:rPr>
                <w:rFonts w:cs="Arial"/>
                <w:szCs w:val="20"/>
              </w:rPr>
            </w:pPr>
            <w:r w:rsidRPr="00416677">
              <w:rPr>
                <w:rFonts w:cs="Arial"/>
                <w:szCs w:val="20"/>
              </w:rPr>
              <w:t>0,3÷0,7</w:t>
            </w:r>
          </w:p>
        </w:tc>
        <w:tc>
          <w:tcPr>
            <w:tcW w:w="1786" w:type="dxa"/>
          </w:tcPr>
          <w:p w14:paraId="3FC27503" w14:textId="77777777" w:rsidR="00416677" w:rsidRPr="00416677" w:rsidRDefault="00416677" w:rsidP="00416677">
            <w:pPr>
              <w:spacing w:line="240" w:lineRule="auto"/>
              <w:jc w:val="center"/>
              <w:rPr>
                <w:rFonts w:cs="Arial"/>
                <w:szCs w:val="20"/>
              </w:rPr>
            </w:pPr>
            <w:r w:rsidRPr="00416677">
              <w:rPr>
                <w:rFonts w:cs="Arial"/>
                <w:szCs w:val="20"/>
              </w:rPr>
              <w:t>0,3÷0,5</w:t>
            </w:r>
          </w:p>
        </w:tc>
      </w:tr>
      <w:tr w:rsidR="00416677" w:rsidRPr="00416677" w14:paraId="712C78BF" w14:textId="77777777" w:rsidTr="007B6855">
        <w:tc>
          <w:tcPr>
            <w:tcW w:w="1785" w:type="dxa"/>
            <w:vMerge w:val="restart"/>
          </w:tcPr>
          <w:p w14:paraId="52817EF6" w14:textId="77777777" w:rsidR="00416677" w:rsidRPr="00416677" w:rsidRDefault="00416677" w:rsidP="00416677">
            <w:pPr>
              <w:spacing w:line="240" w:lineRule="auto"/>
              <w:rPr>
                <w:rFonts w:cs="Arial"/>
                <w:szCs w:val="20"/>
              </w:rPr>
            </w:pPr>
            <w:r w:rsidRPr="00416677">
              <w:rPr>
                <w:rFonts w:cs="Arial"/>
                <w:szCs w:val="20"/>
              </w:rPr>
              <w:t>Warstwa wiążąca</w:t>
            </w:r>
          </w:p>
        </w:tc>
        <w:tc>
          <w:tcPr>
            <w:tcW w:w="1785" w:type="dxa"/>
          </w:tcPr>
          <w:p w14:paraId="4CF0830D" w14:textId="77777777" w:rsidR="00416677" w:rsidRPr="00416677" w:rsidRDefault="00416677" w:rsidP="00416677">
            <w:pPr>
              <w:spacing w:line="240" w:lineRule="auto"/>
              <w:rPr>
                <w:rFonts w:cs="Arial"/>
                <w:szCs w:val="20"/>
              </w:rPr>
            </w:pPr>
            <w:r w:rsidRPr="00416677">
              <w:rPr>
                <w:rFonts w:cs="Arial"/>
                <w:szCs w:val="20"/>
              </w:rPr>
              <w:t>Nowo wykonana</w:t>
            </w:r>
          </w:p>
        </w:tc>
        <w:tc>
          <w:tcPr>
            <w:tcW w:w="1785" w:type="dxa"/>
          </w:tcPr>
          <w:p w14:paraId="41E061D7" w14:textId="77777777" w:rsidR="00416677" w:rsidRPr="00416677" w:rsidRDefault="00416677" w:rsidP="00416677">
            <w:pPr>
              <w:spacing w:line="240" w:lineRule="auto"/>
              <w:jc w:val="center"/>
              <w:rPr>
                <w:rFonts w:cs="Arial"/>
                <w:szCs w:val="20"/>
              </w:rPr>
            </w:pPr>
            <w:r w:rsidRPr="00416677">
              <w:rPr>
                <w:rFonts w:cs="Arial"/>
                <w:szCs w:val="20"/>
              </w:rPr>
              <w:t>-</w:t>
            </w:r>
          </w:p>
        </w:tc>
        <w:tc>
          <w:tcPr>
            <w:tcW w:w="1786" w:type="dxa"/>
          </w:tcPr>
          <w:p w14:paraId="58163FF5" w14:textId="77777777" w:rsidR="00416677" w:rsidRPr="00416677" w:rsidRDefault="00416677" w:rsidP="00416677">
            <w:pPr>
              <w:spacing w:line="240" w:lineRule="auto"/>
              <w:jc w:val="center"/>
              <w:rPr>
                <w:rFonts w:cs="Arial"/>
                <w:szCs w:val="20"/>
              </w:rPr>
            </w:pPr>
            <w:r w:rsidRPr="00416677">
              <w:rPr>
                <w:rFonts w:cs="Arial"/>
                <w:szCs w:val="20"/>
              </w:rPr>
              <w:t>X</w:t>
            </w:r>
          </w:p>
        </w:tc>
        <w:tc>
          <w:tcPr>
            <w:tcW w:w="1786" w:type="dxa"/>
          </w:tcPr>
          <w:p w14:paraId="68A08573" w14:textId="77777777" w:rsidR="00416677" w:rsidRPr="00416677" w:rsidRDefault="00416677" w:rsidP="00416677">
            <w:pPr>
              <w:spacing w:line="240" w:lineRule="auto"/>
              <w:jc w:val="center"/>
              <w:rPr>
                <w:rFonts w:cs="Arial"/>
                <w:szCs w:val="20"/>
              </w:rPr>
            </w:pPr>
            <w:r w:rsidRPr="00416677">
              <w:rPr>
                <w:rFonts w:cs="Arial"/>
                <w:szCs w:val="20"/>
              </w:rPr>
              <w:t>0,2÷0,4</w:t>
            </w:r>
          </w:p>
        </w:tc>
      </w:tr>
      <w:tr w:rsidR="00416677" w:rsidRPr="00416677" w14:paraId="5E3D130D" w14:textId="77777777" w:rsidTr="007B6855">
        <w:tc>
          <w:tcPr>
            <w:tcW w:w="1785" w:type="dxa"/>
            <w:vMerge/>
          </w:tcPr>
          <w:p w14:paraId="52212DC6" w14:textId="77777777" w:rsidR="00416677" w:rsidRPr="00416677" w:rsidRDefault="00416677" w:rsidP="00416677">
            <w:pPr>
              <w:spacing w:line="240" w:lineRule="auto"/>
              <w:rPr>
                <w:rFonts w:cs="Arial"/>
                <w:szCs w:val="20"/>
              </w:rPr>
            </w:pPr>
          </w:p>
        </w:tc>
        <w:tc>
          <w:tcPr>
            <w:tcW w:w="1785" w:type="dxa"/>
          </w:tcPr>
          <w:p w14:paraId="5DE5DE78" w14:textId="77777777" w:rsidR="00416677" w:rsidRPr="00416677" w:rsidRDefault="00416677" w:rsidP="00416677">
            <w:pPr>
              <w:spacing w:line="240" w:lineRule="auto"/>
              <w:rPr>
                <w:rFonts w:cs="Arial"/>
                <w:szCs w:val="20"/>
              </w:rPr>
            </w:pPr>
            <w:r w:rsidRPr="00416677">
              <w:rPr>
                <w:rFonts w:cs="Arial"/>
                <w:szCs w:val="20"/>
              </w:rPr>
              <w:t>Frezowana</w:t>
            </w:r>
          </w:p>
        </w:tc>
        <w:tc>
          <w:tcPr>
            <w:tcW w:w="1785" w:type="dxa"/>
          </w:tcPr>
          <w:p w14:paraId="56947DC1" w14:textId="77777777" w:rsidR="00416677" w:rsidRPr="00416677" w:rsidRDefault="00416677" w:rsidP="00416677">
            <w:pPr>
              <w:spacing w:line="240" w:lineRule="auto"/>
              <w:jc w:val="center"/>
              <w:rPr>
                <w:rFonts w:cs="Arial"/>
                <w:szCs w:val="20"/>
              </w:rPr>
            </w:pPr>
            <w:r w:rsidRPr="00416677">
              <w:rPr>
                <w:rFonts w:cs="Arial"/>
                <w:szCs w:val="20"/>
              </w:rPr>
              <w:t>-</w:t>
            </w:r>
          </w:p>
        </w:tc>
        <w:tc>
          <w:tcPr>
            <w:tcW w:w="1786" w:type="dxa"/>
          </w:tcPr>
          <w:p w14:paraId="19A93EFD" w14:textId="77777777" w:rsidR="00416677" w:rsidRPr="00416677" w:rsidRDefault="00416677" w:rsidP="00416677">
            <w:pPr>
              <w:spacing w:line="240" w:lineRule="auto"/>
              <w:jc w:val="center"/>
              <w:rPr>
                <w:rFonts w:cs="Arial"/>
                <w:szCs w:val="20"/>
              </w:rPr>
            </w:pPr>
            <w:r w:rsidRPr="00416677">
              <w:rPr>
                <w:rFonts w:cs="Arial"/>
                <w:szCs w:val="20"/>
              </w:rPr>
              <w:t>0,3÷0,5</w:t>
            </w:r>
          </w:p>
        </w:tc>
        <w:tc>
          <w:tcPr>
            <w:tcW w:w="1786" w:type="dxa"/>
          </w:tcPr>
          <w:p w14:paraId="0CE23CA4" w14:textId="77777777" w:rsidR="00416677" w:rsidRPr="00416677" w:rsidRDefault="00416677" w:rsidP="00416677">
            <w:pPr>
              <w:spacing w:line="240" w:lineRule="auto"/>
              <w:jc w:val="center"/>
              <w:rPr>
                <w:rFonts w:cs="Arial"/>
                <w:szCs w:val="20"/>
              </w:rPr>
            </w:pPr>
            <w:r w:rsidRPr="00416677">
              <w:rPr>
                <w:rFonts w:cs="Arial"/>
                <w:szCs w:val="20"/>
              </w:rPr>
              <w:t>0,3÷0,5</w:t>
            </w:r>
          </w:p>
        </w:tc>
      </w:tr>
      <w:tr w:rsidR="00416677" w:rsidRPr="00416677" w14:paraId="0D8B449E" w14:textId="77777777" w:rsidTr="007B6855">
        <w:tc>
          <w:tcPr>
            <w:tcW w:w="1785" w:type="dxa"/>
            <w:vMerge/>
          </w:tcPr>
          <w:p w14:paraId="6810D1C1" w14:textId="77777777" w:rsidR="00416677" w:rsidRPr="00416677" w:rsidRDefault="00416677" w:rsidP="00416677">
            <w:pPr>
              <w:spacing w:line="240" w:lineRule="auto"/>
              <w:rPr>
                <w:rFonts w:cs="Arial"/>
                <w:szCs w:val="20"/>
              </w:rPr>
            </w:pPr>
          </w:p>
        </w:tc>
        <w:tc>
          <w:tcPr>
            <w:tcW w:w="1785" w:type="dxa"/>
          </w:tcPr>
          <w:p w14:paraId="684BD8DD" w14:textId="77777777" w:rsidR="00416677" w:rsidRPr="00416677" w:rsidRDefault="00416677" w:rsidP="00416677">
            <w:pPr>
              <w:spacing w:line="240" w:lineRule="auto"/>
              <w:rPr>
                <w:rFonts w:cs="Arial"/>
                <w:szCs w:val="20"/>
              </w:rPr>
            </w:pPr>
            <w:r w:rsidRPr="00416677">
              <w:rPr>
                <w:rFonts w:cs="Arial"/>
                <w:szCs w:val="20"/>
              </w:rPr>
              <w:t>Porowata lub w złym stanie</w:t>
            </w:r>
          </w:p>
        </w:tc>
        <w:tc>
          <w:tcPr>
            <w:tcW w:w="1785" w:type="dxa"/>
          </w:tcPr>
          <w:p w14:paraId="40CB8AE0" w14:textId="77777777" w:rsidR="00416677" w:rsidRPr="00416677" w:rsidRDefault="00416677" w:rsidP="00416677">
            <w:pPr>
              <w:spacing w:line="240" w:lineRule="auto"/>
              <w:jc w:val="center"/>
              <w:rPr>
                <w:rFonts w:cs="Arial"/>
                <w:szCs w:val="20"/>
              </w:rPr>
            </w:pPr>
            <w:r w:rsidRPr="00416677">
              <w:rPr>
                <w:rFonts w:cs="Arial"/>
                <w:szCs w:val="20"/>
              </w:rPr>
              <w:t>-</w:t>
            </w:r>
          </w:p>
        </w:tc>
        <w:tc>
          <w:tcPr>
            <w:tcW w:w="1786" w:type="dxa"/>
          </w:tcPr>
          <w:p w14:paraId="5B9B7F20" w14:textId="77777777" w:rsidR="00416677" w:rsidRPr="00416677" w:rsidRDefault="00416677" w:rsidP="00416677">
            <w:pPr>
              <w:spacing w:line="240" w:lineRule="auto"/>
              <w:jc w:val="center"/>
              <w:rPr>
                <w:rFonts w:cs="Arial"/>
                <w:szCs w:val="20"/>
              </w:rPr>
            </w:pPr>
            <w:r w:rsidRPr="00416677">
              <w:rPr>
                <w:rFonts w:cs="Arial"/>
                <w:szCs w:val="20"/>
              </w:rPr>
              <w:t>0,3÷0,6</w:t>
            </w:r>
          </w:p>
        </w:tc>
        <w:tc>
          <w:tcPr>
            <w:tcW w:w="1786" w:type="dxa"/>
          </w:tcPr>
          <w:p w14:paraId="7768E0F6" w14:textId="77777777" w:rsidR="00416677" w:rsidRPr="00416677" w:rsidRDefault="00416677" w:rsidP="00416677">
            <w:pPr>
              <w:spacing w:line="240" w:lineRule="auto"/>
              <w:jc w:val="center"/>
              <w:rPr>
                <w:rFonts w:cs="Arial"/>
                <w:szCs w:val="20"/>
              </w:rPr>
            </w:pPr>
            <w:r w:rsidRPr="00416677">
              <w:rPr>
                <w:rFonts w:cs="Arial"/>
                <w:szCs w:val="20"/>
              </w:rPr>
              <w:t>0,3÷0,5</w:t>
            </w:r>
          </w:p>
        </w:tc>
      </w:tr>
    </w:tbl>
    <w:p w14:paraId="32D40FA1" w14:textId="77777777" w:rsidR="00416677" w:rsidRPr="00416677" w:rsidRDefault="00416677" w:rsidP="00416677">
      <w:pPr>
        <w:spacing w:after="120" w:line="240" w:lineRule="auto"/>
        <w:rPr>
          <w:rFonts w:cs="Arial"/>
          <w:szCs w:val="20"/>
        </w:rPr>
      </w:pPr>
      <w:r w:rsidRPr="00416677">
        <w:rPr>
          <w:rFonts w:cs="Arial"/>
          <w:szCs w:val="20"/>
        </w:rPr>
        <w:t>*do złączenia dwóch warstw asfaltowych, gdy obydwie warstwy wykonane są z zastosowaniem asfaltów niemodyfikowanych dopuszcza się zastosowanie emulsji C60B3 ZM</w:t>
      </w:r>
    </w:p>
    <w:p w14:paraId="0C68701A" w14:textId="77777777" w:rsidR="00416677" w:rsidRPr="00416677" w:rsidRDefault="00416677" w:rsidP="00416677">
      <w:pPr>
        <w:spacing w:line="240" w:lineRule="auto"/>
        <w:rPr>
          <w:rFonts w:cs="Arial"/>
          <w:szCs w:val="20"/>
        </w:rPr>
      </w:pPr>
      <w:r w:rsidRPr="00416677">
        <w:rPr>
          <w:rFonts w:cs="Arial"/>
          <w:szCs w:val="20"/>
        </w:rPr>
        <w:t>Uwaga: w celu określenia ilości pozostałego lepiszcza asfaltowego, należy ilość emulsji asfaltowej podaną w tablicy pomnożyć przez 0,6</w:t>
      </w:r>
    </w:p>
    <w:p w14:paraId="1DA15C68" w14:textId="77777777" w:rsidR="00416677" w:rsidRPr="00416677" w:rsidRDefault="00416677" w:rsidP="00416677">
      <w:pPr>
        <w:spacing w:after="120" w:line="240" w:lineRule="auto"/>
        <w:rPr>
          <w:rFonts w:cs="Arial"/>
          <w:szCs w:val="20"/>
          <w:u w:val="single"/>
        </w:rPr>
      </w:pPr>
      <w:r w:rsidRPr="00416677">
        <w:rPr>
          <w:rFonts w:cs="Arial"/>
          <w:szCs w:val="20"/>
          <w:u w:val="single"/>
        </w:rPr>
        <w:t>Objaśnienia:</w:t>
      </w:r>
    </w:p>
    <w:p w14:paraId="5262B5C8" w14:textId="77777777" w:rsidR="00416677" w:rsidRPr="00416677" w:rsidRDefault="00416677" w:rsidP="00416677">
      <w:pPr>
        <w:spacing w:line="240" w:lineRule="auto"/>
        <w:rPr>
          <w:rFonts w:cs="Arial"/>
          <w:szCs w:val="20"/>
        </w:rPr>
      </w:pPr>
      <w:r w:rsidRPr="00416677">
        <w:rPr>
          <w:rFonts w:cs="Arial"/>
          <w:szCs w:val="20"/>
        </w:rPr>
        <w:t xml:space="preserve">„X” – nie dotyczy </w:t>
      </w:r>
    </w:p>
    <w:p w14:paraId="2FE495BF" w14:textId="77777777" w:rsidR="00416677" w:rsidRPr="00416677" w:rsidRDefault="00416677" w:rsidP="00416677">
      <w:pPr>
        <w:spacing w:line="240" w:lineRule="auto"/>
        <w:rPr>
          <w:rFonts w:cs="Arial"/>
          <w:szCs w:val="20"/>
        </w:rPr>
      </w:pPr>
      <w:r w:rsidRPr="00416677">
        <w:rPr>
          <w:rFonts w:cs="Arial"/>
          <w:szCs w:val="20"/>
        </w:rPr>
        <w:t>„-” – rozwiązanie nie występuje</w:t>
      </w:r>
    </w:p>
    <w:p w14:paraId="6F517CED" w14:textId="77777777" w:rsidR="00416677" w:rsidRPr="00416677" w:rsidRDefault="00416677" w:rsidP="00416677">
      <w:pPr>
        <w:spacing w:before="120" w:line="240" w:lineRule="auto"/>
        <w:ind w:firstLine="709"/>
        <w:rPr>
          <w:rFonts w:cs="Arial"/>
          <w:szCs w:val="20"/>
        </w:rPr>
      </w:pPr>
      <w:r w:rsidRPr="00416677">
        <w:rPr>
          <w:rFonts w:cs="Arial"/>
          <w:szCs w:val="20"/>
        </w:rPr>
        <w:t>Pod warstwę ścieralną wykonywaną z mieszanki typu:</w:t>
      </w:r>
    </w:p>
    <w:p w14:paraId="24328750" w14:textId="77777777" w:rsidR="00416677" w:rsidRPr="00416677" w:rsidRDefault="00416677" w:rsidP="00CF1E7D">
      <w:pPr>
        <w:numPr>
          <w:ilvl w:val="0"/>
          <w:numId w:val="272"/>
        </w:numPr>
        <w:overflowPunct w:val="0"/>
        <w:autoSpaceDE w:val="0"/>
        <w:autoSpaceDN w:val="0"/>
        <w:adjustRightInd w:val="0"/>
        <w:spacing w:line="240" w:lineRule="auto"/>
        <w:ind w:left="284" w:hanging="284"/>
        <w:jc w:val="both"/>
        <w:textAlignment w:val="baseline"/>
        <w:rPr>
          <w:rFonts w:cs="Arial"/>
          <w:szCs w:val="20"/>
        </w:rPr>
      </w:pPr>
      <w:r w:rsidRPr="00416677">
        <w:rPr>
          <w:rFonts w:cs="Arial"/>
          <w:szCs w:val="20"/>
        </w:rPr>
        <w:t>BBTM</w:t>
      </w:r>
      <w:r w:rsidRPr="00416677">
        <w:rPr>
          <w:rFonts w:cs="Arial"/>
          <w:szCs w:val="20"/>
        </w:rPr>
        <w:tab/>
        <w:t>(wg OST D- 05.03.24a [2]) należy stosować ilość skropienia odpowiadającą górnej granicy wg tablicy 5,  jak dla mieszanki typu SMA, AC,</w:t>
      </w:r>
    </w:p>
    <w:p w14:paraId="417DBB3D" w14:textId="6AD588B7" w:rsidR="00416677" w:rsidRPr="00416677" w:rsidRDefault="00416677" w:rsidP="00CF1E7D">
      <w:pPr>
        <w:numPr>
          <w:ilvl w:val="0"/>
          <w:numId w:val="272"/>
        </w:numPr>
        <w:overflowPunct w:val="0"/>
        <w:autoSpaceDE w:val="0"/>
        <w:autoSpaceDN w:val="0"/>
        <w:adjustRightInd w:val="0"/>
        <w:spacing w:line="240" w:lineRule="auto"/>
        <w:ind w:left="284" w:hanging="284"/>
        <w:jc w:val="both"/>
        <w:textAlignment w:val="baseline"/>
        <w:rPr>
          <w:rFonts w:cs="Arial"/>
          <w:szCs w:val="20"/>
        </w:rPr>
      </w:pPr>
      <w:r w:rsidRPr="00416677">
        <w:rPr>
          <w:rFonts w:cs="Arial"/>
          <w:szCs w:val="20"/>
        </w:rPr>
        <w:t xml:space="preserve">PA (asfalt porowaty) należy wykonać specjalne skropienie w sposób opisany w </w:t>
      </w:r>
      <w:r w:rsidR="00546967">
        <w:rPr>
          <w:rFonts w:cs="Arial"/>
          <w:szCs w:val="20"/>
        </w:rPr>
        <w:t>S</w:t>
      </w:r>
      <w:r w:rsidRPr="00416677">
        <w:rPr>
          <w:rFonts w:cs="Arial"/>
          <w:szCs w:val="20"/>
        </w:rPr>
        <w:t>ST D-05.03.12a [3],</w:t>
      </w:r>
    </w:p>
    <w:p w14:paraId="0F84EF53" w14:textId="77777777" w:rsidR="00416677" w:rsidRPr="00416677" w:rsidRDefault="00416677" w:rsidP="00CF1E7D">
      <w:pPr>
        <w:numPr>
          <w:ilvl w:val="0"/>
          <w:numId w:val="272"/>
        </w:numPr>
        <w:overflowPunct w:val="0"/>
        <w:autoSpaceDE w:val="0"/>
        <w:autoSpaceDN w:val="0"/>
        <w:adjustRightInd w:val="0"/>
        <w:spacing w:line="240" w:lineRule="auto"/>
        <w:ind w:left="284" w:hanging="284"/>
        <w:jc w:val="both"/>
        <w:textAlignment w:val="baseline"/>
        <w:rPr>
          <w:rFonts w:cs="Arial"/>
          <w:szCs w:val="20"/>
        </w:rPr>
      </w:pPr>
      <w:r w:rsidRPr="00416677">
        <w:rPr>
          <w:rFonts w:cs="Arial"/>
          <w:szCs w:val="20"/>
        </w:rPr>
        <w:t xml:space="preserve">SMA LA należy wykonać specjalne skropienie kationową emulsją modyfikowaną 60% </w:t>
      </w:r>
      <w:proofErr w:type="spellStart"/>
      <w:r w:rsidRPr="00416677">
        <w:rPr>
          <w:rFonts w:cs="Arial"/>
          <w:szCs w:val="20"/>
        </w:rPr>
        <w:t>szybkorozpadową</w:t>
      </w:r>
      <w:proofErr w:type="spellEnd"/>
      <w:r w:rsidRPr="00416677">
        <w:rPr>
          <w:rFonts w:cs="Arial"/>
          <w:szCs w:val="20"/>
        </w:rPr>
        <w:t xml:space="preserve"> w ilości 0,4-0,5 kg/m</w:t>
      </w:r>
      <w:r w:rsidRPr="00416677">
        <w:rPr>
          <w:rFonts w:cs="Arial"/>
          <w:szCs w:val="20"/>
          <w:vertAlign w:val="superscript"/>
        </w:rPr>
        <w:t>2</w:t>
      </w:r>
      <w:r w:rsidRPr="00416677">
        <w:rPr>
          <w:rFonts w:cs="Arial"/>
          <w:szCs w:val="20"/>
        </w:rPr>
        <w:t xml:space="preserve"> w przypadku zawartości wolnych przestrzeni w niżej leżącej warstwie 5-7%. Niższe lub wyższe od  wymienionego przedziału zawartości wolnych przestrzeni wymagają </w:t>
      </w:r>
      <w:proofErr w:type="spellStart"/>
      <w:r w:rsidRPr="00416677">
        <w:rPr>
          <w:rFonts w:cs="Arial"/>
          <w:szCs w:val="20"/>
        </w:rPr>
        <w:t>zadozowania</w:t>
      </w:r>
      <w:proofErr w:type="spellEnd"/>
      <w:r w:rsidRPr="00416677">
        <w:rPr>
          <w:rFonts w:cs="Arial"/>
          <w:szCs w:val="20"/>
        </w:rPr>
        <w:t xml:space="preserve"> zmniejszonej lub zwiększonej ilości emulsji. </w:t>
      </w:r>
    </w:p>
    <w:p w14:paraId="79DE06A9" w14:textId="77777777" w:rsidR="00416677" w:rsidRPr="00416677" w:rsidRDefault="00416677" w:rsidP="00416677">
      <w:pPr>
        <w:spacing w:line="240" w:lineRule="auto"/>
        <w:ind w:firstLine="709"/>
        <w:rPr>
          <w:rFonts w:cs="Arial"/>
          <w:szCs w:val="20"/>
        </w:rPr>
      </w:pPr>
      <w:r w:rsidRPr="00416677">
        <w:rPr>
          <w:rFonts w:cs="Arial"/>
          <w:szCs w:val="20"/>
        </w:rPr>
        <w:t xml:space="preserve">Optymalną ilość emulsji asfaltowej do skropienia należy ustalić na odcinku próbnym układania mieszanki mineralno-asfaltowej. Ocenę należy dokonać na podstawie wytrzymałości na ścinanie, wymagania wg tablicy 8. W uzasadnionych przypadkach (brak </w:t>
      </w:r>
      <w:proofErr w:type="spellStart"/>
      <w:r w:rsidRPr="00416677">
        <w:rPr>
          <w:rFonts w:cs="Arial"/>
          <w:szCs w:val="20"/>
        </w:rPr>
        <w:t>szczepności</w:t>
      </w:r>
      <w:proofErr w:type="spellEnd"/>
      <w:r w:rsidRPr="00416677">
        <w:rPr>
          <w:rFonts w:cs="Arial"/>
          <w:szCs w:val="20"/>
        </w:rPr>
        <w:t>), zakresy dozowania podane w tablicy 5 mogą zostać rozszerzone.</w:t>
      </w:r>
    </w:p>
    <w:p w14:paraId="55B2747C" w14:textId="77777777" w:rsidR="00416677" w:rsidRPr="00416677" w:rsidRDefault="00416677" w:rsidP="00416677">
      <w:pPr>
        <w:spacing w:before="120" w:after="120" w:line="240" w:lineRule="auto"/>
        <w:rPr>
          <w:rFonts w:cs="Arial"/>
          <w:szCs w:val="20"/>
        </w:rPr>
      </w:pPr>
      <w:r w:rsidRPr="00416677">
        <w:rPr>
          <w:rFonts w:cs="Arial"/>
          <w:szCs w:val="20"/>
        </w:rPr>
        <w:t>5.7.2.2. Skropienie warstwy z mieszanki niezwiązanej lub związanej hydraulicznie</w:t>
      </w:r>
    </w:p>
    <w:p w14:paraId="3A2B92E3" w14:textId="77777777" w:rsidR="00416677" w:rsidRPr="00416677" w:rsidRDefault="00416677" w:rsidP="00416677">
      <w:pPr>
        <w:spacing w:line="240" w:lineRule="auto"/>
        <w:ind w:firstLine="709"/>
        <w:rPr>
          <w:rFonts w:cs="Arial"/>
          <w:szCs w:val="20"/>
        </w:rPr>
      </w:pPr>
      <w:r w:rsidRPr="00416677">
        <w:rPr>
          <w:rFonts w:cs="Arial"/>
          <w:szCs w:val="20"/>
        </w:rPr>
        <w:t>W przypadku skrapiania warstwy z mieszanki niezwiązanej lub związanej hydraulicznie po okresie długotrwałych opadów deszczu, Inżynier dopuszcza powierzchnię, która ma być skrapiana i charakteryzuje się odpowiednią wilgotnością (patrz pkt.5.4.2). Jeśli poziom zawilgocenia warstwy jest zbyt duży, należy wstrzymać się ze skrapianiem do momentu przesuszenia powierzchni warstwy.</w:t>
      </w:r>
    </w:p>
    <w:p w14:paraId="34AEE023" w14:textId="77777777" w:rsidR="00416677" w:rsidRPr="00416677" w:rsidRDefault="00416677" w:rsidP="00416677">
      <w:pPr>
        <w:spacing w:line="240" w:lineRule="auto"/>
        <w:ind w:firstLine="709"/>
        <w:rPr>
          <w:rFonts w:cs="Arial"/>
          <w:szCs w:val="20"/>
        </w:rPr>
      </w:pPr>
      <w:r w:rsidRPr="00416677">
        <w:rPr>
          <w:rFonts w:cs="Arial"/>
          <w:szCs w:val="20"/>
        </w:rPr>
        <w:t xml:space="preserve">Skropienie lepiszczem powinno być wykonane w ilości podanej w tablicy 6. Kontrolę ilości lepiszcza w trakcie skrapiania należy dokonać wg PN-EN 12272-1 [10]. Skrapiarka powinna zapewniać rozkładanie lepiszcza z tolerancją ±10% w stosunku do ilości założonej. </w:t>
      </w:r>
    </w:p>
    <w:p w14:paraId="33D9781B" w14:textId="77777777" w:rsidR="00416677" w:rsidRPr="00416677" w:rsidRDefault="00416677" w:rsidP="00416677">
      <w:pPr>
        <w:spacing w:before="240" w:after="120" w:line="240" w:lineRule="auto"/>
        <w:ind w:left="1134" w:hanging="1134"/>
        <w:rPr>
          <w:rFonts w:cs="Arial"/>
          <w:szCs w:val="20"/>
        </w:rPr>
      </w:pPr>
      <w:r w:rsidRPr="00416677">
        <w:rPr>
          <w:rFonts w:cs="Arial"/>
          <w:szCs w:val="20"/>
        </w:rPr>
        <w:t>Tablica 6.</w:t>
      </w:r>
      <w:r w:rsidRPr="00416677">
        <w:rPr>
          <w:rFonts w:cs="Arial"/>
          <w:szCs w:val="20"/>
        </w:rPr>
        <w:tab/>
        <w:t>Zalecane ilości emulsji asfaltowej do skropienia podłoża  z mieszanki niezwiązanej i związanej hydraulicznie [kg/m</w:t>
      </w:r>
      <w:r w:rsidRPr="00416677">
        <w:rPr>
          <w:rFonts w:cs="Arial"/>
          <w:szCs w:val="20"/>
          <w:vertAlign w:val="superscript"/>
        </w:rPr>
        <w:t>2</w:t>
      </w:r>
      <w:r w:rsidRPr="00416677">
        <w:rPr>
          <w:rFonts w:cs="Arial"/>
          <w:szCs w:val="20"/>
        </w:rPr>
        <w:t>] (uwaga – przyjęto dla emulsji kationowej o zawartości asfaltu równej 60% wg Załącznika krajowego NA [22] do PN-EN 13808 [21], rodzaj C60B10 ZM/R)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16677" w:rsidRPr="00416677" w14:paraId="30DBA529" w14:textId="77777777" w:rsidTr="007B6855">
        <w:tc>
          <w:tcPr>
            <w:tcW w:w="2975" w:type="dxa"/>
            <w:vMerge w:val="restart"/>
            <w:vAlign w:val="center"/>
          </w:tcPr>
          <w:p w14:paraId="38E17209" w14:textId="77777777" w:rsidR="00416677" w:rsidRPr="00416677" w:rsidRDefault="00416677" w:rsidP="00416677">
            <w:pPr>
              <w:spacing w:before="60" w:after="60" w:line="240" w:lineRule="auto"/>
              <w:jc w:val="center"/>
              <w:rPr>
                <w:rFonts w:cs="Arial"/>
                <w:szCs w:val="20"/>
              </w:rPr>
            </w:pPr>
            <w:r w:rsidRPr="00416677">
              <w:rPr>
                <w:rFonts w:cs="Arial"/>
                <w:szCs w:val="20"/>
              </w:rPr>
              <w:t>Rodzaj podłoża</w:t>
            </w:r>
          </w:p>
        </w:tc>
        <w:tc>
          <w:tcPr>
            <w:tcW w:w="5952" w:type="dxa"/>
            <w:gridSpan w:val="2"/>
            <w:vAlign w:val="center"/>
          </w:tcPr>
          <w:p w14:paraId="3BE08F06" w14:textId="77777777" w:rsidR="00416677" w:rsidRPr="00416677" w:rsidRDefault="00416677" w:rsidP="00416677">
            <w:pPr>
              <w:spacing w:before="60" w:after="60" w:line="240" w:lineRule="auto"/>
              <w:jc w:val="center"/>
              <w:rPr>
                <w:rFonts w:cs="Arial"/>
                <w:szCs w:val="20"/>
              </w:rPr>
            </w:pPr>
            <w:r w:rsidRPr="00416677">
              <w:rPr>
                <w:rFonts w:cs="Arial"/>
                <w:szCs w:val="20"/>
              </w:rPr>
              <w:t>Emulsja asfaltowa</w:t>
            </w:r>
          </w:p>
        </w:tc>
      </w:tr>
      <w:tr w:rsidR="00416677" w:rsidRPr="00416677" w14:paraId="799CD583" w14:textId="77777777" w:rsidTr="007B6855">
        <w:tc>
          <w:tcPr>
            <w:tcW w:w="2975" w:type="dxa"/>
            <w:vMerge/>
            <w:vAlign w:val="center"/>
          </w:tcPr>
          <w:p w14:paraId="755BD069" w14:textId="77777777" w:rsidR="00416677" w:rsidRPr="00416677" w:rsidRDefault="00416677" w:rsidP="00416677">
            <w:pPr>
              <w:spacing w:before="60" w:after="60" w:line="240" w:lineRule="auto"/>
              <w:jc w:val="center"/>
              <w:rPr>
                <w:rFonts w:cs="Arial"/>
                <w:szCs w:val="20"/>
              </w:rPr>
            </w:pPr>
          </w:p>
        </w:tc>
        <w:tc>
          <w:tcPr>
            <w:tcW w:w="2976" w:type="dxa"/>
            <w:vAlign w:val="center"/>
          </w:tcPr>
          <w:p w14:paraId="5E574707" w14:textId="77777777" w:rsidR="00416677" w:rsidRPr="00416677" w:rsidRDefault="00416677" w:rsidP="00416677">
            <w:pPr>
              <w:spacing w:before="60" w:after="60" w:line="240" w:lineRule="auto"/>
              <w:jc w:val="center"/>
              <w:rPr>
                <w:rFonts w:cs="Arial"/>
                <w:szCs w:val="20"/>
              </w:rPr>
            </w:pPr>
            <w:r w:rsidRPr="00416677">
              <w:rPr>
                <w:rFonts w:cs="Arial"/>
                <w:szCs w:val="20"/>
              </w:rPr>
              <w:t>Ilość</w:t>
            </w:r>
          </w:p>
        </w:tc>
        <w:tc>
          <w:tcPr>
            <w:tcW w:w="2976" w:type="dxa"/>
            <w:vAlign w:val="center"/>
          </w:tcPr>
          <w:p w14:paraId="554CAD2F" w14:textId="77777777" w:rsidR="00416677" w:rsidRPr="00416677" w:rsidRDefault="00416677" w:rsidP="00416677">
            <w:pPr>
              <w:spacing w:before="60" w:after="60" w:line="240" w:lineRule="auto"/>
              <w:jc w:val="center"/>
              <w:rPr>
                <w:rFonts w:cs="Arial"/>
                <w:szCs w:val="20"/>
              </w:rPr>
            </w:pPr>
            <w:r w:rsidRPr="00416677">
              <w:rPr>
                <w:rFonts w:cs="Arial"/>
                <w:szCs w:val="20"/>
              </w:rPr>
              <w:t>Rodzaj</w:t>
            </w:r>
          </w:p>
        </w:tc>
      </w:tr>
      <w:tr w:rsidR="00416677" w:rsidRPr="00416677" w14:paraId="3223EBDD" w14:textId="77777777" w:rsidTr="007B6855">
        <w:tc>
          <w:tcPr>
            <w:tcW w:w="2975" w:type="dxa"/>
          </w:tcPr>
          <w:p w14:paraId="10B802F2" w14:textId="77777777" w:rsidR="00416677" w:rsidRPr="00416677" w:rsidRDefault="00416677" w:rsidP="00416677">
            <w:pPr>
              <w:spacing w:line="240" w:lineRule="auto"/>
              <w:rPr>
                <w:rFonts w:cs="Arial"/>
                <w:szCs w:val="20"/>
              </w:rPr>
            </w:pPr>
            <w:r w:rsidRPr="00416677">
              <w:rPr>
                <w:rFonts w:cs="Arial"/>
                <w:szCs w:val="20"/>
              </w:rPr>
              <w:t>Warstwa podbudowy z mieszanki niezwiązanej</w:t>
            </w:r>
          </w:p>
        </w:tc>
        <w:tc>
          <w:tcPr>
            <w:tcW w:w="2976" w:type="dxa"/>
          </w:tcPr>
          <w:p w14:paraId="7E55B73B" w14:textId="77777777" w:rsidR="00416677" w:rsidRPr="00416677" w:rsidRDefault="00416677" w:rsidP="00416677">
            <w:pPr>
              <w:spacing w:line="240" w:lineRule="auto"/>
              <w:jc w:val="center"/>
              <w:rPr>
                <w:rFonts w:cs="Arial"/>
                <w:szCs w:val="20"/>
              </w:rPr>
            </w:pPr>
            <w:r w:rsidRPr="00416677">
              <w:rPr>
                <w:rFonts w:cs="Arial"/>
                <w:szCs w:val="20"/>
              </w:rPr>
              <w:t>0,5÷0,7</w:t>
            </w:r>
          </w:p>
        </w:tc>
        <w:tc>
          <w:tcPr>
            <w:tcW w:w="2976" w:type="dxa"/>
          </w:tcPr>
          <w:p w14:paraId="396350EA" w14:textId="77777777" w:rsidR="00416677" w:rsidRPr="00416677" w:rsidRDefault="00416677" w:rsidP="00416677">
            <w:pPr>
              <w:spacing w:line="240" w:lineRule="auto"/>
              <w:jc w:val="center"/>
              <w:rPr>
                <w:rFonts w:cs="Arial"/>
                <w:szCs w:val="20"/>
              </w:rPr>
            </w:pPr>
            <w:r w:rsidRPr="00416677">
              <w:rPr>
                <w:rFonts w:cs="Arial"/>
                <w:szCs w:val="20"/>
              </w:rPr>
              <w:t>C60B10 ZM/R</w:t>
            </w:r>
          </w:p>
        </w:tc>
      </w:tr>
      <w:tr w:rsidR="00416677" w:rsidRPr="00416677" w14:paraId="3D7C5D9D" w14:textId="77777777" w:rsidTr="007B6855">
        <w:tc>
          <w:tcPr>
            <w:tcW w:w="2975" w:type="dxa"/>
          </w:tcPr>
          <w:p w14:paraId="271C425F" w14:textId="77777777" w:rsidR="00416677" w:rsidRPr="00416677" w:rsidRDefault="00416677" w:rsidP="00416677">
            <w:pPr>
              <w:spacing w:line="240" w:lineRule="auto"/>
              <w:rPr>
                <w:rFonts w:cs="Arial"/>
                <w:szCs w:val="20"/>
              </w:rPr>
            </w:pPr>
            <w:r w:rsidRPr="00416677">
              <w:rPr>
                <w:rFonts w:cs="Arial"/>
                <w:szCs w:val="20"/>
              </w:rPr>
              <w:t>Warstwa podbudowy z mieszanki związanej spoiwem hydraulicznym</w:t>
            </w:r>
          </w:p>
        </w:tc>
        <w:tc>
          <w:tcPr>
            <w:tcW w:w="2976" w:type="dxa"/>
          </w:tcPr>
          <w:p w14:paraId="022AFC20" w14:textId="77777777" w:rsidR="00416677" w:rsidRPr="00416677" w:rsidRDefault="00416677" w:rsidP="00416677">
            <w:pPr>
              <w:spacing w:line="240" w:lineRule="auto"/>
              <w:jc w:val="center"/>
              <w:rPr>
                <w:rFonts w:cs="Arial"/>
                <w:szCs w:val="20"/>
              </w:rPr>
            </w:pPr>
            <w:r w:rsidRPr="00416677">
              <w:rPr>
                <w:rFonts w:cs="Arial"/>
                <w:szCs w:val="20"/>
              </w:rPr>
              <w:t>0,3÷0,7</w:t>
            </w:r>
          </w:p>
        </w:tc>
        <w:tc>
          <w:tcPr>
            <w:tcW w:w="2976" w:type="dxa"/>
          </w:tcPr>
          <w:p w14:paraId="46170149" w14:textId="77777777" w:rsidR="00416677" w:rsidRPr="00416677" w:rsidRDefault="00416677" w:rsidP="00416677">
            <w:pPr>
              <w:spacing w:line="240" w:lineRule="auto"/>
              <w:jc w:val="center"/>
              <w:rPr>
                <w:rFonts w:cs="Arial"/>
                <w:szCs w:val="20"/>
              </w:rPr>
            </w:pPr>
            <w:r w:rsidRPr="00416677">
              <w:rPr>
                <w:rFonts w:cs="Arial"/>
                <w:szCs w:val="20"/>
              </w:rPr>
              <w:t>C60B10 ZM/R</w:t>
            </w:r>
          </w:p>
          <w:p w14:paraId="7B99270F" w14:textId="77777777" w:rsidR="00416677" w:rsidRPr="00416677" w:rsidRDefault="00416677" w:rsidP="00416677">
            <w:pPr>
              <w:spacing w:line="240" w:lineRule="auto"/>
              <w:jc w:val="center"/>
              <w:rPr>
                <w:rFonts w:cs="Arial"/>
                <w:szCs w:val="20"/>
              </w:rPr>
            </w:pPr>
            <w:r w:rsidRPr="00416677">
              <w:rPr>
                <w:rFonts w:cs="Arial"/>
                <w:szCs w:val="20"/>
              </w:rPr>
              <w:t>Zalecane pH≥3,5</w:t>
            </w:r>
          </w:p>
        </w:tc>
      </w:tr>
    </w:tbl>
    <w:p w14:paraId="672030EA" w14:textId="77777777" w:rsidR="00416677" w:rsidRPr="00416677" w:rsidRDefault="00416677" w:rsidP="00416677">
      <w:pPr>
        <w:spacing w:line="240" w:lineRule="auto"/>
        <w:rPr>
          <w:rFonts w:cs="Arial"/>
          <w:szCs w:val="20"/>
        </w:rPr>
      </w:pPr>
    </w:p>
    <w:p w14:paraId="59017BE4" w14:textId="77777777" w:rsidR="00416677" w:rsidRPr="00416677" w:rsidRDefault="00416677" w:rsidP="00416677">
      <w:pPr>
        <w:spacing w:before="120" w:after="120" w:line="240" w:lineRule="auto"/>
        <w:rPr>
          <w:rFonts w:cs="Arial"/>
          <w:szCs w:val="20"/>
        </w:rPr>
      </w:pPr>
      <w:r w:rsidRPr="00416677">
        <w:rPr>
          <w:rFonts w:cs="Arial"/>
          <w:szCs w:val="20"/>
        </w:rPr>
        <w:t>5.7.3. Wykonanie skropienia emulsją</w:t>
      </w:r>
    </w:p>
    <w:p w14:paraId="28FAAF79" w14:textId="77777777" w:rsidR="00416677" w:rsidRPr="00416677" w:rsidRDefault="00416677" w:rsidP="00416677">
      <w:pPr>
        <w:spacing w:line="240" w:lineRule="auto"/>
        <w:ind w:firstLine="709"/>
        <w:rPr>
          <w:rFonts w:cs="Arial"/>
          <w:szCs w:val="20"/>
        </w:rPr>
      </w:pPr>
      <w:r w:rsidRPr="00416677">
        <w:rPr>
          <w:rFonts w:cs="Arial"/>
          <w:szCs w:val="20"/>
        </w:rPr>
        <w:t xml:space="preserve">Skrapianie podłoża należy wykonywać równomiernie na całej powierzchni przeznaczonej do skropienia, przy użyciu skrapiarek samochodowych, ewentualnie ciągnionych – wyposażonych w rampy spryskujące oraz automatyczne systemy kontroli wydatku skropienia. Dopuszcza się skrapianie ręczne lancą w miejscach trudno dostępnych (np. przy </w:t>
      </w:r>
      <w:r w:rsidRPr="00416677">
        <w:rPr>
          <w:rFonts w:cs="Arial"/>
          <w:szCs w:val="20"/>
        </w:rPr>
        <w:lastRenderedPageBreak/>
        <w:t>ściekach ulicznych) oraz przy urządzeniach usytuowanych w nawierzchni lub ją ograniczających (np. studzienki, krawężniki). W razie potrzeby urządzenia te należy zabezpieczyć przed zabrudzeniem.</w:t>
      </w:r>
    </w:p>
    <w:p w14:paraId="342A8009" w14:textId="77777777" w:rsidR="00416677" w:rsidRPr="00416677" w:rsidRDefault="00416677" w:rsidP="00416677">
      <w:pPr>
        <w:spacing w:line="240" w:lineRule="auto"/>
        <w:ind w:firstLine="709"/>
        <w:rPr>
          <w:rFonts w:cs="Arial"/>
          <w:szCs w:val="20"/>
        </w:rPr>
      </w:pPr>
      <w:r w:rsidRPr="00416677">
        <w:rPr>
          <w:rFonts w:cs="Arial"/>
          <w:szCs w:val="20"/>
        </w:rPr>
        <w:t>W wypadku dużej ilości pozostałej emulsji, np. powyżej 0,5 kg/m</w:t>
      </w:r>
      <w:r w:rsidRPr="00416677">
        <w:rPr>
          <w:rFonts w:cs="Arial"/>
          <w:szCs w:val="20"/>
          <w:vertAlign w:val="superscript"/>
        </w:rPr>
        <w:t>2</w:t>
      </w:r>
      <w:r w:rsidRPr="00416677">
        <w:rPr>
          <w:rFonts w:cs="Arial"/>
          <w:szCs w:val="20"/>
        </w:rPr>
        <w:t>, może być konieczne wykonanie skropienia w kilku warstwach, aby zapobiec spłynięciu i powstaniu kałuż lepiszcza.</w:t>
      </w:r>
    </w:p>
    <w:p w14:paraId="5D7EB342" w14:textId="77777777" w:rsidR="00416677" w:rsidRPr="00416677" w:rsidRDefault="00416677" w:rsidP="00416677">
      <w:pPr>
        <w:spacing w:line="240" w:lineRule="auto"/>
        <w:ind w:firstLine="709"/>
        <w:rPr>
          <w:rFonts w:cs="Arial"/>
          <w:szCs w:val="20"/>
        </w:rPr>
      </w:pPr>
      <w:r w:rsidRPr="00416677">
        <w:rPr>
          <w:rFonts w:cs="Arial"/>
          <w:szCs w:val="20"/>
        </w:rPr>
        <w:t>Przed rozpoczęciem skrapiania należy strefy przyległe do skrapianych powierzchni jak np.: krawężniki, ścieki, wpusty itp. odpowiednio osłonić, zabezpieczając przed zabrudzeniem lub zalaniem emulsją.</w:t>
      </w:r>
    </w:p>
    <w:p w14:paraId="60AFCA95" w14:textId="77777777" w:rsidR="00416677" w:rsidRPr="00416677" w:rsidRDefault="00416677" w:rsidP="00416677">
      <w:pPr>
        <w:spacing w:line="240" w:lineRule="auto"/>
        <w:ind w:firstLine="709"/>
        <w:rPr>
          <w:rFonts w:cs="Arial"/>
          <w:szCs w:val="20"/>
        </w:rPr>
      </w:pPr>
      <w:r w:rsidRPr="00416677">
        <w:rPr>
          <w:rFonts w:cs="Arial"/>
          <w:szCs w:val="20"/>
        </w:rPr>
        <w:t>Podłoże powinno być skropione z odpowiednim wyprzedzeniem przed układaniem następnej warstwy asfaltowej w celu rozpadu emulsji z wydzieleniem asfaltu i odparowani wody. O rozpadzie emulsji świadczy zmiana koloru skropionej powierzchni z brązowej na czarny. Przed wykonaniem następnego zabiegu  technologicznego należy odczekać minimum 30 minut od momentu zmiany koloru pokrytej lepiszczem warstwy na czarny.</w:t>
      </w:r>
    </w:p>
    <w:p w14:paraId="52FBADA4" w14:textId="77777777" w:rsidR="00416677" w:rsidRPr="00416677" w:rsidRDefault="00416677" w:rsidP="00416677">
      <w:pPr>
        <w:spacing w:line="240" w:lineRule="auto"/>
        <w:ind w:firstLine="709"/>
        <w:rPr>
          <w:rFonts w:cs="Arial"/>
          <w:szCs w:val="20"/>
        </w:rPr>
      </w:pPr>
      <w:r w:rsidRPr="00416677">
        <w:rPr>
          <w:rFonts w:cs="Arial"/>
          <w:szCs w:val="20"/>
        </w:rPr>
        <w:t>Skropioną warstwę Wykonawca powinien wyłączyć z ruchu publicznego i technologicznego przez zmianę organizacji ruchu lub  odpowiednią ochronę skropienia przez pokrycie specjalną warstwą osłonową.</w:t>
      </w:r>
    </w:p>
    <w:p w14:paraId="1C413B8E" w14:textId="77777777" w:rsidR="00416677" w:rsidRPr="00416677" w:rsidRDefault="00416677" w:rsidP="00416677">
      <w:pPr>
        <w:pStyle w:val="Nagwek2"/>
        <w:spacing w:line="240" w:lineRule="auto"/>
        <w:rPr>
          <w:rFonts w:cs="Arial"/>
          <w:szCs w:val="20"/>
        </w:rPr>
      </w:pPr>
      <w:r w:rsidRPr="00416677">
        <w:rPr>
          <w:rFonts w:cs="Arial"/>
          <w:szCs w:val="20"/>
        </w:rPr>
        <w:t>5.8. Ochrona wykonanego skropienia</w:t>
      </w:r>
    </w:p>
    <w:p w14:paraId="0D967B4C" w14:textId="77777777" w:rsidR="00416677" w:rsidRPr="00416677" w:rsidRDefault="00416677" w:rsidP="00416677">
      <w:pPr>
        <w:spacing w:line="240" w:lineRule="auto"/>
        <w:ind w:firstLine="709"/>
        <w:rPr>
          <w:rFonts w:cs="Arial"/>
          <w:szCs w:val="20"/>
        </w:rPr>
      </w:pPr>
      <w:r w:rsidRPr="00416677">
        <w:rPr>
          <w:rFonts w:cs="Arial"/>
          <w:szCs w:val="20"/>
        </w:rPr>
        <w:t>Wykonanie warstwy ochronnej emulsji przez dodatkowe skropienie z użyciem mleczka wapiennego należy stosować dla dróg o kategorii KR 4-7. Skropienie mleczkiem wapiennym wykonuje się dopiero wtedy, gdy nastąpi rozpad emulsji i odparuje woda.</w:t>
      </w:r>
    </w:p>
    <w:p w14:paraId="6104DBBD" w14:textId="77777777" w:rsidR="00416677" w:rsidRPr="00416677" w:rsidRDefault="00416677" w:rsidP="00416677">
      <w:pPr>
        <w:spacing w:line="240" w:lineRule="auto"/>
        <w:ind w:firstLine="709"/>
        <w:rPr>
          <w:rFonts w:cs="Arial"/>
          <w:szCs w:val="20"/>
        </w:rPr>
      </w:pPr>
      <w:r w:rsidRPr="00416677">
        <w:rPr>
          <w:rFonts w:cs="Arial"/>
          <w:szCs w:val="20"/>
        </w:rPr>
        <w:t>Stężenie roztworu roboczego mleczka wapiennego należy przygotować tak, by w 100 g próbki zawartość wodorotlenku wapnia wyrażona w gramach, a otrzymana przez wysuszenie próbki w suszarce w temp. 110±5°C do stałej masy (jednak nie dłużej niż 5 godz.) była:</w:t>
      </w:r>
    </w:p>
    <w:p w14:paraId="126EC64B" w14:textId="77777777" w:rsidR="00416677" w:rsidRPr="00416677" w:rsidRDefault="00416677" w:rsidP="00CF1E7D">
      <w:pPr>
        <w:numPr>
          <w:ilvl w:val="0"/>
          <w:numId w:val="273"/>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nie mniejsza niż 16,0% i nie większa niż 28,0% - do skropienia podbudowy z mieszanki niezwiązanej lub związanej hydraulicznie,</w:t>
      </w:r>
    </w:p>
    <w:p w14:paraId="3EB9DC8D" w14:textId="77777777" w:rsidR="00416677" w:rsidRPr="00416677" w:rsidRDefault="00416677" w:rsidP="00CF1E7D">
      <w:pPr>
        <w:numPr>
          <w:ilvl w:val="0"/>
          <w:numId w:val="273"/>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nie mniejsza niż 9,0 % i nie większa niż 16,0% - do skropienia warstw mineralno-asfaltowych.</w:t>
      </w:r>
    </w:p>
    <w:p w14:paraId="7B4ED4A0" w14:textId="77777777" w:rsidR="00416677" w:rsidRPr="00416677" w:rsidRDefault="00416677" w:rsidP="00416677">
      <w:pPr>
        <w:spacing w:line="240" w:lineRule="auto"/>
        <w:ind w:firstLine="709"/>
        <w:rPr>
          <w:rFonts w:cs="Arial"/>
          <w:szCs w:val="20"/>
        </w:rPr>
      </w:pPr>
      <w:r w:rsidRPr="00416677">
        <w:rPr>
          <w:rFonts w:cs="Arial"/>
          <w:szCs w:val="20"/>
        </w:rPr>
        <w:t>Dozowana na nawierzchnię dawka roztworu mleczka wapiennego powinna zawierać się w przedziale 250 g/m</w:t>
      </w:r>
      <w:r w:rsidRPr="00416677">
        <w:rPr>
          <w:rFonts w:cs="Arial"/>
          <w:szCs w:val="20"/>
          <w:vertAlign w:val="superscript"/>
        </w:rPr>
        <w:t>2</w:t>
      </w:r>
      <w:r w:rsidRPr="00416677">
        <w:rPr>
          <w:rFonts w:cs="Arial"/>
          <w:szCs w:val="20"/>
        </w:rPr>
        <w:t xml:space="preserve"> ± 20 g.</w:t>
      </w:r>
    </w:p>
    <w:p w14:paraId="1A40024D" w14:textId="77777777" w:rsidR="00416677" w:rsidRPr="00416677" w:rsidRDefault="00416677" w:rsidP="00416677">
      <w:pPr>
        <w:spacing w:line="240" w:lineRule="auto"/>
        <w:ind w:firstLine="709"/>
        <w:rPr>
          <w:rFonts w:cs="Arial"/>
          <w:szCs w:val="20"/>
        </w:rPr>
      </w:pPr>
      <w:r w:rsidRPr="00416677">
        <w:rPr>
          <w:rFonts w:cs="Arial"/>
          <w:szCs w:val="20"/>
        </w:rPr>
        <w:t>Dalsze prace budowlane na zabezpieczonej nawierzchni można prowadzić po odparowaniu wody z zaaplikowanego roztworu mleczka wapiennego wg oceny wizualnej (powstanie suchego filmu wodorotlenku wapnia na powierzchni).</w:t>
      </w:r>
    </w:p>
    <w:p w14:paraId="24A50756" w14:textId="77777777" w:rsidR="00416677" w:rsidRPr="00416677" w:rsidRDefault="00416677" w:rsidP="00416677">
      <w:pPr>
        <w:spacing w:line="240" w:lineRule="auto"/>
        <w:ind w:firstLine="709"/>
        <w:rPr>
          <w:rFonts w:cs="Arial"/>
          <w:szCs w:val="20"/>
        </w:rPr>
      </w:pPr>
      <w:r w:rsidRPr="00416677">
        <w:rPr>
          <w:rFonts w:cs="Arial"/>
          <w:szCs w:val="20"/>
        </w:rPr>
        <w:t xml:space="preserve">Ze względu na osiadanie wodorotlenku wapnia na dnie zbiornika skrapiarki lub opryskiwacza, urządzenia te powinny być wyposażone w system obiegu zamkniętego lub mieszadło obrotowe. Jeśli producent mieszaniny gwarantuje  jednorodność w określonym czasie, mieszadło nie jest wymagane. Mleczko wapienne należy przechowywać w odpowiednich zbiornikach homogenizacyjnych z zastosowaniem mechanizmów zabezpieczających. Produkt nie może być przechowywany ani transportowany w pojemnikach aluminiowych oraz przechowywany w temperaturach poniżej 5°C. </w:t>
      </w:r>
    </w:p>
    <w:p w14:paraId="6A172D08" w14:textId="77777777" w:rsidR="00416677" w:rsidRPr="00416677" w:rsidRDefault="00416677" w:rsidP="00416677">
      <w:pPr>
        <w:spacing w:line="240" w:lineRule="auto"/>
        <w:rPr>
          <w:rFonts w:cs="Arial"/>
          <w:szCs w:val="20"/>
        </w:rPr>
      </w:pPr>
      <w:r w:rsidRPr="00416677">
        <w:rPr>
          <w:rFonts w:cs="Arial"/>
          <w:szCs w:val="20"/>
        </w:rPr>
        <w:tab/>
        <w:t>Warstwa skropiona emulsją asfaltową, przed ułożeniem na niej warstwy asfaltowej, powinna być pozostawiona na czas niezbędny do umożliwienia odparowania wody:</w:t>
      </w:r>
    </w:p>
    <w:p w14:paraId="16276DFE" w14:textId="77777777" w:rsidR="00416677" w:rsidRPr="00416677" w:rsidRDefault="00416677" w:rsidP="00CF1E7D">
      <w:pPr>
        <w:numPr>
          <w:ilvl w:val="0"/>
          <w:numId w:val="263"/>
        </w:numPr>
        <w:overflowPunct w:val="0"/>
        <w:autoSpaceDE w:val="0"/>
        <w:autoSpaceDN w:val="0"/>
        <w:adjustRightInd w:val="0"/>
        <w:spacing w:line="240" w:lineRule="auto"/>
        <w:jc w:val="both"/>
        <w:textAlignment w:val="baseline"/>
        <w:rPr>
          <w:rFonts w:cs="Arial"/>
          <w:szCs w:val="20"/>
        </w:rPr>
      </w:pPr>
      <w:r w:rsidRPr="00416677">
        <w:rPr>
          <w:rFonts w:cs="Arial"/>
          <w:szCs w:val="20"/>
        </w:rPr>
        <w:t>8 h w wypadku zastosowania więcej niż 1,0 kg/m</w:t>
      </w:r>
      <w:r w:rsidRPr="00416677">
        <w:rPr>
          <w:rFonts w:cs="Arial"/>
          <w:szCs w:val="20"/>
          <w:vertAlign w:val="superscript"/>
        </w:rPr>
        <w:t>2</w:t>
      </w:r>
      <w:r w:rsidRPr="00416677">
        <w:rPr>
          <w:rFonts w:cs="Arial"/>
          <w:szCs w:val="20"/>
        </w:rPr>
        <w:t>,</w:t>
      </w:r>
    </w:p>
    <w:p w14:paraId="01B353D6" w14:textId="77777777" w:rsidR="00416677" w:rsidRPr="00416677" w:rsidRDefault="00416677" w:rsidP="00CF1E7D">
      <w:pPr>
        <w:numPr>
          <w:ilvl w:val="0"/>
          <w:numId w:val="263"/>
        </w:numPr>
        <w:overflowPunct w:val="0"/>
        <w:autoSpaceDE w:val="0"/>
        <w:autoSpaceDN w:val="0"/>
        <w:adjustRightInd w:val="0"/>
        <w:spacing w:line="240" w:lineRule="auto"/>
        <w:jc w:val="both"/>
        <w:textAlignment w:val="baseline"/>
        <w:rPr>
          <w:rFonts w:cs="Arial"/>
          <w:szCs w:val="20"/>
        </w:rPr>
      </w:pPr>
      <w:r w:rsidRPr="00416677">
        <w:rPr>
          <w:rFonts w:cs="Arial"/>
          <w:szCs w:val="20"/>
        </w:rPr>
        <w:t>1 h w wypadku zastosowania od 0,5 do 1,0 kg/m</w:t>
      </w:r>
      <w:r w:rsidRPr="00416677">
        <w:rPr>
          <w:rFonts w:cs="Arial"/>
          <w:szCs w:val="20"/>
          <w:vertAlign w:val="superscript"/>
        </w:rPr>
        <w:t>2</w:t>
      </w:r>
      <w:r w:rsidRPr="00416677">
        <w:rPr>
          <w:rFonts w:cs="Arial"/>
          <w:szCs w:val="20"/>
        </w:rPr>
        <w:t>,</w:t>
      </w:r>
    </w:p>
    <w:p w14:paraId="57A3F2CF" w14:textId="77777777" w:rsidR="00416677" w:rsidRPr="00416677" w:rsidRDefault="00416677" w:rsidP="00CF1E7D">
      <w:pPr>
        <w:numPr>
          <w:ilvl w:val="0"/>
          <w:numId w:val="263"/>
        </w:numPr>
        <w:overflowPunct w:val="0"/>
        <w:autoSpaceDE w:val="0"/>
        <w:autoSpaceDN w:val="0"/>
        <w:adjustRightInd w:val="0"/>
        <w:spacing w:line="240" w:lineRule="auto"/>
        <w:jc w:val="both"/>
        <w:textAlignment w:val="baseline"/>
        <w:rPr>
          <w:rFonts w:cs="Arial"/>
          <w:szCs w:val="20"/>
        </w:rPr>
      </w:pPr>
      <w:r w:rsidRPr="00416677">
        <w:rPr>
          <w:rFonts w:cs="Arial"/>
          <w:szCs w:val="20"/>
        </w:rPr>
        <w:t>0,5 h w wypadku zastosowania do 0,5 kg/m</w:t>
      </w:r>
      <w:r w:rsidRPr="00416677">
        <w:rPr>
          <w:rFonts w:cs="Arial"/>
          <w:szCs w:val="20"/>
          <w:vertAlign w:val="superscript"/>
        </w:rPr>
        <w:t>2</w:t>
      </w:r>
      <w:r w:rsidRPr="00416677">
        <w:rPr>
          <w:rFonts w:cs="Arial"/>
          <w:szCs w:val="20"/>
        </w:rPr>
        <w:t>.</w:t>
      </w:r>
    </w:p>
    <w:p w14:paraId="47A6E6A3" w14:textId="77777777" w:rsidR="00416677" w:rsidRPr="00416677" w:rsidRDefault="00416677" w:rsidP="00416677">
      <w:pPr>
        <w:spacing w:line="240" w:lineRule="auto"/>
        <w:ind w:left="709"/>
        <w:rPr>
          <w:rFonts w:cs="Arial"/>
          <w:szCs w:val="20"/>
        </w:rPr>
      </w:pPr>
      <w:r w:rsidRPr="00416677">
        <w:rPr>
          <w:rFonts w:cs="Arial"/>
          <w:szCs w:val="20"/>
        </w:rPr>
        <w:t>Czas ten nie dotyczy skrapiania rampą zamontowaną na rozkładarce.</w:t>
      </w:r>
    </w:p>
    <w:p w14:paraId="68EADA39" w14:textId="77777777" w:rsidR="00416677" w:rsidRPr="00416677" w:rsidRDefault="00416677" w:rsidP="00416677">
      <w:pPr>
        <w:spacing w:before="120" w:line="240" w:lineRule="auto"/>
        <w:rPr>
          <w:rFonts w:cs="Arial"/>
          <w:b/>
          <w:szCs w:val="20"/>
        </w:rPr>
      </w:pPr>
      <w:r w:rsidRPr="00416677">
        <w:rPr>
          <w:rFonts w:cs="Arial"/>
          <w:b/>
          <w:szCs w:val="20"/>
        </w:rPr>
        <w:t>5.8. Roboty wykończeniowe</w:t>
      </w:r>
    </w:p>
    <w:p w14:paraId="14C2A2D6" w14:textId="77777777" w:rsidR="00416677" w:rsidRPr="00416677" w:rsidRDefault="00416677" w:rsidP="00416677">
      <w:pPr>
        <w:spacing w:before="120" w:line="240" w:lineRule="auto"/>
        <w:ind w:firstLine="709"/>
        <w:rPr>
          <w:rFonts w:cs="Arial"/>
          <w:szCs w:val="20"/>
        </w:rPr>
      </w:pPr>
      <w:r w:rsidRPr="00416677">
        <w:rPr>
          <w:rFonts w:cs="Arial"/>
          <w:szCs w:val="20"/>
        </w:rPr>
        <w:t>Roboty wykończeniowe, zgodne z dokumentacją projektową, ST lub wskazaniami  Inżyniera, dotyczą prac związanych z dostosowaniem wykonanych  robót do istniejących warunków terenowych, takie jak:</w:t>
      </w:r>
    </w:p>
    <w:p w14:paraId="09EDB553" w14:textId="77777777" w:rsidR="00416677" w:rsidRPr="00416677" w:rsidRDefault="00416677" w:rsidP="00CF1E7D">
      <w:pPr>
        <w:numPr>
          <w:ilvl w:val="0"/>
          <w:numId w:val="105"/>
        </w:numPr>
        <w:tabs>
          <w:tab w:val="clear" w:pos="397"/>
          <w:tab w:val="num" w:pos="284"/>
        </w:tabs>
        <w:overflowPunct w:val="0"/>
        <w:autoSpaceDE w:val="0"/>
        <w:autoSpaceDN w:val="0"/>
        <w:adjustRightInd w:val="0"/>
        <w:spacing w:line="240" w:lineRule="auto"/>
        <w:ind w:left="284" w:hanging="284"/>
        <w:jc w:val="both"/>
        <w:textAlignment w:val="baseline"/>
        <w:rPr>
          <w:rFonts w:cs="Arial"/>
          <w:szCs w:val="20"/>
        </w:rPr>
      </w:pPr>
      <w:r w:rsidRPr="00416677">
        <w:rPr>
          <w:rFonts w:cs="Arial"/>
          <w:szCs w:val="20"/>
        </w:rPr>
        <w:t>odtworzenie przeszkód czasowo usuniętych,</w:t>
      </w:r>
    </w:p>
    <w:p w14:paraId="7F51F2DC" w14:textId="77777777" w:rsidR="00416677" w:rsidRPr="00416677" w:rsidRDefault="00416677" w:rsidP="00CF1E7D">
      <w:pPr>
        <w:numPr>
          <w:ilvl w:val="0"/>
          <w:numId w:val="104"/>
        </w:numPr>
        <w:overflowPunct w:val="0"/>
        <w:autoSpaceDE w:val="0"/>
        <w:autoSpaceDN w:val="0"/>
        <w:adjustRightInd w:val="0"/>
        <w:spacing w:line="240" w:lineRule="auto"/>
        <w:jc w:val="both"/>
        <w:textAlignment w:val="baseline"/>
        <w:rPr>
          <w:rFonts w:cs="Arial"/>
          <w:szCs w:val="20"/>
        </w:rPr>
      </w:pPr>
      <w:r w:rsidRPr="00416677">
        <w:rPr>
          <w:rFonts w:cs="Arial"/>
          <w:szCs w:val="20"/>
        </w:rPr>
        <w:t>uzupełnienie zniszczonych w czasie robót istniejących elementów drogowych lub terenowych,</w:t>
      </w:r>
    </w:p>
    <w:p w14:paraId="05DEED98"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roboty porządkujące otoczenie terenu robót,</w:t>
      </w:r>
    </w:p>
    <w:p w14:paraId="544D8382"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usunięcie oznakowania drogi wprowadzonego na okres robót.</w:t>
      </w:r>
    </w:p>
    <w:p w14:paraId="3CBB0145" w14:textId="77777777" w:rsidR="00416677" w:rsidRPr="00416677" w:rsidRDefault="00416677" w:rsidP="00416677">
      <w:pPr>
        <w:pStyle w:val="Nagwek1"/>
        <w:spacing w:line="240" w:lineRule="auto"/>
        <w:rPr>
          <w:rFonts w:cs="Arial"/>
          <w:szCs w:val="20"/>
        </w:rPr>
      </w:pPr>
      <w:r w:rsidRPr="00416677">
        <w:rPr>
          <w:rFonts w:cs="Arial"/>
          <w:szCs w:val="20"/>
        </w:rPr>
        <w:t>6. Kontrola jakości robót</w:t>
      </w:r>
      <w:bookmarkEnd w:id="778"/>
    </w:p>
    <w:p w14:paraId="6D2C953F" w14:textId="77777777" w:rsidR="00416677" w:rsidRPr="00416677" w:rsidRDefault="00416677" w:rsidP="00416677">
      <w:pPr>
        <w:pStyle w:val="Nagwek2"/>
        <w:numPr>
          <w:ilvl w:val="12"/>
          <w:numId w:val="0"/>
        </w:numPr>
        <w:spacing w:line="240" w:lineRule="auto"/>
        <w:rPr>
          <w:rFonts w:cs="Arial"/>
          <w:szCs w:val="20"/>
        </w:rPr>
      </w:pPr>
      <w:bookmarkStart w:id="779" w:name="_Toc344981399"/>
      <w:r w:rsidRPr="00416677">
        <w:rPr>
          <w:rFonts w:cs="Arial"/>
          <w:szCs w:val="20"/>
        </w:rPr>
        <w:t>6.1. Ogólne zasady kontroli jakości robót</w:t>
      </w:r>
    </w:p>
    <w:p w14:paraId="62668247" w14:textId="57343775" w:rsidR="00416677" w:rsidRPr="00416677" w:rsidRDefault="00416677" w:rsidP="00416677">
      <w:pPr>
        <w:numPr>
          <w:ilvl w:val="12"/>
          <w:numId w:val="0"/>
        </w:numPr>
        <w:spacing w:line="240" w:lineRule="auto"/>
        <w:rPr>
          <w:rFonts w:cs="Arial"/>
          <w:szCs w:val="20"/>
        </w:rPr>
      </w:pPr>
      <w:r w:rsidRPr="00416677">
        <w:rPr>
          <w:rFonts w:cs="Arial"/>
          <w:szCs w:val="20"/>
        </w:rPr>
        <w:tab/>
        <w:t xml:space="preserve">Ogólne zasady kontroli jakości robót podano w </w:t>
      </w:r>
      <w:r w:rsidR="00D91956">
        <w:rPr>
          <w:rFonts w:cs="Arial"/>
          <w:szCs w:val="20"/>
        </w:rPr>
        <w:t>S</w:t>
      </w:r>
      <w:r w:rsidRPr="00416677">
        <w:rPr>
          <w:rFonts w:cs="Arial"/>
          <w:szCs w:val="20"/>
        </w:rPr>
        <w:t>ST   D-M-00.00.00 „Wymagania ogólne” [1] pkt 6.</w:t>
      </w:r>
    </w:p>
    <w:p w14:paraId="11A0C951" w14:textId="77777777" w:rsidR="00416677" w:rsidRPr="00416677" w:rsidRDefault="00416677" w:rsidP="00416677">
      <w:pPr>
        <w:pStyle w:val="Nagwek2"/>
        <w:numPr>
          <w:ilvl w:val="12"/>
          <w:numId w:val="0"/>
        </w:numPr>
        <w:spacing w:line="240" w:lineRule="auto"/>
        <w:rPr>
          <w:rFonts w:cs="Arial"/>
          <w:szCs w:val="20"/>
        </w:rPr>
      </w:pPr>
      <w:r w:rsidRPr="00416677">
        <w:rPr>
          <w:rFonts w:cs="Arial"/>
          <w:szCs w:val="20"/>
        </w:rPr>
        <w:t>6.2. Badania przed przystąpieniem do robót</w:t>
      </w:r>
    </w:p>
    <w:p w14:paraId="6057F500" w14:textId="77777777" w:rsidR="00416677" w:rsidRPr="00416677" w:rsidRDefault="00416677" w:rsidP="00416677">
      <w:pPr>
        <w:numPr>
          <w:ilvl w:val="12"/>
          <w:numId w:val="0"/>
        </w:numPr>
        <w:spacing w:line="240" w:lineRule="auto"/>
        <w:rPr>
          <w:rFonts w:cs="Arial"/>
          <w:szCs w:val="20"/>
        </w:rPr>
      </w:pPr>
      <w:r w:rsidRPr="00416677">
        <w:rPr>
          <w:rFonts w:cs="Arial"/>
          <w:szCs w:val="20"/>
        </w:rPr>
        <w:tab/>
        <w:t>Przed przystąpieniem do robót Wykonawca powinien:</w:t>
      </w:r>
    </w:p>
    <w:p w14:paraId="295EF344"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3AA7519E"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ew. wykonać własne badania właściwości materiałów przeznaczonych do wykonania robót, określone przez Inżyniera.</w:t>
      </w:r>
    </w:p>
    <w:p w14:paraId="3FF2F30A" w14:textId="77777777" w:rsidR="00416677" w:rsidRPr="00416677" w:rsidRDefault="00416677" w:rsidP="00416677">
      <w:pPr>
        <w:numPr>
          <w:ilvl w:val="12"/>
          <w:numId w:val="0"/>
        </w:numPr>
        <w:spacing w:line="240" w:lineRule="auto"/>
        <w:rPr>
          <w:rFonts w:cs="Arial"/>
          <w:szCs w:val="20"/>
        </w:rPr>
      </w:pPr>
      <w:r w:rsidRPr="00416677">
        <w:rPr>
          <w:rFonts w:cs="Arial"/>
          <w:szCs w:val="20"/>
        </w:rPr>
        <w:tab/>
        <w:t>Wszystkie dokumenty oraz wyniki badań Wykonawca przedstawia Inżynierowi do akceptacji.</w:t>
      </w:r>
    </w:p>
    <w:p w14:paraId="66629BE6" w14:textId="77777777" w:rsidR="00416677" w:rsidRPr="00416677" w:rsidRDefault="00416677" w:rsidP="00416677">
      <w:pPr>
        <w:pStyle w:val="Nagwek2"/>
        <w:numPr>
          <w:ilvl w:val="12"/>
          <w:numId w:val="0"/>
        </w:numPr>
        <w:spacing w:line="240" w:lineRule="auto"/>
        <w:rPr>
          <w:rFonts w:cs="Arial"/>
          <w:szCs w:val="20"/>
        </w:rPr>
      </w:pPr>
      <w:r w:rsidRPr="00416677">
        <w:rPr>
          <w:rFonts w:cs="Arial"/>
          <w:szCs w:val="20"/>
        </w:rPr>
        <w:t>6.3. Badania w czasie robót</w:t>
      </w:r>
    </w:p>
    <w:p w14:paraId="7003BB84" w14:textId="77777777" w:rsidR="00416677" w:rsidRPr="00416677" w:rsidRDefault="00416677" w:rsidP="00416677">
      <w:pPr>
        <w:numPr>
          <w:ilvl w:val="12"/>
          <w:numId w:val="0"/>
        </w:numPr>
        <w:spacing w:line="240" w:lineRule="auto"/>
        <w:ind w:firstLine="709"/>
        <w:rPr>
          <w:rFonts w:cs="Arial"/>
          <w:szCs w:val="20"/>
        </w:rPr>
      </w:pPr>
      <w:r w:rsidRPr="00416677">
        <w:rPr>
          <w:rFonts w:cs="Arial"/>
          <w:szCs w:val="20"/>
        </w:rPr>
        <w:t xml:space="preserve">Częstotliwość oraz zakres badań i pomiarów, które należy wykonać w czasie robót podaje tablica 7.  </w:t>
      </w:r>
    </w:p>
    <w:p w14:paraId="5A3DA58C" w14:textId="77777777" w:rsidR="00416677" w:rsidRPr="00416677" w:rsidRDefault="00416677" w:rsidP="00416677">
      <w:pPr>
        <w:numPr>
          <w:ilvl w:val="12"/>
          <w:numId w:val="0"/>
        </w:numPr>
        <w:spacing w:before="120" w:after="120" w:line="240" w:lineRule="auto"/>
        <w:rPr>
          <w:rFonts w:cs="Arial"/>
          <w:szCs w:val="20"/>
        </w:rPr>
      </w:pPr>
      <w:r w:rsidRPr="00416677">
        <w:rPr>
          <w:rFonts w:cs="Arial"/>
          <w:szCs w:val="20"/>
        </w:rPr>
        <w:t>Tablica 7. Częstotliwość oraz zakres badań i pomiarów w czasie robót</w:t>
      </w:r>
    </w:p>
    <w:tbl>
      <w:tblPr>
        <w:tblW w:w="88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894"/>
        <w:gridCol w:w="1560"/>
        <w:gridCol w:w="2880"/>
      </w:tblGrid>
      <w:tr w:rsidR="00416677" w:rsidRPr="00416677" w14:paraId="6A5359E4" w14:textId="77777777" w:rsidTr="007B6855">
        <w:tc>
          <w:tcPr>
            <w:tcW w:w="496" w:type="dxa"/>
            <w:tcBorders>
              <w:bottom w:val="single" w:sz="4" w:space="0" w:color="auto"/>
            </w:tcBorders>
          </w:tcPr>
          <w:p w14:paraId="0A04C999" w14:textId="77777777" w:rsidR="00416677" w:rsidRPr="00416677" w:rsidRDefault="00416677" w:rsidP="00416677">
            <w:pPr>
              <w:numPr>
                <w:ilvl w:val="12"/>
                <w:numId w:val="0"/>
              </w:numPr>
              <w:spacing w:before="180" w:after="60" w:line="240" w:lineRule="auto"/>
              <w:jc w:val="center"/>
              <w:rPr>
                <w:rFonts w:cs="Arial"/>
                <w:szCs w:val="20"/>
              </w:rPr>
            </w:pPr>
            <w:r w:rsidRPr="00416677">
              <w:rPr>
                <w:rFonts w:cs="Arial"/>
                <w:szCs w:val="20"/>
              </w:rPr>
              <w:t>Lp.</w:t>
            </w:r>
          </w:p>
        </w:tc>
        <w:tc>
          <w:tcPr>
            <w:tcW w:w="3894" w:type="dxa"/>
            <w:tcBorders>
              <w:bottom w:val="single" w:sz="4" w:space="0" w:color="auto"/>
            </w:tcBorders>
          </w:tcPr>
          <w:p w14:paraId="74B6AEF9" w14:textId="77777777" w:rsidR="00416677" w:rsidRPr="00416677" w:rsidRDefault="00416677" w:rsidP="00416677">
            <w:pPr>
              <w:numPr>
                <w:ilvl w:val="12"/>
                <w:numId w:val="0"/>
              </w:numPr>
              <w:spacing w:before="180" w:after="60" w:line="240" w:lineRule="auto"/>
              <w:jc w:val="center"/>
              <w:rPr>
                <w:rFonts w:cs="Arial"/>
                <w:szCs w:val="20"/>
              </w:rPr>
            </w:pPr>
            <w:r w:rsidRPr="00416677">
              <w:rPr>
                <w:rFonts w:cs="Arial"/>
                <w:szCs w:val="20"/>
              </w:rPr>
              <w:t>Wyszczególnienie robót</w:t>
            </w:r>
          </w:p>
        </w:tc>
        <w:tc>
          <w:tcPr>
            <w:tcW w:w="1560" w:type="dxa"/>
            <w:tcBorders>
              <w:bottom w:val="single" w:sz="4" w:space="0" w:color="auto"/>
            </w:tcBorders>
          </w:tcPr>
          <w:p w14:paraId="1F636FBC"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Częstotliwość badań</w:t>
            </w:r>
          </w:p>
        </w:tc>
        <w:tc>
          <w:tcPr>
            <w:tcW w:w="2880" w:type="dxa"/>
            <w:tcBorders>
              <w:bottom w:val="single" w:sz="4" w:space="0" w:color="auto"/>
            </w:tcBorders>
          </w:tcPr>
          <w:p w14:paraId="44C23AB7" w14:textId="77777777" w:rsidR="00416677" w:rsidRPr="00416677" w:rsidRDefault="00416677" w:rsidP="00416677">
            <w:pPr>
              <w:numPr>
                <w:ilvl w:val="12"/>
                <w:numId w:val="0"/>
              </w:numPr>
              <w:spacing w:before="180" w:after="60" w:line="240" w:lineRule="auto"/>
              <w:jc w:val="center"/>
              <w:rPr>
                <w:rFonts w:cs="Arial"/>
                <w:szCs w:val="20"/>
              </w:rPr>
            </w:pPr>
            <w:r w:rsidRPr="00416677">
              <w:rPr>
                <w:rFonts w:cs="Arial"/>
                <w:szCs w:val="20"/>
              </w:rPr>
              <w:t>Wartości dopuszczalne</w:t>
            </w:r>
          </w:p>
        </w:tc>
      </w:tr>
      <w:tr w:rsidR="00416677" w:rsidRPr="00416677" w14:paraId="19070B80" w14:textId="77777777" w:rsidTr="007B6855">
        <w:tc>
          <w:tcPr>
            <w:tcW w:w="496" w:type="dxa"/>
            <w:tcBorders>
              <w:top w:val="single" w:sz="4" w:space="0" w:color="auto"/>
            </w:tcBorders>
            <w:vAlign w:val="center"/>
          </w:tcPr>
          <w:p w14:paraId="1AAC70BF" w14:textId="77777777" w:rsidR="00416677" w:rsidRPr="00416677" w:rsidRDefault="00416677" w:rsidP="00416677">
            <w:pPr>
              <w:numPr>
                <w:ilvl w:val="12"/>
                <w:numId w:val="0"/>
              </w:numPr>
              <w:spacing w:line="240" w:lineRule="auto"/>
              <w:jc w:val="center"/>
              <w:rPr>
                <w:rFonts w:cs="Arial"/>
                <w:szCs w:val="20"/>
              </w:rPr>
            </w:pPr>
            <w:r w:rsidRPr="00416677">
              <w:rPr>
                <w:rFonts w:cs="Arial"/>
                <w:szCs w:val="20"/>
              </w:rPr>
              <w:t>1</w:t>
            </w:r>
          </w:p>
        </w:tc>
        <w:tc>
          <w:tcPr>
            <w:tcW w:w="3894" w:type="dxa"/>
            <w:tcBorders>
              <w:top w:val="single" w:sz="4" w:space="0" w:color="auto"/>
            </w:tcBorders>
            <w:vAlign w:val="center"/>
          </w:tcPr>
          <w:p w14:paraId="646E1EF5" w14:textId="77777777" w:rsidR="00416677" w:rsidRPr="00416677" w:rsidRDefault="00416677" w:rsidP="00416677">
            <w:pPr>
              <w:numPr>
                <w:ilvl w:val="12"/>
                <w:numId w:val="0"/>
              </w:numPr>
              <w:spacing w:line="240" w:lineRule="auto"/>
              <w:rPr>
                <w:rFonts w:cs="Arial"/>
                <w:szCs w:val="20"/>
              </w:rPr>
            </w:pPr>
            <w:r w:rsidRPr="00416677">
              <w:rPr>
                <w:rFonts w:cs="Arial"/>
                <w:szCs w:val="20"/>
              </w:rPr>
              <w:t xml:space="preserve">Lokalizacja i zgodność granic terenu robót </w:t>
            </w:r>
            <w:r w:rsidRPr="00416677">
              <w:rPr>
                <w:rFonts w:cs="Arial"/>
                <w:szCs w:val="20"/>
              </w:rPr>
              <w:lastRenderedPageBreak/>
              <w:t>z dokumentacją projektową</w:t>
            </w:r>
          </w:p>
        </w:tc>
        <w:tc>
          <w:tcPr>
            <w:tcW w:w="1560" w:type="dxa"/>
            <w:tcBorders>
              <w:top w:val="single" w:sz="4" w:space="0" w:color="auto"/>
            </w:tcBorders>
            <w:vAlign w:val="center"/>
          </w:tcPr>
          <w:p w14:paraId="6FA69975" w14:textId="77777777" w:rsidR="00416677" w:rsidRPr="00416677" w:rsidRDefault="00416677" w:rsidP="00416677">
            <w:pPr>
              <w:numPr>
                <w:ilvl w:val="12"/>
                <w:numId w:val="0"/>
              </w:numPr>
              <w:spacing w:line="240" w:lineRule="auto"/>
              <w:jc w:val="center"/>
              <w:rPr>
                <w:rFonts w:cs="Arial"/>
                <w:szCs w:val="20"/>
              </w:rPr>
            </w:pPr>
            <w:r w:rsidRPr="00416677">
              <w:rPr>
                <w:rFonts w:cs="Arial"/>
                <w:szCs w:val="20"/>
              </w:rPr>
              <w:lastRenderedPageBreak/>
              <w:t>1 raz</w:t>
            </w:r>
          </w:p>
        </w:tc>
        <w:tc>
          <w:tcPr>
            <w:tcW w:w="2880" w:type="dxa"/>
            <w:tcBorders>
              <w:top w:val="single" w:sz="4" w:space="0" w:color="auto"/>
            </w:tcBorders>
            <w:vAlign w:val="center"/>
          </w:tcPr>
          <w:p w14:paraId="655A1264" w14:textId="77777777" w:rsidR="00416677" w:rsidRPr="00416677" w:rsidRDefault="00416677" w:rsidP="00416677">
            <w:pPr>
              <w:numPr>
                <w:ilvl w:val="12"/>
                <w:numId w:val="0"/>
              </w:numPr>
              <w:spacing w:line="240" w:lineRule="auto"/>
              <w:jc w:val="center"/>
              <w:rPr>
                <w:rFonts w:cs="Arial"/>
                <w:szCs w:val="20"/>
              </w:rPr>
            </w:pPr>
            <w:r w:rsidRPr="00416677">
              <w:rPr>
                <w:rFonts w:cs="Arial"/>
                <w:szCs w:val="20"/>
              </w:rPr>
              <w:t xml:space="preserve">Wg </w:t>
            </w:r>
            <w:proofErr w:type="spellStart"/>
            <w:r w:rsidRPr="00416677">
              <w:rPr>
                <w:rFonts w:cs="Arial"/>
                <w:szCs w:val="20"/>
              </w:rPr>
              <w:t>pktu</w:t>
            </w:r>
            <w:proofErr w:type="spellEnd"/>
            <w:r w:rsidRPr="00416677">
              <w:rPr>
                <w:rFonts w:cs="Arial"/>
                <w:szCs w:val="20"/>
              </w:rPr>
              <w:t xml:space="preserve"> 5 </w:t>
            </w:r>
          </w:p>
          <w:p w14:paraId="4B806DF4" w14:textId="77777777" w:rsidR="00416677" w:rsidRPr="00416677" w:rsidRDefault="00416677" w:rsidP="00416677">
            <w:pPr>
              <w:numPr>
                <w:ilvl w:val="12"/>
                <w:numId w:val="0"/>
              </w:numPr>
              <w:spacing w:line="240" w:lineRule="auto"/>
              <w:jc w:val="center"/>
              <w:rPr>
                <w:rFonts w:cs="Arial"/>
                <w:szCs w:val="20"/>
              </w:rPr>
            </w:pPr>
            <w:r w:rsidRPr="00416677">
              <w:rPr>
                <w:rFonts w:cs="Arial"/>
                <w:szCs w:val="20"/>
              </w:rPr>
              <w:lastRenderedPageBreak/>
              <w:t xml:space="preserve">i dokumentacji projektowej </w:t>
            </w:r>
          </w:p>
        </w:tc>
      </w:tr>
      <w:tr w:rsidR="00416677" w:rsidRPr="00416677" w14:paraId="0AC078DE" w14:textId="77777777" w:rsidTr="007B6855">
        <w:tc>
          <w:tcPr>
            <w:tcW w:w="496" w:type="dxa"/>
            <w:vAlign w:val="center"/>
          </w:tcPr>
          <w:p w14:paraId="3E50E985"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lastRenderedPageBreak/>
              <w:t>2</w:t>
            </w:r>
          </w:p>
        </w:tc>
        <w:tc>
          <w:tcPr>
            <w:tcW w:w="3894" w:type="dxa"/>
            <w:vAlign w:val="center"/>
          </w:tcPr>
          <w:p w14:paraId="411B59C0" w14:textId="77777777" w:rsidR="00416677" w:rsidRPr="00416677" w:rsidRDefault="00416677" w:rsidP="00416677">
            <w:pPr>
              <w:numPr>
                <w:ilvl w:val="12"/>
                <w:numId w:val="0"/>
              </w:numPr>
              <w:spacing w:before="60" w:after="60" w:line="240" w:lineRule="auto"/>
              <w:rPr>
                <w:rFonts w:cs="Arial"/>
                <w:szCs w:val="20"/>
              </w:rPr>
            </w:pPr>
            <w:r w:rsidRPr="00416677">
              <w:rPr>
                <w:rFonts w:cs="Arial"/>
                <w:szCs w:val="20"/>
              </w:rPr>
              <w:t>Roboty przygotowawcze</w:t>
            </w:r>
          </w:p>
        </w:tc>
        <w:tc>
          <w:tcPr>
            <w:tcW w:w="1560" w:type="dxa"/>
            <w:vAlign w:val="center"/>
          </w:tcPr>
          <w:p w14:paraId="514EEAB3"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Ocena ciągła</w:t>
            </w:r>
          </w:p>
        </w:tc>
        <w:tc>
          <w:tcPr>
            <w:tcW w:w="2880" w:type="dxa"/>
            <w:vAlign w:val="center"/>
          </w:tcPr>
          <w:p w14:paraId="5B8EA799"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 xml:space="preserve">Wg </w:t>
            </w:r>
            <w:proofErr w:type="spellStart"/>
            <w:r w:rsidRPr="00416677">
              <w:rPr>
                <w:rFonts w:cs="Arial"/>
                <w:szCs w:val="20"/>
              </w:rPr>
              <w:t>pktu</w:t>
            </w:r>
            <w:proofErr w:type="spellEnd"/>
            <w:r w:rsidRPr="00416677">
              <w:rPr>
                <w:rFonts w:cs="Arial"/>
                <w:szCs w:val="20"/>
              </w:rPr>
              <w:t xml:space="preserve"> 5.3</w:t>
            </w:r>
          </w:p>
        </w:tc>
      </w:tr>
      <w:tr w:rsidR="00416677" w:rsidRPr="00416677" w14:paraId="294FACF2" w14:textId="77777777" w:rsidTr="007B6855">
        <w:tc>
          <w:tcPr>
            <w:tcW w:w="496" w:type="dxa"/>
            <w:vAlign w:val="center"/>
          </w:tcPr>
          <w:p w14:paraId="14E99FCA"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3</w:t>
            </w:r>
          </w:p>
        </w:tc>
        <w:tc>
          <w:tcPr>
            <w:tcW w:w="3894" w:type="dxa"/>
            <w:vAlign w:val="center"/>
          </w:tcPr>
          <w:p w14:paraId="61A3B244" w14:textId="77777777" w:rsidR="00416677" w:rsidRPr="00416677" w:rsidRDefault="00416677" w:rsidP="00416677">
            <w:pPr>
              <w:numPr>
                <w:ilvl w:val="12"/>
                <w:numId w:val="0"/>
              </w:numPr>
              <w:spacing w:before="60" w:after="60" w:line="240" w:lineRule="auto"/>
              <w:rPr>
                <w:rFonts w:cs="Arial"/>
                <w:szCs w:val="20"/>
              </w:rPr>
            </w:pPr>
            <w:r w:rsidRPr="00416677">
              <w:rPr>
                <w:rFonts w:cs="Arial"/>
                <w:szCs w:val="20"/>
              </w:rPr>
              <w:t>Czystość podłoża (sprawdzona wizualnie)</w:t>
            </w:r>
          </w:p>
        </w:tc>
        <w:tc>
          <w:tcPr>
            <w:tcW w:w="1560" w:type="dxa"/>
            <w:vAlign w:val="center"/>
          </w:tcPr>
          <w:p w14:paraId="5FFAC925"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Ocena ciągła</w:t>
            </w:r>
          </w:p>
        </w:tc>
        <w:tc>
          <w:tcPr>
            <w:tcW w:w="2880" w:type="dxa"/>
            <w:vAlign w:val="center"/>
          </w:tcPr>
          <w:p w14:paraId="3303869B"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 xml:space="preserve">Wg </w:t>
            </w:r>
            <w:proofErr w:type="spellStart"/>
            <w:r w:rsidRPr="00416677">
              <w:rPr>
                <w:rFonts w:cs="Arial"/>
                <w:szCs w:val="20"/>
              </w:rPr>
              <w:t>pktu</w:t>
            </w:r>
            <w:proofErr w:type="spellEnd"/>
            <w:r w:rsidRPr="00416677">
              <w:rPr>
                <w:rFonts w:cs="Arial"/>
                <w:szCs w:val="20"/>
              </w:rPr>
              <w:t xml:space="preserve"> 5.4</w:t>
            </w:r>
          </w:p>
        </w:tc>
      </w:tr>
      <w:tr w:rsidR="00416677" w:rsidRPr="00416677" w14:paraId="1E1B7772" w14:textId="77777777" w:rsidTr="007B6855">
        <w:tc>
          <w:tcPr>
            <w:tcW w:w="496" w:type="dxa"/>
            <w:vAlign w:val="center"/>
          </w:tcPr>
          <w:p w14:paraId="70AA8213" w14:textId="77777777" w:rsidR="00416677" w:rsidRPr="00416677" w:rsidRDefault="00416677" w:rsidP="00416677">
            <w:pPr>
              <w:numPr>
                <w:ilvl w:val="12"/>
                <w:numId w:val="0"/>
              </w:numPr>
              <w:spacing w:line="240" w:lineRule="auto"/>
              <w:jc w:val="center"/>
              <w:rPr>
                <w:rFonts w:cs="Arial"/>
                <w:szCs w:val="20"/>
              </w:rPr>
            </w:pPr>
            <w:r w:rsidRPr="00416677">
              <w:rPr>
                <w:rFonts w:cs="Arial"/>
                <w:szCs w:val="20"/>
              </w:rPr>
              <w:t>4</w:t>
            </w:r>
          </w:p>
        </w:tc>
        <w:tc>
          <w:tcPr>
            <w:tcW w:w="3894" w:type="dxa"/>
            <w:vAlign w:val="center"/>
          </w:tcPr>
          <w:p w14:paraId="584CFBA7" w14:textId="77777777" w:rsidR="00416677" w:rsidRPr="00416677" w:rsidRDefault="00416677" w:rsidP="00416677">
            <w:pPr>
              <w:numPr>
                <w:ilvl w:val="12"/>
                <w:numId w:val="0"/>
              </w:numPr>
              <w:spacing w:line="240" w:lineRule="auto"/>
              <w:rPr>
                <w:rFonts w:cs="Arial"/>
                <w:szCs w:val="20"/>
              </w:rPr>
            </w:pPr>
            <w:r w:rsidRPr="00416677">
              <w:rPr>
                <w:rFonts w:cs="Arial"/>
                <w:szCs w:val="20"/>
              </w:rPr>
              <w:t>Sprawdzenie jednorodności skropienia</w:t>
            </w:r>
          </w:p>
        </w:tc>
        <w:tc>
          <w:tcPr>
            <w:tcW w:w="1560" w:type="dxa"/>
            <w:vAlign w:val="center"/>
          </w:tcPr>
          <w:p w14:paraId="1C5F0D1D" w14:textId="77777777" w:rsidR="00416677" w:rsidRPr="00416677" w:rsidRDefault="00416677" w:rsidP="00416677">
            <w:pPr>
              <w:numPr>
                <w:ilvl w:val="12"/>
                <w:numId w:val="0"/>
              </w:numPr>
              <w:spacing w:line="240" w:lineRule="auto"/>
              <w:jc w:val="center"/>
              <w:rPr>
                <w:rFonts w:cs="Arial"/>
                <w:szCs w:val="20"/>
              </w:rPr>
            </w:pPr>
            <w:r w:rsidRPr="00416677">
              <w:rPr>
                <w:rFonts w:cs="Arial"/>
                <w:szCs w:val="20"/>
              </w:rPr>
              <w:t xml:space="preserve">2000 ÷ </w:t>
            </w:r>
            <w:smartTag w:uri="urn:schemas-microsoft-com:office:smarttags" w:element="metricconverter">
              <w:smartTagPr>
                <w:attr w:name="ProductID" w:val="3000 m2"/>
              </w:smartTagPr>
              <w:r w:rsidRPr="00416677">
                <w:rPr>
                  <w:rFonts w:cs="Arial"/>
                  <w:szCs w:val="20"/>
                </w:rPr>
                <w:t>3000 m</w:t>
              </w:r>
              <w:r w:rsidRPr="00416677">
                <w:rPr>
                  <w:rFonts w:cs="Arial"/>
                  <w:szCs w:val="20"/>
                  <w:vertAlign w:val="superscript"/>
                </w:rPr>
                <w:t>2</w:t>
              </w:r>
            </w:smartTag>
            <w:r w:rsidRPr="00416677">
              <w:rPr>
                <w:rFonts w:cs="Arial"/>
                <w:szCs w:val="20"/>
                <w:vertAlign w:val="superscript"/>
              </w:rPr>
              <w:t xml:space="preserve">   1)</w:t>
            </w:r>
          </w:p>
        </w:tc>
        <w:tc>
          <w:tcPr>
            <w:tcW w:w="2880" w:type="dxa"/>
            <w:vAlign w:val="center"/>
          </w:tcPr>
          <w:p w14:paraId="0586C40A" w14:textId="77777777" w:rsidR="00416677" w:rsidRPr="00416677" w:rsidRDefault="00416677" w:rsidP="00416677">
            <w:pPr>
              <w:numPr>
                <w:ilvl w:val="12"/>
                <w:numId w:val="0"/>
              </w:numPr>
              <w:spacing w:line="240" w:lineRule="auto"/>
              <w:jc w:val="center"/>
              <w:rPr>
                <w:rFonts w:cs="Arial"/>
                <w:szCs w:val="20"/>
              </w:rPr>
            </w:pPr>
            <w:r w:rsidRPr="00416677">
              <w:rPr>
                <w:rFonts w:cs="Arial"/>
                <w:szCs w:val="20"/>
              </w:rPr>
              <w:t xml:space="preserve">Wg </w:t>
            </w:r>
            <w:proofErr w:type="spellStart"/>
            <w:r w:rsidRPr="00416677">
              <w:rPr>
                <w:rFonts w:cs="Arial"/>
                <w:szCs w:val="20"/>
              </w:rPr>
              <w:t>pktu</w:t>
            </w:r>
            <w:proofErr w:type="spellEnd"/>
            <w:r w:rsidRPr="00416677">
              <w:rPr>
                <w:rFonts w:cs="Arial"/>
                <w:szCs w:val="20"/>
              </w:rPr>
              <w:t xml:space="preserve"> 5.7.2 </w:t>
            </w:r>
            <w:r w:rsidRPr="00416677">
              <w:rPr>
                <w:rFonts w:cs="Arial"/>
                <w:szCs w:val="20"/>
                <w:vertAlign w:val="superscript"/>
              </w:rPr>
              <w:t>2)</w:t>
            </w:r>
          </w:p>
        </w:tc>
      </w:tr>
      <w:tr w:rsidR="00416677" w:rsidRPr="00416677" w14:paraId="348FF39B" w14:textId="77777777" w:rsidTr="007B6855">
        <w:tc>
          <w:tcPr>
            <w:tcW w:w="496" w:type="dxa"/>
            <w:vAlign w:val="center"/>
          </w:tcPr>
          <w:p w14:paraId="1EC212A7"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5</w:t>
            </w:r>
          </w:p>
        </w:tc>
        <w:tc>
          <w:tcPr>
            <w:tcW w:w="3894" w:type="dxa"/>
            <w:vAlign w:val="center"/>
          </w:tcPr>
          <w:p w14:paraId="16525A07" w14:textId="77777777" w:rsidR="00416677" w:rsidRPr="00416677" w:rsidRDefault="00416677" w:rsidP="00416677">
            <w:pPr>
              <w:numPr>
                <w:ilvl w:val="12"/>
                <w:numId w:val="0"/>
              </w:numPr>
              <w:spacing w:before="60" w:after="60" w:line="240" w:lineRule="auto"/>
              <w:rPr>
                <w:rFonts w:cs="Arial"/>
                <w:szCs w:val="20"/>
              </w:rPr>
            </w:pPr>
            <w:r w:rsidRPr="00416677">
              <w:rPr>
                <w:rFonts w:cs="Arial"/>
                <w:szCs w:val="20"/>
              </w:rPr>
              <w:t>Wytrzymałość na ścinanie połączenia między warstwami</w:t>
            </w:r>
          </w:p>
        </w:tc>
        <w:tc>
          <w:tcPr>
            <w:tcW w:w="1560" w:type="dxa"/>
            <w:vAlign w:val="center"/>
          </w:tcPr>
          <w:p w14:paraId="70546B59"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 xml:space="preserve">1 próbka na </w:t>
            </w:r>
            <w:smartTag w:uri="urn:schemas-microsoft-com:office:smarttags" w:element="metricconverter">
              <w:smartTagPr>
                <w:attr w:name="ProductID" w:val="15000 m2"/>
              </w:smartTagPr>
              <w:r w:rsidRPr="00416677">
                <w:rPr>
                  <w:rFonts w:cs="Arial"/>
                  <w:szCs w:val="20"/>
                </w:rPr>
                <w:t>15000 m</w:t>
              </w:r>
              <w:r w:rsidRPr="00416677">
                <w:rPr>
                  <w:rFonts w:cs="Arial"/>
                  <w:szCs w:val="20"/>
                  <w:vertAlign w:val="superscript"/>
                </w:rPr>
                <w:t>2</w:t>
              </w:r>
            </w:smartTag>
            <w:r w:rsidRPr="00416677">
              <w:rPr>
                <w:rFonts w:cs="Arial"/>
                <w:szCs w:val="20"/>
              </w:rPr>
              <w:t xml:space="preserve"> wykonanej nawierzchni</w:t>
            </w:r>
          </w:p>
        </w:tc>
        <w:tc>
          <w:tcPr>
            <w:tcW w:w="2880" w:type="dxa"/>
            <w:vAlign w:val="center"/>
          </w:tcPr>
          <w:p w14:paraId="71A726FF"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 xml:space="preserve">Wg tab. 8 </w:t>
            </w:r>
            <w:r w:rsidRPr="00416677">
              <w:rPr>
                <w:rFonts w:cs="Arial"/>
                <w:szCs w:val="20"/>
                <w:vertAlign w:val="superscript"/>
              </w:rPr>
              <w:t>3)</w:t>
            </w:r>
          </w:p>
        </w:tc>
      </w:tr>
      <w:tr w:rsidR="00416677" w:rsidRPr="00416677" w14:paraId="26210EF0" w14:textId="77777777" w:rsidTr="007B6855">
        <w:tc>
          <w:tcPr>
            <w:tcW w:w="496" w:type="dxa"/>
            <w:vAlign w:val="center"/>
          </w:tcPr>
          <w:p w14:paraId="11815B9A"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6</w:t>
            </w:r>
          </w:p>
        </w:tc>
        <w:tc>
          <w:tcPr>
            <w:tcW w:w="3894" w:type="dxa"/>
            <w:vAlign w:val="center"/>
          </w:tcPr>
          <w:p w14:paraId="2AA3D1B4" w14:textId="77777777" w:rsidR="00416677" w:rsidRPr="00416677" w:rsidRDefault="00416677" w:rsidP="00416677">
            <w:pPr>
              <w:numPr>
                <w:ilvl w:val="12"/>
                <w:numId w:val="0"/>
              </w:numPr>
              <w:spacing w:before="60" w:after="60" w:line="240" w:lineRule="auto"/>
              <w:rPr>
                <w:rFonts w:cs="Arial"/>
                <w:szCs w:val="20"/>
              </w:rPr>
            </w:pPr>
            <w:r w:rsidRPr="00416677">
              <w:rPr>
                <w:rFonts w:cs="Arial"/>
                <w:szCs w:val="20"/>
              </w:rPr>
              <w:t>Wykonanie robót wykończeniowych</w:t>
            </w:r>
          </w:p>
        </w:tc>
        <w:tc>
          <w:tcPr>
            <w:tcW w:w="1560" w:type="dxa"/>
            <w:vAlign w:val="center"/>
          </w:tcPr>
          <w:p w14:paraId="69B0A70D"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Ocena ciągła</w:t>
            </w:r>
          </w:p>
        </w:tc>
        <w:tc>
          <w:tcPr>
            <w:tcW w:w="2880" w:type="dxa"/>
            <w:vAlign w:val="center"/>
          </w:tcPr>
          <w:p w14:paraId="3905948F" w14:textId="77777777" w:rsidR="00416677" w:rsidRPr="00416677" w:rsidRDefault="00416677" w:rsidP="00416677">
            <w:pPr>
              <w:numPr>
                <w:ilvl w:val="12"/>
                <w:numId w:val="0"/>
              </w:numPr>
              <w:spacing w:before="60" w:after="60" w:line="240" w:lineRule="auto"/>
              <w:jc w:val="center"/>
              <w:rPr>
                <w:rFonts w:cs="Arial"/>
                <w:szCs w:val="20"/>
              </w:rPr>
            </w:pPr>
            <w:r w:rsidRPr="00416677">
              <w:rPr>
                <w:rFonts w:cs="Arial"/>
                <w:szCs w:val="20"/>
              </w:rPr>
              <w:t>Według punktu 5.8</w:t>
            </w:r>
          </w:p>
        </w:tc>
      </w:tr>
    </w:tbl>
    <w:p w14:paraId="5D46D09F" w14:textId="77777777" w:rsidR="00416677" w:rsidRPr="00416677" w:rsidRDefault="00416677" w:rsidP="00416677">
      <w:pPr>
        <w:spacing w:line="240" w:lineRule="auto"/>
        <w:rPr>
          <w:rFonts w:cs="Arial"/>
          <w:szCs w:val="20"/>
        </w:rPr>
      </w:pPr>
    </w:p>
    <w:p w14:paraId="00BE4FE3" w14:textId="77777777" w:rsidR="00416677" w:rsidRPr="00416677" w:rsidRDefault="00416677" w:rsidP="00416677">
      <w:pPr>
        <w:spacing w:line="240" w:lineRule="auto"/>
        <w:ind w:left="360" w:hanging="360"/>
        <w:rPr>
          <w:rFonts w:cs="Arial"/>
          <w:szCs w:val="20"/>
        </w:rPr>
      </w:pPr>
      <w:r w:rsidRPr="00416677">
        <w:rPr>
          <w:rFonts w:cs="Arial"/>
          <w:szCs w:val="20"/>
          <w:vertAlign w:val="superscript"/>
        </w:rPr>
        <w:t>1)</w:t>
      </w:r>
      <w:r w:rsidRPr="00416677">
        <w:rPr>
          <w:rFonts w:cs="Arial"/>
          <w:szCs w:val="20"/>
        </w:rPr>
        <w:t xml:space="preserve"> Częstotliwość badań: raz na </w:t>
      </w:r>
      <w:smartTag w:uri="urn:schemas-microsoft-com:office:smarttags" w:element="metricconverter">
        <w:smartTagPr>
          <w:attr w:name="ProductID" w:val="2000 m2"/>
        </w:smartTagPr>
        <w:r w:rsidRPr="00416677">
          <w:rPr>
            <w:rFonts w:cs="Arial"/>
            <w:szCs w:val="20"/>
          </w:rPr>
          <w:t>2000 m</w:t>
        </w:r>
        <w:r w:rsidRPr="00416677">
          <w:rPr>
            <w:rFonts w:cs="Arial"/>
            <w:szCs w:val="20"/>
            <w:vertAlign w:val="superscript"/>
          </w:rPr>
          <w:t>2</w:t>
        </w:r>
      </w:smartTag>
      <w:r w:rsidRPr="00416677">
        <w:rPr>
          <w:rFonts w:cs="Arial"/>
          <w:szCs w:val="20"/>
        </w:rPr>
        <w:t xml:space="preserve"> przy wielkości powierzchni do skropienia do          </w:t>
      </w:r>
      <w:smartTag w:uri="urn:schemas-microsoft-com:office:smarttags" w:element="metricconverter">
        <w:smartTagPr>
          <w:attr w:name="ProductID" w:val="6000 m2"/>
        </w:smartTagPr>
        <w:r w:rsidRPr="00416677">
          <w:rPr>
            <w:rFonts w:cs="Arial"/>
            <w:szCs w:val="20"/>
          </w:rPr>
          <w:t>6000 m</w:t>
        </w:r>
        <w:r w:rsidRPr="00416677">
          <w:rPr>
            <w:rFonts w:cs="Arial"/>
            <w:szCs w:val="20"/>
            <w:vertAlign w:val="superscript"/>
          </w:rPr>
          <w:t>2</w:t>
        </w:r>
      </w:smartTag>
      <w:r w:rsidRPr="00416677">
        <w:rPr>
          <w:rFonts w:cs="Arial"/>
          <w:szCs w:val="20"/>
        </w:rPr>
        <w:t xml:space="preserve"> i raz na </w:t>
      </w:r>
      <w:smartTag w:uri="urn:schemas-microsoft-com:office:smarttags" w:element="metricconverter">
        <w:smartTagPr>
          <w:attr w:name="ProductID" w:val="3000 m2"/>
        </w:smartTagPr>
        <w:r w:rsidRPr="00416677">
          <w:rPr>
            <w:rFonts w:cs="Arial"/>
            <w:szCs w:val="20"/>
          </w:rPr>
          <w:t>3000 m</w:t>
        </w:r>
        <w:r w:rsidRPr="00416677">
          <w:rPr>
            <w:rFonts w:cs="Arial"/>
            <w:szCs w:val="20"/>
            <w:vertAlign w:val="superscript"/>
          </w:rPr>
          <w:t>2</w:t>
        </w:r>
      </w:smartTag>
      <w:r w:rsidRPr="00416677">
        <w:rPr>
          <w:rFonts w:cs="Arial"/>
          <w:szCs w:val="20"/>
        </w:rPr>
        <w:t xml:space="preserve"> przy wielkości powierzchni do skropienia powyżej </w:t>
      </w:r>
      <w:smartTag w:uri="urn:schemas-microsoft-com:office:smarttags" w:element="metricconverter">
        <w:smartTagPr>
          <w:attr w:name="ProductID" w:val="6000 m2"/>
        </w:smartTagPr>
        <w:r w:rsidRPr="00416677">
          <w:rPr>
            <w:rFonts w:cs="Arial"/>
            <w:szCs w:val="20"/>
          </w:rPr>
          <w:t>6000 m</w:t>
        </w:r>
        <w:r w:rsidRPr="00416677">
          <w:rPr>
            <w:rFonts w:cs="Arial"/>
            <w:szCs w:val="20"/>
            <w:vertAlign w:val="superscript"/>
          </w:rPr>
          <w:t>2</w:t>
        </w:r>
      </w:smartTag>
      <w:r w:rsidRPr="00416677">
        <w:rPr>
          <w:rFonts w:cs="Arial"/>
          <w:szCs w:val="20"/>
        </w:rPr>
        <w:t>.</w:t>
      </w:r>
    </w:p>
    <w:p w14:paraId="200B6F10" w14:textId="77777777" w:rsidR="00416677" w:rsidRPr="00416677" w:rsidRDefault="00416677" w:rsidP="00416677">
      <w:pPr>
        <w:spacing w:line="240" w:lineRule="auto"/>
        <w:ind w:left="360" w:hanging="360"/>
        <w:rPr>
          <w:rFonts w:cs="Arial"/>
          <w:szCs w:val="20"/>
        </w:rPr>
      </w:pPr>
      <w:r w:rsidRPr="00416677">
        <w:rPr>
          <w:rFonts w:cs="Arial"/>
          <w:szCs w:val="20"/>
          <w:vertAlign w:val="superscript"/>
        </w:rPr>
        <w:t>2)</w:t>
      </w:r>
      <w:r w:rsidRPr="00416677">
        <w:rPr>
          <w:rFonts w:cs="Arial"/>
          <w:szCs w:val="20"/>
        </w:rPr>
        <w:t xml:space="preserve">  Dopuszczalne odchylenia ilości dozowanej emulsji na 1 m</w:t>
      </w:r>
      <w:r w:rsidRPr="00416677">
        <w:rPr>
          <w:rFonts w:cs="Arial"/>
          <w:szCs w:val="20"/>
          <w:vertAlign w:val="superscript"/>
        </w:rPr>
        <w:t>2</w:t>
      </w:r>
      <w:r w:rsidRPr="00416677">
        <w:rPr>
          <w:rFonts w:cs="Arial"/>
          <w:szCs w:val="20"/>
        </w:rPr>
        <w:t xml:space="preserve">: ± 10%. Dopuszczalne odchylenia szerokości dozowanej warstwy emulsji: ± </w:t>
      </w:r>
      <w:smartTag w:uri="urn:schemas-microsoft-com:office:smarttags" w:element="metricconverter">
        <w:smartTagPr>
          <w:attr w:name="ProductID" w:val="10 cm"/>
        </w:smartTagPr>
        <w:r w:rsidRPr="00416677">
          <w:rPr>
            <w:rFonts w:cs="Arial"/>
            <w:szCs w:val="20"/>
          </w:rPr>
          <w:t>10 cm</w:t>
        </w:r>
      </w:smartTag>
      <w:r w:rsidRPr="00416677">
        <w:rPr>
          <w:rFonts w:cs="Arial"/>
          <w:szCs w:val="20"/>
        </w:rPr>
        <w:t>.</w:t>
      </w:r>
    </w:p>
    <w:p w14:paraId="71B08A1C" w14:textId="77777777" w:rsidR="00416677" w:rsidRPr="00416677" w:rsidRDefault="00416677" w:rsidP="00416677">
      <w:pPr>
        <w:spacing w:line="240" w:lineRule="auto"/>
        <w:ind w:left="360" w:hanging="360"/>
        <w:rPr>
          <w:rFonts w:cs="Arial"/>
          <w:szCs w:val="20"/>
        </w:rPr>
      </w:pPr>
      <w:r w:rsidRPr="00416677">
        <w:rPr>
          <w:rFonts w:cs="Arial"/>
          <w:szCs w:val="20"/>
          <w:vertAlign w:val="superscript"/>
        </w:rPr>
        <w:t>3)</w:t>
      </w:r>
      <w:r w:rsidRPr="00416677">
        <w:rPr>
          <w:rFonts w:cs="Arial"/>
          <w:szCs w:val="20"/>
        </w:rPr>
        <w:t xml:space="preserve">  Badanie połączenia </w:t>
      </w:r>
      <w:proofErr w:type="spellStart"/>
      <w:r w:rsidRPr="00416677">
        <w:rPr>
          <w:rFonts w:cs="Arial"/>
          <w:szCs w:val="20"/>
        </w:rPr>
        <w:t>międzywarstwowego</w:t>
      </w:r>
      <w:proofErr w:type="spellEnd"/>
      <w:r w:rsidRPr="00416677">
        <w:rPr>
          <w:rFonts w:cs="Arial"/>
          <w:szCs w:val="20"/>
        </w:rPr>
        <w:t xml:space="preserve"> powinno być wykonywane w nawierzchniach dróg o kategorii ruchu KR3 ÷ KR7. Częstość pobierania próbek powinna wynosić: 1 próbka na </w:t>
      </w:r>
      <w:smartTag w:uri="urn:schemas-microsoft-com:office:smarttags" w:element="metricconverter">
        <w:smartTagPr>
          <w:attr w:name="ProductID" w:val="15000 m2"/>
        </w:smartTagPr>
        <w:r w:rsidRPr="00416677">
          <w:rPr>
            <w:rFonts w:cs="Arial"/>
            <w:szCs w:val="20"/>
          </w:rPr>
          <w:t>15000 m</w:t>
        </w:r>
        <w:r w:rsidRPr="00416677">
          <w:rPr>
            <w:rFonts w:cs="Arial"/>
            <w:szCs w:val="20"/>
            <w:vertAlign w:val="superscript"/>
          </w:rPr>
          <w:t>2</w:t>
        </w:r>
      </w:smartTag>
      <w:r w:rsidRPr="00416677">
        <w:rPr>
          <w:rFonts w:cs="Arial"/>
          <w:szCs w:val="20"/>
        </w:rPr>
        <w:t xml:space="preserve"> wykonanej nawierzchni.</w:t>
      </w:r>
    </w:p>
    <w:p w14:paraId="1CAF3C96" w14:textId="77777777" w:rsidR="00416677" w:rsidRPr="00416677" w:rsidRDefault="00416677" w:rsidP="00416677">
      <w:pPr>
        <w:spacing w:before="120" w:line="240" w:lineRule="auto"/>
        <w:ind w:firstLine="709"/>
        <w:rPr>
          <w:rFonts w:cs="Arial"/>
          <w:szCs w:val="20"/>
        </w:rPr>
      </w:pPr>
      <w:r w:rsidRPr="00416677">
        <w:rPr>
          <w:rFonts w:cs="Arial"/>
          <w:szCs w:val="20"/>
        </w:rPr>
        <w:t>Wytrzymałość na ścinanie wszystkich połączeń jest warunkiem uzyskania odpowiedniej sztywności konstrukcji, a tym samym trwałości konstrukcji. Jest warunkiem, który jest zakładany do obliczenia grubości warstw na etapie wymiarowania nawierzchni i musi być spełniony.</w:t>
      </w:r>
    </w:p>
    <w:p w14:paraId="4AA29E0B" w14:textId="6178C7ED" w:rsidR="00416677" w:rsidRPr="00416677" w:rsidRDefault="00416677" w:rsidP="00416677">
      <w:pPr>
        <w:spacing w:line="240" w:lineRule="auto"/>
        <w:ind w:firstLine="709"/>
        <w:rPr>
          <w:rFonts w:cs="Arial"/>
          <w:szCs w:val="20"/>
        </w:rPr>
      </w:pPr>
      <w:r w:rsidRPr="00416677">
        <w:rPr>
          <w:rFonts w:cs="Arial"/>
          <w:szCs w:val="20"/>
        </w:rPr>
        <w:t>Wymagane minimalne wartości wytrzymałości na ścinanie połączenia między warstwami asfaltowymi nawierzchni podano w tablicy 8.</w:t>
      </w:r>
    </w:p>
    <w:p w14:paraId="5B95DD84" w14:textId="77777777" w:rsidR="00416677" w:rsidRPr="00416677" w:rsidRDefault="00416677" w:rsidP="00416677">
      <w:pPr>
        <w:spacing w:before="240" w:after="120" w:line="240" w:lineRule="auto"/>
        <w:ind w:left="993" w:hanging="993"/>
        <w:rPr>
          <w:rFonts w:cs="Arial"/>
          <w:szCs w:val="20"/>
        </w:rPr>
      </w:pPr>
      <w:r w:rsidRPr="00416677">
        <w:rPr>
          <w:rFonts w:cs="Arial"/>
          <w:szCs w:val="20"/>
        </w:rPr>
        <w:t>Tablica 8.</w:t>
      </w:r>
      <w:r w:rsidRPr="00416677">
        <w:rPr>
          <w:rFonts w:cs="Arial"/>
          <w:szCs w:val="20"/>
        </w:rPr>
        <w:tab/>
        <w:t>Wymagania wytrzymałość na ścinanie połączenia między warstwami asfaltowymi nawierzchni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3"/>
        <w:gridCol w:w="4464"/>
      </w:tblGrid>
      <w:tr w:rsidR="00416677" w:rsidRPr="00416677" w14:paraId="44F52246" w14:textId="77777777" w:rsidTr="007B6855">
        <w:tc>
          <w:tcPr>
            <w:tcW w:w="4463" w:type="dxa"/>
            <w:vAlign w:val="center"/>
          </w:tcPr>
          <w:p w14:paraId="1F6002C6" w14:textId="77777777" w:rsidR="00416677" w:rsidRPr="00416677" w:rsidRDefault="00416677" w:rsidP="00416677">
            <w:pPr>
              <w:spacing w:before="120" w:after="120" w:line="240" w:lineRule="auto"/>
              <w:jc w:val="center"/>
              <w:rPr>
                <w:rFonts w:cs="Arial"/>
                <w:szCs w:val="20"/>
              </w:rPr>
            </w:pPr>
            <w:r w:rsidRPr="00416677">
              <w:rPr>
                <w:rFonts w:cs="Arial"/>
                <w:szCs w:val="20"/>
              </w:rPr>
              <w:t>Połączenie między warstwami</w:t>
            </w:r>
          </w:p>
        </w:tc>
        <w:tc>
          <w:tcPr>
            <w:tcW w:w="4464" w:type="dxa"/>
            <w:vAlign w:val="center"/>
          </w:tcPr>
          <w:p w14:paraId="41571609" w14:textId="77777777" w:rsidR="00416677" w:rsidRPr="00416677" w:rsidRDefault="00416677" w:rsidP="00416677">
            <w:pPr>
              <w:spacing w:before="120" w:after="120" w:line="240" w:lineRule="auto"/>
              <w:jc w:val="center"/>
              <w:rPr>
                <w:rFonts w:cs="Arial"/>
                <w:szCs w:val="20"/>
              </w:rPr>
            </w:pPr>
            <w:r w:rsidRPr="00416677">
              <w:rPr>
                <w:rFonts w:cs="Arial"/>
                <w:szCs w:val="20"/>
              </w:rPr>
              <w:t>Wymagana minimalna wytrzymałość na ścinanie, na próbkach Ø150 mm (Ø100 mm) [</w:t>
            </w:r>
            <w:proofErr w:type="spellStart"/>
            <w:r w:rsidRPr="00416677">
              <w:rPr>
                <w:rFonts w:cs="Arial"/>
                <w:szCs w:val="20"/>
              </w:rPr>
              <w:t>MPa</w:t>
            </w:r>
            <w:proofErr w:type="spellEnd"/>
            <w:r w:rsidRPr="00416677">
              <w:rPr>
                <w:rFonts w:cs="Arial"/>
                <w:szCs w:val="20"/>
              </w:rPr>
              <w:t>]</w:t>
            </w:r>
          </w:p>
        </w:tc>
      </w:tr>
      <w:tr w:rsidR="00416677" w:rsidRPr="00416677" w14:paraId="7A6308FF" w14:textId="77777777" w:rsidTr="007B6855">
        <w:tc>
          <w:tcPr>
            <w:tcW w:w="4463" w:type="dxa"/>
          </w:tcPr>
          <w:p w14:paraId="0B30AA74" w14:textId="77777777" w:rsidR="00416677" w:rsidRPr="00416677" w:rsidRDefault="00416677" w:rsidP="00416677">
            <w:pPr>
              <w:spacing w:line="240" w:lineRule="auto"/>
              <w:rPr>
                <w:rFonts w:cs="Arial"/>
                <w:szCs w:val="20"/>
                <w:vertAlign w:val="superscript"/>
              </w:rPr>
            </w:pPr>
            <w:proofErr w:type="spellStart"/>
            <w:r w:rsidRPr="00416677">
              <w:rPr>
                <w:rFonts w:cs="Arial"/>
                <w:szCs w:val="20"/>
              </w:rPr>
              <w:t>Ścieralna-wiążąca</w:t>
            </w:r>
            <w:r w:rsidRPr="00416677">
              <w:rPr>
                <w:rFonts w:cs="Arial"/>
                <w:szCs w:val="20"/>
                <w:vertAlign w:val="superscript"/>
              </w:rPr>
              <w:t>a</w:t>
            </w:r>
            <w:proofErr w:type="spellEnd"/>
            <w:r w:rsidRPr="00416677">
              <w:rPr>
                <w:rFonts w:cs="Arial"/>
                <w:szCs w:val="20"/>
                <w:vertAlign w:val="superscript"/>
              </w:rPr>
              <w:t>)</w:t>
            </w:r>
          </w:p>
        </w:tc>
        <w:tc>
          <w:tcPr>
            <w:tcW w:w="4464" w:type="dxa"/>
          </w:tcPr>
          <w:p w14:paraId="6507E181" w14:textId="77777777" w:rsidR="00416677" w:rsidRPr="00416677" w:rsidRDefault="00416677" w:rsidP="00416677">
            <w:pPr>
              <w:spacing w:line="240" w:lineRule="auto"/>
              <w:jc w:val="center"/>
              <w:rPr>
                <w:rFonts w:cs="Arial"/>
                <w:szCs w:val="20"/>
              </w:rPr>
            </w:pPr>
            <w:r w:rsidRPr="00416677">
              <w:rPr>
                <w:rFonts w:cs="Arial"/>
                <w:szCs w:val="20"/>
              </w:rPr>
              <w:t>1,0</w:t>
            </w:r>
          </w:p>
        </w:tc>
      </w:tr>
      <w:tr w:rsidR="00416677" w:rsidRPr="00416677" w14:paraId="412DD545" w14:textId="77777777" w:rsidTr="007B6855">
        <w:tc>
          <w:tcPr>
            <w:tcW w:w="4463" w:type="dxa"/>
          </w:tcPr>
          <w:p w14:paraId="445D177F" w14:textId="77777777" w:rsidR="00416677" w:rsidRPr="00416677" w:rsidRDefault="00416677" w:rsidP="00416677">
            <w:pPr>
              <w:spacing w:line="240" w:lineRule="auto"/>
              <w:rPr>
                <w:rFonts w:cs="Arial"/>
                <w:szCs w:val="20"/>
              </w:rPr>
            </w:pPr>
            <w:r w:rsidRPr="00416677">
              <w:rPr>
                <w:rFonts w:cs="Arial"/>
                <w:szCs w:val="20"/>
              </w:rPr>
              <w:t>Wiążąca-podbudowa</w:t>
            </w:r>
          </w:p>
        </w:tc>
        <w:tc>
          <w:tcPr>
            <w:tcW w:w="4464" w:type="dxa"/>
          </w:tcPr>
          <w:p w14:paraId="425B3C87" w14:textId="77777777" w:rsidR="00416677" w:rsidRPr="00416677" w:rsidRDefault="00416677" w:rsidP="00416677">
            <w:pPr>
              <w:spacing w:line="240" w:lineRule="auto"/>
              <w:jc w:val="center"/>
              <w:rPr>
                <w:rFonts w:cs="Arial"/>
                <w:szCs w:val="20"/>
              </w:rPr>
            </w:pPr>
            <w:r w:rsidRPr="00416677">
              <w:rPr>
                <w:rFonts w:cs="Arial"/>
                <w:szCs w:val="20"/>
              </w:rPr>
              <w:t>0,7</w:t>
            </w:r>
          </w:p>
        </w:tc>
      </w:tr>
      <w:tr w:rsidR="00416677" w:rsidRPr="00416677" w14:paraId="66D4A095" w14:textId="77777777" w:rsidTr="007B6855">
        <w:tc>
          <w:tcPr>
            <w:tcW w:w="4463" w:type="dxa"/>
          </w:tcPr>
          <w:p w14:paraId="165B83D2" w14:textId="77777777" w:rsidR="00416677" w:rsidRPr="00416677" w:rsidRDefault="00416677" w:rsidP="00416677">
            <w:pPr>
              <w:spacing w:line="240" w:lineRule="auto"/>
              <w:rPr>
                <w:rFonts w:cs="Arial"/>
                <w:szCs w:val="20"/>
              </w:rPr>
            </w:pPr>
            <w:proofErr w:type="spellStart"/>
            <w:r w:rsidRPr="00416677">
              <w:rPr>
                <w:rFonts w:cs="Arial"/>
                <w:szCs w:val="20"/>
              </w:rPr>
              <w:t>Podbudowa-podbudowa</w:t>
            </w:r>
            <w:r w:rsidRPr="00416677">
              <w:rPr>
                <w:rFonts w:cs="Arial"/>
                <w:szCs w:val="20"/>
                <w:vertAlign w:val="superscript"/>
              </w:rPr>
              <w:t>b</w:t>
            </w:r>
            <w:proofErr w:type="spellEnd"/>
            <w:r w:rsidRPr="00416677">
              <w:rPr>
                <w:rFonts w:cs="Arial"/>
                <w:szCs w:val="20"/>
                <w:vertAlign w:val="superscript"/>
              </w:rPr>
              <w:t>)</w:t>
            </w:r>
          </w:p>
        </w:tc>
        <w:tc>
          <w:tcPr>
            <w:tcW w:w="4464" w:type="dxa"/>
          </w:tcPr>
          <w:p w14:paraId="4FDCDB44" w14:textId="77777777" w:rsidR="00416677" w:rsidRPr="00416677" w:rsidRDefault="00416677" w:rsidP="00416677">
            <w:pPr>
              <w:spacing w:line="240" w:lineRule="auto"/>
              <w:jc w:val="center"/>
              <w:rPr>
                <w:rFonts w:cs="Arial"/>
                <w:szCs w:val="20"/>
              </w:rPr>
            </w:pPr>
            <w:r w:rsidRPr="00416677">
              <w:rPr>
                <w:rFonts w:cs="Arial"/>
                <w:szCs w:val="20"/>
              </w:rPr>
              <w:t>0,6</w:t>
            </w:r>
          </w:p>
        </w:tc>
      </w:tr>
      <w:tr w:rsidR="00416677" w:rsidRPr="00416677" w14:paraId="0B9BAADE" w14:textId="77777777" w:rsidTr="007B6855">
        <w:tc>
          <w:tcPr>
            <w:tcW w:w="4463" w:type="dxa"/>
          </w:tcPr>
          <w:p w14:paraId="06216F04" w14:textId="77777777" w:rsidR="00416677" w:rsidRPr="00416677" w:rsidRDefault="00416677" w:rsidP="00416677">
            <w:pPr>
              <w:spacing w:line="240" w:lineRule="auto"/>
              <w:rPr>
                <w:rFonts w:cs="Arial"/>
                <w:szCs w:val="20"/>
              </w:rPr>
            </w:pPr>
            <w:r w:rsidRPr="00416677">
              <w:rPr>
                <w:rFonts w:cs="Arial"/>
                <w:szCs w:val="20"/>
              </w:rPr>
              <w:t>Cienka warstwa ścieralna (grubość projektowa≤3,5 cm)-warstwa wiążąca</w:t>
            </w:r>
          </w:p>
          <w:p w14:paraId="4BAC9BBC" w14:textId="77777777" w:rsidR="00416677" w:rsidRPr="00416677" w:rsidRDefault="00416677" w:rsidP="00416677">
            <w:pPr>
              <w:spacing w:line="240" w:lineRule="auto"/>
              <w:rPr>
                <w:rFonts w:cs="Arial"/>
                <w:szCs w:val="20"/>
              </w:rPr>
            </w:pPr>
            <w:r w:rsidRPr="00416677">
              <w:rPr>
                <w:rFonts w:cs="Arial"/>
                <w:szCs w:val="20"/>
              </w:rPr>
              <w:t>Cienka warstwa ścieralna (grubość projektowa ≤3,5 cm)-warstwa ścieralna</w:t>
            </w:r>
          </w:p>
        </w:tc>
        <w:tc>
          <w:tcPr>
            <w:tcW w:w="4464" w:type="dxa"/>
          </w:tcPr>
          <w:p w14:paraId="37DF4660" w14:textId="77777777" w:rsidR="00416677" w:rsidRPr="00416677" w:rsidRDefault="00416677" w:rsidP="00416677">
            <w:pPr>
              <w:spacing w:line="240" w:lineRule="auto"/>
              <w:jc w:val="center"/>
              <w:rPr>
                <w:rFonts w:cs="Arial"/>
                <w:szCs w:val="20"/>
                <w:vertAlign w:val="superscript"/>
              </w:rPr>
            </w:pPr>
            <w:r w:rsidRPr="00416677">
              <w:rPr>
                <w:rFonts w:cs="Arial"/>
                <w:szCs w:val="20"/>
              </w:rPr>
              <w:t>1,3</w:t>
            </w:r>
            <w:r w:rsidRPr="00416677">
              <w:rPr>
                <w:rFonts w:cs="Arial"/>
                <w:szCs w:val="20"/>
                <w:vertAlign w:val="superscript"/>
              </w:rPr>
              <w:t>c)</w:t>
            </w:r>
          </w:p>
        </w:tc>
      </w:tr>
      <w:tr w:rsidR="00416677" w:rsidRPr="00416677" w14:paraId="23BEDDB6" w14:textId="77777777" w:rsidTr="007B6855">
        <w:tc>
          <w:tcPr>
            <w:tcW w:w="8927" w:type="dxa"/>
            <w:gridSpan w:val="2"/>
          </w:tcPr>
          <w:p w14:paraId="6DF6BFE4" w14:textId="77777777" w:rsidR="00416677" w:rsidRPr="00416677" w:rsidRDefault="00416677" w:rsidP="00CF1E7D">
            <w:pPr>
              <w:numPr>
                <w:ilvl w:val="0"/>
                <w:numId w:val="274"/>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nie dotyczy asfaltowych warstw kompaktowych</w:t>
            </w:r>
          </w:p>
          <w:p w14:paraId="2E2C8557" w14:textId="77777777" w:rsidR="00416677" w:rsidRPr="00416677" w:rsidRDefault="00416677" w:rsidP="00CF1E7D">
            <w:pPr>
              <w:numPr>
                <w:ilvl w:val="0"/>
                <w:numId w:val="274"/>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jeśli podbudowa składa się z kilku warstw asfaltowych</w:t>
            </w:r>
          </w:p>
          <w:p w14:paraId="7D0429A7" w14:textId="77777777" w:rsidR="00416677" w:rsidRPr="00416677" w:rsidRDefault="00416677" w:rsidP="00CF1E7D">
            <w:pPr>
              <w:numPr>
                <w:ilvl w:val="0"/>
                <w:numId w:val="274"/>
              </w:numPr>
              <w:overflowPunct w:val="0"/>
              <w:autoSpaceDE w:val="0"/>
              <w:autoSpaceDN w:val="0"/>
              <w:adjustRightInd w:val="0"/>
              <w:spacing w:line="240" w:lineRule="auto"/>
              <w:ind w:left="426"/>
              <w:jc w:val="both"/>
              <w:textAlignment w:val="baseline"/>
              <w:rPr>
                <w:rFonts w:cs="Arial"/>
                <w:szCs w:val="20"/>
              </w:rPr>
            </w:pPr>
            <w:r w:rsidRPr="00416677">
              <w:rPr>
                <w:rFonts w:cs="Arial"/>
                <w:szCs w:val="20"/>
              </w:rPr>
              <w:t>nie dotyczy jeżeli zawartość wolnych przestrzeni w warstwie przekracza 14%</w:t>
            </w:r>
          </w:p>
        </w:tc>
      </w:tr>
    </w:tbl>
    <w:p w14:paraId="6C4C5446" w14:textId="77777777" w:rsidR="00416677" w:rsidRPr="00416677" w:rsidRDefault="00416677" w:rsidP="00416677">
      <w:pPr>
        <w:spacing w:before="120" w:line="240" w:lineRule="auto"/>
        <w:ind w:firstLine="709"/>
        <w:rPr>
          <w:rFonts w:cs="Arial"/>
          <w:szCs w:val="20"/>
          <w:highlight w:val="yellow"/>
        </w:rPr>
      </w:pPr>
      <w:r w:rsidRPr="00416677">
        <w:rPr>
          <w:rFonts w:cs="Arial"/>
          <w:szCs w:val="20"/>
        </w:rPr>
        <w:t xml:space="preserve">Metodyka badania wytrzymałości na ścinanie zgodnie z „Instrukcją laboratoryjnego badania </w:t>
      </w:r>
      <w:proofErr w:type="spellStart"/>
      <w:r w:rsidRPr="00416677">
        <w:rPr>
          <w:rFonts w:cs="Arial"/>
          <w:szCs w:val="20"/>
        </w:rPr>
        <w:t>sczepności</w:t>
      </w:r>
      <w:proofErr w:type="spellEnd"/>
      <w:r w:rsidRPr="00416677">
        <w:rPr>
          <w:rFonts w:cs="Arial"/>
          <w:szCs w:val="20"/>
        </w:rPr>
        <w:t xml:space="preserve"> </w:t>
      </w:r>
      <w:proofErr w:type="spellStart"/>
      <w:r w:rsidRPr="00416677">
        <w:rPr>
          <w:rFonts w:cs="Arial"/>
          <w:szCs w:val="20"/>
        </w:rPr>
        <w:t>międzywarstwowej</w:t>
      </w:r>
      <w:proofErr w:type="spellEnd"/>
      <w:r w:rsidRPr="00416677">
        <w:rPr>
          <w:rFonts w:cs="Arial"/>
          <w:szCs w:val="20"/>
        </w:rPr>
        <w:t xml:space="preserve"> warstw asfaltowych wg metody </w:t>
      </w:r>
      <w:proofErr w:type="spellStart"/>
      <w:r w:rsidRPr="00416677">
        <w:rPr>
          <w:rFonts w:cs="Arial"/>
          <w:szCs w:val="20"/>
        </w:rPr>
        <w:t>Leutnera</w:t>
      </w:r>
      <w:proofErr w:type="spellEnd"/>
      <w:r w:rsidRPr="00416677">
        <w:rPr>
          <w:rFonts w:cs="Arial"/>
          <w:szCs w:val="20"/>
        </w:rPr>
        <w:t xml:space="preserve"> i wymagania techniczne </w:t>
      </w:r>
      <w:proofErr w:type="spellStart"/>
      <w:r w:rsidRPr="00416677">
        <w:rPr>
          <w:rFonts w:cs="Arial"/>
          <w:szCs w:val="20"/>
        </w:rPr>
        <w:t>sczepności</w:t>
      </w:r>
      <w:proofErr w:type="spellEnd"/>
      <w:r w:rsidRPr="00416677">
        <w:rPr>
          <w:rFonts w:cs="Arial"/>
          <w:szCs w:val="20"/>
        </w:rPr>
        <w:t>”, GDDKiA, Gdańsk, 2014 [27], z zastosowaniem próbek Ø100 mm lub Ø150 mm. Badaniem referencyjnym jest badanie na próbkach Ø150 mm.</w:t>
      </w:r>
    </w:p>
    <w:p w14:paraId="4749F45F" w14:textId="77777777" w:rsidR="00416677" w:rsidRPr="00416677" w:rsidRDefault="00416677" w:rsidP="00416677">
      <w:pPr>
        <w:spacing w:line="240" w:lineRule="auto"/>
        <w:ind w:firstLine="709"/>
        <w:rPr>
          <w:rFonts w:cs="Arial"/>
          <w:szCs w:val="20"/>
        </w:rPr>
      </w:pPr>
      <w:r w:rsidRPr="00416677">
        <w:rPr>
          <w:rFonts w:cs="Arial"/>
          <w:szCs w:val="20"/>
        </w:rPr>
        <w:t xml:space="preserve">Badanie połączenia </w:t>
      </w:r>
      <w:proofErr w:type="spellStart"/>
      <w:r w:rsidRPr="00416677">
        <w:rPr>
          <w:rFonts w:cs="Arial"/>
          <w:szCs w:val="20"/>
        </w:rPr>
        <w:t>międzywarstwowego</w:t>
      </w:r>
      <w:proofErr w:type="spellEnd"/>
      <w:r w:rsidRPr="00416677">
        <w:rPr>
          <w:rFonts w:cs="Arial"/>
          <w:szCs w:val="20"/>
        </w:rPr>
        <w:t xml:space="preserve"> jako badanie kontrolne powinno być wykonywane w nawierzchniach dróg KR4-7. Częstość wykonywanych badań powinna wynosić nie rzadziej niż jeden punkt na 15 000 m</w:t>
      </w:r>
      <w:r w:rsidRPr="00416677">
        <w:rPr>
          <w:rFonts w:cs="Arial"/>
          <w:szCs w:val="20"/>
          <w:vertAlign w:val="superscript"/>
        </w:rPr>
        <w:t>2</w:t>
      </w:r>
      <w:r w:rsidRPr="00416677">
        <w:rPr>
          <w:rFonts w:cs="Arial"/>
          <w:szCs w:val="20"/>
        </w:rPr>
        <w:t xml:space="preserve"> wykonanej nawierzchni.</w:t>
      </w:r>
    </w:p>
    <w:p w14:paraId="7B30AC90" w14:textId="77777777" w:rsidR="00416677" w:rsidRPr="00416677" w:rsidRDefault="00416677" w:rsidP="00416677">
      <w:pPr>
        <w:spacing w:line="240" w:lineRule="auto"/>
        <w:ind w:firstLine="709"/>
        <w:rPr>
          <w:rFonts w:cs="Arial"/>
          <w:szCs w:val="20"/>
        </w:rPr>
      </w:pPr>
      <w:r w:rsidRPr="00416677">
        <w:rPr>
          <w:rFonts w:cs="Arial"/>
          <w:szCs w:val="20"/>
        </w:rPr>
        <w:t xml:space="preserve">W odniesieniu do dróg kategorii KR1-3 badania kontrolne połączenia miedzy warstwowego nie są obligatoryjne, jednak należy je wykonać w przypadkach budzących wątpliwości co do jakości wykonanych robót.   </w:t>
      </w:r>
    </w:p>
    <w:p w14:paraId="1558F82B" w14:textId="77777777" w:rsidR="00416677" w:rsidRPr="00416677" w:rsidRDefault="00416677" w:rsidP="00416677">
      <w:pPr>
        <w:pStyle w:val="Nagwek1"/>
        <w:spacing w:line="240" w:lineRule="auto"/>
        <w:rPr>
          <w:rFonts w:cs="Arial"/>
          <w:szCs w:val="20"/>
        </w:rPr>
      </w:pPr>
      <w:r w:rsidRPr="00416677">
        <w:rPr>
          <w:rFonts w:cs="Arial"/>
          <w:szCs w:val="20"/>
        </w:rPr>
        <w:t>7. Obmiar robót</w:t>
      </w:r>
      <w:bookmarkEnd w:id="779"/>
    </w:p>
    <w:p w14:paraId="113533CF" w14:textId="77777777" w:rsidR="00416677" w:rsidRPr="00416677" w:rsidRDefault="00416677" w:rsidP="00416677">
      <w:pPr>
        <w:pStyle w:val="Nagwek2"/>
        <w:numPr>
          <w:ilvl w:val="12"/>
          <w:numId w:val="0"/>
        </w:numPr>
        <w:spacing w:line="240" w:lineRule="auto"/>
        <w:rPr>
          <w:rFonts w:cs="Arial"/>
          <w:szCs w:val="20"/>
        </w:rPr>
      </w:pPr>
      <w:bookmarkStart w:id="780" w:name="_Toc344981400"/>
      <w:r w:rsidRPr="00416677">
        <w:rPr>
          <w:rFonts w:cs="Arial"/>
          <w:szCs w:val="20"/>
        </w:rPr>
        <w:t>7.1. Ogólne zasady obmiaru robót</w:t>
      </w:r>
    </w:p>
    <w:p w14:paraId="411149CA" w14:textId="6002A1F3" w:rsidR="00416677" w:rsidRPr="00416677" w:rsidRDefault="00416677" w:rsidP="00416677">
      <w:pPr>
        <w:numPr>
          <w:ilvl w:val="12"/>
          <w:numId w:val="0"/>
        </w:numPr>
        <w:spacing w:line="240" w:lineRule="auto"/>
        <w:rPr>
          <w:rFonts w:cs="Arial"/>
          <w:szCs w:val="20"/>
        </w:rPr>
      </w:pPr>
      <w:r w:rsidRPr="00416677">
        <w:rPr>
          <w:rFonts w:cs="Arial"/>
          <w:szCs w:val="20"/>
        </w:rPr>
        <w:tab/>
        <w:t xml:space="preserve">Ogólne zasady obmiaru robót podano w </w:t>
      </w:r>
      <w:r w:rsidR="00D91956">
        <w:rPr>
          <w:rFonts w:cs="Arial"/>
          <w:szCs w:val="20"/>
        </w:rPr>
        <w:t>S</w:t>
      </w:r>
      <w:r w:rsidRPr="00416677">
        <w:rPr>
          <w:rFonts w:cs="Arial"/>
          <w:szCs w:val="20"/>
        </w:rPr>
        <w:t>ST  D-M-00.00.00 „Wymagania ogólne” [1] pkt 7.</w:t>
      </w:r>
    </w:p>
    <w:p w14:paraId="4F48B00F" w14:textId="77777777" w:rsidR="00416677" w:rsidRPr="00416677" w:rsidRDefault="00416677" w:rsidP="00416677">
      <w:pPr>
        <w:pStyle w:val="Nagwek2"/>
        <w:numPr>
          <w:ilvl w:val="12"/>
          <w:numId w:val="0"/>
        </w:numPr>
        <w:spacing w:line="240" w:lineRule="auto"/>
        <w:rPr>
          <w:rFonts w:cs="Arial"/>
          <w:szCs w:val="20"/>
        </w:rPr>
      </w:pPr>
      <w:r w:rsidRPr="00416677">
        <w:rPr>
          <w:rFonts w:cs="Arial"/>
          <w:szCs w:val="20"/>
        </w:rPr>
        <w:t>7.2. Jednostka obmiarowa</w:t>
      </w:r>
    </w:p>
    <w:p w14:paraId="32971BF2" w14:textId="77777777" w:rsidR="00416677" w:rsidRPr="00416677" w:rsidRDefault="00416677" w:rsidP="00416677">
      <w:pPr>
        <w:spacing w:line="240" w:lineRule="auto"/>
        <w:rPr>
          <w:rFonts w:cs="Arial"/>
          <w:szCs w:val="20"/>
        </w:rPr>
      </w:pPr>
      <w:r w:rsidRPr="00416677">
        <w:rPr>
          <w:rFonts w:cs="Arial"/>
          <w:szCs w:val="20"/>
        </w:rPr>
        <w:tab/>
        <w:t>Jednostką obmiarową jest m</w:t>
      </w:r>
      <w:r w:rsidRPr="00416677">
        <w:rPr>
          <w:rFonts w:cs="Arial"/>
          <w:szCs w:val="20"/>
          <w:vertAlign w:val="superscript"/>
        </w:rPr>
        <w:t>2</w:t>
      </w:r>
      <w:r w:rsidRPr="00416677">
        <w:rPr>
          <w:rFonts w:cs="Arial"/>
          <w:szCs w:val="20"/>
        </w:rPr>
        <w:t xml:space="preserve"> (metr kwadratowy) oczyszczonej i skropionej powierzchni warstwy.</w:t>
      </w:r>
    </w:p>
    <w:p w14:paraId="6A17ED5A" w14:textId="77777777" w:rsidR="00416677" w:rsidRPr="00416677" w:rsidRDefault="00416677" w:rsidP="00416677">
      <w:pPr>
        <w:pStyle w:val="Nagwek1"/>
        <w:spacing w:line="240" w:lineRule="auto"/>
        <w:rPr>
          <w:rFonts w:cs="Arial"/>
          <w:szCs w:val="20"/>
        </w:rPr>
      </w:pPr>
      <w:r w:rsidRPr="00416677">
        <w:rPr>
          <w:rFonts w:cs="Arial"/>
          <w:szCs w:val="20"/>
        </w:rPr>
        <w:t>8. Odbiór robót</w:t>
      </w:r>
      <w:bookmarkEnd w:id="780"/>
    </w:p>
    <w:p w14:paraId="32F978C0" w14:textId="7DE67F65" w:rsidR="00416677" w:rsidRPr="00416677" w:rsidRDefault="00416677" w:rsidP="00416677">
      <w:pPr>
        <w:numPr>
          <w:ilvl w:val="12"/>
          <w:numId w:val="0"/>
        </w:numPr>
        <w:spacing w:line="240" w:lineRule="auto"/>
        <w:rPr>
          <w:rFonts w:cs="Arial"/>
          <w:szCs w:val="20"/>
        </w:rPr>
      </w:pPr>
      <w:bookmarkStart w:id="781" w:name="_Toc344981401"/>
      <w:r w:rsidRPr="00416677">
        <w:rPr>
          <w:rFonts w:cs="Arial"/>
          <w:szCs w:val="20"/>
        </w:rPr>
        <w:tab/>
        <w:t xml:space="preserve">Ogólne zasady odbioru robót podano w </w:t>
      </w:r>
      <w:r w:rsidR="00D91956">
        <w:rPr>
          <w:rFonts w:cs="Arial"/>
          <w:szCs w:val="20"/>
        </w:rPr>
        <w:t>S</w:t>
      </w:r>
      <w:r w:rsidRPr="00416677">
        <w:rPr>
          <w:rFonts w:cs="Arial"/>
          <w:szCs w:val="20"/>
        </w:rPr>
        <w:t>ST  D-M-00.00.00 „Wymagania ogólne” [1] pkt 8.</w:t>
      </w:r>
    </w:p>
    <w:p w14:paraId="279A3C89" w14:textId="77777777" w:rsidR="00416677" w:rsidRPr="00416677" w:rsidRDefault="00416677" w:rsidP="00416677">
      <w:pPr>
        <w:numPr>
          <w:ilvl w:val="12"/>
          <w:numId w:val="0"/>
        </w:numPr>
        <w:spacing w:line="240" w:lineRule="auto"/>
        <w:rPr>
          <w:rFonts w:cs="Arial"/>
          <w:szCs w:val="20"/>
        </w:rPr>
      </w:pPr>
      <w:r w:rsidRPr="00416677">
        <w:rPr>
          <w:rFonts w:cs="Arial"/>
          <w:szCs w:val="20"/>
        </w:rPr>
        <w:tab/>
        <w:t xml:space="preserve">Roboty uznaje się za wykonane zgodnie z dokumentacją projektową, ST                  i wymaganiami Inżyniera, jeżeli wszystkie pomiary i badania z zachowaniem tolerancji według </w:t>
      </w:r>
      <w:proofErr w:type="spellStart"/>
      <w:r w:rsidRPr="00416677">
        <w:rPr>
          <w:rFonts w:cs="Arial"/>
          <w:szCs w:val="20"/>
        </w:rPr>
        <w:t>pktu</w:t>
      </w:r>
      <w:proofErr w:type="spellEnd"/>
      <w:r w:rsidRPr="00416677">
        <w:rPr>
          <w:rFonts w:cs="Arial"/>
          <w:szCs w:val="20"/>
        </w:rPr>
        <w:t xml:space="preserve"> 6 dały wyniki pozytywne.</w:t>
      </w:r>
    </w:p>
    <w:p w14:paraId="631124FD" w14:textId="77777777" w:rsidR="00416677" w:rsidRPr="00416677" w:rsidRDefault="00416677" w:rsidP="00416677">
      <w:pPr>
        <w:pStyle w:val="Nagwek1"/>
        <w:spacing w:line="240" w:lineRule="auto"/>
        <w:rPr>
          <w:rFonts w:cs="Arial"/>
          <w:szCs w:val="20"/>
        </w:rPr>
      </w:pPr>
      <w:r w:rsidRPr="00416677">
        <w:rPr>
          <w:rFonts w:cs="Arial"/>
          <w:szCs w:val="20"/>
        </w:rPr>
        <w:t>9. Podstawa płatności</w:t>
      </w:r>
      <w:bookmarkEnd w:id="781"/>
    </w:p>
    <w:p w14:paraId="23C4FA38" w14:textId="77777777" w:rsidR="00416677" w:rsidRPr="00416677" w:rsidRDefault="00416677" w:rsidP="00416677">
      <w:pPr>
        <w:pStyle w:val="Nagwek2"/>
        <w:numPr>
          <w:ilvl w:val="12"/>
          <w:numId w:val="0"/>
        </w:numPr>
        <w:spacing w:line="240" w:lineRule="auto"/>
        <w:rPr>
          <w:rFonts w:cs="Arial"/>
          <w:szCs w:val="20"/>
        </w:rPr>
      </w:pPr>
      <w:bookmarkStart w:id="782" w:name="_Toc344981402"/>
      <w:r w:rsidRPr="00416677">
        <w:rPr>
          <w:rFonts w:cs="Arial"/>
          <w:szCs w:val="20"/>
        </w:rPr>
        <w:t>9.1. Ogólne ustalenia dotyczące podstawy płatności</w:t>
      </w:r>
    </w:p>
    <w:p w14:paraId="56BFF6EE" w14:textId="7D4395A2" w:rsidR="00416677" w:rsidRPr="00416677" w:rsidRDefault="00416677" w:rsidP="00416677">
      <w:pPr>
        <w:numPr>
          <w:ilvl w:val="12"/>
          <w:numId w:val="0"/>
        </w:numPr>
        <w:spacing w:line="240" w:lineRule="auto"/>
        <w:rPr>
          <w:rFonts w:cs="Arial"/>
          <w:szCs w:val="20"/>
        </w:rPr>
      </w:pPr>
      <w:r w:rsidRPr="00416677">
        <w:rPr>
          <w:rFonts w:cs="Arial"/>
          <w:szCs w:val="20"/>
        </w:rPr>
        <w:tab/>
        <w:t xml:space="preserve">Ogólne ustalenia dotyczące podstawy płatności podano w </w:t>
      </w:r>
      <w:r w:rsidR="00D91956">
        <w:rPr>
          <w:rFonts w:cs="Arial"/>
          <w:szCs w:val="20"/>
        </w:rPr>
        <w:t>S</w:t>
      </w:r>
      <w:r w:rsidRPr="00416677">
        <w:rPr>
          <w:rFonts w:cs="Arial"/>
          <w:szCs w:val="20"/>
        </w:rPr>
        <w:t>ST D-M-00.00.00 „Wymagania ogólne” [1] pkt 9.</w:t>
      </w:r>
    </w:p>
    <w:p w14:paraId="1D70F855" w14:textId="77777777" w:rsidR="00416677" w:rsidRPr="00416677" w:rsidRDefault="00416677" w:rsidP="00416677">
      <w:pPr>
        <w:pStyle w:val="Nagwek2"/>
        <w:numPr>
          <w:ilvl w:val="12"/>
          <w:numId w:val="0"/>
        </w:numPr>
        <w:spacing w:line="240" w:lineRule="auto"/>
        <w:rPr>
          <w:rFonts w:cs="Arial"/>
          <w:szCs w:val="20"/>
        </w:rPr>
      </w:pPr>
      <w:r w:rsidRPr="00416677">
        <w:rPr>
          <w:rFonts w:cs="Arial"/>
          <w:szCs w:val="20"/>
        </w:rPr>
        <w:lastRenderedPageBreak/>
        <w:t>9.2. Cena jednostki obmiarowej</w:t>
      </w:r>
    </w:p>
    <w:p w14:paraId="11F38FA0" w14:textId="77777777" w:rsidR="00416677" w:rsidRPr="00416677" w:rsidRDefault="00416677" w:rsidP="00416677">
      <w:pPr>
        <w:numPr>
          <w:ilvl w:val="12"/>
          <w:numId w:val="0"/>
        </w:numPr>
        <w:spacing w:line="240" w:lineRule="auto"/>
        <w:rPr>
          <w:rFonts w:cs="Arial"/>
          <w:szCs w:val="20"/>
        </w:rPr>
      </w:pPr>
      <w:r w:rsidRPr="00416677">
        <w:rPr>
          <w:rFonts w:cs="Arial"/>
          <w:szCs w:val="20"/>
        </w:rPr>
        <w:tab/>
        <w:t>Cena wykonania  jednostki obmiarowej (</w:t>
      </w:r>
      <w:smartTag w:uri="urn:schemas-microsoft-com:office:smarttags" w:element="metricconverter">
        <w:smartTagPr>
          <w:attr w:name="ProductID" w:val="1 m2"/>
        </w:smartTagPr>
        <w:r w:rsidRPr="00416677">
          <w:rPr>
            <w:rFonts w:cs="Arial"/>
            <w:szCs w:val="20"/>
          </w:rPr>
          <w:t>1 m</w:t>
        </w:r>
        <w:r w:rsidRPr="00416677">
          <w:rPr>
            <w:rFonts w:cs="Arial"/>
            <w:szCs w:val="20"/>
            <w:vertAlign w:val="superscript"/>
          </w:rPr>
          <w:t>2</w:t>
        </w:r>
      </w:smartTag>
      <w:r w:rsidRPr="00416677">
        <w:rPr>
          <w:rFonts w:cs="Arial"/>
          <w:szCs w:val="20"/>
        </w:rPr>
        <w:t>) obejmuje:</w:t>
      </w:r>
    </w:p>
    <w:p w14:paraId="47D9B030"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prace pomiarowe i roboty przygotowawcze,</w:t>
      </w:r>
    </w:p>
    <w:p w14:paraId="0548EAB9"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oznakowanie robót,</w:t>
      </w:r>
    </w:p>
    <w:p w14:paraId="5961610B"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dostarczenie materiałów i sprzętu,</w:t>
      </w:r>
    </w:p>
    <w:p w14:paraId="07D4D8CA"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oczyszczenie warstw konstrukcyjnych nawierzchni,</w:t>
      </w:r>
    </w:p>
    <w:p w14:paraId="0B8D5F2E"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skropienie emulsją warstw konstrukcyjnych nawierzchni,</w:t>
      </w:r>
    </w:p>
    <w:p w14:paraId="4989181D"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przeprowadzenie wymaganych pomiarów i badań,</w:t>
      </w:r>
    </w:p>
    <w:p w14:paraId="2B6EF76A"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uporządkowanie terenu robót i jego otoczenia,</w:t>
      </w:r>
    </w:p>
    <w:p w14:paraId="5B16600B"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roboty wykończeniowe,</w:t>
      </w:r>
    </w:p>
    <w:p w14:paraId="046F6B3A"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b/>
          <w:szCs w:val="20"/>
        </w:rPr>
      </w:pPr>
      <w:r w:rsidRPr="00416677">
        <w:rPr>
          <w:rFonts w:cs="Arial"/>
          <w:szCs w:val="20"/>
        </w:rPr>
        <w:t>odwiezienie sprzętu.</w:t>
      </w:r>
    </w:p>
    <w:p w14:paraId="417152C2" w14:textId="77777777" w:rsidR="00416677" w:rsidRPr="00416677" w:rsidRDefault="00416677" w:rsidP="00416677">
      <w:pPr>
        <w:spacing w:line="240" w:lineRule="auto"/>
        <w:ind w:firstLine="709"/>
        <w:rPr>
          <w:rFonts w:cs="Arial"/>
          <w:szCs w:val="20"/>
        </w:rPr>
      </w:pPr>
      <w:r w:rsidRPr="00416677">
        <w:rPr>
          <w:rFonts w:cs="Arial"/>
          <w:szCs w:val="20"/>
        </w:rPr>
        <w:t>Wszystkie roboty powinny być wykonane według wymagań dokumentacji projektowej, ST, specyfikacji technicznej i postanowień Inżyniera.</w:t>
      </w:r>
    </w:p>
    <w:p w14:paraId="3380A947" w14:textId="77777777" w:rsidR="00416677" w:rsidRPr="00416677" w:rsidRDefault="00416677" w:rsidP="00416677">
      <w:pPr>
        <w:pStyle w:val="Nagwek2"/>
        <w:spacing w:line="240" w:lineRule="auto"/>
        <w:rPr>
          <w:rFonts w:cs="Arial"/>
          <w:szCs w:val="20"/>
        </w:rPr>
      </w:pPr>
      <w:r w:rsidRPr="00416677">
        <w:rPr>
          <w:rFonts w:cs="Arial"/>
          <w:szCs w:val="20"/>
        </w:rPr>
        <w:t>9.3. Sposób rozliczenia robót tymczasowych i prac towarzyszących</w:t>
      </w:r>
    </w:p>
    <w:p w14:paraId="69EAE999" w14:textId="221A6E21" w:rsidR="00416677" w:rsidRPr="00416677" w:rsidRDefault="00416677" w:rsidP="00416677">
      <w:pPr>
        <w:spacing w:line="240" w:lineRule="auto"/>
        <w:rPr>
          <w:rFonts w:cs="Arial"/>
          <w:szCs w:val="20"/>
        </w:rPr>
      </w:pPr>
      <w:r w:rsidRPr="00416677">
        <w:rPr>
          <w:rFonts w:cs="Arial"/>
          <w:szCs w:val="20"/>
        </w:rPr>
        <w:tab/>
        <w:t xml:space="preserve">Cena wykonania robót określonych niniejszą </w:t>
      </w:r>
      <w:r w:rsidR="00D91956">
        <w:rPr>
          <w:rFonts w:cs="Arial"/>
          <w:szCs w:val="20"/>
        </w:rPr>
        <w:t>S</w:t>
      </w:r>
      <w:r w:rsidRPr="00416677">
        <w:rPr>
          <w:rFonts w:cs="Arial"/>
          <w:szCs w:val="20"/>
        </w:rPr>
        <w:t>ST obejmuje:</w:t>
      </w:r>
    </w:p>
    <w:p w14:paraId="7410867E"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roboty tymczasowe, które są potrzebne do wykonania robót podstawowych, ale nie są przekazywane Zamawiającemu i są usuwane po wykonaniu robót podstawowych,</w:t>
      </w:r>
    </w:p>
    <w:p w14:paraId="39048FE7" w14:textId="77777777" w:rsidR="00416677" w:rsidRPr="00416677" w:rsidRDefault="00416677" w:rsidP="00CF1E7D">
      <w:pPr>
        <w:numPr>
          <w:ilvl w:val="0"/>
          <w:numId w:val="260"/>
        </w:numPr>
        <w:overflowPunct w:val="0"/>
        <w:autoSpaceDE w:val="0"/>
        <w:autoSpaceDN w:val="0"/>
        <w:adjustRightInd w:val="0"/>
        <w:spacing w:line="240" w:lineRule="auto"/>
        <w:jc w:val="both"/>
        <w:textAlignment w:val="baseline"/>
        <w:rPr>
          <w:rFonts w:cs="Arial"/>
          <w:szCs w:val="20"/>
        </w:rPr>
      </w:pPr>
      <w:r w:rsidRPr="00416677">
        <w:rPr>
          <w:rFonts w:cs="Arial"/>
          <w:szCs w:val="20"/>
        </w:rPr>
        <w:t>prace towarzyszące, które są niezbędne do wykonania robót podstawowych, niezaliczane do robót tymczasowych, jak geodezyjne wytyczenie robót itd.</w:t>
      </w:r>
    </w:p>
    <w:p w14:paraId="7F115BC5" w14:textId="77777777" w:rsidR="00416677" w:rsidRPr="00416677" w:rsidRDefault="00416677" w:rsidP="00416677">
      <w:pPr>
        <w:pStyle w:val="Nagwek1"/>
        <w:spacing w:line="240" w:lineRule="auto"/>
        <w:rPr>
          <w:rFonts w:cs="Arial"/>
          <w:szCs w:val="20"/>
        </w:rPr>
      </w:pPr>
      <w:r w:rsidRPr="00416677">
        <w:rPr>
          <w:rFonts w:cs="Arial"/>
          <w:szCs w:val="20"/>
        </w:rPr>
        <w:t>10. Przepisy związane</w:t>
      </w:r>
      <w:bookmarkEnd w:id="782"/>
    </w:p>
    <w:p w14:paraId="57FA8003" w14:textId="1818D750" w:rsidR="00416677" w:rsidRPr="00416677" w:rsidRDefault="00416677" w:rsidP="00416677">
      <w:pPr>
        <w:pStyle w:val="Nagwek2"/>
        <w:spacing w:line="240" w:lineRule="auto"/>
        <w:rPr>
          <w:rFonts w:cs="Arial"/>
          <w:szCs w:val="20"/>
        </w:rPr>
      </w:pPr>
      <w:r w:rsidRPr="00416677">
        <w:rPr>
          <w:rFonts w:cs="Arial"/>
          <w:szCs w:val="20"/>
        </w:rPr>
        <w:t>10.1. Ogólne specyfikacje techniczne (</w:t>
      </w:r>
      <w:r w:rsidR="00D91956">
        <w:rPr>
          <w:rFonts w:cs="Arial"/>
          <w:szCs w:val="20"/>
        </w:rPr>
        <w:t>S</w:t>
      </w:r>
      <w:r w:rsidRPr="00416677">
        <w:rPr>
          <w:rFonts w:cs="Arial"/>
          <w:szCs w:val="20"/>
        </w:rPr>
        <w:t>ST)</w:t>
      </w:r>
    </w:p>
    <w:tbl>
      <w:tblPr>
        <w:tblW w:w="0" w:type="auto"/>
        <w:tblLayout w:type="fixed"/>
        <w:tblCellMar>
          <w:left w:w="70" w:type="dxa"/>
          <w:right w:w="70" w:type="dxa"/>
        </w:tblCellMar>
        <w:tblLook w:val="0000" w:firstRow="0" w:lastRow="0" w:firstColumn="0" w:lastColumn="0" w:noHBand="0" w:noVBand="0"/>
      </w:tblPr>
      <w:tblGrid>
        <w:gridCol w:w="637"/>
        <w:gridCol w:w="1833"/>
        <w:gridCol w:w="6360"/>
      </w:tblGrid>
      <w:tr w:rsidR="00416677" w:rsidRPr="00416677" w14:paraId="13729DCD" w14:textId="77777777" w:rsidTr="007B6855">
        <w:tc>
          <w:tcPr>
            <w:tcW w:w="637" w:type="dxa"/>
          </w:tcPr>
          <w:p w14:paraId="400DDF36" w14:textId="77777777" w:rsidR="00416677" w:rsidRPr="00416677" w:rsidRDefault="00416677" w:rsidP="00416677">
            <w:pPr>
              <w:spacing w:line="240" w:lineRule="auto"/>
              <w:jc w:val="center"/>
              <w:rPr>
                <w:rFonts w:cs="Arial"/>
                <w:szCs w:val="20"/>
              </w:rPr>
            </w:pPr>
            <w:r w:rsidRPr="00416677">
              <w:rPr>
                <w:rFonts w:cs="Arial"/>
                <w:szCs w:val="20"/>
              </w:rPr>
              <w:t>1.</w:t>
            </w:r>
          </w:p>
        </w:tc>
        <w:tc>
          <w:tcPr>
            <w:tcW w:w="1833" w:type="dxa"/>
          </w:tcPr>
          <w:p w14:paraId="6F38F893" w14:textId="77777777" w:rsidR="00416677" w:rsidRPr="00416677" w:rsidRDefault="00416677" w:rsidP="00416677">
            <w:pPr>
              <w:spacing w:line="240" w:lineRule="auto"/>
              <w:rPr>
                <w:rFonts w:cs="Arial"/>
                <w:szCs w:val="20"/>
              </w:rPr>
            </w:pPr>
            <w:r w:rsidRPr="00416677">
              <w:rPr>
                <w:rFonts w:cs="Arial"/>
                <w:szCs w:val="20"/>
              </w:rPr>
              <w:t xml:space="preserve"> D-M-00.00.00</w:t>
            </w:r>
          </w:p>
        </w:tc>
        <w:tc>
          <w:tcPr>
            <w:tcW w:w="6360" w:type="dxa"/>
          </w:tcPr>
          <w:p w14:paraId="77A5170F" w14:textId="77777777" w:rsidR="00416677" w:rsidRPr="00416677" w:rsidRDefault="00416677" w:rsidP="00416677">
            <w:pPr>
              <w:spacing w:line="240" w:lineRule="auto"/>
              <w:rPr>
                <w:rFonts w:cs="Arial"/>
                <w:szCs w:val="20"/>
              </w:rPr>
            </w:pPr>
            <w:r w:rsidRPr="00416677">
              <w:rPr>
                <w:rFonts w:cs="Arial"/>
                <w:szCs w:val="20"/>
              </w:rPr>
              <w:t>Wymagania ogólne</w:t>
            </w:r>
          </w:p>
        </w:tc>
      </w:tr>
      <w:tr w:rsidR="00416677" w:rsidRPr="00416677" w14:paraId="072D67D1" w14:textId="77777777" w:rsidTr="007B6855">
        <w:tc>
          <w:tcPr>
            <w:tcW w:w="637" w:type="dxa"/>
          </w:tcPr>
          <w:p w14:paraId="2F1C84FC" w14:textId="77777777" w:rsidR="00416677" w:rsidRPr="00416677" w:rsidRDefault="00416677" w:rsidP="00416677">
            <w:pPr>
              <w:spacing w:line="240" w:lineRule="auto"/>
              <w:jc w:val="center"/>
              <w:rPr>
                <w:rFonts w:cs="Arial"/>
                <w:szCs w:val="20"/>
              </w:rPr>
            </w:pPr>
            <w:r w:rsidRPr="00416677">
              <w:rPr>
                <w:rFonts w:cs="Arial"/>
                <w:szCs w:val="20"/>
              </w:rPr>
              <w:t>2.</w:t>
            </w:r>
          </w:p>
        </w:tc>
        <w:tc>
          <w:tcPr>
            <w:tcW w:w="1833" w:type="dxa"/>
          </w:tcPr>
          <w:p w14:paraId="74268445" w14:textId="77777777" w:rsidR="00416677" w:rsidRPr="00416677" w:rsidRDefault="00416677" w:rsidP="00416677">
            <w:pPr>
              <w:spacing w:line="240" w:lineRule="auto"/>
              <w:rPr>
                <w:rFonts w:cs="Arial"/>
                <w:szCs w:val="20"/>
                <w:highlight w:val="yellow"/>
              </w:rPr>
            </w:pPr>
            <w:r w:rsidRPr="00416677">
              <w:rPr>
                <w:rFonts w:cs="Arial"/>
                <w:szCs w:val="20"/>
              </w:rPr>
              <w:t>D-05.03.24a</w:t>
            </w:r>
          </w:p>
        </w:tc>
        <w:tc>
          <w:tcPr>
            <w:tcW w:w="6360" w:type="dxa"/>
          </w:tcPr>
          <w:p w14:paraId="04AD4B46" w14:textId="77777777" w:rsidR="00416677" w:rsidRPr="00416677" w:rsidRDefault="00416677" w:rsidP="00416677">
            <w:pPr>
              <w:spacing w:line="240" w:lineRule="auto"/>
              <w:rPr>
                <w:rFonts w:cs="Arial"/>
                <w:szCs w:val="20"/>
              </w:rPr>
            </w:pPr>
            <w:r w:rsidRPr="00416677">
              <w:rPr>
                <w:rFonts w:cs="Arial"/>
                <w:szCs w:val="20"/>
              </w:rPr>
              <w:t>Nawierzchnia z betonu asfaltowego do bardzo cienkich warstw (z mieszanki BBTM)</w:t>
            </w:r>
          </w:p>
        </w:tc>
      </w:tr>
      <w:tr w:rsidR="00416677" w:rsidRPr="00416677" w14:paraId="299B0720" w14:textId="77777777" w:rsidTr="007B6855">
        <w:tc>
          <w:tcPr>
            <w:tcW w:w="637" w:type="dxa"/>
          </w:tcPr>
          <w:p w14:paraId="73F476EB" w14:textId="77777777" w:rsidR="00416677" w:rsidRPr="00416677" w:rsidRDefault="00416677" w:rsidP="00416677">
            <w:pPr>
              <w:spacing w:line="240" w:lineRule="auto"/>
              <w:jc w:val="center"/>
              <w:rPr>
                <w:rFonts w:cs="Arial"/>
                <w:szCs w:val="20"/>
              </w:rPr>
            </w:pPr>
            <w:r w:rsidRPr="00416677">
              <w:rPr>
                <w:rFonts w:cs="Arial"/>
                <w:szCs w:val="20"/>
              </w:rPr>
              <w:t>3.</w:t>
            </w:r>
          </w:p>
        </w:tc>
        <w:tc>
          <w:tcPr>
            <w:tcW w:w="1833" w:type="dxa"/>
          </w:tcPr>
          <w:p w14:paraId="048305D8" w14:textId="77777777" w:rsidR="00416677" w:rsidRPr="00416677" w:rsidRDefault="00416677" w:rsidP="00416677">
            <w:pPr>
              <w:spacing w:line="240" w:lineRule="auto"/>
              <w:rPr>
                <w:rFonts w:cs="Arial"/>
                <w:szCs w:val="20"/>
              </w:rPr>
            </w:pPr>
            <w:r w:rsidRPr="00416677">
              <w:rPr>
                <w:rFonts w:cs="Arial"/>
                <w:szCs w:val="20"/>
              </w:rPr>
              <w:t>D.05.03.12a</w:t>
            </w:r>
          </w:p>
        </w:tc>
        <w:tc>
          <w:tcPr>
            <w:tcW w:w="6360" w:type="dxa"/>
          </w:tcPr>
          <w:p w14:paraId="3183D54F" w14:textId="77777777" w:rsidR="00416677" w:rsidRPr="00416677" w:rsidRDefault="00416677" w:rsidP="00416677">
            <w:pPr>
              <w:spacing w:line="240" w:lineRule="auto"/>
              <w:rPr>
                <w:rFonts w:cs="Arial"/>
                <w:szCs w:val="20"/>
              </w:rPr>
            </w:pPr>
            <w:r w:rsidRPr="00416677">
              <w:rPr>
                <w:rFonts w:cs="Arial"/>
                <w:szCs w:val="20"/>
              </w:rPr>
              <w:t>Nawierzchnia z asfaltu porowatego wg WT-1 i WT-2</w:t>
            </w:r>
          </w:p>
        </w:tc>
      </w:tr>
    </w:tbl>
    <w:p w14:paraId="3B6D1EC8" w14:textId="77777777" w:rsidR="00416677" w:rsidRPr="00416677" w:rsidRDefault="00416677" w:rsidP="00416677">
      <w:pPr>
        <w:pStyle w:val="Nagwek2"/>
        <w:spacing w:line="240" w:lineRule="auto"/>
        <w:rPr>
          <w:rFonts w:cs="Arial"/>
          <w:szCs w:val="20"/>
        </w:rPr>
      </w:pPr>
      <w:r w:rsidRPr="00416677">
        <w:rPr>
          <w:rFonts w:cs="Arial"/>
          <w:szCs w:val="20"/>
        </w:rPr>
        <w:t>10.2. Normy</w:t>
      </w:r>
    </w:p>
    <w:tbl>
      <w:tblPr>
        <w:tblW w:w="0" w:type="auto"/>
        <w:tblLook w:val="01E0" w:firstRow="1" w:lastRow="1" w:firstColumn="1" w:lastColumn="1" w:noHBand="0" w:noVBand="0"/>
      </w:tblPr>
      <w:tblGrid>
        <w:gridCol w:w="675"/>
        <w:gridCol w:w="1833"/>
        <w:gridCol w:w="6360"/>
      </w:tblGrid>
      <w:tr w:rsidR="00416677" w:rsidRPr="00416677" w14:paraId="691235C4" w14:textId="77777777" w:rsidTr="007B6855">
        <w:tc>
          <w:tcPr>
            <w:tcW w:w="675" w:type="dxa"/>
          </w:tcPr>
          <w:p w14:paraId="6442B56C" w14:textId="77777777" w:rsidR="00416677" w:rsidRPr="00416677" w:rsidRDefault="00416677" w:rsidP="00416677">
            <w:pPr>
              <w:spacing w:line="240" w:lineRule="auto"/>
              <w:jc w:val="center"/>
              <w:rPr>
                <w:rFonts w:cs="Arial"/>
                <w:szCs w:val="20"/>
              </w:rPr>
            </w:pPr>
            <w:r w:rsidRPr="00416677">
              <w:rPr>
                <w:rFonts w:cs="Arial"/>
                <w:szCs w:val="20"/>
              </w:rPr>
              <w:t>4.</w:t>
            </w:r>
          </w:p>
        </w:tc>
        <w:tc>
          <w:tcPr>
            <w:tcW w:w="1833" w:type="dxa"/>
          </w:tcPr>
          <w:p w14:paraId="6E36D71C" w14:textId="77777777" w:rsidR="00416677" w:rsidRPr="00416677" w:rsidRDefault="00416677" w:rsidP="00416677">
            <w:pPr>
              <w:spacing w:line="240" w:lineRule="auto"/>
              <w:rPr>
                <w:rFonts w:cs="Arial"/>
                <w:szCs w:val="20"/>
              </w:rPr>
            </w:pPr>
            <w:r w:rsidRPr="00416677">
              <w:rPr>
                <w:rFonts w:cs="Arial"/>
                <w:szCs w:val="20"/>
              </w:rPr>
              <w:t xml:space="preserve">PN-EN 1426   </w:t>
            </w:r>
          </w:p>
        </w:tc>
        <w:tc>
          <w:tcPr>
            <w:tcW w:w="6360" w:type="dxa"/>
          </w:tcPr>
          <w:p w14:paraId="48E73612" w14:textId="77777777" w:rsidR="00416677" w:rsidRPr="00416677" w:rsidRDefault="00416677" w:rsidP="00416677">
            <w:pPr>
              <w:spacing w:line="240" w:lineRule="auto"/>
              <w:rPr>
                <w:rFonts w:cs="Arial"/>
                <w:szCs w:val="20"/>
              </w:rPr>
            </w:pPr>
            <w:r w:rsidRPr="00416677">
              <w:rPr>
                <w:rFonts w:cs="Arial"/>
                <w:szCs w:val="20"/>
              </w:rPr>
              <w:t>Asfalty i produkty asfaltowe – Oznaczanie penetracji igłą</w:t>
            </w:r>
          </w:p>
        </w:tc>
      </w:tr>
      <w:tr w:rsidR="00416677" w:rsidRPr="00416677" w14:paraId="3B58AED9" w14:textId="77777777" w:rsidTr="007B6855">
        <w:tc>
          <w:tcPr>
            <w:tcW w:w="675" w:type="dxa"/>
          </w:tcPr>
          <w:p w14:paraId="7AA58940" w14:textId="77777777" w:rsidR="00416677" w:rsidRPr="00416677" w:rsidRDefault="00416677" w:rsidP="00416677">
            <w:pPr>
              <w:spacing w:line="240" w:lineRule="auto"/>
              <w:jc w:val="center"/>
              <w:rPr>
                <w:rFonts w:cs="Arial"/>
                <w:szCs w:val="20"/>
              </w:rPr>
            </w:pPr>
            <w:r w:rsidRPr="00416677">
              <w:rPr>
                <w:rFonts w:cs="Arial"/>
                <w:szCs w:val="20"/>
              </w:rPr>
              <w:t>5.</w:t>
            </w:r>
          </w:p>
        </w:tc>
        <w:tc>
          <w:tcPr>
            <w:tcW w:w="1833" w:type="dxa"/>
          </w:tcPr>
          <w:p w14:paraId="3B8F4F6A" w14:textId="77777777" w:rsidR="00416677" w:rsidRPr="00416677" w:rsidRDefault="00416677" w:rsidP="00416677">
            <w:pPr>
              <w:spacing w:line="240" w:lineRule="auto"/>
              <w:rPr>
                <w:rFonts w:cs="Arial"/>
                <w:szCs w:val="20"/>
              </w:rPr>
            </w:pPr>
            <w:r w:rsidRPr="00416677">
              <w:rPr>
                <w:rFonts w:cs="Arial"/>
                <w:szCs w:val="20"/>
              </w:rPr>
              <w:t>PN-EN 1427</w:t>
            </w:r>
          </w:p>
        </w:tc>
        <w:tc>
          <w:tcPr>
            <w:tcW w:w="6360" w:type="dxa"/>
          </w:tcPr>
          <w:p w14:paraId="03E67665" w14:textId="77777777" w:rsidR="00416677" w:rsidRPr="00416677" w:rsidRDefault="00416677" w:rsidP="00416677">
            <w:pPr>
              <w:spacing w:line="240" w:lineRule="auto"/>
              <w:rPr>
                <w:rFonts w:cs="Arial"/>
                <w:szCs w:val="20"/>
              </w:rPr>
            </w:pPr>
            <w:r w:rsidRPr="00416677">
              <w:rPr>
                <w:rFonts w:cs="Arial"/>
                <w:szCs w:val="20"/>
              </w:rPr>
              <w:t>Asfalty i produkty asfaltowe – Oznaczanie temperatury mięknienia – Metoda Pierścień i Kula</w:t>
            </w:r>
          </w:p>
        </w:tc>
      </w:tr>
      <w:tr w:rsidR="00416677" w:rsidRPr="00416677" w14:paraId="1080F79C" w14:textId="77777777" w:rsidTr="007B6855">
        <w:tc>
          <w:tcPr>
            <w:tcW w:w="675" w:type="dxa"/>
          </w:tcPr>
          <w:p w14:paraId="54389079" w14:textId="77777777" w:rsidR="00416677" w:rsidRPr="00416677" w:rsidRDefault="00416677" w:rsidP="00416677">
            <w:pPr>
              <w:spacing w:line="240" w:lineRule="auto"/>
              <w:jc w:val="center"/>
              <w:rPr>
                <w:rFonts w:cs="Arial"/>
                <w:szCs w:val="20"/>
              </w:rPr>
            </w:pPr>
            <w:r w:rsidRPr="00416677">
              <w:rPr>
                <w:rFonts w:cs="Arial"/>
                <w:szCs w:val="20"/>
              </w:rPr>
              <w:t>6.</w:t>
            </w:r>
          </w:p>
        </w:tc>
        <w:tc>
          <w:tcPr>
            <w:tcW w:w="1833" w:type="dxa"/>
          </w:tcPr>
          <w:p w14:paraId="190B6367" w14:textId="77777777" w:rsidR="00416677" w:rsidRPr="00416677" w:rsidRDefault="00416677" w:rsidP="00416677">
            <w:pPr>
              <w:spacing w:line="240" w:lineRule="auto"/>
              <w:rPr>
                <w:rFonts w:cs="Arial"/>
                <w:szCs w:val="20"/>
              </w:rPr>
            </w:pPr>
            <w:r w:rsidRPr="00416677">
              <w:rPr>
                <w:rFonts w:cs="Arial"/>
                <w:szCs w:val="20"/>
              </w:rPr>
              <w:t>PN-EN 1428</w:t>
            </w:r>
          </w:p>
        </w:tc>
        <w:tc>
          <w:tcPr>
            <w:tcW w:w="6360" w:type="dxa"/>
          </w:tcPr>
          <w:p w14:paraId="64F11A0B" w14:textId="77777777" w:rsidR="00416677" w:rsidRPr="00416677" w:rsidRDefault="00416677" w:rsidP="00416677">
            <w:pPr>
              <w:spacing w:line="240" w:lineRule="auto"/>
              <w:rPr>
                <w:rFonts w:cs="Arial"/>
                <w:szCs w:val="20"/>
              </w:rPr>
            </w:pPr>
            <w:r w:rsidRPr="00416677">
              <w:rPr>
                <w:rFonts w:cs="Arial"/>
                <w:szCs w:val="20"/>
              </w:rPr>
              <w:t>Asfalty i lepiszcza asfaltowe – Oznaczanie zawartości wody w emulsjach asfaltowych – Metoda destylacji azeotropowej</w:t>
            </w:r>
          </w:p>
        </w:tc>
      </w:tr>
      <w:tr w:rsidR="00416677" w:rsidRPr="00416677" w14:paraId="2F079FD3" w14:textId="77777777" w:rsidTr="007B6855">
        <w:tc>
          <w:tcPr>
            <w:tcW w:w="675" w:type="dxa"/>
          </w:tcPr>
          <w:p w14:paraId="3EA7C675" w14:textId="77777777" w:rsidR="00416677" w:rsidRPr="00416677" w:rsidRDefault="00416677" w:rsidP="00416677">
            <w:pPr>
              <w:spacing w:line="240" w:lineRule="auto"/>
              <w:jc w:val="center"/>
              <w:rPr>
                <w:rFonts w:cs="Arial"/>
                <w:szCs w:val="20"/>
              </w:rPr>
            </w:pPr>
            <w:r w:rsidRPr="00416677">
              <w:rPr>
                <w:rFonts w:cs="Arial"/>
                <w:szCs w:val="20"/>
              </w:rPr>
              <w:t>7.</w:t>
            </w:r>
          </w:p>
        </w:tc>
        <w:tc>
          <w:tcPr>
            <w:tcW w:w="1833" w:type="dxa"/>
          </w:tcPr>
          <w:p w14:paraId="4575457A" w14:textId="77777777" w:rsidR="00416677" w:rsidRPr="00416677" w:rsidRDefault="00416677" w:rsidP="00416677">
            <w:pPr>
              <w:spacing w:line="240" w:lineRule="auto"/>
              <w:rPr>
                <w:rFonts w:cs="Arial"/>
                <w:szCs w:val="20"/>
              </w:rPr>
            </w:pPr>
            <w:r w:rsidRPr="00416677">
              <w:rPr>
                <w:rFonts w:cs="Arial"/>
                <w:szCs w:val="20"/>
              </w:rPr>
              <w:t>PN-EN 1429</w:t>
            </w:r>
          </w:p>
        </w:tc>
        <w:tc>
          <w:tcPr>
            <w:tcW w:w="6360" w:type="dxa"/>
          </w:tcPr>
          <w:p w14:paraId="3EF74465" w14:textId="77777777" w:rsidR="00416677" w:rsidRPr="00416677" w:rsidRDefault="00416677" w:rsidP="00416677">
            <w:pPr>
              <w:spacing w:line="240" w:lineRule="auto"/>
              <w:rPr>
                <w:rFonts w:cs="Arial"/>
                <w:szCs w:val="20"/>
              </w:rPr>
            </w:pPr>
            <w:r w:rsidRPr="00416677">
              <w:rPr>
                <w:rFonts w:cs="Arial"/>
                <w:szCs w:val="20"/>
              </w:rPr>
              <w:t>Asfalty i lepiszcza asfaltowe – Oznaczanie pozostałości na sicie emulsji asfaltowych oraz trwałości podczas magazynowania metodą pozostałości na sicie</w:t>
            </w:r>
          </w:p>
        </w:tc>
      </w:tr>
      <w:tr w:rsidR="00416677" w:rsidRPr="00416677" w14:paraId="6C868A71" w14:textId="77777777" w:rsidTr="007B6855">
        <w:tc>
          <w:tcPr>
            <w:tcW w:w="675" w:type="dxa"/>
          </w:tcPr>
          <w:p w14:paraId="528B1FEB" w14:textId="77777777" w:rsidR="00416677" w:rsidRPr="00416677" w:rsidRDefault="00416677" w:rsidP="00416677">
            <w:pPr>
              <w:spacing w:line="240" w:lineRule="auto"/>
              <w:jc w:val="center"/>
              <w:rPr>
                <w:rFonts w:cs="Arial"/>
                <w:szCs w:val="20"/>
              </w:rPr>
            </w:pPr>
            <w:r w:rsidRPr="00416677">
              <w:rPr>
                <w:rFonts w:cs="Arial"/>
                <w:szCs w:val="20"/>
              </w:rPr>
              <w:t>8.</w:t>
            </w:r>
          </w:p>
        </w:tc>
        <w:tc>
          <w:tcPr>
            <w:tcW w:w="1833" w:type="dxa"/>
          </w:tcPr>
          <w:p w14:paraId="3E54520A" w14:textId="77777777" w:rsidR="00416677" w:rsidRPr="00416677" w:rsidRDefault="00416677" w:rsidP="00416677">
            <w:pPr>
              <w:spacing w:line="240" w:lineRule="auto"/>
              <w:rPr>
                <w:rFonts w:cs="Arial"/>
                <w:szCs w:val="20"/>
              </w:rPr>
            </w:pPr>
            <w:r w:rsidRPr="00416677">
              <w:rPr>
                <w:rFonts w:cs="Arial"/>
                <w:szCs w:val="20"/>
              </w:rPr>
              <w:t>PN-EN 1430</w:t>
            </w:r>
          </w:p>
        </w:tc>
        <w:tc>
          <w:tcPr>
            <w:tcW w:w="6360" w:type="dxa"/>
          </w:tcPr>
          <w:p w14:paraId="43DC110A" w14:textId="77777777" w:rsidR="00416677" w:rsidRPr="00416677" w:rsidRDefault="00416677" w:rsidP="00416677">
            <w:pPr>
              <w:spacing w:line="240" w:lineRule="auto"/>
              <w:rPr>
                <w:rFonts w:cs="Arial"/>
                <w:szCs w:val="20"/>
              </w:rPr>
            </w:pPr>
            <w:r w:rsidRPr="00416677">
              <w:rPr>
                <w:rFonts w:cs="Arial"/>
                <w:szCs w:val="20"/>
              </w:rPr>
              <w:t>Asfalty i produkty asfaltowe – Oznaczanie polarności cząstek w emulsjach asfaltowych</w:t>
            </w:r>
          </w:p>
        </w:tc>
      </w:tr>
    </w:tbl>
    <w:p w14:paraId="0079FAC7" w14:textId="77777777" w:rsidR="00416677" w:rsidRPr="00416677" w:rsidRDefault="00416677" w:rsidP="00416677">
      <w:pPr>
        <w:spacing w:line="240" w:lineRule="auto"/>
        <w:rPr>
          <w:rFonts w:cs="Arial"/>
          <w:szCs w:val="20"/>
        </w:rPr>
      </w:pPr>
    </w:p>
    <w:tbl>
      <w:tblPr>
        <w:tblW w:w="0" w:type="auto"/>
        <w:tblLook w:val="01E0" w:firstRow="1" w:lastRow="1" w:firstColumn="1" w:lastColumn="1" w:noHBand="0" w:noVBand="0"/>
      </w:tblPr>
      <w:tblGrid>
        <w:gridCol w:w="675"/>
        <w:gridCol w:w="1833"/>
        <w:gridCol w:w="6360"/>
      </w:tblGrid>
      <w:tr w:rsidR="00416677" w:rsidRPr="00416677" w14:paraId="4215457B" w14:textId="77777777" w:rsidTr="007B6855">
        <w:tc>
          <w:tcPr>
            <w:tcW w:w="675" w:type="dxa"/>
          </w:tcPr>
          <w:p w14:paraId="62966328" w14:textId="77777777" w:rsidR="00416677" w:rsidRPr="00416677" w:rsidRDefault="00416677" w:rsidP="00416677">
            <w:pPr>
              <w:spacing w:line="240" w:lineRule="auto"/>
              <w:jc w:val="center"/>
              <w:rPr>
                <w:rFonts w:cs="Arial"/>
                <w:szCs w:val="20"/>
              </w:rPr>
            </w:pPr>
            <w:r w:rsidRPr="00416677">
              <w:rPr>
                <w:rFonts w:cs="Arial"/>
                <w:szCs w:val="20"/>
              </w:rPr>
              <w:t>9.</w:t>
            </w:r>
          </w:p>
        </w:tc>
        <w:tc>
          <w:tcPr>
            <w:tcW w:w="1833" w:type="dxa"/>
          </w:tcPr>
          <w:p w14:paraId="3E66DE95" w14:textId="77777777" w:rsidR="00416677" w:rsidRPr="00416677" w:rsidRDefault="00416677" w:rsidP="00416677">
            <w:pPr>
              <w:spacing w:line="240" w:lineRule="auto"/>
              <w:rPr>
                <w:rFonts w:cs="Arial"/>
                <w:szCs w:val="20"/>
              </w:rPr>
            </w:pPr>
            <w:r w:rsidRPr="00416677">
              <w:rPr>
                <w:rFonts w:cs="Arial"/>
                <w:szCs w:val="20"/>
              </w:rPr>
              <w:t>PN-EN 1431</w:t>
            </w:r>
          </w:p>
        </w:tc>
        <w:tc>
          <w:tcPr>
            <w:tcW w:w="6360" w:type="dxa"/>
          </w:tcPr>
          <w:p w14:paraId="0B75D266" w14:textId="77777777" w:rsidR="00416677" w:rsidRPr="00416677" w:rsidRDefault="00416677" w:rsidP="00416677">
            <w:pPr>
              <w:spacing w:line="240" w:lineRule="auto"/>
              <w:rPr>
                <w:rFonts w:cs="Arial"/>
                <w:szCs w:val="20"/>
              </w:rPr>
            </w:pPr>
            <w:r w:rsidRPr="00416677">
              <w:rPr>
                <w:rFonts w:cs="Arial"/>
                <w:szCs w:val="20"/>
              </w:rPr>
              <w:t>Asfalty i lepiszcza asfaltowe – Oznaczanie zawartości asfaltu i olejów destylacyjnych w emulsjach asfaltowych metodą destylacji</w:t>
            </w:r>
          </w:p>
        </w:tc>
      </w:tr>
      <w:tr w:rsidR="00416677" w:rsidRPr="00416677" w14:paraId="1B47D491" w14:textId="77777777" w:rsidTr="007B6855">
        <w:tc>
          <w:tcPr>
            <w:tcW w:w="675" w:type="dxa"/>
          </w:tcPr>
          <w:p w14:paraId="451762E3" w14:textId="77777777" w:rsidR="00416677" w:rsidRPr="00416677" w:rsidRDefault="00416677" w:rsidP="00416677">
            <w:pPr>
              <w:spacing w:line="240" w:lineRule="auto"/>
              <w:jc w:val="center"/>
              <w:rPr>
                <w:rFonts w:cs="Arial"/>
                <w:szCs w:val="20"/>
              </w:rPr>
            </w:pPr>
            <w:r w:rsidRPr="00416677">
              <w:rPr>
                <w:rFonts w:cs="Arial"/>
                <w:szCs w:val="20"/>
              </w:rPr>
              <w:t>10.</w:t>
            </w:r>
          </w:p>
        </w:tc>
        <w:tc>
          <w:tcPr>
            <w:tcW w:w="1833" w:type="dxa"/>
          </w:tcPr>
          <w:p w14:paraId="2D398B30" w14:textId="77777777" w:rsidR="00416677" w:rsidRPr="00416677" w:rsidRDefault="00416677" w:rsidP="00416677">
            <w:pPr>
              <w:spacing w:line="240" w:lineRule="auto"/>
              <w:rPr>
                <w:rFonts w:cs="Arial"/>
                <w:szCs w:val="20"/>
              </w:rPr>
            </w:pPr>
            <w:r w:rsidRPr="00416677">
              <w:rPr>
                <w:rFonts w:cs="Arial"/>
                <w:szCs w:val="20"/>
              </w:rPr>
              <w:t>PN-EN 12272-1</w:t>
            </w:r>
          </w:p>
        </w:tc>
        <w:tc>
          <w:tcPr>
            <w:tcW w:w="6360" w:type="dxa"/>
          </w:tcPr>
          <w:p w14:paraId="139D796C" w14:textId="77777777" w:rsidR="00416677" w:rsidRPr="00416677" w:rsidRDefault="00416677" w:rsidP="00416677">
            <w:pPr>
              <w:spacing w:line="240" w:lineRule="auto"/>
              <w:rPr>
                <w:rFonts w:cs="Arial"/>
                <w:szCs w:val="20"/>
              </w:rPr>
            </w:pPr>
            <w:r w:rsidRPr="00416677">
              <w:rPr>
                <w:rFonts w:cs="Arial"/>
                <w:szCs w:val="20"/>
              </w:rPr>
              <w:t>Powierzchniowe utrwalanie – Metody badań – Część 1: Dozowanie i poprzeczny rozkład lepiszcza i kruszywa</w:t>
            </w:r>
          </w:p>
        </w:tc>
      </w:tr>
      <w:tr w:rsidR="00416677" w:rsidRPr="00416677" w14:paraId="19224ECA" w14:textId="77777777" w:rsidTr="007B6855">
        <w:tc>
          <w:tcPr>
            <w:tcW w:w="675" w:type="dxa"/>
          </w:tcPr>
          <w:p w14:paraId="2DB27839" w14:textId="77777777" w:rsidR="00416677" w:rsidRPr="00416677" w:rsidRDefault="00416677" w:rsidP="00416677">
            <w:pPr>
              <w:spacing w:line="240" w:lineRule="auto"/>
              <w:jc w:val="center"/>
              <w:rPr>
                <w:rFonts w:cs="Arial"/>
                <w:szCs w:val="20"/>
              </w:rPr>
            </w:pPr>
            <w:r w:rsidRPr="00416677">
              <w:rPr>
                <w:rFonts w:cs="Arial"/>
                <w:szCs w:val="20"/>
              </w:rPr>
              <w:t>11.</w:t>
            </w:r>
          </w:p>
        </w:tc>
        <w:tc>
          <w:tcPr>
            <w:tcW w:w="1833" w:type="dxa"/>
          </w:tcPr>
          <w:p w14:paraId="32BAE95E" w14:textId="77777777" w:rsidR="00416677" w:rsidRPr="00416677" w:rsidRDefault="00416677" w:rsidP="00416677">
            <w:pPr>
              <w:spacing w:line="240" w:lineRule="auto"/>
              <w:rPr>
                <w:rFonts w:cs="Arial"/>
                <w:szCs w:val="20"/>
              </w:rPr>
            </w:pPr>
            <w:r w:rsidRPr="00416677">
              <w:rPr>
                <w:rFonts w:cs="Arial"/>
                <w:szCs w:val="20"/>
              </w:rPr>
              <w:t>PN-EN 12591</w:t>
            </w:r>
          </w:p>
        </w:tc>
        <w:tc>
          <w:tcPr>
            <w:tcW w:w="6360" w:type="dxa"/>
          </w:tcPr>
          <w:p w14:paraId="479779A3" w14:textId="77777777" w:rsidR="00416677" w:rsidRPr="00416677" w:rsidRDefault="00416677" w:rsidP="00416677">
            <w:pPr>
              <w:spacing w:line="240" w:lineRule="auto"/>
              <w:rPr>
                <w:rFonts w:cs="Arial"/>
                <w:szCs w:val="20"/>
              </w:rPr>
            </w:pPr>
            <w:r w:rsidRPr="00416677">
              <w:rPr>
                <w:rFonts w:cs="Arial"/>
                <w:szCs w:val="20"/>
              </w:rPr>
              <w:t>Asfalty i lepiszcza asfaltowe – Wymagania dla asfaltów drogowych</w:t>
            </w:r>
          </w:p>
        </w:tc>
      </w:tr>
      <w:tr w:rsidR="00416677" w:rsidRPr="00416677" w14:paraId="3D434A60" w14:textId="77777777" w:rsidTr="007B6855">
        <w:tc>
          <w:tcPr>
            <w:tcW w:w="675" w:type="dxa"/>
          </w:tcPr>
          <w:p w14:paraId="5435566D" w14:textId="77777777" w:rsidR="00416677" w:rsidRPr="00416677" w:rsidRDefault="00416677" w:rsidP="00416677">
            <w:pPr>
              <w:spacing w:line="240" w:lineRule="auto"/>
              <w:jc w:val="center"/>
              <w:rPr>
                <w:rFonts w:cs="Arial"/>
                <w:szCs w:val="20"/>
              </w:rPr>
            </w:pPr>
            <w:r w:rsidRPr="00416677">
              <w:rPr>
                <w:rFonts w:cs="Arial"/>
                <w:szCs w:val="20"/>
              </w:rPr>
              <w:t>12.</w:t>
            </w:r>
          </w:p>
        </w:tc>
        <w:tc>
          <w:tcPr>
            <w:tcW w:w="1833" w:type="dxa"/>
          </w:tcPr>
          <w:p w14:paraId="1D417289" w14:textId="77777777" w:rsidR="00416677" w:rsidRPr="00416677" w:rsidRDefault="00416677" w:rsidP="00416677">
            <w:pPr>
              <w:spacing w:line="240" w:lineRule="auto"/>
              <w:rPr>
                <w:rFonts w:cs="Arial"/>
                <w:szCs w:val="20"/>
              </w:rPr>
            </w:pPr>
            <w:r w:rsidRPr="00416677">
              <w:rPr>
                <w:rFonts w:cs="Arial"/>
                <w:szCs w:val="20"/>
              </w:rPr>
              <w:t>PN-EN 12846-1</w:t>
            </w:r>
          </w:p>
        </w:tc>
        <w:tc>
          <w:tcPr>
            <w:tcW w:w="6360" w:type="dxa"/>
          </w:tcPr>
          <w:p w14:paraId="72D3AA90" w14:textId="77777777" w:rsidR="00416677" w:rsidRPr="00416677" w:rsidRDefault="00416677" w:rsidP="00416677">
            <w:pPr>
              <w:spacing w:line="240" w:lineRule="auto"/>
              <w:rPr>
                <w:rFonts w:cs="Arial"/>
                <w:szCs w:val="20"/>
              </w:rPr>
            </w:pPr>
            <w:r w:rsidRPr="00416677">
              <w:rPr>
                <w:rFonts w:cs="Arial"/>
                <w:szCs w:val="20"/>
              </w:rPr>
              <w:t>Asfalty i lepiszcza asfaltowe – Oznaczanie czasu wypływu lepkościomierzem wypływowym. Część 1: Emulsje asfaltowe</w:t>
            </w:r>
          </w:p>
        </w:tc>
      </w:tr>
      <w:tr w:rsidR="00416677" w:rsidRPr="00416677" w14:paraId="002112F8" w14:textId="77777777" w:rsidTr="007B6855">
        <w:tc>
          <w:tcPr>
            <w:tcW w:w="675" w:type="dxa"/>
          </w:tcPr>
          <w:p w14:paraId="59892CA6" w14:textId="77777777" w:rsidR="00416677" w:rsidRPr="00416677" w:rsidRDefault="00416677" w:rsidP="00416677">
            <w:pPr>
              <w:spacing w:line="240" w:lineRule="auto"/>
              <w:jc w:val="center"/>
              <w:rPr>
                <w:rFonts w:cs="Arial"/>
                <w:szCs w:val="20"/>
              </w:rPr>
            </w:pPr>
            <w:r w:rsidRPr="00416677">
              <w:rPr>
                <w:rFonts w:cs="Arial"/>
                <w:szCs w:val="20"/>
              </w:rPr>
              <w:t>13</w:t>
            </w:r>
          </w:p>
        </w:tc>
        <w:tc>
          <w:tcPr>
            <w:tcW w:w="1833" w:type="dxa"/>
          </w:tcPr>
          <w:p w14:paraId="7E82CC18" w14:textId="77777777" w:rsidR="00416677" w:rsidRPr="00416677" w:rsidRDefault="00416677" w:rsidP="00416677">
            <w:pPr>
              <w:spacing w:line="240" w:lineRule="auto"/>
              <w:rPr>
                <w:rFonts w:cs="Arial"/>
                <w:szCs w:val="20"/>
              </w:rPr>
            </w:pPr>
            <w:r w:rsidRPr="00416677">
              <w:rPr>
                <w:rFonts w:cs="Arial"/>
                <w:szCs w:val="20"/>
              </w:rPr>
              <w:t>PN-EN 12850</w:t>
            </w:r>
          </w:p>
        </w:tc>
        <w:tc>
          <w:tcPr>
            <w:tcW w:w="6360" w:type="dxa"/>
          </w:tcPr>
          <w:p w14:paraId="7ADCB538" w14:textId="77777777" w:rsidR="00416677" w:rsidRPr="00416677" w:rsidRDefault="00416677" w:rsidP="00416677">
            <w:pPr>
              <w:spacing w:line="240" w:lineRule="auto"/>
              <w:rPr>
                <w:rFonts w:cs="Arial"/>
                <w:szCs w:val="20"/>
              </w:rPr>
            </w:pPr>
            <w:r w:rsidRPr="00416677">
              <w:rPr>
                <w:rFonts w:cs="Arial"/>
                <w:szCs w:val="20"/>
              </w:rPr>
              <w:t xml:space="preserve">Asfalty i lepiszcza asfaltowe – Oznaczanie wartości </w:t>
            </w:r>
            <w:proofErr w:type="spellStart"/>
            <w:r w:rsidRPr="00416677">
              <w:rPr>
                <w:rFonts w:cs="Arial"/>
                <w:szCs w:val="20"/>
              </w:rPr>
              <w:t>pH</w:t>
            </w:r>
            <w:proofErr w:type="spellEnd"/>
            <w:r w:rsidRPr="00416677">
              <w:rPr>
                <w:rFonts w:cs="Arial"/>
                <w:szCs w:val="20"/>
              </w:rPr>
              <w:t xml:space="preserve"> emulsji asfaltowych</w:t>
            </w:r>
          </w:p>
        </w:tc>
      </w:tr>
      <w:tr w:rsidR="00416677" w:rsidRPr="00416677" w14:paraId="42A225E8" w14:textId="77777777" w:rsidTr="007B6855">
        <w:tc>
          <w:tcPr>
            <w:tcW w:w="675" w:type="dxa"/>
          </w:tcPr>
          <w:p w14:paraId="0FE15DAF" w14:textId="77777777" w:rsidR="00416677" w:rsidRPr="00416677" w:rsidRDefault="00416677" w:rsidP="00416677">
            <w:pPr>
              <w:spacing w:line="240" w:lineRule="auto"/>
              <w:jc w:val="center"/>
              <w:rPr>
                <w:rFonts w:cs="Arial"/>
                <w:szCs w:val="20"/>
              </w:rPr>
            </w:pPr>
            <w:r w:rsidRPr="00416677">
              <w:rPr>
                <w:rFonts w:cs="Arial"/>
                <w:szCs w:val="20"/>
              </w:rPr>
              <w:t>14.</w:t>
            </w:r>
          </w:p>
        </w:tc>
        <w:tc>
          <w:tcPr>
            <w:tcW w:w="1833" w:type="dxa"/>
          </w:tcPr>
          <w:p w14:paraId="53D3AEC8" w14:textId="77777777" w:rsidR="00416677" w:rsidRPr="00416677" w:rsidRDefault="00416677" w:rsidP="00416677">
            <w:pPr>
              <w:spacing w:line="240" w:lineRule="auto"/>
              <w:rPr>
                <w:rFonts w:cs="Arial"/>
                <w:szCs w:val="20"/>
              </w:rPr>
            </w:pPr>
            <w:r w:rsidRPr="00416677">
              <w:rPr>
                <w:rFonts w:cs="Arial"/>
                <w:szCs w:val="20"/>
              </w:rPr>
              <w:t>PN-EN 13074-1</w:t>
            </w:r>
          </w:p>
        </w:tc>
        <w:tc>
          <w:tcPr>
            <w:tcW w:w="6360" w:type="dxa"/>
          </w:tcPr>
          <w:p w14:paraId="7AE51D4E" w14:textId="77777777" w:rsidR="00416677" w:rsidRPr="00416677" w:rsidRDefault="00416677" w:rsidP="00416677">
            <w:pPr>
              <w:spacing w:line="240" w:lineRule="auto"/>
              <w:rPr>
                <w:rFonts w:cs="Arial"/>
                <w:szCs w:val="20"/>
              </w:rPr>
            </w:pPr>
            <w:r w:rsidRPr="00416677">
              <w:rPr>
                <w:rFonts w:cs="Arial"/>
                <w:szCs w:val="20"/>
              </w:rPr>
              <w:t>Asfalty i lepiszcza asfaltowe -- Odzyskiwanie lepiszcza z emulsji asfaltowych lub asfaltów upłynnionych lub fluksowanych -- Część 1: Odzyskiwanie metodą odparowania</w:t>
            </w:r>
          </w:p>
        </w:tc>
      </w:tr>
      <w:tr w:rsidR="00416677" w:rsidRPr="00416677" w14:paraId="6CDBB3E3" w14:textId="77777777" w:rsidTr="007B6855">
        <w:tc>
          <w:tcPr>
            <w:tcW w:w="675" w:type="dxa"/>
          </w:tcPr>
          <w:p w14:paraId="619516C3" w14:textId="77777777" w:rsidR="00416677" w:rsidRPr="00416677" w:rsidRDefault="00416677" w:rsidP="00416677">
            <w:pPr>
              <w:spacing w:line="240" w:lineRule="auto"/>
              <w:jc w:val="center"/>
              <w:rPr>
                <w:rFonts w:cs="Arial"/>
                <w:szCs w:val="20"/>
              </w:rPr>
            </w:pPr>
            <w:r w:rsidRPr="00416677">
              <w:rPr>
                <w:rFonts w:cs="Arial"/>
                <w:szCs w:val="20"/>
              </w:rPr>
              <w:t>15.</w:t>
            </w:r>
          </w:p>
        </w:tc>
        <w:tc>
          <w:tcPr>
            <w:tcW w:w="1833" w:type="dxa"/>
          </w:tcPr>
          <w:p w14:paraId="2F971CBE" w14:textId="77777777" w:rsidR="00416677" w:rsidRPr="00416677" w:rsidRDefault="00416677" w:rsidP="00416677">
            <w:pPr>
              <w:spacing w:line="240" w:lineRule="auto"/>
              <w:rPr>
                <w:rFonts w:cs="Arial"/>
                <w:szCs w:val="20"/>
              </w:rPr>
            </w:pPr>
            <w:r w:rsidRPr="00416677">
              <w:rPr>
                <w:rFonts w:cs="Arial"/>
                <w:szCs w:val="20"/>
              </w:rPr>
              <w:t>PN-EN 13074-2</w:t>
            </w:r>
          </w:p>
        </w:tc>
        <w:tc>
          <w:tcPr>
            <w:tcW w:w="6360" w:type="dxa"/>
          </w:tcPr>
          <w:p w14:paraId="5336800F" w14:textId="77777777" w:rsidR="00416677" w:rsidRPr="00416677" w:rsidRDefault="00416677" w:rsidP="00416677">
            <w:pPr>
              <w:spacing w:line="240" w:lineRule="auto"/>
              <w:rPr>
                <w:rFonts w:cs="Arial"/>
                <w:szCs w:val="20"/>
              </w:rPr>
            </w:pPr>
            <w:r w:rsidRPr="00416677">
              <w:rPr>
                <w:rFonts w:cs="Arial"/>
                <w:szCs w:val="20"/>
              </w:rPr>
              <w:t>Asfalty i lepiszcza asfaltowe -- Odzyskiwanie lepiszcza z emulsji asfaltowych lub asfaltów upłynnionych lub fluksowanych -- Część 2: Stabilizacja po odzyskaniu metodą odparowania</w:t>
            </w:r>
          </w:p>
        </w:tc>
      </w:tr>
      <w:tr w:rsidR="00416677" w:rsidRPr="00416677" w14:paraId="37DA4BFF" w14:textId="77777777" w:rsidTr="007B6855">
        <w:tc>
          <w:tcPr>
            <w:tcW w:w="675" w:type="dxa"/>
          </w:tcPr>
          <w:p w14:paraId="4390EFA5" w14:textId="77777777" w:rsidR="00416677" w:rsidRPr="00416677" w:rsidRDefault="00416677" w:rsidP="00416677">
            <w:pPr>
              <w:spacing w:line="240" w:lineRule="auto"/>
              <w:jc w:val="center"/>
              <w:rPr>
                <w:rFonts w:cs="Arial"/>
                <w:szCs w:val="20"/>
              </w:rPr>
            </w:pPr>
            <w:r w:rsidRPr="00416677">
              <w:rPr>
                <w:rFonts w:cs="Arial"/>
                <w:szCs w:val="20"/>
              </w:rPr>
              <w:t>16.</w:t>
            </w:r>
          </w:p>
        </w:tc>
        <w:tc>
          <w:tcPr>
            <w:tcW w:w="1833" w:type="dxa"/>
          </w:tcPr>
          <w:p w14:paraId="2A46613D" w14:textId="77777777" w:rsidR="00416677" w:rsidRPr="00416677" w:rsidRDefault="00416677" w:rsidP="00416677">
            <w:pPr>
              <w:spacing w:line="240" w:lineRule="auto"/>
              <w:rPr>
                <w:rFonts w:cs="Arial"/>
                <w:szCs w:val="20"/>
              </w:rPr>
            </w:pPr>
            <w:r w:rsidRPr="00416677">
              <w:rPr>
                <w:rFonts w:cs="Arial"/>
                <w:szCs w:val="20"/>
              </w:rPr>
              <w:t>PN-EN 13075-1</w:t>
            </w:r>
          </w:p>
        </w:tc>
        <w:tc>
          <w:tcPr>
            <w:tcW w:w="6360" w:type="dxa"/>
          </w:tcPr>
          <w:p w14:paraId="690D21E5" w14:textId="77777777" w:rsidR="00416677" w:rsidRPr="00416677" w:rsidRDefault="00416677" w:rsidP="00416677">
            <w:pPr>
              <w:spacing w:line="240" w:lineRule="auto"/>
              <w:rPr>
                <w:rFonts w:cs="Arial"/>
                <w:szCs w:val="20"/>
              </w:rPr>
            </w:pPr>
            <w:r w:rsidRPr="00416677">
              <w:rPr>
                <w:rFonts w:cs="Arial"/>
                <w:szCs w:val="20"/>
              </w:rPr>
              <w:t>Asfalty i lepiszcza asfaltowe – Badanie rozpadu – Część 1: Oznaczanie indeksu rozpadu kationowych emulsji asfaltowych, metoda z wypełniaczem mineralnym</w:t>
            </w:r>
          </w:p>
        </w:tc>
      </w:tr>
      <w:tr w:rsidR="00416677" w:rsidRPr="00416677" w14:paraId="321E0659" w14:textId="77777777" w:rsidTr="007B6855">
        <w:tc>
          <w:tcPr>
            <w:tcW w:w="675" w:type="dxa"/>
          </w:tcPr>
          <w:p w14:paraId="4CA24E80" w14:textId="77777777" w:rsidR="00416677" w:rsidRPr="00416677" w:rsidRDefault="00416677" w:rsidP="00416677">
            <w:pPr>
              <w:spacing w:line="240" w:lineRule="auto"/>
              <w:jc w:val="center"/>
              <w:rPr>
                <w:rFonts w:cs="Arial"/>
                <w:szCs w:val="20"/>
              </w:rPr>
            </w:pPr>
            <w:r w:rsidRPr="00416677">
              <w:rPr>
                <w:rFonts w:cs="Arial"/>
                <w:szCs w:val="20"/>
              </w:rPr>
              <w:t>17.</w:t>
            </w:r>
          </w:p>
        </w:tc>
        <w:tc>
          <w:tcPr>
            <w:tcW w:w="1833" w:type="dxa"/>
          </w:tcPr>
          <w:p w14:paraId="09AA6EAD" w14:textId="77777777" w:rsidR="00416677" w:rsidRPr="00416677" w:rsidRDefault="00416677" w:rsidP="00416677">
            <w:pPr>
              <w:spacing w:line="240" w:lineRule="auto"/>
              <w:rPr>
                <w:rFonts w:cs="Arial"/>
                <w:szCs w:val="20"/>
              </w:rPr>
            </w:pPr>
            <w:r w:rsidRPr="00416677">
              <w:rPr>
                <w:rFonts w:cs="Arial"/>
                <w:szCs w:val="20"/>
              </w:rPr>
              <w:t>PN-EN 13398</w:t>
            </w:r>
          </w:p>
        </w:tc>
        <w:tc>
          <w:tcPr>
            <w:tcW w:w="6360" w:type="dxa"/>
          </w:tcPr>
          <w:p w14:paraId="6A64A515" w14:textId="77777777" w:rsidR="00416677" w:rsidRPr="00416677" w:rsidRDefault="00416677" w:rsidP="00416677">
            <w:pPr>
              <w:spacing w:line="240" w:lineRule="auto"/>
              <w:rPr>
                <w:rFonts w:cs="Arial"/>
                <w:szCs w:val="20"/>
              </w:rPr>
            </w:pPr>
            <w:r w:rsidRPr="00416677">
              <w:rPr>
                <w:rFonts w:cs="Arial"/>
                <w:szCs w:val="20"/>
              </w:rPr>
              <w:t>Asfalty i lepiszcza asfaltowe – Oznaczanie nawrotu sprężystego asfaltów modyfikowanych</w:t>
            </w:r>
          </w:p>
        </w:tc>
      </w:tr>
      <w:tr w:rsidR="00416677" w:rsidRPr="00416677" w14:paraId="30FB906A" w14:textId="77777777" w:rsidTr="007B6855">
        <w:tc>
          <w:tcPr>
            <w:tcW w:w="675" w:type="dxa"/>
          </w:tcPr>
          <w:p w14:paraId="44E65781" w14:textId="77777777" w:rsidR="00416677" w:rsidRPr="00416677" w:rsidRDefault="00416677" w:rsidP="00416677">
            <w:pPr>
              <w:spacing w:line="240" w:lineRule="auto"/>
              <w:jc w:val="center"/>
              <w:rPr>
                <w:rFonts w:cs="Arial"/>
                <w:szCs w:val="20"/>
              </w:rPr>
            </w:pPr>
            <w:r w:rsidRPr="00416677">
              <w:rPr>
                <w:rFonts w:cs="Arial"/>
                <w:szCs w:val="20"/>
              </w:rPr>
              <w:t>18.</w:t>
            </w:r>
          </w:p>
        </w:tc>
        <w:tc>
          <w:tcPr>
            <w:tcW w:w="1833" w:type="dxa"/>
          </w:tcPr>
          <w:p w14:paraId="53B7BB2A" w14:textId="77777777" w:rsidR="00416677" w:rsidRPr="00416677" w:rsidRDefault="00416677" w:rsidP="00416677">
            <w:pPr>
              <w:spacing w:line="240" w:lineRule="auto"/>
              <w:rPr>
                <w:rFonts w:cs="Arial"/>
                <w:szCs w:val="20"/>
              </w:rPr>
            </w:pPr>
            <w:r w:rsidRPr="00416677">
              <w:rPr>
                <w:rFonts w:cs="Arial"/>
                <w:szCs w:val="20"/>
              </w:rPr>
              <w:t>PN-EN 13589</w:t>
            </w:r>
          </w:p>
        </w:tc>
        <w:tc>
          <w:tcPr>
            <w:tcW w:w="6360" w:type="dxa"/>
          </w:tcPr>
          <w:p w14:paraId="4A942927" w14:textId="77777777" w:rsidR="00416677" w:rsidRPr="00416677" w:rsidRDefault="00416677" w:rsidP="00416677">
            <w:pPr>
              <w:spacing w:line="240" w:lineRule="auto"/>
              <w:rPr>
                <w:rFonts w:cs="Arial"/>
                <w:szCs w:val="20"/>
              </w:rPr>
            </w:pPr>
            <w:r w:rsidRPr="00416677">
              <w:rPr>
                <w:rFonts w:cs="Arial"/>
                <w:szCs w:val="20"/>
              </w:rPr>
              <w:t xml:space="preserve">Asfalty i lepiszcza asfaltowe -- Oznaczanie siły rozciągania asfaltów modyfikowanych, metoda z </w:t>
            </w:r>
            <w:proofErr w:type="spellStart"/>
            <w:r w:rsidRPr="00416677">
              <w:rPr>
                <w:rFonts w:cs="Arial"/>
                <w:szCs w:val="20"/>
              </w:rPr>
              <w:t>duktylometrem</w:t>
            </w:r>
            <w:proofErr w:type="spellEnd"/>
          </w:p>
        </w:tc>
      </w:tr>
      <w:tr w:rsidR="00416677" w:rsidRPr="00416677" w14:paraId="21725CDC" w14:textId="77777777" w:rsidTr="007B6855">
        <w:tc>
          <w:tcPr>
            <w:tcW w:w="675" w:type="dxa"/>
          </w:tcPr>
          <w:p w14:paraId="3DE004C8" w14:textId="77777777" w:rsidR="00416677" w:rsidRPr="00416677" w:rsidRDefault="00416677" w:rsidP="00416677">
            <w:pPr>
              <w:spacing w:line="240" w:lineRule="auto"/>
              <w:jc w:val="center"/>
              <w:rPr>
                <w:rFonts w:cs="Arial"/>
                <w:szCs w:val="20"/>
              </w:rPr>
            </w:pPr>
            <w:r w:rsidRPr="00416677">
              <w:rPr>
                <w:rFonts w:cs="Arial"/>
                <w:szCs w:val="20"/>
              </w:rPr>
              <w:t>19.</w:t>
            </w:r>
          </w:p>
        </w:tc>
        <w:tc>
          <w:tcPr>
            <w:tcW w:w="1833" w:type="dxa"/>
          </w:tcPr>
          <w:p w14:paraId="56243111" w14:textId="77777777" w:rsidR="00416677" w:rsidRPr="00416677" w:rsidRDefault="00416677" w:rsidP="00416677">
            <w:pPr>
              <w:spacing w:line="240" w:lineRule="auto"/>
              <w:rPr>
                <w:rFonts w:cs="Arial"/>
                <w:szCs w:val="20"/>
              </w:rPr>
            </w:pPr>
            <w:r w:rsidRPr="00416677">
              <w:rPr>
                <w:rFonts w:cs="Arial"/>
                <w:szCs w:val="20"/>
              </w:rPr>
              <w:t>PN-EN 13614</w:t>
            </w:r>
          </w:p>
        </w:tc>
        <w:tc>
          <w:tcPr>
            <w:tcW w:w="6360" w:type="dxa"/>
          </w:tcPr>
          <w:p w14:paraId="457B2CCC" w14:textId="77777777" w:rsidR="00416677" w:rsidRPr="00416677" w:rsidRDefault="00416677" w:rsidP="00416677">
            <w:pPr>
              <w:spacing w:line="240" w:lineRule="auto"/>
              <w:rPr>
                <w:rFonts w:cs="Arial"/>
                <w:szCs w:val="20"/>
              </w:rPr>
            </w:pPr>
            <w:r w:rsidRPr="00416677">
              <w:rPr>
                <w:rFonts w:cs="Arial"/>
                <w:szCs w:val="20"/>
              </w:rPr>
              <w:t>Asfalty i lepiszcza asfaltowe – Oznaczanie przyczepności emulsji asfaltowych przez zanurzenie w wodzie</w:t>
            </w:r>
          </w:p>
        </w:tc>
      </w:tr>
      <w:tr w:rsidR="00416677" w:rsidRPr="00416677" w14:paraId="61716E79" w14:textId="77777777" w:rsidTr="007B6855">
        <w:tc>
          <w:tcPr>
            <w:tcW w:w="675" w:type="dxa"/>
          </w:tcPr>
          <w:p w14:paraId="3B613A17" w14:textId="77777777" w:rsidR="00416677" w:rsidRPr="00416677" w:rsidRDefault="00416677" w:rsidP="00416677">
            <w:pPr>
              <w:spacing w:line="240" w:lineRule="auto"/>
              <w:jc w:val="center"/>
              <w:rPr>
                <w:rFonts w:cs="Arial"/>
                <w:szCs w:val="20"/>
              </w:rPr>
            </w:pPr>
            <w:r w:rsidRPr="00416677">
              <w:rPr>
                <w:rFonts w:cs="Arial"/>
                <w:szCs w:val="20"/>
              </w:rPr>
              <w:t>20.</w:t>
            </w:r>
          </w:p>
        </w:tc>
        <w:tc>
          <w:tcPr>
            <w:tcW w:w="1833" w:type="dxa"/>
          </w:tcPr>
          <w:p w14:paraId="1BFE59DA" w14:textId="77777777" w:rsidR="00416677" w:rsidRPr="00416677" w:rsidRDefault="00416677" w:rsidP="00416677">
            <w:pPr>
              <w:spacing w:line="240" w:lineRule="auto"/>
              <w:rPr>
                <w:rFonts w:cs="Arial"/>
                <w:szCs w:val="20"/>
              </w:rPr>
            </w:pPr>
            <w:r w:rsidRPr="00416677">
              <w:rPr>
                <w:rFonts w:cs="Arial"/>
                <w:szCs w:val="20"/>
              </w:rPr>
              <w:t>PN-EN 13703</w:t>
            </w:r>
          </w:p>
        </w:tc>
        <w:tc>
          <w:tcPr>
            <w:tcW w:w="6360" w:type="dxa"/>
          </w:tcPr>
          <w:p w14:paraId="07C9BD57" w14:textId="77777777" w:rsidR="00416677" w:rsidRPr="00416677" w:rsidRDefault="00416677" w:rsidP="00416677">
            <w:pPr>
              <w:spacing w:line="240" w:lineRule="auto"/>
              <w:rPr>
                <w:rFonts w:cs="Arial"/>
                <w:szCs w:val="20"/>
              </w:rPr>
            </w:pPr>
            <w:r w:rsidRPr="00416677">
              <w:rPr>
                <w:rFonts w:cs="Arial"/>
                <w:szCs w:val="20"/>
              </w:rPr>
              <w:t>Asfalty i lepiszcza asfaltowe -- Oznaczanie energii odkształcenia</w:t>
            </w:r>
          </w:p>
        </w:tc>
      </w:tr>
      <w:tr w:rsidR="00416677" w:rsidRPr="00416677" w14:paraId="7979522B" w14:textId="77777777" w:rsidTr="007B6855">
        <w:tc>
          <w:tcPr>
            <w:tcW w:w="675" w:type="dxa"/>
          </w:tcPr>
          <w:p w14:paraId="57A7F6D1" w14:textId="77777777" w:rsidR="00416677" w:rsidRPr="00416677" w:rsidRDefault="00416677" w:rsidP="00416677">
            <w:pPr>
              <w:spacing w:line="240" w:lineRule="auto"/>
              <w:jc w:val="center"/>
              <w:rPr>
                <w:rFonts w:cs="Arial"/>
                <w:szCs w:val="20"/>
              </w:rPr>
            </w:pPr>
            <w:r w:rsidRPr="00416677">
              <w:rPr>
                <w:rFonts w:cs="Arial"/>
                <w:szCs w:val="20"/>
              </w:rPr>
              <w:t>21.</w:t>
            </w:r>
          </w:p>
        </w:tc>
        <w:tc>
          <w:tcPr>
            <w:tcW w:w="1833" w:type="dxa"/>
          </w:tcPr>
          <w:p w14:paraId="61B4881D" w14:textId="77777777" w:rsidR="00416677" w:rsidRPr="00416677" w:rsidRDefault="00416677" w:rsidP="00416677">
            <w:pPr>
              <w:spacing w:line="240" w:lineRule="auto"/>
              <w:rPr>
                <w:rFonts w:cs="Arial"/>
                <w:szCs w:val="20"/>
              </w:rPr>
            </w:pPr>
            <w:r w:rsidRPr="00416677">
              <w:rPr>
                <w:rFonts w:cs="Arial"/>
                <w:szCs w:val="20"/>
              </w:rPr>
              <w:t>PN-EN 13808</w:t>
            </w:r>
          </w:p>
        </w:tc>
        <w:tc>
          <w:tcPr>
            <w:tcW w:w="6360" w:type="dxa"/>
          </w:tcPr>
          <w:p w14:paraId="65D6B8B8" w14:textId="77777777" w:rsidR="00416677" w:rsidRPr="00416677" w:rsidRDefault="00416677" w:rsidP="00416677">
            <w:pPr>
              <w:spacing w:line="240" w:lineRule="auto"/>
              <w:rPr>
                <w:rFonts w:cs="Arial"/>
                <w:szCs w:val="20"/>
              </w:rPr>
            </w:pPr>
            <w:r w:rsidRPr="00416677">
              <w:rPr>
                <w:rFonts w:cs="Arial"/>
                <w:szCs w:val="20"/>
              </w:rPr>
              <w:t xml:space="preserve">Asfalty i lepiszcza asfaltowe – Zasady klasyfikacji kationowych </w:t>
            </w:r>
            <w:r w:rsidRPr="00416677">
              <w:rPr>
                <w:rFonts w:cs="Arial"/>
                <w:szCs w:val="20"/>
              </w:rPr>
              <w:lastRenderedPageBreak/>
              <w:t>emulsji asfaltowych</w:t>
            </w:r>
          </w:p>
        </w:tc>
      </w:tr>
      <w:tr w:rsidR="00416677" w:rsidRPr="00416677" w14:paraId="71FC0CEB" w14:textId="77777777" w:rsidTr="007B6855">
        <w:tc>
          <w:tcPr>
            <w:tcW w:w="675" w:type="dxa"/>
          </w:tcPr>
          <w:p w14:paraId="3E5227F8" w14:textId="77777777" w:rsidR="00416677" w:rsidRPr="00416677" w:rsidRDefault="00416677" w:rsidP="00416677">
            <w:pPr>
              <w:spacing w:line="240" w:lineRule="auto"/>
              <w:jc w:val="center"/>
              <w:rPr>
                <w:rFonts w:cs="Arial"/>
                <w:szCs w:val="20"/>
              </w:rPr>
            </w:pPr>
            <w:r w:rsidRPr="00416677">
              <w:rPr>
                <w:rFonts w:cs="Arial"/>
                <w:szCs w:val="20"/>
              </w:rPr>
              <w:lastRenderedPageBreak/>
              <w:t>22.</w:t>
            </w:r>
          </w:p>
        </w:tc>
        <w:tc>
          <w:tcPr>
            <w:tcW w:w="1833" w:type="dxa"/>
          </w:tcPr>
          <w:p w14:paraId="70D421BE" w14:textId="77777777" w:rsidR="00416677" w:rsidRPr="00416677" w:rsidRDefault="00416677" w:rsidP="00416677">
            <w:pPr>
              <w:spacing w:line="240" w:lineRule="auto"/>
              <w:rPr>
                <w:rFonts w:cs="Arial"/>
                <w:szCs w:val="20"/>
              </w:rPr>
            </w:pPr>
            <w:r w:rsidRPr="00416677">
              <w:rPr>
                <w:rFonts w:cs="Arial"/>
                <w:szCs w:val="20"/>
              </w:rPr>
              <w:t>PN-EN 13808:2013-10/Ap1:2014-07</w:t>
            </w:r>
          </w:p>
        </w:tc>
        <w:tc>
          <w:tcPr>
            <w:tcW w:w="6360" w:type="dxa"/>
          </w:tcPr>
          <w:p w14:paraId="151F6F43" w14:textId="77777777" w:rsidR="00416677" w:rsidRPr="00416677" w:rsidRDefault="00416677" w:rsidP="00416677">
            <w:pPr>
              <w:spacing w:line="240" w:lineRule="auto"/>
              <w:rPr>
                <w:rFonts w:cs="Arial"/>
                <w:szCs w:val="20"/>
              </w:rPr>
            </w:pPr>
            <w:r w:rsidRPr="00416677">
              <w:rPr>
                <w:rFonts w:cs="Arial"/>
                <w:szCs w:val="20"/>
              </w:rPr>
              <w:t>Asfalty i lepiszcza asfaltowe – Zasady specyfikacji kationowych emulsji asfaltowych. Załącznik krajowy NA</w:t>
            </w:r>
          </w:p>
        </w:tc>
      </w:tr>
      <w:tr w:rsidR="00416677" w:rsidRPr="00416677" w14:paraId="386614CB" w14:textId="77777777" w:rsidTr="007B6855">
        <w:tc>
          <w:tcPr>
            <w:tcW w:w="675" w:type="dxa"/>
          </w:tcPr>
          <w:p w14:paraId="6D887A52" w14:textId="77777777" w:rsidR="00416677" w:rsidRPr="00416677" w:rsidRDefault="00416677" w:rsidP="00416677">
            <w:pPr>
              <w:spacing w:line="240" w:lineRule="auto"/>
              <w:jc w:val="center"/>
              <w:rPr>
                <w:rFonts w:cs="Arial"/>
                <w:szCs w:val="20"/>
              </w:rPr>
            </w:pPr>
            <w:r w:rsidRPr="00416677">
              <w:rPr>
                <w:rFonts w:cs="Arial"/>
                <w:szCs w:val="20"/>
              </w:rPr>
              <w:t>23.</w:t>
            </w:r>
          </w:p>
        </w:tc>
        <w:tc>
          <w:tcPr>
            <w:tcW w:w="1833" w:type="dxa"/>
          </w:tcPr>
          <w:p w14:paraId="27C98BCF" w14:textId="77777777" w:rsidR="00416677" w:rsidRPr="00416677" w:rsidRDefault="00416677" w:rsidP="00416677">
            <w:pPr>
              <w:spacing w:line="240" w:lineRule="auto"/>
              <w:rPr>
                <w:rFonts w:cs="Arial"/>
                <w:szCs w:val="20"/>
              </w:rPr>
            </w:pPr>
            <w:r w:rsidRPr="00416677">
              <w:rPr>
                <w:rFonts w:cs="Arial"/>
                <w:szCs w:val="20"/>
              </w:rPr>
              <w:t>PN-EN 14023</w:t>
            </w:r>
          </w:p>
        </w:tc>
        <w:tc>
          <w:tcPr>
            <w:tcW w:w="6360" w:type="dxa"/>
          </w:tcPr>
          <w:p w14:paraId="7A054CF4" w14:textId="77777777" w:rsidR="00416677" w:rsidRPr="00416677" w:rsidRDefault="00416677" w:rsidP="00416677">
            <w:pPr>
              <w:spacing w:line="240" w:lineRule="auto"/>
              <w:rPr>
                <w:rFonts w:cs="Arial"/>
                <w:szCs w:val="20"/>
              </w:rPr>
            </w:pPr>
            <w:r w:rsidRPr="00416677">
              <w:rPr>
                <w:rFonts w:cs="Arial"/>
                <w:szCs w:val="20"/>
              </w:rPr>
              <w:t>Asfalty i lepiszcza asfaltowe – Zasady specyfikacji asfaltów modyfikowanych polimerami</w:t>
            </w:r>
          </w:p>
        </w:tc>
      </w:tr>
    </w:tbl>
    <w:p w14:paraId="3F3875CE" w14:textId="77777777" w:rsidR="00416677" w:rsidRDefault="00416677" w:rsidP="00416677">
      <w:pPr>
        <w:pStyle w:val="Nagwek2"/>
        <w:spacing w:line="240" w:lineRule="auto"/>
      </w:pPr>
      <w:r>
        <w:t>10.3. Inne dokumenty</w:t>
      </w:r>
    </w:p>
    <w:p w14:paraId="740C334E" w14:textId="77777777" w:rsidR="00416677" w:rsidRPr="00EA15B1" w:rsidRDefault="00416677" w:rsidP="00CF1E7D">
      <w:pPr>
        <w:numPr>
          <w:ilvl w:val="0"/>
          <w:numId w:val="275"/>
        </w:numPr>
        <w:tabs>
          <w:tab w:val="left" w:pos="426"/>
        </w:tabs>
        <w:overflowPunct w:val="0"/>
        <w:autoSpaceDE w:val="0"/>
        <w:autoSpaceDN w:val="0"/>
        <w:adjustRightInd w:val="0"/>
        <w:spacing w:line="240" w:lineRule="auto"/>
        <w:ind w:left="426"/>
        <w:jc w:val="both"/>
        <w:textAlignment w:val="baseline"/>
      </w:pPr>
      <w:r w:rsidRPr="00EA15B1">
        <w:t>Katalog typowych konstrukcji nawierzchni podatnych i półsztywnych</w:t>
      </w:r>
      <w:r>
        <w:t xml:space="preserve">. </w:t>
      </w:r>
      <w:r w:rsidRPr="00EC427F">
        <w:rPr>
          <w:sz w:val="22"/>
        </w:rPr>
        <w:t>Załącznik do Zarządzenia nr 31 Generalnego Dyrektora Dróg Krajowych i Autostrad z dnia 16 czerwca 2014 r.</w:t>
      </w:r>
      <w:r w:rsidRPr="00EA15B1">
        <w:t xml:space="preserve"> </w:t>
      </w:r>
    </w:p>
    <w:p w14:paraId="13191E84" w14:textId="77777777" w:rsidR="00416677" w:rsidRPr="00B55AA9" w:rsidRDefault="00416677" w:rsidP="00CF1E7D">
      <w:pPr>
        <w:numPr>
          <w:ilvl w:val="0"/>
          <w:numId w:val="275"/>
        </w:numPr>
        <w:tabs>
          <w:tab w:val="left" w:pos="426"/>
        </w:tabs>
        <w:overflowPunct w:val="0"/>
        <w:autoSpaceDE w:val="0"/>
        <w:autoSpaceDN w:val="0"/>
        <w:adjustRightInd w:val="0"/>
        <w:spacing w:line="240" w:lineRule="auto"/>
        <w:ind w:left="426"/>
        <w:jc w:val="both"/>
        <w:textAlignment w:val="baseline"/>
      </w:pPr>
      <w:bookmarkStart w:id="783" w:name="_Toc344981403"/>
      <w:r w:rsidRPr="00B55AA9">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w:t>
      </w:r>
      <w:r>
        <w:t>mieszanek mineralno-asfaltowych.</w:t>
      </w:r>
      <w:r w:rsidRPr="00B55AA9">
        <w:t xml:space="preserve"> </w:t>
      </w:r>
    </w:p>
    <w:p w14:paraId="45B46613" w14:textId="77777777" w:rsidR="00416677" w:rsidRPr="00B55AA9" w:rsidRDefault="00416677" w:rsidP="00CF1E7D">
      <w:pPr>
        <w:numPr>
          <w:ilvl w:val="0"/>
          <w:numId w:val="275"/>
        </w:numPr>
        <w:tabs>
          <w:tab w:val="left" w:pos="426"/>
        </w:tabs>
        <w:overflowPunct w:val="0"/>
        <w:autoSpaceDE w:val="0"/>
        <w:autoSpaceDN w:val="0"/>
        <w:adjustRightInd w:val="0"/>
        <w:spacing w:line="240" w:lineRule="auto"/>
        <w:ind w:left="426"/>
        <w:jc w:val="both"/>
        <w:textAlignment w:val="baseline"/>
      </w:pPr>
      <w:r w:rsidRPr="00B55AA9">
        <w:t>Nawierzchnie asfaltowe na drogach krajowych - WT-2 2016 – część II - Wykonanie warstw nawierzchni as</w:t>
      </w:r>
      <w:r>
        <w:t>faltowych. Wymagania Techniczne.</w:t>
      </w:r>
      <w:r w:rsidRPr="00B55AA9">
        <w:t xml:space="preserve"> Załącznik do Zarządzenia nr 7 Generalnego Dyrektora Dróg Krajowych i Autostrad z dnia 9 maja 2016 roku zmieniającego zarządzenie w sprawie stosowania wymagań technicznych na drogach krajowych dotyczących mieszanek mineralno-asfaltowych.</w:t>
      </w:r>
    </w:p>
    <w:p w14:paraId="34BCC29E" w14:textId="77777777" w:rsidR="00416677" w:rsidRPr="00AA517E" w:rsidRDefault="00416677" w:rsidP="00CF1E7D">
      <w:pPr>
        <w:numPr>
          <w:ilvl w:val="0"/>
          <w:numId w:val="275"/>
        </w:numPr>
        <w:overflowPunct w:val="0"/>
        <w:autoSpaceDE w:val="0"/>
        <w:autoSpaceDN w:val="0"/>
        <w:adjustRightInd w:val="0"/>
        <w:spacing w:line="240" w:lineRule="auto"/>
        <w:ind w:left="426"/>
        <w:jc w:val="both"/>
        <w:textAlignment w:val="baseline"/>
      </w:pPr>
      <w:r w:rsidRPr="00AA517E">
        <w:t xml:space="preserve">Instrukcja laboratoryjnego badania </w:t>
      </w:r>
      <w:proofErr w:type="spellStart"/>
      <w:r w:rsidRPr="00AA517E">
        <w:t>sczepności</w:t>
      </w:r>
      <w:proofErr w:type="spellEnd"/>
      <w:r w:rsidRPr="00AA517E">
        <w:t xml:space="preserve"> </w:t>
      </w:r>
      <w:proofErr w:type="spellStart"/>
      <w:r w:rsidRPr="00AA517E">
        <w:t>międzywarstwowej</w:t>
      </w:r>
      <w:proofErr w:type="spellEnd"/>
      <w:r w:rsidRPr="00AA517E">
        <w:t xml:space="preserve"> warstw asfaltowych wg metody </w:t>
      </w:r>
      <w:proofErr w:type="spellStart"/>
      <w:r w:rsidRPr="00AA517E">
        <w:t>Leutnera</w:t>
      </w:r>
      <w:proofErr w:type="spellEnd"/>
      <w:r w:rsidRPr="00AA517E">
        <w:t xml:space="preserve"> i wymagania techniczne </w:t>
      </w:r>
      <w:proofErr w:type="spellStart"/>
      <w:r w:rsidRPr="00AA517E">
        <w:t>sczepności</w:t>
      </w:r>
      <w:proofErr w:type="spellEnd"/>
      <w:r w:rsidRPr="00AA517E">
        <w:t xml:space="preserve">”, GDDKiA, Gdańsk, 2014, [Internet, dostęp 4.08.2015] </w:t>
      </w:r>
      <w:r w:rsidRPr="00AA517E">
        <w:br/>
        <w:t>https://www.gddkia.gov.pl/userfiles/articles/d/dokumenty-techniczne_8162/INSTRUKCJA%20LABORATORYJNEGO%20BADANIA%20SCZEPNOSCI%20MIEDZYWARSTWOWEJ%2031.08.2014.pdf</w:t>
      </w:r>
    </w:p>
    <w:p w14:paraId="4882E776" w14:textId="77777777" w:rsidR="00416677" w:rsidRDefault="00416677" w:rsidP="00416677">
      <w:pPr>
        <w:pStyle w:val="Nagwek1"/>
        <w:spacing w:line="240" w:lineRule="auto"/>
      </w:pPr>
      <w:r>
        <w:t>11. Załącznik</w:t>
      </w:r>
      <w:bookmarkEnd w:id="783"/>
      <w:r>
        <w:t>i</w:t>
      </w:r>
    </w:p>
    <w:p w14:paraId="60F67F52" w14:textId="77777777" w:rsidR="00416677" w:rsidRDefault="00416677" w:rsidP="00416677">
      <w:pPr>
        <w:pStyle w:val="Nagwek2"/>
        <w:spacing w:line="240" w:lineRule="auto"/>
      </w:pPr>
      <w:r>
        <w:t>ZAŁĄCZNIK 1</w:t>
      </w:r>
    </w:p>
    <w:p w14:paraId="6B7F4461" w14:textId="77777777" w:rsidR="00416677" w:rsidRDefault="00416677" w:rsidP="00416677">
      <w:pPr>
        <w:spacing w:line="240" w:lineRule="auto"/>
        <w:rPr>
          <w:b/>
        </w:rPr>
      </w:pPr>
      <w:r>
        <w:rPr>
          <w:b/>
        </w:rPr>
        <w:t>POŁĄCZENIA MIĘDZYWARSTWOWE – CELE, ZADANIA  I  WYKONANIE</w:t>
      </w:r>
    </w:p>
    <w:p w14:paraId="0C6F240B" w14:textId="77777777" w:rsidR="00416677" w:rsidRDefault="00416677" w:rsidP="00416677">
      <w:pPr>
        <w:spacing w:before="120" w:line="240" w:lineRule="auto"/>
      </w:pPr>
      <w:r>
        <w:t xml:space="preserve">(wg K. </w:t>
      </w:r>
      <w:proofErr w:type="spellStart"/>
      <w:r>
        <w:t>Błażejowski</w:t>
      </w:r>
      <w:proofErr w:type="spellEnd"/>
      <w:r>
        <w:t>, S. Styk: Technologia warstw asfaltowych, Wydawnictwa Komunikacji i Łączności, Warszawa 2004)</w:t>
      </w:r>
    </w:p>
    <w:p w14:paraId="1EC67591" w14:textId="77777777" w:rsidR="00416677" w:rsidRPr="00284ABE" w:rsidRDefault="00416677" w:rsidP="00416677">
      <w:pPr>
        <w:spacing w:before="120" w:after="120" w:line="240" w:lineRule="auto"/>
        <w:rPr>
          <w:u w:val="single"/>
        </w:rPr>
      </w:pPr>
      <w:r w:rsidRPr="00284ABE">
        <w:rPr>
          <w:u w:val="single"/>
        </w:rPr>
        <w:t>Definicja</w:t>
      </w:r>
    </w:p>
    <w:p w14:paraId="3E98FEA9" w14:textId="77777777" w:rsidR="00416677" w:rsidRDefault="00416677" w:rsidP="00416677">
      <w:pPr>
        <w:spacing w:line="240" w:lineRule="auto"/>
        <w:ind w:firstLine="709"/>
      </w:pPr>
      <w:r>
        <w:t xml:space="preserve">Połączenie </w:t>
      </w:r>
      <w:proofErr w:type="spellStart"/>
      <w:r>
        <w:t>międzywarstwowe</w:t>
      </w:r>
      <w:proofErr w:type="spellEnd"/>
      <w:r>
        <w:t xml:space="preserve"> jest zabiegiem wykonanym na placu budowy, mającym na celu trwałe zespolenie warstw nawierzchni drogowej. Zabieg połączenia </w:t>
      </w:r>
      <w:proofErr w:type="spellStart"/>
      <w:r>
        <w:t>międzywarstwowego</w:t>
      </w:r>
      <w:proofErr w:type="spellEnd"/>
      <w:r>
        <w:t xml:space="preserve"> polega na skropieniu warstwy dolnej emulsją asfaltową lub innym lepiszczem (np. asfaltem upłynnionym, który praktycznie znikł z rynku krajowego).</w:t>
      </w:r>
    </w:p>
    <w:p w14:paraId="0E6E8213" w14:textId="77777777" w:rsidR="00416677" w:rsidRPr="00284ABE" w:rsidRDefault="00416677" w:rsidP="00416677">
      <w:pPr>
        <w:keepNext/>
        <w:spacing w:before="120" w:after="120" w:line="240" w:lineRule="auto"/>
        <w:rPr>
          <w:u w:val="single"/>
        </w:rPr>
      </w:pPr>
      <w:r w:rsidRPr="00284ABE">
        <w:rPr>
          <w:u w:val="single"/>
        </w:rPr>
        <w:t>Funkcje</w:t>
      </w:r>
    </w:p>
    <w:p w14:paraId="4080BCDD" w14:textId="77777777" w:rsidR="00416677" w:rsidRDefault="00416677" w:rsidP="00416677">
      <w:pPr>
        <w:spacing w:line="240" w:lineRule="auto"/>
        <w:ind w:firstLine="709"/>
      </w:pPr>
      <w:r>
        <w:t xml:space="preserve">Połączenie </w:t>
      </w:r>
      <w:proofErr w:type="spellStart"/>
      <w:r>
        <w:t>międzywarstwowe</w:t>
      </w:r>
      <w:proofErr w:type="spellEnd"/>
      <w:r>
        <w:t xml:space="preserve"> warstw powierzchni spełnia następujące funkcje:</w:t>
      </w:r>
    </w:p>
    <w:p w14:paraId="25DA3956" w14:textId="77777777" w:rsidR="00416677" w:rsidRDefault="00416677" w:rsidP="00CF1E7D">
      <w:pPr>
        <w:numPr>
          <w:ilvl w:val="0"/>
          <w:numId w:val="264"/>
        </w:numPr>
        <w:overflowPunct w:val="0"/>
        <w:autoSpaceDE w:val="0"/>
        <w:autoSpaceDN w:val="0"/>
        <w:adjustRightInd w:val="0"/>
        <w:spacing w:line="240" w:lineRule="auto"/>
        <w:jc w:val="both"/>
        <w:textAlignment w:val="baseline"/>
      </w:pPr>
      <w:r>
        <w:t>zwiększa wytrzymałość zespołu warstw asfaltowych nawierzchni,</w:t>
      </w:r>
    </w:p>
    <w:p w14:paraId="3FD663EC" w14:textId="77777777" w:rsidR="00416677" w:rsidRDefault="00416677" w:rsidP="00CF1E7D">
      <w:pPr>
        <w:numPr>
          <w:ilvl w:val="0"/>
          <w:numId w:val="264"/>
        </w:numPr>
        <w:overflowPunct w:val="0"/>
        <w:autoSpaceDE w:val="0"/>
        <w:autoSpaceDN w:val="0"/>
        <w:adjustRightInd w:val="0"/>
        <w:spacing w:line="240" w:lineRule="auto"/>
        <w:jc w:val="both"/>
        <w:textAlignment w:val="baseline"/>
      </w:pPr>
      <w:r>
        <w:t>uniemożliwia penetrację wody między warstwami,</w:t>
      </w:r>
    </w:p>
    <w:p w14:paraId="1EC419BF" w14:textId="77777777" w:rsidR="00416677" w:rsidRDefault="00416677" w:rsidP="00416677">
      <w:pPr>
        <w:spacing w:line="240" w:lineRule="auto"/>
      </w:pPr>
      <w:r>
        <w:t>więc w konsekwencji zwiększa trwałość całej nawierzchni.</w:t>
      </w:r>
    </w:p>
    <w:p w14:paraId="641C7306" w14:textId="77777777" w:rsidR="00416677" w:rsidRDefault="00416677" w:rsidP="00416677">
      <w:pPr>
        <w:spacing w:line="240" w:lineRule="auto"/>
      </w:pPr>
      <w:r>
        <w:tab/>
        <w:t>Skuteczne połączenie warstw nawierzchni uzyskuje się przez:</w:t>
      </w:r>
    </w:p>
    <w:p w14:paraId="3275A7B0" w14:textId="77777777" w:rsidR="00416677" w:rsidRDefault="00416677" w:rsidP="00CF1E7D">
      <w:pPr>
        <w:numPr>
          <w:ilvl w:val="0"/>
          <w:numId w:val="265"/>
        </w:numPr>
        <w:overflowPunct w:val="0"/>
        <w:autoSpaceDE w:val="0"/>
        <w:autoSpaceDN w:val="0"/>
        <w:adjustRightInd w:val="0"/>
        <w:spacing w:line="240" w:lineRule="auto"/>
        <w:jc w:val="both"/>
        <w:textAlignment w:val="baseline"/>
      </w:pPr>
      <w:r>
        <w:t>zazębienie, kiedy ziarna kruszywa z górnej warstwy wchodzą w zagłębienia dolnej warstwy i klinują się w nich,</w:t>
      </w:r>
    </w:p>
    <w:p w14:paraId="66AEE41A" w14:textId="77777777" w:rsidR="00416677" w:rsidRDefault="00416677" w:rsidP="00CF1E7D">
      <w:pPr>
        <w:numPr>
          <w:ilvl w:val="0"/>
          <w:numId w:val="265"/>
        </w:numPr>
        <w:overflowPunct w:val="0"/>
        <w:autoSpaceDE w:val="0"/>
        <w:autoSpaceDN w:val="0"/>
        <w:adjustRightInd w:val="0"/>
        <w:spacing w:line="240" w:lineRule="auto"/>
        <w:jc w:val="both"/>
        <w:textAlignment w:val="baseline"/>
      </w:pPr>
      <w:r>
        <w:t>sklejenie, kiedy warstwa lepiszcza przenosi naprężenia pionowe (odrywające) i udział sklejenia jest dominujący przy przenoszeniu sił rozciągających (odspajających).</w:t>
      </w:r>
    </w:p>
    <w:p w14:paraId="5E719921" w14:textId="77777777" w:rsidR="00416677" w:rsidRPr="00284ABE" w:rsidRDefault="00416677" w:rsidP="00416677">
      <w:pPr>
        <w:spacing w:before="120" w:after="120" w:line="240" w:lineRule="auto"/>
        <w:rPr>
          <w:u w:val="single"/>
        </w:rPr>
      </w:pPr>
      <w:r w:rsidRPr="00284ABE">
        <w:rPr>
          <w:u w:val="single"/>
        </w:rPr>
        <w:t>Emulsje</w:t>
      </w:r>
    </w:p>
    <w:p w14:paraId="470C5F1B" w14:textId="77777777" w:rsidR="00416677" w:rsidRDefault="00416677" w:rsidP="00416677">
      <w:pPr>
        <w:spacing w:line="240" w:lineRule="auto"/>
      </w:pPr>
      <w:r>
        <w:tab/>
        <w:t xml:space="preserve">Praktycznie na rynku do skrapiania pozostały jedynie emulsje wodno-asfaltowe. Jeszcze do niedawna stosowano do tego celu emulsje bez specjalnego określenia, że mają to być materiały do połączeń </w:t>
      </w:r>
      <w:proofErr w:type="spellStart"/>
      <w:r>
        <w:t>międzywarstwowych</w:t>
      </w:r>
      <w:proofErr w:type="spellEnd"/>
      <w:r>
        <w:t xml:space="preserve">. Od pewnego czasu produkuje się już emulsje przeznaczone właśnie do </w:t>
      </w:r>
      <w:proofErr w:type="spellStart"/>
      <w:r>
        <w:t>związań</w:t>
      </w:r>
      <w:proofErr w:type="spellEnd"/>
      <w:r>
        <w:t xml:space="preserve"> </w:t>
      </w:r>
      <w:proofErr w:type="spellStart"/>
      <w:r>
        <w:t>międzywarstwowych</w:t>
      </w:r>
      <w:proofErr w:type="spellEnd"/>
      <w:r>
        <w:t>, według normy PN-EN 13808 oznaczone „ZM”.</w:t>
      </w:r>
    </w:p>
    <w:p w14:paraId="40A959AA" w14:textId="77777777" w:rsidR="00416677" w:rsidRDefault="00416677" w:rsidP="00416677">
      <w:pPr>
        <w:spacing w:line="240" w:lineRule="auto"/>
      </w:pPr>
      <w:r>
        <w:tab/>
        <w:t>Dostępne emulsje umożliwiają ich użycie do złączania warstw wykonanych z asfaltów niemodyfikowanych oraz warstw z asfaltów modyfikowanych polimerami, a także do złączania warstw asfaltowych z podbudowami z kruszywa niezwiązanego oraz związanego spoiwem hydraulicznym.</w:t>
      </w:r>
    </w:p>
    <w:p w14:paraId="3BE193D8" w14:textId="77777777" w:rsidR="00416677" w:rsidRPr="00284ABE" w:rsidRDefault="00416677" w:rsidP="00416677">
      <w:pPr>
        <w:keepNext/>
        <w:spacing w:before="120" w:after="120" w:line="240" w:lineRule="auto"/>
        <w:rPr>
          <w:u w:val="single"/>
        </w:rPr>
      </w:pPr>
      <w:r w:rsidRPr="00284ABE">
        <w:rPr>
          <w:u w:val="single"/>
        </w:rPr>
        <w:t>Poprawność wykonania</w:t>
      </w:r>
    </w:p>
    <w:p w14:paraId="57F18B13" w14:textId="77777777" w:rsidR="00416677" w:rsidRDefault="00416677" w:rsidP="00416677">
      <w:pPr>
        <w:spacing w:line="240" w:lineRule="auto"/>
      </w:pPr>
      <w:r>
        <w:tab/>
        <w:t xml:space="preserve">Poprawne wykonanie połączenia </w:t>
      </w:r>
      <w:proofErr w:type="spellStart"/>
      <w:r>
        <w:t>międzywarstwowego</w:t>
      </w:r>
      <w:proofErr w:type="spellEnd"/>
      <w:r>
        <w:t xml:space="preserve"> nadaje nawierzchni pełną wytrzymałość. Należy zdawać sobie sprawę, że źle wykonane połączenie </w:t>
      </w:r>
      <w:proofErr w:type="spellStart"/>
      <w:r>
        <w:t>międzywarstwowe</w:t>
      </w:r>
      <w:proofErr w:type="spellEnd"/>
      <w:r>
        <w:t xml:space="preserve"> (np. z niewłaściwym lepiszczem lub jego niedomiarem względnie nadmiarem) może czasami więcej zaszkodzić niż pomóc.</w:t>
      </w:r>
    </w:p>
    <w:p w14:paraId="68714E49" w14:textId="77777777" w:rsidR="00416677" w:rsidRDefault="00416677" w:rsidP="00416677">
      <w:pPr>
        <w:spacing w:line="240" w:lineRule="auto"/>
      </w:pPr>
      <w:r>
        <w:tab/>
        <w:t xml:space="preserve">Na skutek błędnego wykonania połączeń </w:t>
      </w:r>
      <w:proofErr w:type="spellStart"/>
      <w:r>
        <w:t>międzywarstwowych</w:t>
      </w:r>
      <w:proofErr w:type="spellEnd"/>
      <w:r>
        <w:t xml:space="preserve"> mogą wystąpić następujące problemy:</w:t>
      </w:r>
    </w:p>
    <w:p w14:paraId="5DD5466C" w14:textId="77777777" w:rsidR="00416677" w:rsidRDefault="00416677" w:rsidP="00CF1E7D">
      <w:pPr>
        <w:numPr>
          <w:ilvl w:val="0"/>
          <w:numId w:val="266"/>
        </w:numPr>
        <w:overflowPunct w:val="0"/>
        <w:autoSpaceDE w:val="0"/>
        <w:autoSpaceDN w:val="0"/>
        <w:adjustRightInd w:val="0"/>
        <w:spacing w:line="240" w:lineRule="auto"/>
        <w:jc w:val="both"/>
        <w:textAlignment w:val="baseline"/>
      </w:pPr>
      <w:r>
        <w:t>całkowity brak związania warstw, powodujący możliwość przesuwania się warstw,</w:t>
      </w:r>
    </w:p>
    <w:p w14:paraId="59FB7965" w14:textId="77777777" w:rsidR="00416677" w:rsidRDefault="00416677" w:rsidP="00CF1E7D">
      <w:pPr>
        <w:numPr>
          <w:ilvl w:val="0"/>
          <w:numId w:val="266"/>
        </w:numPr>
        <w:overflowPunct w:val="0"/>
        <w:autoSpaceDE w:val="0"/>
        <w:autoSpaceDN w:val="0"/>
        <w:adjustRightInd w:val="0"/>
        <w:spacing w:line="240" w:lineRule="auto"/>
        <w:jc w:val="both"/>
        <w:textAlignment w:val="baseline"/>
      </w:pPr>
      <w:r>
        <w:t>lepiszcze w związaniu jest zbyt miękkie i warstwa górna przesuwa się po dolnej, co powoduje pękanie i odkształcanie się górnej warstwy,</w:t>
      </w:r>
    </w:p>
    <w:p w14:paraId="1F6D0191" w14:textId="77777777" w:rsidR="00416677" w:rsidRDefault="00416677" w:rsidP="00CF1E7D">
      <w:pPr>
        <w:numPr>
          <w:ilvl w:val="0"/>
          <w:numId w:val="266"/>
        </w:numPr>
        <w:overflowPunct w:val="0"/>
        <w:autoSpaceDE w:val="0"/>
        <w:autoSpaceDN w:val="0"/>
        <w:adjustRightInd w:val="0"/>
        <w:spacing w:line="240" w:lineRule="auto"/>
        <w:jc w:val="both"/>
        <w:textAlignment w:val="baseline"/>
      </w:pPr>
      <w:r>
        <w:t>zbyt dużo jest lepiszcza w związaniu i oprócz poślizgu górnej warstwy, lepiszcze „wypacane” jest na wierzch górnej warstwy,</w:t>
      </w:r>
    </w:p>
    <w:p w14:paraId="33E1E467" w14:textId="77777777" w:rsidR="00416677" w:rsidRDefault="00416677" w:rsidP="00CF1E7D">
      <w:pPr>
        <w:numPr>
          <w:ilvl w:val="0"/>
          <w:numId w:val="266"/>
        </w:numPr>
        <w:overflowPunct w:val="0"/>
        <w:autoSpaceDE w:val="0"/>
        <w:autoSpaceDN w:val="0"/>
        <w:adjustRightInd w:val="0"/>
        <w:spacing w:line="240" w:lineRule="auto"/>
        <w:jc w:val="both"/>
        <w:textAlignment w:val="baseline"/>
      </w:pPr>
      <w:r>
        <w:t xml:space="preserve">w mieszankach o grubym uziarnieniu (głównie w podbudowach), jest zbyt mało zaprawy w mieszance, co skutkuje powstaniem powierzchni kontaktowych tylko między grysami dolnej i górnej warstwy – sklejenie występuje na </w:t>
      </w:r>
      <w:r>
        <w:lastRenderedPageBreak/>
        <w:t xml:space="preserve">mniejszej powierzchni; przypadek ten może wystąpić także, jeśli mieszanka jest rozsegregowana (najczęściej w mieszankach o uziarnieniu powyżej </w:t>
      </w:r>
      <w:smartTag w:uri="urn:schemas-microsoft-com:office:smarttags" w:element="metricconverter">
        <w:smartTagPr>
          <w:attr w:name="ProductID" w:val="20 mm"/>
        </w:smartTagPr>
        <w:r>
          <w:t>20 mm</w:t>
        </w:r>
      </w:smartTag>
      <w:r>
        <w:t>).</w:t>
      </w:r>
    </w:p>
    <w:p w14:paraId="7C041D41" w14:textId="77777777" w:rsidR="00416677" w:rsidRDefault="00416677" w:rsidP="00416677">
      <w:pPr>
        <w:spacing w:line="240" w:lineRule="auto"/>
        <w:ind w:firstLine="709"/>
      </w:pPr>
      <w:r>
        <w:t>Na skutek niewłaściwego związania zwiększają się naprężenia w dolnej strefie warstw asfaltowych.</w:t>
      </w:r>
    </w:p>
    <w:p w14:paraId="44E33EA6" w14:textId="77777777" w:rsidR="00416677" w:rsidRDefault="00416677" w:rsidP="00416677">
      <w:pPr>
        <w:spacing w:line="240" w:lineRule="auto"/>
        <w:ind w:firstLine="709"/>
      </w:pPr>
      <w:r>
        <w:t>Z punktu widzenia żywotności zmęczeniowej całej konstrukcji nawierzchni, większe znaczenie ma dobre związanie między dolnymi warstwami (podbudowa i warstwa wiążąca), niż między wyżej leżącymi warstwami (wiążącą i ścieralną), których związanie ma znaczenie raczej dla zapobieżenia odkształceniom powierzchniowym (sfalowaniom i koleinom).</w:t>
      </w:r>
    </w:p>
    <w:p w14:paraId="5CE73FD8" w14:textId="77777777" w:rsidR="00416677" w:rsidRPr="00284ABE" w:rsidRDefault="00416677" w:rsidP="00416677">
      <w:pPr>
        <w:keepNext/>
        <w:spacing w:before="120" w:after="120" w:line="240" w:lineRule="auto"/>
        <w:rPr>
          <w:u w:val="single"/>
        </w:rPr>
      </w:pPr>
      <w:r w:rsidRPr="00284ABE">
        <w:rPr>
          <w:u w:val="single"/>
        </w:rPr>
        <w:t>Zalecenia wykonawcze</w:t>
      </w:r>
    </w:p>
    <w:p w14:paraId="2E891DA2" w14:textId="77777777" w:rsidR="00416677" w:rsidRDefault="00416677" w:rsidP="00416677">
      <w:pPr>
        <w:spacing w:line="240" w:lineRule="auto"/>
      </w:pPr>
      <w:r>
        <w:tab/>
        <w:t>Związanie warstw asfaltowych wykonywane w miesiącach o niskiej temperaturze powietrza jest zwykle mniej skuteczne niż wykonywane podczas dobrej pogody. Znaczenie ma niska temperatura warstwy dolnej i szybkie wychładzanie układanej gorącej warstwy, co zmniejsza szanse na dobre zazębienie warstw. Niekorzystnym czynnikiem atmosferycznym może być duża wilgotność powietrza (np. jesienią), co wpływa na wilgotność powierzchni dolnej warstwy i utrudnione odparowanie wody z emulsji asfaltowej.</w:t>
      </w:r>
    </w:p>
    <w:p w14:paraId="5D42935C" w14:textId="77777777" w:rsidR="00416677" w:rsidRDefault="00416677" w:rsidP="00416677">
      <w:pPr>
        <w:spacing w:line="240" w:lineRule="auto"/>
      </w:pPr>
      <w:r>
        <w:tab/>
        <w:t>Przy skrapianiu należy przyjmować właściwy rodzaj emulsji, odpowiednią ilość lepiszcza i zastosować równomierność skropienia.</w:t>
      </w:r>
    </w:p>
    <w:p w14:paraId="5E1C2383" w14:textId="77777777" w:rsidR="00416677" w:rsidRDefault="00416677" w:rsidP="00416677">
      <w:pPr>
        <w:spacing w:line="240" w:lineRule="auto"/>
      </w:pPr>
      <w:r>
        <w:tab/>
        <w:t>Przy używaniu do skropienia emulsji modyfikowanej zaleca się po rozpadzie emulsji zastosować posypkę z grysu 2/5 mm dla ochrony warstwy lepiszcza przed ruchem technologicznym, gdyż po rozpadzie emulsji warstwa asfaltu modyfikowanego przykleja się do opon pojazdów, co niszczy skropienie i zanieczyszcza pojazdy.</w:t>
      </w:r>
    </w:p>
    <w:p w14:paraId="788B326D" w14:textId="77777777" w:rsidR="00416677" w:rsidRDefault="00416677" w:rsidP="00416677">
      <w:pPr>
        <w:spacing w:line="240" w:lineRule="auto"/>
      </w:pPr>
      <w:r>
        <w:tab/>
        <w:t>Przed skropieniem betonu cementowego emulsją asfaltową warto „zrosić” jego powierzchnię wodą, gdyż zawsze wchłania on trochę wody i prewencyjne zroszenie zapobiegnie sztucznemu odciągnięciu wody z emulsji. Takie zroszenie wodą powinno odbyć się co najmniej kilka godzin przed skropieniem emulsją.</w:t>
      </w:r>
    </w:p>
    <w:p w14:paraId="0996B945" w14:textId="420E3EAF" w:rsidR="00416677" w:rsidRDefault="00416677" w:rsidP="00416677">
      <w:pPr>
        <w:spacing w:line="240" w:lineRule="auto"/>
      </w:pPr>
      <w:r>
        <w:tab/>
        <w:t>Najlepsze efekty pod względem jednorodności skrapiania i dokładności dozowania dają typowe skrapiarki do emulsji stosowane zwykle do powierzchniowych utrwaleń.</w:t>
      </w:r>
    </w:p>
    <w:p w14:paraId="3787A434" w14:textId="54923883" w:rsidR="00546967" w:rsidRDefault="00546967" w:rsidP="00416677">
      <w:pPr>
        <w:spacing w:line="240" w:lineRule="auto"/>
      </w:pPr>
    </w:p>
    <w:p w14:paraId="088ECF76" w14:textId="42C0D14F" w:rsidR="00546967" w:rsidRPr="00D91956" w:rsidRDefault="00546967" w:rsidP="00D91956">
      <w:pPr>
        <w:pStyle w:val="Nagwek4"/>
        <w:shd w:val="clear" w:color="auto" w:fill="FFFFFF" w:themeFill="background1"/>
        <w:spacing w:before="240" w:line="240" w:lineRule="auto"/>
        <w:jc w:val="both"/>
        <w:rPr>
          <w:rFonts w:cs="Arial"/>
        </w:rPr>
      </w:pPr>
      <w:bookmarkStart w:id="784" w:name="_Toc111635981"/>
      <w:r w:rsidRPr="006431C4">
        <w:rPr>
          <w:rFonts w:cs="Arial"/>
        </w:rPr>
        <w:t>D-04.0</w:t>
      </w:r>
      <w:r>
        <w:rPr>
          <w:rFonts w:cs="Arial"/>
        </w:rPr>
        <w:t>4</w:t>
      </w:r>
      <w:r w:rsidRPr="006431C4">
        <w:rPr>
          <w:rFonts w:cs="Arial"/>
        </w:rPr>
        <w:t>.0</w:t>
      </w:r>
      <w:r>
        <w:rPr>
          <w:rFonts w:cs="Arial"/>
        </w:rPr>
        <w:t>0a</w:t>
      </w:r>
      <w:r w:rsidRPr="006431C4">
        <w:rPr>
          <w:rFonts w:cs="Arial"/>
        </w:rPr>
        <w:t xml:space="preserve"> – </w:t>
      </w:r>
      <w:r>
        <w:rPr>
          <w:rFonts w:cs="Arial"/>
        </w:rPr>
        <w:t>PODŁOŻE ULEPSZONE Z MIESZANKI KRUSZYWA NIEZWIĄZANEGO</w:t>
      </w:r>
      <w:bookmarkEnd w:id="784"/>
    </w:p>
    <w:p w14:paraId="0309EDDB" w14:textId="77777777" w:rsidR="00D91956" w:rsidRPr="00D91956" w:rsidRDefault="00D91956" w:rsidP="00D91956">
      <w:pPr>
        <w:pStyle w:val="Nagwek1"/>
        <w:spacing w:line="240" w:lineRule="auto"/>
        <w:rPr>
          <w:rFonts w:cs="Arial"/>
          <w:szCs w:val="20"/>
        </w:rPr>
      </w:pPr>
      <w:bookmarkStart w:id="785" w:name="_Toc346094292"/>
      <w:r w:rsidRPr="00D91956">
        <w:rPr>
          <w:rFonts w:cs="Arial"/>
          <w:szCs w:val="20"/>
        </w:rPr>
        <w:t xml:space="preserve">1. </w:t>
      </w:r>
      <w:bookmarkEnd w:id="785"/>
      <w:r w:rsidRPr="00D91956">
        <w:rPr>
          <w:rFonts w:cs="Arial"/>
          <w:szCs w:val="20"/>
        </w:rPr>
        <w:t>WSTĘP</w:t>
      </w:r>
    </w:p>
    <w:p w14:paraId="2EF69CFD" w14:textId="7C0A2F31" w:rsidR="00D91956" w:rsidRPr="00D91956" w:rsidRDefault="00D91956" w:rsidP="00D91956">
      <w:pPr>
        <w:pStyle w:val="Nagwek2"/>
        <w:spacing w:line="240" w:lineRule="auto"/>
        <w:rPr>
          <w:rFonts w:cs="Arial"/>
          <w:szCs w:val="20"/>
        </w:rPr>
      </w:pPr>
      <w:r w:rsidRPr="00D91956">
        <w:rPr>
          <w:rFonts w:cs="Arial"/>
          <w:szCs w:val="20"/>
        </w:rPr>
        <w:t xml:space="preserve">1.1. Przedmiot </w:t>
      </w:r>
      <w:r>
        <w:rPr>
          <w:rFonts w:cs="Arial"/>
          <w:szCs w:val="20"/>
        </w:rPr>
        <w:t>S</w:t>
      </w:r>
      <w:r w:rsidRPr="00D91956">
        <w:rPr>
          <w:rFonts w:cs="Arial"/>
          <w:szCs w:val="20"/>
        </w:rPr>
        <w:t>ST</w:t>
      </w:r>
    </w:p>
    <w:p w14:paraId="45F152C1" w14:textId="0D53466F" w:rsidR="00D91956" w:rsidRPr="00D91956" w:rsidRDefault="00D91956" w:rsidP="00D91956">
      <w:pPr>
        <w:pStyle w:val="Standardowytekst"/>
        <w:rPr>
          <w:rFonts w:ascii="Arial" w:hAnsi="Arial" w:cs="Arial"/>
        </w:rPr>
      </w:pPr>
      <w:r w:rsidRPr="00D91956">
        <w:rPr>
          <w:rFonts w:ascii="Arial" w:hAnsi="Arial" w:cs="Arial"/>
        </w:rPr>
        <w:tab/>
        <w:t xml:space="preserve">Przedmiotem niniejszej </w:t>
      </w:r>
      <w:r>
        <w:rPr>
          <w:rFonts w:ascii="Arial" w:hAnsi="Arial" w:cs="Arial"/>
        </w:rPr>
        <w:t>szczegółowej</w:t>
      </w:r>
      <w:r w:rsidRPr="00D91956">
        <w:rPr>
          <w:rFonts w:ascii="Arial" w:hAnsi="Arial" w:cs="Arial"/>
        </w:rPr>
        <w:t xml:space="preserve"> specyfikacji technicznej (</w:t>
      </w:r>
      <w:r>
        <w:rPr>
          <w:rFonts w:ascii="Arial" w:hAnsi="Arial" w:cs="Arial"/>
        </w:rPr>
        <w:t>S</w:t>
      </w:r>
      <w:r w:rsidRPr="00D91956">
        <w:rPr>
          <w:rFonts w:ascii="Arial" w:hAnsi="Arial" w:cs="Arial"/>
        </w:rPr>
        <w:t>ST) są wymagania dotyczące wykonania i odbioru robót związanych z wykonaniem podłoża ulepszonego z mieszanki kruszywa niezwiązanego.</w:t>
      </w:r>
    </w:p>
    <w:p w14:paraId="56009379" w14:textId="29302D94" w:rsidR="00D91956" w:rsidRPr="00D91956" w:rsidRDefault="00D91956" w:rsidP="00D91956">
      <w:pPr>
        <w:pStyle w:val="Nagwek2"/>
        <w:spacing w:line="240" w:lineRule="auto"/>
        <w:rPr>
          <w:rFonts w:cs="Arial"/>
          <w:szCs w:val="20"/>
        </w:rPr>
      </w:pPr>
      <w:r w:rsidRPr="00D91956">
        <w:rPr>
          <w:rFonts w:cs="Arial"/>
          <w:szCs w:val="20"/>
        </w:rPr>
        <w:t xml:space="preserve">1.2. Zakres stosowania </w:t>
      </w:r>
      <w:r>
        <w:rPr>
          <w:rFonts w:cs="Arial"/>
          <w:szCs w:val="20"/>
        </w:rPr>
        <w:t>S</w:t>
      </w:r>
      <w:r w:rsidRPr="00D91956">
        <w:rPr>
          <w:rFonts w:cs="Arial"/>
          <w:szCs w:val="20"/>
        </w:rPr>
        <w:t>ST</w:t>
      </w:r>
    </w:p>
    <w:p w14:paraId="2F6C3315" w14:textId="77777777" w:rsidR="00D91956" w:rsidRPr="006431C4" w:rsidRDefault="00D91956" w:rsidP="00D91956">
      <w:pPr>
        <w:shd w:val="clear" w:color="auto" w:fill="FFFFFF" w:themeFill="background1"/>
        <w:tabs>
          <w:tab w:val="left" w:pos="142"/>
        </w:tabs>
        <w:spacing w:line="240" w:lineRule="auto"/>
        <w:jc w:val="both"/>
        <w:rPr>
          <w:rFonts w:cs="Arial"/>
          <w:szCs w:val="20"/>
        </w:rPr>
      </w:pPr>
      <w:r w:rsidRPr="00D91956">
        <w:rPr>
          <w:rFonts w:cs="Arial"/>
          <w:szCs w:val="20"/>
        </w:rPr>
        <w:tab/>
      </w:r>
      <w:r w:rsidRPr="00416677">
        <w:rPr>
          <w:rFonts w:cs="Arial"/>
          <w:szCs w:val="20"/>
        </w:rPr>
        <w:tab/>
      </w: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228927885"/>
        <w:placeholder>
          <w:docPart w:val="C4D9E02A8BA2449183DBCBBAE1C881A9"/>
        </w:placeholder>
        <w:dataBinding w:prefixMappings="xmlns:ns0='http://purl.org/dc/elements/1.1/' xmlns:ns1='http://schemas.openxmlformats.org/package/2006/metadata/core-properties' " w:xpath="/ns1:coreProperties[1]/ns0:subject[1]" w:storeItemID="{6C3C8BC8-F283-45AE-878A-BAB7291924A1}"/>
        <w:text/>
      </w:sdtPr>
      <w:sdtEndPr/>
      <w:sdtContent>
        <w:p w14:paraId="64F072AF" w14:textId="77777777" w:rsidR="00D91956" w:rsidRPr="006431C4" w:rsidRDefault="00D91956" w:rsidP="00D91956">
          <w:pPr>
            <w:shd w:val="clear" w:color="auto" w:fill="FFFFFF" w:themeFill="background1"/>
            <w:tabs>
              <w:tab w:val="left" w:pos="142"/>
            </w:tabs>
            <w:spacing w:line="240" w:lineRule="auto"/>
            <w:jc w:val="both"/>
            <w:rPr>
              <w:rFonts w:cs="Arial"/>
              <w:szCs w:val="20"/>
            </w:rPr>
          </w:pPr>
          <w:r>
            <w:rPr>
              <w:rFonts w:cs="Arial"/>
              <w:szCs w:val="20"/>
            </w:rPr>
            <w:t>„Przebudowa drogi wojewódzkiej nr 957 w miejscowości Jabłonka odc. referencyjny 100 w km 9+073.78 - 9+279.58 (budowa chodnika) "</w:t>
          </w:r>
        </w:p>
      </w:sdtContent>
    </w:sdt>
    <w:p w14:paraId="30862850" w14:textId="2A742122" w:rsidR="00D91956" w:rsidRPr="00D91956" w:rsidRDefault="00D91956" w:rsidP="00D91956">
      <w:pPr>
        <w:spacing w:line="240" w:lineRule="auto"/>
        <w:rPr>
          <w:rFonts w:cs="Arial"/>
          <w:b/>
          <w:bCs/>
          <w:szCs w:val="20"/>
        </w:rPr>
      </w:pPr>
      <w:r w:rsidRPr="00D91956">
        <w:rPr>
          <w:rFonts w:cs="Arial"/>
          <w:b/>
          <w:bCs/>
          <w:szCs w:val="20"/>
        </w:rPr>
        <w:t xml:space="preserve">1.3. Zakres robót objętych </w:t>
      </w:r>
      <w:r>
        <w:rPr>
          <w:rFonts w:cs="Arial"/>
          <w:b/>
          <w:bCs/>
          <w:szCs w:val="20"/>
        </w:rPr>
        <w:t>S</w:t>
      </w:r>
      <w:r w:rsidRPr="00D91956">
        <w:rPr>
          <w:rFonts w:cs="Arial"/>
          <w:b/>
          <w:bCs/>
          <w:szCs w:val="20"/>
        </w:rPr>
        <w:t>ST</w:t>
      </w:r>
    </w:p>
    <w:p w14:paraId="25C564E6" w14:textId="77777777" w:rsidR="00D91956" w:rsidRPr="00D91956" w:rsidRDefault="00D91956" w:rsidP="00D91956">
      <w:pPr>
        <w:spacing w:line="240" w:lineRule="auto"/>
        <w:rPr>
          <w:rFonts w:cs="Arial"/>
          <w:szCs w:val="20"/>
        </w:rPr>
      </w:pPr>
      <w:r w:rsidRPr="00D91956">
        <w:rPr>
          <w:rFonts w:cs="Arial"/>
          <w:szCs w:val="20"/>
        </w:rPr>
        <w:tab/>
        <w:t>Ustalenia zawarte w niniejszej specyfikacji dotyczą zasad prowadzenia robót związanych z wykonaniem i odbiorem podłoża ulepszonego z mieszanki kruszywa niezwiązanego, tj. ziarnistego materiału o określonym składzie ziarnowym, w procesie technologicznym polegającym na odpowiednim zagęszczeniu przy optymalnej wilgotności kruszywa.</w:t>
      </w:r>
    </w:p>
    <w:p w14:paraId="20BC8B3F" w14:textId="77777777" w:rsidR="00D91956" w:rsidRPr="00D91956" w:rsidRDefault="00D91956" w:rsidP="00D91956">
      <w:pPr>
        <w:spacing w:line="240" w:lineRule="auto"/>
        <w:rPr>
          <w:rFonts w:cs="Arial"/>
          <w:szCs w:val="20"/>
        </w:rPr>
      </w:pPr>
      <w:r w:rsidRPr="00D91956">
        <w:rPr>
          <w:rFonts w:cs="Arial"/>
          <w:szCs w:val="20"/>
        </w:rPr>
        <w:tab/>
        <w:t>Mieszanka niezwiązana może być wytworzona z kruszyw naturalnych, sztucznych, kruszyw z recyklingu oraz mieszanin tych kruszyw w określonych proporcjach.</w:t>
      </w:r>
    </w:p>
    <w:p w14:paraId="7C36B27F" w14:textId="77777777" w:rsidR="00D91956" w:rsidRPr="00D91956" w:rsidRDefault="00D91956" w:rsidP="00D91956">
      <w:pPr>
        <w:spacing w:line="240" w:lineRule="auto"/>
        <w:rPr>
          <w:rFonts w:cs="Arial"/>
          <w:szCs w:val="20"/>
        </w:rPr>
      </w:pPr>
      <w:r w:rsidRPr="00D91956">
        <w:rPr>
          <w:rFonts w:cs="Arial"/>
          <w:szCs w:val="20"/>
        </w:rPr>
        <w:tab/>
        <w:t xml:space="preserve">Podłoże ulepszone, leżące pod konstrukcją nawierzchni drogowej wykonuje się w przypadku, gdy grunt rodzimy lub nasypowy w podłożu gruntowym nie spełnia warunku nośności lub/i mrozoodporności. Podłoże ulepszone może składać się z warstw: </w:t>
      </w:r>
      <w:proofErr w:type="spellStart"/>
      <w:r w:rsidRPr="00D91956">
        <w:rPr>
          <w:rFonts w:cs="Arial"/>
          <w:szCs w:val="20"/>
        </w:rPr>
        <w:t>mrozoochronnej</w:t>
      </w:r>
      <w:proofErr w:type="spellEnd"/>
      <w:r w:rsidRPr="00D91956">
        <w:rPr>
          <w:rFonts w:cs="Arial"/>
          <w:szCs w:val="20"/>
        </w:rPr>
        <w:t>, odsączającej, odcinającej i wzmacniającej lub w przypadku podłoża ulepszonego jednowarstwowego może spełniać funkcje wszystkich tych warstw jednocześnie.</w:t>
      </w:r>
    </w:p>
    <w:p w14:paraId="596A9E55" w14:textId="77777777" w:rsidR="00D91956" w:rsidRPr="00D91956" w:rsidRDefault="00D91956" w:rsidP="00D91956">
      <w:pPr>
        <w:spacing w:line="240" w:lineRule="auto"/>
        <w:rPr>
          <w:rFonts w:cs="Arial"/>
          <w:szCs w:val="20"/>
        </w:rPr>
      </w:pPr>
      <w:r w:rsidRPr="00D91956">
        <w:rPr>
          <w:rFonts w:cs="Arial"/>
          <w:szCs w:val="20"/>
        </w:rPr>
        <w:tab/>
        <w:t>Podłoże ulepszone z mieszanki kruszywa niezwiązanego może być wykonywane pod nawierzchnią drogi obciążonej ruchem kategorii KR1÷KR6.</w:t>
      </w:r>
    </w:p>
    <w:p w14:paraId="6A4907CE" w14:textId="77777777" w:rsidR="00D91956" w:rsidRPr="00D91956" w:rsidRDefault="00D91956" w:rsidP="00D91956">
      <w:pPr>
        <w:pStyle w:val="Nagwek2"/>
        <w:spacing w:line="240" w:lineRule="auto"/>
        <w:rPr>
          <w:rFonts w:cs="Arial"/>
          <w:szCs w:val="20"/>
        </w:rPr>
      </w:pPr>
      <w:r w:rsidRPr="00D91956">
        <w:rPr>
          <w:rFonts w:cs="Arial"/>
          <w:szCs w:val="20"/>
        </w:rPr>
        <w:t>1.4. Określenia podstawowe</w:t>
      </w:r>
    </w:p>
    <w:p w14:paraId="0EBD5D61" w14:textId="77777777" w:rsidR="00D91956" w:rsidRPr="00D91956" w:rsidRDefault="00D91956" w:rsidP="00D91956">
      <w:pPr>
        <w:pStyle w:val="Bezodstpw"/>
        <w:rPr>
          <w:rFonts w:cs="Arial"/>
          <w:szCs w:val="20"/>
        </w:rPr>
      </w:pPr>
      <w:r w:rsidRPr="00D91956">
        <w:rPr>
          <w:rFonts w:cs="Arial"/>
          <w:b/>
          <w:szCs w:val="20"/>
        </w:rPr>
        <w:t>1.4.1.</w:t>
      </w:r>
      <w:r w:rsidRPr="00D91956">
        <w:rPr>
          <w:rFonts w:cs="Arial"/>
          <w:szCs w:val="20"/>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11B4092A" w14:textId="77777777" w:rsidR="00D91956" w:rsidRPr="00D91956" w:rsidRDefault="00D91956" w:rsidP="00D91956">
      <w:pPr>
        <w:pStyle w:val="Bezodstpw"/>
        <w:spacing w:before="120"/>
        <w:rPr>
          <w:rFonts w:cs="Arial"/>
          <w:szCs w:val="20"/>
        </w:rPr>
      </w:pPr>
      <w:r w:rsidRPr="00D91956">
        <w:rPr>
          <w:rFonts w:cs="Arial"/>
          <w:b/>
          <w:szCs w:val="20"/>
        </w:rPr>
        <w:t>1.4.2.</w:t>
      </w:r>
      <w:r w:rsidRPr="00D91956">
        <w:rPr>
          <w:rFonts w:cs="Arial"/>
          <w:szCs w:val="20"/>
        </w:rPr>
        <w:t xml:space="preserve"> Kategoria – charakterystyczny poziom właściwości kruszywa lub mieszanki niezwiązanej, wyrażony, jako przedział wartości lub wartość graniczna. Nie ma zależności pomiędzy kategoriami różnych właściwości.</w:t>
      </w:r>
    </w:p>
    <w:p w14:paraId="42D04934" w14:textId="77777777" w:rsidR="00D91956" w:rsidRPr="00D91956" w:rsidRDefault="00D91956" w:rsidP="00D91956">
      <w:pPr>
        <w:pStyle w:val="Bezodstpw"/>
        <w:spacing w:before="120"/>
        <w:rPr>
          <w:rFonts w:cs="Arial"/>
          <w:szCs w:val="20"/>
        </w:rPr>
      </w:pPr>
      <w:r w:rsidRPr="00D91956">
        <w:rPr>
          <w:rFonts w:cs="Arial"/>
          <w:b/>
          <w:szCs w:val="20"/>
        </w:rPr>
        <w:t>1.4.3.</w:t>
      </w:r>
      <w:r w:rsidRPr="00D91956">
        <w:rPr>
          <w:rFonts w:cs="Arial"/>
          <w:szCs w:val="20"/>
        </w:rPr>
        <w:t xml:space="preserve"> Kruszywo – materiał ziarnisty stosowany w budownictwie, który może być naturalny, sztuczny lub z recyklingu.</w:t>
      </w:r>
    </w:p>
    <w:p w14:paraId="4B952B87" w14:textId="77777777" w:rsidR="00D91956" w:rsidRPr="00D91956" w:rsidRDefault="00D91956" w:rsidP="00D91956">
      <w:pPr>
        <w:pStyle w:val="Bezodstpw"/>
        <w:spacing w:before="120"/>
        <w:rPr>
          <w:rFonts w:cs="Arial"/>
          <w:szCs w:val="20"/>
        </w:rPr>
      </w:pPr>
      <w:r w:rsidRPr="00D91956">
        <w:rPr>
          <w:rFonts w:cs="Arial"/>
          <w:b/>
          <w:szCs w:val="20"/>
        </w:rPr>
        <w:t>1.4.4.</w:t>
      </w:r>
      <w:r w:rsidRPr="00D91956">
        <w:rPr>
          <w:rFonts w:cs="Arial"/>
          <w:szCs w:val="20"/>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34B3B981" w14:textId="77777777" w:rsidR="00D91956" w:rsidRPr="00D91956" w:rsidRDefault="00D91956" w:rsidP="00D91956">
      <w:pPr>
        <w:pStyle w:val="Bezodstpw"/>
        <w:spacing w:before="120"/>
        <w:rPr>
          <w:rFonts w:cs="Arial"/>
          <w:szCs w:val="20"/>
        </w:rPr>
      </w:pPr>
      <w:r w:rsidRPr="00D91956">
        <w:rPr>
          <w:rFonts w:cs="Arial"/>
          <w:b/>
          <w:szCs w:val="20"/>
        </w:rPr>
        <w:t>1.4.5.</w:t>
      </w:r>
      <w:r w:rsidRPr="00D91956">
        <w:rPr>
          <w:rFonts w:cs="Arial"/>
          <w:szCs w:val="20"/>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6DE04D12" w14:textId="77777777" w:rsidR="00D91956" w:rsidRPr="00D91956" w:rsidRDefault="00D91956" w:rsidP="00D91956">
      <w:pPr>
        <w:pStyle w:val="Bezodstpw"/>
        <w:spacing w:before="120"/>
        <w:rPr>
          <w:rFonts w:cs="Arial"/>
          <w:szCs w:val="20"/>
        </w:rPr>
      </w:pPr>
      <w:r w:rsidRPr="00D91956">
        <w:rPr>
          <w:rFonts w:cs="Arial"/>
          <w:b/>
          <w:szCs w:val="20"/>
        </w:rPr>
        <w:lastRenderedPageBreak/>
        <w:t>1.4.6.</w:t>
      </w:r>
      <w:r w:rsidRPr="00D91956">
        <w:rPr>
          <w:rFonts w:cs="Arial"/>
          <w:szCs w:val="20"/>
        </w:rPr>
        <w:t xml:space="preserve"> Kruszywo z recyklingu – kruszywo powstałe w wyniku przeróbki materiału zastosowanego uprzednio w budownictwie.</w:t>
      </w:r>
    </w:p>
    <w:p w14:paraId="50F9A91E" w14:textId="77777777" w:rsidR="00D91956" w:rsidRPr="00D91956" w:rsidRDefault="00D91956" w:rsidP="00D91956">
      <w:pPr>
        <w:pStyle w:val="Bezodstpw"/>
        <w:spacing w:before="120"/>
        <w:rPr>
          <w:rFonts w:cs="Arial"/>
          <w:szCs w:val="20"/>
        </w:rPr>
      </w:pPr>
      <w:r w:rsidRPr="00D91956">
        <w:rPr>
          <w:rFonts w:cs="Arial"/>
          <w:b/>
          <w:szCs w:val="20"/>
        </w:rPr>
        <w:t>1.4.7.</w:t>
      </w:r>
      <w:r w:rsidRPr="00D91956">
        <w:rPr>
          <w:rFonts w:cs="Arial"/>
          <w:szCs w:val="20"/>
        </w:rPr>
        <w:t xml:space="preserve"> Kruszywo kamienne – kruszywo z mineralnych surowców jak żwir kruszony, mechanicznie rozdrobnione skały, nadziarno żwirowe.</w:t>
      </w:r>
    </w:p>
    <w:p w14:paraId="14D9CE3A" w14:textId="77777777" w:rsidR="00D91956" w:rsidRPr="00D91956" w:rsidRDefault="00D91956" w:rsidP="00D91956">
      <w:pPr>
        <w:pStyle w:val="Bezodstpw"/>
        <w:spacing w:before="120"/>
        <w:rPr>
          <w:rFonts w:cs="Arial"/>
          <w:szCs w:val="20"/>
        </w:rPr>
      </w:pPr>
      <w:r w:rsidRPr="00D91956">
        <w:rPr>
          <w:rFonts w:cs="Arial"/>
          <w:b/>
          <w:szCs w:val="20"/>
        </w:rPr>
        <w:t>1.4.8.</w:t>
      </w:r>
      <w:r w:rsidRPr="00D91956">
        <w:rPr>
          <w:rFonts w:cs="Arial"/>
          <w:szCs w:val="20"/>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02C930E2" w14:textId="77777777" w:rsidR="00D91956" w:rsidRPr="00D91956" w:rsidRDefault="00D91956" w:rsidP="00D91956">
      <w:pPr>
        <w:pStyle w:val="Bezodstpw"/>
        <w:spacing w:before="120"/>
        <w:rPr>
          <w:rFonts w:cs="Arial"/>
          <w:szCs w:val="20"/>
        </w:rPr>
      </w:pPr>
      <w:r w:rsidRPr="00D91956">
        <w:rPr>
          <w:rFonts w:cs="Arial"/>
          <w:b/>
          <w:szCs w:val="20"/>
        </w:rPr>
        <w:t>1.4.9.</w:t>
      </w:r>
      <w:r w:rsidRPr="00D91956">
        <w:rPr>
          <w:rFonts w:cs="Arial"/>
          <w:szCs w:val="20"/>
        </w:rPr>
        <w:t xml:space="preserve"> Kruszywo żużlowe z żużla stalowniczego – kruszywo składające się głównie ze skrystalizowanego krzemianu wapnia i ferrytu zawierającego </w:t>
      </w:r>
      <w:proofErr w:type="spellStart"/>
      <w:r w:rsidRPr="00D91956">
        <w:rPr>
          <w:rFonts w:cs="Arial"/>
          <w:szCs w:val="20"/>
        </w:rPr>
        <w:t>CaO</w:t>
      </w:r>
      <w:proofErr w:type="spellEnd"/>
      <w:r w:rsidRPr="00D91956">
        <w:rPr>
          <w:rFonts w:cs="Arial"/>
          <w:szCs w:val="20"/>
        </w:rPr>
        <w:t>, SiO</w:t>
      </w:r>
      <w:r w:rsidRPr="00D91956">
        <w:rPr>
          <w:rFonts w:cs="Arial"/>
          <w:szCs w:val="20"/>
          <w:vertAlign w:val="subscript"/>
        </w:rPr>
        <w:t>2</w:t>
      </w:r>
      <w:r w:rsidRPr="00D91956">
        <w:rPr>
          <w:rFonts w:cs="Arial"/>
          <w:szCs w:val="20"/>
        </w:rPr>
        <w:t xml:space="preserve">, </w:t>
      </w:r>
      <w:proofErr w:type="spellStart"/>
      <w:r w:rsidRPr="00D91956">
        <w:rPr>
          <w:rFonts w:cs="Arial"/>
          <w:szCs w:val="20"/>
        </w:rPr>
        <w:t>MgO</w:t>
      </w:r>
      <w:proofErr w:type="spellEnd"/>
      <w:r w:rsidRPr="00D91956">
        <w:rPr>
          <w:rFonts w:cs="Arial"/>
          <w:szCs w:val="20"/>
        </w:rPr>
        <w:t xml:space="preserve"> oraz tlenek żelaza. Kruszywo otrzymuje się przez powolne schładzanie powietrzem ciekłego żużla stalowniczego. Proces chłodzenia może odbywać się przy kontrolowanym dodawaniu wody. </w:t>
      </w:r>
    </w:p>
    <w:p w14:paraId="7B650F36" w14:textId="77777777" w:rsidR="00D91956" w:rsidRPr="00D91956" w:rsidRDefault="00D91956" w:rsidP="00D91956">
      <w:pPr>
        <w:pStyle w:val="Bezodstpw"/>
        <w:spacing w:before="120"/>
        <w:rPr>
          <w:rFonts w:cs="Arial"/>
          <w:szCs w:val="20"/>
        </w:rPr>
      </w:pPr>
      <w:r w:rsidRPr="00D91956">
        <w:rPr>
          <w:rFonts w:cs="Arial"/>
          <w:b/>
          <w:szCs w:val="20"/>
        </w:rPr>
        <w:t>1.4.10.</w:t>
      </w:r>
      <w:r w:rsidRPr="00D91956">
        <w:rPr>
          <w:rFonts w:cs="Arial"/>
          <w:szCs w:val="20"/>
        </w:rPr>
        <w:t xml:space="preserve"> Kategoria ruchu (KR1 ÷ KR6) – obciążenie drogi ruchem samochodowym, wyrażone w osiach obliczeniowych (100 kN) według „Katalogu typowych konstrukcji nawierzchni podatnych i półsztywnych”. Generalna Dyrekcja Dróg Publicznych – Instytut Badawczy Dróg i Mostów, Warszawa 1997 [24]</w:t>
      </w:r>
    </w:p>
    <w:p w14:paraId="6F0584E6" w14:textId="77777777" w:rsidR="00D91956" w:rsidRPr="00D91956" w:rsidRDefault="00D91956" w:rsidP="00D91956">
      <w:pPr>
        <w:pStyle w:val="Bezodstpw"/>
        <w:spacing w:before="120"/>
        <w:rPr>
          <w:rFonts w:cs="Arial"/>
          <w:szCs w:val="20"/>
        </w:rPr>
      </w:pPr>
      <w:r w:rsidRPr="00D91956">
        <w:rPr>
          <w:rFonts w:cs="Arial"/>
          <w:b/>
          <w:szCs w:val="20"/>
        </w:rPr>
        <w:t>1.4.11</w:t>
      </w:r>
      <w:r w:rsidRPr="00D91956">
        <w:rPr>
          <w:rFonts w:cs="Arial"/>
          <w:szCs w:val="20"/>
        </w:rPr>
        <w:t xml:space="preserve">. Kruszywo grube (wg PN-EN 13242) – oznaczenie kruszywa o wymiarach ziaren </w:t>
      </w:r>
      <w:r w:rsidRPr="00D91956">
        <w:rPr>
          <w:rFonts w:cs="Arial"/>
          <w:i/>
          <w:szCs w:val="20"/>
        </w:rPr>
        <w:t xml:space="preserve">d </w:t>
      </w:r>
      <w:r w:rsidRPr="00D91956">
        <w:rPr>
          <w:rFonts w:cs="Arial"/>
          <w:szCs w:val="20"/>
        </w:rPr>
        <w:t xml:space="preserve">(dolnego) równym lub większym niż </w:t>
      </w:r>
      <w:smartTag w:uri="urn:schemas-microsoft-com:office:smarttags" w:element="metricconverter">
        <w:smartTagPr>
          <w:attr w:name="ProductID" w:val="1 mm"/>
        </w:smartTagPr>
        <w:r w:rsidRPr="00D91956">
          <w:rPr>
            <w:rFonts w:cs="Arial"/>
            <w:szCs w:val="20"/>
          </w:rPr>
          <w:t>1 mm</w:t>
        </w:r>
      </w:smartTag>
      <w:r w:rsidRPr="00D91956">
        <w:rPr>
          <w:rFonts w:cs="Arial"/>
          <w:szCs w:val="20"/>
        </w:rPr>
        <w:t xml:space="preserve"> oraz </w:t>
      </w:r>
      <w:r w:rsidRPr="00D91956">
        <w:rPr>
          <w:rFonts w:cs="Arial"/>
          <w:i/>
          <w:szCs w:val="20"/>
        </w:rPr>
        <w:t xml:space="preserve">D </w:t>
      </w:r>
      <w:r w:rsidRPr="00D91956">
        <w:rPr>
          <w:rFonts w:cs="Arial"/>
          <w:szCs w:val="20"/>
        </w:rPr>
        <w:t xml:space="preserve">(górnego) większym niż </w:t>
      </w:r>
      <w:smartTag w:uri="urn:schemas-microsoft-com:office:smarttags" w:element="metricconverter">
        <w:smartTagPr>
          <w:attr w:name="ProductID" w:val="2 mm"/>
        </w:smartTagPr>
        <w:r w:rsidRPr="00D91956">
          <w:rPr>
            <w:rFonts w:cs="Arial"/>
            <w:szCs w:val="20"/>
          </w:rPr>
          <w:t>2 mm</w:t>
        </w:r>
      </w:smartTag>
      <w:r w:rsidRPr="00D91956">
        <w:rPr>
          <w:rFonts w:cs="Arial"/>
          <w:szCs w:val="20"/>
        </w:rPr>
        <w:t>.</w:t>
      </w:r>
    </w:p>
    <w:p w14:paraId="41C86D41" w14:textId="77777777" w:rsidR="00D91956" w:rsidRPr="00D91956" w:rsidRDefault="00D91956" w:rsidP="00D91956">
      <w:pPr>
        <w:pStyle w:val="Bezodstpw"/>
        <w:spacing w:before="120"/>
        <w:rPr>
          <w:rFonts w:cs="Arial"/>
          <w:szCs w:val="20"/>
        </w:rPr>
      </w:pPr>
      <w:r w:rsidRPr="00D91956">
        <w:rPr>
          <w:rFonts w:cs="Arial"/>
          <w:b/>
          <w:szCs w:val="20"/>
        </w:rPr>
        <w:t>1.4.12.</w:t>
      </w:r>
      <w:r w:rsidRPr="00D91956">
        <w:rPr>
          <w:rFonts w:cs="Arial"/>
          <w:szCs w:val="20"/>
        </w:rPr>
        <w:t xml:space="preserve"> Kruszywo drobne (wg PN-EN 13242) – oznaczenie kruszywa o wymiarach ziaren </w:t>
      </w:r>
      <w:r w:rsidRPr="00D91956">
        <w:rPr>
          <w:rFonts w:cs="Arial"/>
          <w:i/>
          <w:szCs w:val="20"/>
        </w:rPr>
        <w:t>d</w:t>
      </w:r>
      <w:r w:rsidRPr="00D91956">
        <w:rPr>
          <w:rFonts w:cs="Arial"/>
          <w:szCs w:val="20"/>
        </w:rPr>
        <w:t xml:space="preserve"> równym 0 oraz </w:t>
      </w:r>
      <w:r w:rsidRPr="00D91956">
        <w:rPr>
          <w:rFonts w:cs="Arial"/>
          <w:i/>
          <w:szCs w:val="20"/>
        </w:rPr>
        <w:t>D</w:t>
      </w:r>
      <w:r w:rsidRPr="00D91956">
        <w:rPr>
          <w:rFonts w:cs="Arial"/>
          <w:szCs w:val="20"/>
        </w:rPr>
        <w:t xml:space="preserve"> równym </w:t>
      </w:r>
      <w:smartTag w:uri="urn:schemas-microsoft-com:office:smarttags" w:element="metricconverter">
        <w:smartTagPr>
          <w:attr w:name="ProductID" w:val="6,3 mm"/>
        </w:smartTagPr>
        <w:r w:rsidRPr="00D91956">
          <w:rPr>
            <w:rFonts w:cs="Arial"/>
            <w:szCs w:val="20"/>
          </w:rPr>
          <w:t>6,3 mm</w:t>
        </w:r>
      </w:smartTag>
      <w:r w:rsidRPr="00D91956">
        <w:rPr>
          <w:rFonts w:cs="Arial"/>
          <w:szCs w:val="20"/>
        </w:rPr>
        <w:t xml:space="preserve"> lub mniejszym. </w:t>
      </w:r>
    </w:p>
    <w:p w14:paraId="411440A3" w14:textId="77777777" w:rsidR="00D91956" w:rsidRPr="00D91956" w:rsidRDefault="00D91956" w:rsidP="00D91956">
      <w:pPr>
        <w:pStyle w:val="Bezodstpw"/>
        <w:spacing w:before="120"/>
        <w:rPr>
          <w:rFonts w:cs="Arial"/>
          <w:szCs w:val="20"/>
        </w:rPr>
      </w:pPr>
      <w:r w:rsidRPr="00D91956">
        <w:rPr>
          <w:rFonts w:cs="Arial"/>
          <w:b/>
          <w:szCs w:val="20"/>
        </w:rPr>
        <w:t>1.4.13.</w:t>
      </w:r>
      <w:r w:rsidRPr="00D91956">
        <w:rPr>
          <w:rFonts w:cs="Arial"/>
          <w:szCs w:val="20"/>
        </w:rPr>
        <w:t xml:space="preserve"> Kruszywo o ciągłym uziarnieniu (wg PN-EN 13242) – kruszywo stanowiące mieszankę kruszyw grubych i drobnych, w której </w:t>
      </w:r>
      <w:r w:rsidRPr="00D91956">
        <w:rPr>
          <w:rFonts w:cs="Arial"/>
          <w:i/>
          <w:szCs w:val="20"/>
        </w:rPr>
        <w:t>D</w:t>
      </w:r>
      <w:r w:rsidRPr="00D91956">
        <w:rPr>
          <w:rFonts w:cs="Arial"/>
          <w:szCs w:val="20"/>
        </w:rPr>
        <w:t xml:space="preserve"> jest większe niż </w:t>
      </w:r>
      <w:smartTag w:uri="urn:schemas-microsoft-com:office:smarttags" w:element="metricconverter">
        <w:smartTagPr>
          <w:attr w:name="ProductID" w:val="6,3 mm"/>
        </w:smartTagPr>
        <w:r w:rsidRPr="00D91956">
          <w:rPr>
            <w:rFonts w:cs="Arial"/>
            <w:szCs w:val="20"/>
          </w:rPr>
          <w:t>6,3 mm</w:t>
        </w:r>
      </w:smartTag>
      <w:r w:rsidRPr="00D91956">
        <w:rPr>
          <w:rFonts w:cs="Arial"/>
          <w:szCs w:val="20"/>
        </w:rPr>
        <w:t>.</w:t>
      </w:r>
    </w:p>
    <w:p w14:paraId="410087E1" w14:textId="77777777" w:rsidR="00D91956" w:rsidRPr="00D91956" w:rsidRDefault="00D91956" w:rsidP="00D91956">
      <w:pPr>
        <w:pStyle w:val="Bezodstpw"/>
        <w:spacing w:before="120"/>
        <w:rPr>
          <w:rFonts w:cs="Arial"/>
          <w:szCs w:val="20"/>
        </w:rPr>
      </w:pPr>
      <w:r w:rsidRPr="00D91956">
        <w:rPr>
          <w:rFonts w:cs="Arial"/>
          <w:b/>
          <w:szCs w:val="20"/>
        </w:rPr>
        <w:t>1.4.14.</w:t>
      </w:r>
      <w:r w:rsidRPr="00D91956">
        <w:rPr>
          <w:rFonts w:cs="Arial"/>
          <w:szCs w:val="20"/>
        </w:rPr>
        <w:t xml:space="preserve"> Destrukt asfaltowy – materiał drogowy pochodzący z frezowania istniejących warstw z mieszanek mineralno-asfaltowych (</w:t>
      </w:r>
      <w:proofErr w:type="spellStart"/>
      <w:r w:rsidRPr="00D91956">
        <w:rPr>
          <w:rFonts w:cs="Arial"/>
          <w:szCs w:val="20"/>
        </w:rPr>
        <w:t>mma</w:t>
      </w:r>
      <w:proofErr w:type="spellEnd"/>
      <w:r w:rsidRPr="00D91956">
        <w:rPr>
          <w:rFonts w:cs="Arial"/>
          <w:szCs w:val="20"/>
        </w:rPr>
        <w:t xml:space="preserve">) lub z </w:t>
      </w:r>
      <w:proofErr w:type="spellStart"/>
      <w:r w:rsidRPr="00D91956">
        <w:rPr>
          <w:rFonts w:cs="Arial"/>
          <w:szCs w:val="20"/>
        </w:rPr>
        <w:t>przekruszenia</w:t>
      </w:r>
      <w:proofErr w:type="spellEnd"/>
      <w:r w:rsidRPr="00D91956">
        <w:rPr>
          <w:rFonts w:cs="Arial"/>
          <w:szCs w:val="20"/>
        </w:rPr>
        <w:t xml:space="preserve"> kawałków warstw nawierzchni asfaltowych oraz niewbudowanych partii </w:t>
      </w:r>
      <w:proofErr w:type="spellStart"/>
      <w:r w:rsidRPr="00D91956">
        <w:rPr>
          <w:rFonts w:cs="Arial"/>
          <w:szCs w:val="20"/>
        </w:rPr>
        <w:t>mma</w:t>
      </w:r>
      <w:proofErr w:type="spellEnd"/>
      <w:r w:rsidRPr="00D91956">
        <w:rPr>
          <w:rFonts w:cs="Arial"/>
          <w:szCs w:val="20"/>
        </w:rPr>
        <w:t xml:space="preserve">, który został ujednorodniony pod względem składu oraz co najmniej przesiany, w celu odrzucenia dużych kawałków </w:t>
      </w:r>
      <w:proofErr w:type="spellStart"/>
      <w:r w:rsidRPr="00D91956">
        <w:rPr>
          <w:rFonts w:cs="Arial"/>
          <w:szCs w:val="20"/>
        </w:rPr>
        <w:t>mma</w:t>
      </w:r>
      <w:proofErr w:type="spellEnd"/>
      <w:r w:rsidRPr="00D91956">
        <w:rPr>
          <w:rFonts w:cs="Arial"/>
          <w:szCs w:val="20"/>
        </w:rPr>
        <w:t xml:space="preserve"> (nadziarno nie większe od 1,4 D mieszanki niezwiązanej).</w:t>
      </w:r>
    </w:p>
    <w:p w14:paraId="4C699456" w14:textId="77777777" w:rsidR="00D91956" w:rsidRPr="00D91956" w:rsidRDefault="00D91956" w:rsidP="00D91956">
      <w:pPr>
        <w:pStyle w:val="Bezodstpw"/>
        <w:spacing w:before="120"/>
        <w:rPr>
          <w:rFonts w:cs="Arial"/>
          <w:szCs w:val="20"/>
        </w:rPr>
      </w:pPr>
      <w:r w:rsidRPr="00D91956">
        <w:rPr>
          <w:rFonts w:cs="Arial"/>
          <w:b/>
          <w:szCs w:val="20"/>
        </w:rPr>
        <w:t>1.4.15.</w:t>
      </w:r>
      <w:r w:rsidRPr="00D91956">
        <w:rPr>
          <w:rFonts w:cs="Arial"/>
          <w:szCs w:val="20"/>
        </w:rPr>
        <w:t xml:space="preserve"> Kruszywa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D91956">
        <w:rPr>
          <w:rFonts w:cs="Arial"/>
          <w:szCs w:val="20"/>
        </w:rPr>
        <w:t>Proctora</w:t>
      </w:r>
      <w:proofErr w:type="spellEnd"/>
      <w:r w:rsidRPr="00D91956">
        <w:rPr>
          <w:rFonts w:cs="Arial"/>
          <w:szCs w:val="20"/>
        </w:rPr>
        <w:t xml:space="preserve">, przekraczającymi ± 8%. Uziarnienie kruszywa należy sprawdzać na sitach przewidzianych do kontroli uziarnienia wg PN-EN 13285 i niniejszej OST. O zakwalifikowaniu kruszywa do kruszyw słabych decyduje największa różnica wartości przesiewów na jednym z sit kontrolnych. </w:t>
      </w:r>
    </w:p>
    <w:p w14:paraId="096C79AB" w14:textId="77777777" w:rsidR="00D91956" w:rsidRPr="00D91956" w:rsidRDefault="00D91956" w:rsidP="00D91956">
      <w:pPr>
        <w:pStyle w:val="Bezodstpw"/>
        <w:spacing w:before="120"/>
        <w:rPr>
          <w:rFonts w:cs="Arial"/>
          <w:szCs w:val="20"/>
        </w:rPr>
      </w:pPr>
      <w:r w:rsidRPr="00D91956">
        <w:rPr>
          <w:rFonts w:cs="Arial"/>
          <w:b/>
          <w:szCs w:val="20"/>
        </w:rPr>
        <w:t>1.4.16.</w:t>
      </w:r>
      <w:r w:rsidRPr="00D91956">
        <w:rPr>
          <w:rFonts w:cs="Arial"/>
          <w:szCs w:val="20"/>
        </w:rPr>
        <w:t xml:space="preserve"> Podłoże ulepszone – warstwa lub zespół warstw leżących pod konstrukcją nawierzchni drogowej w przypadku, gdy podłoże gruntowe (grunt rodzimy lub nasypowy) nie spełnia warunku nośności i/lub mrozoodporności.</w:t>
      </w:r>
    </w:p>
    <w:p w14:paraId="2184411B" w14:textId="77777777" w:rsidR="00D91956" w:rsidRPr="00D91956" w:rsidRDefault="00D91956" w:rsidP="00D91956">
      <w:pPr>
        <w:pStyle w:val="Bezodstpw"/>
        <w:spacing w:before="120"/>
        <w:rPr>
          <w:rFonts w:cs="Arial"/>
          <w:szCs w:val="20"/>
        </w:rPr>
      </w:pPr>
      <w:r w:rsidRPr="00D91956">
        <w:rPr>
          <w:rFonts w:cs="Arial"/>
          <w:szCs w:val="20"/>
        </w:rPr>
        <w:t xml:space="preserve">Podłoże ulepszone może zawierać następujące warstwy: </w:t>
      </w:r>
      <w:proofErr w:type="spellStart"/>
      <w:r w:rsidRPr="00D91956">
        <w:rPr>
          <w:rFonts w:cs="Arial"/>
          <w:szCs w:val="20"/>
        </w:rPr>
        <w:t>mrozoochronną</w:t>
      </w:r>
      <w:proofErr w:type="spellEnd"/>
      <w:r w:rsidRPr="00D91956">
        <w:rPr>
          <w:rFonts w:cs="Arial"/>
          <w:szCs w:val="20"/>
        </w:rPr>
        <w:t>, odsączającą, odcinającą i wzmacniającą, a w przypadku podłoża ulepszonego jednowarstwowego może ono spełniać funkcje wszystkich tych warstw jednocześnie.</w:t>
      </w:r>
    </w:p>
    <w:p w14:paraId="69C2742F" w14:textId="77777777" w:rsidR="00D91956" w:rsidRPr="00D91956" w:rsidRDefault="00D91956" w:rsidP="00D91956">
      <w:pPr>
        <w:pStyle w:val="Bezodstpw"/>
        <w:spacing w:before="120"/>
        <w:rPr>
          <w:rFonts w:cs="Arial"/>
          <w:szCs w:val="20"/>
        </w:rPr>
      </w:pPr>
      <w:r w:rsidRPr="00D91956">
        <w:rPr>
          <w:rFonts w:cs="Arial"/>
          <w:b/>
          <w:szCs w:val="20"/>
        </w:rPr>
        <w:t>1.4.17.</w:t>
      </w:r>
      <w:r w:rsidRPr="00D91956">
        <w:rPr>
          <w:rFonts w:cs="Arial"/>
          <w:szCs w:val="20"/>
        </w:rPr>
        <w:t xml:space="preserve"> Warstwa </w:t>
      </w:r>
      <w:proofErr w:type="spellStart"/>
      <w:r w:rsidRPr="00D91956">
        <w:rPr>
          <w:rFonts w:cs="Arial"/>
          <w:szCs w:val="20"/>
        </w:rPr>
        <w:t>mrozoochronna</w:t>
      </w:r>
      <w:proofErr w:type="spellEnd"/>
      <w:r w:rsidRPr="00D91956">
        <w:rPr>
          <w:rFonts w:cs="Arial"/>
          <w:szCs w:val="20"/>
        </w:rPr>
        <w:t xml:space="preserve"> – warstwa zapewniająca ochronę konstrukcji nawierzchni drogowej przed skutkami oddziaływania mrozu.</w:t>
      </w:r>
    </w:p>
    <w:p w14:paraId="63F024EF" w14:textId="77777777" w:rsidR="00D91956" w:rsidRPr="00D91956" w:rsidRDefault="00D91956" w:rsidP="00D91956">
      <w:pPr>
        <w:pStyle w:val="Bezodstpw"/>
        <w:spacing w:before="120"/>
        <w:rPr>
          <w:rFonts w:cs="Arial"/>
          <w:szCs w:val="20"/>
        </w:rPr>
      </w:pPr>
      <w:r w:rsidRPr="00D91956">
        <w:rPr>
          <w:rFonts w:cs="Arial"/>
          <w:b/>
          <w:szCs w:val="20"/>
        </w:rPr>
        <w:t>1.4.18.</w:t>
      </w:r>
      <w:r w:rsidRPr="00D91956">
        <w:rPr>
          <w:rFonts w:cs="Arial"/>
          <w:szCs w:val="20"/>
        </w:rPr>
        <w:t xml:space="preserve"> Warstwa odsączająca – warstwa służąca do odprowadzenia wody, która mogłaby przedostać się do konstrukcji nawierzchni drogowej. Jeżeli występuje w podłożu ulepszonym, jest warstwą najniżej położoną lub w przypadku występującej warstwy odcinającej, ułożona jest bezpośrednią nad nią. Warstwa ta charakteryzuje się wystarczającą przepuszczalnością po zagęszczeniu.</w:t>
      </w:r>
    </w:p>
    <w:p w14:paraId="0EC5DA51" w14:textId="77777777" w:rsidR="00D91956" w:rsidRPr="00D91956" w:rsidRDefault="00D91956" w:rsidP="00D91956">
      <w:pPr>
        <w:pStyle w:val="Bezodstpw"/>
        <w:spacing w:before="120"/>
        <w:rPr>
          <w:rFonts w:cs="Arial"/>
          <w:szCs w:val="20"/>
        </w:rPr>
      </w:pPr>
      <w:r w:rsidRPr="00D91956">
        <w:rPr>
          <w:rFonts w:cs="Arial"/>
          <w:b/>
          <w:szCs w:val="20"/>
        </w:rPr>
        <w:t>1.4.19.</w:t>
      </w:r>
      <w:r w:rsidRPr="00D91956">
        <w:rPr>
          <w:rFonts w:cs="Arial"/>
          <w:szCs w:val="20"/>
        </w:rPr>
        <w:t xml:space="preserve"> Warstwa odcinająca – warstwa stosowana w celu uniemożliwienia przedostania się cząstek gruntu podłoża   do   warstw   wyżej   położonych.   Warstwa  ta   powinna  zapewnić  spełnienie  warunku  szczelności  (D</w:t>
      </w:r>
      <w:r w:rsidRPr="00D91956">
        <w:rPr>
          <w:rFonts w:cs="Arial"/>
          <w:szCs w:val="20"/>
          <w:vertAlign w:val="subscript"/>
        </w:rPr>
        <w:t>15</w:t>
      </w:r>
      <w:r w:rsidRPr="00D91956">
        <w:rPr>
          <w:rFonts w:cs="Arial"/>
          <w:szCs w:val="20"/>
        </w:rPr>
        <w:t>/d</w:t>
      </w:r>
      <w:r w:rsidRPr="00D91956">
        <w:rPr>
          <w:rFonts w:cs="Arial"/>
          <w:szCs w:val="20"/>
          <w:vertAlign w:val="subscript"/>
        </w:rPr>
        <w:t xml:space="preserve">85 </w:t>
      </w:r>
      <w:r w:rsidRPr="00D91956">
        <w:rPr>
          <w:rFonts w:cs="Arial"/>
          <w:szCs w:val="20"/>
        </w:rPr>
        <w:t xml:space="preserve">≤ 5). </w:t>
      </w:r>
    </w:p>
    <w:p w14:paraId="575501B5" w14:textId="77777777" w:rsidR="00D91956" w:rsidRPr="00D91956" w:rsidRDefault="00D91956" w:rsidP="00D91956">
      <w:pPr>
        <w:pStyle w:val="Bezodstpw"/>
        <w:spacing w:before="120"/>
        <w:rPr>
          <w:rFonts w:cs="Arial"/>
          <w:szCs w:val="20"/>
        </w:rPr>
      </w:pPr>
      <w:r w:rsidRPr="00D91956">
        <w:rPr>
          <w:rFonts w:cs="Arial"/>
          <w:b/>
          <w:szCs w:val="20"/>
        </w:rPr>
        <w:t>1.4.20.</w:t>
      </w:r>
      <w:r w:rsidRPr="00D91956">
        <w:rPr>
          <w:rFonts w:cs="Arial"/>
          <w:szCs w:val="20"/>
        </w:rPr>
        <w:t xml:space="preserve"> Warstwa wzmacniająca – warstwa zapewniająca przeniesienie występującego w okresie budowy ciężkiego ruchu technologicznego, nazywana również warstwą technologiczną.</w:t>
      </w:r>
    </w:p>
    <w:p w14:paraId="732F6401" w14:textId="77777777" w:rsidR="00D91956" w:rsidRPr="00D91956" w:rsidRDefault="00D91956" w:rsidP="00D91956">
      <w:pPr>
        <w:pStyle w:val="Bezodstpw"/>
        <w:spacing w:before="120" w:after="120"/>
        <w:rPr>
          <w:rFonts w:cs="Arial"/>
          <w:szCs w:val="20"/>
        </w:rPr>
      </w:pPr>
      <w:r w:rsidRPr="00D91956">
        <w:rPr>
          <w:rFonts w:cs="Arial"/>
          <w:b/>
          <w:szCs w:val="20"/>
        </w:rPr>
        <w:t>1.4.21.</w:t>
      </w:r>
      <w:r w:rsidRPr="00D91956">
        <w:rPr>
          <w:rFonts w:cs="Arial"/>
          <w:szCs w:val="20"/>
        </w:rPr>
        <w:t xml:space="preserve"> Symbole i skróty dodatkowe</w:t>
      </w:r>
    </w:p>
    <w:p w14:paraId="7C1C5FBD" w14:textId="77777777" w:rsidR="00D91956" w:rsidRPr="00D91956" w:rsidRDefault="00D91956" w:rsidP="00D91956">
      <w:pPr>
        <w:pStyle w:val="Bezodstpw"/>
        <w:rPr>
          <w:rFonts w:cs="Arial"/>
          <w:szCs w:val="20"/>
        </w:rPr>
      </w:pPr>
      <w:r w:rsidRPr="00D91956">
        <w:rPr>
          <w:rFonts w:cs="Arial"/>
          <w:szCs w:val="20"/>
        </w:rPr>
        <w:t>% m/m   procent masy,</w:t>
      </w:r>
    </w:p>
    <w:p w14:paraId="6791CCB8" w14:textId="77777777" w:rsidR="00D91956" w:rsidRPr="00D91956" w:rsidRDefault="00D91956" w:rsidP="00D91956">
      <w:pPr>
        <w:pStyle w:val="Bezodstpw"/>
        <w:rPr>
          <w:rFonts w:cs="Arial"/>
          <w:szCs w:val="20"/>
        </w:rPr>
      </w:pPr>
      <w:r w:rsidRPr="00D91956">
        <w:rPr>
          <w:rFonts w:cs="Arial"/>
          <w:szCs w:val="20"/>
        </w:rPr>
        <w:t>NR         brak konieczności badania danej cechy,</w:t>
      </w:r>
    </w:p>
    <w:p w14:paraId="5F67A0CF" w14:textId="77777777" w:rsidR="00D91956" w:rsidRPr="00D91956" w:rsidRDefault="00D91956" w:rsidP="00D91956">
      <w:pPr>
        <w:pStyle w:val="Bezodstpw"/>
        <w:rPr>
          <w:rFonts w:cs="Arial"/>
          <w:szCs w:val="20"/>
        </w:rPr>
      </w:pPr>
      <w:r w:rsidRPr="00D91956">
        <w:rPr>
          <w:rFonts w:cs="Arial"/>
          <w:szCs w:val="20"/>
        </w:rPr>
        <w:t>CRB       kalifornijski wskaźnik nośności, %</w:t>
      </w:r>
    </w:p>
    <w:p w14:paraId="2591099B" w14:textId="77777777" w:rsidR="00D91956" w:rsidRPr="00D91956" w:rsidRDefault="00D91956" w:rsidP="00D91956">
      <w:pPr>
        <w:pStyle w:val="Bezodstpw"/>
        <w:ind w:left="840" w:hanging="840"/>
        <w:rPr>
          <w:rFonts w:cs="Arial"/>
          <w:szCs w:val="20"/>
        </w:rPr>
      </w:pPr>
      <w:r w:rsidRPr="00D91956">
        <w:rPr>
          <w:rFonts w:cs="Arial"/>
          <w:szCs w:val="20"/>
        </w:rPr>
        <w:t>SDV   obszar  uziarnienia,  w  którym  powinna  się mieścić  krzywa  uziarnienia mieszanki (S)  deklarowana przez dostawcę/producenta,</w:t>
      </w:r>
    </w:p>
    <w:p w14:paraId="482A4212" w14:textId="77777777" w:rsidR="00D91956" w:rsidRPr="00D91956" w:rsidRDefault="00D91956" w:rsidP="00D91956">
      <w:pPr>
        <w:pStyle w:val="Bezodstpw"/>
        <w:rPr>
          <w:rFonts w:cs="Arial"/>
          <w:szCs w:val="20"/>
        </w:rPr>
      </w:pPr>
      <w:r w:rsidRPr="00D91956">
        <w:rPr>
          <w:rFonts w:cs="Arial"/>
          <w:szCs w:val="20"/>
        </w:rPr>
        <w:t>k            współczynnik filtracji, oznaczony wg ISO/TS 17892-11:2004 [21],</w:t>
      </w:r>
    </w:p>
    <w:p w14:paraId="18358050" w14:textId="77777777" w:rsidR="00D91956" w:rsidRPr="00D91956" w:rsidRDefault="00D91956" w:rsidP="00D91956">
      <w:pPr>
        <w:pStyle w:val="Bezodstpw"/>
        <w:tabs>
          <w:tab w:val="left" w:pos="840"/>
        </w:tabs>
        <w:ind w:left="840" w:hanging="840"/>
        <w:rPr>
          <w:rFonts w:cs="Arial"/>
          <w:szCs w:val="20"/>
        </w:rPr>
      </w:pPr>
      <w:r w:rsidRPr="00D91956">
        <w:rPr>
          <w:rFonts w:cs="Arial"/>
          <w:szCs w:val="20"/>
        </w:rPr>
        <w:t>D</w:t>
      </w:r>
      <w:r w:rsidRPr="00D91956">
        <w:rPr>
          <w:rFonts w:cs="Arial"/>
          <w:szCs w:val="20"/>
          <w:vertAlign w:val="subscript"/>
        </w:rPr>
        <w:t>15</w:t>
      </w:r>
      <w:r w:rsidRPr="00D91956">
        <w:rPr>
          <w:rFonts w:cs="Arial"/>
          <w:szCs w:val="20"/>
        </w:rPr>
        <w:t xml:space="preserve">    </w:t>
      </w:r>
      <w:r w:rsidRPr="00D91956">
        <w:rPr>
          <w:rFonts w:cs="Arial"/>
          <w:szCs w:val="20"/>
        </w:rPr>
        <w:tab/>
        <w:t>wymiar boku oczka sita w mm, przez które przechodzi 15% (m/m) ziaren mieszanki, z której wykonano warstwę podłoża lub nawierzchni,</w:t>
      </w:r>
    </w:p>
    <w:p w14:paraId="57883362" w14:textId="77777777" w:rsidR="00D91956" w:rsidRPr="00D91956" w:rsidRDefault="00D91956" w:rsidP="00D91956">
      <w:pPr>
        <w:pStyle w:val="Bezodstpw"/>
        <w:ind w:left="840" w:hanging="840"/>
        <w:rPr>
          <w:rFonts w:cs="Arial"/>
          <w:szCs w:val="20"/>
        </w:rPr>
      </w:pPr>
      <w:r w:rsidRPr="00D91956">
        <w:rPr>
          <w:rFonts w:cs="Arial"/>
          <w:szCs w:val="20"/>
        </w:rPr>
        <w:t>d</w:t>
      </w:r>
      <w:r w:rsidRPr="00D91956">
        <w:rPr>
          <w:rFonts w:cs="Arial"/>
          <w:szCs w:val="20"/>
          <w:vertAlign w:val="subscript"/>
        </w:rPr>
        <w:t>85</w:t>
      </w:r>
      <w:r w:rsidRPr="00D91956">
        <w:rPr>
          <w:rFonts w:cs="Arial"/>
          <w:szCs w:val="20"/>
        </w:rPr>
        <w:t xml:space="preserve">       wymiar boku oczka sita w mm, przez które przechodzi 85% (m/m) ziaren gruntu podłoża,</w:t>
      </w:r>
    </w:p>
    <w:p w14:paraId="1F282AE5" w14:textId="77777777" w:rsidR="00D91956" w:rsidRPr="00D91956" w:rsidRDefault="00D91956" w:rsidP="00D91956">
      <w:pPr>
        <w:pStyle w:val="Bezodstpw"/>
        <w:ind w:left="840" w:hanging="840"/>
        <w:rPr>
          <w:rFonts w:cs="Arial"/>
          <w:szCs w:val="20"/>
        </w:rPr>
      </w:pPr>
      <w:r w:rsidRPr="00D91956">
        <w:rPr>
          <w:rFonts w:cs="Arial"/>
          <w:szCs w:val="20"/>
        </w:rPr>
        <w:t>d</w:t>
      </w:r>
      <w:r w:rsidRPr="00D91956">
        <w:rPr>
          <w:rFonts w:cs="Arial"/>
          <w:szCs w:val="20"/>
          <w:vertAlign w:val="subscript"/>
        </w:rPr>
        <w:t>50</w:t>
      </w:r>
      <w:r w:rsidRPr="00D91956">
        <w:rPr>
          <w:rFonts w:cs="Arial"/>
          <w:szCs w:val="20"/>
        </w:rPr>
        <w:t xml:space="preserve">       wymiar boku oczka sita w mm, przez które przechodzi 50% (m/m) ziaren gruntu podłoża,</w:t>
      </w:r>
    </w:p>
    <w:p w14:paraId="63024312" w14:textId="77777777" w:rsidR="00D91956" w:rsidRPr="00D91956" w:rsidRDefault="00D91956" w:rsidP="00D91956">
      <w:pPr>
        <w:pStyle w:val="Bezodstpw"/>
        <w:ind w:left="840" w:hanging="840"/>
        <w:rPr>
          <w:rFonts w:cs="Arial"/>
          <w:szCs w:val="20"/>
        </w:rPr>
      </w:pPr>
      <w:r w:rsidRPr="00D91956">
        <w:rPr>
          <w:rFonts w:cs="Arial"/>
          <w:szCs w:val="20"/>
        </w:rPr>
        <w:lastRenderedPageBreak/>
        <w:t>O</w:t>
      </w:r>
      <w:r w:rsidRPr="00D91956">
        <w:rPr>
          <w:rFonts w:cs="Arial"/>
          <w:szCs w:val="20"/>
          <w:vertAlign w:val="subscript"/>
        </w:rPr>
        <w:t>90</w:t>
      </w:r>
      <w:r w:rsidRPr="00D91956">
        <w:rPr>
          <w:rFonts w:cs="Arial"/>
          <w:szCs w:val="20"/>
        </w:rPr>
        <w:t xml:space="preserve">        umowna  średnica porów geowłókniny lub </w:t>
      </w:r>
      <w:proofErr w:type="spellStart"/>
      <w:r w:rsidRPr="00D91956">
        <w:rPr>
          <w:rFonts w:cs="Arial"/>
          <w:szCs w:val="20"/>
        </w:rPr>
        <w:t>geotkaniny</w:t>
      </w:r>
      <w:proofErr w:type="spellEnd"/>
      <w:r w:rsidRPr="00D91956">
        <w:rPr>
          <w:rFonts w:cs="Arial"/>
          <w:szCs w:val="20"/>
        </w:rPr>
        <w:t>,  odpowiadająca wymiarom frakcji gruntu (podłoża), zatrzymującego się na geowłókninie/</w:t>
      </w:r>
      <w:proofErr w:type="spellStart"/>
      <w:r w:rsidRPr="00D91956">
        <w:rPr>
          <w:rFonts w:cs="Arial"/>
          <w:szCs w:val="20"/>
        </w:rPr>
        <w:t>geotkaninie</w:t>
      </w:r>
      <w:proofErr w:type="spellEnd"/>
      <w:r w:rsidRPr="00D91956">
        <w:rPr>
          <w:rFonts w:cs="Arial"/>
          <w:szCs w:val="20"/>
        </w:rPr>
        <w:t xml:space="preserve"> w ilości 90% (m/m); wartość parametru O</w:t>
      </w:r>
      <w:r w:rsidRPr="00D91956">
        <w:rPr>
          <w:rFonts w:cs="Arial"/>
          <w:szCs w:val="20"/>
          <w:vertAlign w:val="subscript"/>
        </w:rPr>
        <w:t>90</w:t>
      </w:r>
      <w:r w:rsidRPr="00D91956">
        <w:rPr>
          <w:rFonts w:cs="Arial"/>
          <w:szCs w:val="20"/>
        </w:rPr>
        <w:t xml:space="preserve"> powinna być podawana przez producenta geowłókniny.</w:t>
      </w:r>
    </w:p>
    <w:p w14:paraId="68D3E600" w14:textId="6AC2A418" w:rsidR="00D91956" w:rsidRPr="00D91956" w:rsidRDefault="00D91956" w:rsidP="00D91956">
      <w:pPr>
        <w:pStyle w:val="StylIwony"/>
        <w:spacing w:after="0"/>
        <w:rPr>
          <w:rFonts w:ascii="Arial" w:hAnsi="Arial" w:cs="Arial"/>
          <w:sz w:val="20"/>
        </w:rPr>
      </w:pPr>
      <w:r w:rsidRPr="00D91956">
        <w:rPr>
          <w:rFonts w:ascii="Arial" w:hAnsi="Arial" w:cs="Arial"/>
          <w:b/>
          <w:sz w:val="20"/>
        </w:rPr>
        <w:t xml:space="preserve">1.4.22. </w:t>
      </w:r>
      <w:r w:rsidRPr="00D91956">
        <w:rPr>
          <w:rFonts w:ascii="Arial" w:hAnsi="Arial" w:cs="Arial"/>
          <w:sz w:val="20"/>
        </w:rPr>
        <w:t xml:space="preserve">Pozostałe określenia podstawowe są zgodne z obowiązującymi, odpowiednimi polskimi normami i z definicjami podanymi w </w:t>
      </w:r>
      <w:r>
        <w:rPr>
          <w:rFonts w:ascii="Arial" w:hAnsi="Arial" w:cs="Arial"/>
          <w:sz w:val="20"/>
        </w:rPr>
        <w:t>S</w:t>
      </w:r>
      <w:r w:rsidRPr="00D91956">
        <w:rPr>
          <w:rFonts w:ascii="Arial" w:hAnsi="Arial" w:cs="Arial"/>
          <w:sz w:val="20"/>
        </w:rPr>
        <w:t>ST D-M-00.00.00 „Wymagania ogólne” [1], pkt 1.4.</w:t>
      </w:r>
    </w:p>
    <w:p w14:paraId="242B6D63" w14:textId="77777777" w:rsidR="00D91956" w:rsidRPr="00D91956" w:rsidRDefault="00D91956" w:rsidP="00D91956">
      <w:pPr>
        <w:pStyle w:val="Nagwek2"/>
        <w:spacing w:line="240" w:lineRule="auto"/>
        <w:rPr>
          <w:rFonts w:cs="Arial"/>
          <w:szCs w:val="20"/>
        </w:rPr>
      </w:pPr>
      <w:r w:rsidRPr="00D91956">
        <w:rPr>
          <w:rFonts w:cs="Arial"/>
          <w:szCs w:val="20"/>
        </w:rPr>
        <w:t>1.5. Ogólne wymagania dotyczące robót</w:t>
      </w:r>
    </w:p>
    <w:p w14:paraId="31102B35" w14:textId="67896DFD" w:rsidR="00D91956" w:rsidRPr="00D91956" w:rsidRDefault="00D91956" w:rsidP="00D91956">
      <w:pPr>
        <w:pStyle w:val="StylIwony"/>
        <w:spacing w:before="0" w:after="0"/>
        <w:rPr>
          <w:rFonts w:ascii="Arial" w:hAnsi="Arial" w:cs="Arial"/>
          <w:sz w:val="20"/>
        </w:rPr>
      </w:pPr>
      <w:r w:rsidRPr="00D91956">
        <w:rPr>
          <w:rFonts w:ascii="Arial" w:hAnsi="Arial" w:cs="Arial"/>
          <w:b/>
          <w:sz w:val="20"/>
        </w:rPr>
        <w:tab/>
      </w:r>
      <w:r w:rsidRPr="00D91956">
        <w:rPr>
          <w:rFonts w:ascii="Arial" w:hAnsi="Arial" w:cs="Arial"/>
          <w:sz w:val="20"/>
        </w:rPr>
        <w:t xml:space="preserve">Ogólne wymagania dotyczące robót podano w </w:t>
      </w:r>
      <w:r>
        <w:rPr>
          <w:rFonts w:ascii="Arial" w:hAnsi="Arial" w:cs="Arial"/>
          <w:sz w:val="20"/>
        </w:rPr>
        <w:t>S</w:t>
      </w:r>
      <w:r w:rsidRPr="00D91956">
        <w:rPr>
          <w:rFonts w:ascii="Arial" w:hAnsi="Arial" w:cs="Arial"/>
          <w:sz w:val="20"/>
        </w:rPr>
        <w:t>ST D-M-00.00.00 „Wymagania ogólne” [1], pkt 1.5.</w:t>
      </w:r>
    </w:p>
    <w:p w14:paraId="54566B97" w14:textId="77777777" w:rsidR="00D91956" w:rsidRPr="00D91956" w:rsidRDefault="00D91956" w:rsidP="00D91956">
      <w:pPr>
        <w:pStyle w:val="Nagwek1"/>
        <w:spacing w:line="240" w:lineRule="auto"/>
        <w:rPr>
          <w:rFonts w:cs="Arial"/>
          <w:szCs w:val="20"/>
        </w:rPr>
      </w:pPr>
      <w:bookmarkStart w:id="786" w:name="_Toc431184075"/>
      <w:bookmarkStart w:id="787" w:name="_Toc208892382"/>
      <w:bookmarkStart w:id="788" w:name="_Toc210107778"/>
      <w:bookmarkStart w:id="789" w:name="_Toc236626156"/>
      <w:bookmarkStart w:id="790" w:name="_Toc331508864"/>
      <w:bookmarkStart w:id="791" w:name="_Toc332276185"/>
      <w:bookmarkStart w:id="792" w:name="_Toc333835982"/>
      <w:bookmarkStart w:id="793" w:name="_Toc335293715"/>
      <w:bookmarkStart w:id="794" w:name="_Toc342380847"/>
      <w:bookmarkStart w:id="795" w:name="_Toc346094293"/>
      <w:r w:rsidRPr="00D91956">
        <w:rPr>
          <w:rFonts w:cs="Arial"/>
          <w:szCs w:val="20"/>
        </w:rPr>
        <w:t>2. MATERIAŁY</w:t>
      </w:r>
      <w:bookmarkEnd w:id="786"/>
      <w:bookmarkEnd w:id="787"/>
      <w:bookmarkEnd w:id="788"/>
      <w:bookmarkEnd w:id="789"/>
      <w:bookmarkEnd w:id="790"/>
      <w:bookmarkEnd w:id="791"/>
      <w:bookmarkEnd w:id="792"/>
      <w:bookmarkEnd w:id="793"/>
      <w:bookmarkEnd w:id="794"/>
      <w:bookmarkEnd w:id="795"/>
    </w:p>
    <w:p w14:paraId="126A69CF" w14:textId="77777777" w:rsidR="00D91956" w:rsidRPr="00D91956" w:rsidRDefault="00D91956" w:rsidP="00D91956">
      <w:pPr>
        <w:pStyle w:val="Nagwek2"/>
        <w:spacing w:line="240" w:lineRule="auto"/>
        <w:rPr>
          <w:rFonts w:cs="Arial"/>
          <w:szCs w:val="20"/>
        </w:rPr>
      </w:pPr>
      <w:r w:rsidRPr="00D91956">
        <w:rPr>
          <w:rFonts w:cs="Arial"/>
          <w:szCs w:val="20"/>
        </w:rPr>
        <w:t>2.1. Ogólne wymagania dotyczące materiałów</w:t>
      </w:r>
    </w:p>
    <w:p w14:paraId="1769D789" w14:textId="17F3CCCC" w:rsidR="00D91956" w:rsidRPr="00D91956" w:rsidRDefault="00D91956" w:rsidP="00D91956">
      <w:pPr>
        <w:pStyle w:val="StylIwony"/>
        <w:spacing w:before="0" w:after="0"/>
        <w:rPr>
          <w:rFonts w:ascii="Arial" w:hAnsi="Arial" w:cs="Arial"/>
          <w:sz w:val="20"/>
        </w:rPr>
      </w:pPr>
      <w:r w:rsidRPr="00D91956">
        <w:rPr>
          <w:rFonts w:ascii="Arial" w:hAnsi="Arial" w:cs="Arial"/>
          <w:b/>
          <w:sz w:val="20"/>
        </w:rPr>
        <w:tab/>
      </w:r>
      <w:r w:rsidRPr="00D91956">
        <w:rPr>
          <w:rFonts w:ascii="Arial" w:hAnsi="Arial" w:cs="Arial"/>
          <w:sz w:val="20"/>
        </w:rPr>
        <w:t xml:space="preserve">Ogólne wymagania dotyczące materiałów, ich pozyskiwania i składowania, podano w </w:t>
      </w:r>
      <w:r>
        <w:rPr>
          <w:rFonts w:ascii="Arial" w:hAnsi="Arial" w:cs="Arial"/>
          <w:sz w:val="20"/>
        </w:rPr>
        <w:t>S</w:t>
      </w:r>
      <w:r w:rsidRPr="00D91956">
        <w:rPr>
          <w:rFonts w:ascii="Arial" w:hAnsi="Arial" w:cs="Arial"/>
          <w:sz w:val="20"/>
        </w:rPr>
        <w:t>ST D-M-00.00.00 „Wymagania ogólne” [1], pkt 2.</w:t>
      </w:r>
    </w:p>
    <w:p w14:paraId="527E5220" w14:textId="77777777" w:rsidR="00D91956" w:rsidRPr="00D91956" w:rsidRDefault="00D91956" w:rsidP="00D91956">
      <w:pPr>
        <w:pStyle w:val="Nagwek2"/>
        <w:spacing w:line="240" w:lineRule="auto"/>
        <w:rPr>
          <w:rFonts w:cs="Arial"/>
          <w:szCs w:val="20"/>
        </w:rPr>
      </w:pPr>
      <w:r w:rsidRPr="00D91956">
        <w:rPr>
          <w:rFonts w:cs="Arial"/>
          <w:szCs w:val="20"/>
        </w:rPr>
        <w:t>2.2. Materiały do wykonania robót</w:t>
      </w:r>
    </w:p>
    <w:p w14:paraId="532167AC" w14:textId="77777777" w:rsidR="00D91956" w:rsidRPr="00D91956" w:rsidRDefault="00D91956" w:rsidP="00D91956">
      <w:pPr>
        <w:spacing w:after="120" w:line="240" w:lineRule="auto"/>
        <w:rPr>
          <w:rFonts w:cs="Arial"/>
          <w:szCs w:val="20"/>
        </w:rPr>
      </w:pPr>
      <w:r w:rsidRPr="00D91956">
        <w:rPr>
          <w:rFonts w:cs="Arial"/>
          <w:b/>
          <w:szCs w:val="20"/>
        </w:rPr>
        <w:t xml:space="preserve">2.2.1. </w:t>
      </w:r>
      <w:r w:rsidRPr="00D91956">
        <w:rPr>
          <w:rFonts w:cs="Arial"/>
          <w:szCs w:val="20"/>
        </w:rPr>
        <w:t xml:space="preserve"> Zgodność materiałów z dokumentacją projektową </w:t>
      </w:r>
    </w:p>
    <w:p w14:paraId="4393075A" w14:textId="77777777" w:rsidR="00D91956" w:rsidRPr="00D91956" w:rsidRDefault="00D91956" w:rsidP="00D91956">
      <w:pPr>
        <w:spacing w:after="120" w:line="240" w:lineRule="auto"/>
        <w:rPr>
          <w:rFonts w:cs="Arial"/>
          <w:szCs w:val="20"/>
        </w:rPr>
      </w:pPr>
      <w:r w:rsidRPr="00D91956">
        <w:rPr>
          <w:rFonts w:cs="Arial"/>
          <w:szCs w:val="20"/>
        </w:rPr>
        <w:tab/>
        <w:t>Materiały do wykonania robót powinny być zgodne z ustaleniami dokumentacji projektowej lub ST.</w:t>
      </w:r>
    </w:p>
    <w:p w14:paraId="7A8DE7AD" w14:textId="77777777" w:rsidR="00D91956" w:rsidRPr="00D91956" w:rsidRDefault="00D91956" w:rsidP="00D91956">
      <w:pPr>
        <w:spacing w:after="120" w:line="240" w:lineRule="auto"/>
        <w:rPr>
          <w:rFonts w:cs="Arial"/>
          <w:szCs w:val="20"/>
        </w:rPr>
      </w:pPr>
      <w:r w:rsidRPr="00D91956">
        <w:rPr>
          <w:rFonts w:cs="Arial"/>
          <w:b/>
          <w:szCs w:val="20"/>
        </w:rPr>
        <w:t xml:space="preserve">2.2.2. </w:t>
      </w:r>
      <w:r w:rsidRPr="00D91956">
        <w:rPr>
          <w:rFonts w:cs="Arial"/>
          <w:szCs w:val="20"/>
        </w:rPr>
        <w:t>Materiały wchodzące w skład mieszanki</w:t>
      </w:r>
    </w:p>
    <w:p w14:paraId="30FDCBD7" w14:textId="77777777" w:rsidR="00D91956" w:rsidRPr="00D91956" w:rsidRDefault="00D91956" w:rsidP="00D91956">
      <w:pPr>
        <w:pStyle w:val="Bezodstpw"/>
        <w:rPr>
          <w:rFonts w:cs="Arial"/>
          <w:szCs w:val="20"/>
        </w:rPr>
      </w:pPr>
      <w:r w:rsidRPr="00D91956">
        <w:rPr>
          <w:rFonts w:cs="Arial"/>
          <w:szCs w:val="20"/>
        </w:rPr>
        <w:tab/>
        <w:t>Materiałami stosowanymi do wytwarzania mieszanek z kruszywa niezwiązanego są:</w:t>
      </w:r>
    </w:p>
    <w:p w14:paraId="1381B17A" w14:textId="77777777" w:rsidR="00D91956" w:rsidRPr="00D91956" w:rsidRDefault="00D91956" w:rsidP="00CF1E7D">
      <w:pPr>
        <w:pStyle w:val="Bezodstpw"/>
        <w:numPr>
          <w:ilvl w:val="0"/>
          <w:numId w:val="98"/>
        </w:numPr>
        <w:jc w:val="both"/>
        <w:rPr>
          <w:rFonts w:cs="Arial"/>
          <w:szCs w:val="20"/>
        </w:rPr>
      </w:pPr>
      <w:r w:rsidRPr="00D91956">
        <w:rPr>
          <w:rFonts w:cs="Arial"/>
          <w:szCs w:val="20"/>
        </w:rPr>
        <w:t>kruszywo,</w:t>
      </w:r>
    </w:p>
    <w:p w14:paraId="71825BE6" w14:textId="77777777" w:rsidR="00D91956" w:rsidRPr="00D91956" w:rsidRDefault="00D91956" w:rsidP="00CF1E7D">
      <w:pPr>
        <w:pStyle w:val="Bezodstpw"/>
        <w:numPr>
          <w:ilvl w:val="0"/>
          <w:numId w:val="98"/>
        </w:numPr>
        <w:jc w:val="both"/>
        <w:rPr>
          <w:rFonts w:cs="Arial"/>
          <w:szCs w:val="20"/>
        </w:rPr>
      </w:pPr>
      <w:r w:rsidRPr="00D91956">
        <w:rPr>
          <w:rFonts w:cs="Arial"/>
          <w:szCs w:val="20"/>
        </w:rPr>
        <w:t>woda do zraszania kruszywa.</w:t>
      </w:r>
    </w:p>
    <w:p w14:paraId="310C8ACE" w14:textId="77777777" w:rsidR="00D91956" w:rsidRPr="00D91956" w:rsidRDefault="00D91956" w:rsidP="00D91956">
      <w:pPr>
        <w:pStyle w:val="Bezodstpw"/>
        <w:spacing w:before="120" w:after="120"/>
        <w:rPr>
          <w:rFonts w:cs="Arial"/>
          <w:szCs w:val="20"/>
        </w:rPr>
      </w:pPr>
      <w:r w:rsidRPr="00D91956">
        <w:rPr>
          <w:rFonts w:cs="Arial"/>
          <w:b/>
          <w:szCs w:val="20"/>
        </w:rPr>
        <w:t>2.2.3</w:t>
      </w:r>
      <w:r w:rsidRPr="00D91956">
        <w:rPr>
          <w:rFonts w:cs="Arial"/>
          <w:szCs w:val="20"/>
        </w:rPr>
        <w:t>. Kruszywa</w:t>
      </w:r>
    </w:p>
    <w:p w14:paraId="4935CB3D" w14:textId="77777777" w:rsidR="00D91956" w:rsidRPr="00D91956" w:rsidRDefault="00D91956" w:rsidP="00D91956">
      <w:pPr>
        <w:spacing w:line="240" w:lineRule="auto"/>
        <w:rPr>
          <w:rFonts w:cs="Arial"/>
          <w:szCs w:val="20"/>
        </w:rPr>
      </w:pPr>
      <w:r w:rsidRPr="00D91956">
        <w:rPr>
          <w:rFonts w:cs="Arial"/>
          <w:szCs w:val="20"/>
        </w:rPr>
        <w:tab/>
        <w:t>Do mieszanek można stosować następujące rodzaje kruszyw:</w:t>
      </w:r>
    </w:p>
    <w:p w14:paraId="2FC2CB29" w14:textId="77777777" w:rsidR="00D91956" w:rsidRPr="00D91956" w:rsidRDefault="00D91956" w:rsidP="00CF1E7D">
      <w:pPr>
        <w:numPr>
          <w:ilvl w:val="0"/>
          <w:numId w:val="99"/>
        </w:numPr>
        <w:overflowPunct w:val="0"/>
        <w:autoSpaceDE w:val="0"/>
        <w:autoSpaceDN w:val="0"/>
        <w:adjustRightInd w:val="0"/>
        <w:spacing w:line="240" w:lineRule="auto"/>
        <w:jc w:val="both"/>
        <w:textAlignment w:val="baseline"/>
        <w:rPr>
          <w:rFonts w:cs="Arial"/>
          <w:szCs w:val="20"/>
        </w:rPr>
      </w:pPr>
      <w:r w:rsidRPr="00D91956">
        <w:rPr>
          <w:rFonts w:cs="Arial"/>
          <w:szCs w:val="20"/>
        </w:rPr>
        <w:t>kruszywo naturalne lub sztuczne,</w:t>
      </w:r>
    </w:p>
    <w:p w14:paraId="5EF8C23A" w14:textId="77777777" w:rsidR="00D91956" w:rsidRPr="00D91956" w:rsidRDefault="00D91956" w:rsidP="00CF1E7D">
      <w:pPr>
        <w:numPr>
          <w:ilvl w:val="0"/>
          <w:numId w:val="99"/>
        </w:numPr>
        <w:overflowPunct w:val="0"/>
        <w:autoSpaceDE w:val="0"/>
        <w:autoSpaceDN w:val="0"/>
        <w:adjustRightInd w:val="0"/>
        <w:spacing w:line="240" w:lineRule="auto"/>
        <w:jc w:val="both"/>
        <w:textAlignment w:val="baseline"/>
        <w:rPr>
          <w:rFonts w:cs="Arial"/>
          <w:szCs w:val="20"/>
        </w:rPr>
      </w:pPr>
      <w:r w:rsidRPr="00D91956">
        <w:rPr>
          <w:rFonts w:cs="Arial"/>
          <w:szCs w:val="20"/>
        </w:rPr>
        <w:t>kruszywo z recyklingu,</w:t>
      </w:r>
    </w:p>
    <w:p w14:paraId="08401F36" w14:textId="77777777" w:rsidR="00D91956" w:rsidRPr="00D91956" w:rsidRDefault="00D91956" w:rsidP="00CF1E7D">
      <w:pPr>
        <w:numPr>
          <w:ilvl w:val="0"/>
          <w:numId w:val="99"/>
        </w:numPr>
        <w:overflowPunct w:val="0"/>
        <w:autoSpaceDE w:val="0"/>
        <w:autoSpaceDN w:val="0"/>
        <w:adjustRightInd w:val="0"/>
        <w:spacing w:line="240" w:lineRule="auto"/>
        <w:jc w:val="both"/>
        <w:textAlignment w:val="baseline"/>
        <w:rPr>
          <w:rFonts w:cs="Arial"/>
          <w:szCs w:val="20"/>
        </w:rPr>
      </w:pPr>
      <w:r w:rsidRPr="00D91956">
        <w:rPr>
          <w:rFonts w:cs="Arial"/>
          <w:szCs w:val="20"/>
        </w:rPr>
        <w:t>połączenie kruszyw wymienionych w punktach a) i b) z określeniem proporcji kruszyw z a) i b) z dokładnością ± 5% m/m.</w:t>
      </w:r>
    </w:p>
    <w:p w14:paraId="1EFA22ED" w14:textId="77777777" w:rsidR="00D91956" w:rsidRPr="00D91956" w:rsidRDefault="00D91956" w:rsidP="00D91956">
      <w:pPr>
        <w:spacing w:line="240" w:lineRule="auto"/>
        <w:ind w:firstLine="709"/>
        <w:rPr>
          <w:rFonts w:cs="Arial"/>
          <w:szCs w:val="20"/>
        </w:rPr>
      </w:pPr>
      <w:r w:rsidRPr="00D91956">
        <w:rPr>
          <w:rFonts w:cs="Arial"/>
          <w:szCs w:val="20"/>
        </w:rPr>
        <w:t>Wymagania wobec kruszywa do warstwy podłoża ulepszonego przedstawia tablica 1.</w:t>
      </w:r>
    </w:p>
    <w:p w14:paraId="7D1A9C6F" w14:textId="08B4A1FE" w:rsidR="00D91956" w:rsidRPr="00D91956" w:rsidRDefault="00D91956" w:rsidP="00D91956">
      <w:pPr>
        <w:spacing w:line="240" w:lineRule="auto"/>
        <w:ind w:firstLine="709"/>
        <w:rPr>
          <w:rFonts w:cs="Arial"/>
          <w:szCs w:val="20"/>
        </w:rPr>
      </w:pPr>
      <w:r w:rsidRPr="00D91956">
        <w:rPr>
          <w:rFonts w:cs="Arial"/>
          <w:szCs w:val="20"/>
        </w:rPr>
        <w:t xml:space="preserve">Mieszanki o górnym wymiarze ziaren (D) większym niż </w:t>
      </w:r>
      <w:smartTag w:uri="urn:schemas-microsoft-com:office:smarttags" w:element="metricconverter">
        <w:smartTagPr>
          <w:attr w:name="ProductID" w:val="80 mm"/>
        </w:smartTagPr>
        <w:r w:rsidRPr="00D91956">
          <w:rPr>
            <w:rFonts w:cs="Arial"/>
            <w:szCs w:val="20"/>
          </w:rPr>
          <w:t>80 mm</w:t>
        </w:r>
      </w:smartTag>
      <w:r w:rsidRPr="00D91956">
        <w:rPr>
          <w:rFonts w:cs="Arial"/>
          <w:szCs w:val="20"/>
        </w:rPr>
        <w:t xml:space="preserve"> nie są objęte normą PN-EN 13285 [19] i niniejszą </w:t>
      </w:r>
      <w:r w:rsidR="008F5EED">
        <w:rPr>
          <w:rFonts w:cs="Arial"/>
          <w:szCs w:val="20"/>
        </w:rPr>
        <w:t>S</w:t>
      </w:r>
      <w:r w:rsidRPr="00D91956">
        <w:rPr>
          <w:rFonts w:cs="Arial"/>
          <w:szCs w:val="20"/>
        </w:rPr>
        <w:t>ST.</w:t>
      </w:r>
    </w:p>
    <w:p w14:paraId="00F05353" w14:textId="77777777" w:rsidR="00D91956" w:rsidRPr="00D91956" w:rsidRDefault="00D91956" w:rsidP="00D91956">
      <w:pPr>
        <w:pStyle w:val="Bezodstpw"/>
        <w:spacing w:before="120" w:after="60"/>
        <w:ind w:left="1202" w:hanging="1202"/>
        <w:rPr>
          <w:rFonts w:cs="Arial"/>
          <w:szCs w:val="20"/>
        </w:rPr>
      </w:pPr>
      <w:r w:rsidRPr="00D91956">
        <w:rPr>
          <w:rFonts w:cs="Arial"/>
          <w:szCs w:val="20"/>
        </w:rPr>
        <w:t xml:space="preserve">Tablica 1. Wymagania według WT-4 [ 22] i PN-EN 13242 [18] wobec kruszyw do mieszanek niezwiązanych w warstwie podłoża ulepszonego </w:t>
      </w:r>
    </w:p>
    <w:p w14:paraId="1EB95A84" w14:textId="77777777" w:rsidR="00D91956" w:rsidRPr="00D91956" w:rsidRDefault="00D91956" w:rsidP="00D91956">
      <w:pPr>
        <w:pStyle w:val="Bezodstpw"/>
        <w:tabs>
          <w:tab w:val="left" w:pos="2410"/>
        </w:tabs>
        <w:ind w:left="2410" w:hanging="2410"/>
        <w:rPr>
          <w:rFonts w:cs="Arial"/>
          <w:szCs w:val="20"/>
        </w:rPr>
      </w:pPr>
      <w:r w:rsidRPr="00D91956">
        <w:rPr>
          <w:rFonts w:cs="Arial"/>
          <w:szCs w:val="20"/>
        </w:rPr>
        <w:t>Skróty użyte w tablicy:</w:t>
      </w:r>
      <w:r w:rsidRPr="00D91956">
        <w:rPr>
          <w:rFonts w:cs="Arial"/>
          <w:szCs w:val="20"/>
        </w:rPr>
        <w:tab/>
        <w:t xml:space="preserve">Kat. – kategoria właściwości,  </w:t>
      </w:r>
      <w:proofErr w:type="spellStart"/>
      <w:r w:rsidRPr="00D91956">
        <w:rPr>
          <w:rFonts w:cs="Arial"/>
          <w:szCs w:val="20"/>
        </w:rPr>
        <w:t>Dekl</w:t>
      </w:r>
      <w:proofErr w:type="spellEnd"/>
      <w:r w:rsidRPr="00D91956">
        <w:rPr>
          <w:rFonts w:cs="Arial"/>
          <w:szCs w:val="20"/>
        </w:rPr>
        <w:t xml:space="preserve"> – Deklarowana, </w:t>
      </w:r>
      <w:r w:rsidRPr="00D91956">
        <w:rPr>
          <w:rFonts w:cs="Arial"/>
          <w:szCs w:val="20"/>
        </w:rPr>
        <w:br/>
      </w:r>
      <w:proofErr w:type="spellStart"/>
      <w:r w:rsidRPr="00D91956">
        <w:rPr>
          <w:rFonts w:cs="Arial"/>
          <w:szCs w:val="20"/>
        </w:rPr>
        <w:t>wsk</w:t>
      </w:r>
      <w:proofErr w:type="spellEnd"/>
      <w:r w:rsidRPr="00D91956">
        <w:rPr>
          <w:rFonts w:cs="Arial"/>
          <w:szCs w:val="20"/>
        </w:rPr>
        <w:t xml:space="preserve">. – wskaźnik,  </w:t>
      </w:r>
      <w:proofErr w:type="spellStart"/>
      <w:r w:rsidRPr="00D91956">
        <w:rPr>
          <w:rFonts w:cs="Arial"/>
          <w:szCs w:val="20"/>
        </w:rPr>
        <w:t>wsp</w:t>
      </w:r>
      <w:proofErr w:type="spellEnd"/>
      <w:r w:rsidRPr="00D91956">
        <w:rPr>
          <w:rFonts w:cs="Arial"/>
          <w:szCs w:val="20"/>
        </w:rPr>
        <w:t xml:space="preserve">. – współczynnik, </w:t>
      </w:r>
      <w:proofErr w:type="spellStart"/>
      <w:r w:rsidRPr="00D91956">
        <w:rPr>
          <w:rFonts w:cs="Arial"/>
          <w:szCs w:val="20"/>
        </w:rPr>
        <w:t>roz</w:t>
      </w:r>
      <w:proofErr w:type="spellEnd"/>
      <w:r w:rsidRPr="00D91956">
        <w:rPr>
          <w:rFonts w:cs="Arial"/>
          <w:szCs w:val="20"/>
        </w:rPr>
        <w:t>. -rozdział</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D91956" w:rsidRPr="00D91956" w14:paraId="2A8E2307" w14:textId="77777777" w:rsidTr="007B6855">
        <w:tc>
          <w:tcPr>
            <w:tcW w:w="3085" w:type="dxa"/>
            <w:vMerge w:val="restart"/>
            <w:vAlign w:val="center"/>
          </w:tcPr>
          <w:p w14:paraId="47D238BE" w14:textId="77777777" w:rsidR="00D91956" w:rsidRPr="00D91956" w:rsidRDefault="00D91956" w:rsidP="00D91956">
            <w:pPr>
              <w:pStyle w:val="Bezodstpw"/>
              <w:jc w:val="center"/>
              <w:rPr>
                <w:rFonts w:cs="Arial"/>
                <w:szCs w:val="20"/>
              </w:rPr>
            </w:pPr>
            <w:r w:rsidRPr="00D91956">
              <w:rPr>
                <w:rFonts w:cs="Arial"/>
                <w:szCs w:val="20"/>
              </w:rPr>
              <w:t>Właściwość</w:t>
            </w:r>
          </w:p>
          <w:p w14:paraId="66D7BE9B" w14:textId="77777777" w:rsidR="00D91956" w:rsidRPr="00D91956" w:rsidRDefault="00D91956" w:rsidP="00D91956">
            <w:pPr>
              <w:pStyle w:val="Bezodstpw"/>
              <w:jc w:val="center"/>
              <w:rPr>
                <w:rFonts w:cs="Arial"/>
                <w:szCs w:val="20"/>
              </w:rPr>
            </w:pPr>
            <w:r w:rsidRPr="00D91956">
              <w:rPr>
                <w:rFonts w:cs="Arial"/>
                <w:szCs w:val="20"/>
              </w:rPr>
              <w:t>kruszywa</w:t>
            </w:r>
          </w:p>
        </w:tc>
        <w:tc>
          <w:tcPr>
            <w:tcW w:w="992" w:type="dxa"/>
            <w:vMerge w:val="restart"/>
            <w:vAlign w:val="center"/>
          </w:tcPr>
          <w:p w14:paraId="7DB81FEA" w14:textId="77777777" w:rsidR="00D91956" w:rsidRPr="00D91956" w:rsidRDefault="00D91956" w:rsidP="00D91956">
            <w:pPr>
              <w:pStyle w:val="Bezodstpw"/>
              <w:jc w:val="center"/>
              <w:rPr>
                <w:rFonts w:cs="Arial"/>
                <w:szCs w:val="20"/>
              </w:rPr>
            </w:pPr>
            <w:r w:rsidRPr="00D91956">
              <w:rPr>
                <w:rFonts w:cs="Arial"/>
                <w:szCs w:val="20"/>
              </w:rPr>
              <w:t>Metoda</w:t>
            </w:r>
          </w:p>
          <w:p w14:paraId="1BAD4B85" w14:textId="77777777" w:rsidR="00D91956" w:rsidRPr="00D91956" w:rsidRDefault="00D91956" w:rsidP="00D91956">
            <w:pPr>
              <w:pStyle w:val="Bezodstpw"/>
              <w:jc w:val="center"/>
              <w:rPr>
                <w:rFonts w:cs="Arial"/>
                <w:szCs w:val="20"/>
              </w:rPr>
            </w:pPr>
            <w:r w:rsidRPr="00D91956">
              <w:rPr>
                <w:rFonts w:cs="Arial"/>
                <w:szCs w:val="20"/>
              </w:rPr>
              <w:t>badania</w:t>
            </w:r>
          </w:p>
          <w:p w14:paraId="6236FC5D" w14:textId="77777777" w:rsidR="00D91956" w:rsidRPr="00D91956" w:rsidRDefault="00D91956" w:rsidP="00D91956">
            <w:pPr>
              <w:pStyle w:val="Bezodstpw"/>
              <w:jc w:val="center"/>
              <w:rPr>
                <w:rFonts w:cs="Arial"/>
                <w:szCs w:val="20"/>
              </w:rPr>
            </w:pPr>
            <w:r w:rsidRPr="00D91956">
              <w:rPr>
                <w:rFonts w:cs="Arial"/>
                <w:szCs w:val="20"/>
              </w:rPr>
              <w:t>wg</w:t>
            </w:r>
          </w:p>
        </w:tc>
        <w:tc>
          <w:tcPr>
            <w:tcW w:w="4820" w:type="dxa"/>
            <w:gridSpan w:val="2"/>
          </w:tcPr>
          <w:p w14:paraId="727C6DD3" w14:textId="77777777" w:rsidR="00D91956" w:rsidRPr="00D91956" w:rsidRDefault="00D91956" w:rsidP="00D91956">
            <w:pPr>
              <w:pStyle w:val="Bezodstpw"/>
              <w:jc w:val="center"/>
              <w:rPr>
                <w:rFonts w:cs="Arial"/>
                <w:szCs w:val="20"/>
              </w:rPr>
            </w:pPr>
            <w:r w:rsidRPr="00D91956">
              <w:rPr>
                <w:rFonts w:cs="Arial"/>
                <w:szCs w:val="20"/>
              </w:rPr>
              <w:t>Wymagania wobec kruszywa do mieszanek niezwiązanych, przeznaczonych do zastosowania w warstwie podłoża ulepszonego pod nawierzchnią drogi obciążonej ruchem  kategorii KR1 ÷ KR6</w:t>
            </w:r>
          </w:p>
        </w:tc>
      </w:tr>
      <w:tr w:rsidR="00D91956" w:rsidRPr="00D91956" w14:paraId="00DAF5EF" w14:textId="77777777" w:rsidTr="007B6855">
        <w:trPr>
          <w:trHeight w:val="476"/>
        </w:trPr>
        <w:tc>
          <w:tcPr>
            <w:tcW w:w="3085" w:type="dxa"/>
            <w:vMerge/>
          </w:tcPr>
          <w:p w14:paraId="29E28242" w14:textId="77777777" w:rsidR="00D91956" w:rsidRPr="00D91956" w:rsidRDefault="00D91956" w:rsidP="00D91956">
            <w:pPr>
              <w:pStyle w:val="Bezodstpw"/>
              <w:rPr>
                <w:rFonts w:cs="Arial"/>
                <w:szCs w:val="20"/>
              </w:rPr>
            </w:pPr>
          </w:p>
        </w:tc>
        <w:tc>
          <w:tcPr>
            <w:tcW w:w="992" w:type="dxa"/>
            <w:vMerge/>
          </w:tcPr>
          <w:p w14:paraId="71ABF916" w14:textId="77777777" w:rsidR="00D91956" w:rsidRPr="00D91956" w:rsidRDefault="00D91956" w:rsidP="00D91956">
            <w:pPr>
              <w:pStyle w:val="Bezodstpw"/>
              <w:rPr>
                <w:rFonts w:cs="Arial"/>
                <w:szCs w:val="20"/>
              </w:rPr>
            </w:pPr>
          </w:p>
        </w:tc>
        <w:tc>
          <w:tcPr>
            <w:tcW w:w="851" w:type="dxa"/>
            <w:vAlign w:val="center"/>
          </w:tcPr>
          <w:p w14:paraId="6D7FBC66" w14:textId="77777777" w:rsidR="00D91956" w:rsidRPr="00D91956" w:rsidRDefault="00D91956" w:rsidP="00D91956">
            <w:pPr>
              <w:pStyle w:val="Bezodstpw"/>
              <w:jc w:val="center"/>
              <w:rPr>
                <w:rFonts w:cs="Arial"/>
                <w:szCs w:val="20"/>
              </w:rPr>
            </w:pPr>
            <w:r w:rsidRPr="00D91956">
              <w:rPr>
                <w:rFonts w:cs="Arial"/>
                <w:szCs w:val="20"/>
              </w:rPr>
              <w:t>Punkt</w:t>
            </w:r>
          </w:p>
          <w:p w14:paraId="586B7530" w14:textId="77777777" w:rsidR="00D91956" w:rsidRPr="00D91956" w:rsidRDefault="00D91956" w:rsidP="00D91956">
            <w:pPr>
              <w:pStyle w:val="Bezodstpw"/>
              <w:jc w:val="center"/>
              <w:rPr>
                <w:rFonts w:cs="Arial"/>
                <w:szCs w:val="20"/>
              </w:rPr>
            </w:pPr>
            <w:r w:rsidRPr="00D91956">
              <w:rPr>
                <w:rFonts w:cs="Arial"/>
                <w:szCs w:val="20"/>
              </w:rPr>
              <w:t>PN-EN</w:t>
            </w:r>
          </w:p>
          <w:p w14:paraId="2D7B8E14" w14:textId="77777777" w:rsidR="00D91956" w:rsidRPr="00D91956" w:rsidRDefault="00D91956" w:rsidP="00D91956">
            <w:pPr>
              <w:pStyle w:val="Bezodstpw"/>
              <w:jc w:val="center"/>
              <w:rPr>
                <w:rFonts w:cs="Arial"/>
                <w:szCs w:val="20"/>
              </w:rPr>
            </w:pPr>
            <w:r w:rsidRPr="00D91956">
              <w:rPr>
                <w:rFonts w:cs="Arial"/>
                <w:szCs w:val="20"/>
              </w:rPr>
              <w:t>13242</w:t>
            </w:r>
          </w:p>
        </w:tc>
        <w:tc>
          <w:tcPr>
            <w:tcW w:w="3969" w:type="dxa"/>
            <w:vAlign w:val="center"/>
          </w:tcPr>
          <w:p w14:paraId="78064E5C" w14:textId="77777777" w:rsidR="00D91956" w:rsidRPr="00D91956" w:rsidRDefault="00D91956" w:rsidP="00D91956">
            <w:pPr>
              <w:pStyle w:val="Bezodstpw"/>
              <w:jc w:val="center"/>
              <w:rPr>
                <w:rFonts w:cs="Arial"/>
                <w:szCs w:val="20"/>
              </w:rPr>
            </w:pPr>
            <w:r w:rsidRPr="00D91956">
              <w:rPr>
                <w:rFonts w:cs="Arial"/>
                <w:szCs w:val="20"/>
              </w:rPr>
              <w:t>Wymagania</w:t>
            </w:r>
          </w:p>
          <w:p w14:paraId="24F908FF" w14:textId="77777777" w:rsidR="00D91956" w:rsidRPr="00D91956" w:rsidRDefault="00D91956" w:rsidP="00D91956">
            <w:pPr>
              <w:pStyle w:val="Bezodstpw"/>
              <w:jc w:val="center"/>
              <w:rPr>
                <w:rFonts w:cs="Arial"/>
                <w:szCs w:val="20"/>
              </w:rPr>
            </w:pPr>
          </w:p>
        </w:tc>
      </w:tr>
      <w:tr w:rsidR="00D91956" w:rsidRPr="00D91956" w14:paraId="20ED81CE" w14:textId="77777777" w:rsidTr="007B6855">
        <w:tc>
          <w:tcPr>
            <w:tcW w:w="3085" w:type="dxa"/>
          </w:tcPr>
          <w:p w14:paraId="6B197663" w14:textId="77777777" w:rsidR="00D91956" w:rsidRPr="00D91956" w:rsidRDefault="00D91956" w:rsidP="00D91956">
            <w:pPr>
              <w:pStyle w:val="Bezodstpw"/>
              <w:rPr>
                <w:rFonts w:cs="Arial"/>
                <w:szCs w:val="20"/>
              </w:rPr>
            </w:pPr>
            <w:r w:rsidRPr="00D91956">
              <w:rPr>
                <w:rFonts w:cs="Arial"/>
                <w:szCs w:val="20"/>
              </w:rPr>
              <w:t>Zestaw sit #</w:t>
            </w:r>
          </w:p>
        </w:tc>
        <w:tc>
          <w:tcPr>
            <w:tcW w:w="992" w:type="dxa"/>
          </w:tcPr>
          <w:p w14:paraId="4ADFA662" w14:textId="77777777" w:rsidR="00D91956" w:rsidRPr="00D91956" w:rsidRDefault="00D91956" w:rsidP="00D91956">
            <w:pPr>
              <w:pStyle w:val="Bezodstpw"/>
              <w:jc w:val="center"/>
              <w:rPr>
                <w:rFonts w:cs="Arial"/>
                <w:szCs w:val="20"/>
              </w:rPr>
            </w:pPr>
            <w:r w:rsidRPr="00D91956">
              <w:rPr>
                <w:rFonts w:cs="Arial"/>
                <w:szCs w:val="20"/>
              </w:rPr>
              <w:t>-</w:t>
            </w:r>
          </w:p>
        </w:tc>
        <w:tc>
          <w:tcPr>
            <w:tcW w:w="851" w:type="dxa"/>
          </w:tcPr>
          <w:p w14:paraId="00FECAB5" w14:textId="77777777" w:rsidR="00D91956" w:rsidRPr="00D91956" w:rsidRDefault="00D91956" w:rsidP="00D91956">
            <w:pPr>
              <w:pStyle w:val="Bezodstpw"/>
              <w:rPr>
                <w:rFonts w:cs="Arial"/>
                <w:szCs w:val="20"/>
              </w:rPr>
            </w:pPr>
            <w:r w:rsidRPr="00D91956">
              <w:rPr>
                <w:rFonts w:cs="Arial"/>
                <w:szCs w:val="20"/>
              </w:rPr>
              <w:t>4.1-4.2</w:t>
            </w:r>
          </w:p>
        </w:tc>
        <w:tc>
          <w:tcPr>
            <w:tcW w:w="3969" w:type="dxa"/>
          </w:tcPr>
          <w:p w14:paraId="49B331B5" w14:textId="77777777" w:rsidR="00D91956" w:rsidRPr="00D91956" w:rsidRDefault="00D91956" w:rsidP="00D91956">
            <w:pPr>
              <w:pStyle w:val="Bezodstpw"/>
              <w:rPr>
                <w:rFonts w:cs="Arial"/>
                <w:szCs w:val="20"/>
              </w:rPr>
            </w:pPr>
            <w:r w:rsidRPr="00D91956">
              <w:rPr>
                <w:rFonts w:cs="Arial"/>
                <w:szCs w:val="20"/>
              </w:rPr>
              <w:t xml:space="preserve">0,063; 0,5; 1; 2; 4; 5,6; 8; 11,2; 16; 22,4; 31,5; 45; 63 i </w:t>
            </w:r>
            <w:smartTag w:uri="urn:schemas-microsoft-com:office:smarttags" w:element="metricconverter">
              <w:smartTagPr>
                <w:attr w:name="ProductID" w:val="90 mm"/>
              </w:smartTagPr>
              <w:r w:rsidRPr="00D91956">
                <w:rPr>
                  <w:rFonts w:cs="Arial"/>
                  <w:szCs w:val="20"/>
                </w:rPr>
                <w:t>90 mm</w:t>
              </w:r>
            </w:smartTag>
            <w:r w:rsidRPr="00D91956">
              <w:rPr>
                <w:rFonts w:cs="Arial"/>
                <w:szCs w:val="20"/>
              </w:rPr>
              <w:t xml:space="preserve"> (zestaw podstawowy plus zestaw 1) </w:t>
            </w:r>
          </w:p>
          <w:p w14:paraId="7A86D02F" w14:textId="77777777" w:rsidR="00D91956" w:rsidRPr="00D91956" w:rsidRDefault="00D91956" w:rsidP="00D91956">
            <w:pPr>
              <w:pStyle w:val="Bezodstpw"/>
              <w:rPr>
                <w:rFonts w:cs="Arial"/>
                <w:szCs w:val="20"/>
              </w:rPr>
            </w:pPr>
            <w:r w:rsidRPr="00D91956">
              <w:rPr>
                <w:rFonts w:cs="Arial"/>
                <w:szCs w:val="20"/>
              </w:rPr>
              <w:t xml:space="preserve"> Wszystkie frakcje dozwolone</w:t>
            </w:r>
          </w:p>
        </w:tc>
      </w:tr>
      <w:tr w:rsidR="00D91956" w:rsidRPr="00D91956" w14:paraId="22DACDBE" w14:textId="77777777" w:rsidTr="007B6855">
        <w:tc>
          <w:tcPr>
            <w:tcW w:w="3085" w:type="dxa"/>
          </w:tcPr>
          <w:p w14:paraId="52997082" w14:textId="77777777" w:rsidR="00D91956" w:rsidRPr="00D91956" w:rsidRDefault="00D91956" w:rsidP="00D91956">
            <w:pPr>
              <w:pStyle w:val="Bezodstpw"/>
              <w:rPr>
                <w:rFonts w:cs="Arial"/>
                <w:szCs w:val="20"/>
              </w:rPr>
            </w:pPr>
            <w:r w:rsidRPr="00D91956">
              <w:rPr>
                <w:rFonts w:cs="Arial"/>
                <w:szCs w:val="20"/>
              </w:rPr>
              <w:t>Uziarnienie</w:t>
            </w:r>
          </w:p>
        </w:tc>
        <w:tc>
          <w:tcPr>
            <w:tcW w:w="992" w:type="dxa"/>
          </w:tcPr>
          <w:p w14:paraId="637E1FAA" w14:textId="77777777" w:rsidR="00D91956" w:rsidRPr="00D91956" w:rsidRDefault="00D91956" w:rsidP="00D91956">
            <w:pPr>
              <w:pStyle w:val="Bezodstpw"/>
              <w:rPr>
                <w:rFonts w:cs="Arial"/>
                <w:szCs w:val="20"/>
              </w:rPr>
            </w:pPr>
            <w:r w:rsidRPr="00D91956">
              <w:rPr>
                <w:rFonts w:cs="Arial"/>
                <w:szCs w:val="20"/>
              </w:rPr>
              <w:t>PN-EN</w:t>
            </w:r>
          </w:p>
          <w:p w14:paraId="7891A0EF" w14:textId="77777777" w:rsidR="00D91956" w:rsidRPr="00D91956" w:rsidRDefault="00D91956" w:rsidP="00D91956">
            <w:pPr>
              <w:pStyle w:val="Bezodstpw"/>
              <w:rPr>
                <w:rFonts w:cs="Arial"/>
                <w:szCs w:val="20"/>
              </w:rPr>
            </w:pPr>
            <w:r w:rsidRPr="00D91956">
              <w:rPr>
                <w:rFonts w:cs="Arial"/>
                <w:szCs w:val="20"/>
              </w:rPr>
              <w:t>933-1[7]</w:t>
            </w:r>
          </w:p>
          <w:p w14:paraId="05D7EB69" w14:textId="77777777" w:rsidR="00D91956" w:rsidRPr="00D91956" w:rsidRDefault="00D91956" w:rsidP="00D91956">
            <w:pPr>
              <w:pStyle w:val="Bezodstpw"/>
              <w:rPr>
                <w:rFonts w:cs="Arial"/>
                <w:szCs w:val="20"/>
              </w:rPr>
            </w:pPr>
          </w:p>
        </w:tc>
        <w:tc>
          <w:tcPr>
            <w:tcW w:w="851" w:type="dxa"/>
          </w:tcPr>
          <w:p w14:paraId="476ED4EA" w14:textId="77777777" w:rsidR="00D91956" w:rsidRPr="00D91956" w:rsidRDefault="00D91956" w:rsidP="00D91956">
            <w:pPr>
              <w:pStyle w:val="Bezodstpw"/>
              <w:rPr>
                <w:rFonts w:cs="Arial"/>
                <w:szCs w:val="20"/>
              </w:rPr>
            </w:pPr>
            <w:r w:rsidRPr="00D91956">
              <w:rPr>
                <w:rFonts w:cs="Arial"/>
                <w:szCs w:val="20"/>
              </w:rPr>
              <w:t>4.3.1</w:t>
            </w:r>
          </w:p>
        </w:tc>
        <w:tc>
          <w:tcPr>
            <w:tcW w:w="3969" w:type="dxa"/>
          </w:tcPr>
          <w:p w14:paraId="01EAF093" w14:textId="77777777" w:rsidR="00D91956" w:rsidRPr="00D91956" w:rsidRDefault="00D91956" w:rsidP="00D91956">
            <w:pPr>
              <w:pStyle w:val="Bezodstpw"/>
              <w:rPr>
                <w:rFonts w:cs="Arial"/>
                <w:szCs w:val="20"/>
              </w:rPr>
            </w:pPr>
            <w:r w:rsidRPr="00D91956">
              <w:rPr>
                <w:rFonts w:cs="Arial"/>
                <w:szCs w:val="20"/>
              </w:rPr>
              <w:t>Kruszywo grube: kat. G</w:t>
            </w:r>
            <w:r w:rsidRPr="00D91956">
              <w:rPr>
                <w:rFonts w:cs="Arial"/>
                <w:szCs w:val="20"/>
                <w:vertAlign w:val="subscript"/>
              </w:rPr>
              <w:t>C</w:t>
            </w:r>
            <w:r w:rsidRPr="00D91956">
              <w:rPr>
                <w:rFonts w:cs="Arial"/>
                <w:szCs w:val="20"/>
              </w:rPr>
              <w:t>80/20,   kruszywo drobne: kat. G</w:t>
            </w:r>
            <w:r w:rsidRPr="00D91956">
              <w:rPr>
                <w:rFonts w:cs="Arial"/>
                <w:szCs w:val="20"/>
                <w:vertAlign w:val="subscript"/>
              </w:rPr>
              <w:t>F</w:t>
            </w:r>
            <w:r w:rsidRPr="00D91956">
              <w:rPr>
                <w:rFonts w:cs="Arial"/>
                <w:szCs w:val="20"/>
              </w:rPr>
              <w:t>80, kruszywo o ciągłym uziarnieniu: kat. G</w:t>
            </w:r>
            <w:r w:rsidRPr="00D91956">
              <w:rPr>
                <w:rFonts w:cs="Arial"/>
                <w:szCs w:val="20"/>
                <w:vertAlign w:val="subscript"/>
              </w:rPr>
              <w:t>A</w:t>
            </w:r>
            <w:r w:rsidRPr="00D91956">
              <w:rPr>
                <w:rFonts w:cs="Arial"/>
                <w:szCs w:val="20"/>
              </w:rPr>
              <w:t xml:space="preserve">75.   </w:t>
            </w:r>
          </w:p>
          <w:p w14:paraId="2D1BE988" w14:textId="77777777" w:rsidR="00D91956" w:rsidRPr="00D91956" w:rsidRDefault="00D91956" w:rsidP="00D91956">
            <w:pPr>
              <w:pStyle w:val="Bezodstpw"/>
              <w:rPr>
                <w:rFonts w:cs="Arial"/>
                <w:szCs w:val="20"/>
              </w:rPr>
            </w:pPr>
            <w:r w:rsidRPr="00D91956">
              <w:rPr>
                <w:rFonts w:cs="Arial"/>
                <w:szCs w:val="20"/>
              </w:rPr>
              <w:t>Uziarnienie mieszanek kruszywa wg rysunków 1÷7</w:t>
            </w:r>
          </w:p>
        </w:tc>
      </w:tr>
    </w:tbl>
    <w:p w14:paraId="3F13B981" w14:textId="77777777" w:rsidR="00D91956" w:rsidRPr="00D91956" w:rsidRDefault="00D91956" w:rsidP="00D91956">
      <w:pPr>
        <w:spacing w:line="240" w:lineRule="auto"/>
        <w:rPr>
          <w:rFonts w:cs="Arial"/>
          <w:szCs w:val="20"/>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D91956" w:rsidRPr="00D91956" w14:paraId="255A9AFD" w14:textId="77777777" w:rsidTr="007B6855">
        <w:trPr>
          <w:trHeight w:val="433"/>
        </w:trPr>
        <w:tc>
          <w:tcPr>
            <w:tcW w:w="3085" w:type="dxa"/>
          </w:tcPr>
          <w:p w14:paraId="72C06EA4" w14:textId="77777777" w:rsidR="00D91956" w:rsidRPr="00D91956" w:rsidRDefault="00D91956" w:rsidP="00D91956">
            <w:pPr>
              <w:pStyle w:val="Bezodstpw"/>
              <w:rPr>
                <w:rFonts w:cs="Arial"/>
                <w:szCs w:val="20"/>
              </w:rPr>
            </w:pPr>
            <w:r w:rsidRPr="00D91956">
              <w:rPr>
                <w:rFonts w:cs="Arial"/>
                <w:szCs w:val="20"/>
              </w:rPr>
              <w:t>Ogólne granice i tolerancje uziarnienia kruszywa grubego na sitach pośrednich</w:t>
            </w:r>
          </w:p>
        </w:tc>
        <w:tc>
          <w:tcPr>
            <w:tcW w:w="992" w:type="dxa"/>
          </w:tcPr>
          <w:p w14:paraId="5B616F2E" w14:textId="77777777" w:rsidR="00D91956" w:rsidRPr="00D91956" w:rsidRDefault="00D91956" w:rsidP="00D91956">
            <w:pPr>
              <w:pStyle w:val="Bezodstpw"/>
              <w:rPr>
                <w:rFonts w:cs="Arial"/>
                <w:szCs w:val="20"/>
              </w:rPr>
            </w:pPr>
            <w:r w:rsidRPr="00D91956">
              <w:rPr>
                <w:rFonts w:cs="Arial"/>
                <w:szCs w:val="20"/>
              </w:rPr>
              <w:t>PN-EN</w:t>
            </w:r>
          </w:p>
          <w:p w14:paraId="43F31D3D" w14:textId="77777777" w:rsidR="00D91956" w:rsidRPr="00D91956" w:rsidRDefault="00D91956" w:rsidP="00D91956">
            <w:pPr>
              <w:pStyle w:val="Bezodstpw"/>
              <w:rPr>
                <w:rFonts w:cs="Arial"/>
                <w:szCs w:val="20"/>
              </w:rPr>
            </w:pPr>
            <w:r w:rsidRPr="00D91956">
              <w:rPr>
                <w:rFonts w:cs="Arial"/>
                <w:szCs w:val="20"/>
              </w:rPr>
              <w:t>933-1 [7]</w:t>
            </w:r>
          </w:p>
        </w:tc>
        <w:tc>
          <w:tcPr>
            <w:tcW w:w="851" w:type="dxa"/>
          </w:tcPr>
          <w:p w14:paraId="60B58BB8" w14:textId="77777777" w:rsidR="00D91956" w:rsidRPr="00D91956" w:rsidRDefault="00D91956" w:rsidP="00D91956">
            <w:pPr>
              <w:pStyle w:val="Bezodstpw"/>
              <w:rPr>
                <w:rFonts w:cs="Arial"/>
                <w:szCs w:val="20"/>
              </w:rPr>
            </w:pPr>
            <w:r w:rsidRPr="00D91956">
              <w:rPr>
                <w:rFonts w:cs="Arial"/>
                <w:szCs w:val="20"/>
              </w:rPr>
              <w:t>4.3.2</w:t>
            </w:r>
          </w:p>
        </w:tc>
        <w:tc>
          <w:tcPr>
            <w:tcW w:w="3969" w:type="dxa"/>
          </w:tcPr>
          <w:p w14:paraId="2FBDF487" w14:textId="77777777" w:rsidR="00D91956" w:rsidRPr="00D91956" w:rsidRDefault="00D91956" w:rsidP="00D91956">
            <w:pPr>
              <w:pStyle w:val="Bezodstpw"/>
              <w:rPr>
                <w:rFonts w:cs="Arial"/>
                <w:szCs w:val="20"/>
              </w:rPr>
            </w:pPr>
            <w:r w:rsidRPr="00D91956">
              <w:rPr>
                <w:rFonts w:cs="Arial"/>
                <w:szCs w:val="20"/>
              </w:rPr>
              <w:t>Kat. GT</w:t>
            </w:r>
            <w:r w:rsidRPr="00D91956">
              <w:rPr>
                <w:rFonts w:cs="Arial"/>
                <w:szCs w:val="20"/>
                <w:vertAlign w:val="subscript"/>
              </w:rPr>
              <w:t>C</w:t>
            </w:r>
            <w:r w:rsidRPr="00D91956">
              <w:rPr>
                <w:rFonts w:cs="Arial"/>
                <w:szCs w:val="20"/>
              </w:rPr>
              <w:t>NR (tj. brak wymagania)</w:t>
            </w:r>
          </w:p>
        </w:tc>
      </w:tr>
      <w:tr w:rsidR="00D91956" w:rsidRPr="00D91956" w14:paraId="0F0091A1" w14:textId="77777777" w:rsidTr="007B6855">
        <w:tc>
          <w:tcPr>
            <w:tcW w:w="3085" w:type="dxa"/>
          </w:tcPr>
          <w:p w14:paraId="1FF89B60" w14:textId="77777777" w:rsidR="00D91956" w:rsidRPr="00D91956" w:rsidRDefault="00D91956" w:rsidP="00D91956">
            <w:pPr>
              <w:pStyle w:val="Bezodstpw"/>
              <w:rPr>
                <w:rFonts w:cs="Arial"/>
                <w:szCs w:val="20"/>
              </w:rPr>
            </w:pPr>
            <w:r w:rsidRPr="00D91956">
              <w:rPr>
                <w:rFonts w:cs="Arial"/>
                <w:szCs w:val="20"/>
              </w:rPr>
              <w:t>Tolerancje typowego uziarnienia kruszywa drobnego i kruszywa o ciągłym uziarnieniu</w:t>
            </w:r>
          </w:p>
        </w:tc>
        <w:tc>
          <w:tcPr>
            <w:tcW w:w="992" w:type="dxa"/>
          </w:tcPr>
          <w:p w14:paraId="1F6D85F2" w14:textId="77777777" w:rsidR="00D91956" w:rsidRPr="00D91956" w:rsidRDefault="00D91956" w:rsidP="00D91956">
            <w:pPr>
              <w:pStyle w:val="Bezodstpw"/>
              <w:rPr>
                <w:rFonts w:cs="Arial"/>
                <w:szCs w:val="20"/>
              </w:rPr>
            </w:pPr>
            <w:r w:rsidRPr="00D91956">
              <w:rPr>
                <w:rFonts w:cs="Arial"/>
                <w:szCs w:val="20"/>
              </w:rPr>
              <w:t>PN-EN</w:t>
            </w:r>
          </w:p>
          <w:p w14:paraId="47B8671C" w14:textId="77777777" w:rsidR="00D91956" w:rsidRPr="00D91956" w:rsidRDefault="00D91956" w:rsidP="00D91956">
            <w:pPr>
              <w:pStyle w:val="Bezodstpw"/>
              <w:rPr>
                <w:rFonts w:cs="Arial"/>
                <w:szCs w:val="20"/>
              </w:rPr>
            </w:pPr>
            <w:r w:rsidRPr="00D91956">
              <w:rPr>
                <w:rFonts w:cs="Arial"/>
                <w:szCs w:val="20"/>
              </w:rPr>
              <w:t>933-1 [7]</w:t>
            </w:r>
          </w:p>
          <w:p w14:paraId="085880FB" w14:textId="77777777" w:rsidR="00D91956" w:rsidRPr="00D91956" w:rsidRDefault="00D91956" w:rsidP="00D91956">
            <w:pPr>
              <w:pStyle w:val="Bezodstpw"/>
              <w:rPr>
                <w:rFonts w:cs="Arial"/>
                <w:szCs w:val="20"/>
              </w:rPr>
            </w:pPr>
          </w:p>
        </w:tc>
        <w:tc>
          <w:tcPr>
            <w:tcW w:w="851" w:type="dxa"/>
          </w:tcPr>
          <w:p w14:paraId="4658CE90" w14:textId="77777777" w:rsidR="00D91956" w:rsidRPr="00D91956" w:rsidRDefault="00D91956" w:rsidP="00D91956">
            <w:pPr>
              <w:pStyle w:val="Bezodstpw"/>
              <w:rPr>
                <w:rFonts w:cs="Arial"/>
                <w:szCs w:val="20"/>
              </w:rPr>
            </w:pPr>
            <w:r w:rsidRPr="00D91956">
              <w:rPr>
                <w:rFonts w:cs="Arial"/>
                <w:szCs w:val="20"/>
              </w:rPr>
              <w:t>4.3.3</w:t>
            </w:r>
          </w:p>
        </w:tc>
        <w:tc>
          <w:tcPr>
            <w:tcW w:w="3969" w:type="dxa"/>
          </w:tcPr>
          <w:p w14:paraId="57F938B0" w14:textId="77777777" w:rsidR="00D91956" w:rsidRPr="00D91956" w:rsidRDefault="00D91956" w:rsidP="00D91956">
            <w:pPr>
              <w:pStyle w:val="Bezodstpw"/>
              <w:rPr>
                <w:rFonts w:cs="Arial"/>
                <w:szCs w:val="20"/>
              </w:rPr>
            </w:pPr>
            <w:r w:rsidRPr="00D91956">
              <w:rPr>
                <w:rFonts w:cs="Arial"/>
                <w:szCs w:val="20"/>
              </w:rPr>
              <w:t>Kruszywo drobne: kat. GT</w:t>
            </w:r>
            <w:r w:rsidRPr="00D91956">
              <w:rPr>
                <w:rFonts w:cs="Arial"/>
                <w:szCs w:val="20"/>
                <w:vertAlign w:val="subscript"/>
              </w:rPr>
              <w:t>F</w:t>
            </w:r>
            <w:r w:rsidRPr="00D91956">
              <w:rPr>
                <w:rFonts w:cs="Arial"/>
                <w:szCs w:val="20"/>
              </w:rPr>
              <w:t>NR (tj. brak wymagania), kruszywo o ciągłym uziarnieniu: kat. GT</w:t>
            </w:r>
            <w:r w:rsidRPr="00D91956">
              <w:rPr>
                <w:rFonts w:cs="Arial"/>
                <w:szCs w:val="20"/>
                <w:vertAlign w:val="subscript"/>
              </w:rPr>
              <w:t>A</w:t>
            </w:r>
            <w:r w:rsidRPr="00D91956">
              <w:rPr>
                <w:rFonts w:cs="Arial"/>
                <w:szCs w:val="20"/>
              </w:rPr>
              <w:t>NR (tj. brak wymagania)</w:t>
            </w:r>
          </w:p>
        </w:tc>
      </w:tr>
      <w:tr w:rsidR="00D91956" w:rsidRPr="00D91956" w14:paraId="738C745E" w14:textId="77777777" w:rsidTr="007B6855">
        <w:trPr>
          <w:trHeight w:val="671"/>
        </w:trPr>
        <w:tc>
          <w:tcPr>
            <w:tcW w:w="3085" w:type="dxa"/>
          </w:tcPr>
          <w:p w14:paraId="23DF913A" w14:textId="77777777" w:rsidR="00D91956" w:rsidRPr="00D91956" w:rsidRDefault="00D91956" w:rsidP="00D91956">
            <w:pPr>
              <w:pStyle w:val="Bezodstpw"/>
              <w:rPr>
                <w:rFonts w:cs="Arial"/>
                <w:szCs w:val="20"/>
              </w:rPr>
            </w:pPr>
            <w:r w:rsidRPr="00D91956">
              <w:rPr>
                <w:rFonts w:cs="Arial"/>
                <w:szCs w:val="20"/>
              </w:rPr>
              <w:t>Kształt kruszywa grubego – maksymalne wartości wskaź</w:t>
            </w:r>
            <w:r w:rsidRPr="00D91956">
              <w:rPr>
                <w:rFonts w:cs="Arial"/>
                <w:szCs w:val="20"/>
              </w:rPr>
              <w:softHyphen/>
              <w:t>nika płaskości</w:t>
            </w:r>
          </w:p>
        </w:tc>
        <w:tc>
          <w:tcPr>
            <w:tcW w:w="992" w:type="dxa"/>
          </w:tcPr>
          <w:p w14:paraId="52D31956" w14:textId="77777777" w:rsidR="00D91956" w:rsidRPr="00D91956" w:rsidRDefault="00D91956" w:rsidP="00D91956">
            <w:pPr>
              <w:pStyle w:val="Bezodstpw"/>
              <w:rPr>
                <w:rFonts w:cs="Arial"/>
                <w:szCs w:val="20"/>
              </w:rPr>
            </w:pPr>
            <w:r w:rsidRPr="00D91956">
              <w:rPr>
                <w:rFonts w:cs="Arial"/>
                <w:szCs w:val="20"/>
              </w:rPr>
              <w:t>PN-EN</w:t>
            </w:r>
          </w:p>
          <w:p w14:paraId="077FEC16" w14:textId="77777777" w:rsidR="00D91956" w:rsidRPr="00D91956" w:rsidRDefault="00D91956" w:rsidP="00D91956">
            <w:pPr>
              <w:pStyle w:val="Bezodstpw"/>
              <w:rPr>
                <w:rFonts w:cs="Arial"/>
                <w:szCs w:val="20"/>
                <w:vertAlign w:val="superscript"/>
              </w:rPr>
            </w:pPr>
            <w:r w:rsidRPr="00D91956">
              <w:rPr>
                <w:rFonts w:cs="Arial"/>
                <w:szCs w:val="20"/>
              </w:rPr>
              <w:t>933-3  [8]</w:t>
            </w:r>
          </w:p>
        </w:tc>
        <w:tc>
          <w:tcPr>
            <w:tcW w:w="851" w:type="dxa"/>
          </w:tcPr>
          <w:p w14:paraId="5190B46D" w14:textId="77777777" w:rsidR="00D91956" w:rsidRPr="00D91956" w:rsidRDefault="00D91956" w:rsidP="00D91956">
            <w:pPr>
              <w:pStyle w:val="Bezodstpw"/>
              <w:rPr>
                <w:rFonts w:cs="Arial"/>
                <w:szCs w:val="20"/>
              </w:rPr>
            </w:pPr>
            <w:r w:rsidRPr="00D91956">
              <w:rPr>
                <w:rFonts w:cs="Arial"/>
                <w:szCs w:val="20"/>
              </w:rPr>
              <w:t>4.4</w:t>
            </w:r>
          </w:p>
        </w:tc>
        <w:tc>
          <w:tcPr>
            <w:tcW w:w="3969" w:type="dxa"/>
          </w:tcPr>
          <w:p w14:paraId="3766886C" w14:textId="77777777" w:rsidR="00D91956" w:rsidRPr="00D91956" w:rsidRDefault="00D91956" w:rsidP="00D91956">
            <w:pPr>
              <w:pStyle w:val="Bezodstpw"/>
              <w:rPr>
                <w:rFonts w:cs="Arial"/>
                <w:szCs w:val="20"/>
              </w:rPr>
            </w:pPr>
            <w:r w:rsidRPr="00D91956">
              <w:rPr>
                <w:rFonts w:cs="Arial"/>
                <w:szCs w:val="20"/>
              </w:rPr>
              <w:t>Kat. FI</w:t>
            </w:r>
            <w:r w:rsidRPr="00D91956">
              <w:rPr>
                <w:rFonts w:cs="Arial"/>
                <w:szCs w:val="20"/>
                <w:vertAlign w:val="subscript"/>
              </w:rPr>
              <w:t xml:space="preserve">NR </w:t>
            </w:r>
            <w:r w:rsidRPr="00D91956">
              <w:rPr>
                <w:rFonts w:cs="Arial"/>
                <w:szCs w:val="20"/>
              </w:rPr>
              <w:t>(tj. brak wymaga</w:t>
            </w:r>
            <w:r w:rsidRPr="00D91956">
              <w:rPr>
                <w:rFonts w:cs="Arial"/>
                <w:szCs w:val="20"/>
              </w:rPr>
              <w:softHyphen/>
              <w:t xml:space="preserve">nia) </w:t>
            </w:r>
          </w:p>
        </w:tc>
      </w:tr>
      <w:tr w:rsidR="00D91956" w:rsidRPr="00D91956" w14:paraId="19B0D2AD" w14:textId="77777777" w:rsidTr="007B6855">
        <w:tc>
          <w:tcPr>
            <w:tcW w:w="3085" w:type="dxa"/>
          </w:tcPr>
          <w:p w14:paraId="6E5931E2" w14:textId="77777777" w:rsidR="00D91956" w:rsidRPr="00D91956" w:rsidRDefault="00D91956" w:rsidP="00D91956">
            <w:pPr>
              <w:pStyle w:val="Bezodstpw"/>
              <w:rPr>
                <w:rFonts w:cs="Arial"/>
                <w:szCs w:val="20"/>
              </w:rPr>
            </w:pPr>
            <w:r w:rsidRPr="00D91956">
              <w:rPr>
                <w:rFonts w:cs="Arial"/>
                <w:szCs w:val="20"/>
              </w:rPr>
              <w:t xml:space="preserve">Kształt kruszywa grubego – maksymalne wartości </w:t>
            </w:r>
            <w:r w:rsidRPr="00D91956">
              <w:rPr>
                <w:rFonts w:cs="Arial"/>
                <w:szCs w:val="20"/>
              </w:rPr>
              <w:lastRenderedPageBreak/>
              <w:t>wskaźnika kształtu</w:t>
            </w:r>
          </w:p>
        </w:tc>
        <w:tc>
          <w:tcPr>
            <w:tcW w:w="992" w:type="dxa"/>
          </w:tcPr>
          <w:p w14:paraId="6EDB8F21" w14:textId="77777777" w:rsidR="00D91956" w:rsidRPr="00D91956" w:rsidRDefault="00D91956" w:rsidP="00D91956">
            <w:pPr>
              <w:pStyle w:val="Bezodstpw"/>
              <w:rPr>
                <w:rFonts w:cs="Arial"/>
                <w:szCs w:val="20"/>
              </w:rPr>
            </w:pPr>
            <w:r w:rsidRPr="00D91956">
              <w:rPr>
                <w:rFonts w:cs="Arial"/>
                <w:szCs w:val="20"/>
              </w:rPr>
              <w:lastRenderedPageBreak/>
              <w:t>PN-EN</w:t>
            </w:r>
          </w:p>
          <w:p w14:paraId="780ED1B5" w14:textId="77777777" w:rsidR="00D91956" w:rsidRPr="00D91956" w:rsidRDefault="00D91956" w:rsidP="00D91956">
            <w:pPr>
              <w:pStyle w:val="Bezodstpw"/>
              <w:rPr>
                <w:rFonts w:cs="Arial"/>
                <w:szCs w:val="20"/>
              </w:rPr>
            </w:pPr>
            <w:r w:rsidRPr="00D91956">
              <w:rPr>
                <w:rFonts w:cs="Arial"/>
                <w:szCs w:val="20"/>
              </w:rPr>
              <w:t xml:space="preserve">933-4  </w:t>
            </w:r>
            <w:r w:rsidRPr="00D91956">
              <w:rPr>
                <w:rFonts w:cs="Arial"/>
                <w:szCs w:val="20"/>
              </w:rPr>
              <w:lastRenderedPageBreak/>
              <w:t>[9]</w:t>
            </w:r>
          </w:p>
        </w:tc>
        <w:tc>
          <w:tcPr>
            <w:tcW w:w="851" w:type="dxa"/>
          </w:tcPr>
          <w:p w14:paraId="6B8FFC2C" w14:textId="77777777" w:rsidR="00D91956" w:rsidRPr="00D91956" w:rsidRDefault="00D91956" w:rsidP="00D91956">
            <w:pPr>
              <w:pStyle w:val="Bezodstpw"/>
              <w:rPr>
                <w:rFonts w:cs="Arial"/>
                <w:szCs w:val="20"/>
              </w:rPr>
            </w:pPr>
            <w:r w:rsidRPr="00D91956">
              <w:rPr>
                <w:rFonts w:cs="Arial"/>
                <w:szCs w:val="20"/>
              </w:rPr>
              <w:lastRenderedPageBreak/>
              <w:t>4.4</w:t>
            </w:r>
          </w:p>
        </w:tc>
        <w:tc>
          <w:tcPr>
            <w:tcW w:w="3969" w:type="dxa"/>
          </w:tcPr>
          <w:p w14:paraId="0DCA01B9" w14:textId="77777777" w:rsidR="00D91956" w:rsidRPr="00D91956" w:rsidRDefault="00D91956" w:rsidP="00D91956">
            <w:pPr>
              <w:pStyle w:val="Bezodstpw"/>
              <w:rPr>
                <w:rFonts w:cs="Arial"/>
                <w:szCs w:val="20"/>
              </w:rPr>
            </w:pPr>
            <w:r w:rsidRPr="00D91956">
              <w:rPr>
                <w:rFonts w:cs="Arial"/>
                <w:szCs w:val="20"/>
              </w:rPr>
              <w:t>Kat. SI</w:t>
            </w:r>
            <w:r w:rsidRPr="00D91956">
              <w:rPr>
                <w:rFonts w:cs="Arial"/>
                <w:szCs w:val="20"/>
                <w:vertAlign w:val="subscript"/>
              </w:rPr>
              <w:t xml:space="preserve">NR </w:t>
            </w:r>
            <w:r w:rsidRPr="00D91956">
              <w:rPr>
                <w:rFonts w:cs="Arial"/>
                <w:szCs w:val="20"/>
              </w:rPr>
              <w:t>(tj. brak wymaga</w:t>
            </w:r>
            <w:r w:rsidRPr="00D91956">
              <w:rPr>
                <w:rFonts w:cs="Arial"/>
                <w:szCs w:val="20"/>
              </w:rPr>
              <w:softHyphen/>
              <w:t>nia)</w:t>
            </w:r>
          </w:p>
        </w:tc>
      </w:tr>
      <w:tr w:rsidR="00D91956" w:rsidRPr="00D91956" w14:paraId="3F9CDCBE" w14:textId="77777777" w:rsidTr="007B6855">
        <w:tc>
          <w:tcPr>
            <w:tcW w:w="3085" w:type="dxa"/>
          </w:tcPr>
          <w:p w14:paraId="2F8F00BA" w14:textId="77777777" w:rsidR="00D91956" w:rsidRPr="00D91956" w:rsidRDefault="00D91956" w:rsidP="00D91956">
            <w:pPr>
              <w:pStyle w:val="Bezodstpw"/>
              <w:rPr>
                <w:rFonts w:cs="Arial"/>
                <w:szCs w:val="20"/>
              </w:rPr>
            </w:pPr>
            <w:r w:rsidRPr="00D91956">
              <w:rPr>
                <w:rFonts w:cs="Arial"/>
                <w:szCs w:val="20"/>
              </w:rPr>
              <w:t xml:space="preserve">Kategorie procentowych zawartości ziaren o powierzchni </w:t>
            </w:r>
            <w:proofErr w:type="spellStart"/>
            <w:r w:rsidRPr="00D91956">
              <w:rPr>
                <w:rFonts w:cs="Arial"/>
                <w:szCs w:val="20"/>
              </w:rPr>
              <w:t>przekruszonej</w:t>
            </w:r>
            <w:proofErr w:type="spellEnd"/>
            <w:r w:rsidRPr="00D91956">
              <w:rPr>
                <w:rFonts w:cs="Arial"/>
                <w:szCs w:val="20"/>
              </w:rPr>
              <w:t xml:space="preserve"> lub łamanych oraz ziaren całkowicie za</w:t>
            </w:r>
            <w:r w:rsidRPr="00D91956">
              <w:rPr>
                <w:rFonts w:cs="Arial"/>
                <w:szCs w:val="20"/>
              </w:rPr>
              <w:softHyphen/>
              <w:t>okrąglonych w kruszywie grubym</w:t>
            </w:r>
          </w:p>
        </w:tc>
        <w:tc>
          <w:tcPr>
            <w:tcW w:w="992" w:type="dxa"/>
          </w:tcPr>
          <w:p w14:paraId="1C1BBD29" w14:textId="77777777" w:rsidR="00D91956" w:rsidRPr="00D91956" w:rsidRDefault="00D91956" w:rsidP="00D91956">
            <w:pPr>
              <w:pStyle w:val="Bezodstpw"/>
              <w:rPr>
                <w:rFonts w:cs="Arial"/>
                <w:szCs w:val="20"/>
              </w:rPr>
            </w:pPr>
            <w:r w:rsidRPr="00D91956">
              <w:rPr>
                <w:rFonts w:cs="Arial"/>
                <w:szCs w:val="20"/>
              </w:rPr>
              <w:t>PN-EN</w:t>
            </w:r>
          </w:p>
          <w:p w14:paraId="6F347C59" w14:textId="77777777" w:rsidR="00D91956" w:rsidRPr="00D91956" w:rsidRDefault="00D91956" w:rsidP="00D91956">
            <w:pPr>
              <w:pStyle w:val="Bezodstpw"/>
              <w:rPr>
                <w:rFonts w:cs="Arial"/>
                <w:szCs w:val="20"/>
              </w:rPr>
            </w:pPr>
            <w:r w:rsidRPr="00D91956">
              <w:rPr>
                <w:rFonts w:cs="Arial"/>
                <w:szCs w:val="20"/>
              </w:rPr>
              <w:t>933-5    [10]</w:t>
            </w:r>
          </w:p>
        </w:tc>
        <w:tc>
          <w:tcPr>
            <w:tcW w:w="851" w:type="dxa"/>
          </w:tcPr>
          <w:p w14:paraId="4B9353D9" w14:textId="77777777" w:rsidR="00D91956" w:rsidRPr="00D91956" w:rsidRDefault="00D91956" w:rsidP="00D91956">
            <w:pPr>
              <w:pStyle w:val="Bezodstpw"/>
              <w:rPr>
                <w:rFonts w:cs="Arial"/>
                <w:szCs w:val="20"/>
              </w:rPr>
            </w:pPr>
            <w:r w:rsidRPr="00D91956">
              <w:rPr>
                <w:rFonts w:cs="Arial"/>
                <w:szCs w:val="20"/>
              </w:rPr>
              <w:t>4.5</w:t>
            </w:r>
          </w:p>
        </w:tc>
        <w:tc>
          <w:tcPr>
            <w:tcW w:w="3969" w:type="dxa"/>
          </w:tcPr>
          <w:p w14:paraId="6E048CDD" w14:textId="77777777" w:rsidR="00D91956" w:rsidRPr="00D91956" w:rsidRDefault="00D91956" w:rsidP="00D91956">
            <w:pPr>
              <w:pStyle w:val="Bezodstpw"/>
              <w:rPr>
                <w:rFonts w:cs="Arial"/>
                <w:szCs w:val="20"/>
              </w:rPr>
            </w:pPr>
            <w:r w:rsidRPr="00D91956">
              <w:rPr>
                <w:rFonts w:cs="Arial"/>
                <w:szCs w:val="20"/>
              </w:rPr>
              <w:t>Kat. C</w:t>
            </w:r>
            <w:r w:rsidRPr="00D91956">
              <w:rPr>
                <w:rFonts w:cs="Arial"/>
                <w:szCs w:val="20"/>
                <w:vertAlign w:val="subscript"/>
              </w:rPr>
              <w:t>NR</w:t>
            </w:r>
            <w:r w:rsidRPr="00D91956">
              <w:rPr>
                <w:rFonts w:cs="Arial"/>
                <w:szCs w:val="20"/>
              </w:rPr>
              <w:t xml:space="preserve"> (tj. brak wymagania)</w:t>
            </w:r>
          </w:p>
        </w:tc>
      </w:tr>
      <w:tr w:rsidR="00D91956" w:rsidRPr="00D91956" w14:paraId="531BA13E" w14:textId="77777777" w:rsidTr="007B6855">
        <w:tc>
          <w:tcPr>
            <w:tcW w:w="3085" w:type="dxa"/>
          </w:tcPr>
          <w:p w14:paraId="7FCD3292" w14:textId="77777777" w:rsidR="00D91956" w:rsidRPr="00D91956" w:rsidRDefault="00D91956" w:rsidP="00D91956">
            <w:pPr>
              <w:pStyle w:val="Bezodstpw"/>
              <w:rPr>
                <w:rFonts w:cs="Arial"/>
                <w:szCs w:val="20"/>
                <w:vertAlign w:val="superscript"/>
              </w:rPr>
            </w:pPr>
            <w:r w:rsidRPr="00D91956">
              <w:rPr>
                <w:rFonts w:cs="Arial"/>
                <w:szCs w:val="20"/>
              </w:rPr>
              <w:t>Zawartość pyłów w kruszywie grubym</w:t>
            </w:r>
            <w:r w:rsidRPr="00D91956">
              <w:rPr>
                <w:rFonts w:cs="Arial"/>
                <w:szCs w:val="20"/>
                <w:vertAlign w:val="superscript"/>
              </w:rPr>
              <w:t>*)</w:t>
            </w:r>
          </w:p>
        </w:tc>
        <w:tc>
          <w:tcPr>
            <w:tcW w:w="992" w:type="dxa"/>
          </w:tcPr>
          <w:p w14:paraId="7E1A0B2A" w14:textId="77777777" w:rsidR="00D91956" w:rsidRPr="00D91956" w:rsidRDefault="00D91956" w:rsidP="00D91956">
            <w:pPr>
              <w:pStyle w:val="Bezodstpw"/>
              <w:rPr>
                <w:rFonts w:cs="Arial"/>
                <w:szCs w:val="20"/>
              </w:rPr>
            </w:pPr>
            <w:r w:rsidRPr="00D91956">
              <w:rPr>
                <w:rFonts w:cs="Arial"/>
                <w:szCs w:val="20"/>
              </w:rPr>
              <w:t>PN-EN</w:t>
            </w:r>
          </w:p>
          <w:p w14:paraId="482B3B79" w14:textId="77777777" w:rsidR="00D91956" w:rsidRPr="00D91956" w:rsidRDefault="00D91956" w:rsidP="00D91956">
            <w:pPr>
              <w:pStyle w:val="Bezodstpw"/>
              <w:rPr>
                <w:rFonts w:cs="Arial"/>
                <w:szCs w:val="20"/>
              </w:rPr>
            </w:pPr>
            <w:r w:rsidRPr="00D91956">
              <w:rPr>
                <w:rFonts w:cs="Arial"/>
                <w:szCs w:val="20"/>
              </w:rPr>
              <w:t>933-1 [7]</w:t>
            </w:r>
          </w:p>
        </w:tc>
        <w:tc>
          <w:tcPr>
            <w:tcW w:w="851" w:type="dxa"/>
          </w:tcPr>
          <w:p w14:paraId="3D957C7B" w14:textId="77777777" w:rsidR="00D91956" w:rsidRPr="00D91956" w:rsidRDefault="00D91956" w:rsidP="00D91956">
            <w:pPr>
              <w:pStyle w:val="Bezodstpw"/>
              <w:rPr>
                <w:rFonts w:cs="Arial"/>
                <w:szCs w:val="20"/>
              </w:rPr>
            </w:pPr>
            <w:r w:rsidRPr="00D91956">
              <w:rPr>
                <w:rFonts w:cs="Arial"/>
                <w:szCs w:val="20"/>
              </w:rPr>
              <w:t>4.6</w:t>
            </w:r>
          </w:p>
        </w:tc>
        <w:tc>
          <w:tcPr>
            <w:tcW w:w="3969" w:type="dxa"/>
          </w:tcPr>
          <w:p w14:paraId="2AD54743" w14:textId="77777777" w:rsidR="00D91956" w:rsidRPr="00D91956" w:rsidRDefault="00D91956" w:rsidP="00D91956">
            <w:pPr>
              <w:pStyle w:val="Bezodstpw"/>
              <w:rPr>
                <w:rFonts w:cs="Arial"/>
                <w:szCs w:val="20"/>
              </w:rPr>
            </w:pPr>
            <w:r w:rsidRPr="00D91956">
              <w:rPr>
                <w:rFonts w:cs="Arial"/>
                <w:szCs w:val="20"/>
              </w:rPr>
              <w:t xml:space="preserve">Kat. </w:t>
            </w:r>
            <w:proofErr w:type="spellStart"/>
            <w:r w:rsidRPr="00D91956">
              <w:rPr>
                <w:rFonts w:cs="Arial"/>
                <w:szCs w:val="20"/>
              </w:rPr>
              <w:t>f</w:t>
            </w:r>
            <w:r w:rsidRPr="00D91956">
              <w:rPr>
                <w:rFonts w:cs="Arial"/>
                <w:szCs w:val="20"/>
                <w:vertAlign w:val="subscript"/>
              </w:rPr>
              <w:t>Dekl</w:t>
            </w:r>
            <w:proofErr w:type="spellEnd"/>
            <w:r w:rsidRPr="00D91956">
              <w:rPr>
                <w:rFonts w:cs="Arial"/>
                <w:szCs w:val="20"/>
              </w:rPr>
              <w:t xml:space="preserve">  (tj. masa frakcji przechodzącej przez sito </w:t>
            </w:r>
            <w:smartTag w:uri="urn:schemas-microsoft-com:office:smarttags" w:element="metricconverter">
              <w:smartTagPr>
                <w:attr w:name="ProductID" w:val="0,063 mm"/>
              </w:smartTagPr>
              <w:r w:rsidRPr="00D91956">
                <w:rPr>
                  <w:rFonts w:cs="Arial"/>
                  <w:szCs w:val="20"/>
                </w:rPr>
                <w:t>0,063 mm</w:t>
              </w:r>
            </w:smartTag>
            <w:r w:rsidRPr="00D91956">
              <w:rPr>
                <w:rFonts w:cs="Arial"/>
                <w:szCs w:val="20"/>
              </w:rPr>
              <w:t xml:space="preserve"> jest &gt; 4)</w:t>
            </w:r>
          </w:p>
        </w:tc>
      </w:tr>
      <w:tr w:rsidR="00D91956" w:rsidRPr="00D91956" w14:paraId="0766B33A" w14:textId="77777777" w:rsidTr="007B6855">
        <w:tc>
          <w:tcPr>
            <w:tcW w:w="3085" w:type="dxa"/>
          </w:tcPr>
          <w:p w14:paraId="6605A16F" w14:textId="77777777" w:rsidR="00D91956" w:rsidRPr="00D91956" w:rsidRDefault="00D91956" w:rsidP="00D91956">
            <w:pPr>
              <w:pStyle w:val="Bezodstpw"/>
              <w:rPr>
                <w:rFonts w:cs="Arial"/>
                <w:szCs w:val="20"/>
                <w:vertAlign w:val="superscript"/>
              </w:rPr>
            </w:pPr>
            <w:r w:rsidRPr="00D91956">
              <w:rPr>
                <w:rFonts w:cs="Arial"/>
                <w:szCs w:val="20"/>
              </w:rPr>
              <w:t>Zawartość pyłów</w:t>
            </w:r>
            <w:r w:rsidRPr="00D91956">
              <w:rPr>
                <w:rFonts w:cs="Arial"/>
                <w:szCs w:val="20"/>
                <w:vertAlign w:val="superscript"/>
              </w:rPr>
              <w:t xml:space="preserve">  </w:t>
            </w:r>
            <w:r w:rsidRPr="00D91956">
              <w:rPr>
                <w:rFonts w:cs="Arial"/>
                <w:szCs w:val="20"/>
              </w:rPr>
              <w:t xml:space="preserve"> w  kruszywie drob</w:t>
            </w:r>
            <w:r w:rsidRPr="00D91956">
              <w:rPr>
                <w:rFonts w:cs="Arial"/>
                <w:szCs w:val="20"/>
              </w:rPr>
              <w:softHyphen/>
              <w:t>nym</w:t>
            </w:r>
            <w:r w:rsidRPr="00D91956">
              <w:rPr>
                <w:rFonts w:cs="Arial"/>
                <w:szCs w:val="20"/>
                <w:vertAlign w:val="superscript"/>
              </w:rPr>
              <w:t>*)</w:t>
            </w:r>
          </w:p>
        </w:tc>
        <w:tc>
          <w:tcPr>
            <w:tcW w:w="992" w:type="dxa"/>
          </w:tcPr>
          <w:p w14:paraId="010F1E55" w14:textId="77777777" w:rsidR="00D91956" w:rsidRPr="00D91956" w:rsidRDefault="00D91956" w:rsidP="00D91956">
            <w:pPr>
              <w:pStyle w:val="Bezodstpw"/>
              <w:rPr>
                <w:rFonts w:cs="Arial"/>
                <w:szCs w:val="20"/>
              </w:rPr>
            </w:pPr>
            <w:r w:rsidRPr="00D91956">
              <w:rPr>
                <w:rFonts w:cs="Arial"/>
                <w:szCs w:val="20"/>
              </w:rPr>
              <w:t xml:space="preserve">PN-EN   </w:t>
            </w:r>
          </w:p>
          <w:p w14:paraId="3C0B51C9" w14:textId="77777777" w:rsidR="00D91956" w:rsidRPr="00D91956" w:rsidRDefault="00D91956" w:rsidP="00D91956">
            <w:pPr>
              <w:pStyle w:val="Bezodstpw"/>
              <w:rPr>
                <w:rFonts w:cs="Arial"/>
                <w:szCs w:val="20"/>
              </w:rPr>
            </w:pPr>
            <w:r w:rsidRPr="00D91956">
              <w:rPr>
                <w:rFonts w:cs="Arial"/>
                <w:szCs w:val="20"/>
              </w:rPr>
              <w:t xml:space="preserve">933-1 [7] </w:t>
            </w:r>
          </w:p>
        </w:tc>
        <w:tc>
          <w:tcPr>
            <w:tcW w:w="851" w:type="dxa"/>
          </w:tcPr>
          <w:p w14:paraId="194D5AA0" w14:textId="77777777" w:rsidR="00D91956" w:rsidRPr="00D91956" w:rsidRDefault="00D91956" w:rsidP="00D91956">
            <w:pPr>
              <w:pStyle w:val="Bezodstpw"/>
              <w:rPr>
                <w:rFonts w:cs="Arial"/>
                <w:szCs w:val="20"/>
              </w:rPr>
            </w:pPr>
            <w:r w:rsidRPr="00D91956">
              <w:rPr>
                <w:rFonts w:cs="Arial"/>
                <w:szCs w:val="20"/>
              </w:rPr>
              <w:t>4.6</w:t>
            </w:r>
          </w:p>
        </w:tc>
        <w:tc>
          <w:tcPr>
            <w:tcW w:w="3969" w:type="dxa"/>
          </w:tcPr>
          <w:p w14:paraId="479A5975" w14:textId="77777777" w:rsidR="00D91956" w:rsidRPr="00D91956" w:rsidRDefault="00D91956" w:rsidP="00D91956">
            <w:pPr>
              <w:pStyle w:val="Bezodstpw"/>
              <w:rPr>
                <w:rFonts w:cs="Arial"/>
                <w:szCs w:val="20"/>
              </w:rPr>
            </w:pPr>
            <w:r w:rsidRPr="00D91956">
              <w:rPr>
                <w:rFonts w:cs="Arial"/>
                <w:szCs w:val="20"/>
              </w:rPr>
              <w:t xml:space="preserve">Kat. </w:t>
            </w:r>
            <w:proofErr w:type="spellStart"/>
            <w:r w:rsidRPr="00D91956">
              <w:rPr>
                <w:rFonts w:cs="Arial"/>
                <w:szCs w:val="20"/>
              </w:rPr>
              <w:t>f</w:t>
            </w:r>
            <w:r w:rsidRPr="00D91956">
              <w:rPr>
                <w:rFonts w:cs="Arial"/>
                <w:szCs w:val="20"/>
                <w:vertAlign w:val="subscript"/>
              </w:rPr>
              <w:t>Dekl</w:t>
            </w:r>
            <w:proofErr w:type="spellEnd"/>
            <w:r w:rsidRPr="00D91956">
              <w:rPr>
                <w:rFonts w:cs="Arial"/>
                <w:szCs w:val="20"/>
              </w:rPr>
              <w:t xml:space="preserve">  (tj. masa frakcji przechodzącej przez sito </w:t>
            </w:r>
            <w:smartTag w:uri="urn:schemas-microsoft-com:office:smarttags" w:element="metricconverter">
              <w:smartTagPr>
                <w:attr w:name="ProductID" w:val="0,063 mm"/>
              </w:smartTagPr>
              <w:r w:rsidRPr="00D91956">
                <w:rPr>
                  <w:rFonts w:cs="Arial"/>
                  <w:szCs w:val="20"/>
                </w:rPr>
                <w:t>0,063 mm</w:t>
              </w:r>
            </w:smartTag>
            <w:r w:rsidRPr="00D91956">
              <w:rPr>
                <w:rFonts w:cs="Arial"/>
                <w:szCs w:val="20"/>
              </w:rPr>
              <w:t xml:space="preserve"> jest &gt; 22)</w:t>
            </w:r>
          </w:p>
        </w:tc>
      </w:tr>
      <w:tr w:rsidR="00D91956" w:rsidRPr="00D91956" w14:paraId="0DEFF19F" w14:textId="77777777" w:rsidTr="007B6855">
        <w:tc>
          <w:tcPr>
            <w:tcW w:w="3085" w:type="dxa"/>
          </w:tcPr>
          <w:p w14:paraId="09F663C2" w14:textId="77777777" w:rsidR="00D91956" w:rsidRPr="00D91956" w:rsidRDefault="00D91956" w:rsidP="00D91956">
            <w:pPr>
              <w:pStyle w:val="Bezodstpw"/>
              <w:rPr>
                <w:rFonts w:cs="Arial"/>
                <w:szCs w:val="20"/>
              </w:rPr>
            </w:pPr>
            <w:r w:rsidRPr="00D91956">
              <w:rPr>
                <w:rFonts w:cs="Arial"/>
                <w:szCs w:val="20"/>
              </w:rPr>
              <w:t>Jakość pyłów</w:t>
            </w:r>
          </w:p>
        </w:tc>
        <w:tc>
          <w:tcPr>
            <w:tcW w:w="992" w:type="dxa"/>
          </w:tcPr>
          <w:p w14:paraId="4C5DB8FB" w14:textId="77777777" w:rsidR="00D91956" w:rsidRPr="00D91956" w:rsidRDefault="00D91956" w:rsidP="00D91956">
            <w:pPr>
              <w:pStyle w:val="Bezodstpw"/>
              <w:jc w:val="center"/>
              <w:rPr>
                <w:rFonts w:cs="Arial"/>
                <w:szCs w:val="20"/>
              </w:rPr>
            </w:pPr>
            <w:r w:rsidRPr="00D91956">
              <w:rPr>
                <w:rFonts w:cs="Arial"/>
                <w:szCs w:val="20"/>
              </w:rPr>
              <w:t>-</w:t>
            </w:r>
          </w:p>
        </w:tc>
        <w:tc>
          <w:tcPr>
            <w:tcW w:w="851" w:type="dxa"/>
          </w:tcPr>
          <w:p w14:paraId="428E552B" w14:textId="77777777" w:rsidR="00D91956" w:rsidRPr="00D91956" w:rsidRDefault="00D91956" w:rsidP="00D91956">
            <w:pPr>
              <w:pStyle w:val="Bezodstpw"/>
              <w:rPr>
                <w:rFonts w:cs="Arial"/>
                <w:szCs w:val="20"/>
              </w:rPr>
            </w:pPr>
            <w:r w:rsidRPr="00D91956">
              <w:rPr>
                <w:rFonts w:cs="Arial"/>
                <w:szCs w:val="20"/>
              </w:rPr>
              <w:t>4.7</w:t>
            </w:r>
          </w:p>
        </w:tc>
        <w:tc>
          <w:tcPr>
            <w:tcW w:w="3969" w:type="dxa"/>
          </w:tcPr>
          <w:p w14:paraId="6966203F" w14:textId="77777777" w:rsidR="00D91956" w:rsidRPr="00D91956" w:rsidRDefault="00D91956" w:rsidP="00D91956">
            <w:pPr>
              <w:pStyle w:val="Bezodstpw"/>
              <w:rPr>
                <w:rFonts w:cs="Arial"/>
                <w:szCs w:val="20"/>
              </w:rPr>
            </w:pPr>
            <w:r w:rsidRPr="00D91956">
              <w:rPr>
                <w:rFonts w:cs="Arial"/>
                <w:szCs w:val="20"/>
              </w:rPr>
              <w:t>Właściwość niebadana na pojedynczych frakcjach, a tylko w mieszankach wg wymagań dla mieszanek</w:t>
            </w:r>
          </w:p>
        </w:tc>
      </w:tr>
      <w:tr w:rsidR="00D91956" w:rsidRPr="00D91956" w14:paraId="5D0F229E" w14:textId="77777777" w:rsidTr="007B6855">
        <w:tc>
          <w:tcPr>
            <w:tcW w:w="3085" w:type="dxa"/>
          </w:tcPr>
          <w:p w14:paraId="49152758" w14:textId="77777777" w:rsidR="00D91956" w:rsidRPr="00D91956" w:rsidRDefault="00D91956" w:rsidP="00D91956">
            <w:pPr>
              <w:pStyle w:val="Bezodstpw"/>
              <w:rPr>
                <w:rFonts w:cs="Arial"/>
                <w:szCs w:val="20"/>
              </w:rPr>
            </w:pPr>
            <w:r w:rsidRPr="00D91956">
              <w:rPr>
                <w:rFonts w:cs="Arial"/>
                <w:szCs w:val="20"/>
              </w:rPr>
              <w:t>Odporność na rozdrabnianie kruszywa grubego</w:t>
            </w:r>
          </w:p>
        </w:tc>
        <w:tc>
          <w:tcPr>
            <w:tcW w:w="992" w:type="dxa"/>
          </w:tcPr>
          <w:p w14:paraId="4B9338DB" w14:textId="77777777" w:rsidR="00D91956" w:rsidRPr="00D91956" w:rsidRDefault="00D91956" w:rsidP="00D91956">
            <w:pPr>
              <w:pStyle w:val="Bezodstpw"/>
              <w:rPr>
                <w:rFonts w:cs="Arial"/>
                <w:szCs w:val="20"/>
              </w:rPr>
            </w:pPr>
            <w:r w:rsidRPr="00D91956">
              <w:rPr>
                <w:rFonts w:cs="Arial"/>
                <w:szCs w:val="20"/>
              </w:rPr>
              <w:t xml:space="preserve">PN-EN </w:t>
            </w:r>
          </w:p>
          <w:p w14:paraId="69F8F3E3" w14:textId="77777777" w:rsidR="00D91956" w:rsidRPr="00D91956" w:rsidRDefault="00D91956" w:rsidP="00D91956">
            <w:pPr>
              <w:pStyle w:val="Bezodstpw"/>
              <w:rPr>
                <w:rFonts w:cs="Arial"/>
                <w:szCs w:val="20"/>
              </w:rPr>
            </w:pPr>
            <w:r w:rsidRPr="00D91956">
              <w:rPr>
                <w:rFonts w:cs="Arial"/>
                <w:szCs w:val="20"/>
              </w:rPr>
              <w:t xml:space="preserve">1097-2 [12] </w:t>
            </w:r>
          </w:p>
        </w:tc>
        <w:tc>
          <w:tcPr>
            <w:tcW w:w="851" w:type="dxa"/>
          </w:tcPr>
          <w:p w14:paraId="0EB12C80" w14:textId="77777777" w:rsidR="00D91956" w:rsidRPr="00D91956" w:rsidRDefault="00D91956" w:rsidP="00D91956">
            <w:pPr>
              <w:pStyle w:val="Bezodstpw"/>
              <w:rPr>
                <w:rFonts w:cs="Arial"/>
                <w:szCs w:val="20"/>
              </w:rPr>
            </w:pPr>
            <w:r w:rsidRPr="00D91956">
              <w:rPr>
                <w:rFonts w:cs="Arial"/>
                <w:szCs w:val="20"/>
              </w:rPr>
              <w:t>5.2</w:t>
            </w:r>
          </w:p>
        </w:tc>
        <w:tc>
          <w:tcPr>
            <w:tcW w:w="3969" w:type="dxa"/>
          </w:tcPr>
          <w:p w14:paraId="3E04E698" w14:textId="77777777" w:rsidR="00D91956" w:rsidRPr="00D91956" w:rsidRDefault="00D91956" w:rsidP="00D91956">
            <w:pPr>
              <w:pStyle w:val="Bezodstpw"/>
              <w:rPr>
                <w:rFonts w:cs="Arial"/>
                <w:szCs w:val="20"/>
              </w:rPr>
            </w:pPr>
            <w:r w:rsidRPr="00D91956">
              <w:rPr>
                <w:rFonts w:cs="Arial"/>
                <w:szCs w:val="20"/>
              </w:rPr>
              <w:t>Kat. LA</w:t>
            </w:r>
            <w:r w:rsidRPr="00D91956">
              <w:rPr>
                <w:rFonts w:cs="Arial"/>
                <w:szCs w:val="20"/>
                <w:vertAlign w:val="subscript"/>
              </w:rPr>
              <w:t>NR</w:t>
            </w:r>
            <w:r w:rsidRPr="00D91956">
              <w:rPr>
                <w:rFonts w:cs="Arial"/>
                <w:szCs w:val="20"/>
              </w:rPr>
              <w:t xml:space="preserve"> (tj. brak wymagania)</w:t>
            </w:r>
          </w:p>
        </w:tc>
      </w:tr>
      <w:tr w:rsidR="00D91956" w:rsidRPr="00D91956" w14:paraId="3353AF5E" w14:textId="77777777" w:rsidTr="007B6855">
        <w:tc>
          <w:tcPr>
            <w:tcW w:w="3085" w:type="dxa"/>
          </w:tcPr>
          <w:p w14:paraId="28AFF997" w14:textId="77777777" w:rsidR="00D91956" w:rsidRPr="00D91956" w:rsidRDefault="00D91956" w:rsidP="00D91956">
            <w:pPr>
              <w:pStyle w:val="Bezodstpw"/>
              <w:rPr>
                <w:rFonts w:cs="Arial"/>
                <w:szCs w:val="20"/>
              </w:rPr>
            </w:pPr>
            <w:r w:rsidRPr="00D91956">
              <w:rPr>
                <w:rFonts w:cs="Arial"/>
                <w:szCs w:val="20"/>
              </w:rPr>
              <w:t>Odporność na ścieranie kruszywa grubego</w:t>
            </w:r>
          </w:p>
        </w:tc>
        <w:tc>
          <w:tcPr>
            <w:tcW w:w="992" w:type="dxa"/>
          </w:tcPr>
          <w:p w14:paraId="0206E8CE" w14:textId="77777777" w:rsidR="00D91956" w:rsidRPr="00D91956" w:rsidRDefault="00D91956" w:rsidP="00D91956">
            <w:pPr>
              <w:pStyle w:val="Bezodstpw"/>
              <w:rPr>
                <w:rFonts w:cs="Arial"/>
                <w:szCs w:val="20"/>
              </w:rPr>
            </w:pPr>
            <w:r w:rsidRPr="00D91956">
              <w:rPr>
                <w:rFonts w:cs="Arial"/>
                <w:szCs w:val="20"/>
              </w:rPr>
              <w:t xml:space="preserve">PN-EN  </w:t>
            </w:r>
          </w:p>
          <w:p w14:paraId="5E1DDD3B" w14:textId="77777777" w:rsidR="00D91956" w:rsidRPr="00D91956" w:rsidRDefault="00D91956" w:rsidP="00D91956">
            <w:pPr>
              <w:pStyle w:val="Bezodstpw"/>
              <w:rPr>
                <w:rFonts w:cs="Arial"/>
                <w:szCs w:val="20"/>
              </w:rPr>
            </w:pPr>
            <w:r w:rsidRPr="00D91956">
              <w:rPr>
                <w:rFonts w:cs="Arial"/>
                <w:szCs w:val="20"/>
              </w:rPr>
              <w:t xml:space="preserve">1097-1 [11] </w:t>
            </w:r>
          </w:p>
        </w:tc>
        <w:tc>
          <w:tcPr>
            <w:tcW w:w="851" w:type="dxa"/>
          </w:tcPr>
          <w:p w14:paraId="3ABD1BB2" w14:textId="77777777" w:rsidR="00D91956" w:rsidRPr="00D91956" w:rsidRDefault="00D91956" w:rsidP="00D91956">
            <w:pPr>
              <w:pStyle w:val="Bezodstpw"/>
              <w:rPr>
                <w:rFonts w:cs="Arial"/>
                <w:szCs w:val="20"/>
              </w:rPr>
            </w:pPr>
            <w:r w:rsidRPr="00D91956">
              <w:rPr>
                <w:rFonts w:cs="Arial"/>
                <w:szCs w:val="20"/>
              </w:rPr>
              <w:t>5.3</w:t>
            </w:r>
          </w:p>
        </w:tc>
        <w:tc>
          <w:tcPr>
            <w:tcW w:w="3969" w:type="dxa"/>
          </w:tcPr>
          <w:p w14:paraId="03DC3E6E" w14:textId="77777777" w:rsidR="00D91956" w:rsidRPr="00D91956" w:rsidRDefault="00D91956" w:rsidP="00D91956">
            <w:pPr>
              <w:pStyle w:val="Bezodstpw"/>
              <w:rPr>
                <w:rFonts w:cs="Arial"/>
                <w:szCs w:val="20"/>
              </w:rPr>
            </w:pPr>
            <w:r w:rsidRPr="00D91956">
              <w:rPr>
                <w:rFonts w:cs="Arial"/>
                <w:szCs w:val="20"/>
              </w:rPr>
              <w:t xml:space="preserve">Kat. </w:t>
            </w:r>
            <w:proofErr w:type="spellStart"/>
            <w:r w:rsidRPr="00D91956">
              <w:rPr>
                <w:rFonts w:cs="Arial"/>
                <w:szCs w:val="20"/>
              </w:rPr>
              <w:t>M</w:t>
            </w:r>
            <w:r w:rsidRPr="00D91956">
              <w:rPr>
                <w:rFonts w:cs="Arial"/>
                <w:szCs w:val="20"/>
                <w:vertAlign w:val="subscript"/>
              </w:rPr>
              <w:t>DE</w:t>
            </w:r>
            <w:r w:rsidRPr="00D91956">
              <w:rPr>
                <w:rFonts w:cs="Arial"/>
                <w:szCs w:val="20"/>
              </w:rPr>
              <w:t>Deklarowana</w:t>
            </w:r>
            <w:proofErr w:type="spellEnd"/>
            <w:r w:rsidRPr="00D91956">
              <w:rPr>
                <w:rFonts w:cs="Arial"/>
                <w:szCs w:val="20"/>
              </w:rPr>
              <w:t xml:space="preserve"> (tj. współczynnik mikro-</w:t>
            </w:r>
            <w:proofErr w:type="spellStart"/>
            <w:r w:rsidRPr="00D91956">
              <w:rPr>
                <w:rFonts w:cs="Arial"/>
                <w:szCs w:val="20"/>
              </w:rPr>
              <w:t>Devala</w:t>
            </w:r>
            <w:proofErr w:type="spellEnd"/>
            <w:r w:rsidRPr="00D91956">
              <w:rPr>
                <w:rFonts w:cs="Arial"/>
                <w:szCs w:val="20"/>
              </w:rPr>
              <w:t xml:space="preserve"> &gt;50))</w:t>
            </w:r>
          </w:p>
        </w:tc>
      </w:tr>
      <w:tr w:rsidR="00D91956" w:rsidRPr="00D91956" w14:paraId="34DE026C" w14:textId="77777777" w:rsidTr="007B6855">
        <w:tc>
          <w:tcPr>
            <w:tcW w:w="3085" w:type="dxa"/>
          </w:tcPr>
          <w:p w14:paraId="2C7B85D6" w14:textId="77777777" w:rsidR="00D91956" w:rsidRPr="00D91956" w:rsidRDefault="00D91956" w:rsidP="00D91956">
            <w:pPr>
              <w:pStyle w:val="Bezodstpw"/>
              <w:rPr>
                <w:rFonts w:cs="Arial"/>
                <w:szCs w:val="20"/>
              </w:rPr>
            </w:pPr>
            <w:r w:rsidRPr="00D91956">
              <w:rPr>
                <w:rFonts w:cs="Arial"/>
                <w:szCs w:val="20"/>
              </w:rPr>
              <w:t>Gęstość ziaren</w:t>
            </w:r>
          </w:p>
        </w:tc>
        <w:tc>
          <w:tcPr>
            <w:tcW w:w="992" w:type="dxa"/>
          </w:tcPr>
          <w:p w14:paraId="19CA30AC" w14:textId="77777777" w:rsidR="00D91956" w:rsidRPr="00D91956" w:rsidRDefault="00D91956" w:rsidP="00D91956">
            <w:pPr>
              <w:pStyle w:val="Bezodstpw"/>
              <w:rPr>
                <w:rFonts w:cs="Arial"/>
                <w:szCs w:val="20"/>
              </w:rPr>
            </w:pPr>
            <w:r w:rsidRPr="00D91956">
              <w:rPr>
                <w:rFonts w:cs="Arial"/>
                <w:szCs w:val="20"/>
              </w:rPr>
              <w:t xml:space="preserve">PN-EN 1097-6, </w:t>
            </w:r>
            <w:proofErr w:type="spellStart"/>
            <w:r w:rsidRPr="00D91956">
              <w:rPr>
                <w:rFonts w:cs="Arial"/>
                <w:szCs w:val="20"/>
              </w:rPr>
              <w:t>roz</w:t>
            </w:r>
            <w:proofErr w:type="spellEnd"/>
            <w:r w:rsidRPr="00D91956">
              <w:rPr>
                <w:rFonts w:cs="Arial"/>
                <w:szCs w:val="20"/>
              </w:rPr>
              <w:t>. 7, 8 i 9  [13]</w:t>
            </w:r>
          </w:p>
        </w:tc>
        <w:tc>
          <w:tcPr>
            <w:tcW w:w="851" w:type="dxa"/>
          </w:tcPr>
          <w:p w14:paraId="7CB9E65C" w14:textId="77777777" w:rsidR="00D91956" w:rsidRPr="00D91956" w:rsidRDefault="00D91956" w:rsidP="00D91956">
            <w:pPr>
              <w:pStyle w:val="Bezodstpw"/>
              <w:rPr>
                <w:rFonts w:cs="Arial"/>
                <w:szCs w:val="20"/>
              </w:rPr>
            </w:pPr>
            <w:r w:rsidRPr="00D91956">
              <w:rPr>
                <w:rFonts w:cs="Arial"/>
                <w:szCs w:val="20"/>
              </w:rPr>
              <w:t>5.4</w:t>
            </w:r>
          </w:p>
        </w:tc>
        <w:tc>
          <w:tcPr>
            <w:tcW w:w="3969" w:type="dxa"/>
          </w:tcPr>
          <w:p w14:paraId="02C75A40" w14:textId="77777777" w:rsidR="00D91956" w:rsidRPr="00D91956" w:rsidRDefault="00D91956" w:rsidP="00D91956">
            <w:pPr>
              <w:pStyle w:val="Bezodstpw"/>
              <w:rPr>
                <w:rFonts w:cs="Arial"/>
                <w:szCs w:val="20"/>
              </w:rPr>
            </w:pPr>
            <w:r w:rsidRPr="00D91956">
              <w:rPr>
                <w:rFonts w:cs="Arial"/>
                <w:szCs w:val="20"/>
              </w:rPr>
              <w:t>Deklarowana</w:t>
            </w:r>
          </w:p>
        </w:tc>
      </w:tr>
      <w:tr w:rsidR="00D91956" w:rsidRPr="00D91956" w14:paraId="736CE118" w14:textId="77777777" w:rsidTr="007B6855">
        <w:tc>
          <w:tcPr>
            <w:tcW w:w="3085" w:type="dxa"/>
          </w:tcPr>
          <w:p w14:paraId="440FB36A" w14:textId="77777777" w:rsidR="00D91956" w:rsidRPr="00D91956" w:rsidRDefault="00D91956" w:rsidP="00D91956">
            <w:pPr>
              <w:pStyle w:val="Bezodstpw"/>
              <w:rPr>
                <w:rFonts w:cs="Arial"/>
                <w:szCs w:val="20"/>
              </w:rPr>
            </w:pPr>
            <w:r w:rsidRPr="00D91956">
              <w:rPr>
                <w:rFonts w:cs="Arial"/>
                <w:szCs w:val="20"/>
              </w:rPr>
              <w:t>Nasiąkliwość</w:t>
            </w:r>
          </w:p>
        </w:tc>
        <w:tc>
          <w:tcPr>
            <w:tcW w:w="992" w:type="dxa"/>
          </w:tcPr>
          <w:p w14:paraId="2962D39C" w14:textId="77777777" w:rsidR="00D91956" w:rsidRPr="00D91956" w:rsidRDefault="00D91956" w:rsidP="00D91956">
            <w:pPr>
              <w:pStyle w:val="Bezodstpw"/>
              <w:rPr>
                <w:rFonts w:cs="Arial"/>
                <w:szCs w:val="20"/>
              </w:rPr>
            </w:pPr>
            <w:r w:rsidRPr="00D91956">
              <w:rPr>
                <w:rFonts w:cs="Arial"/>
                <w:szCs w:val="20"/>
              </w:rPr>
              <w:t xml:space="preserve">PN-EN 1097-6, </w:t>
            </w:r>
            <w:proofErr w:type="spellStart"/>
            <w:r w:rsidRPr="00D91956">
              <w:rPr>
                <w:rFonts w:cs="Arial"/>
                <w:szCs w:val="20"/>
              </w:rPr>
              <w:t>roz</w:t>
            </w:r>
            <w:proofErr w:type="spellEnd"/>
            <w:r w:rsidRPr="00D91956">
              <w:rPr>
                <w:rFonts w:cs="Arial"/>
                <w:szCs w:val="20"/>
              </w:rPr>
              <w:t xml:space="preserve">. 7, 8 i 9 [13] </w:t>
            </w:r>
          </w:p>
        </w:tc>
        <w:tc>
          <w:tcPr>
            <w:tcW w:w="851" w:type="dxa"/>
          </w:tcPr>
          <w:p w14:paraId="4F5CC2F1" w14:textId="77777777" w:rsidR="00D91956" w:rsidRPr="00D91956" w:rsidRDefault="00D91956" w:rsidP="00D91956">
            <w:pPr>
              <w:pStyle w:val="Bezodstpw"/>
              <w:rPr>
                <w:rFonts w:cs="Arial"/>
                <w:szCs w:val="20"/>
              </w:rPr>
            </w:pPr>
            <w:r w:rsidRPr="00D91956">
              <w:rPr>
                <w:rFonts w:cs="Arial"/>
                <w:szCs w:val="20"/>
              </w:rPr>
              <w:t>5.5 i</w:t>
            </w:r>
          </w:p>
          <w:p w14:paraId="34AF6507" w14:textId="77777777" w:rsidR="00D91956" w:rsidRPr="00D91956" w:rsidRDefault="00D91956" w:rsidP="00D91956">
            <w:pPr>
              <w:pStyle w:val="Bezodstpw"/>
              <w:rPr>
                <w:rFonts w:cs="Arial"/>
                <w:szCs w:val="20"/>
              </w:rPr>
            </w:pPr>
            <w:r w:rsidRPr="00D91956">
              <w:rPr>
                <w:rFonts w:cs="Arial"/>
                <w:szCs w:val="20"/>
              </w:rPr>
              <w:t>7.3.2</w:t>
            </w:r>
          </w:p>
        </w:tc>
        <w:tc>
          <w:tcPr>
            <w:tcW w:w="3969" w:type="dxa"/>
          </w:tcPr>
          <w:p w14:paraId="47C39057" w14:textId="77777777" w:rsidR="00D91956" w:rsidRPr="00D91956" w:rsidRDefault="00D91956" w:rsidP="00D91956">
            <w:pPr>
              <w:pStyle w:val="Bezodstpw"/>
              <w:rPr>
                <w:rFonts w:cs="Arial"/>
                <w:szCs w:val="20"/>
              </w:rPr>
            </w:pPr>
            <w:r w:rsidRPr="00D91956">
              <w:rPr>
                <w:rFonts w:cs="Arial"/>
                <w:szCs w:val="20"/>
              </w:rPr>
              <w:t xml:space="preserve">Kat. </w:t>
            </w:r>
            <w:proofErr w:type="spellStart"/>
            <w:r w:rsidRPr="00D91956">
              <w:rPr>
                <w:rFonts w:cs="Arial"/>
                <w:szCs w:val="20"/>
              </w:rPr>
              <w:t>W</w:t>
            </w:r>
            <w:r w:rsidRPr="00D91956">
              <w:rPr>
                <w:rFonts w:cs="Arial"/>
                <w:szCs w:val="20"/>
                <w:vertAlign w:val="subscript"/>
              </w:rPr>
              <w:t>cm</w:t>
            </w:r>
            <w:r w:rsidRPr="00D91956">
              <w:rPr>
                <w:rFonts w:cs="Arial"/>
                <w:szCs w:val="20"/>
              </w:rPr>
              <w:t>NR</w:t>
            </w:r>
            <w:proofErr w:type="spellEnd"/>
            <w:r w:rsidRPr="00D91956">
              <w:rPr>
                <w:rFonts w:cs="Arial"/>
                <w:szCs w:val="20"/>
              </w:rPr>
              <w:t xml:space="preserve"> (tj. brak wymagania)</w:t>
            </w:r>
          </w:p>
          <w:p w14:paraId="3485286E" w14:textId="77777777" w:rsidR="00D91956" w:rsidRPr="00D91956" w:rsidRDefault="00D91956" w:rsidP="00D91956">
            <w:pPr>
              <w:pStyle w:val="Bezodstpw"/>
              <w:rPr>
                <w:rFonts w:cs="Arial"/>
                <w:szCs w:val="20"/>
              </w:rPr>
            </w:pPr>
            <w:r w:rsidRPr="00D91956">
              <w:rPr>
                <w:rFonts w:cs="Arial"/>
                <w:szCs w:val="20"/>
              </w:rPr>
              <w:t>kat. WA</w:t>
            </w:r>
            <w:r w:rsidRPr="00D91956">
              <w:rPr>
                <w:rFonts w:cs="Arial"/>
                <w:szCs w:val="20"/>
                <w:vertAlign w:val="subscript"/>
              </w:rPr>
              <w:t>24</w:t>
            </w:r>
            <w:r w:rsidRPr="00D91956">
              <w:rPr>
                <w:rFonts w:cs="Arial"/>
                <w:szCs w:val="20"/>
              </w:rPr>
              <w:t>2</w:t>
            </w:r>
            <w:r w:rsidRPr="00D91956">
              <w:rPr>
                <w:rFonts w:cs="Arial"/>
                <w:szCs w:val="20"/>
                <w:vertAlign w:val="superscript"/>
              </w:rPr>
              <w:t xml:space="preserve">**) </w:t>
            </w:r>
            <w:r w:rsidRPr="00D91956">
              <w:rPr>
                <w:rFonts w:cs="Arial"/>
                <w:szCs w:val="20"/>
              </w:rPr>
              <w:t xml:space="preserve"> (tj. maksymalna wartość nasiąkliwości  ≤2% masy)</w:t>
            </w:r>
          </w:p>
        </w:tc>
      </w:tr>
      <w:tr w:rsidR="00D91956" w:rsidRPr="00D91956" w14:paraId="1D4EF7A8" w14:textId="77777777" w:rsidTr="007B6855">
        <w:tc>
          <w:tcPr>
            <w:tcW w:w="3085" w:type="dxa"/>
          </w:tcPr>
          <w:p w14:paraId="33044D75" w14:textId="77777777" w:rsidR="00D91956" w:rsidRPr="00D91956" w:rsidRDefault="00D91956" w:rsidP="00D91956">
            <w:pPr>
              <w:pStyle w:val="Bezodstpw"/>
              <w:rPr>
                <w:rFonts w:cs="Arial"/>
                <w:szCs w:val="20"/>
              </w:rPr>
            </w:pPr>
            <w:r w:rsidRPr="00D91956">
              <w:rPr>
                <w:rFonts w:cs="Arial"/>
                <w:szCs w:val="20"/>
              </w:rPr>
              <w:t>Siarczany rozpuszczalne w kwasie</w:t>
            </w:r>
          </w:p>
        </w:tc>
        <w:tc>
          <w:tcPr>
            <w:tcW w:w="992" w:type="dxa"/>
          </w:tcPr>
          <w:p w14:paraId="471C3F2B" w14:textId="77777777" w:rsidR="00D91956" w:rsidRPr="00D91956" w:rsidRDefault="00D91956" w:rsidP="00D91956">
            <w:pPr>
              <w:pStyle w:val="Bezodstpw"/>
              <w:rPr>
                <w:rFonts w:cs="Arial"/>
                <w:szCs w:val="20"/>
              </w:rPr>
            </w:pPr>
            <w:r w:rsidRPr="00D91956">
              <w:rPr>
                <w:rFonts w:cs="Arial"/>
                <w:szCs w:val="20"/>
              </w:rPr>
              <w:t>PN-EN</w:t>
            </w:r>
          </w:p>
          <w:p w14:paraId="21B04145" w14:textId="77777777" w:rsidR="00D91956" w:rsidRPr="00D91956" w:rsidRDefault="00D91956" w:rsidP="00D91956">
            <w:pPr>
              <w:pStyle w:val="Bezodstpw"/>
              <w:rPr>
                <w:rFonts w:cs="Arial"/>
                <w:szCs w:val="20"/>
              </w:rPr>
            </w:pPr>
            <w:r w:rsidRPr="00D91956">
              <w:rPr>
                <w:rFonts w:cs="Arial"/>
                <w:szCs w:val="20"/>
              </w:rPr>
              <w:t xml:space="preserve">1744-1 [16] </w:t>
            </w:r>
          </w:p>
        </w:tc>
        <w:tc>
          <w:tcPr>
            <w:tcW w:w="851" w:type="dxa"/>
          </w:tcPr>
          <w:p w14:paraId="01C4B615" w14:textId="77777777" w:rsidR="00D91956" w:rsidRPr="00D91956" w:rsidRDefault="00D91956" w:rsidP="00D91956">
            <w:pPr>
              <w:pStyle w:val="Bezodstpw"/>
              <w:rPr>
                <w:rFonts w:cs="Arial"/>
                <w:szCs w:val="20"/>
              </w:rPr>
            </w:pPr>
            <w:r w:rsidRPr="00D91956">
              <w:rPr>
                <w:rFonts w:cs="Arial"/>
                <w:szCs w:val="20"/>
              </w:rPr>
              <w:t>6.2</w:t>
            </w:r>
          </w:p>
        </w:tc>
        <w:tc>
          <w:tcPr>
            <w:tcW w:w="3969" w:type="dxa"/>
          </w:tcPr>
          <w:p w14:paraId="7289F813" w14:textId="77777777" w:rsidR="00D91956" w:rsidRPr="00D91956" w:rsidRDefault="00D91956" w:rsidP="00D91956">
            <w:pPr>
              <w:pStyle w:val="Bezodstpw"/>
              <w:rPr>
                <w:rFonts w:cs="Arial"/>
                <w:szCs w:val="20"/>
              </w:rPr>
            </w:pPr>
            <w:r w:rsidRPr="00D91956">
              <w:rPr>
                <w:rFonts w:cs="Arial"/>
                <w:szCs w:val="20"/>
              </w:rPr>
              <w:t>Kat. AS</w:t>
            </w:r>
            <w:r w:rsidRPr="00D91956">
              <w:rPr>
                <w:rFonts w:cs="Arial"/>
                <w:szCs w:val="20"/>
                <w:vertAlign w:val="subscript"/>
              </w:rPr>
              <w:t xml:space="preserve">NR   </w:t>
            </w:r>
            <w:r w:rsidRPr="00D91956">
              <w:rPr>
                <w:rFonts w:cs="Arial"/>
                <w:szCs w:val="20"/>
              </w:rPr>
              <w:t>(tj. brak wymagania)</w:t>
            </w:r>
          </w:p>
          <w:p w14:paraId="31FEF6CD" w14:textId="77777777" w:rsidR="00D91956" w:rsidRPr="00D91956" w:rsidRDefault="00D91956" w:rsidP="00D91956">
            <w:pPr>
              <w:pStyle w:val="Bezodstpw"/>
              <w:rPr>
                <w:rFonts w:cs="Arial"/>
                <w:szCs w:val="20"/>
              </w:rPr>
            </w:pPr>
          </w:p>
        </w:tc>
      </w:tr>
      <w:tr w:rsidR="00D91956" w:rsidRPr="00D91956" w14:paraId="66975F65" w14:textId="77777777" w:rsidTr="007B6855">
        <w:tc>
          <w:tcPr>
            <w:tcW w:w="3085" w:type="dxa"/>
          </w:tcPr>
          <w:p w14:paraId="797FB20F" w14:textId="77777777" w:rsidR="00D91956" w:rsidRPr="00D91956" w:rsidRDefault="00D91956" w:rsidP="00D91956">
            <w:pPr>
              <w:pStyle w:val="Bezodstpw"/>
              <w:rPr>
                <w:rFonts w:cs="Arial"/>
                <w:szCs w:val="20"/>
              </w:rPr>
            </w:pPr>
            <w:r w:rsidRPr="00D91956">
              <w:rPr>
                <w:rFonts w:cs="Arial"/>
                <w:szCs w:val="20"/>
              </w:rPr>
              <w:t>Całkowita zawartość siarki</w:t>
            </w:r>
          </w:p>
        </w:tc>
        <w:tc>
          <w:tcPr>
            <w:tcW w:w="992" w:type="dxa"/>
          </w:tcPr>
          <w:p w14:paraId="32DED4F9" w14:textId="77777777" w:rsidR="00D91956" w:rsidRPr="00D91956" w:rsidRDefault="00D91956" w:rsidP="00D91956">
            <w:pPr>
              <w:pStyle w:val="Bezodstpw"/>
              <w:rPr>
                <w:rFonts w:cs="Arial"/>
                <w:szCs w:val="20"/>
              </w:rPr>
            </w:pPr>
            <w:r w:rsidRPr="00D91956">
              <w:rPr>
                <w:rFonts w:cs="Arial"/>
                <w:szCs w:val="20"/>
              </w:rPr>
              <w:t xml:space="preserve">PN-EN </w:t>
            </w:r>
          </w:p>
          <w:p w14:paraId="299D211C" w14:textId="77777777" w:rsidR="00D91956" w:rsidRPr="00D91956" w:rsidRDefault="00D91956" w:rsidP="00D91956">
            <w:pPr>
              <w:pStyle w:val="Bezodstpw"/>
              <w:rPr>
                <w:rFonts w:cs="Arial"/>
                <w:szCs w:val="20"/>
              </w:rPr>
            </w:pPr>
            <w:r w:rsidRPr="00D91956">
              <w:rPr>
                <w:rFonts w:cs="Arial"/>
                <w:szCs w:val="20"/>
              </w:rPr>
              <w:t xml:space="preserve">1744-1[16] </w:t>
            </w:r>
          </w:p>
        </w:tc>
        <w:tc>
          <w:tcPr>
            <w:tcW w:w="851" w:type="dxa"/>
          </w:tcPr>
          <w:p w14:paraId="0C0C020C" w14:textId="77777777" w:rsidR="00D91956" w:rsidRPr="00D91956" w:rsidRDefault="00D91956" w:rsidP="00D91956">
            <w:pPr>
              <w:pStyle w:val="Bezodstpw"/>
              <w:rPr>
                <w:rFonts w:cs="Arial"/>
                <w:szCs w:val="20"/>
              </w:rPr>
            </w:pPr>
            <w:r w:rsidRPr="00D91956">
              <w:rPr>
                <w:rFonts w:cs="Arial"/>
                <w:szCs w:val="20"/>
              </w:rPr>
              <w:t>6.3</w:t>
            </w:r>
          </w:p>
        </w:tc>
        <w:tc>
          <w:tcPr>
            <w:tcW w:w="3969" w:type="dxa"/>
          </w:tcPr>
          <w:p w14:paraId="43B735CA" w14:textId="77777777" w:rsidR="00D91956" w:rsidRPr="00D91956" w:rsidRDefault="00D91956" w:rsidP="00D91956">
            <w:pPr>
              <w:pStyle w:val="Bezodstpw"/>
              <w:rPr>
                <w:rFonts w:cs="Arial"/>
                <w:szCs w:val="20"/>
              </w:rPr>
            </w:pPr>
            <w:r w:rsidRPr="00D91956">
              <w:rPr>
                <w:rFonts w:cs="Arial"/>
                <w:szCs w:val="20"/>
              </w:rPr>
              <w:t>Kat. S</w:t>
            </w:r>
            <w:r w:rsidRPr="00D91956">
              <w:rPr>
                <w:rFonts w:cs="Arial"/>
                <w:szCs w:val="20"/>
                <w:vertAlign w:val="subscript"/>
              </w:rPr>
              <w:t>NR</w:t>
            </w:r>
            <w:r w:rsidRPr="00D91956">
              <w:rPr>
                <w:rFonts w:cs="Arial"/>
                <w:szCs w:val="20"/>
              </w:rPr>
              <w:t xml:space="preserve"> (tj. brak wymagania)</w:t>
            </w:r>
          </w:p>
        </w:tc>
      </w:tr>
      <w:tr w:rsidR="00D91956" w:rsidRPr="00D91956" w14:paraId="458305CE" w14:textId="77777777" w:rsidTr="007B6855">
        <w:tc>
          <w:tcPr>
            <w:tcW w:w="3085" w:type="dxa"/>
          </w:tcPr>
          <w:p w14:paraId="58339DCD" w14:textId="77777777" w:rsidR="00D91956" w:rsidRPr="00D91956" w:rsidRDefault="00D91956" w:rsidP="00D91956">
            <w:pPr>
              <w:pStyle w:val="Bezodstpw"/>
              <w:rPr>
                <w:rFonts w:cs="Arial"/>
                <w:szCs w:val="20"/>
              </w:rPr>
            </w:pPr>
            <w:r w:rsidRPr="00D91956">
              <w:rPr>
                <w:rFonts w:cs="Arial"/>
                <w:szCs w:val="20"/>
              </w:rPr>
              <w:t>Stałość objętości żużla stalowniczego</w:t>
            </w:r>
            <w:r w:rsidRPr="00D91956">
              <w:rPr>
                <w:rFonts w:cs="Arial"/>
                <w:szCs w:val="20"/>
              </w:rPr>
              <w:br/>
            </w:r>
          </w:p>
        </w:tc>
        <w:tc>
          <w:tcPr>
            <w:tcW w:w="992" w:type="dxa"/>
          </w:tcPr>
          <w:p w14:paraId="4F39A1D4" w14:textId="77777777" w:rsidR="00D91956" w:rsidRPr="00D91956" w:rsidRDefault="00D91956" w:rsidP="00D91956">
            <w:pPr>
              <w:pStyle w:val="Bezodstpw"/>
              <w:rPr>
                <w:rFonts w:cs="Arial"/>
                <w:szCs w:val="20"/>
              </w:rPr>
            </w:pPr>
            <w:r w:rsidRPr="00D91956">
              <w:rPr>
                <w:rFonts w:cs="Arial"/>
                <w:szCs w:val="20"/>
              </w:rPr>
              <w:t xml:space="preserve">PN-EN 1744-1, </w:t>
            </w:r>
            <w:proofErr w:type="spellStart"/>
            <w:r w:rsidRPr="00D91956">
              <w:rPr>
                <w:rFonts w:cs="Arial"/>
                <w:szCs w:val="20"/>
              </w:rPr>
              <w:t>roz</w:t>
            </w:r>
            <w:proofErr w:type="spellEnd"/>
            <w:r w:rsidRPr="00D91956">
              <w:rPr>
                <w:rFonts w:cs="Arial"/>
                <w:szCs w:val="20"/>
              </w:rPr>
              <w:t xml:space="preserve">. 19.3 [16]  </w:t>
            </w:r>
          </w:p>
        </w:tc>
        <w:tc>
          <w:tcPr>
            <w:tcW w:w="851" w:type="dxa"/>
          </w:tcPr>
          <w:p w14:paraId="7102327B" w14:textId="77777777" w:rsidR="00D91956" w:rsidRPr="00D91956" w:rsidRDefault="00D91956" w:rsidP="00D91956">
            <w:pPr>
              <w:pStyle w:val="Bezodstpw"/>
              <w:rPr>
                <w:rFonts w:cs="Arial"/>
                <w:szCs w:val="20"/>
              </w:rPr>
            </w:pPr>
            <w:r w:rsidRPr="00D91956">
              <w:rPr>
                <w:rFonts w:cs="Arial"/>
                <w:szCs w:val="20"/>
              </w:rPr>
              <w:t>6.4.2.1</w:t>
            </w:r>
          </w:p>
        </w:tc>
        <w:tc>
          <w:tcPr>
            <w:tcW w:w="3969" w:type="dxa"/>
          </w:tcPr>
          <w:p w14:paraId="7C578B2C" w14:textId="77777777" w:rsidR="00D91956" w:rsidRPr="00D91956" w:rsidRDefault="00D91956" w:rsidP="00D91956">
            <w:pPr>
              <w:pStyle w:val="Bezodstpw"/>
              <w:rPr>
                <w:rFonts w:cs="Arial"/>
                <w:szCs w:val="20"/>
              </w:rPr>
            </w:pPr>
            <w:r w:rsidRPr="00D91956">
              <w:rPr>
                <w:rFonts w:cs="Arial"/>
                <w:szCs w:val="20"/>
              </w:rPr>
              <w:t>Kat. V</w:t>
            </w:r>
            <w:r w:rsidRPr="00D91956">
              <w:rPr>
                <w:rFonts w:cs="Arial"/>
                <w:szCs w:val="20"/>
                <w:vertAlign w:val="subscript"/>
              </w:rPr>
              <w:t>5</w:t>
            </w:r>
            <w:r w:rsidRPr="00D91956">
              <w:rPr>
                <w:rFonts w:cs="Arial"/>
                <w:szCs w:val="20"/>
              </w:rPr>
              <w:t xml:space="preserve"> (tj. pęcznienie ≤ 5 % objętości). Dotyczy żużla z klasycznego pieca tlenowego i elektrycznego pieca łukowego</w:t>
            </w:r>
          </w:p>
        </w:tc>
      </w:tr>
      <w:tr w:rsidR="00D91956" w:rsidRPr="00D91956" w14:paraId="5956C163" w14:textId="77777777" w:rsidTr="007B6855">
        <w:tc>
          <w:tcPr>
            <w:tcW w:w="3085" w:type="dxa"/>
          </w:tcPr>
          <w:p w14:paraId="4E827C30" w14:textId="77777777" w:rsidR="00D91956" w:rsidRPr="00D91956" w:rsidRDefault="00D91956" w:rsidP="00D91956">
            <w:pPr>
              <w:pStyle w:val="Bezodstpw"/>
              <w:rPr>
                <w:rFonts w:cs="Arial"/>
                <w:szCs w:val="20"/>
              </w:rPr>
            </w:pPr>
            <w:r w:rsidRPr="00D91956">
              <w:rPr>
                <w:rFonts w:cs="Arial"/>
                <w:szCs w:val="20"/>
              </w:rPr>
              <w:t>Rozpad krzemianowy w żużlu wielko- piecowym kawałkowym</w:t>
            </w:r>
          </w:p>
        </w:tc>
        <w:tc>
          <w:tcPr>
            <w:tcW w:w="992" w:type="dxa"/>
          </w:tcPr>
          <w:p w14:paraId="7EE31ACB" w14:textId="77777777" w:rsidR="00D91956" w:rsidRPr="00D91956" w:rsidRDefault="00D91956" w:rsidP="00D91956">
            <w:pPr>
              <w:pStyle w:val="Bezodstpw"/>
              <w:rPr>
                <w:rFonts w:cs="Arial"/>
                <w:szCs w:val="20"/>
              </w:rPr>
            </w:pPr>
            <w:r w:rsidRPr="00D91956">
              <w:rPr>
                <w:rFonts w:cs="Arial"/>
                <w:szCs w:val="20"/>
              </w:rPr>
              <w:t xml:space="preserve">PN-EN 1744-1, p. 19.1 [16]  </w:t>
            </w:r>
          </w:p>
        </w:tc>
        <w:tc>
          <w:tcPr>
            <w:tcW w:w="851" w:type="dxa"/>
          </w:tcPr>
          <w:p w14:paraId="6987EA62" w14:textId="77777777" w:rsidR="00D91956" w:rsidRPr="00D91956" w:rsidRDefault="00D91956" w:rsidP="00D91956">
            <w:pPr>
              <w:pStyle w:val="Bezodstpw"/>
              <w:rPr>
                <w:rFonts w:cs="Arial"/>
                <w:szCs w:val="20"/>
              </w:rPr>
            </w:pPr>
            <w:r w:rsidRPr="00D91956">
              <w:rPr>
                <w:rFonts w:cs="Arial"/>
                <w:szCs w:val="20"/>
              </w:rPr>
              <w:t>6.4.2.2</w:t>
            </w:r>
          </w:p>
        </w:tc>
        <w:tc>
          <w:tcPr>
            <w:tcW w:w="3969" w:type="dxa"/>
          </w:tcPr>
          <w:p w14:paraId="1E37AF8F" w14:textId="77777777" w:rsidR="00D91956" w:rsidRPr="00D91956" w:rsidRDefault="00D91956" w:rsidP="00D91956">
            <w:pPr>
              <w:pStyle w:val="Bezodstpw"/>
              <w:rPr>
                <w:rFonts w:cs="Arial"/>
                <w:szCs w:val="20"/>
              </w:rPr>
            </w:pPr>
            <w:r w:rsidRPr="00D91956">
              <w:rPr>
                <w:rFonts w:cs="Arial"/>
                <w:szCs w:val="20"/>
              </w:rPr>
              <w:t>Brak rozpadu</w:t>
            </w:r>
          </w:p>
        </w:tc>
      </w:tr>
      <w:tr w:rsidR="00D91956" w:rsidRPr="00D91956" w14:paraId="57DF1482" w14:textId="77777777" w:rsidTr="007B6855">
        <w:tc>
          <w:tcPr>
            <w:tcW w:w="3085" w:type="dxa"/>
          </w:tcPr>
          <w:p w14:paraId="7045D4E5" w14:textId="77777777" w:rsidR="00D91956" w:rsidRPr="00D91956" w:rsidRDefault="00D91956" w:rsidP="00D91956">
            <w:pPr>
              <w:pStyle w:val="Bezodstpw"/>
              <w:rPr>
                <w:rFonts w:cs="Arial"/>
                <w:szCs w:val="20"/>
              </w:rPr>
            </w:pPr>
            <w:r w:rsidRPr="00D91956">
              <w:rPr>
                <w:rFonts w:cs="Arial"/>
                <w:szCs w:val="20"/>
              </w:rPr>
              <w:t>Rozpad żelazawy w żużlu wielkopiecowym kawałkowym</w:t>
            </w:r>
          </w:p>
        </w:tc>
        <w:tc>
          <w:tcPr>
            <w:tcW w:w="992" w:type="dxa"/>
          </w:tcPr>
          <w:p w14:paraId="42053E8A" w14:textId="77777777" w:rsidR="00D91956" w:rsidRPr="00D91956" w:rsidRDefault="00D91956" w:rsidP="00D91956">
            <w:pPr>
              <w:pStyle w:val="Bezodstpw"/>
              <w:rPr>
                <w:rFonts w:cs="Arial"/>
                <w:szCs w:val="20"/>
              </w:rPr>
            </w:pPr>
            <w:r w:rsidRPr="00D91956">
              <w:rPr>
                <w:rFonts w:cs="Arial"/>
                <w:szCs w:val="20"/>
              </w:rPr>
              <w:t xml:space="preserve">PN-EN 1744-1, p.19.2 [16] </w:t>
            </w:r>
          </w:p>
        </w:tc>
        <w:tc>
          <w:tcPr>
            <w:tcW w:w="851" w:type="dxa"/>
          </w:tcPr>
          <w:p w14:paraId="5E3D1CF5" w14:textId="77777777" w:rsidR="00D91956" w:rsidRPr="00D91956" w:rsidRDefault="00D91956" w:rsidP="00D91956">
            <w:pPr>
              <w:pStyle w:val="Bezodstpw"/>
              <w:rPr>
                <w:rFonts w:cs="Arial"/>
                <w:szCs w:val="20"/>
              </w:rPr>
            </w:pPr>
            <w:r w:rsidRPr="00D91956">
              <w:rPr>
                <w:rFonts w:cs="Arial"/>
                <w:szCs w:val="20"/>
              </w:rPr>
              <w:t>6.4.2.3</w:t>
            </w:r>
          </w:p>
        </w:tc>
        <w:tc>
          <w:tcPr>
            <w:tcW w:w="3969" w:type="dxa"/>
          </w:tcPr>
          <w:p w14:paraId="698CC143" w14:textId="77777777" w:rsidR="00D91956" w:rsidRPr="00D91956" w:rsidRDefault="00D91956" w:rsidP="00D91956">
            <w:pPr>
              <w:pStyle w:val="Bezodstpw"/>
              <w:rPr>
                <w:rFonts w:cs="Arial"/>
                <w:szCs w:val="20"/>
              </w:rPr>
            </w:pPr>
            <w:r w:rsidRPr="00D91956">
              <w:rPr>
                <w:rFonts w:cs="Arial"/>
                <w:szCs w:val="20"/>
              </w:rPr>
              <w:t>Brak rozpadu</w:t>
            </w:r>
          </w:p>
        </w:tc>
      </w:tr>
      <w:tr w:rsidR="00D91956" w:rsidRPr="00D91956" w14:paraId="6E014273" w14:textId="77777777" w:rsidTr="007B6855">
        <w:tc>
          <w:tcPr>
            <w:tcW w:w="3085" w:type="dxa"/>
          </w:tcPr>
          <w:p w14:paraId="2422B205" w14:textId="77777777" w:rsidR="00D91956" w:rsidRPr="00D91956" w:rsidRDefault="00D91956" w:rsidP="00D91956">
            <w:pPr>
              <w:pStyle w:val="Bezodstpw"/>
              <w:rPr>
                <w:rFonts w:cs="Arial"/>
                <w:szCs w:val="20"/>
              </w:rPr>
            </w:pPr>
            <w:r w:rsidRPr="00D91956">
              <w:rPr>
                <w:rFonts w:cs="Arial"/>
                <w:szCs w:val="20"/>
              </w:rPr>
              <w:t>Składniki rozpuszczalne w wodzie</w:t>
            </w:r>
          </w:p>
        </w:tc>
        <w:tc>
          <w:tcPr>
            <w:tcW w:w="992" w:type="dxa"/>
          </w:tcPr>
          <w:p w14:paraId="621427C8" w14:textId="77777777" w:rsidR="00D91956" w:rsidRPr="00D91956" w:rsidRDefault="00D91956" w:rsidP="00D91956">
            <w:pPr>
              <w:pStyle w:val="Bezodstpw"/>
              <w:rPr>
                <w:rFonts w:cs="Arial"/>
                <w:szCs w:val="20"/>
              </w:rPr>
            </w:pPr>
            <w:r w:rsidRPr="00D91956">
              <w:rPr>
                <w:rFonts w:cs="Arial"/>
                <w:szCs w:val="20"/>
              </w:rPr>
              <w:t>PN-EN 1744-3 [17]</w:t>
            </w:r>
          </w:p>
        </w:tc>
        <w:tc>
          <w:tcPr>
            <w:tcW w:w="851" w:type="dxa"/>
          </w:tcPr>
          <w:p w14:paraId="3A4705D0" w14:textId="77777777" w:rsidR="00D91956" w:rsidRPr="00D91956" w:rsidRDefault="00D91956" w:rsidP="00D91956">
            <w:pPr>
              <w:pStyle w:val="Bezodstpw"/>
              <w:rPr>
                <w:rFonts w:cs="Arial"/>
                <w:szCs w:val="20"/>
              </w:rPr>
            </w:pPr>
            <w:r w:rsidRPr="00D91956">
              <w:rPr>
                <w:rFonts w:cs="Arial"/>
                <w:szCs w:val="20"/>
              </w:rPr>
              <w:t>6.4.3</w:t>
            </w:r>
          </w:p>
        </w:tc>
        <w:tc>
          <w:tcPr>
            <w:tcW w:w="3969" w:type="dxa"/>
          </w:tcPr>
          <w:p w14:paraId="51B6D474" w14:textId="77777777" w:rsidR="00D91956" w:rsidRPr="00D91956" w:rsidRDefault="00D91956" w:rsidP="00D91956">
            <w:pPr>
              <w:pStyle w:val="Bezodstpw"/>
              <w:rPr>
                <w:rFonts w:cs="Arial"/>
                <w:szCs w:val="20"/>
              </w:rPr>
            </w:pPr>
            <w:r w:rsidRPr="00D91956">
              <w:rPr>
                <w:rFonts w:cs="Arial"/>
                <w:szCs w:val="20"/>
              </w:rPr>
              <w:t>Brak substancji szkodliwych w stosunku do środowiska wg odrębnych przepisów</w:t>
            </w:r>
          </w:p>
        </w:tc>
      </w:tr>
      <w:tr w:rsidR="00D91956" w:rsidRPr="00D91956" w14:paraId="2F9B343C" w14:textId="77777777" w:rsidTr="007B6855">
        <w:tc>
          <w:tcPr>
            <w:tcW w:w="3085" w:type="dxa"/>
          </w:tcPr>
          <w:p w14:paraId="415F2D97" w14:textId="77777777" w:rsidR="00D91956" w:rsidRPr="00D91956" w:rsidRDefault="00D91956" w:rsidP="00D91956">
            <w:pPr>
              <w:pStyle w:val="Bezodstpw"/>
              <w:rPr>
                <w:rFonts w:cs="Arial"/>
                <w:szCs w:val="20"/>
              </w:rPr>
            </w:pPr>
            <w:r w:rsidRPr="00D91956">
              <w:rPr>
                <w:rFonts w:cs="Arial"/>
                <w:szCs w:val="20"/>
              </w:rPr>
              <w:t>Zanieczyszczenia</w:t>
            </w:r>
          </w:p>
        </w:tc>
        <w:tc>
          <w:tcPr>
            <w:tcW w:w="992" w:type="dxa"/>
          </w:tcPr>
          <w:p w14:paraId="7B64BE69" w14:textId="77777777" w:rsidR="00D91956" w:rsidRPr="00D91956" w:rsidRDefault="00D91956" w:rsidP="00D91956">
            <w:pPr>
              <w:pStyle w:val="Bezodstpw"/>
              <w:jc w:val="center"/>
              <w:rPr>
                <w:rFonts w:cs="Arial"/>
                <w:szCs w:val="20"/>
              </w:rPr>
            </w:pPr>
            <w:r w:rsidRPr="00D91956">
              <w:rPr>
                <w:rFonts w:cs="Arial"/>
                <w:szCs w:val="20"/>
              </w:rPr>
              <w:t>-</w:t>
            </w:r>
          </w:p>
        </w:tc>
        <w:tc>
          <w:tcPr>
            <w:tcW w:w="851" w:type="dxa"/>
          </w:tcPr>
          <w:p w14:paraId="62E9CA10" w14:textId="77777777" w:rsidR="00D91956" w:rsidRPr="00D91956" w:rsidRDefault="00D91956" w:rsidP="00D91956">
            <w:pPr>
              <w:pStyle w:val="Bezodstpw"/>
              <w:rPr>
                <w:rFonts w:cs="Arial"/>
                <w:szCs w:val="20"/>
              </w:rPr>
            </w:pPr>
            <w:r w:rsidRPr="00D91956">
              <w:rPr>
                <w:rFonts w:cs="Arial"/>
                <w:szCs w:val="20"/>
              </w:rPr>
              <w:t>6.4.4</w:t>
            </w:r>
          </w:p>
        </w:tc>
        <w:tc>
          <w:tcPr>
            <w:tcW w:w="3969" w:type="dxa"/>
          </w:tcPr>
          <w:p w14:paraId="3DF9B4D5" w14:textId="77777777" w:rsidR="00D91956" w:rsidRPr="00D91956" w:rsidRDefault="00D91956" w:rsidP="00D91956">
            <w:pPr>
              <w:pStyle w:val="Bezodstpw"/>
              <w:rPr>
                <w:rFonts w:cs="Arial"/>
                <w:szCs w:val="20"/>
              </w:rPr>
            </w:pPr>
            <w:r w:rsidRPr="00D91956">
              <w:rPr>
                <w:rFonts w:cs="Arial"/>
                <w:szCs w:val="20"/>
              </w:rPr>
              <w:t>Brak ciał obcych takich jak drewno, szkło i plastik, mogących pogorszyć wyrób końcowy</w:t>
            </w:r>
          </w:p>
        </w:tc>
      </w:tr>
      <w:tr w:rsidR="00D91956" w:rsidRPr="00D91956" w14:paraId="3111890B" w14:textId="77777777" w:rsidTr="007B6855">
        <w:tc>
          <w:tcPr>
            <w:tcW w:w="3085" w:type="dxa"/>
          </w:tcPr>
          <w:p w14:paraId="702FA801" w14:textId="77777777" w:rsidR="00D91956" w:rsidRPr="00D91956" w:rsidRDefault="00D91956" w:rsidP="00D91956">
            <w:pPr>
              <w:pStyle w:val="Bezodstpw"/>
              <w:rPr>
                <w:rFonts w:cs="Arial"/>
                <w:szCs w:val="20"/>
              </w:rPr>
            </w:pPr>
            <w:r w:rsidRPr="00D91956">
              <w:rPr>
                <w:rFonts w:cs="Arial"/>
                <w:szCs w:val="20"/>
              </w:rPr>
              <w:t>Zgorzel słoneczna bazaltu</w:t>
            </w:r>
          </w:p>
        </w:tc>
        <w:tc>
          <w:tcPr>
            <w:tcW w:w="992" w:type="dxa"/>
          </w:tcPr>
          <w:p w14:paraId="6F4D0FC4" w14:textId="77777777" w:rsidR="00D91956" w:rsidRPr="00D91956" w:rsidRDefault="00D91956" w:rsidP="00D91956">
            <w:pPr>
              <w:pStyle w:val="Bezodstpw"/>
              <w:rPr>
                <w:rFonts w:cs="Arial"/>
                <w:szCs w:val="20"/>
              </w:rPr>
            </w:pPr>
            <w:r w:rsidRPr="00D91956">
              <w:rPr>
                <w:rFonts w:cs="Arial"/>
                <w:szCs w:val="20"/>
              </w:rPr>
              <w:t>PN-EN 1367-3 [15] i PN-EN 1097-2 [12]</w:t>
            </w:r>
          </w:p>
        </w:tc>
        <w:tc>
          <w:tcPr>
            <w:tcW w:w="851" w:type="dxa"/>
          </w:tcPr>
          <w:p w14:paraId="7A62D77F" w14:textId="77777777" w:rsidR="00D91956" w:rsidRPr="00D91956" w:rsidRDefault="00D91956" w:rsidP="00D91956">
            <w:pPr>
              <w:pStyle w:val="Bezodstpw"/>
              <w:rPr>
                <w:rFonts w:cs="Arial"/>
                <w:szCs w:val="20"/>
              </w:rPr>
            </w:pPr>
            <w:r w:rsidRPr="00D91956">
              <w:rPr>
                <w:rFonts w:cs="Arial"/>
                <w:szCs w:val="20"/>
              </w:rPr>
              <w:t>7.2</w:t>
            </w:r>
          </w:p>
        </w:tc>
        <w:tc>
          <w:tcPr>
            <w:tcW w:w="3969" w:type="dxa"/>
          </w:tcPr>
          <w:p w14:paraId="3CF228BC" w14:textId="77777777" w:rsidR="00D91956" w:rsidRPr="00D91956" w:rsidRDefault="00D91956" w:rsidP="00D91956">
            <w:pPr>
              <w:pStyle w:val="Bezodstpw"/>
              <w:rPr>
                <w:rFonts w:cs="Arial"/>
                <w:szCs w:val="20"/>
              </w:rPr>
            </w:pPr>
            <w:r w:rsidRPr="00D91956">
              <w:rPr>
                <w:rFonts w:cs="Arial"/>
                <w:szCs w:val="20"/>
              </w:rPr>
              <w:t>Kat. SB</w:t>
            </w:r>
            <w:r w:rsidRPr="00D91956">
              <w:rPr>
                <w:rFonts w:cs="Arial"/>
                <w:szCs w:val="20"/>
                <w:vertAlign w:val="subscript"/>
              </w:rPr>
              <w:t>LA Deklarowana</w:t>
            </w:r>
            <w:r w:rsidRPr="00D91956">
              <w:rPr>
                <w:rFonts w:cs="Arial"/>
                <w:szCs w:val="20"/>
              </w:rPr>
              <w:t xml:space="preserve"> (tj. wzrost współczynnika Los Angeles po gotowaniu &gt; 8%)</w:t>
            </w:r>
          </w:p>
        </w:tc>
      </w:tr>
      <w:tr w:rsidR="00D91956" w:rsidRPr="00D91956" w14:paraId="729E79D7" w14:textId="77777777" w:rsidTr="007B6855">
        <w:tc>
          <w:tcPr>
            <w:tcW w:w="3085" w:type="dxa"/>
          </w:tcPr>
          <w:p w14:paraId="08C32F2F" w14:textId="77777777" w:rsidR="00D91956" w:rsidRPr="00D91956" w:rsidRDefault="00D91956" w:rsidP="00D91956">
            <w:pPr>
              <w:pStyle w:val="Bezodstpw"/>
              <w:rPr>
                <w:rFonts w:cs="Arial"/>
                <w:szCs w:val="20"/>
              </w:rPr>
            </w:pPr>
            <w:r w:rsidRPr="00D91956">
              <w:rPr>
                <w:rFonts w:cs="Arial"/>
                <w:szCs w:val="20"/>
              </w:rPr>
              <w:t>Mrozoodporność na frakcji kruszy-</w:t>
            </w:r>
            <w:r w:rsidRPr="00D91956">
              <w:rPr>
                <w:rFonts w:cs="Arial"/>
                <w:szCs w:val="20"/>
              </w:rPr>
              <w:br/>
            </w:r>
            <w:proofErr w:type="spellStart"/>
            <w:r w:rsidRPr="00D91956">
              <w:rPr>
                <w:rFonts w:cs="Arial"/>
                <w:szCs w:val="20"/>
              </w:rPr>
              <w:lastRenderedPageBreak/>
              <w:t>wa</w:t>
            </w:r>
            <w:proofErr w:type="spellEnd"/>
            <w:r w:rsidRPr="00D91956">
              <w:rPr>
                <w:rFonts w:cs="Arial"/>
                <w:szCs w:val="20"/>
              </w:rPr>
              <w:t xml:space="preserve">  8/16 mm  </w:t>
            </w:r>
          </w:p>
        </w:tc>
        <w:tc>
          <w:tcPr>
            <w:tcW w:w="992" w:type="dxa"/>
          </w:tcPr>
          <w:p w14:paraId="42F5DCCA" w14:textId="77777777" w:rsidR="00D91956" w:rsidRPr="00D91956" w:rsidRDefault="00D91956" w:rsidP="00D91956">
            <w:pPr>
              <w:pStyle w:val="Bezodstpw"/>
              <w:rPr>
                <w:rFonts w:cs="Arial"/>
                <w:szCs w:val="20"/>
              </w:rPr>
            </w:pPr>
            <w:r w:rsidRPr="00D91956">
              <w:rPr>
                <w:rFonts w:cs="Arial"/>
                <w:szCs w:val="20"/>
              </w:rPr>
              <w:lastRenderedPageBreak/>
              <w:t xml:space="preserve">PN-EN 1367-1 </w:t>
            </w:r>
            <w:r w:rsidRPr="00D91956">
              <w:rPr>
                <w:rFonts w:cs="Arial"/>
                <w:szCs w:val="20"/>
              </w:rPr>
              <w:lastRenderedPageBreak/>
              <w:t>[14]</w:t>
            </w:r>
          </w:p>
        </w:tc>
        <w:tc>
          <w:tcPr>
            <w:tcW w:w="851" w:type="dxa"/>
          </w:tcPr>
          <w:p w14:paraId="6D240C7E" w14:textId="77777777" w:rsidR="00D91956" w:rsidRPr="00D91956" w:rsidRDefault="00D91956" w:rsidP="00D91956">
            <w:pPr>
              <w:pStyle w:val="Bezodstpw"/>
              <w:rPr>
                <w:rFonts w:cs="Arial"/>
                <w:szCs w:val="20"/>
              </w:rPr>
            </w:pPr>
            <w:r w:rsidRPr="00D91956">
              <w:rPr>
                <w:rFonts w:cs="Arial"/>
                <w:szCs w:val="20"/>
              </w:rPr>
              <w:lastRenderedPageBreak/>
              <w:t>7.3.3</w:t>
            </w:r>
          </w:p>
        </w:tc>
        <w:tc>
          <w:tcPr>
            <w:tcW w:w="3969" w:type="dxa"/>
          </w:tcPr>
          <w:p w14:paraId="1B00392F" w14:textId="77777777" w:rsidR="00D91956" w:rsidRPr="00D91956" w:rsidRDefault="00D91956" w:rsidP="00D91956">
            <w:pPr>
              <w:pStyle w:val="Bezodstpw"/>
              <w:rPr>
                <w:rFonts w:cs="Arial"/>
                <w:szCs w:val="20"/>
              </w:rPr>
            </w:pPr>
            <w:r w:rsidRPr="00D91956">
              <w:rPr>
                <w:rFonts w:cs="Arial"/>
                <w:szCs w:val="20"/>
              </w:rPr>
              <w:t>Skały magmowe i przeobrażone: kat. F</w:t>
            </w:r>
            <w:r w:rsidRPr="00D91956">
              <w:rPr>
                <w:rFonts w:cs="Arial"/>
                <w:szCs w:val="20"/>
                <w:vertAlign w:val="subscript"/>
              </w:rPr>
              <w:t>4</w:t>
            </w:r>
            <w:r w:rsidRPr="00D91956">
              <w:rPr>
                <w:rFonts w:cs="Arial"/>
                <w:szCs w:val="20"/>
              </w:rPr>
              <w:t xml:space="preserve"> (tj. zamrażanie-rozmrażanie ≤ 4% masy), </w:t>
            </w:r>
            <w:r w:rsidRPr="00D91956">
              <w:rPr>
                <w:rFonts w:cs="Arial"/>
                <w:szCs w:val="20"/>
              </w:rPr>
              <w:lastRenderedPageBreak/>
              <w:t>skały osadowe: kat. F</w:t>
            </w:r>
            <w:r w:rsidRPr="00D91956">
              <w:rPr>
                <w:rFonts w:cs="Arial"/>
                <w:szCs w:val="20"/>
                <w:vertAlign w:val="subscript"/>
              </w:rPr>
              <w:t>10</w:t>
            </w:r>
            <w:r w:rsidRPr="00D91956">
              <w:rPr>
                <w:rFonts w:cs="Arial"/>
                <w:szCs w:val="20"/>
              </w:rPr>
              <w:t>, kruszywa z recyklingu: kat. F</w:t>
            </w:r>
            <w:r w:rsidRPr="00D91956">
              <w:rPr>
                <w:rFonts w:cs="Arial"/>
                <w:szCs w:val="20"/>
                <w:vertAlign w:val="subscript"/>
              </w:rPr>
              <w:t>10</w:t>
            </w:r>
            <w:r w:rsidRPr="00D91956">
              <w:rPr>
                <w:rFonts w:cs="Arial"/>
                <w:szCs w:val="20"/>
              </w:rPr>
              <w:t xml:space="preserve"> (F</w:t>
            </w:r>
            <w:r w:rsidRPr="00D91956">
              <w:rPr>
                <w:rFonts w:cs="Arial"/>
                <w:szCs w:val="20"/>
                <w:vertAlign w:val="subscript"/>
              </w:rPr>
              <w:t>25</w:t>
            </w:r>
            <w:r w:rsidRPr="00D91956">
              <w:rPr>
                <w:rFonts w:cs="Arial"/>
                <w:szCs w:val="20"/>
              </w:rPr>
              <w:t>***)</w:t>
            </w:r>
          </w:p>
        </w:tc>
      </w:tr>
      <w:tr w:rsidR="00D91956" w:rsidRPr="00D91956" w14:paraId="4C0D70A9" w14:textId="77777777" w:rsidTr="007B6855">
        <w:tc>
          <w:tcPr>
            <w:tcW w:w="3085" w:type="dxa"/>
          </w:tcPr>
          <w:p w14:paraId="44B52F08" w14:textId="77777777" w:rsidR="00D91956" w:rsidRPr="00D91956" w:rsidRDefault="00D91956" w:rsidP="00D91956">
            <w:pPr>
              <w:pStyle w:val="Bezodstpw"/>
              <w:rPr>
                <w:rFonts w:cs="Arial"/>
                <w:szCs w:val="20"/>
              </w:rPr>
            </w:pPr>
            <w:r w:rsidRPr="00D91956">
              <w:rPr>
                <w:rFonts w:cs="Arial"/>
                <w:szCs w:val="20"/>
              </w:rPr>
              <w:lastRenderedPageBreak/>
              <w:t>Skład materiałowy</w:t>
            </w:r>
          </w:p>
        </w:tc>
        <w:tc>
          <w:tcPr>
            <w:tcW w:w="992" w:type="dxa"/>
          </w:tcPr>
          <w:p w14:paraId="75DA1E8B" w14:textId="77777777" w:rsidR="00D91956" w:rsidRPr="00D91956" w:rsidRDefault="00D91956" w:rsidP="00D91956">
            <w:pPr>
              <w:pStyle w:val="Bezodstpw"/>
              <w:jc w:val="center"/>
              <w:rPr>
                <w:rFonts w:cs="Arial"/>
                <w:szCs w:val="20"/>
              </w:rPr>
            </w:pPr>
            <w:r w:rsidRPr="00D91956">
              <w:rPr>
                <w:rFonts w:cs="Arial"/>
                <w:szCs w:val="20"/>
              </w:rPr>
              <w:t>-</w:t>
            </w:r>
          </w:p>
        </w:tc>
        <w:tc>
          <w:tcPr>
            <w:tcW w:w="851" w:type="dxa"/>
          </w:tcPr>
          <w:p w14:paraId="4BD2B621" w14:textId="77777777" w:rsidR="00D91956" w:rsidRPr="00D91956" w:rsidRDefault="00D91956" w:rsidP="00D91956">
            <w:pPr>
              <w:pStyle w:val="Bezodstpw"/>
              <w:rPr>
                <w:rFonts w:cs="Arial"/>
                <w:szCs w:val="20"/>
              </w:rPr>
            </w:pPr>
            <w:r w:rsidRPr="00D91956">
              <w:rPr>
                <w:rFonts w:cs="Arial"/>
                <w:szCs w:val="20"/>
              </w:rPr>
              <w:t>Zał. C</w:t>
            </w:r>
          </w:p>
          <w:p w14:paraId="6DA1DEBC" w14:textId="77777777" w:rsidR="00D91956" w:rsidRPr="00D91956" w:rsidRDefault="00D91956" w:rsidP="00D91956">
            <w:pPr>
              <w:pStyle w:val="Bezodstpw"/>
              <w:rPr>
                <w:rFonts w:cs="Arial"/>
                <w:szCs w:val="20"/>
              </w:rPr>
            </w:pPr>
          </w:p>
        </w:tc>
        <w:tc>
          <w:tcPr>
            <w:tcW w:w="3969" w:type="dxa"/>
          </w:tcPr>
          <w:p w14:paraId="75EACED3" w14:textId="77777777" w:rsidR="00D91956" w:rsidRPr="00D91956" w:rsidRDefault="00D91956" w:rsidP="00D91956">
            <w:pPr>
              <w:pStyle w:val="Bezodstpw"/>
              <w:rPr>
                <w:rFonts w:cs="Arial"/>
                <w:szCs w:val="20"/>
              </w:rPr>
            </w:pPr>
            <w:r w:rsidRPr="00D91956">
              <w:rPr>
                <w:rFonts w:cs="Arial"/>
                <w:szCs w:val="20"/>
              </w:rPr>
              <w:t>Deklarowany</w:t>
            </w:r>
          </w:p>
        </w:tc>
      </w:tr>
      <w:tr w:rsidR="00D91956" w:rsidRPr="00D91956" w14:paraId="4E4144D5" w14:textId="77777777" w:rsidTr="007B6855">
        <w:tc>
          <w:tcPr>
            <w:tcW w:w="3085" w:type="dxa"/>
          </w:tcPr>
          <w:p w14:paraId="3AA7CE8C" w14:textId="77777777" w:rsidR="00D91956" w:rsidRPr="00D91956" w:rsidRDefault="00D91956" w:rsidP="00D91956">
            <w:pPr>
              <w:pStyle w:val="Bezodstpw"/>
              <w:rPr>
                <w:rFonts w:cs="Arial"/>
                <w:szCs w:val="20"/>
              </w:rPr>
            </w:pPr>
            <w:r w:rsidRPr="00D91956">
              <w:rPr>
                <w:rFonts w:cs="Arial"/>
                <w:szCs w:val="20"/>
              </w:rPr>
              <w:t>Istotne cechy środowiskowe</w:t>
            </w:r>
          </w:p>
        </w:tc>
        <w:tc>
          <w:tcPr>
            <w:tcW w:w="992" w:type="dxa"/>
          </w:tcPr>
          <w:p w14:paraId="52ABB1D1" w14:textId="77777777" w:rsidR="00D91956" w:rsidRPr="00D91956" w:rsidRDefault="00D91956" w:rsidP="00D91956">
            <w:pPr>
              <w:pStyle w:val="Bezodstpw"/>
              <w:jc w:val="center"/>
              <w:rPr>
                <w:rFonts w:cs="Arial"/>
                <w:szCs w:val="20"/>
              </w:rPr>
            </w:pPr>
            <w:r w:rsidRPr="00D91956">
              <w:rPr>
                <w:rFonts w:cs="Arial"/>
                <w:szCs w:val="20"/>
              </w:rPr>
              <w:t>-</w:t>
            </w:r>
          </w:p>
        </w:tc>
        <w:tc>
          <w:tcPr>
            <w:tcW w:w="851" w:type="dxa"/>
          </w:tcPr>
          <w:p w14:paraId="1FD17A6A" w14:textId="77777777" w:rsidR="00D91956" w:rsidRPr="00D91956" w:rsidRDefault="00D91956" w:rsidP="00D91956">
            <w:pPr>
              <w:pStyle w:val="Bezodstpw"/>
              <w:rPr>
                <w:rFonts w:cs="Arial"/>
                <w:szCs w:val="20"/>
              </w:rPr>
            </w:pPr>
            <w:r w:rsidRPr="00D91956">
              <w:rPr>
                <w:rFonts w:cs="Arial"/>
                <w:szCs w:val="20"/>
              </w:rPr>
              <w:t>Zał. C</w:t>
            </w:r>
          </w:p>
          <w:p w14:paraId="42520608" w14:textId="77777777" w:rsidR="00D91956" w:rsidRPr="00D91956" w:rsidRDefault="00D91956" w:rsidP="00D91956">
            <w:pPr>
              <w:pStyle w:val="Bezodstpw"/>
              <w:rPr>
                <w:rFonts w:cs="Arial"/>
                <w:szCs w:val="20"/>
              </w:rPr>
            </w:pPr>
            <w:r w:rsidRPr="00D91956">
              <w:rPr>
                <w:rFonts w:cs="Arial"/>
                <w:szCs w:val="20"/>
              </w:rPr>
              <w:t>pkt</w:t>
            </w:r>
          </w:p>
          <w:p w14:paraId="5FBE2C5C" w14:textId="77777777" w:rsidR="00D91956" w:rsidRPr="00D91956" w:rsidRDefault="00D91956" w:rsidP="00D91956">
            <w:pPr>
              <w:pStyle w:val="Bezodstpw"/>
              <w:rPr>
                <w:rFonts w:cs="Arial"/>
                <w:szCs w:val="20"/>
              </w:rPr>
            </w:pPr>
            <w:r w:rsidRPr="00D91956">
              <w:rPr>
                <w:rFonts w:cs="Arial"/>
                <w:szCs w:val="20"/>
              </w:rPr>
              <w:t>C.3.4</w:t>
            </w:r>
          </w:p>
        </w:tc>
        <w:tc>
          <w:tcPr>
            <w:tcW w:w="3969" w:type="dxa"/>
          </w:tcPr>
          <w:p w14:paraId="1DB89BE4" w14:textId="77777777" w:rsidR="00D91956" w:rsidRPr="00D91956" w:rsidRDefault="00D91956" w:rsidP="00D91956">
            <w:pPr>
              <w:pStyle w:val="Bezodstpw"/>
              <w:rPr>
                <w:rFonts w:cs="Arial"/>
                <w:szCs w:val="20"/>
              </w:rPr>
            </w:pPr>
            <w:r w:rsidRPr="00D91956">
              <w:rPr>
                <w:rFonts w:cs="Arial"/>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D91956" w:rsidRPr="00D91956" w14:paraId="7ECCD763" w14:textId="77777777" w:rsidTr="007B6855">
        <w:tc>
          <w:tcPr>
            <w:tcW w:w="8897" w:type="dxa"/>
            <w:gridSpan w:val="4"/>
          </w:tcPr>
          <w:p w14:paraId="38FA7266" w14:textId="77777777" w:rsidR="00D91956" w:rsidRPr="00D91956" w:rsidRDefault="00D91956" w:rsidP="00D91956">
            <w:pPr>
              <w:pStyle w:val="Bezodstpw"/>
              <w:rPr>
                <w:rFonts w:cs="Arial"/>
                <w:szCs w:val="20"/>
              </w:rPr>
            </w:pPr>
            <w:r w:rsidRPr="00D91956">
              <w:rPr>
                <w:rFonts w:cs="Arial"/>
                <w:szCs w:val="20"/>
              </w:rPr>
              <w:t>*)       Łączna zawartość pyłów w mieszance powinna się mieścić w wybranych krzywych granicznych</w:t>
            </w:r>
          </w:p>
          <w:p w14:paraId="7B0396C8" w14:textId="77777777" w:rsidR="00D91956" w:rsidRPr="00D91956" w:rsidRDefault="00D91956" w:rsidP="00D91956">
            <w:pPr>
              <w:pStyle w:val="Bezodstpw"/>
              <w:rPr>
                <w:rFonts w:cs="Arial"/>
                <w:szCs w:val="20"/>
              </w:rPr>
            </w:pPr>
            <w:r w:rsidRPr="00D91956">
              <w:rPr>
                <w:rFonts w:cs="Arial"/>
                <w:szCs w:val="20"/>
              </w:rPr>
              <w:t>**)    W przypadku, gdy wymaganie nie jest spełnione , należy sprawdzić mrozoodporność</w:t>
            </w:r>
          </w:p>
          <w:p w14:paraId="53BC6DCB" w14:textId="77777777" w:rsidR="00D91956" w:rsidRPr="00D91956" w:rsidRDefault="00D91956" w:rsidP="00D91956">
            <w:pPr>
              <w:pStyle w:val="Bezodstpw"/>
              <w:rPr>
                <w:rFonts w:cs="Arial"/>
                <w:szCs w:val="20"/>
              </w:rPr>
            </w:pPr>
            <w:r w:rsidRPr="00D91956">
              <w:rPr>
                <w:rFonts w:cs="Arial"/>
                <w:szCs w:val="20"/>
              </w:rPr>
              <w:t>***)  Pod warunkiem, gdy zawartość w mieszance nie przekracza 50% m/m</w:t>
            </w:r>
          </w:p>
        </w:tc>
      </w:tr>
    </w:tbl>
    <w:p w14:paraId="136FFE95" w14:textId="77777777" w:rsidR="00D91956" w:rsidRPr="00D91956" w:rsidRDefault="00D91956" w:rsidP="00D91956">
      <w:pPr>
        <w:pStyle w:val="Bezodstpw"/>
        <w:rPr>
          <w:rFonts w:cs="Arial"/>
          <w:b/>
          <w:szCs w:val="20"/>
        </w:rPr>
      </w:pPr>
    </w:p>
    <w:p w14:paraId="4A86594B" w14:textId="77777777" w:rsidR="00D91956" w:rsidRPr="00D91956" w:rsidRDefault="00D91956" w:rsidP="00D91956">
      <w:pPr>
        <w:pStyle w:val="Bezodstpw"/>
        <w:spacing w:after="120"/>
        <w:rPr>
          <w:rFonts w:cs="Arial"/>
          <w:szCs w:val="20"/>
        </w:rPr>
      </w:pPr>
      <w:r w:rsidRPr="00D91956">
        <w:rPr>
          <w:rFonts w:cs="Arial"/>
          <w:b/>
          <w:szCs w:val="20"/>
        </w:rPr>
        <w:t xml:space="preserve">2.2.4. </w:t>
      </w:r>
      <w:r w:rsidRPr="00D91956">
        <w:rPr>
          <w:rFonts w:cs="Arial"/>
          <w:szCs w:val="20"/>
        </w:rPr>
        <w:t>Woda do zraszania kruszywa</w:t>
      </w:r>
    </w:p>
    <w:p w14:paraId="1F1C70CF" w14:textId="77777777" w:rsidR="00D91956" w:rsidRPr="00D91956" w:rsidRDefault="00D91956" w:rsidP="00D91956">
      <w:pPr>
        <w:pStyle w:val="Bezodstpw"/>
        <w:rPr>
          <w:rFonts w:cs="Arial"/>
          <w:szCs w:val="20"/>
        </w:rPr>
      </w:pPr>
      <w:r w:rsidRPr="00D91956">
        <w:rPr>
          <w:rFonts w:cs="Arial"/>
          <w:szCs w:val="20"/>
        </w:rPr>
        <w:tab/>
        <w:t>Do zraszania kruszywa należy stosować wodę nie zawierającą składników wpływających szkodliwie na mieszankę kruszywa, ale umożliwiającą właściwe zagęszczenie mieszanki niezwiązanej.</w:t>
      </w:r>
    </w:p>
    <w:p w14:paraId="21207185" w14:textId="77777777" w:rsidR="00D91956" w:rsidRPr="00D91956" w:rsidRDefault="00D91956" w:rsidP="00D91956">
      <w:pPr>
        <w:pStyle w:val="Nagwek1"/>
        <w:numPr>
          <w:ilvl w:val="12"/>
          <w:numId w:val="0"/>
        </w:numPr>
        <w:spacing w:line="240" w:lineRule="auto"/>
        <w:rPr>
          <w:rFonts w:cs="Arial"/>
          <w:szCs w:val="20"/>
        </w:rPr>
      </w:pPr>
      <w:bookmarkStart w:id="796" w:name="_Toc25373382"/>
      <w:bookmarkStart w:id="797" w:name="_Toc25379398"/>
      <w:bookmarkStart w:id="798" w:name="_Toc38338022"/>
      <w:bookmarkStart w:id="799" w:name="_Toc68660263"/>
      <w:bookmarkStart w:id="800" w:name="_Toc68921158"/>
      <w:bookmarkStart w:id="801" w:name="_Toc68929545"/>
      <w:bookmarkStart w:id="802" w:name="_Toc70745913"/>
      <w:bookmarkStart w:id="803" w:name="_Toc113338099"/>
      <w:bookmarkStart w:id="804" w:name="_Toc113935589"/>
      <w:bookmarkStart w:id="805" w:name="_Toc331508865"/>
      <w:bookmarkStart w:id="806" w:name="_Toc346094294"/>
      <w:r w:rsidRPr="00D91956">
        <w:rPr>
          <w:rFonts w:cs="Arial"/>
          <w:szCs w:val="20"/>
        </w:rPr>
        <w:t xml:space="preserve">3. </w:t>
      </w:r>
      <w:bookmarkEnd w:id="796"/>
      <w:bookmarkEnd w:id="797"/>
      <w:bookmarkEnd w:id="798"/>
      <w:bookmarkEnd w:id="799"/>
      <w:bookmarkEnd w:id="800"/>
      <w:bookmarkEnd w:id="801"/>
      <w:bookmarkEnd w:id="802"/>
      <w:bookmarkEnd w:id="803"/>
      <w:bookmarkEnd w:id="804"/>
      <w:bookmarkEnd w:id="805"/>
      <w:bookmarkEnd w:id="806"/>
      <w:r w:rsidRPr="00D91956">
        <w:rPr>
          <w:rFonts w:cs="Arial"/>
          <w:szCs w:val="20"/>
        </w:rPr>
        <w:t>SPRZĘT</w:t>
      </w:r>
    </w:p>
    <w:p w14:paraId="74AFB742" w14:textId="77777777" w:rsidR="00D91956" w:rsidRPr="00D91956" w:rsidRDefault="00D91956" w:rsidP="00D91956">
      <w:pPr>
        <w:pStyle w:val="Nagwek2"/>
        <w:numPr>
          <w:ilvl w:val="12"/>
          <w:numId w:val="0"/>
        </w:numPr>
        <w:spacing w:line="240" w:lineRule="auto"/>
        <w:rPr>
          <w:rFonts w:cs="Arial"/>
          <w:szCs w:val="20"/>
        </w:rPr>
      </w:pPr>
      <w:r w:rsidRPr="00D91956">
        <w:rPr>
          <w:rFonts w:cs="Arial"/>
          <w:szCs w:val="20"/>
        </w:rPr>
        <w:t>3.1. Ogólne wymagania dotyczące sprzętu</w:t>
      </w:r>
    </w:p>
    <w:p w14:paraId="141644CF" w14:textId="496D84BB" w:rsidR="00D91956" w:rsidRPr="00D91956" w:rsidRDefault="00D91956" w:rsidP="00D91956">
      <w:pPr>
        <w:numPr>
          <w:ilvl w:val="12"/>
          <w:numId w:val="0"/>
        </w:numPr>
        <w:spacing w:line="240" w:lineRule="auto"/>
        <w:rPr>
          <w:rFonts w:cs="Arial"/>
          <w:szCs w:val="20"/>
        </w:rPr>
      </w:pPr>
      <w:r w:rsidRPr="00D91956">
        <w:rPr>
          <w:rFonts w:cs="Arial"/>
          <w:szCs w:val="20"/>
        </w:rPr>
        <w:tab/>
        <w:t xml:space="preserve">Ogólne wymagania dotyczące sprzętu podano w </w:t>
      </w:r>
      <w:r w:rsidR="008F5EED">
        <w:rPr>
          <w:rFonts w:cs="Arial"/>
          <w:szCs w:val="20"/>
        </w:rPr>
        <w:t>S</w:t>
      </w:r>
      <w:r w:rsidRPr="00D91956">
        <w:rPr>
          <w:rFonts w:cs="Arial"/>
          <w:szCs w:val="20"/>
        </w:rPr>
        <w:t>ST  D-M-00.00.00 „Wymagania ogólne” [1], pkt 3.</w:t>
      </w:r>
    </w:p>
    <w:p w14:paraId="355A66FB" w14:textId="77777777" w:rsidR="00D91956" w:rsidRPr="00D91956" w:rsidRDefault="00D91956" w:rsidP="00D91956">
      <w:pPr>
        <w:pStyle w:val="Nagwek2"/>
        <w:spacing w:line="240" w:lineRule="auto"/>
        <w:rPr>
          <w:rFonts w:cs="Arial"/>
          <w:szCs w:val="20"/>
        </w:rPr>
      </w:pPr>
      <w:r w:rsidRPr="00D91956">
        <w:rPr>
          <w:rFonts w:cs="Arial"/>
          <w:szCs w:val="20"/>
        </w:rPr>
        <w:t>3.2. Sprzęt stosowany do wykonania robót</w:t>
      </w:r>
    </w:p>
    <w:p w14:paraId="682D8459" w14:textId="77777777" w:rsidR="00D91956" w:rsidRPr="00D91956" w:rsidRDefault="00D91956" w:rsidP="00D91956">
      <w:pPr>
        <w:spacing w:line="240" w:lineRule="auto"/>
        <w:rPr>
          <w:rFonts w:cs="Arial"/>
          <w:szCs w:val="20"/>
        </w:rPr>
      </w:pPr>
      <w:r w:rsidRPr="00D91956">
        <w:rPr>
          <w:rFonts w:cs="Arial"/>
          <w:szCs w:val="20"/>
        </w:rPr>
        <w:tab/>
        <w:t>Przy wykonywaniu robót Wykonawca w zależności od potrzeb, powinien wykazać się możliwością korzystania ze sprzętu dostosowanego do przyjętej metody robót, jak:</w:t>
      </w:r>
    </w:p>
    <w:p w14:paraId="353B2A04" w14:textId="77777777" w:rsidR="00D91956" w:rsidRPr="00D91956" w:rsidRDefault="00D91956" w:rsidP="00CF1E7D">
      <w:pPr>
        <w:numPr>
          <w:ilvl w:val="0"/>
          <w:numId w:val="100"/>
        </w:numPr>
        <w:overflowPunct w:val="0"/>
        <w:autoSpaceDE w:val="0"/>
        <w:autoSpaceDN w:val="0"/>
        <w:adjustRightInd w:val="0"/>
        <w:spacing w:line="240" w:lineRule="auto"/>
        <w:jc w:val="both"/>
        <w:textAlignment w:val="baseline"/>
        <w:rPr>
          <w:rFonts w:cs="Arial"/>
          <w:szCs w:val="20"/>
        </w:rPr>
      </w:pPr>
      <w:r w:rsidRPr="00D91956">
        <w:rPr>
          <w:rFonts w:cs="Arial"/>
          <w:szCs w:val="20"/>
        </w:rPr>
        <w:t>mieszarki do wytwarzania mieszanki kruszywa, wyposażone w urządzenia dozujące wodę, które powinny zapewnić wytworzenie jednorodnej mieszanki o wilgotności optymalnej,</w:t>
      </w:r>
    </w:p>
    <w:p w14:paraId="39C7B392" w14:textId="77777777" w:rsidR="00D91956" w:rsidRPr="00D91956" w:rsidRDefault="00D91956" w:rsidP="00CF1E7D">
      <w:pPr>
        <w:numPr>
          <w:ilvl w:val="0"/>
          <w:numId w:val="100"/>
        </w:numPr>
        <w:overflowPunct w:val="0"/>
        <w:autoSpaceDE w:val="0"/>
        <w:autoSpaceDN w:val="0"/>
        <w:adjustRightInd w:val="0"/>
        <w:spacing w:line="240" w:lineRule="auto"/>
        <w:jc w:val="both"/>
        <w:textAlignment w:val="baseline"/>
        <w:rPr>
          <w:rFonts w:cs="Arial"/>
          <w:szCs w:val="20"/>
        </w:rPr>
      </w:pPr>
      <w:r w:rsidRPr="00D91956">
        <w:rPr>
          <w:rFonts w:cs="Arial"/>
          <w:szCs w:val="20"/>
        </w:rPr>
        <w:t>układarki lub równiarki do rozkładania mieszanki kruszywa niezwiązanego,</w:t>
      </w:r>
    </w:p>
    <w:p w14:paraId="3D40B2E5" w14:textId="77777777" w:rsidR="00D91956" w:rsidRPr="00D91956" w:rsidRDefault="00D91956" w:rsidP="00CF1E7D">
      <w:pPr>
        <w:numPr>
          <w:ilvl w:val="0"/>
          <w:numId w:val="100"/>
        </w:numPr>
        <w:overflowPunct w:val="0"/>
        <w:autoSpaceDE w:val="0"/>
        <w:autoSpaceDN w:val="0"/>
        <w:adjustRightInd w:val="0"/>
        <w:spacing w:line="240" w:lineRule="auto"/>
        <w:jc w:val="both"/>
        <w:textAlignment w:val="baseline"/>
        <w:rPr>
          <w:rFonts w:cs="Arial"/>
          <w:szCs w:val="20"/>
        </w:rPr>
      </w:pPr>
      <w:r w:rsidRPr="00D91956">
        <w:rPr>
          <w:rFonts w:cs="Arial"/>
          <w:szCs w:val="20"/>
        </w:rPr>
        <w:t>walce ogumione i stalowe wibracyjne lub statyczne do zagęszczania mieszanki,</w:t>
      </w:r>
    </w:p>
    <w:p w14:paraId="761BC046" w14:textId="77777777" w:rsidR="00D91956" w:rsidRPr="00D91956" w:rsidRDefault="00D91956" w:rsidP="00CF1E7D">
      <w:pPr>
        <w:numPr>
          <w:ilvl w:val="0"/>
          <w:numId w:val="100"/>
        </w:numPr>
        <w:overflowPunct w:val="0"/>
        <w:autoSpaceDE w:val="0"/>
        <w:autoSpaceDN w:val="0"/>
        <w:adjustRightInd w:val="0"/>
        <w:spacing w:line="240" w:lineRule="auto"/>
        <w:jc w:val="both"/>
        <w:textAlignment w:val="baseline"/>
        <w:rPr>
          <w:rFonts w:cs="Arial"/>
          <w:szCs w:val="20"/>
        </w:rPr>
      </w:pPr>
      <w:r w:rsidRPr="00D91956">
        <w:rPr>
          <w:rFonts w:cs="Arial"/>
          <w:szCs w:val="20"/>
        </w:rPr>
        <w:t>zagęszczarki płytowe, ubijaki mechaniczne lub małe walce wibracyjne, do stosowania w miejscach trudno dostępnych.</w:t>
      </w:r>
    </w:p>
    <w:p w14:paraId="21AC2967" w14:textId="77777777" w:rsidR="00D91956" w:rsidRPr="00D91956" w:rsidRDefault="00D91956" w:rsidP="00D91956">
      <w:pPr>
        <w:spacing w:line="240" w:lineRule="auto"/>
        <w:ind w:firstLine="709"/>
        <w:rPr>
          <w:rFonts w:cs="Arial"/>
          <w:szCs w:val="20"/>
        </w:rPr>
      </w:pPr>
      <w:r w:rsidRPr="00D91956">
        <w:rPr>
          <w:rFonts w:cs="Arial"/>
          <w:szCs w:val="20"/>
        </w:rPr>
        <w:t>Sprzęt powinien odpowiadać wymaganiom określonym w dokumentacji projektowej, ST, instrukcjach producentów lub propozycji Wykonawcy i powinien być zaakceptowany przez Inżyniera.</w:t>
      </w:r>
    </w:p>
    <w:p w14:paraId="64BD2484" w14:textId="77777777" w:rsidR="00D91956" w:rsidRPr="00D91956" w:rsidRDefault="00D91956" w:rsidP="00D91956">
      <w:pPr>
        <w:pStyle w:val="Nagwek1"/>
        <w:spacing w:line="240" w:lineRule="auto"/>
        <w:rPr>
          <w:rFonts w:cs="Arial"/>
          <w:szCs w:val="20"/>
        </w:rPr>
      </w:pPr>
      <w:bookmarkStart w:id="807" w:name="_Toc424534468"/>
      <w:bookmarkStart w:id="808" w:name="_Toc46643999"/>
      <w:bookmarkStart w:id="809" w:name="_Toc51995832"/>
      <w:bookmarkStart w:id="810" w:name="_Toc63568300"/>
      <w:bookmarkStart w:id="811" w:name="_Toc73770658"/>
      <w:bookmarkStart w:id="812" w:name="_Toc113935590"/>
      <w:bookmarkStart w:id="813" w:name="_Toc331508866"/>
      <w:bookmarkStart w:id="814" w:name="_Toc346094295"/>
      <w:r w:rsidRPr="00D91956">
        <w:rPr>
          <w:rFonts w:cs="Arial"/>
          <w:szCs w:val="20"/>
        </w:rPr>
        <w:t>4. TRANSPORT</w:t>
      </w:r>
      <w:bookmarkEnd w:id="807"/>
      <w:bookmarkEnd w:id="808"/>
      <w:bookmarkEnd w:id="809"/>
      <w:bookmarkEnd w:id="810"/>
      <w:bookmarkEnd w:id="811"/>
      <w:bookmarkEnd w:id="812"/>
      <w:bookmarkEnd w:id="813"/>
      <w:bookmarkEnd w:id="814"/>
    </w:p>
    <w:p w14:paraId="472EBC76" w14:textId="77777777" w:rsidR="00D91956" w:rsidRPr="00D91956" w:rsidRDefault="00D91956" w:rsidP="00D91956">
      <w:pPr>
        <w:pStyle w:val="Nagwek2"/>
        <w:spacing w:line="240" w:lineRule="auto"/>
        <w:rPr>
          <w:rFonts w:cs="Arial"/>
          <w:szCs w:val="20"/>
        </w:rPr>
      </w:pPr>
      <w:r w:rsidRPr="00D91956">
        <w:rPr>
          <w:rFonts w:cs="Arial"/>
          <w:szCs w:val="20"/>
        </w:rPr>
        <w:t xml:space="preserve">4.1. Ogólne wymagania dotyczące transportu </w:t>
      </w:r>
    </w:p>
    <w:p w14:paraId="6700D2E8" w14:textId="748D30D8" w:rsidR="00D91956" w:rsidRPr="00D91956" w:rsidRDefault="00D91956" w:rsidP="00D91956">
      <w:pPr>
        <w:tabs>
          <w:tab w:val="left" w:pos="284"/>
          <w:tab w:val="right" w:leader="dot" w:pos="8505"/>
        </w:tabs>
        <w:spacing w:line="240" w:lineRule="auto"/>
        <w:rPr>
          <w:rFonts w:cs="Arial"/>
          <w:szCs w:val="20"/>
        </w:rPr>
      </w:pPr>
      <w:r w:rsidRPr="00D91956">
        <w:rPr>
          <w:rFonts w:cs="Arial"/>
          <w:szCs w:val="20"/>
        </w:rPr>
        <w:tab/>
        <w:t xml:space="preserve">     Ogólne wymagania dotyczące transportu podano w </w:t>
      </w:r>
      <w:r w:rsidR="008F5EED">
        <w:rPr>
          <w:rFonts w:cs="Arial"/>
          <w:szCs w:val="20"/>
        </w:rPr>
        <w:t>S</w:t>
      </w:r>
      <w:r w:rsidRPr="00D91956">
        <w:rPr>
          <w:rFonts w:cs="Arial"/>
          <w:szCs w:val="20"/>
        </w:rPr>
        <w:t>ST D-M-00.00.00 „Wymagania ogólne” [1],  pkt 4.</w:t>
      </w:r>
    </w:p>
    <w:p w14:paraId="25A7F888" w14:textId="77777777" w:rsidR="00D91956" w:rsidRPr="00D91956" w:rsidRDefault="00D91956" w:rsidP="00D91956">
      <w:pPr>
        <w:pStyle w:val="Nagwek2"/>
        <w:spacing w:line="240" w:lineRule="auto"/>
        <w:rPr>
          <w:rFonts w:cs="Arial"/>
          <w:szCs w:val="20"/>
        </w:rPr>
      </w:pPr>
      <w:r w:rsidRPr="00D91956">
        <w:rPr>
          <w:rFonts w:cs="Arial"/>
          <w:szCs w:val="20"/>
        </w:rPr>
        <w:t>4.2. Transport materiałów</w:t>
      </w:r>
    </w:p>
    <w:p w14:paraId="37F6429D" w14:textId="77777777" w:rsidR="00D91956" w:rsidRPr="00D91956" w:rsidRDefault="00D91956" w:rsidP="00D91956">
      <w:pPr>
        <w:spacing w:line="240" w:lineRule="auto"/>
        <w:rPr>
          <w:rFonts w:cs="Arial"/>
          <w:szCs w:val="20"/>
        </w:rPr>
      </w:pPr>
      <w:r w:rsidRPr="00D91956">
        <w:rPr>
          <w:rFonts w:cs="Arial"/>
          <w:szCs w:val="20"/>
        </w:rPr>
        <w:tab/>
        <w:t>Materiały sypkie (kruszywa) można przewozić dowolnymi środkami transportu, w warunkach zabezpieczających je przed  zanieczyszczeniem, zmieszaniem z innymi materiałami i nadmiernym zawilgoceniem.</w:t>
      </w:r>
    </w:p>
    <w:p w14:paraId="7D664644" w14:textId="77777777" w:rsidR="00D91956" w:rsidRPr="00D91956" w:rsidRDefault="00D91956" w:rsidP="00D91956">
      <w:pPr>
        <w:spacing w:line="240" w:lineRule="auto"/>
        <w:rPr>
          <w:rFonts w:cs="Arial"/>
          <w:szCs w:val="20"/>
        </w:rPr>
      </w:pPr>
      <w:r w:rsidRPr="00D91956">
        <w:rPr>
          <w:rFonts w:cs="Arial"/>
          <w:szCs w:val="20"/>
        </w:rPr>
        <w:tab/>
        <w:t>Woda może być dostarczana wodociągiem lub przewoźnymi zbiornikami wody.</w:t>
      </w:r>
    </w:p>
    <w:p w14:paraId="57A2989C" w14:textId="77777777" w:rsidR="00D91956" w:rsidRPr="00D91956" w:rsidRDefault="00D91956" w:rsidP="00D91956">
      <w:pPr>
        <w:pStyle w:val="Nagwek1"/>
        <w:spacing w:line="240" w:lineRule="auto"/>
        <w:rPr>
          <w:rFonts w:cs="Arial"/>
          <w:szCs w:val="20"/>
        </w:rPr>
      </w:pPr>
      <w:bookmarkStart w:id="815" w:name="_Toc51995833"/>
      <w:bookmarkStart w:id="816" w:name="_Toc63568301"/>
      <w:bookmarkStart w:id="817" w:name="_Toc73770659"/>
      <w:bookmarkStart w:id="818" w:name="_Toc113935591"/>
      <w:bookmarkStart w:id="819" w:name="_Toc116360496"/>
      <w:bookmarkStart w:id="820" w:name="_Toc174333137"/>
      <w:bookmarkStart w:id="821" w:name="_Toc208892385"/>
      <w:bookmarkStart w:id="822" w:name="_Toc210107781"/>
      <w:bookmarkStart w:id="823" w:name="_Toc211316616"/>
      <w:bookmarkStart w:id="824" w:name="_Toc236626159"/>
      <w:bookmarkStart w:id="825" w:name="_Toc331508867"/>
      <w:bookmarkStart w:id="826" w:name="_Toc346094296"/>
      <w:r w:rsidRPr="00D91956">
        <w:rPr>
          <w:rFonts w:cs="Arial"/>
          <w:szCs w:val="20"/>
        </w:rPr>
        <w:t>5. WYKONANIE ROBÓT</w:t>
      </w:r>
      <w:bookmarkEnd w:id="815"/>
      <w:bookmarkEnd w:id="816"/>
      <w:bookmarkEnd w:id="817"/>
      <w:bookmarkEnd w:id="818"/>
      <w:bookmarkEnd w:id="819"/>
      <w:bookmarkEnd w:id="820"/>
      <w:bookmarkEnd w:id="821"/>
      <w:bookmarkEnd w:id="822"/>
      <w:bookmarkEnd w:id="823"/>
      <w:bookmarkEnd w:id="824"/>
      <w:bookmarkEnd w:id="825"/>
      <w:bookmarkEnd w:id="826"/>
    </w:p>
    <w:p w14:paraId="13C586E5" w14:textId="77777777" w:rsidR="00D91956" w:rsidRPr="00D91956" w:rsidRDefault="00D91956" w:rsidP="00D91956">
      <w:pPr>
        <w:pStyle w:val="Nagwek2"/>
        <w:spacing w:line="240" w:lineRule="auto"/>
        <w:rPr>
          <w:rFonts w:cs="Arial"/>
          <w:szCs w:val="20"/>
        </w:rPr>
      </w:pPr>
      <w:r w:rsidRPr="00D91956">
        <w:rPr>
          <w:rFonts w:cs="Arial"/>
          <w:szCs w:val="20"/>
        </w:rPr>
        <w:t>5.1. Ogólne zasady wykonania robót</w:t>
      </w:r>
    </w:p>
    <w:p w14:paraId="1BD4BA16" w14:textId="6BC87D79" w:rsidR="00D91956" w:rsidRPr="00D91956" w:rsidRDefault="00D91956" w:rsidP="00D91956">
      <w:pPr>
        <w:tabs>
          <w:tab w:val="left" w:pos="0"/>
          <w:tab w:val="left" w:pos="567"/>
          <w:tab w:val="left" w:pos="851"/>
          <w:tab w:val="right" w:leader="dot" w:pos="8505"/>
        </w:tabs>
        <w:spacing w:line="240" w:lineRule="auto"/>
        <w:rPr>
          <w:rFonts w:cs="Arial"/>
          <w:szCs w:val="20"/>
        </w:rPr>
      </w:pPr>
      <w:r w:rsidRPr="00D91956">
        <w:rPr>
          <w:rFonts w:cs="Arial"/>
          <w:szCs w:val="20"/>
        </w:rPr>
        <w:tab/>
        <w:t xml:space="preserve">     Ogólne zasady wykonania robót podano w </w:t>
      </w:r>
      <w:r w:rsidR="008F5EED">
        <w:rPr>
          <w:rFonts w:cs="Arial"/>
          <w:szCs w:val="20"/>
        </w:rPr>
        <w:t>S</w:t>
      </w:r>
      <w:r w:rsidRPr="00D91956">
        <w:rPr>
          <w:rFonts w:cs="Arial"/>
          <w:szCs w:val="20"/>
        </w:rPr>
        <w:t>ST D-M-00.00.00 „Wymagania ogólne” [1], pkt 5.</w:t>
      </w:r>
    </w:p>
    <w:p w14:paraId="4AF3AEFD" w14:textId="77777777" w:rsidR="00D91956" w:rsidRPr="00D91956" w:rsidRDefault="00D91956" w:rsidP="00D91956">
      <w:pPr>
        <w:pStyle w:val="Nagwek2"/>
        <w:spacing w:line="240" w:lineRule="auto"/>
        <w:rPr>
          <w:rFonts w:cs="Arial"/>
          <w:szCs w:val="20"/>
        </w:rPr>
      </w:pPr>
      <w:r w:rsidRPr="00D91956">
        <w:rPr>
          <w:rFonts w:cs="Arial"/>
          <w:szCs w:val="20"/>
        </w:rPr>
        <w:t>5.2. Zasady wykonywania robót</w:t>
      </w:r>
    </w:p>
    <w:p w14:paraId="018D0751" w14:textId="77777777" w:rsidR="00D91956" w:rsidRPr="00D91956" w:rsidRDefault="00D91956" w:rsidP="00D91956">
      <w:pPr>
        <w:spacing w:line="240" w:lineRule="auto"/>
        <w:ind w:firstLine="709"/>
        <w:rPr>
          <w:rFonts w:cs="Arial"/>
          <w:szCs w:val="20"/>
        </w:rPr>
      </w:pPr>
      <w:r w:rsidRPr="00D91956">
        <w:rPr>
          <w:rFonts w:cs="Arial"/>
          <w:szCs w:val="20"/>
        </w:rPr>
        <w:t>Sposób wykonania robót powinien być zgodny z dokumentacją projektową i ST. W przypadku braku wystarczających danych można korzystać z ustaleń podanych w niniejszej specyfikacji oraz z informacji podanych w załącznikach.</w:t>
      </w:r>
    </w:p>
    <w:p w14:paraId="1A5E5504" w14:textId="77777777" w:rsidR="00D91956" w:rsidRPr="00D91956" w:rsidRDefault="00D91956" w:rsidP="00D91956">
      <w:pPr>
        <w:spacing w:line="240" w:lineRule="auto"/>
        <w:rPr>
          <w:rFonts w:cs="Arial"/>
          <w:szCs w:val="20"/>
        </w:rPr>
      </w:pPr>
      <w:r w:rsidRPr="00D91956">
        <w:rPr>
          <w:rFonts w:cs="Arial"/>
          <w:szCs w:val="20"/>
        </w:rPr>
        <w:tab/>
        <w:t>Podstawowe czynności przy wykonaniu robót obejmują:</w:t>
      </w:r>
    </w:p>
    <w:p w14:paraId="2FF042D6" w14:textId="77777777" w:rsidR="00D91956" w:rsidRPr="00D91956" w:rsidRDefault="00D91956" w:rsidP="00D91956">
      <w:pPr>
        <w:numPr>
          <w:ilvl w:val="0"/>
          <w:numId w:val="79"/>
        </w:numPr>
        <w:overflowPunct w:val="0"/>
        <w:autoSpaceDE w:val="0"/>
        <w:autoSpaceDN w:val="0"/>
        <w:adjustRightInd w:val="0"/>
        <w:spacing w:line="240" w:lineRule="auto"/>
        <w:jc w:val="both"/>
        <w:textAlignment w:val="baseline"/>
        <w:rPr>
          <w:rFonts w:cs="Arial"/>
          <w:szCs w:val="20"/>
        </w:rPr>
      </w:pPr>
      <w:r w:rsidRPr="00D91956">
        <w:rPr>
          <w:rFonts w:cs="Arial"/>
          <w:szCs w:val="20"/>
        </w:rPr>
        <w:t xml:space="preserve">roboty przygotowawcze, </w:t>
      </w:r>
    </w:p>
    <w:p w14:paraId="2F40DC8E" w14:textId="77777777" w:rsidR="00D91956" w:rsidRPr="00D91956" w:rsidRDefault="00D91956" w:rsidP="00D91956">
      <w:pPr>
        <w:numPr>
          <w:ilvl w:val="0"/>
          <w:numId w:val="79"/>
        </w:numPr>
        <w:overflowPunct w:val="0"/>
        <w:autoSpaceDE w:val="0"/>
        <w:autoSpaceDN w:val="0"/>
        <w:adjustRightInd w:val="0"/>
        <w:spacing w:line="240" w:lineRule="auto"/>
        <w:jc w:val="both"/>
        <w:textAlignment w:val="baseline"/>
        <w:rPr>
          <w:rFonts w:cs="Arial"/>
          <w:szCs w:val="20"/>
        </w:rPr>
      </w:pPr>
      <w:r w:rsidRPr="00D91956">
        <w:rPr>
          <w:rFonts w:cs="Arial"/>
          <w:szCs w:val="20"/>
        </w:rPr>
        <w:t>projektowanie mieszanki,</w:t>
      </w:r>
    </w:p>
    <w:p w14:paraId="6659F662" w14:textId="77777777" w:rsidR="00D91956" w:rsidRPr="00D91956" w:rsidRDefault="00D91956" w:rsidP="00D91956">
      <w:pPr>
        <w:numPr>
          <w:ilvl w:val="0"/>
          <w:numId w:val="79"/>
        </w:numPr>
        <w:overflowPunct w:val="0"/>
        <w:autoSpaceDE w:val="0"/>
        <w:autoSpaceDN w:val="0"/>
        <w:adjustRightInd w:val="0"/>
        <w:spacing w:line="240" w:lineRule="auto"/>
        <w:jc w:val="both"/>
        <w:textAlignment w:val="baseline"/>
        <w:rPr>
          <w:rFonts w:cs="Arial"/>
          <w:szCs w:val="20"/>
        </w:rPr>
      </w:pPr>
      <w:r w:rsidRPr="00D91956">
        <w:rPr>
          <w:rFonts w:cs="Arial"/>
          <w:szCs w:val="20"/>
        </w:rPr>
        <w:t>odcinek próbny,</w:t>
      </w:r>
    </w:p>
    <w:p w14:paraId="244DF80A" w14:textId="77777777" w:rsidR="00D91956" w:rsidRPr="00D91956" w:rsidRDefault="00D91956" w:rsidP="00D91956">
      <w:pPr>
        <w:numPr>
          <w:ilvl w:val="0"/>
          <w:numId w:val="79"/>
        </w:numPr>
        <w:overflowPunct w:val="0"/>
        <w:autoSpaceDE w:val="0"/>
        <w:autoSpaceDN w:val="0"/>
        <w:adjustRightInd w:val="0"/>
        <w:spacing w:line="240" w:lineRule="auto"/>
        <w:jc w:val="both"/>
        <w:textAlignment w:val="baseline"/>
        <w:rPr>
          <w:rFonts w:cs="Arial"/>
          <w:szCs w:val="20"/>
        </w:rPr>
      </w:pPr>
      <w:r w:rsidRPr="00D91956">
        <w:rPr>
          <w:rFonts w:cs="Arial"/>
          <w:szCs w:val="20"/>
        </w:rPr>
        <w:t>wbudowanie mieszanki,</w:t>
      </w:r>
    </w:p>
    <w:p w14:paraId="5E315F1D" w14:textId="77777777" w:rsidR="00D91956" w:rsidRPr="00D91956" w:rsidRDefault="00D91956" w:rsidP="00D91956">
      <w:pPr>
        <w:numPr>
          <w:ilvl w:val="0"/>
          <w:numId w:val="79"/>
        </w:numPr>
        <w:overflowPunct w:val="0"/>
        <w:autoSpaceDE w:val="0"/>
        <w:autoSpaceDN w:val="0"/>
        <w:adjustRightInd w:val="0"/>
        <w:spacing w:line="240" w:lineRule="auto"/>
        <w:jc w:val="both"/>
        <w:textAlignment w:val="baseline"/>
        <w:rPr>
          <w:rFonts w:cs="Arial"/>
          <w:szCs w:val="20"/>
        </w:rPr>
      </w:pPr>
      <w:r w:rsidRPr="00D91956">
        <w:rPr>
          <w:rFonts w:cs="Arial"/>
          <w:szCs w:val="20"/>
        </w:rPr>
        <w:t>roboty wykończeniowe.</w:t>
      </w:r>
    </w:p>
    <w:p w14:paraId="271AC051" w14:textId="77777777" w:rsidR="00D91956" w:rsidRPr="00D91956" w:rsidRDefault="00D91956" w:rsidP="00D91956">
      <w:pPr>
        <w:pStyle w:val="Nagwek2"/>
        <w:spacing w:line="240" w:lineRule="auto"/>
        <w:rPr>
          <w:rFonts w:cs="Arial"/>
          <w:szCs w:val="20"/>
        </w:rPr>
      </w:pPr>
      <w:r w:rsidRPr="00D91956">
        <w:rPr>
          <w:rFonts w:cs="Arial"/>
          <w:szCs w:val="20"/>
        </w:rPr>
        <w:t>5.3. Roboty przygotowawcze</w:t>
      </w:r>
    </w:p>
    <w:p w14:paraId="4850A2AA" w14:textId="77777777" w:rsidR="00D91956" w:rsidRPr="00D91956" w:rsidRDefault="00D91956" w:rsidP="00D91956">
      <w:pPr>
        <w:spacing w:line="240" w:lineRule="auto"/>
        <w:rPr>
          <w:rFonts w:cs="Arial"/>
          <w:szCs w:val="20"/>
        </w:rPr>
      </w:pPr>
      <w:r w:rsidRPr="00D91956">
        <w:rPr>
          <w:rFonts w:cs="Arial"/>
          <w:szCs w:val="20"/>
        </w:rPr>
        <w:tab/>
        <w:t>Przed przystąpieniem do robót należy, na podstawie dokumentacji projektowej,  ST lub wskazań Inżyniera:</w:t>
      </w:r>
    </w:p>
    <w:p w14:paraId="587D3949" w14:textId="77777777" w:rsidR="00D91956" w:rsidRPr="00D91956" w:rsidRDefault="00D91956" w:rsidP="00D91956">
      <w:pPr>
        <w:numPr>
          <w:ilvl w:val="0"/>
          <w:numId w:val="80"/>
        </w:numPr>
        <w:overflowPunct w:val="0"/>
        <w:autoSpaceDE w:val="0"/>
        <w:autoSpaceDN w:val="0"/>
        <w:adjustRightInd w:val="0"/>
        <w:spacing w:line="240" w:lineRule="auto"/>
        <w:jc w:val="both"/>
        <w:textAlignment w:val="baseline"/>
        <w:rPr>
          <w:rFonts w:cs="Arial"/>
          <w:szCs w:val="20"/>
        </w:rPr>
      </w:pPr>
      <w:r w:rsidRPr="00D91956">
        <w:rPr>
          <w:rFonts w:cs="Arial"/>
          <w:szCs w:val="20"/>
        </w:rPr>
        <w:t>ustalić lokalizację robót,</w:t>
      </w:r>
    </w:p>
    <w:p w14:paraId="570B8414" w14:textId="77777777" w:rsidR="00D91956" w:rsidRPr="00D91956" w:rsidRDefault="00D91956" w:rsidP="00D91956">
      <w:pPr>
        <w:numPr>
          <w:ilvl w:val="0"/>
          <w:numId w:val="80"/>
        </w:numPr>
        <w:overflowPunct w:val="0"/>
        <w:autoSpaceDE w:val="0"/>
        <w:autoSpaceDN w:val="0"/>
        <w:adjustRightInd w:val="0"/>
        <w:spacing w:line="240" w:lineRule="auto"/>
        <w:jc w:val="both"/>
        <w:textAlignment w:val="baseline"/>
        <w:rPr>
          <w:rFonts w:cs="Arial"/>
          <w:szCs w:val="20"/>
        </w:rPr>
      </w:pPr>
      <w:r w:rsidRPr="00D91956">
        <w:rPr>
          <w:rFonts w:cs="Arial"/>
          <w:szCs w:val="20"/>
        </w:rPr>
        <w:t>przeprowadzić obliczenia i pomiary niezbędne do szczegółowego wytyczenia robót oraz ustalenia danych wysokościowych,</w:t>
      </w:r>
    </w:p>
    <w:p w14:paraId="6FD6D5F2" w14:textId="77777777" w:rsidR="00D91956" w:rsidRPr="00D91956" w:rsidRDefault="00D91956" w:rsidP="00D91956">
      <w:pPr>
        <w:numPr>
          <w:ilvl w:val="0"/>
          <w:numId w:val="80"/>
        </w:numPr>
        <w:overflowPunct w:val="0"/>
        <w:autoSpaceDE w:val="0"/>
        <w:autoSpaceDN w:val="0"/>
        <w:adjustRightInd w:val="0"/>
        <w:spacing w:line="240" w:lineRule="auto"/>
        <w:jc w:val="both"/>
        <w:textAlignment w:val="baseline"/>
        <w:rPr>
          <w:rFonts w:cs="Arial"/>
          <w:szCs w:val="20"/>
        </w:rPr>
      </w:pPr>
      <w:r w:rsidRPr="00D91956">
        <w:rPr>
          <w:rFonts w:cs="Arial"/>
          <w:szCs w:val="20"/>
        </w:rPr>
        <w:t>usunąć przeszkody utrudniające wykonanie robót,</w:t>
      </w:r>
    </w:p>
    <w:p w14:paraId="1FDA8739" w14:textId="77777777" w:rsidR="00D91956" w:rsidRPr="00D91956" w:rsidRDefault="00D91956" w:rsidP="00D91956">
      <w:pPr>
        <w:numPr>
          <w:ilvl w:val="0"/>
          <w:numId w:val="80"/>
        </w:numPr>
        <w:overflowPunct w:val="0"/>
        <w:autoSpaceDE w:val="0"/>
        <w:autoSpaceDN w:val="0"/>
        <w:adjustRightInd w:val="0"/>
        <w:spacing w:line="240" w:lineRule="auto"/>
        <w:jc w:val="both"/>
        <w:textAlignment w:val="baseline"/>
        <w:rPr>
          <w:rFonts w:cs="Arial"/>
          <w:szCs w:val="20"/>
        </w:rPr>
      </w:pPr>
      <w:r w:rsidRPr="00D91956">
        <w:rPr>
          <w:rFonts w:cs="Arial"/>
          <w:szCs w:val="20"/>
        </w:rPr>
        <w:t>wprowadzić oznakowanie drogi na okres robót,</w:t>
      </w:r>
    </w:p>
    <w:p w14:paraId="1D82552C" w14:textId="77777777" w:rsidR="00D91956" w:rsidRPr="00D91956" w:rsidRDefault="00D91956" w:rsidP="00D91956">
      <w:pPr>
        <w:numPr>
          <w:ilvl w:val="0"/>
          <w:numId w:val="80"/>
        </w:numPr>
        <w:overflowPunct w:val="0"/>
        <w:autoSpaceDE w:val="0"/>
        <w:autoSpaceDN w:val="0"/>
        <w:adjustRightInd w:val="0"/>
        <w:spacing w:line="240" w:lineRule="auto"/>
        <w:jc w:val="both"/>
        <w:textAlignment w:val="baseline"/>
        <w:rPr>
          <w:rFonts w:cs="Arial"/>
          <w:szCs w:val="20"/>
        </w:rPr>
      </w:pPr>
      <w:r w:rsidRPr="00D91956">
        <w:rPr>
          <w:rFonts w:cs="Arial"/>
          <w:szCs w:val="20"/>
        </w:rPr>
        <w:t>zgromadzić materiały i sprzęt potrzebne do rozpoczęcia robót.</w:t>
      </w:r>
    </w:p>
    <w:p w14:paraId="2C0A4D0E" w14:textId="21E15513" w:rsidR="00D91956" w:rsidRPr="00D91956" w:rsidRDefault="00D91956" w:rsidP="00D91956">
      <w:pPr>
        <w:spacing w:line="240" w:lineRule="auto"/>
        <w:ind w:firstLine="709"/>
        <w:rPr>
          <w:rFonts w:cs="Arial"/>
          <w:szCs w:val="20"/>
        </w:rPr>
      </w:pPr>
      <w:r w:rsidRPr="00D91956">
        <w:rPr>
          <w:rFonts w:cs="Arial"/>
          <w:szCs w:val="20"/>
        </w:rPr>
        <w:lastRenderedPageBreak/>
        <w:t xml:space="preserve">Można dodatkowo korzystać z </w:t>
      </w:r>
      <w:r w:rsidR="008F5EED">
        <w:rPr>
          <w:rFonts w:cs="Arial"/>
          <w:szCs w:val="20"/>
        </w:rPr>
        <w:t>S</w:t>
      </w:r>
      <w:r w:rsidRPr="00D91956">
        <w:rPr>
          <w:rFonts w:cs="Arial"/>
          <w:szCs w:val="20"/>
        </w:rPr>
        <w:t xml:space="preserve">ST D-01.00.00 [2] przy robotach przygotowawczych oraz z </w:t>
      </w:r>
      <w:r w:rsidR="008F5EED">
        <w:rPr>
          <w:rFonts w:cs="Arial"/>
          <w:szCs w:val="20"/>
        </w:rPr>
        <w:t>S</w:t>
      </w:r>
      <w:r w:rsidRPr="00D91956">
        <w:rPr>
          <w:rFonts w:cs="Arial"/>
          <w:szCs w:val="20"/>
        </w:rPr>
        <w:t xml:space="preserve">ST D-02.00.00 [3] przy występowaniu robót ziemnych. </w:t>
      </w:r>
    </w:p>
    <w:p w14:paraId="223AE449" w14:textId="77777777" w:rsidR="00D91956" w:rsidRPr="00D91956" w:rsidRDefault="00D91956" w:rsidP="00D91956">
      <w:pPr>
        <w:pStyle w:val="Nagwek2"/>
        <w:spacing w:line="240" w:lineRule="auto"/>
        <w:rPr>
          <w:rFonts w:cs="Arial"/>
          <w:szCs w:val="20"/>
        </w:rPr>
      </w:pPr>
      <w:r w:rsidRPr="00D91956">
        <w:rPr>
          <w:rFonts w:cs="Arial"/>
          <w:szCs w:val="20"/>
        </w:rPr>
        <w:t>5.4. Projektowanie mieszanki kruszywa niezwiązanego</w:t>
      </w:r>
    </w:p>
    <w:p w14:paraId="485481F6" w14:textId="77777777" w:rsidR="00D91956" w:rsidRPr="00D91956" w:rsidRDefault="00D91956" w:rsidP="00D91956">
      <w:pPr>
        <w:keepNext/>
        <w:spacing w:after="120" w:line="240" w:lineRule="auto"/>
        <w:rPr>
          <w:rFonts w:cs="Arial"/>
          <w:szCs w:val="20"/>
        </w:rPr>
      </w:pPr>
      <w:r w:rsidRPr="00D91956">
        <w:rPr>
          <w:rFonts w:cs="Arial"/>
          <w:b/>
          <w:szCs w:val="20"/>
        </w:rPr>
        <w:t xml:space="preserve">5.4.1. </w:t>
      </w:r>
      <w:r w:rsidRPr="00D91956">
        <w:rPr>
          <w:rFonts w:cs="Arial"/>
          <w:szCs w:val="20"/>
        </w:rPr>
        <w:t xml:space="preserve">Postanowienia ogólne </w:t>
      </w:r>
    </w:p>
    <w:p w14:paraId="6D0A921B" w14:textId="77777777" w:rsidR="00D91956" w:rsidRPr="00D91956" w:rsidRDefault="00D91956" w:rsidP="00D91956">
      <w:pPr>
        <w:spacing w:line="240" w:lineRule="auto"/>
        <w:ind w:firstLine="709"/>
        <w:rPr>
          <w:rFonts w:cs="Arial"/>
          <w:szCs w:val="20"/>
        </w:rPr>
      </w:pPr>
      <w:r w:rsidRPr="00D91956">
        <w:rPr>
          <w:rFonts w:cs="Arial"/>
          <w:szCs w:val="20"/>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49940A8C" w14:textId="77777777" w:rsidR="00D91956" w:rsidRPr="00D91956" w:rsidRDefault="00D91956" w:rsidP="00D91956">
      <w:pPr>
        <w:spacing w:line="240" w:lineRule="auto"/>
        <w:rPr>
          <w:rFonts w:cs="Arial"/>
          <w:szCs w:val="20"/>
        </w:rPr>
      </w:pPr>
      <w:r w:rsidRPr="00D91956">
        <w:rPr>
          <w:rFonts w:cs="Arial"/>
          <w:szCs w:val="20"/>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podłoża ulepszonego.</w:t>
      </w:r>
    </w:p>
    <w:p w14:paraId="4F6576B3" w14:textId="77777777" w:rsidR="00D91956" w:rsidRPr="00D91956" w:rsidRDefault="00D91956" w:rsidP="00D91956">
      <w:pPr>
        <w:spacing w:line="240" w:lineRule="auto"/>
        <w:rPr>
          <w:rFonts w:cs="Arial"/>
          <w:szCs w:val="20"/>
        </w:rPr>
      </w:pPr>
      <w:r w:rsidRPr="00D91956">
        <w:rPr>
          <w:rFonts w:cs="Arial"/>
          <w:szCs w:val="20"/>
        </w:rPr>
        <w:tab/>
        <w:t>Skład mieszanki projektuje się zgodnie z wymaganiami wobec mieszanek niezwiązanych do podłoża ulepszonego, określonych w tablicy 2. Wartości graniczne i tolerancje zawierają rozrzut wynikający z pobierania i dzielenia próbki, przedział ufności (precyzja w porównywalnych warunkach) oraz nierównomierności warunków wykonawczych.</w:t>
      </w:r>
    </w:p>
    <w:p w14:paraId="028782B4" w14:textId="77777777" w:rsidR="00D91956" w:rsidRPr="00D91956" w:rsidRDefault="00D91956" w:rsidP="00D91956">
      <w:pPr>
        <w:spacing w:line="240" w:lineRule="auto"/>
        <w:rPr>
          <w:rFonts w:cs="Arial"/>
          <w:szCs w:val="20"/>
        </w:rPr>
      </w:pPr>
      <w:r w:rsidRPr="00D91956">
        <w:rPr>
          <w:rFonts w:cs="Arial"/>
          <w:szCs w:val="20"/>
        </w:rPr>
        <w:tab/>
        <w:t>Mieszanki kruszyw powinny być tak produkowane i składowane, aby wykazywały zachowanie jednakowych właściwości, spełniając wymagania z tablicy 2.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23ADE66B" w14:textId="77777777" w:rsidR="00D91956" w:rsidRPr="00D91956" w:rsidRDefault="00D91956" w:rsidP="00D91956">
      <w:pPr>
        <w:spacing w:line="240" w:lineRule="auto"/>
        <w:rPr>
          <w:rFonts w:cs="Arial"/>
          <w:szCs w:val="20"/>
        </w:rPr>
      </w:pPr>
      <w:r w:rsidRPr="00D91956">
        <w:rPr>
          <w:rFonts w:cs="Arial"/>
          <w:szCs w:val="20"/>
        </w:rPr>
        <w:tab/>
        <w:t>Przy projektowaniu mieszanek kruszyw z recyklingu można ustalać skład  mieszanek, wzorując się na przykładach podanych w załączniku 1.</w:t>
      </w:r>
    </w:p>
    <w:p w14:paraId="616D6519" w14:textId="77777777" w:rsidR="00D91956" w:rsidRPr="00D91956" w:rsidRDefault="00D91956" w:rsidP="00D91956">
      <w:pPr>
        <w:spacing w:before="120" w:after="120" w:line="240" w:lineRule="auto"/>
        <w:rPr>
          <w:rFonts w:cs="Arial"/>
          <w:szCs w:val="20"/>
        </w:rPr>
      </w:pPr>
      <w:r w:rsidRPr="00D91956">
        <w:rPr>
          <w:rFonts w:cs="Arial"/>
          <w:b/>
          <w:szCs w:val="20"/>
        </w:rPr>
        <w:t xml:space="preserve">5.4.2. </w:t>
      </w:r>
      <w:r w:rsidRPr="00D91956">
        <w:rPr>
          <w:rFonts w:cs="Arial"/>
          <w:szCs w:val="20"/>
        </w:rPr>
        <w:t>Wymagania wobec mieszanek</w:t>
      </w:r>
    </w:p>
    <w:p w14:paraId="3CCC52D7" w14:textId="77777777" w:rsidR="00D91956" w:rsidRPr="00D91956" w:rsidRDefault="00D91956" w:rsidP="00D91956">
      <w:pPr>
        <w:spacing w:line="240" w:lineRule="auto"/>
        <w:rPr>
          <w:rFonts w:cs="Arial"/>
          <w:szCs w:val="20"/>
        </w:rPr>
      </w:pPr>
      <w:r w:rsidRPr="00D91956">
        <w:rPr>
          <w:rFonts w:cs="Arial"/>
          <w:szCs w:val="20"/>
        </w:rPr>
        <w:tab/>
        <w:t>W warstwach podłoża ulepszonego można stosować następujące mieszanki kruszyw:</w:t>
      </w:r>
    </w:p>
    <w:p w14:paraId="0592C505" w14:textId="77777777" w:rsidR="00D91956" w:rsidRPr="00D91956" w:rsidRDefault="00D91956" w:rsidP="00CF1E7D">
      <w:pPr>
        <w:pStyle w:val="Bezodstpw"/>
        <w:numPr>
          <w:ilvl w:val="0"/>
          <w:numId w:val="101"/>
        </w:numPr>
        <w:tabs>
          <w:tab w:val="clear" w:pos="720"/>
          <w:tab w:val="num" w:pos="480"/>
        </w:tabs>
        <w:ind w:left="480" w:hanging="480"/>
        <w:jc w:val="both"/>
        <w:rPr>
          <w:rFonts w:cs="Arial"/>
          <w:szCs w:val="20"/>
        </w:rPr>
      </w:pPr>
      <w:r w:rsidRPr="00D91956">
        <w:rPr>
          <w:rFonts w:cs="Arial"/>
          <w:szCs w:val="20"/>
        </w:rPr>
        <w:t>0/8 mm,</w:t>
      </w:r>
    </w:p>
    <w:p w14:paraId="6A9D0C28" w14:textId="77777777" w:rsidR="00D91956" w:rsidRPr="00D91956" w:rsidRDefault="00D91956" w:rsidP="00CF1E7D">
      <w:pPr>
        <w:pStyle w:val="Bezodstpw"/>
        <w:numPr>
          <w:ilvl w:val="0"/>
          <w:numId w:val="101"/>
        </w:numPr>
        <w:tabs>
          <w:tab w:val="clear" w:pos="720"/>
          <w:tab w:val="num" w:pos="480"/>
        </w:tabs>
        <w:ind w:left="480" w:hanging="480"/>
        <w:jc w:val="both"/>
        <w:rPr>
          <w:rFonts w:cs="Arial"/>
          <w:szCs w:val="20"/>
        </w:rPr>
      </w:pPr>
      <w:r w:rsidRPr="00D91956">
        <w:rPr>
          <w:rFonts w:cs="Arial"/>
          <w:szCs w:val="20"/>
        </w:rPr>
        <w:t>0/11,2 mm,</w:t>
      </w:r>
    </w:p>
    <w:p w14:paraId="25E85557" w14:textId="77777777" w:rsidR="00D91956" w:rsidRPr="00D91956" w:rsidRDefault="00D91956" w:rsidP="00CF1E7D">
      <w:pPr>
        <w:pStyle w:val="Bezodstpw"/>
        <w:numPr>
          <w:ilvl w:val="0"/>
          <w:numId w:val="101"/>
        </w:numPr>
        <w:tabs>
          <w:tab w:val="clear" w:pos="720"/>
          <w:tab w:val="num" w:pos="480"/>
        </w:tabs>
        <w:ind w:left="480" w:hanging="480"/>
        <w:jc w:val="both"/>
        <w:rPr>
          <w:rFonts w:cs="Arial"/>
          <w:szCs w:val="20"/>
        </w:rPr>
      </w:pPr>
      <w:r w:rsidRPr="00D91956">
        <w:rPr>
          <w:rFonts w:cs="Arial"/>
          <w:szCs w:val="20"/>
        </w:rPr>
        <w:t>0/16 mm,</w:t>
      </w:r>
    </w:p>
    <w:p w14:paraId="5D1EB947" w14:textId="77777777" w:rsidR="00D91956" w:rsidRPr="00D91956" w:rsidRDefault="00D91956" w:rsidP="00CF1E7D">
      <w:pPr>
        <w:pStyle w:val="Bezodstpw"/>
        <w:numPr>
          <w:ilvl w:val="0"/>
          <w:numId w:val="101"/>
        </w:numPr>
        <w:tabs>
          <w:tab w:val="clear" w:pos="720"/>
          <w:tab w:val="num" w:pos="480"/>
        </w:tabs>
        <w:ind w:left="480" w:hanging="480"/>
        <w:jc w:val="both"/>
        <w:rPr>
          <w:rFonts w:cs="Arial"/>
          <w:szCs w:val="20"/>
        </w:rPr>
      </w:pPr>
      <w:r w:rsidRPr="00D91956">
        <w:rPr>
          <w:rFonts w:cs="Arial"/>
          <w:szCs w:val="20"/>
        </w:rPr>
        <w:t>0/22,4 mm,</w:t>
      </w:r>
    </w:p>
    <w:p w14:paraId="7EB6CE5A" w14:textId="77777777" w:rsidR="00D91956" w:rsidRPr="00D91956" w:rsidRDefault="00D91956" w:rsidP="00CF1E7D">
      <w:pPr>
        <w:pStyle w:val="Bezodstpw"/>
        <w:numPr>
          <w:ilvl w:val="0"/>
          <w:numId w:val="101"/>
        </w:numPr>
        <w:tabs>
          <w:tab w:val="clear" w:pos="720"/>
          <w:tab w:val="num" w:pos="480"/>
        </w:tabs>
        <w:ind w:left="480" w:hanging="480"/>
        <w:jc w:val="both"/>
        <w:rPr>
          <w:rFonts w:cs="Arial"/>
          <w:szCs w:val="20"/>
        </w:rPr>
      </w:pPr>
      <w:r w:rsidRPr="00D91956">
        <w:rPr>
          <w:rFonts w:cs="Arial"/>
          <w:szCs w:val="20"/>
        </w:rPr>
        <w:t>0/31,5 mm,</w:t>
      </w:r>
    </w:p>
    <w:p w14:paraId="461752AC" w14:textId="77777777" w:rsidR="00D91956" w:rsidRPr="00D91956" w:rsidRDefault="00D91956" w:rsidP="00CF1E7D">
      <w:pPr>
        <w:pStyle w:val="Bezodstpw"/>
        <w:numPr>
          <w:ilvl w:val="0"/>
          <w:numId w:val="101"/>
        </w:numPr>
        <w:tabs>
          <w:tab w:val="clear" w:pos="720"/>
          <w:tab w:val="num" w:pos="480"/>
        </w:tabs>
        <w:ind w:left="480" w:hanging="480"/>
        <w:jc w:val="both"/>
        <w:rPr>
          <w:rFonts w:cs="Arial"/>
          <w:szCs w:val="20"/>
        </w:rPr>
      </w:pPr>
      <w:r w:rsidRPr="00D91956">
        <w:rPr>
          <w:rFonts w:cs="Arial"/>
          <w:szCs w:val="20"/>
        </w:rPr>
        <w:t>0/45 mm,</w:t>
      </w:r>
    </w:p>
    <w:p w14:paraId="07CB739E" w14:textId="77777777" w:rsidR="00D91956" w:rsidRPr="00D91956" w:rsidRDefault="00D91956" w:rsidP="00CF1E7D">
      <w:pPr>
        <w:pStyle w:val="Bezodstpw"/>
        <w:numPr>
          <w:ilvl w:val="0"/>
          <w:numId w:val="101"/>
        </w:numPr>
        <w:tabs>
          <w:tab w:val="clear" w:pos="720"/>
          <w:tab w:val="num" w:pos="480"/>
        </w:tabs>
        <w:ind w:left="480" w:hanging="480"/>
        <w:jc w:val="both"/>
        <w:rPr>
          <w:rFonts w:cs="Arial"/>
          <w:szCs w:val="20"/>
        </w:rPr>
      </w:pPr>
      <w:r w:rsidRPr="00D91956">
        <w:rPr>
          <w:rFonts w:cs="Arial"/>
          <w:szCs w:val="20"/>
        </w:rPr>
        <w:t>0/63 mm.</w:t>
      </w:r>
    </w:p>
    <w:p w14:paraId="231F33CA" w14:textId="77777777" w:rsidR="00D91956" w:rsidRPr="00D91956" w:rsidRDefault="00D91956" w:rsidP="00D91956">
      <w:pPr>
        <w:pStyle w:val="Bezodstpw"/>
        <w:ind w:firstLine="709"/>
        <w:rPr>
          <w:rFonts w:cs="Arial"/>
          <w:szCs w:val="20"/>
        </w:rPr>
      </w:pPr>
      <w:r w:rsidRPr="00D91956">
        <w:rPr>
          <w:rFonts w:cs="Arial"/>
          <w:szCs w:val="20"/>
        </w:rPr>
        <w:t xml:space="preserve">Zawartość pyłów w mieszankach kruszyw do warstwy podłoża ulepszonego, określana wg PN-EN 933-1 [7], powinna być zgodna z wymaganiami tablicy 2. W przypadku słabych kruszyw, zawartość pyłów w mieszance kruszyw należy również badać i deklarować, po pięciokrotnym zagęszczeniu metodą </w:t>
      </w:r>
      <w:proofErr w:type="spellStart"/>
      <w:r w:rsidRPr="00D91956">
        <w:rPr>
          <w:rFonts w:cs="Arial"/>
          <w:szCs w:val="20"/>
        </w:rPr>
        <w:t>Proctora</w:t>
      </w:r>
      <w:proofErr w:type="spellEnd"/>
      <w:r w:rsidRPr="00D91956">
        <w:rPr>
          <w:rFonts w:cs="Arial"/>
          <w:szCs w:val="20"/>
        </w:rPr>
        <w:t xml:space="preserve">. Zawartość pyłów w takiej mieszance po pięciokrotnym zagęszczeniu metodą </w:t>
      </w:r>
      <w:proofErr w:type="spellStart"/>
      <w:r w:rsidRPr="00D91956">
        <w:rPr>
          <w:rFonts w:cs="Arial"/>
          <w:szCs w:val="20"/>
        </w:rPr>
        <w:t>Proctora</w:t>
      </w:r>
      <w:proofErr w:type="spellEnd"/>
      <w:r w:rsidRPr="00D91956">
        <w:rPr>
          <w:rFonts w:cs="Arial"/>
          <w:szCs w:val="20"/>
        </w:rPr>
        <w:t xml:space="preserve"> powinna również spełniać wymagania podane w tablicy 2. Nie określa się wymagania wobec minimalnej zawartości pyłów &lt; </w:t>
      </w:r>
      <w:smartTag w:uri="urn:schemas-microsoft-com:office:smarttags" w:element="metricconverter">
        <w:smartTagPr>
          <w:attr w:name="ProductID" w:val="0,063 mm"/>
        </w:smartTagPr>
        <w:r w:rsidRPr="00D91956">
          <w:rPr>
            <w:rFonts w:cs="Arial"/>
            <w:szCs w:val="20"/>
          </w:rPr>
          <w:t>0,063 mm</w:t>
        </w:r>
      </w:smartTag>
      <w:r w:rsidRPr="00D91956">
        <w:rPr>
          <w:rFonts w:cs="Arial"/>
          <w:szCs w:val="20"/>
        </w:rPr>
        <w:t xml:space="preserve"> w mieszankach kruszyw do warstwy podłoża ulepszonego.</w:t>
      </w:r>
    </w:p>
    <w:p w14:paraId="7F12997B" w14:textId="77777777" w:rsidR="00D91956" w:rsidRPr="00D91956" w:rsidRDefault="00D91956" w:rsidP="00D91956">
      <w:pPr>
        <w:pStyle w:val="Bezodstpw"/>
        <w:ind w:firstLine="709"/>
        <w:rPr>
          <w:rFonts w:cs="Arial"/>
          <w:szCs w:val="20"/>
        </w:rPr>
      </w:pPr>
      <w:r w:rsidRPr="00D91956">
        <w:rPr>
          <w:rFonts w:cs="Arial"/>
          <w:szCs w:val="20"/>
        </w:rPr>
        <w:t xml:space="preserve">Zawartość nadziarna w mieszankach kruszyw, określana według PN-EN 933-1 [7] powinna spełniać wymagania podane w tablicy 2. W przypadku słabych kruszyw decyduje zawartość nadziarna w mieszance kruszyw po pięciokrotnym zagęszczeniu metodą </w:t>
      </w:r>
      <w:proofErr w:type="spellStart"/>
      <w:r w:rsidRPr="00D91956">
        <w:rPr>
          <w:rFonts w:cs="Arial"/>
          <w:szCs w:val="20"/>
        </w:rPr>
        <w:t>Proctora</w:t>
      </w:r>
      <w:proofErr w:type="spellEnd"/>
      <w:r w:rsidRPr="00D91956">
        <w:rPr>
          <w:rFonts w:cs="Arial"/>
          <w:szCs w:val="20"/>
        </w:rPr>
        <w:t>.</w:t>
      </w:r>
    </w:p>
    <w:p w14:paraId="0797005E" w14:textId="77777777" w:rsidR="00D91956" w:rsidRPr="00D91956" w:rsidRDefault="00D91956" w:rsidP="00D91956">
      <w:pPr>
        <w:pStyle w:val="Bezodstpw"/>
        <w:ind w:firstLine="709"/>
        <w:rPr>
          <w:rFonts w:cs="Arial"/>
          <w:szCs w:val="20"/>
        </w:rPr>
      </w:pPr>
      <w:r w:rsidRPr="00D91956">
        <w:rPr>
          <w:rFonts w:cs="Arial"/>
          <w:szCs w:val="20"/>
        </w:rPr>
        <w:t>Uziarnienie mieszanek kruszyw (kategoria G</w:t>
      </w:r>
      <w:r w:rsidRPr="00D91956">
        <w:rPr>
          <w:rFonts w:cs="Arial"/>
          <w:szCs w:val="20"/>
          <w:vertAlign w:val="subscript"/>
        </w:rPr>
        <w:t>V</w:t>
      </w:r>
      <w:r w:rsidRPr="00D91956">
        <w:rPr>
          <w:rFonts w:cs="Arial"/>
          <w:szCs w:val="20"/>
        </w:rPr>
        <w:t xml:space="preserve">) o wymiarach ziaren D od 0 do           </w:t>
      </w:r>
      <w:smartTag w:uri="urn:schemas-microsoft-com:office:smarttags" w:element="metricconverter">
        <w:smartTagPr>
          <w:attr w:name="ProductID" w:val="63 mm"/>
        </w:smartTagPr>
        <w:r w:rsidRPr="00D91956">
          <w:rPr>
            <w:rFonts w:cs="Arial"/>
            <w:szCs w:val="20"/>
          </w:rPr>
          <w:t>63 mm</w:t>
        </w:r>
      </w:smartTag>
      <w:r w:rsidRPr="00D91956">
        <w:rPr>
          <w:rFonts w:cs="Arial"/>
          <w:szCs w:val="20"/>
        </w:rPr>
        <w:t xml:space="preserve"> należy określić według PN-EN 933-1 [7]. Krzywe uziarnienia mieszanki kruszyw do górnej warstwy podłoża ulepszonego powinny zawierać się w obszarze między krzywymi granicznymi uziarnienia przedstawionymi na rysunkach 1÷7, odpowiednio dla każdego rodzaju mieszanki. W przypadku słabych kruszyw uziarnienie mieszanki kruszyw należy również badać i deklarować, po pięciokrotnym zagęszczeniu metodą </w:t>
      </w:r>
      <w:proofErr w:type="spellStart"/>
      <w:r w:rsidRPr="00D91956">
        <w:rPr>
          <w:rFonts w:cs="Arial"/>
          <w:szCs w:val="20"/>
        </w:rPr>
        <w:t>Proctora</w:t>
      </w:r>
      <w:proofErr w:type="spellEnd"/>
      <w:r w:rsidRPr="00D91956">
        <w:rPr>
          <w:rFonts w:cs="Arial"/>
          <w:szCs w:val="20"/>
        </w:rPr>
        <w:t xml:space="preserve">. Kryterium przydatności takiej mieszanki, pod względem uziarnienia, jest spełnione, jeżeli uziarnienie mieszanki po pięciokrotnym zagęszczeniu metodą </w:t>
      </w:r>
      <w:proofErr w:type="spellStart"/>
      <w:r w:rsidRPr="00D91956">
        <w:rPr>
          <w:rFonts w:cs="Arial"/>
          <w:szCs w:val="20"/>
        </w:rPr>
        <w:t>Proctora</w:t>
      </w:r>
      <w:proofErr w:type="spellEnd"/>
      <w:r w:rsidRPr="00D91956">
        <w:rPr>
          <w:rFonts w:cs="Arial"/>
          <w:szCs w:val="20"/>
        </w:rPr>
        <w:t xml:space="preserve"> mieści się w krzywych granicznych podanych na odpowiednich rysunkach 1÷7. Wobec mieszanek kruszyw przeznaczonych do warstw podłoża ulepszonego, które będą położone poniżej </w:t>
      </w:r>
      <w:smartTag w:uri="urn:schemas-microsoft-com:office:smarttags" w:element="metricconverter">
        <w:smartTagPr>
          <w:attr w:name="ProductID" w:val="20 cm"/>
        </w:smartTagPr>
        <w:r w:rsidRPr="00D91956">
          <w:rPr>
            <w:rFonts w:cs="Arial"/>
            <w:szCs w:val="20"/>
          </w:rPr>
          <w:t>20 cm</w:t>
        </w:r>
      </w:smartTag>
      <w:r w:rsidRPr="00D91956">
        <w:rPr>
          <w:rFonts w:cs="Arial"/>
          <w:szCs w:val="20"/>
        </w:rPr>
        <w:t xml:space="preserve"> od góry tej warstwy, nie obowiązują żadne inne wymagania dotyczące uziarnienia (kategoria G</w:t>
      </w:r>
      <w:r w:rsidRPr="00D91956">
        <w:rPr>
          <w:rFonts w:cs="Arial"/>
          <w:szCs w:val="20"/>
          <w:vertAlign w:val="subscript"/>
        </w:rPr>
        <w:t>N</w:t>
      </w:r>
      <w:r w:rsidRPr="00D91956">
        <w:rPr>
          <w:rFonts w:cs="Arial"/>
          <w:szCs w:val="20"/>
        </w:rPr>
        <w:t>) poza ograniczeniem zawartości pyłów i jeśli jest to wymagane w ST, wodoprzepuszczalności.</w:t>
      </w:r>
    </w:p>
    <w:p w14:paraId="46F5D337" w14:textId="48682C41" w:rsidR="00D91956" w:rsidRPr="00D91956" w:rsidRDefault="00D91956" w:rsidP="00D91956">
      <w:pPr>
        <w:pStyle w:val="Bezodstpw"/>
        <w:spacing w:before="120"/>
        <w:rPr>
          <w:rFonts w:cs="Arial"/>
          <w:szCs w:val="20"/>
        </w:rPr>
      </w:pPr>
      <w:r w:rsidRPr="00D91956">
        <w:rPr>
          <w:rFonts w:cs="Arial"/>
          <w:noProof/>
          <w:szCs w:val="20"/>
        </w:rPr>
        <w:lastRenderedPageBreak/>
        <w:drawing>
          <wp:inline distT="0" distB="0" distL="0" distR="0" wp14:anchorId="4A5B7508" wp14:editId="6B12B9A0">
            <wp:extent cx="4954905" cy="2615565"/>
            <wp:effectExtent l="0" t="0" r="0"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54905" cy="2615565"/>
                    </a:xfrm>
                    <a:prstGeom prst="rect">
                      <a:avLst/>
                    </a:prstGeom>
                    <a:noFill/>
                    <a:ln>
                      <a:noFill/>
                    </a:ln>
                  </pic:spPr>
                </pic:pic>
              </a:graphicData>
            </a:graphic>
          </wp:inline>
        </w:drawing>
      </w:r>
    </w:p>
    <w:p w14:paraId="5FB4C03E" w14:textId="77777777" w:rsidR="00D91956" w:rsidRPr="00D91956" w:rsidRDefault="00D91956" w:rsidP="00D91956">
      <w:pPr>
        <w:pStyle w:val="Bezodstpw"/>
        <w:tabs>
          <w:tab w:val="left" w:pos="851"/>
        </w:tabs>
        <w:spacing w:after="120"/>
        <w:ind w:left="839" w:hanging="839"/>
        <w:rPr>
          <w:rFonts w:cs="Arial"/>
          <w:szCs w:val="20"/>
        </w:rPr>
      </w:pPr>
      <w:r w:rsidRPr="00D91956">
        <w:rPr>
          <w:rFonts w:cs="Arial"/>
          <w:szCs w:val="20"/>
        </w:rPr>
        <w:t>Rys. 1.</w:t>
      </w:r>
      <w:r w:rsidRPr="00D91956">
        <w:rPr>
          <w:rFonts w:cs="Arial"/>
          <w:szCs w:val="20"/>
        </w:rPr>
        <w:tab/>
        <w:t>Krzywe graniczne uziarnienia mieszanki kruszyw 0/8 mm do górnej warstwy podłoża ulepszonego</w:t>
      </w:r>
    </w:p>
    <w:p w14:paraId="343FED81" w14:textId="455AB464" w:rsidR="00D91956" w:rsidRPr="00D91956" w:rsidRDefault="00D91956" w:rsidP="00D91956">
      <w:pPr>
        <w:pStyle w:val="Bezodstpw"/>
        <w:ind w:left="840" w:hanging="840"/>
        <w:rPr>
          <w:rFonts w:cs="Arial"/>
          <w:szCs w:val="20"/>
        </w:rPr>
      </w:pPr>
      <w:r w:rsidRPr="00D91956">
        <w:rPr>
          <w:rFonts w:cs="Arial"/>
          <w:noProof/>
          <w:szCs w:val="20"/>
        </w:rPr>
        <w:drawing>
          <wp:inline distT="0" distB="0" distL="0" distR="0" wp14:anchorId="31A5911E" wp14:editId="1CC17964">
            <wp:extent cx="4869815" cy="2583815"/>
            <wp:effectExtent l="0" t="0" r="6985" b="6985"/>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69815" cy="2583815"/>
                    </a:xfrm>
                    <a:prstGeom prst="rect">
                      <a:avLst/>
                    </a:prstGeom>
                    <a:noFill/>
                    <a:ln>
                      <a:noFill/>
                    </a:ln>
                  </pic:spPr>
                </pic:pic>
              </a:graphicData>
            </a:graphic>
          </wp:inline>
        </w:drawing>
      </w:r>
    </w:p>
    <w:p w14:paraId="138745AF" w14:textId="77777777" w:rsidR="00D91956" w:rsidRPr="00D91956" w:rsidRDefault="00D91956" w:rsidP="00D91956">
      <w:pPr>
        <w:pStyle w:val="Bezodstpw"/>
        <w:tabs>
          <w:tab w:val="left" w:pos="851"/>
        </w:tabs>
        <w:ind w:left="840" w:hanging="840"/>
        <w:rPr>
          <w:rFonts w:cs="Arial"/>
          <w:szCs w:val="20"/>
        </w:rPr>
      </w:pPr>
      <w:r w:rsidRPr="00D91956">
        <w:rPr>
          <w:rFonts w:cs="Arial"/>
          <w:szCs w:val="20"/>
        </w:rPr>
        <w:t>Rys. 2.</w:t>
      </w:r>
      <w:r w:rsidRPr="00D91956">
        <w:rPr>
          <w:rFonts w:cs="Arial"/>
          <w:szCs w:val="20"/>
        </w:rPr>
        <w:tab/>
        <w:t>Krzywe graniczne uziarnienia mieszanki kruszyw 0/11,2 mm do górnej warstwy podłoża ulepszonego</w:t>
      </w:r>
    </w:p>
    <w:p w14:paraId="4788F98E" w14:textId="1CBDE783" w:rsidR="00D91956" w:rsidRPr="00D91956" w:rsidRDefault="00D91956" w:rsidP="00D91956">
      <w:pPr>
        <w:pStyle w:val="Bezodstpw"/>
        <w:ind w:left="840" w:hanging="840"/>
        <w:rPr>
          <w:rFonts w:cs="Arial"/>
          <w:szCs w:val="20"/>
        </w:rPr>
      </w:pPr>
      <w:r w:rsidRPr="00D91956">
        <w:rPr>
          <w:rFonts w:cs="Arial"/>
          <w:noProof/>
          <w:szCs w:val="20"/>
        </w:rPr>
        <w:drawing>
          <wp:inline distT="0" distB="0" distL="0" distR="0" wp14:anchorId="37BD043D" wp14:editId="798C76FE">
            <wp:extent cx="4880610" cy="2477135"/>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80610" cy="2477135"/>
                    </a:xfrm>
                    <a:prstGeom prst="rect">
                      <a:avLst/>
                    </a:prstGeom>
                    <a:noFill/>
                    <a:ln>
                      <a:noFill/>
                    </a:ln>
                  </pic:spPr>
                </pic:pic>
              </a:graphicData>
            </a:graphic>
          </wp:inline>
        </w:drawing>
      </w:r>
    </w:p>
    <w:p w14:paraId="6CDA9227" w14:textId="77777777" w:rsidR="00D91956" w:rsidRPr="00D91956" w:rsidRDefault="00D91956" w:rsidP="00D91956">
      <w:pPr>
        <w:pStyle w:val="Bezodstpw"/>
        <w:tabs>
          <w:tab w:val="left" w:pos="851"/>
        </w:tabs>
        <w:spacing w:after="240"/>
        <w:ind w:left="839" w:hanging="839"/>
        <w:rPr>
          <w:rFonts w:cs="Arial"/>
          <w:szCs w:val="20"/>
        </w:rPr>
      </w:pPr>
      <w:r w:rsidRPr="00D91956">
        <w:rPr>
          <w:rFonts w:cs="Arial"/>
          <w:szCs w:val="20"/>
        </w:rPr>
        <w:t>Rys. 3.</w:t>
      </w:r>
      <w:r w:rsidRPr="00D91956">
        <w:rPr>
          <w:rFonts w:cs="Arial"/>
          <w:szCs w:val="20"/>
        </w:rPr>
        <w:tab/>
        <w:t>Krzywe graniczne uziarnienia mieszanki kruszyw 0/16 mm do górnej warstwy podłoża ulepszonego</w:t>
      </w:r>
    </w:p>
    <w:p w14:paraId="1825CCA5" w14:textId="78686A33" w:rsidR="00D91956" w:rsidRPr="00D91956" w:rsidRDefault="00D91956" w:rsidP="00D91956">
      <w:pPr>
        <w:pStyle w:val="Bezodstpw"/>
        <w:ind w:left="840" w:hanging="840"/>
        <w:rPr>
          <w:rFonts w:cs="Arial"/>
          <w:szCs w:val="20"/>
        </w:rPr>
      </w:pPr>
      <w:r w:rsidRPr="00D91956">
        <w:rPr>
          <w:rFonts w:cs="Arial"/>
          <w:noProof/>
          <w:szCs w:val="20"/>
        </w:rPr>
        <w:lastRenderedPageBreak/>
        <w:drawing>
          <wp:inline distT="0" distB="0" distL="0" distR="0" wp14:anchorId="695877EB" wp14:editId="3369AEEC">
            <wp:extent cx="4880610" cy="2275205"/>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80610" cy="2275205"/>
                    </a:xfrm>
                    <a:prstGeom prst="rect">
                      <a:avLst/>
                    </a:prstGeom>
                    <a:noFill/>
                    <a:ln>
                      <a:noFill/>
                    </a:ln>
                  </pic:spPr>
                </pic:pic>
              </a:graphicData>
            </a:graphic>
          </wp:inline>
        </w:drawing>
      </w:r>
    </w:p>
    <w:p w14:paraId="7D288DC2" w14:textId="77777777" w:rsidR="00D91956" w:rsidRPr="00D91956" w:rsidRDefault="00D91956" w:rsidP="00D91956">
      <w:pPr>
        <w:pStyle w:val="Bezodstpw"/>
        <w:tabs>
          <w:tab w:val="left" w:pos="851"/>
        </w:tabs>
        <w:spacing w:after="240"/>
        <w:ind w:left="839" w:hanging="839"/>
        <w:rPr>
          <w:rFonts w:cs="Arial"/>
          <w:szCs w:val="20"/>
        </w:rPr>
      </w:pPr>
      <w:r w:rsidRPr="00D91956">
        <w:rPr>
          <w:rFonts w:cs="Arial"/>
          <w:szCs w:val="20"/>
        </w:rPr>
        <w:t>Rys. 4.</w:t>
      </w:r>
      <w:r w:rsidRPr="00D91956">
        <w:rPr>
          <w:rFonts w:cs="Arial"/>
          <w:szCs w:val="20"/>
        </w:rPr>
        <w:tab/>
        <w:t>Krzywe graniczne uziarnienia mieszanki kruszyw 0/22,4 mm do górnej warstwy podłoża ulepszonego</w:t>
      </w:r>
    </w:p>
    <w:p w14:paraId="17D3580B" w14:textId="77516B2C" w:rsidR="00D91956" w:rsidRPr="00D91956" w:rsidRDefault="00D91956" w:rsidP="00D91956">
      <w:pPr>
        <w:pStyle w:val="Bezodstpw"/>
        <w:ind w:left="840" w:hanging="840"/>
        <w:rPr>
          <w:rFonts w:cs="Arial"/>
          <w:szCs w:val="20"/>
        </w:rPr>
      </w:pPr>
      <w:r w:rsidRPr="00D91956">
        <w:rPr>
          <w:rFonts w:cs="Arial"/>
          <w:noProof/>
          <w:szCs w:val="20"/>
        </w:rPr>
        <w:drawing>
          <wp:inline distT="0" distB="0" distL="0" distR="0" wp14:anchorId="01FD5176" wp14:editId="25E5AE03">
            <wp:extent cx="4890770" cy="2232660"/>
            <wp:effectExtent l="0" t="0" r="508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90770" cy="2232660"/>
                    </a:xfrm>
                    <a:prstGeom prst="rect">
                      <a:avLst/>
                    </a:prstGeom>
                    <a:noFill/>
                    <a:ln>
                      <a:noFill/>
                    </a:ln>
                  </pic:spPr>
                </pic:pic>
              </a:graphicData>
            </a:graphic>
          </wp:inline>
        </w:drawing>
      </w:r>
    </w:p>
    <w:p w14:paraId="21E56E8C" w14:textId="77777777" w:rsidR="00D91956" w:rsidRPr="00D91956" w:rsidRDefault="00D91956" w:rsidP="00D91956">
      <w:pPr>
        <w:pStyle w:val="Bezodstpw"/>
        <w:tabs>
          <w:tab w:val="left" w:pos="851"/>
        </w:tabs>
        <w:ind w:left="840" w:hanging="840"/>
        <w:rPr>
          <w:rFonts w:cs="Arial"/>
          <w:szCs w:val="20"/>
        </w:rPr>
      </w:pPr>
      <w:r w:rsidRPr="00D91956">
        <w:rPr>
          <w:rFonts w:cs="Arial"/>
          <w:szCs w:val="20"/>
        </w:rPr>
        <w:t>Rys. 5.</w:t>
      </w:r>
      <w:r w:rsidRPr="00D91956">
        <w:rPr>
          <w:rFonts w:cs="Arial"/>
          <w:szCs w:val="20"/>
        </w:rPr>
        <w:tab/>
        <w:t>Krzywe graniczne uziarnienia mieszanki kruszyw 0/31,5 mm do górnej warstwy podłoża ulepszonego</w:t>
      </w:r>
    </w:p>
    <w:p w14:paraId="79CEAE72" w14:textId="6CA280AD" w:rsidR="00D91956" w:rsidRPr="00D91956" w:rsidRDefault="00D91956" w:rsidP="00D91956">
      <w:pPr>
        <w:pStyle w:val="Bezodstpw"/>
        <w:ind w:left="840" w:hanging="840"/>
        <w:rPr>
          <w:rFonts w:cs="Arial"/>
          <w:szCs w:val="20"/>
        </w:rPr>
      </w:pPr>
      <w:r w:rsidRPr="00D91956">
        <w:rPr>
          <w:rFonts w:cs="Arial"/>
          <w:noProof/>
          <w:szCs w:val="20"/>
        </w:rPr>
        <w:drawing>
          <wp:inline distT="0" distB="0" distL="0" distR="0" wp14:anchorId="6E2ABC3C" wp14:editId="21A5B1CB">
            <wp:extent cx="4954905" cy="2254250"/>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54905" cy="2254250"/>
                    </a:xfrm>
                    <a:prstGeom prst="rect">
                      <a:avLst/>
                    </a:prstGeom>
                    <a:noFill/>
                    <a:ln>
                      <a:noFill/>
                    </a:ln>
                  </pic:spPr>
                </pic:pic>
              </a:graphicData>
            </a:graphic>
          </wp:inline>
        </w:drawing>
      </w:r>
    </w:p>
    <w:p w14:paraId="09075775" w14:textId="77777777" w:rsidR="00D91956" w:rsidRPr="00D91956" w:rsidRDefault="00D91956" w:rsidP="00D91956">
      <w:pPr>
        <w:pStyle w:val="Bezodstpw"/>
        <w:tabs>
          <w:tab w:val="left" w:pos="851"/>
        </w:tabs>
        <w:spacing w:after="240"/>
        <w:ind w:left="839" w:hanging="839"/>
        <w:rPr>
          <w:rFonts w:cs="Arial"/>
          <w:szCs w:val="20"/>
        </w:rPr>
      </w:pPr>
      <w:r w:rsidRPr="00D91956">
        <w:rPr>
          <w:rFonts w:cs="Arial"/>
          <w:szCs w:val="20"/>
        </w:rPr>
        <w:t>Rys. 6.</w:t>
      </w:r>
      <w:r w:rsidRPr="00D91956">
        <w:rPr>
          <w:rFonts w:cs="Arial"/>
          <w:szCs w:val="20"/>
        </w:rPr>
        <w:tab/>
        <w:t>Krzywe graniczne uziarnienia mieszanki kruszyw 0/45 mm do górnej warstwy podłoża ulepszonego</w:t>
      </w:r>
    </w:p>
    <w:p w14:paraId="79B2E9B5" w14:textId="48C987AF" w:rsidR="00D91956" w:rsidRPr="00D91956" w:rsidRDefault="00D91956" w:rsidP="00D91956">
      <w:pPr>
        <w:pStyle w:val="Bezodstpw"/>
        <w:ind w:left="840" w:hanging="840"/>
        <w:rPr>
          <w:rFonts w:cs="Arial"/>
          <w:szCs w:val="20"/>
        </w:rPr>
      </w:pPr>
      <w:r w:rsidRPr="00D91956">
        <w:rPr>
          <w:rFonts w:cs="Arial"/>
          <w:noProof/>
          <w:szCs w:val="20"/>
        </w:rPr>
        <w:lastRenderedPageBreak/>
        <w:drawing>
          <wp:inline distT="0" distB="0" distL="0" distR="0" wp14:anchorId="7884359E" wp14:editId="36DFF512">
            <wp:extent cx="4912360" cy="2115820"/>
            <wp:effectExtent l="0" t="0" r="254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12360" cy="2115820"/>
                    </a:xfrm>
                    <a:prstGeom prst="rect">
                      <a:avLst/>
                    </a:prstGeom>
                    <a:noFill/>
                    <a:ln>
                      <a:noFill/>
                    </a:ln>
                  </pic:spPr>
                </pic:pic>
              </a:graphicData>
            </a:graphic>
          </wp:inline>
        </w:drawing>
      </w:r>
    </w:p>
    <w:p w14:paraId="5FBCCC86" w14:textId="77777777" w:rsidR="00D91956" w:rsidRPr="00D91956" w:rsidRDefault="00D91956" w:rsidP="00D91956">
      <w:pPr>
        <w:pStyle w:val="Bezodstpw"/>
        <w:ind w:left="840" w:hanging="840"/>
        <w:rPr>
          <w:rFonts w:cs="Arial"/>
          <w:szCs w:val="20"/>
        </w:rPr>
      </w:pPr>
      <w:r w:rsidRPr="00D91956">
        <w:rPr>
          <w:rFonts w:cs="Arial"/>
          <w:szCs w:val="20"/>
        </w:rPr>
        <w:t>Rys. 7.</w:t>
      </w:r>
      <w:r w:rsidRPr="00D91956">
        <w:rPr>
          <w:rFonts w:cs="Arial"/>
          <w:szCs w:val="20"/>
        </w:rPr>
        <w:tab/>
        <w:t>Krzywe graniczne uziarnienia mieszanki kruszyw 0/63 mm do górnej warstwy podłoża ulepszonego</w:t>
      </w:r>
    </w:p>
    <w:p w14:paraId="68FF0F9D" w14:textId="77777777" w:rsidR="00D91956" w:rsidRPr="00D91956" w:rsidRDefault="00D91956" w:rsidP="00D91956">
      <w:pPr>
        <w:pStyle w:val="Bezodstpw"/>
        <w:ind w:left="840" w:hanging="840"/>
        <w:rPr>
          <w:rFonts w:cs="Arial"/>
          <w:szCs w:val="20"/>
        </w:rPr>
      </w:pPr>
    </w:p>
    <w:p w14:paraId="1C06D932" w14:textId="77777777" w:rsidR="00D91956" w:rsidRPr="00D91956" w:rsidRDefault="00D91956" w:rsidP="00D91956">
      <w:pPr>
        <w:pStyle w:val="Bezodstpw"/>
        <w:rPr>
          <w:rFonts w:cs="Arial"/>
          <w:szCs w:val="20"/>
        </w:rPr>
      </w:pPr>
      <w:r w:rsidRPr="00D91956">
        <w:rPr>
          <w:rFonts w:cs="Arial"/>
          <w:szCs w:val="20"/>
        </w:rPr>
        <w:tab/>
      </w:r>
    </w:p>
    <w:p w14:paraId="4DC720DD" w14:textId="77777777" w:rsidR="00D91956" w:rsidRPr="00D91956" w:rsidRDefault="00D91956" w:rsidP="00D91956">
      <w:pPr>
        <w:pStyle w:val="Bezodstpw"/>
        <w:ind w:firstLine="709"/>
        <w:rPr>
          <w:rFonts w:cs="Arial"/>
          <w:szCs w:val="20"/>
        </w:rPr>
      </w:pPr>
      <w:r w:rsidRPr="00D91956">
        <w:rPr>
          <w:rFonts w:cs="Arial"/>
          <w:szCs w:val="20"/>
        </w:rPr>
        <w:t xml:space="preserve">Wrażliwość na mróz (wskaźnik SE) i wodoprzepuszczalność mieszanek kruszyw przeznaczonych do warstw podłoża ulepszonego dotyczą badania materiału po pięciokrotnym zagęszczeniu w aparacie </w:t>
      </w:r>
      <w:proofErr w:type="spellStart"/>
      <w:r w:rsidRPr="00D91956">
        <w:rPr>
          <w:rFonts w:cs="Arial"/>
          <w:szCs w:val="20"/>
        </w:rPr>
        <w:t>Proctora</w:t>
      </w:r>
      <w:proofErr w:type="spellEnd"/>
      <w:r w:rsidRPr="00D91956">
        <w:rPr>
          <w:rFonts w:cs="Arial"/>
          <w:szCs w:val="20"/>
        </w:rPr>
        <w:t>, według PN-EN 13286-2 [20]. Nie stawia się wymagań wobec wodoprzepuszczalności zagęszczonej mieszanki niezwiązanej do podłoża ulepszonego, o ile nie przewidują tego szczegółowe rozwiązania. W przypadkach, kiedy podbudowa nawierzchni może być narażona na działanie wody gruntowej, należy zapewnić odwodnienie konstrukcji nawierzchni przez zastosowanie warstwy odsączającej. Wtedy warstwa ta powinna być wykonana z mieszanki odpornej na działanie mrozu, która po zagęszczeniu do wymaganego wskaźnika zagęszczenia I</w:t>
      </w:r>
      <w:r w:rsidRPr="00D91956">
        <w:rPr>
          <w:rFonts w:cs="Arial"/>
          <w:szCs w:val="20"/>
          <w:vertAlign w:val="subscript"/>
        </w:rPr>
        <w:t xml:space="preserve">S </w:t>
      </w:r>
      <w:r w:rsidRPr="00D91956">
        <w:rPr>
          <w:rFonts w:cs="Arial"/>
          <w:szCs w:val="20"/>
        </w:rPr>
        <w:t>= 1,0, albo 1,03 (np. na drogach klasy A i S), powinna charakteryzować się wodoprzepuszczalnością mierzoną współczynnikiem filtracji k ≥ 8 m/dobę (≥ 0,0093 cm/s). Mieszanki niezwiązane przeznaczone do wykonania ulepszonego podłoża powinny spełniać wymagania dotyczące nieprzenikania cząstek pomiędzy warstwą ulepszonego podłoża oraz podłożem, zgodnie z zależnością:</w:t>
      </w:r>
    </w:p>
    <w:p w14:paraId="6B44A5FC" w14:textId="77777777" w:rsidR="00D91956" w:rsidRPr="00D91956" w:rsidRDefault="00D91956" w:rsidP="00D91956">
      <w:pPr>
        <w:pStyle w:val="Bezodstpw"/>
        <w:jc w:val="center"/>
        <w:rPr>
          <w:rFonts w:cs="Arial"/>
          <w:szCs w:val="20"/>
        </w:rPr>
      </w:pPr>
      <w:r w:rsidRPr="00D91956">
        <w:rPr>
          <w:rFonts w:cs="Arial"/>
          <w:i/>
          <w:szCs w:val="20"/>
        </w:rPr>
        <w:t>D</w:t>
      </w:r>
      <w:r w:rsidRPr="00D91956">
        <w:rPr>
          <w:rFonts w:cs="Arial"/>
          <w:szCs w:val="20"/>
          <w:vertAlign w:val="subscript"/>
        </w:rPr>
        <w:t>15</w:t>
      </w:r>
      <w:r w:rsidRPr="00D91956">
        <w:rPr>
          <w:rFonts w:cs="Arial"/>
          <w:szCs w:val="20"/>
        </w:rPr>
        <w:t xml:space="preserve"> / </w:t>
      </w:r>
      <w:r w:rsidRPr="00D91956">
        <w:rPr>
          <w:rFonts w:cs="Arial"/>
          <w:i/>
          <w:szCs w:val="20"/>
        </w:rPr>
        <w:t>d</w:t>
      </w:r>
      <w:r w:rsidRPr="00D91956">
        <w:rPr>
          <w:rFonts w:cs="Arial"/>
          <w:szCs w:val="20"/>
          <w:vertAlign w:val="subscript"/>
        </w:rPr>
        <w:t xml:space="preserve">85 </w:t>
      </w:r>
      <w:r w:rsidRPr="00D91956">
        <w:rPr>
          <w:rFonts w:cs="Arial"/>
          <w:szCs w:val="20"/>
        </w:rPr>
        <w:t>≤ 5</w:t>
      </w:r>
      <w:r w:rsidRPr="00D91956">
        <w:rPr>
          <w:rFonts w:cs="Arial"/>
          <w:szCs w:val="20"/>
        </w:rPr>
        <w:tab/>
      </w:r>
      <w:r w:rsidRPr="00D91956">
        <w:rPr>
          <w:rFonts w:cs="Arial"/>
          <w:szCs w:val="20"/>
        </w:rPr>
        <w:tab/>
      </w:r>
      <w:r w:rsidRPr="00D91956">
        <w:rPr>
          <w:rFonts w:cs="Arial"/>
          <w:szCs w:val="20"/>
        </w:rPr>
        <w:tab/>
        <w:t>(1)</w:t>
      </w:r>
    </w:p>
    <w:p w14:paraId="43A09D5F" w14:textId="77777777" w:rsidR="00D91956" w:rsidRPr="00D91956" w:rsidRDefault="00D91956" w:rsidP="00D91956">
      <w:pPr>
        <w:pStyle w:val="Bezodstpw"/>
        <w:rPr>
          <w:rFonts w:cs="Arial"/>
          <w:szCs w:val="20"/>
        </w:rPr>
      </w:pPr>
      <w:r w:rsidRPr="00D91956">
        <w:rPr>
          <w:rFonts w:cs="Arial"/>
          <w:szCs w:val="20"/>
        </w:rPr>
        <w:t>w której:</w:t>
      </w:r>
    </w:p>
    <w:p w14:paraId="03C223DA" w14:textId="77777777" w:rsidR="00D91956" w:rsidRPr="00D91956" w:rsidRDefault="00D91956" w:rsidP="00D91956">
      <w:pPr>
        <w:pStyle w:val="Bezodstpw"/>
        <w:ind w:left="600" w:hanging="600"/>
        <w:rPr>
          <w:rFonts w:cs="Arial"/>
          <w:szCs w:val="20"/>
        </w:rPr>
      </w:pPr>
      <w:r w:rsidRPr="00D91956">
        <w:rPr>
          <w:rFonts w:cs="Arial"/>
          <w:szCs w:val="20"/>
        </w:rPr>
        <w:t>D</w:t>
      </w:r>
      <w:r w:rsidRPr="00D91956">
        <w:rPr>
          <w:rFonts w:cs="Arial"/>
          <w:szCs w:val="20"/>
          <w:vertAlign w:val="subscript"/>
        </w:rPr>
        <w:t xml:space="preserve">15 </w:t>
      </w:r>
      <w:r w:rsidRPr="00D91956">
        <w:rPr>
          <w:rFonts w:cs="Arial"/>
          <w:szCs w:val="20"/>
        </w:rPr>
        <w:t>– wymiar boku oczka sita w milimetrach, przez które przechodzi 15% (m/m) ziaren mieszanki, z której jest wykonana warstwa podbudowy lub warstwa ulepszonego podłoża,</w:t>
      </w:r>
    </w:p>
    <w:p w14:paraId="49E6099B" w14:textId="77777777" w:rsidR="00D91956" w:rsidRPr="00D91956" w:rsidRDefault="00D91956" w:rsidP="00D91956">
      <w:pPr>
        <w:pStyle w:val="Bezodstpw"/>
        <w:spacing w:after="120"/>
        <w:ind w:left="601" w:hanging="601"/>
        <w:rPr>
          <w:rFonts w:cs="Arial"/>
          <w:szCs w:val="20"/>
        </w:rPr>
      </w:pPr>
      <w:r w:rsidRPr="00D91956">
        <w:rPr>
          <w:rFonts w:cs="Arial"/>
          <w:szCs w:val="20"/>
        </w:rPr>
        <w:t>d</w:t>
      </w:r>
      <w:r w:rsidRPr="00D91956">
        <w:rPr>
          <w:rFonts w:cs="Arial"/>
          <w:szCs w:val="20"/>
          <w:vertAlign w:val="subscript"/>
        </w:rPr>
        <w:t xml:space="preserve">85  </w:t>
      </w:r>
      <w:r w:rsidRPr="00D91956">
        <w:rPr>
          <w:rFonts w:cs="Arial"/>
          <w:szCs w:val="20"/>
        </w:rPr>
        <w:t xml:space="preserve">– </w:t>
      </w:r>
      <w:r w:rsidRPr="00D91956">
        <w:rPr>
          <w:rFonts w:cs="Arial"/>
          <w:szCs w:val="20"/>
          <w:vertAlign w:val="subscript"/>
        </w:rPr>
        <w:t xml:space="preserve"> </w:t>
      </w:r>
      <w:r w:rsidRPr="00D91956">
        <w:rPr>
          <w:rFonts w:cs="Arial"/>
          <w:szCs w:val="20"/>
        </w:rPr>
        <w:t>wymiar boku oczka sita w milimetrach, przez które przechodzi 85% (m/m) ziaren gruntu podłoża.</w:t>
      </w:r>
    </w:p>
    <w:p w14:paraId="190B6DFB" w14:textId="77777777" w:rsidR="00D91956" w:rsidRPr="00D91956" w:rsidRDefault="00D91956" w:rsidP="00D91956">
      <w:pPr>
        <w:pStyle w:val="Bezodstpw"/>
        <w:rPr>
          <w:rFonts w:cs="Arial"/>
          <w:szCs w:val="20"/>
        </w:rPr>
      </w:pPr>
      <w:r w:rsidRPr="00D91956">
        <w:rPr>
          <w:rFonts w:cs="Arial"/>
          <w:szCs w:val="20"/>
        </w:rPr>
        <w:tab/>
        <w:t xml:space="preserve">Jeżeli warunek (1) nie może być spełniony, to na podłożu gruntowym należy ułożyć warstwę odcinającą, spełniającą warunek (1), lub odpowiednio dobraną geowłókninę lub </w:t>
      </w:r>
      <w:proofErr w:type="spellStart"/>
      <w:r w:rsidRPr="00D91956">
        <w:rPr>
          <w:rFonts w:cs="Arial"/>
          <w:szCs w:val="20"/>
        </w:rPr>
        <w:t>geotkaninę</w:t>
      </w:r>
      <w:proofErr w:type="spellEnd"/>
      <w:r w:rsidRPr="00D91956">
        <w:rPr>
          <w:rFonts w:cs="Arial"/>
          <w:szCs w:val="20"/>
        </w:rPr>
        <w:t>.  Ochronne właściwości geowłókniny/</w:t>
      </w:r>
      <w:proofErr w:type="spellStart"/>
      <w:r w:rsidRPr="00D91956">
        <w:rPr>
          <w:rFonts w:cs="Arial"/>
          <w:szCs w:val="20"/>
        </w:rPr>
        <w:t>geotkaniny</w:t>
      </w:r>
      <w:proofErr w:type="spellEnd"/>
      <w:r w:rsidRPr="00D91956">
        <w:rPr>
          <w:rFonts w:cs="Arial"/>
          <w:szCs w:val="20"/>
        </w:rPr>
        <w:t xml:space="preserve"> przeciw przenikaniu drobnych ziaren gruntu podłoża, wyznacza się z warunku:</w:t>
      </w:r>
    </w:p>
    <w:p w14:paraId="6686F486" w14:textId="77777777" w:rsidR="00D91956" w:rsidRPr="00D91956" w:rsidRDefault="00D91956" w:rsidP="00D91956">
      <w:pPr>
        <w:pStyle w:val="Bezodstpw"/>
        <w:spacing w:before="60" w:after="60"/>
        <w:jc w:val="center"/>
        <w:rPr>
          <w:rFonts w:cs="Arial"/>
          <w:szCs w:val="20"/>
        </w:rPr>
      </w:pPr>
      <w:r w:rsidRPr="00D91956">
        <w:rPr>
          <w:rFonts w:cs="Arial"/>
          <w:i/>
          <w:szCs w:val="20"/>
        </w:rPr>
        <w:t>d</w:t>
      </w:r>
      <w:r w:rsidRPr="00D91956">
        <w:rPr>
          <w:rFonts w:cs="Arial"/>
          <w:szCs w:val="20"/>
          <w:vertAlign w:val="subscript"/>
        </w:rPr>
        <w:t>50</w:t>
      </w:r>
      <w:r w:rsidRPr="00D91956">
        <w:rPr>
          <w:rFonts w:cs="Arial"/>
          <w:szCs w:val="20"/>
        </w:rPr>
        <w:t xml:space="preserve">/ </w:t>
      </w:r>
      <w:r w:rsidRPr="00D91956">
        <w:rPr>
          <w:rFonts w:cs="Arial"/>
          <w:i/>
          <w:szCs w:val="20"/>
        </w:rPr>
        <w:t>O</w:t>
      </w:r>
      <w:r w:rsidRPr="00D91956">
        <w:rPr>
          <w:rFonts w:cs="Arial"/>
          <w:szCs w:val="20"/>
          <w:vertAlign w:val="subscript"/>
        </w:rPr>
        <w:t>90</w:t>
      </w:r>
      <w:r w:rsidRPr="00D91956">
        <w:rPr>
          <w:rFonts w:cs="Arial"/>
          <w:szCs w:val="20"/>
        </w:rPr>
        <w:t xml:space="preserve"> ≥ 1,2</w:t>
      </w:r>
      <w:r w:rsidRPr="00D91956">
        <w:rPr>
          <w:rFonts w:cs="Arial"/>
          <w:szCs w:val="20"/>
        </w:rPr>
        <w:tab/>
      </w:r>
      <w:r w:rsidRPr="00D91956">
        <w:rPr>
          <w:rFonts w:cs="Arial"/>
          <w:szCs w:val="20"/>
        </w:rPr>
        <w:tab/>
      </w:r>
      <w:r w:rsidRPr="00D91956">
        <w:rPr>
          <w:rFonts w:cs="Arial"/>
          <w:szCs w:val="20"/>
        </w:rPr>
        <w:tab/>
        <w:t>(2)</w:t>
      </w:r>
    </w:p>
    <w:p w14:paraId="625F9750" w14:textId="77777777" w:rsidR="00D91956" w:rsidRPr="00D91956" w:rsidRDefault="00D91956" w:rsidP="00D91956">
      <w:pPr>
        <w:pStyle w:val="Bezodstpw"/>
        <w:rPr>
          <w:rFonts w:cs="Arial"/>
          <w:szCs w:val="20"/>
        </w:rPr>
      </w:pPr>
      <w:r w:rsidRPr="00D91956">
        <w:rPr>
          <w:rFonts w:cs="Arial"/>
          <w:szCs w:val="20"/>
        </w:rPr>
        <w:t>w którym:</w:t>
      </w:r>
    </w:p>
    <w:p w14:paraId="083CC1B7" w14:textId="77777777" w:rsidR="00D91956" w:rsidRPr="00D91956" w:rsidRDefault="00D91956" w:rsidP="00D91956">
      <w:pPr>
        <w:pStyle w:val="Bezodstpw"/>
        <w:ind w:left="600" w:hanging="600"/>
        <w:rPr>
          <w:rFonts w:cs="Arial"/>
          <w:szCs w:val="20"/>
        </w:rPr>
      </w:pPr>
      <w:r w:rsidRPr="00D91956">
        <w:rPr>
          <w:rFonts w:cs="Arial"/>
          <w:i/>
          <w:szCs w:val="20"/>
        </w:rPr>
        <w:t>d</w:t>
      </w:r>
      <w:r w:rsidRPr="00D91956">
        <w:rPr>
          <w:rFonts w:cs="Arial"/>
          <w:szCs w:val="20"/>
          <w:vertAlign w:val="subscript"/>
        </w:rPr>
        <w:t xml:space="preserve">50 </w:t>
      </w:r>
      <w:r w:rsidRPr="00D91956">
        <w:rPr>
          <w:rFonts w:cs="Arial"/>
          <w:szCs w:val="20"/>
        </w:rPr>
        <w:t>– wymiar boku oczka sita w milimetrach, przez które przechodzi 50% (m/m) ziaren gruntu podłoża,</w:t>
      </w:r>
    </w:p>
    <w:p w14:paraId="1DE0414E" w14:textId="77777777" w:rsidR="00D91956" w:rsidRPr="00D91956" w:rsidRDefault="00D91956" w:rsidP="00D91956">
      <w:pPr>
        <w:pStyle w:val="Bezodstpw"/>
        <w:ind w:left="600" w:hanging="600"/>
        <w:rPr>
          <w:rFonts w:cs="Arial"/>
          <w:szCs w:val="20"/>
        </w:rPr>
      </w:pPr>
      <w:r w:rsidRPr="00D91956">
        <w:rPr>
          <w:rFonts w:cs="Arial"/>
          <w:i/>
          <w:szCs w:val="20"/>
        </w:rPr>
        <w:t>O</w:t>
      </w:r>
      <w:r w:rsidRPr="00D91956">
        <w:rPr>
          <w:rFonts w:cs="Arial"/>
          <w:szCs w:val="20"/>
          <w:vertAlign w:val="subscript"/>
        </w:rPr>
        <w:t xml:space="preserve">90 </w:t>
      </w:r>
      <w:r w:rsidRPr="00D91956">
        <w:rPr>
          <w:rFonts w:cs="Arial"/>
          <w:szCs w:val="20"/>
        </w:rPr>
        <w:t xml:space="preserve">– umowna średnica porów geowłókniny odpowiadająca wymiarom frakcji gruntu (podłoża) zatrzymującego się na geowłókninie w ilości 90% (m/m); wartość parametru </w:t>
      </w:r>
      <w:r w:rsidRPr="00D91956">
        <w:rPr>
          <w:rFonts w:cs="Arial"/>
          <w:i/>
          <w:szCs w:val="20"/>
        </w:rPr>
        <w:t>O</w:t>
      </w:r>
      <w:r w:rsidRPr="00D91956">
        <w:rPr>
          <w:rFonts w:cs="Arial"/>
          <w:szCs w:val="20"/>
          <w:vertAlign w:val="subscript"/>
        </w:rPr>
        <w:t xml:space="preserve">90 </w:t>
      </w:r>
      <w:r w:rsidRPr="00D91956">
        <w:rPr>
          <w:rFonts w:cs="Arial"/>
          <w:szCs w:val="20"/>
        </w:rPr>
        <w:t>powinna być podawana przez producenta geowłókniny; masa powierzchniowa geowłókniny nie powinna być mniejsza od 200 g/m</w:t>
      </w:r>
      <w:r w:rsidRPr="00D91956">
        <w:rPr>
          <w:rFonts w:cs="Arial"/>
          <w:szCs w:val="20"/>
          <w:vertAlign w:val="superscript"/>
        </w:rPr>
        <w:t>2</w:t>
      </w:r>
      <w:r w:rsidRPr="00D91956">
        <w:rPr>
          <w:rFonts w:cs="Arial"/>
          <w:szCs w:val="20"/>
        </w:rPr>
        <w:t>.</w:t>
      </w:r>
    </w:p>
    <w:p w14:paraId="3F360D2D" w14:textId="77777777" w:rsidR="00D91956" w:rsidRPr="00D91956" w:rsidRDefault="00D91956" w:rsidP="00D91956">
      <w:pPr>
        <w:pStyle w:val="Bezodstpw"/>
        <w:spacing w:before="120"/>
        <w:rPr>
          <w:rFonts w:cs="Arial"/>
          <w:szCs w:val="20"/>
        </w:rPr>
      </w:pPr>
      <w:r w:rsidRPr="00D91956">
        <w:rPr>
          <w:rFonts w:cs="Arial"/>
          <w:szCs w:val="20"/>
        </w:rPr>
        <w:tab/>
        <w:t>Zawartość wody w mieszankach kruszyw powinna odpowiadać wymaganej zawartości wody w trakcie wbudowywania i zagęszczania określonej według PN-EN 13286-2 [20], w granicach podanych w tablicy 2.</w:t>
      </w:r>
    </w:p>
    <w:p w14:paraId="17A447E6" w14:textId="77777777" w:rsidR="00D91956" w:rsidRPr="00D91956" w:rsidRDefault="00D91956" w:rsidP="00D91956">
      <w:pPr>
        <w:pStyle w:val="Nagwek2"/>
        <w:spacing w:line="240" w:lineRule="auto"/>
        <w:rPr>
          <w:rFonts w:cs="Arial"/>
          <w:szCs w:val="20"/>
        </w:rPr>
      </w:pPr>
      <w:r w:rsidRPr="00D91956">
        <w:rPr>
          <w:rFonts w:cs="Arial"/>
          <w:szCs w:val="20"/>
        </w:rPr>
        <w:t>Istotne cechy środowiskowe</w:t>
      </w:r>
    </w:p>
    <w:p w14:paraId="14670026" w14:textId="77777777" w:rsidR="00D91956" w:rsidRPr="00D91956" w:rsidRDefault="00D91956" w:rsidP="00D91956">
      <w:pPr>
        <w:spacing w:line="240" w:lineRule="auto"/>
        <w:rPr>
          <w:rFonts w:cs="Arial"/>
          <w:szCs w:val="20"/>
        </w:rPr>
      </w:pPr>
      <w:r w:rsidRPr="00D91956">
        <w:rPr>
          <w:rFonts w:cs="Arial"/>
          <w:szCs w:val="20"/>
        </w:rPr>
        <w:tab/>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w:t>
      </w:r>
    </w:p>
    <w:p w14:paraId="4E7D711E" w14:textId="77777777" w:rsidR="00D91956" w:rsidRPr="00D91956" w:rsidRDefault="00D91956" w:rsidP="00D91956">
      <w:pPr>
        <w:pStyle w:val="Nagwek2"/>
        <w:spacing w:line="240" w:lineRule="auto"/>
        <w:rPr>
          <w:rFonts w:cs="Arial"/>
          <w:szCs w:val="20"/>
        </w:rPr>
      </w:pPr>
      <w:r w:rsidRPr="00D91956">
        <w:rPr>
          <w:rFonts w:cs="Arial"/>
          <w:szCs w:val="20"/>
        </w:rPr>
        <w:t>Wymagania wobec mieszanek</w:t>
      </w:r>
    </w:p>
    <w:p w14:paraId="3D697865" w14:textId="77777777" w:rsidR="00D91956" w:rsidRPr="00D91956" w:rsidRDefault="00D91956" w:rsidP="00D91956">
      <w:pPr>
        <w:spacing w:line="240" w:lineRule="auto"/>
        <w:rPr>
          <w:rFonts w:cs="Arial"/>
          <w:szCs w:val="20"/>
        </w:rPr>
      </w:pPr>
      <w:r w:rsidRPr="00D91956">
        <w:rPr>
          <w:rFonts w:cs="Arial"/>
          <w:szCs w:val="20"/>
        </w:rPr>
        <w:tab/>
        <w:t>W tablicy 2 przedstawia się zbiorcze zestawienie wymagań wobec mieszanek kruszywa niezwiązanego w warstwie podłoża ulepszonego.</w:t>
      </w:r>
    </w:p>
    <w:p w14:paraId="123C9522" w14:textId="77777777" w:rsidR="00D91956" w:rsidRPr="00D91956" w:rsidRDefault="00D91956" w:rsidP="00D91956">
      <w:pPr>
        <w:pStyle w:val="Bezodstpw"/>
        <w:spacing w:before="120" w:after="120"/>
        <w:ind w:left="1200" w:hanging="1200"/>
        <w:rPr>
          <w:rFonts w:cs="Arial"/>
          <w:szCs w:val="20"/>
        </w:rPr>
      </w:pPr>
    </w:p>
    <w:p w14:paraId="3931F60B" w14:textId="77777777" w:rsidR="00D91956" w:rsidRPr="00D91956" w:rsidRDefault="00D91956" w:rsidP="00D91956">
      <w:pPr>
        <w:pStyle w:val="Bezodstpw"/>
        <w:spacing w:before="120" w:after="120"/>
        <w:ind w:left="1200" w:hanging="1200"/>
        <w:rPr>
          <w:rFonts w:cs="Arial"/>
          <w:szCs w:val="20"/>
        </w:rPr>
      </w:pPr>
    </w:p>
    <w:p w14:paraId="4CB8E2C8" w14:textId="77777777" w:rsidR="00D91956" w:rsidRPr="00D91956" w:rsidRDefault="00D91956" w:rsidP="00D91956">
      <w:pPr>
        <w:pStyle w:val="Bezodstpw"/>
        <w:spacing w:before="120" w:after="120"/>
        <w:ind w:left="1200" w:hanging="1200"/>
        <w:rPr>
          <w:rFonts w:cs="Arial"/>
          <w:szCs w:val="20"/>
        </w:rPr>
      </w:pPr>
    </w:p>
    <w:p w14:paraId="6BE0E3E0" w14:textId="77777777" w:rsidR="00D91956" w:rsidRPr="00D91956" w:rsidRDefault="00D91956" w:rsidP="00D91956">
      <w:pPr>
        <w:pStyle w:val="Bezodstpw"/>
        <w:spacing w:before="120" w:after="120"/>
        <w:ind w:left="1200" w:hanging="1200"/>
        <w:rPr>
          <w:rFonts w:cs="Arial"/>
          <w:szCs w:val="20"/>
        </w:rPr>
      </w:pPr>
    </w:p>
    <w:p w14:paraId="2D9304AF" w14:textId="77777777" w:rsidR="00D91956" w:rsidRPr="00D91956" w:rsidRDefault="00D91956" w:rsidP="00D91956">
      <w:pPr>
        <w:pStyle w:val="Bezodstpw"/>
        <w:spacing w:before="120" w:after="120"/>
        <w:ind w:left="1200" w:hanging="1200"/>
        <w:rPr>
          <w:rFonts w:cs="Arial"/>
          <w:szCs w:val="20"/>
        </w:rPr>
      </w:pPr>
    </w:p>
    <w:p w14:paraId="7C276E3C" w14:textId="77777777" w:rsidR="00D91956" w:rsidRPr="00D91956" w:rsidRDefault="00D91956" w:rsidP="00D91956">
      <w:pPr>
        <w:pStyle w:val="Bezodstpw"/>
        <w:tabs>
          <w:tab w:val="left" w:pos="1276"/>
        </w:tabs>
        <w:ind w:left="1276" w:hanging="1276"/>
        <w:rPr>
          <w:rFonts w:cs="Arial"/>
          <w:szCs w:val="20"/>
        </w:rPr>
      </w:pPr>
      <w:r w:rsidRPr="00D91956">
        <w:rPr>
          <w:rFonts w:cs="Arial"/>
          <w:szCs w:val="20"/>
        </w:rPr>
        <w:lastRenderedPageBreak/>
        <w:t>Tablica  2.</w:t>
      </w:r>
      <w:r w:rsidRPr="00D91956">
        <w:rPr>
          <w:rFonts w:cs="Arial"/>
          <w:szCs w:val="20"/>
        </w:rPr>
        <w:tab/>
        <w:t>Wymagania wobec  mieszanek kruszywa niezwiązanego w warstwie podłoża ulepszonego</w:t>
      </w:r>
    </w:p>
    <w:p w14:paraId="0FBCEAA3" w14:textId="77777777" w:rsidR="00D91956" w:rsidRPr="00D91956" w:rsidRDefault="00D91956" w:rsidP="00D91956">
      <w:pPr>
        <w:pStyle w:val="Bezodstpw"/>
        <w:rPr>
          <w:rFonts w:cs="Arial"/>
          <w:szCs w:val="20"/>
        </w:rPr>
      </w:pPr>
      <w:r w:rsidRPr="00D91956">
        <w:rPr>
          <w:rFonts w:cs="Arial"/>
          <w:szCs w:val="20"/>
        </w:rPr>
        <w:t xml:space="preserve">Skróty użyte w tablicy: Kat.–kategoria właściwości, </w:t>
      </w:r>
      <w:proofErr w:type="spellStart"/>
      <w:r w:rsidRPr="00D91956">
        <w:rPr>
          <w:rFonts w:cs="Arial"/>
          <w:szCs w:val="20"/>
        </w:rPr>
        <w:t>wsk</w:t>
      </w:r>
      <w:proofErr w:type="spellEnd"/>
      <w:r w:rsidRPr="00D91956">
        <w:rPr>
          <w:rFonts w:cs="Arial"/>
          <w:szCs w:val="20"/>
        </w:rPr>
        <w:t xml:space="preserve">.– wskaźnik, </w:t>
      </w:r>
      <w:proofErr w:type="spellStart"/>
      <w:r w:rsidRPr="00D91956">
        <w:rPr>
          <w:rFonts w:cs="Arial"/>
          <w:szCs w:val="20"/>
        </w:rPr>
        <w:t>wsp</w:t>
      </w:r>
      <w:proofErr w:type="spellEnd"/>
      <w:r w:rsidRPr="00D91956">
        <w:rPr>
          <w:rFonts w:cs="Arial"/>
          <w:szCs w:val="20"/>
        </w:rPr>
        <w:t>. – współczynnik</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851"/>
        <w:gridCol w:w="4961"/>
      </w:tblGrid>
      <w:tr w:rsidR="00D91956" w:rsidRPr="00D91956" w14:paraId="49D2F9FB" w14:textId="77777777" w:rsidTr="007B6855">
        <w:tc>
          <w:tcPr>
            <w:tcW w:w="3085" w:type="dxa"/>
            <w:vMerge w:val="restart"/>
            <w:vAlign w:val="center"/>
          </w:tcPr>
          <w:p w14:paraId="5D8225FC" w14:textId="77777777" w:rsidR="00D91956" w:rsidRPr="00D91956" w:rsidRDefault="00D91956" w:rsidP="00D91956">
            <w:pPr>
              <w:pStyle w:val="Bezodstpw"/>
              <w:jc w:val="center"/>
              <w:rPr>
                <w:rFonts w:cs="Arial"/>
                <w:szCs w:val="20"/>
              </w:rPr>
            </w:pPr>
            <w:r w:rsidRPr="00D91956">
              <w:rPr>
                <w:rFonts w:cs="Arial"/>
                <w:szCs w:val="20"/>
              </w:rPr>
              <w:t>Właściwość</w:t>
            </w:r>
          </w:p>
          <w:p w14:paraId="64F82C48" w14:textId="77777777" w:rsidR="00D91956" w:rsidRPr="00D91956" w:rsidRDefault="00D91956" w:rsidP="00D91956">
            <w:pPr>
              <w:pStyle w:val="Bezodstpw"/>
              <w:jc w:val="center"/>
              <w:rPr>
                <w:rFonts w:cs="Arial"/>
                <w:szCs w:val="20"/>
              </w:rPr>
            </w:pPr>
            <w:r w:rsidRPr="00D91956">
              <w:rPr>
                <w:rFonts w:cs="Arial"/>
                <w:szCs w:val="20"/>
              </w:rPr>
              <w:t>kruszywa</w:t>
            </w:r>
          </w:p>
        </w:tc>
        <w:tc>
          <w:tcPr>
            <w:tcW w:w="5812" w:type="dxa"/>
            <w:gridSpan w:val="2"/>
          </w:tcPr>
          <w:p w14:paraId="1FC7AA0A" w14:textId="77777777" w:rsidR="00D91956" w:rsidRPr="00D91956" w:rsidRDefault="00D91956" w:rsidP="00D91956">
            <w:pPr>
              <w:pStyle w:val="Bezodstpw"/>
              <w:jc w:val="center"/>
              <w:rPr>
                <w:rFonts w:cs="Arial"/>
                <w:szCs w:val="20"/>
              </w:rPr>
            </w:pPr>
            <w:r w:rsidRPr="00D91956">
              <w:rPr>
                <w:rFonts w:cs="Arial"/>
                <w:szCs w:val="20"/>
              </w:rPr>
              <w:t>Wymagania wobec  mieszanek kruszywa niezwiązanego w warstwie podłoża ulepszonego pod nawierzchnią drogi obciążonej ruchem  kategorii KR1 ÷ KR6</w:t>
            </w:r>
          </w:p>
        </w:tc>
      </w:tr>
      <w:tr w:rsidR="00D91956" w:rsidRPr="00D91956" w14:paraId="1E2924E9" w14:textId="77777777" w:rsidTr="007B6855">
        <w:trPr>
          <w:trHeight w:val="476"/>
        </w:trPr>
        <w:tc>
          <w:tcPr>
            <w:tcW w:w="3085" w:type="dxa"/>
            <w:vMerge/>
          </w:tcPr>
          <w:p w14:paraId="3DCCDC70" w14:textId="77777777" w:rsidR="00D91956" w:rsidRPr="00D91956" w:rsidRDefault="00D91956" w:rsidP="00D91956">
            <w:pPr>
              <w:pStyle w:val="Bezodstpw"/>
              <w:rPr>
                <w:rFonts w:cs="Arial"/>
                <w:szCs w:val="20"/>
              </w:rPr>
            </w:pPr>
          </w:p>
        </w:tc>
        <w:tc>
          <w:tcPr>
            <w:tcW w:w="851" w:type="dxa"/>
            <w:vAlign w:val="center"/>
          </w:tcPr>
          <w:p w14:paraId="77318EC0" w14:textId="77777777" w:rsidR="00D91956" w:rsidRPr="00D91956" w:rsidRDefault="00D91956" w:rsidP="00D91956">
            <w:pPr>
              <w:pStyle w:val="Bezodstpw"/>
              <w:jc w:val="center"/>
              <w:rPr>
                <w:rFonts w:cs="Arial"/>
                <w:szCs w:val="20"/>
              </w:rPr>
            </w:pPr>
            <w:r w:rsidRPr="00D91956">
              <w:rPr>
                <w:rFonts w:cs="Arial"/>
                <w:szCs w:val="20"/>
              </w:rPr>
              <w:t>Punkt</w:t>
            </w:r>
          </w:p>
          <w:p w14:paraId="433E4254" w14:textId="77777777" w:rsidR="00D91956" w:rsidRPr="00D91956" w:rsidRDefault="00D91956" w:rsidP="00D91956">
            <w:pPr>
              <w:pStyle w:val="Bezodstpw"/>
              <w:jc w:val="center"/>
              <w:rPr>
                <w:rFonts w:cs="Arial"/>
                <w:szCs w:val="20"/>
              </w:rPr>
            </w:pPr>
            <w:r w:rsidRPr="00D91956">
              <w:rPr>
                <w:rFonts w:cs="Arial"/>
                <w:szCs w:val="20"/>
              </w:rPr>
              <w:t>PN-EN</w:t>
            </w:r>
          </w:p>
          <w:p w14:paraId="46835D9E" w14:textId="77777777" w:rsidR="00D91956" w:rsidRPr="00D91956" w:rsidRDefault="00D91956" w:rsidP="00D91956">
            <w:pPr>
              <w:pStyle w:val="Bezodstpw"/>
              <w:jc w:val="center"/>
              <w:rPr>
                <w:rFonts w:cs="Arial"/>
                <w:szCs w:val="20"/>
              </w:rPr>
            </w:pPr>
            <w:r w:rsidRPr="00D91956">
              <w:rPr>
                <w:rFonts w:cs="Arial"/>
                <w:szCs w:val="20"/>
              </w:rPr>
              <w:t>13285</w:t>
            </w:r>
          </w:p>
        </w:tc>
        <w:tc>
          <w:tcPr>
            <w:tcW w:w="4961" w:type="dxa"/>
            <w:vAlign w:val="center"/>
          </w:tcPr>
          <w:p w14:paraId="38AB4CB7" w14:textId="77777777" w:rsidR="00D91956" w:rsidRPr="00D91956" w:rsidRDefault="00D91956" w:rsidP="00D91956">
            <w:pPr>
              <w:pStyle w:val="Bezodstpw"/>
              <w:jc w:val="center"/>
              <w:rPr>
                <w:rFonts w:cs="Arial"/>
                <w:szCs w:val="20"/>
              </w:rPr>
            </w:pPr>
            <w:r w:rsidRPr="00D91956">
              <w:rPr>
                <w:rFonts w:cs="Arial"/>
                <w:szCs w:val="20"/>
              </w:rPr>
              <w:t>Wymagania</w:t>
            </w:r>
          </w:p>
          <w:p w14:paraId="1EAAEBEA" w14:textId="77777777" w:rsidR="00D91956" w:rsidRPr="00D91956" w:rsidRDefault="00D91956" w:rsidP="00D91956">
            <w:pPr>
              <w:pStyle w:val="Bezodstpw"/>
              <w:jc w:val="center"/>
              <w:rPr>
                <w:rFonts w:cs="Arial"/>
                <w:szCs w:val="20"/>
              </w:rPr>
            </w:pPr>
          </w:p>
        </w:tc>
      </w:tr>
      <w:tr w:rsidR="00D91956" w:rsidRPr="00D91956" w14:paraId="18A12705" w14:textId="77777777" w:rsidTr="007B6855">
        <w:tc>
          <w:tcPr>
            <w:tcW w:w="3085" w:type="dxa"/>
          </w:tcPr>
          <w:p w14:paraId="2B79BB43" w14:textId="77777777" w:rsidR="00D91956" w:rsidRPr="00D91956" w:rsidRDefault="00D91956" w:rsidP="00D91956">
            <w:pPr>
              <w:pStyle w:val="Bezodstpw"/>
              <w:rPr>
                <w:rFonts w:cs="Arial"/>
                <w:szCs w:val="20"/>
              </w:rPr>
            </w:pPr>
            <w:r w:rsidRPr="00D91956">
              <w:rPr>
                <w:rFonts w:cs="Arial"/>
                <w:szCs w:val="20"/>
              </w:rPr>
              <w:t>Uziarnienie mieszanek</w:t>
            </w:r>
          </w:p>
        </w:tc>
        <w:tc>
          <w:tcPr>
            <w:tcW w:w="851" w:type="dxa"/>
          </w:tcPr>
          <w:p w14:paraId="7811D127" w14:textId="77777777" w:rsidR="00D91956" w:rsidRPr="00D91956" w:rsidRDefault="00D91956" w:rsidP="00D91956">
            <w:pPr>
              <w:pStyle w:val="Bezodstpw"/>
              <w:rPr>
                <w:rFonts w:cs="Arial"/>
                <w:szCs w:val="20"/>
              </w:rPr>
            </w:pPr>
            <w:r w:rsidRPr="00D91956">
              <w:rPr>
                <w:rFonts w:cs="Arial"/>
                <w:szCs w:val="20"/>
              </w:rPr>
              <w:t>4.3.1</w:t>
            </w:r>
          </w:p>
        </w:tc>
        <w:tc>
          <w:tcPr>
            <w:tcW w:w="4961" w:type="dxa"/>
          </w:tcPr>
          <w:p w14:paraId="5E91C0DF" w14:textId="77777777" w:rsidR="00D91956" w:rsidRPr="00D91956" w:rsidRDefault="00D91956" w:rsidP="00D91956">
            <w:pPr>
              <w:pStyle w:val="Bezodstpw"/>
              <w:rPr>
                <w:rFonts w:cs="Arial"/>
                <w:szCs w:val="20"/>
              </w:rPr>
            </w:pPr>
            <w:r w:rsidRPr="00D91956">
              <w:rPr>
                <w:rFonts w:cs="Arial"/>
                <w:szCs w:val="20"/>
              </w:rPr>
              <w:t>0/8; 0/11,2; 0/16; 0/22,4; 0/31,5; 0/45; 0/63 mm</w:t>
            </w:r>
          </w:p>
        </w:tc>
      </w:tr>
      <w:tr w:rsidR="00D91956" w:rsidRPr="00D91956" w14:paraId="7497220D" w14:textId="77777777" w:rsidTr="007B6855">
        <w:trPr>
          <w:trHeight w:val="433"/>
        </w:trPr>
        <w:tc>
          <w:tcPr>
            <w:tcW w:w="3085" w:type="dxa"/>
          </w:tcPr>
          <w:p w14:paraId="7962B5E4" w14:textId="77777777" w:rsidR="00D91956" w:rsidRPr="00D91956" w:rsidRDefault="00D91956" w:rsidP="00D91956">
            <w:pPr>
              <w:pStyle w:val="Bezodstpw"/>
              <w:rPr>
                <w:rFonts w:cs="Arial"/>
                <w:szCs w:val="20"/>
              </w:rPr>
            </w:pPr>
            <w:r w:rsidRPr="00D91956">
              <w:rPr>
                <w:rFonts w:cs="Arial"/>
                <w:szCs w:val="20"/>
              </w:rPr>
              <w:t>Maksymalna zawartość pyłów:</w:t>
            </w:r>
          </w:p>
          <w:p w14:paraId="5AE8EC2E" w14:textId="77777777" w:rsidR="00D91956" w:rsidRPr="00D91956" w:rsidRDefault="00D91956" w:rsidP="00D91956">
            <w:pPr>
              <w:pStyle w:val="Bezodstpw"/>
              <w:rPr>
                <w:rFonts w:cs="Arial"/>
                <w:szCs w:val="20"/>
              </w:rPr>
            </w:pPr>
            <w:proofErr w:type="spellStart"/>
            <w:r w:rsidRPr="00D91956">
              <w:rPr>
                <w:rFonts w:cs="Arial"/>
                <w:szCs w:val="20"/>
              </w:rPr>
              <w:t>Kat.UF</w:t>
            </w:r>
            <w:proofErr w:type="spellEnd"/>
          </w:p>
        </w:tc>
        <w:tc>
          <w:tcPr>
            <w:tcW w:w="851" w:type="dxa"/>
          </w:tcPr>
          <w:p w14:paraId="34B98065" w14:textId="77777777" w:rsidR="00D91956" w:rsidRPr="00D91956" w:rsidRDefault="00D91956" w:rsidP="00D91956">
            <w:pPr>
              <w:pStyle w:val="Bezodstpw"/>
              <w:rPr>
                <w:rFonts w:cs="Arial"/>
                <w:szCs w:val="20"/>
              </w:rPr>
            </w:pPr>
            <w:r w:rsidRPr="00D91956">
              <w:rPr>
                <w:rFonts w:cs="Arial"/>
                <w:szCs w:val="20"/>
              </w:rPr>
              <w:t>4.3.2</w:t>
            </w:r>
          </w:p>
        </w:tc>
        <w:tc>
          <w:tcPr>
            <w:tcW w:w="4961" w:type="dxa"/>
          </w:tcPr>
          <w:p w14:paraId="4B7F7ACF" w14:textId="77777777" w:rsidR="00D91956" w:rsidRPr="00D91956" w:rsidRDefault="00D91956" w:rsidP="00D91956">
            <w:pPr>
              <w:pStyle w:val="Bezodstpw"/>
              <w:rPr>
                <w:rFonts w:cs="Arial"/>
                <w:szCs w:val="20"/>
              </w:rPr>
            </w:pPr>
            <w:r w:rsidRPr="00D91956">
              <w:rPr>
                <w:rFonts w:cs="Arial"/>
                <w:szCs w:val="20"/>
              </w:rPr>
              <w:t>Kat. UF</w:t>
            </w:r>
            <w:r w:rsidRPr="00D91956">
              <w:rPr>
                <w:rFonts w:cs="Arial"/>
                <w:szCs w:val="20"/>
                <w:vertAlign w:val="subscript"/>
              </w:rPr>
              <w:t>15</w:t>
            </w:r>
            <w:r w:rsidRPr="00D91956">
              <w:rPr>
                <w:rFonts w:cs="Arial"/>
                <w:szCs w:val="20"/>
              </w:rPr>
              <w:t xml:space="preserve">  (tj. masa frakcji przechodzącej przez sito            </w:t>
            </w:r>
            <w:smartTag w:uri="urn:schemas-microsoft-com:office:smarttags" w:element="metricconverter">
              <w:smartTagPr>
                <w:attr w:name="ProductID" w:val="0,063 mm"/>
              </w:smartTagPr>
              <w:r w:rsidRPr="00D91956">
                <w:rPr>
                  <w:rFonts w:cs="Arial"/>
                  <w:szCs w:val="20"/>
                </w:rPr>
                <w:t>0,063 mm</w:t>
              </w:r>
            </w:smartTag>
            <w:r w:rsidRPr="00D91956">
              <w:rPr>
                <w:rFonts w:cs="Arial"/>
                <w:szCs w:val="20"/>
              </w:rPr>
              <w:t xml:space="preserve"> powinna być ≤ 15%)</w:t>
            </w:r>
          </w:p>
        </w:tc>
      </w:tr>
      <w:tr w:rsidR="00D91956" w:rsidRPr="00D91956" w14:paraId="2AD80E62" w14:textId="77777777" w:rsidTr="007B6855">
        <w:tc>
          <w:tcPr>
            <w:tcW w:w="3085" w:type="dxa"/>
          </w:tcPr>
          <w:p w14:paraId="6502382B" w14:textId="77777777" w:rsidR="00D91956" w:rsidRPr="00D91956" w:rsidRDefault="00D91956" w:rsidP="00D91956">
            <w:pPr>
              <w:pStyle w:val="Bezodstpw"/>
              <w:rPr>
                <w:rFonts w:cs="Arial"/>
                <w:szCs w:val="20"/>
              </w:rPr>
            </w:pPr>
            <w:r w:rsidRPr="00D91956">
              <w:rPr>
                <w:rFonts w:cs="Arial"/>
                <w:szCs w:val="20"/>
              </w:rPr>
              <w:t>Minimalna zawartość pyłów:</w:t>
            </w:r>
          </w:p>
          <w:p w14:paraId="2131B5BF" w14:textId="77777777" w:rsidR="00D91956" w:rsidRPr="00D91956" w:rsidRDefault="00D91956" w:rsidP="00D91956">
            <w:pPr>
              <w:pStyle w:val="Bezodstpw"/>
              <w:rPr>
                <w:rFonts w:cs="Arial"/>
                <w:szCs w:val="20"/>
              </w:rPr>
            </w:pPr>
            <w:r w:rsidRPr="00D91956">
              <w:rPr>
                <w:rFonts w:cs="Arial"/>
                <w:szCs w:val="20"/>
              </w:rPr>
              <w:t xml:space="preserve">Kat. LF </w:t>
            </w:r>
          </w:p>
        </w:tc>
        <w:tc>
          <w:tcPr>
            <w:tcW w:w="851" w:type="dxa"/>
          </w:tcPr>
          <w:p w14:paraId="0B1617FD" w14:textId="77777777" w:rsidR="00D91956" w:rsidRPr="00D91956" w:rsidRDefault="00D91956" w:rsidP="00D91956">
            <w:pPr>
              <w:pStyle w:val="Bezodstpw"/>
              <w:rPr>
                <w:rFonts w:cs="Arial"/>
                <w:szCs w:val="20"/>
              </w:rPr>
            </w:pPr>
            <w:r w:rsidRPr="00D91956">
              <w:rPr>
                <w:rFonts w:cs="Arial"/>
                <w:szCs w:val="20"/>
              </w:rPr>
              <w:t>4.3.2</w:t>
            </w:r>
          </w:p>
        </w:tc>
        <w:tc>
          <w:tcPr>
            <w:tcW w:w="4961" w:type="dxa"/>
          </w:tcPr>
          <w:p w14:paraId="69A2EFD8" w14:textId="77777777" w:rsidR="00D91956" w:rsidRPr="00D91956" w:rsidRDefault="00D91956" w:rsidP="00D91956">
            <w:pPr>
              <w:pStyle w:val="Bezodstpw"/>
              <w:rPr>
                <w:rFonts w:cs="Arial"/>
                <w:szCs w:val="20"/>
              </w:rPr>
            </w:pPr>
            <w:r w:rsidRPr="00D91956">
              <w:rPr>
                <w:rFonts w:cs="Arial"/>
                <w:szCs w:val="20"/>
              </w:rPr>
              <w:t>Kat. LF</w:t>
            </w:r>
            <w:r w:rsidRPr="00D91956">
              <w:rPr>
                <w:rFonts w:cs="Arial"/>
                <w:szCs w:val="20"/>
                <w:vertAlign w:val="subscript"/>
              </w:rPr>
              <w:t xml:space="preserve">NR  </w:t>
            </w:r>
            <w:r w:rsidRPr="00D91956">
              <w:rPr>
                <w:rFonts w:cs="Arial"/>
                <w:szCs w:val="20"/>
              </w:rPr>
              <w:t>(tj. brak wymagań)</w:t>
            </w:r>
          </w:p>
        </w:tc>
      </w:tr>
      <w:tr w:rsidR="00D91956" w:rsidRPr="00D91956" w14:paraId="06BF2850" w14:textId="77777777" w:rsidTr="007B6855">
        <w:trPr>
          <w:trHeight w:val="671"/>
        </w:trPr>
        <w:tc>
          <w:tcPr>
            <w:tcW w:w="3085" w:type="dxa"/>
          </w:tcPr>
          <w:p w14:paraId="3DAC8212" w14:textId="77777777" w:rsidR="00D91956" w:rsidRPr="00D91956" w:rsidRDefault="00D91956" w:rsidP="00D91956">
            <w:pPr>
              <w:pStyle w:val="Bezodstpw"/>
              <w:rPr>
                <w:rFonts w:cs="Arial"/>
                <w:szCs w:val="20"/>
              </w:rPr>
            </w:pPr>
            <w:r w:rsidRPr="00D91956">
              <w:rPr>
                <w:rFonts w:cs="Arial"/>
                <w:szCs w:val="20"/>
              </w:rPr>
              <w:t>Zawartość nadziarna:</w:t>
            </w:r>
          </w:p>
          <w:p w14:paraId="1E06B66C" w14:textId="77777777" w:rsidR="00D91956" w:rsidRPr="00D91956" w:rsidRDefault="00D91956" w:rsidP="00D91956">
            <w:pPr>
              <w:pStyle w:val="Bezodstpw"/>
              <w:rPr>
                <w:rFonts w:cs="Arial"/>
                <w:szCs w:val="20"/>
              </w:rPr>
            </w:pPr>
            <w:proofErr w:type="spellStart"/>
            <w:r w:rsidRPr="00D91956">
              <w:rPr>
                <w:rFonts w:cs="Arial"/>
                <w:szCs w:val="20"/>
              </w:rPr>
              <w:t>Kat.OC</w:t>
            </w:r>
            <w:proofErr w:type="spellEnd"/>
          </w:p>
        </w:tc>
        <w:tc>
          <w:tcPr>
            <w:tcW w:w="851" w:type="dxa"/>
          </w:tcPr>
          <w:p w14:paraId="02910476" w14:textId="77777777" w:rsidR="00D91956" w:rsidRPr="00D91956" w:rsidRDefault="00D91956" w:rsidP="00D91956">
            <w:pPr>
              <w:pStyle w:val="Bezodstpw"/>
              <w:rPr>
                <w:rFonts w:cs="Arial"/>
                <w:szCs w:val="20"/>
              </w:rPr>
            </w:pPr>
            <w:r w:rsidRPr="00D91956">
              <w:rPr>
                <w:rFonts w:cs="Arial"/>
                <w:szCs w:val="20"/>
              </w:rPr>
              <w:t>4.3.3</w:t>
            </w:r>
          </w:p>
        </w:tc>
        <w:tc>
          <w:tcPr>
            <w:tcW w:w="4961" w:type="dxa"/>
          </w:tcPr>
          <w:p w14:paraId="1064D153" w14:textId="77777777" w:rsidR="00D91956" w:rsidRPr="00D91956" w:rsidRDefault="00D91956" w:rsidP="00D91956">
            <w:pPr>
              <w:pStyle w:val="Bezodstpw"/>
              <w:rPr>
                <w:rFonts w:cs="Arial"/>
                <w:szCs w:val="20"/>
              </w:rPr>
            </w:pPr>
            <w:r w:rsidRPr="00D91956">
              <w:rPr>
                <w:rFonts w:cs="Arial"/>
                <w:szCs w:val="20"/>
              </w:rPr>
              <w:t>Kat. OC</w:t>
            </w:r>
            <w:r w:rsidRPr="00D91956">
              <w:rPr>
                <w:rFonts w:cs="Arial"/>
                <w:szCs w:val="20"/>
                <w:vertAlign w:val="subscript"/>
              </w:rPr>
              <w:t>90</w:t>
            </w:r>
            <w:r w:rsidRPr="00D91956">
              <w:rPr>
                <w:rFonts w:cs="Arial"/>
                <w:szCs w:val="20"/>
              </w:rPr>
              <w:t xml:space="preserve"> (tj. procent przechodzącej masy przez sito 1,4D</w:t>
            </w:r>
            <w:r w:rsidRPr="00D91956">
              <w:rPr>
                <w:rFonts w:cs="Arial"/>
                <w:szCs w:val="20"/>
                <w:vertAlign w:val="superscript"/>
              </w:rPr>
              <w:t>*)</w:t>
            </w:r>
            <w:r w:rsidRPr="00D91956">
              <w:rPr>
                <w:rFonts w:cs="Arial"/>
                <w:szCs w:val="20"/>
              </w:rPr>
              <w:t xml:space="preserve"> powinien wynosić 100%, a przechodzącej przez sito D</w:t>
            </w:r>
            <w:r w:rsidRPr="00D91956">
              <w:rPr>
                <w:rFonts w:cs="Arial"/>
                <w:szCs w:val="20"/>
                <w:vertAlign w:val="superscript"/>
              </w:rPr>
              <w:t>**)</w:t>
            </w:r>
            <w:r w:rsidRPr="00D91956">
              <w:rPr>
                <w:rFonts w:cs="Arial"/>
                <w:szCs w:val="20"/>
              </w:rPr>
              <w:t xml:space="preserve"> powinien wynosić 90-99%)</w:t>
            </w:r>
          </w:p>
        </w:tc>
      </w:tr>
      <w:tr w:rsidR="00D91956" w:rsidRPr="00D91956" w14:paraId="21AFAFFE" w14:textId="77777777" w:rsidTr="007B6855">
        <w:tc>
          <w:tcPr>
            <w:tcW w:w="3085" w:type="dxa"/>
          </w:tcPr>
          <w:p w14:paraId="6E7A304B" w14:textId="77777777" w:rsidR="00D91956" w:rsidRPr="00D91956" w:rsidRDefault="00D91956" w:rsidP="00D91956">
            <w:pPr>
              <w:pStyle w:val="Bezodstpw"/>
              <w:rPr>
                <w:rFonts w:cs="Arial"/>
                <w:szCs w:val="20"/>
              </w:rPr>
            </w:pPr>
            <w:r w:rsidRPr="00D91956">
              <w:rPr>
                <w:rFonts w:cs="Arial"/>
                <w:szCs w:val="20"/>
              </w:rPr>
              <w:t>Wymagania wobec uziarnienia</w:t>
            </w:r>
          </w:p>
        </w:tc>
        <w:tc>
          <w:tcPr>
            <w:tcW w:w="851" w:type="dxa"/>
          </w:tcPr>
          <w:p w14:paraId="609BA607" w14:textId="77777777" w:rsidR="00D91956" w:rsidRPr="00D91956" w:rsidRDefault="00D91956" w:rsidP="00D91956">
            <w:pPr>
              <w:pStyle w:val="Bezodstpw"/>
              <w:rPr>
                <w:rFonts w:cs="Arial"/>
                <w:szCs w:val="20"/>
              </w:rPr>
            </w:pPr>
            <w:r w:rsidRPr="00D91956">
              <w:rPr>
                <w:rFonts w:cs="Arial"/>
                <w:szCs w:val="20"/>
              </w:rPr>
              <w:t>4.4.1</w:t>
            </w:r>
          </w:p>
        </w:tc>
        <w:tc>
          <w:tcPr>
            <w:tcW w:w="4961" w:type="dxa"/>
          </w:tcPr>
          <w:p w14:paraId="4E3D5340" w14:textId="77777777" w:rsidR="00D91956" w:rsidRPr="00D91956" w:rsidRDefault="00D91956" w:rsidP="00D91956">
            <w:pPr>
              <w:pStyle w:val="Bezodstpw"/>
              <w:rPr>
                <w:rFonts w:cs="Arial"/>
                <w:szCs w:val="20"/>
              </w:rPr>
            </w:pPr>
            <w:r w:rsidRPr="00D91956">
              <w:rPr>
                <w:rFonts w:cs="Arial"/>
                <w:szCs w:val="20"/>
              </w:rPr>
              <w:t>Krzywe graniczne uziarnienia według rys. 1÷7</w:t>
            </w:r>
          </w:p>
        </w:tc>
      </w:tr>
      <w:tr w:rsidR="00D91956" w:rsidRPr="00D91956" w14:paraId="3FAD192F" w14:textId="77777777" w:rsidTr="007B6855">
        <w:tc>
          <w:tcPr>
            <w:tcW w:w="3085" w:type="dxa"/>
          </w:tcPr>
          <w:p w14:paraId="6BFF72C5" w14:textId="77777777" w:rsidR="00D91956" w:rsidRPr="00D91956" w:rsidRDefault="00D91956" w:rsidP="00D91956">
            <w:pPr>
              <w:pStyle w:val="Bezodstpw"/>
              <w:rPr>
                <w:rFonts w:cs="Arial"/>
                <w:szCs w:val="20"/>
              </w:rPr>
            </w:pPr>
            <w:r w:rsidRPr="00D91956">
              <w:rPr>
                <w:rFonts w:cs="Arial"/>
                <w:szCs w:val="20"/>
              </w:rPr>
              <w:t>Wymagania wobec jednorodności uziarnienia poszczególnych partii – porównanie z deklarowaną przez producenta wartością (S)</w:t>
            </w:r>
          </w:p>
        </w:tc>
        <w:tc>
          <w:tcPr>
            <w:tcW w:w="851" w:type="dxa"/>
          </w:tcPr>
          <w:p w14:paraId="41E2E50E" w14:textId="77777777" w:rsidR="00D91956" w:rsidRPr="00D91956" w:rsidRDefault="00D91956" w:rsidP="00D91956">
            <w:pPr>
              <w:pStyle w:val="Bezodstpw"/>
              <w:rPr>
                <w:rFonts w:cs="Arial"/>
                <w:szCs w:val="20"/>
              </w:rPr>
            </w:pPr>
            <w:r w:rsidRPr="00D91956">
              <w:rPr>
                <w:rFonts w:cs="Arial"/>
                <w:szCs w:val="20"/>
              </w:rPr>
              <w:t>4.4.2</w:t>
            </w:r>
          </w:p>
        </w:tc>
        <w:tc>
          <w:tcPr>
            <w:tcW w:w="4961" w:type="dxa"/>
          </w:tcPr>
          <w:p w14:paraId="387A1CBC" w14:textId="77777777" w:rsidR="00D91956" w:rsidRPr="00D91956" w:rsidRDefault="00D91956" w:rsidP="00D91956">
            <w:pPr>
              <w:pStyle w:val="Bezodstpw"/>
              <w:rPr>
                <w:rFonts w:cs="Arial"/>
                <w:szCs w:val="20"/>
              </w:rPr>
            </w:pPr>
            <w:r w:rsidRPr="00D91956">
              <w:rPr>
                <w:rFonts w:cs="Arial"/>
                <w:szCs w:val="20"/>
              </w:rPr>
              <w:t>Brak wymagań</w:t>
            </w:r>
          </w:p>
        </w:tc>
      </w:tr>
      <w:tr w:rsidR="00D91956" w:rsidRPr="00D91956" w14:paraId="4A8E2C65" w14:textId="77777777" w:rsidTr="007B6855">
        <w:tc>
          <w:tcPr>
            <w:tcW w:w="3085" w:type="dxa"/>
          </w:tcPr>
          <w:p w14:paraId="6EAC0573" w14:textId="77777777" w:rsidR="00D91956" w:rsidRPr="00D91956" w:rsidRDefault="00D91956" w:rsidP="00D91956">
            <w:pPr>
              <w:pStyle w:val="Bezodstpw"/>
              <w:rPr>
                <w:rFonts w:cs="Arial"/>
                <w:szCs w:val="20"/>
              </w:rPr>
            </w:pPr>
            <w:r w:rsidRPr="00D91956">
              <w:rPr>
                <w:rFonts w:cs="Arial"/>
                <w:szCs w:val="20"/>
              </w:rPr>
              <w:t>Wymagania wobec jednorodności uziarnienia na sitach kontrolnych – różnice w przesiewach</w:t>
            </w:r>
          </w:p>
        </w:tc>
        <w:tc>
          <w:tcPr>
            <w:tcW w:w="851" w:type="dxa"/>
          </w:tcPr>
          <w:p w14:paraId="585A03C3" w14:textId="77777777" w:rsidR="00D91956" w:rsidRPr="00D91956" w:rsidRDefault="00D91956" w:rsidP="00D91956">
            <w:pPr>
              <w:pStyle w:val="Bezodstpw"/>
              <w:rPr>
                <w:rFonts w:cs="Arial"/>
                <w:szCs w:val="20"/>
              </w:rPr>
            </w:pPr>
            <w:r w:rsidRPr="00D91956">
              <w:rPr>
                <w:rFonts w:cs="Arial"/>
                <w:szCs w:val="20"/>
              </w:rPr>
              <w:t>4.4.2</w:t>
            </w:r>
          </w:p>
        </w:tc>
        <w:tc>
          <w:tcPr>
            <w:tcW w:w="4961" w:type="dxa"/>
          </w:tcPr>
          <w:p w14:paraId="104F3AC4" w14:textId="77777777" w:rsidR="00D91956" w:rsidRPr="00D91956" w:rsidRDefault="00D91956" w:rsidP="00D91956">
            <w:pPr>
              <w:pStyle w:val="Bezodstpw"/>
              <w:rPr>
                <w:rFonts w:cs="Arial"/>
                <w:szCs w:val="20"/>
              </w:rPr>
            </w:pPr>
            <w:r w:rsidRPr="00D91956">
              <w:rPr>
                <w:rFonts w:cs="Arial"/>
                <w:szCs w:val="20"/>
              </w:rPr>
              <w:t>Brak wymagań</w:t>
            </w:r>
          </w:p>
        </w:tc>
      </w:tr>
      <w:tr w:rsidR="00D91956" w:rsidRPr="00D91956" w14:paraId="1698E9D6" w14:textId="77777777" w:rsidTr="007B6855">
        <w:tc>
          <w:tcPr>
            <w:tcW w:w="3085" w:type="dxa"/>
          </w:tcPr>
          <w:p w14:paraId="4B4A0B90" w14:textId="77777777" w:rsidR="00D91956" w:rsidRPr="00D91956" w:rsidRDefault="00D91956" w:rsidP="00D91956">
            <w:pPr>
              <w:pStyle w:val="Bezodstpw"/>
              <w:rPr>
                <w:rFonts w:cs="Arial"/>
                <w:szCs w:val="20"/>
              </w:rPr>
            </w:pPr>
            <w:r w:rsidRPr="00D91956">
              <w:rPr>
                <w:rFonts w:cs="Arial"/>
                <w:szCs w:val="20"/>
              </w:rPr>
              <w:t>Wrażliwość na mróz; wskaźnik piaskowy SE</w:t>
            </w:r>
            <w:r w:rsidRPr="00D91956">
              <w:rPr>
                <w:rFonts w:cs="Arial"/>
                <w:szCs w:val="20"/>
                <w:vertAlign w:val="superscript"/>
              </w:rPr>
              <w:t>***)</w:t>
            </w:r>
            <w:r w:rsidRPr="00D91956">
              <w:rPr>
                <w:rFonts w:cs="Arial"/>
                <w:szCs w:val="20"/>
              </w:rPr>
              <w:t>, co najmniej</w:t>
            </w:r>
          </w:p>
        </w:tc>
        <w:tc>
          <w:tcPr>
            <w:tcW w:w="851" w:type="dxa"/>
          </w:tcPr>
          <w:p w14:paraId="72AA6A3A" w14:textId="77777777" w:rsidR="00D91956" w:rsidRPr="00D91956" w:rsidRDefault="00D91956" w:rsidP="00D91956">
            <w:pPr>
              <w:pStyle w:val="Bezodstpw"/>
              <w:rPr>
                <w:rFonts w:cs="Arial"/>
                <w:szCs w:val="20"/>
              </w:rPr>
            </w:pPr>
            <w:r w:rsidRPr="00D91956">
              <w:rPr>
                <w:rFonts w:cs="Arial"/>
                <w:szCs w:val="20"/>
              </w:rPr>
              <w:t>4.5</w:t>
            </w:r>
          </w:p>
        </w:tc>
        <w:tc>
          <w:tcPr>
            <w:tcW w:w="4961" w:type="dxa"/>
          </w:tcPr>
          <w:p w14:paraId="0EBA27E3" w14:textId="77777777" w:rsidR="00D91956" w:rsidRPr="00D91956" w:rsidRDefault="00D91956" w:rsidP="00D91956">
            <w:pPr>
              <w:pStyle w:val="Bezodstpw"/>
              <w:rPr>
                <w:rFonts w:cs="Arial"/>
                <w:szCs w:val="20"/>
              </w:rPr>
            </w:pPr>
            <w:r w:rsidRPr="00D91956">
              <w:rPr>
                <w:rFonts w:cs="Arial"/>
                <w:szCs w:val="20"/>
              </w:rPr>
              <w:t>35</w:t>
            </w:r>
          </w:p>
        </w:tc>
      </w:tr>
      <w:tr w:rsidR="00D91956" w:rsidRPr="00D91956" w14:paraId="66E20966" w14:textId="77777777" w:rsidTr="007B6855">
        <w:tc>
          <w:tcPr>
            <w:tcW w:w="3085" w:type="dxa"/>
          </w:tcPr>
          <w:p w14:paraId="034F7D54" w14:textId="77777777" w:rsidR="00D91956" w:rsidRPr="00D91956" w:rsidRDefault="00D91956" w:rsidP="00D91956">
            <w:pPr>
              <w:pStyle w:val="Bezodstpw"/>
              <w:rPr>
                <w:rFonts w:cs="Arial"/>
                <w:szCs w:val="20"/>
              </w:rPr>
            </w:pPr>
            <w:r w:rsidRPr="00D91956">
              <w:rPr>
                <w:rFonts w:cs="Arial"/>
                <w:szCs w:val="20"/>
              </w:rPr>
              <w:t>Odporność na rozdrabnianie (dotyczy frakcji 10/14 mm odsianej z mieszanki) wg PN-EN 1097-1 [11], kat. nie wyższa niż</w:t>
            </w:r>
          </w:p>
        </w:tc>
        <w:tc>
          <w:tcPr>
            <w:tcW w:w="851" w:type="dxa"/>
          </w:tcPr>
          <w:p w14:paraId="1B87B70A" w14:textId="77777777" w:rsidR="00D91956" w:rsidRPr="00D91956" w:rsidRDefault="00D91956" w:rsidP="00D91956">
            <w:pPr>
              <w:pStyle w:val="Bezodstpw"/>
              <w:rPr>
                <w:rFonts w:cs="Arial"/>
                <w:szCs w:val="20"/>
              </w:rPr>
            </w:pPr>
          </w:p>
        </w:tc>
        <w:tc>
          <w:tcPr>
            <w:tcW w:w="4961" w:type="dxa"/>
          </w:tcPr>
          <w:p w14:paraId="4085C4F7" w14:textId="77777777" w:rsidR="00D91956" w:rsidRPr="00D91956" w:rsidRDefault="00D91956" w:rsidP="00D91956">
            <w:pPr>
              <w:pStyle w:val="Bezodstpw"/>
              <w:rPr>
                <w:rFonts w:cs="Arial"/>
                <w:szCs w:val="20"/>
              </w:rPr>
            </w:pPr>
            <w:r w:rsidRPr="00D91956">
              <w:rPr>
                <w:rFonts w:cs="Arial"/>
                <w:szCs w:val="20"/>
              </w:rPr>
              <w:t>Kat. LA</w:t>
            </w:r>
            <w:r w:rsidRPr="00D91956">
              <w:rPr>
                <w:rFonts w:cs="Arial"/>
                <w:szCs w:val="20"/>
                <w:vertAlign w:val="subscript"/>
              </w:rPr>
              <w:t>NR</w:t>
            </w:r>
            <w:r w:rsidRPr="00D91956">
              <w:rPr>
                <w:rFonts w:cs="Arial"/>
                <w:szCs w:val="20"/>
              </w:rPr>
              <w:t xml:space="preserve">  (tj. brak wymagań)</w:t>
            </w:r>
          </w:p>
        </w:tc>
      </w:tr>
      <w:tr w:rsidR="00D91956" w:rsidRPr="00D91956" w14:paraId="6CBAB1AC" w14:textId="77777777" w:rsidTr="007B6855">
        <w:tc>
          <w:tcPr>
            <w:tcW w:w="3085" w:type="dxa"/>
          </w:tcPr>
          <w:p w14:paraId="088F8DD0" w14:textId="77777777" w:rsidR="00D91956" w:rsidRPr="00D91956" w:rsidRDefault="00D91956" w:rsidP="00D91956">
            <w:pPr>
              <w:pStyle w:val="Bezodstpw"/>
              <w:rPr>
                <w:rFonts w:cs="Arial"/>
                <w:szCs w:val="20"/>
                <w:vertAlign w:val="subscript"/>
              </w:rPr>
            </w:pPr>
            <w:r w:rsidRPr="00D91956">
              <w:rPr>
                <w:rFonts w:cs="Arial"/>
                <w:szCs w:val="20"/>
              </w:rPr>
              <w:t>Odporność na ścieranie (dotyczy frakcji 10/14 mm odsianej z mieszanki) wg PN-EN 1097-1 [11], kat. M</w:t>
            </w:r>
            <w:r w:rsidRPr="00D91956">
              <w:rPr>
                <w:rFonts w:cs="Arial"/>
                <w:szCs w:val="20"/>
                <w:vertAlign w:val="subscript"/>
              </w:rPr>
              <w:t>DE</w:t>
            </w:r>
          </w:p>
        </w:tc>
        <w:tc>
          <w:tcPr>
            <w:tcW w:w="851" w:type="dxa"/>
          </w:tcPr>
          <w:p w14:paraId="06400C6E" w14:textId="77777777" w:rsidR="00D91956" w:rsidRPr="00D91956" w:rsidRDefault="00D91956" w:rsidP="00D91956">
            <w:pPr>
              <w:pStyle w:val="Bezodstpw"/>
              <w:rPr>
                <w:rFonts w:cs="Arial"/>
                <w:szCs w:val="20"/>
              </w:rPr>
            </w:pPr>
          </w:p>
        </w:tc>
        <w:tc>
          <w:tcPr>
            <w:tcW w:w="4961" w:type="dxa"/>
          </w:tcPr>
          <w:p w14:paraId="62297D59" w14:textId="77777777" w:rsidR="00D91956" w:rsidRPr="00D91956" w:rsidRDefault="00D91956" w:rsidP="00D91956">
            <w:pPr>
              <w:pStyle w:val="Bezodstpw"/>
              <w:rPr>
                <w:rFonts w:cs="Arial"/>
                <w:szCs w:val="20"/>
              </w:rPr>
            </w:pPr>
            <w:r w:rsidRPr="00D91956">
              <w:rPr>
                <w:rFonts w:cs="Arial"/>
                <w:szCs w:val="20"/>
              </w:rPr>
              <w:t>Deklarowana</w:t>
            </w:r>
          </w:p>
        </w:tc>
      </w:tr>
      <w:tr w:rsidR="00D91956" w:rsidRPr="00D91956" w14:paraId="3985932C" w14:textId="77777777" w:rsidTr="007B6855">
        <w:tc>
          <w:tcPr>
            <w:tcW w:w="3085" w:type="dxa"/>
          </w:tcPr>
          <w:p w14:paraId="513EF45E" w14:textId="77777777" w:rsidR="00D91956" w:rsidRPr="00D91956" w:rsidRDefault="00D91956" w:rsidP="00D91956">
            <w:pPr>
              <w:pStyle w:val="Bezodstpw"/>
              <w:rPr>
                <w:rFonts w:cs="Arial"/>
                <w:szCs w:val="20"/>
              </w:rPr>
            </w:pPr>
            <w:r w:rsidRPr="00D91956">
              <w:rPr>
                <w:rFonts w:cs="Arial"/>
                <w:szCs w:val="20"/>
              </w:rPr>
              <w:t>Mrozoodporność (dotyczy frakcji kruszywa 8/16 mm odsianej z mieszanki) wg PN-EN 1367-1 [14]</w:t>
            </w:r>
          </w:p>
        </w:tc>
        <w:tc>
          <w:tcPr>
            <w:tcW w:w="851" w:type="dxa"/>
          </w:tcPr>
          <w:p w14:paraId="77318EBD" w14:textId="77777777" w:rsidR="00D91956" w:rsidRPr="00D91956" w:rsidRDefault="00D91956" w:rsidP="00D91956">
            <w:pPr>
              <w:pStyle w:val="Bezodstpw"/>
              <w:rPr>
                <w:rFonts w:cs="Arial"/>
                <w:szCs w:val="20"/>
              </w:rPr>
            </w:pPr>
          </w:p>
        </w:tc>
        <w:tc>
          <w:tcPr>
            <w:tcW w:w="4961" w:type="dxa"/>
          </w:tcPr>
          <w:p w14:paraId="433DEBA3" w14:textId="77777777" w:rsidR="00D91956" w:rsidRPr="00D91956" w:rsidRDefault="00D91956" w:rsidP="00D91956">
            <w:pPr>
              <w:pStyle w:val="Bezodstpw"/>
              <w:rPr>
                <w:rFonts w:cs="Arial"/>
                <w:szCs w:val="20"/>
              </w:rPr>
            </w:pPr>
            <w:r w:rsidRPr="00D91956">
              <w:rPr>
                <w:rFonts w:cs="Arial"/>
                <w:szCs w:val="20"/>
              </w:rPr>
              <w:t>Kat. F10  (tj. zamrażanie-rozmrażanie, procent masy ≤ 10)</w:t>
            </w:r>
          </w:p>
        </w:tc>
      </w:tr>
      <w:tr w:rsidR="00D91956" w:rsidRPr="00D91956" w14:paraId="6EAC8123" w14:textId="77777777" w:rsidTr="007B6855">
        <w:tc>
          <w:tcPr>
            <w:tcW w:w="3085" w:type="dxa"/>
          </w:tcPr>
          <w:p w14:paraId="546BD959" w14:textId="77777777" w:rsidR="00D91956" w:rsidRPr="00D91956" w:rsidRDefault="00D91956" w:rsidP="00D91956">
            <w:pPr>
              <w:pStyle w:val="Bezodstpw"/>
              <w:rPr>
                <w:rFonts w:cs="Arial"/>
                <w:szCs w:val="20"/>
              </w:rPr>
            </w:pPr>
            <w:r w:rsidRPr="00D91956">
              <w:rPr>
                <w:rFonts w:cs="Arial"/>
                <w:szCs w:val="20"/>
              </w:rPr>
              <w:t>Wartość CBR po zagęszczeniu do wskaźnika zagęszczenia I</w:t>
            </w:r>
            <w:r w:rsidRPr="00D91956">
              <w:rPr>
                <w:rFonts w:cs="Arial"/>
                <w:szCs w:val="20"/>
                <w:vertAlign w:val="subscript"/>
              </w:rPr>
              <w:t>S</w:t>
            </w:r>
            <w:r w:rsidRPr="00D91956">
              <w:rPr>
                <w:rFonts w:cs="Arial"/>
                <w:szCs w:val="20"/>
              </w:rPr>
              <w:t>=1,0 i moczeniu w wodzie 96 h, co najmniej</w:t>
            </w:r>
          </w:p>
        </w:tc>
        <w:tc>
          <w:tcPr>
            <w:tcW w:w="851" w:type="dxa"/>
          </w:tcPr>
          <w:p w14:paraId="487E076B" w14:textId="77777777" w:rsidR="00D91956" w:rsidRPr="00D91956" w:rsidRDefault="00D91956" w:rsidP="00D91956">
            <w:pPr>
              <w:pStyle w:val="Bezodstpw"/>
              <w:rPr>
                <w:rFonts w:cs="Arial"/>
                <w:szCs w:val="20"/>
              </w:rPr>
            </w:pPr>
          </w:p>
        </w:tc>
        <w:tc>
          <w:tcPr>
            <w:tcW w:w="4961" w:type="dxa"/>
          </w:tcPr>
          <w:p w14:paraId="25EF76C7" w14:textId="77777777" w:rsidR="00D91956" w:rsidRPr="00D91956" w:rsidRDefault="00D91956" w:rsidP="00D91956">
            <w:pPr>
              <w:pStyle w:val="Bezodstpw"/>
              <w:rPr>
                <w:rFonts w:cs="Arial"/>
                <w:szCs w:val="20"/>
              </w:rPr>
            </w:pPr>
            <w:r w:rsidRPr="00D91956">
              <w:rPr>
                <w:rFonts w:cs="Arial"/>
                <w:szCs w:val="20"/>
              </w:rPr>
              <w:t xml:space="preserve">Warstwa </w:t>
            </w:r>
            <w:proofErr w:type="spellStart"/>
            <w:r w:rsidRPr="00D91956">
              <w:rPr>
                <w:rFonts w:cs="Arial"/>
                <w:szCs w:val="20"/>
              </w:rPr>
              <w:t>mrozoochronna</w:t>
            </w:r>
            <w:proofErr w:type="spellEnd"/>
            <w:r w:rsidRPr="00D91956">
              <w:rPr>
                <w:rFonts w:cs="Arial"/>
                <w:szCs w:val="20"/>
              </w:rPr>
              <w:t>, odsączająca i odcinająca: ≥35; warstwa wzmacniająca: ≥ 40</w:t>
            </w:r>
          </w:p>
        </w:tc>
      </w:tr>
      <w:tr w:rsidR="00D91956" w:rsidRPr="00D91956" w14:paraId="2D2F81D4" w14:textId="77777777" w:rsidTr="007B6855">
        <w:tc>
          <w:tcPr>
            <w:tcW w:w="3085" w:type="dxa"/>
          </w:tcPr>
          <w:p w14:paraId="6AE31B8A" w14:textId="77777777" w:rsidR="00D91956" w:rsidRPr="00D91956" w:rsidRDefault="00D91956" w:rsidP="00D91956">
            <w:pPr>
              <w:pStyle w:val="Bezodstpw"/>
              <w:rPr>
                <w:rFonts w:cs="Arial"/>
                <w:szCs w:val="20"/>
              </w:rPr>
            </w:pPr>
            <w:r w:rsidRPr="00D91956">
              <w:rPr>
                <w:rFonts w:cs="Arial"/>
                <w:szCs w:val="20"/>
              </w:rPr>
              <w:t xml:space="preserve">Wodoprzepuszczalność mieszanki w warstwie odsączającej po zagęszczeniu metodą </w:t>
            </w:r>
            <w:proofErr w:type="spellStart"/>
            <w:r w:rsidRPr="00D91956">
              <w:rPr>
                <w:rFonts w:cs="Arial"/>
                <w:szCs w:val="20"/>
              </w:rPr>
              <w:t>Proctora</w:t>
            </w:r>
            <w:proofErr w:type="spellEnd"/>
            <w:r w:rsidRPr="00D91956">
              <w:rPr>
                <w:rFonts w:cs="Arial"/>
                <w:szCs w:val="20"/>
              </w:rPr>
              <w:t xml:space="preserve"> do wskaźnika zagęszczenia I</w:t>
            </w:r>
            <w:r w:rsidRPr="00D91956">
              <w:rPr>
                <w:rFonts w:cs="Arial"/>
                <w:szCs w:val="20"/>
                <w:vertAlign w:val="subscript"/>
              </w:rPr>
              <w:t>S</w:t>
            </w:r>
            <w:r w:rsidRPr="00D91956">
              <w:rPr>
                <w:rFonts w:cs="Arial"/>
                <w:szCs w:val="20"/>
              </w:rPr>
              <w:t xml:space="preserve">=1,0; </w:t>
            </w:r>
            <w:proofErr w:type="spellStart"/>
            <w:r w:rsidRPr="00D91956">
              <w:rPr>
                <w:rFonts w:cs="Arial"/>
                <w:szCs w:val="20"/>
              </w:rPr>
              <w:t>wsp</w:t>
            </w:r>
            <w:proofErr w:type="spellEnd"/>
            <w:r w:rsidRPr="00D91956">
              <w:rPr>
                <w:rFonts w:cs="Arial"/>
                <w:szCs w:val="20"/>
              </w:rPr>
              <w:t>. filtracji ”k”, co najmniej cm/s</w:t>
            </w:r>
          </w:p>
        </w:tc>
        <w:tc>
          <w:tcPr>
            <w:tcW w:w="851" w:type="dxa"/>
          </w:tcPr>
          <w:p w14:paraId="25A478D7" w14:textId="77777777" w:rsidR="00D91956" w:rsidRPr="00D91956" w:rsidRDefault="00D91956" w:rsidP="00D91956">
            <w:pPr>
              <w:pStyle w:val="Bezodstpw"/>
              <w:rPr>
                <w:rFonts w:cs="Arial"/>
                <w:szCs w:val="20"/>
              </w:rPr>
            </w:pPr>
            <w:r w:rsidRPr="00D91956">
              <w:rPr>
                <w:rFonts w:cs="Arial"/>
                <w:szCs w:val="20"/>
              </w:rPr>
              <w:t>4.5</w:t>
            </w:r>
          </w:p>
        </w:tc>
        <w:tc>
          <w:tcPr>
            <w:tcW w:w="4961" w:type="dxa"/>
          </w:tcPr>
          <w:p w14:paraId="31BCA5C0" w14:textId="77777777" w:rsidR="00D91956" w:rsidRPr="00D91956" w:rsidRDefault="00D91956" w:rsidP="00D91956">
            <w:pPr>
              <w:pStyle w:val="Bezodstpw"/>
              <w:rPr>
                <w:rFonts w:cs="Arial"/>
                <w:szCs w:val="20"/>
              </w:rPr>
            </w:pPr>
            <w:r w:rsidRPr="00D91956">
              <w:rPr>
                <w:rFonts w:cs="Arial"/>
                <w:szCs w:val="20"/>
              </w:rPr>
              <w:t>≥ 0,0093</w:t>
            </w:r>
          </w:p>
        </w:tc>
      </w:tr>
      <w:tr w:rsidR="00D91956" w:rsidRPr="00D91956" w14:paraId="13F05F49" w14:textId="77777777" w:rsidTr="007B6855">
        <w:tc>
          <w:tcPr>
            <w:tcW w:w="3085" w:type="dxa"/>
          </w:tcPr>
          <w:p w14:paraId="12947C02" w14:textId="77777777" w:rsidR="00D91956" w:rsidRPr="00D91956" w:rsidRDefault="00D91956" w:rsidP="00D91956">
            <w:pPr>
              <w:pStyle w:val="Bezodstpw"/>
              <w:rPr>
                <w:rFonts w:cs="Arial"/>
                <w:szCs w:val="20"/>
              </w:rPr>
            </w:pPr>
            <w:r w:rsidRPr="00D91956">
              <w:rPr>
                <w:rFonts w:cs="Arial"/>
                <w:szCs w:val="20"/>
              </w:rPr>
              <w:t xml:space="preserve">Zawartość wody w mieszance zagęszczanej; % (m/m) wilgotności optymalnej wg metody </w:t>
            </w:r>
            <w:proofErr w:type="spellStart"/>
            <w:r w:rsidRPr="00D91956">
              <w:rPr>
                <w:rFonts w:cs="Arial"/>
                <w:szCs w:val="20"/>
              </w:rPr>
              <w:t>Proctora</w:t>
            </w:r>
            <w:proofErr w:type="spellEnd"/>
          </w:p>
        </w:tc>
        <w:tc>
          <w:tcPr>
            <w:tcW w:w="851" w:type="dxa"/>
          </w:tcPr>
          <w:p w14:paraId="656611F8" w14:textId="77777777" w:rsidR="00D91956" w:rsidRPr="00D91956" w:rsidRDefault="00D91956" w:rsidP="00D91956">
            <w:pPr>
              <w:pStyle w:val="Bezodstpw"/>
              <w:rPr>
                <w:rFonts w:cs="Arial"/>
                <w:szCs w:val="20"/>
              </w:rPr>
            </w:pPr>
          </w:p>
        </w:tc>
        <w:tc>
          <w:tcPr>
            <w:tcW w:w="4961" w:type="dxa"/>
          </w:tcPr>
          <w:p w14:paraId="17CC4E9B" w14:textId="77777777" w:rsidR="00D91956" w:rsidRPr="00D91956" w:rsidRDefault="00D91956" w:rsidP="00D91956">
            <w:pPr>
              <w:pStyle w:val="Bezodstpw"/>
              <w:rPr>
                <w:rFonts w:cs="Arial"/>
                <w:szCs w:val="20"/>
              </w:rPr>
            </w:pPr>
            <w:r w:rsidRPr="00D91956">
              <w:rPr>
                <w:rFonts w:cs="Arial"/>
                <w:szCs w:val="20"/>
              </w:rPr>
              <w:t>70-100</w:t>
            </w:r>
          </w:p>
        </w:tc>
      </w:tr>
      <w:tr w:rsidR="00D91956" w:rsidRPr="00D91956" w14:paraId="48F6454B" w14:textId="77777777" w:rsidTr="007B6855">
        <w:tc>
          <w:tcPr>
            <w:tcW w:w="3085" w:type="dxa"/>
          </w:tcPr>
          <w:p w14:paraId="0784383C" w14:textId="77777777" w:rsidR="00D91956" w:rsidRPr="00D91956" w:rsidRDefault="00D91956" w:rsidP="00D91956">
            <w:pPr>
              <w:pStyle w:val="Bezodstpw"/>
              <w:rPr>
                <w:rFonts w:cs="Arial"/>
                <w:szCs w:val="20"/>
              </w:rPr>
            </w:pPr>
            <w:r w:rsidRPr="00D91956">
              <w:rPr>
                <w:rFonts w:cs="Arial"/>
                <w:szCs w:val="20"/>
              </w:rPr>
              <w:t>Inne cechy środowiskowe</w:t>
            </w:r>
          </w:p>
        </w:tc>
        <w:tc>
          <w:tcPr>
            <w:tcW w:w="851" w:type="dxa"/>
          </w:tcPr>
          <w:p w14:paraId="766DF890" w14:textId="77777777" w:rsidR="00D91956" w:rsidRPr="00D91956" w:rsidRDefault="00D91956" w:rsidP="00D91956">
            <w:pPr>
              <w:pStyle w:val="Bezodstpw"/>
              <w:rPr>
                <w:rFonts w:cs="Arial"/>
                <w:szCs w:val="20"/>
              </w:rPr>
            </w:pPr>
            <w:r w:rsidRPr="00D91956">
              <w:rPr>
                <w:rFonts w:cs="Arial"/>
                <w:szCs w:val="20"/>
              </w:rPr>
              <w:t>4.5</w:t>
            </w:r>
          </w:p>
        </w:tc>
        <w:tc>
          <w:tcPr>
            <w:tcW w:w="4961" w:type="dxa"/>
          </w:tcPr>
          <w:p w14:paraId="73E590F0" w14:textId="77777777" w:rsidR="00D91956" w:rsidRPr="00D91956" w:rsidRDefault="00D91956" w:rsidP="00D91956">
            <w:pPr>
              <w:pStyle w:val="Bezodstpw"/>
              <w:rPr>
                <w:rFonts w:cs="Arial"/>
                <w:spacing w:val="-6"/>
                <w:szCs w:val="20"/>
              </w:rPr>
            </w:pPr>
            <w:r w:rsidRPr="00D91956">
              <w:rPr>
                <w:rFonts w:cs="Arial"/>
                <w:spacing w:val="-6"/>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2ACD1CB3" w14:textId="77777777" w:rsidR="00D91956" w:rsidRPr="00D91956" w:rsidRDefault="00D91956" w:rsidP="00D91956">
      <w:pPr>
        <w:spacing w:line="240" w:lineRule="auto"/>
        <w:rPr>
          <w:rFonts w:cs="Arial"/>
          <w:szCs w:val="20"/>
        </w:rPr>
      </w:pPr>
      <w:r w:rsidRPr="00D91956">
        <w:rPr>
          <w:rFonts w:cs="Arial"/>
          <w:szCs w:val="20"/>
          <w:vertAlign w:val="superscript"/>
        </w:rPr>
        <w:lastRenderedPageBreak/>
        <w:t>*)</w:t>
      </w:r>
      <w:r w:rsidRPr="00D91956">
        <w:rPr>
          <w:rFonts w:cs="Arial"/>
          <w:szCs w:val="20"/>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D91956">
          <w:rPr>
            <w:rFonts w:cs="Arial"/>
            <w:szCs w:val="20"/>
          </w:rPr>
          <w:t>125 mm</w:t>
        </w:r>
      </w:smartTag>
      <w:r w:rsidRPr="00D91956">
        <w:rPr>
          <w:rFonts w:cs="Arial"/>
          <w:szCs w:val="20"/>
        </w:rPr>
        <w:t xml:space="preserve"> jako wartość nadziarna.</w:t>
      </w:r>
    </w:p>
    <w:p w14:paraId="19D2B953" w14:textId="77777777" w:rsidR="00D91956" w:rsidRPr="00D91956" w:rsidRDefault="00D91956" w:rsidP="00D91956">
      <w:pPr>
        <w:spacing w:line="240" w:lineRule="auto"/>
        <w:rPr>
          <w:rFonts w:cs="Arial"/>
          <w:szCs w:val="20"/>
        </w:rPr>
      </w:pPr>
      <w:r w:rsidRPr="00D91956">
        <w:rPr>
          <w:rFonts w:cs="Arial"/>
          <w:szCs w:val="20"/>
          <w:vertAlign w:val="superscript"/>
        </w:rPr>
        <w:t>**)</w:t>
      </w:r>
      <w:r w:rsidRPr="00D91956">
        <w:rPr>
          <w:rFonts w:cs="Arial"/>
          <w:szCs w:val="20"/>
        </w:rPr>
        <w:t xml:space="preserve"> Procentowa zawartość ziaren przechodzących przez sito D może być większa niż 99% masy, ale w takich przypadkach dostawca powinien zadeklarować typowe uziarnienie.</w:t>
      </w:r>
    </w:p>
    <w:p w14:paraId="441C64C4" w14:textId="77777777" w:rsidR="00D91956" w:rsidRPr="00D91956" w:rsidRDefault="00D91956" w:rsidP="00D91956">
      <w:pPr>
        <w:spacing w:line="240" w:lineRule="auto"/>
        <w:rPr>
          <w:rFonts w:cs="Arial"/>
          <w:szCs w:val="20"/>
        </w:rPr>
      </w:pPr>
      <w:r w:rsidRPr="00D91956">
        <w:rPr>
          <w:rFonts w:cs="Arial"/>
          <w:szCs w:val="20"/>
          <w:vertAlign w:val="superscript"/>
        </w:rPr>
        <w:t xml:space="preserve">***) </w:t>
      </w:r>
      <w:r w:rsidRPr="00D91956">
        <w:rPr>
          <w:rFonts w:cs="Arial"/>
          <w:szCs w:val="20"/>
        </w:rPr>
        <w:t xml:space="preserve">Badanie wskaźnika piaskowego SE należy wykonać na mieszance po pięciokrotnym zagęszczeniu metodą </w:t>
      </w:r>
      <w:proofErr w:type="spellStart"/>
      <w:r w:rsidRPr="00D91956">
        <w:rPr>
          <w:rFonts w:cs="Arial"/>
          <w:szCs w:val="20"/>
        </w:rPr>
        <w:t>Proctora</w:t>
      </w:r>
      <w:proofErr w:type="spellEnd"/>
      <w:r w:rsidRPr="00D91956">
        <w:rPr>
          <w:rFonts w:cs="Arial"/>
          <w:szCs w:val="20"/>
        </w:rPr>
        <w:t xml:space="preserve"> wg PN-EN 13286-2 [20].</w:t>
      </w:r>
    </w:p>
    <w:p w14:paraId="10529536" w14:textId="77777777" w:rsidR="00D91956" w:rsidRPr="00D91956" w:rsidRDefault="00D91956" w:rsidP="00D91956">
      <w:pPr>
        <w:pStyle w:val="Nagwek2"/>
        <w:spacing w:line="240" w:lineRule="auto"/>
        <w:rPr>
          <w:rFonts w:cs="Arial"/>
          <w:szCs w:val="20"/>
        </w:rPr>
      </w:pPr>
      <w:r w:rsidRPr="00D91956">
        <w:rPr>
          <w:rFonts w:cs="Arial"/>
          <w:szCs w:val="20"/>
        </w:rPr>
        <w:t>5.5. Odcinek próbny</w:t>
      </w:r>
    </w:p>
    <w:p w14:paraId="4B330292" w14:textId="77777777" w:rsidR="00D91956" w:rsidRPr="00D91956" w:rsidRDefault="00D91956" w:rsidP="00D91956">
      <w:pPr>
        <w:spacing w:line="240" w:lineRule="auto"/>
        <w:rPr>
          <w:rFonts w:cs="Arial"/>
          <w:szCs w:val="20"/>
        </w:rPr>
      </w:pPr>
      <w:r w:rsidRPr="00D91956">
        <w:rPr>
          <w:rFonts w:cs="Arial"/>
          <w:szCs w:val="20"/>
        </w:rPr>
        <w:tab/>
        <w:t>Jeżeli w ST przewidziano potrzebę wykonania odcinka próbnego, to przed rozpoczęciem robót, w terminie uzgodnionym z Inżynierem, Wykonawca powinien wykonać odcinek próbny w celu:</w:t>
      </w:r>
    </w:p>
    <w:p w14:paraId="7EF67F97" w14:textId="77777777" w:rsidR="00D91956" w:rsidRPr="00D91956" w:rsidRDefault="00D91956" w:rsidP="00CF1E7D">
      <w:pPr>
        <w:numPr>
          <w:ilvl w:val="0"/>
          <w:numId w:val="102"/>
        </w:numPr>
        <w:tabs>
          <w:tab w:val="clear" w:pos="720"/>
          <w:tab w:val="num" w:pos="360"/>
        </w:tabs>
        <w:overflowPunct w:val="0"/>
        <w:autoSpaceDE w:val="0"/>
        <w:autoSpaceDN w:val="0"/>
        <w:adjustRightInd w:val="0"/>
        <w:spacing w:line="240" w:lineRule="auto"/>
        <w:ind w:left="360"/>
        <w:jc w:val="both"/>
        <w:textAlignment w:val="baseline"/>
        <w:rPr>
          <w:rFonts w:cs="Arial"/>
          <w:szCs w:val="20"/>
        </w:rPr>
      </w:pPr>
      <w:r w:rsidRPr="00D91956">
        <w:rPr>
          <w:rFonts w:cs="Arial"/>
          <w:szCs w:val="20"/>
        </w:rPr>
        <w:t>stwierdzenia czy właściwy jest sprzęt budowlany do produkcji mieszanki oraz jej rozkładania i zagęszczania,</w:t>
      </w:r>
    </w:p>
    <w:p w14:paraId="5189BAEA" w14:textId="77777777" w:rsidR="00D91956" w:rsidRPr="00D91956" w:rsidRDefault="00D91956" w:rsidP="00CF1E7D">
      <w:pPr>
        <w:numPr>
          <w:ilvl w:val="0"/>
          <w:numId w:val="102"/>
        </w:numPr>
        <w:tabs>
          <w:tab w:val="clear" w:pos="720"/>
          <w:tab w:val="num" w:pos="360"/>
        </w:tabs>
        <w:overflowPunct w:val="0"/>
        <w:autoSpaceDE w:val="0"/>
        <w:autoSpaceDN w:val="0"/>
        <w:adjustRightInd w:val="0"/>
        <w:spacing w:line="240" w:lineRule="auto"/>
        <w:ind w:left="360"/>
        <w:jc w:val="both"/>
        <w:textAlignment w:val="baseline"/>
        <w:rPr>
          <w:rFonts w:cs="Arial"/>
          <w:szCs w:val="20"/>
        </w:rPr>
      </w:pPr>
      <w:r w:rsidRPr="00D91956">
        <w:rPr>
          <w:rFonts w:cs="Arial"/>
          <w:szCs w:val="20"/>
        </w:rPr>
        <w:t>określenia grubości wykonywanej warstwy w stanie luźnym, koniecznej do uzyskania wymaganej grubości warstwy po zagęszczeniu,</w:t>
      </w:r>
    </w:p>
    <w:p w14:paraId="2BD494FA" w14:textId="77777777" w:rsidR="00D91956" w:rsidRPr="00D91956" w:rsidRDefault="00D91956" w:rsidP="00CF1E7D">
      <w:pPr>
        <w:numPr>
          <w:ilvl w:val="0"/>
          <w:numId w:val="102"/>
        </w:numPr>
        <w:tabs>
          <w:tab w:val="clear" w:pos="720"/>
          <w:tab w:val="num" w:pos="360"/>
        </w:tabs>
        <w:overflowPunct w:val="0"/>
        <w:autoSpaceDE w:val="0"/>
        <w:autoSpaceDN w:val="0"/>
        <w:adjustRightInd w:val="0"/>
        <w:spacing w:line="240" w:lineRule="auto"/>
        <w:ind w:left="360"/>
        <w:jc w:val="both"/>
        <w:textAlignment w:val="baseline"/>
        <w:rPr>
          <w:rFonts w:cs="Arial"/>
          <w:szCs w:val="20"/>
        </w:rPr>
      </w:pPr>
      <w:r w:rsidRPr="00D91956">
        <w:rPr>
          <w:rFonts w:cs="Arial"/>
          <w:szCs w:val="20"/>
        </w:rPr>
        <w:t>określenia liczby przejść sprzętu zagęszczającego, potrzebnej do uzyskania wymaganego wskaźnika zagęszczenia wykonywanej warstwy.</w:t>
      </w:r>
    </w:p>
    <w:p w14:paraId="1563F8DD" w14:textId="77777777" w:rsidR="00D91956" w:rsidRPr="00D91956" w:rsidRDefault="00D91956" w:rsidP="00D91956">
      <w:pPr>
        <w:spacing w:line="240" w:lineRule="auto"/>
        <w:ind w:firstLine="709"/>
        <w:rPr>
          <w:rFonts w:cs="Arial"/>
          <w:szCs w:val="20"/>
        </w:rPr>
      </w:pPr>
      <w:r w:rsidRPr="00D91956">
        <w:rPr>
          <w:rFonts w:cs="Arial"/>
          <w:szCs w:val="20"/>
        </w:rPr>
        <w:t>Na odcinku próbnym Wykonawca powinien użyć takich materiałów oraz sprzętu do mieszania, rozkładania i zagęszczania, jakie będą stosowane do wykonania warstwy.</w:t>
      </w:r>
    </w:p>
    <w:p w14:paraId="374EF90C" w14:textId="77777777" w:rsidR="00D91956" w:rsidRPr="00D91956" w:rsidRDefault="00D91956" w:rsidP="00D91956">
      <w:pPr>
        <w:spacing w:line="240" w:lineRule="auto"/>
        <w:ind w:firstLine="709"/>
        <w:rPr>
          <w:rFonts w:cs="Arial"/>
          <w:szCs w:val="20"/>
        </w:rPr>
      </w:pPr>
      <w:r w:rsidRPr="00D91956">
        <w:rPr>
          <w:rFonts w:cs="Arial"/>
          <w:szCs w:val="20"/>
        </w:rPr>
        <w:t xml:space="preserve">Powierzchnia odcinka próbnego powinna wynosić od 400  do </w:t>
      </w:r>
      <w:smartTag w:uri="urn:schemas-microsoft-com:office:smarttags" w:element="metricconverter">
        <w:smartTagPr>
          <w:attr w:name="ProductID" w:val="800 m2"/>
        </w:smartTagPr>
        <w:r w:rsidRPr="00D91956">
          <w:rPr>
            <w:rFonts w:cs="Arial"/>
            <w:szCs w:val="20"/>
          </w:rPr>
          <w:t>800 m</w:t>
        </w:r>
        <w:r w:rsidRPr="00D91956">
          <w:rPr>
            <w:rFonts w:cs="Arial"/>
            <w:szCs w:val="20"/>
            <w:vertAlign w:val="superscript"/>
          </w:rPr>
          <w:t>2</w:t>
        </w:r>
      </w:smartTag>
      <w:r w:rsidRPr="00D91956">
        <w:rPr>
          <w:rFonts w:cs="Arial"/>
          <w:szCs w:val="20"/>
        </w:rPr>
        <w:t>.</w:t>
      </w:r>
    </w:p>
    <w:p w14:paraId="6BB51520" w14:textId="77777777" w:rsidR="00D91956" w:rsidRPr="00D91956" w:rsidRDefault="00D91956" w:rsidP="00D91956">
      <w:pPr>
        <w:spacing w:line="240" w:lineRule="auto"/>
        <w:ind w:firstLine="709"/>
        <w:rPr>
          <w:rFonts w:cs="Arial"/>
          <w:szCs w:val="20"/>
        </w:rPr>
      </w:pPr>
      <w:r w:rsidRPr="00D91956">
        <w:rPr>
          <w:rFonts w:cs="Arial"/>
          <w:szCs w:val="20"/>
        </w:rPr>
        <w:t>Odcinek próbny powinien być zlokalizowany w miejscu wskazanym przez Inżyniera.</w:t>
      </w:r>
    </w:p>
    <w:p w14:paraId="1CF86FAD" w14:textId="77777777" w:rsidR="00D91956" w:rsidRPr="00D91956" w:rsidRDefault="00D91956" w:rsidP="00D91956">
      <w:pPr>
        <w:spacing w:line="240" w:lineRule="auto"/>
        <w:ind w:firstLine="709"/>
        <w:rPr>
          <w:rFonts w:cs="Arial"/>
          <w:szCs w:val="20"/>
        </w:rPr>
      </w:pPr>
      <w:r w:rsidRPr="00D91956">
        <w:rPr>
          <w:rFonts w:cs="Arial"/>
          <w:szCs w:val="20"/>
        </w:rPr>
        <w:t>Wykonawca może przystąpić do wykonywania warstwy po zaakceptowaniu odcinka próbnego przez Inżyniera.</w:t>
      </w:r>
    </w:p>
    <w:p w14:paraId="01E10DDA" w14:textId="77777777" w:rsidR="00D91956" w:rsidRPr="00D91956" w:rsidRDefault="00D91956" w:rsidP="00D91956">
      <w:pPr>
        <w:pStyle w:val="Nagwek2"/>
        <w:spacing w:line="240" w:lineRule="auto"/>
        <w:ind w:left="600" w:hanging="600"/>
        <w:rPr>
          <w:rFonts w:cs="Arial"/>
          <w:szCs w:val="20"/>
        </w:rPr>
      </w:pPr>
      <w:r w:rsidRPr="00D91956">
        <w:rPr>
          <w:rFonts w:cs="Arial"/>
          <w:szCs w:val="20"/>
        </w:rPr>
        <w:t>5.6. Przygotowanie podłoża gruntowego i wykonanie warstw odsączającej i odcinającej</w:t>
      </w:r>
    </w:p>
    <w:p w14:paraId="31DD1B0B" w14:textId="77777777" w:rsidR="00D91956" w:rsidRPr="00D91956" w:rsidRDefault="00D91956" w:rsidP="00D91956">
      <w:pPr>
        <w:spacing w:after="120" w:line="240" w:lineRule="auto"/>
        <w:rPr>
          <w:rFonts w:cs="Arial"/>
          <w:b/>
          <w:szCs w:val="20"/>
        </w:rPr>
      </w:pPr>
      <w:r w:rsidRPr="00D91956">
        <w:rPr>
          <w:rFonts w:cs="Arial"/>
          <w:b/>
          <w:szCs w:val="20"/>
        </w:rPr>
        <w:t xml:space="preserve">5.6.1. </w:t>
      </w:r>
      <w:r w:rsidRPr="00D91956">
        <w:rPr>
          <w:rFonts w:cs="Arial"/>
          <w:szCs w:val="20"/>
        </w:rPr>
        <w:t>Przygotowanie podłoża gruntowego</w:t>
      </w:r>
    </w:p>
    <w:p w14:paraId="0A634D58" w14:textId="77777777" w:rsidR="00D91956" w:rsidRPr="00D91956" w:rsidRDefault="00D91956" w:rsidP="00D91956">
      <w:pPr>
        <w:spacing w:line="240" w:lineRule="auto"/>
        <w:rPr>
          <w:rFonts w:cs="Arial"/>
          <w:szCs w:val="20"/>
        </w:rPr>
      </w:pPr>
      <w:r w:rsidRPr="00D91956">
        <w:rPr>
          <w:rFonts w:cs="Arial"/>
          <w:szCs w:val="20"/>
        </w:rPr>
        <w:tab/>
        <w:t>Podłoże gruntowe powinno spełniać wymagania określone w OST D-04.01.01 „Koryto wraz z profilowaniem i zagęszczeniem podłoża” [4] i OST D-02.00.00 „Roboty ziemne” [3]. Podłoże powinno być przygotowane zgodnie z wymaganiami określonymi w dokumentacji projektowej i ST.</w:t>
      </w:r>
    </w:p>
    <w:p w14:paraId="1E9AD302" w14:textId="77777777" w:rsidR="00D91956" w:rsidRPr="00D91956" w:rsidRDefault="00D91956" w:rsidP="00D91956">
      <w:pPr>
        <w:spacing w:line="240" w:lineRule="auto"/>
        <w:rPr>
          <w:rFonts w:cs="Arial"/>
          <w:szCs w:val="20"/>
        </w:rPr>
      </w:pPr>
      <w:r w:rsidRPr="00D91956">
        <w:rPr>
          <w:rFonts w:cs="Arial"/>
          <w:szCs w:val="20"/>
        </w:rPr>
        <w:tab/>
        <w:t>Wykonawca powinien przystąpić do wykonania koryta oraz profilowania i zagęszczania podłoża gruntowego bezpośrednio przed rozpoczęciem robót związanych z wykonaniem warstw nawierzchni. Wcześniejsze przystąpienie do wykonania koryta oraz profilowania i zagęszczania podłoża jest możliwe wyłącznie za zgodą Inżyniera, w korzystnych warunkach atmosferycznych.</w:t>
      </w:r>
    </w:p>
    <w:p w14:paraId="349DA362" w14:textId="77777777" w:rsidR="00D91956" w:rsidRPr="00D91956" w:rsidRDefault="00D91956" w:rsidP="00D91956">
      <w:pPr>
        <w:spacing w:line="240" w:lineRule="auto"/>
        <w:rPr>
          <w:rFonts w:cs="Arial"/>
          <w:szCs w:val="20"/>
        </w:rPr>
      </w:pPr>
      <w:r w:rsidRPr="00D91956">
        <w:rPr>
          <w:rFonts w:cs="Arial"/>
          <w:szCs w:val="20"/>
        </w:rPr>
        <w:tab/>
        <w:t>Rodzaj sprzętu należy dostosować do rodzaju gruntu, w którym prowadzone są roboty i do trudności jego odspojenia.</w:t>
      </w:r>
    </w:p>
    <w:p w14:paraId="1E91AE29" w14:textId="77777777" w:rsidR="00D91956" w:rsidRPr="00D91956" w:rsidRDefault="00D91956" w:rsidP="00D91956">
      <w:pPr>
        <w:spacing w:line="240" w:lineRule="auto"/>
        <w:rPr>
          <w:rFonts w:cs="Arial"/>
          <w:szCs w:val="20"/>
        </w:rPr>
      </w:pPr>
      <w:r w:rsidRPr="00D91956">
        <w:rPr>
          <w:rFonts w:cs="Arial"/>
          <w:szCs w:val="20"/>
        </w:rPr>
        <w:tab/>
        <w:t>Grunt odspojony w czasie wykonywania koryta powinien być wykorzystany zgodnie z ustaleniami dokumentacji projektowej i ST, tj. wbudowany w nasyp lub odwieziony na odkład w miejsce uzgodnione z Inżynierem.</w:t>
      </w:r>
    </w:p>
    <w:p w14:paraId="55D32047" w14:textId="77777777" w:rsidR="00D91956" w:rsidRPr="00D91956" w:rsidRDefault="00D91956" w:rsidP="00D91956">
      <w:pPr>
        <w:spacing w:line="240" w:lineRule="auto"/>
        <w:rPr>
          <w:rFonts w:cs="Arial"/>
          <w:szCs w:val="20"/>
        </w:rPr>
      </w:pPr>
      <w:r w:rsidRPr="00D91956">
        <w:rPr>
          <w:rFonts w:cs="Arial"/>
          <w:szCs w:val="20"/>
        </w:rPr>
        <w:tab/>
        <w:t>W wykonanym korycie oraz po wyprofilowanym i zagęszczonym podłożu nie może odbywać się ruch budowlany, niezwiązany bezpośrednio z wykonaniem warstwy podłoża ulepszonego.</w:t>
      </w:r>
    </w:p>
    <w:p w14:paraId="1F8A2547" w14:textId="77777777" w:rsidR="00D91956" w:rsidRPr="00D91956" w:rsidRDefault="00D91956" w:rsidP="00D91956">
      <w:pPr>
        <w:spacing w:line="240" w:lineRule="auto"/>
        <w:rPr>
          <w:rFonts w:cs="Arial"/>
          <w:szCs w:val="20"/>
        </w:rPr>
      </w:pPr>
      <w:r w:rsidRPr="00D91956">
        <w:rPr>
          <w:rFonts w:cs="Arial"/>
          <w:szCs w:val="20"/>
        </w:rPr>
        <w:tab/>
        <w:t>Po wyprofilowaniu i zagęszczeniu podłoże (koryto) powinno być utrzymywane w dobrym stanie. Jeśli uległo ono nadmiernemu zawilgoceniu, to do układania warstwy podłoża ulepszonego można przystąpić dopiero po jego naturalnym osuszeniu. Po osuszeniu podłoża Inżynier oceni jego stan i ewentualnie zaleci wykonanie niezbędnych napraw.</w:t>
      </w:r>
    </w:p>
    <w:p w14:paraId="11C4D456" w14:textId="77777777" w:rsidR="00D91956" w:rsidRPr="00D91956" w:rsidRDefault="00D91956" w:rsidP="00D91956">
      <w:pPr>
        <w:pStyle w:val="Nagwek2"/>
        <w:spacing w:line="240" w:lineRule="auto"/>
        <w:rPr>
          <w:rFonts w:cs="Arial"/>
          <w:b w:val="0"/>
          <w:szCs w:val="20"/>
        </w:rPr>
      </w:pPr>
      <w:r w:rsidRPr="00D91956">
        <w:rPr>
          <w:rFonts w:cs="Arial"/>
          <w:szCs w:val="20"/>
        </w:rPr>
        <w:t xml:space="preserve">5.6.2. </w:t>
      </w:r>
      <w:r w:rsidRPr="00D91956">
        <w:rPr>
          <w:rFonts w:cs="Arial"/>
          <w:b w:val="0"/>
          <w:szCs w:val="20"/>
        </w:rPr>
        <w:t>Warstwa odsączająca i odcinająca</w:t>
      </w:r>
    </w:p>
    <w:p w14:paraId="47129BEB" w14:textId="77777777" w:rsidR="00D91956" w:rsidRPr="00D91956" w:rsidRDefault="00D91956" w:rsidP="00D91956">
      <w:pPr>
        <w:spacing w:line="240" w:lineRule="auto"/>
        <w:rPr>
          <w:rFonts w:cs="Arial"/>
          <w:szCs w:val="20"/>
        </w:rPr>
      </w:pPr>
      <w:r w:rsidRPr="00D91956">
        <w:rPr>
          <w:rFonts w:cs="Arial"/>
          <w:szCs w:val="20"/>
        </w:rPr>
        <w:tab/>
        <w:t>Jeśli dokumentacja projektowa tak przewiduje, to należy wykonać warstwę odsączającą i/lub warstwę odcinającą, które wchodzą w skład podłoża ulepszonego. Warstwa odsączająca jest warstwą najniżej położoną w podłożu ulepszonym, a w przypadku występującej warstwy odcinającej, ułożona jest bezpośrednio nad nią.</w:t>
      </w:r>
    </w:p>
    <w:p w14:paraId="2FF45473" w14:textId="77777777" w:rsidR="00D91956" w:rsidRPr="00D91956" w:rsidRDefault="00D91956" w:rsidP="00D91956">
      <w:pPr>
        <w:spacing w:line="240" w:lineRule="auto"/>
        <w:rPr>
          <w:rFonts w:cs="Arial"/>
          <w:szCs w:val="20"/>
        </w:rPr>
      </w:pPr>
      <w:r w:rsidRPr="00D91956">
        <w:rPr>
          <w:rFonts w:cs="Arial"/>
          <w:szCs w:val="20"/>
        </w:rPr>
        <w:tab/>
        <w:t>Warstwa odsączająca zapewnia odwodnienie konstrukcji nawierzchni i powinna charakteryzować się wodoprzepuszczalnością określoną współczynnikiem filtracji podanym w punkcie 5.4.2. Warstwa odcinająca uniemożliwia przedostawanie się cząstek gruntu podłoża do warstwy odsączającej lub podłoża ulepszonego. Podłoże ulepszone może być wielowarstwowe (właściwe podłoże ulepszone i ew. warstwa odsączająca i ew. warstwa odcinająca) względnie może być jednowarstwowe, spełniając funkcje wszystkich tych warstw jednocześnie.</w:t>
      </w:r>
    </w:p>
    <w:p w14:paraId="4B587D98" w14:textId="77777777" w:rsidR="00D91956" w:rsidRPr="00D91956" w:rsidRDefault="00D91956" w:rsidP="00D91956">
      <w:pPr>
        <w:spacing w:line="240" w:lineRule="auto"/>
        <w:rPr>
          <w:rFonts w:cs="Arial"/>
          <w:szCs w:val="20"/>
        </w:rPr>
      </w:pPr>
      <w:r w:rsidRPr="00D91956">
        <w:rPr>
          <w:rFonts w:cs="Arial"/>
          <w:szCs w:val="20"/>
        </w:rPr>
        <w:tab/>
        <w:t>Warstwa odsączająca może być wykonana jako:</w:t>
      </w:r>
    </w:p>
    <w:p w14:paraId="1CD70471" w14:textId="77777777" w:rsidR="00D91956" w:rsidRPr="00D91956" w:rsidRDefault="00D91956" w:rsidP="00CF1E7D">
      <w:pPr>
        <w:numPr>
          <w:ilvl w:val="0"/>
          <w:numId w:val="276"/>
        </w:numPr>
        <w:overflowPunct w:val="0"/>
        <w:autoSpaceDE w:val="0"/>
        <w:autoSpaceDN w:val="0"/>
        <w:adjustRightInd w:val="0"/>
        <w:spacing w:line="240" w:lineRule="auto"/>
        <w:jc w:val="both"/>
        <w:textAlignment w:val="baseline"/>
        <w:rPr>
          <w:rFonts w:cs="Arial"/>
          <w:szCs w:val="20"/>
        </w:rPr>
      </w:pPr>
      <w:r w:rsidRPr="00D91956">
        <w:rPr>
          <w:rFonts w:cs="Arial"/>
          <w:szCs w:val="20"/>
        </w:rPr>
        <w:t>osobna warstwa z piasku, żwiru, geowłókniny według OST D-04.02.01 „Warstwy odsączające i odcinające” [5],</w:t>
      </w:r>
    </w:p>
    <w:p w14:paraId="7FD21CD1" w14:textId="77777777" w:rsidR="00D91956" w:rsidRPr="00D91956" w:rsidRDefault="00D91956" w:rsidP="00CF1E7D">
      <w:pPr>
        <w:numPr>
          <w:ilvl w:val="0"/>
          <w:numId w:val="276"/>
        </w:numPr>
        <w:overflowPunct w:val="0"/>
        <w:autoSpaceDE w:val="0"/>
        <w:autoSpaceDN w:val="0"/>
        <w:adjustRightInd w:val="0"/>
        <w:spacing w:line="240" w:lineRule="auto"/>
        <w:jc w:val="both"/>
        <w:textAlignment w:val="baseline"/>
        <w:rPr>
          <w:rFonts w:cs="Arial"/>
          <w:szCs w:val="20"/>
        </w:rPr>
      </w:pPr>
      <w:r w:rsidRPr="00D91956">
        <w:rPr>
          <w:rFonts w:cs="Arial"/>
          <w:szCs w:val="20"/>
        </w:rPr>
        <w:t>jednowarstwowa konstrukcja podłoża ulepszonego, spełniająca wyżej wymieniony warunek wodoprzepuszczalności.</w:t>
      </w:r>
    </w:p>
    <w:p w14:paraId="3AA87FDA" w14:textId="77777777" w:rsidR="00D91956" w:rsidRPr="00D91956" w:rsidRDefault="00D91956" w:rsidP="00D91956">
      <w:pPr>
        <w:spacing w:line="240" w:lineRule="auto"/>
        <w:ind w:firstLine="709"/>
        <w:rPr>
          <w:rFonts w:cs="Arial"/>
          <w:szCs w:val="20"/>
        </w:rPr>
      </w:pPr>
      <w:r w:rsidRPr="00D91956">
        <w:rPr>
          <w:rFonts w:cs="Arial"/>
          <w:szCs w:val="20"/>
        </w:rPr>
        <w:t>Warstwa odcinająca zabezpiecza przed przenikaniem drobnych cząstek podłoża do warstwy położonej wyżej, które powodują wymieszanie gruntu podłoża z warstwą kruszywa, uplastyczniając ją i wpływając na utratę jej nośności przy zawilgoceniu.</w:t>
      </w:r>
    </w:p>
    <w:p w14:paraId="6D3DA6D5" w14:textId="77777777" w:rsidR="00D91956" w:rsidRPr="00D91956" w:rsidRDefault="00D91956" w:rsidP="00D91956">
      <w:pPr>
        <w:spacing w:line="240" w:lineRule="auto"/>
        <w:ind w:firstLine="709"/>
        <w:rPr>
          <w:rFonts w:cs="Arial"/>
          <w:szCs w:val="20"/>
        </w:rPr>
      </w:pPr>
      <w:r w:rsidRPr="00D91956">
        <w:rPr>
          <w:rFonts w:cs="Arial"/>
          <w:szCs w:val="20"/>
        </w:rPr>
        <w:t>Warstwa odcinająca może być wykonana jako:</w:t>
      </w:r>
    </w:p>
    <w:p w14:paraId="71363502" w14:textId="77777777" w:rsidR="00D91956" w:rsidRPr="00D91956" w:rsidRDefault="00D91956" w:rsidP="00CF1E7D">
      <w:pPr>
        <w:numPr>
          <w:ilvl w:val="0"/>
          <w:numId w:val="276"/>
        </w:numPr>
        <w:overflowPunct w:val="0"/>
        <w:autoSpaceDE w:val="0"/>
        <w:autoSpaceDN w:val="0"/>
        <w:adjustRightInd w:val="0"/>
        <w:spacing w:line="240" w:lineRule="auto"/>
        <w:jc w:val="both"/>
        <w:textAlignment w:val="baseline"/>
        <w:rPr>
          <w:rFonts w:cs="Arial"/>
          <w:szCs w:val="20"/>
        </w:rPr>
      </w:pPr>
      <w:r w:rsidRPr="00D91956">
        <w:rPr>
          <w:rFonts w:cs="Arial"/>
          <w:szCs w:val="20"/>
        </w:rPr>
        <w:t xml:space="preserve">osobna warstwa z miału </w:t>
      </w:r>
      <w:proofErr w:type="spellStart"/>
      <w:r w:rsidRPr="00D91956">
        <w:rPr>
          <w:rFonts w:cs="Arial"/>
          <w:szCs w:val="20"/>
        </w:rPr>
        <w:t>kamiennegho</w:t>
      </w:r>
      <w:proofErr w:type="spellEnd"/>
      <w:r w:rsidRPr="00D91956">
        <w:rPr>
          <w:rFonts w:cs="Arial"/>
          <w:szCs w:val="20"/>
        </w:rPr>
        <w:t>, odsiewek, drobnego kruszywa itp. grubości np. 5÷10 cm, według OST D-04.02.01 „Warstwy odsączające i odcinające” [5] lub z geowłókniny (</w:t>
      </w:r>
      <w:proofErr w:type="spellStart"/>
      <w:r w:rsidRPr="00D91956">
        <w:rPr>
          <w:rFonts w:cs="Arial"/>
          <w:szCs w:val="20"/>
        </w:rPr>
        <w:t>geotkaniny</w:t>
      </w:r>
      <w:proofErr w:type="spellEnd"/>
      <w:r w:rsidRPr="00D91956">
        <w:rPr>
          <w:rFonts w:cs="Arial"/>
          <w:szCs w:val="20"/>
        </w:rPr>
        <w:t>) według OST D-04.02.01a „Warstwa odcinająca z geowłókniny” [6],</w:t>
      </w:r>
    </w:p>
    <w:p w14:paraId="479C82D7" w14:textId="77777777" w:rsidR="00D91956" w:rsidRPr="00D91956" w:rsidRDefault="00D91956" w:rsidP="00CF1E7D">
      <w:pPr>
        <w:numPr>
          <w:ilvl w:val="0"/>
          <w:numId w:val="276"/>
        </w:numPr>
        <w:overflowPunct w:val="0"/>
        <w:autoSpaceDE w:val="0"/>
        <w:autoSpaceDN w:val="0"/>
        <w:adjustRightInd w:val="0"/>
        <w:spacing w:line="240" w:lineRule="auto"/>
        <w:jc w:val="both"/>
        <w:textAlignment w:val="baseline"/>
        <w:rPr>
          <w:rFonts w:cs="Arial"/>
          <w:szCs w:val="20"/>
        </w:rPr>
      </w:pPr>
      <w:r w:rsidRPr="00D91956">
        <w:rPr>
          <w:rFonts w:cs="Arial"/>
          <w:szCs w:val="20"/>
        </w:rPr>
        <w:t>jednowarstwowa konstrukcja podłoża ulepszonego, spełniająca warunek szczelności określony w punkcie 5.4.2.</w:t>
      </w:r>
    </w:p>
    <w:p w14:paraId="5A544859" w14:textId="77777777" w:rsidR="00D91956" w:rsidRPr="00D91956" w:rsidRDefault="00D91956" w:rsidP="00D91956">
      <w:pPr>
        <w:spacing w:line="240" w:lineRule="auto"/>
        <w:ind w:firstLine="709"/>
        <w:rPr>
          <w:rFonts w:cs="Arial"/>
          <w:szCs w:val="20"/>
        </w:rPr>
      </w:pPr>
      <w:r w:rsidRPr="00D91956">
        <w:rPr>
          <w:rFonts w:cs="Arial"/>
          <w:szCs w:val="20"/>
        </w:rPr>
        <w:t>Jeżeli kruszywo przeznaczone do wykonania warstwy odsączającej lub odcinającej nie jest wbudowane bezpośrednio po dostarczeniu na budowę i zachodzi potrzeba jego okresowego składowania, to Wykonawca robót powinien zabezpieczyć kruszywo przed zanieczyszczeniem i zmieszaniem z innymi materiałami. Podłoże w miejscu składowania powinno być równe, utwardzone i dobrze odwodnione. Geowłókniny przeznaczone do robót należy przechowywać w opakowaniach fabrycznych w pomieszczeniach czystych, suchych i wentylowanych.</w:t>
      </w:r>
    </w:p>
    <w:p w14:paraId="6E685ACB" w14:textId="77777777" w:rsidR="00D91956" w:rsidRPr="00D91956" w:rsidRDefault="00D91956" w:rsidP="00D91956">
      <w:pPr>
        <w:pStyle w:val="Nagwek2"/>
        <w:spacing w:line="240" w:lineRule="auto"/>
        <w:rPr>
          <w:rFonts w:cs="Arial"/>
          <w:szCs w:val="20"/>
        </w:rPr>
      </w:pPr>
      <w:r w:rsidRPr="00D91956">
        <w:rPr>
          <w:rFonts w:cs="Arial"/>
          <w:szCs w:val="20"/>
        </w:rPr>
        <w:lastRenderedPageBreak/>
        <w:t>5.7. Wytwarzanie mieszanki kruszywa</w:t>
      </w:r>
    </w:p>
    <w:p w14:paraId="346FFD21" w14:textId="77777777" w:rsidR="00D91956" w:rsidRPr="00D91956" w:rsidRDefault="00D91956" w:rsidP="00D91956">
      <w:pPr>
        <w:spacing w:line="240" w:lineRule="auto"/>
        <w:rPr>
          <w:rFonts w:cs="Arial"/>
          <w:szCs w:val="20"/>
        </w:rPr>
      </w:pPr>
      <w:r w:rsidRPr="00D91956">
        <w:rPr>
          <w:rFonts w:cs="Arial"/>
          <w:szCs w:val="20"/>
        </w:rPr>
        <w:tab/>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474EBDAB" w14:textId="77777777" w:rsidR="00D91956" w:rsidRPr="00D91956" w:rsidRDefault="00D91956" w:rsidP="00D91956">
      <w:pPr>
        <w:spacing w:line="240" w:lineRule="auto"/>
        <w:rPr>
          <w:rFonts w:cs="Arial"/>
          <w:szCs w:val="20"/>
        </w:rPr>
      </w:pPr>
      <w:r w:rsidRPr="00D91956">
        <w:rPr>
          <w:rFonts w:cs="Arial"/>
          <w:szCs w:val="20"/>
        </w:rPr>
        <w:tab/>
        <w:t>Ze względu na konieczność zapewnienia mieszance jednorodności nie zaleca się wytwarzania mieszanki przez mieszanie poszczególnych frakcji kruszywa na drodze.</w:t>
      </w:r>
    </w:p>
    <w:p w14:paraId="32CF2B6E" w14:textId="77777777" w:rsidR="00D91956" w:rsidRPr="00D91956" w:rsidRDefault="00D91956" w:rsidP="00D91956">
      <w:pPr>
        <w:spacing w:line="240" w:lineRule="auto"/>
        <w:rPr>
          <w:rFonts w:cs="Arial"/>
          <w:szCs w:val="20"/>
        </w:rPr>
      </w:pPr>
      <w:r w:rsidRPr="00D91956">
        <w:rPr>
          <w:rFonts w:cs="Arial"/>
          <w:szCs w:val="20"/>
        </w:rPr>
        <w:tab/>
        <w:t>Przy produkcji mieszanki kruszywa należy prowadzić zakładową kontrolę produkcji mieszanek niezwiązanych, zgodnie z  WT-4 [22] załącznik C, a przy dostarczaniu mieszanki przez producenta/dostawcę należy stosować się do zasad deklarowania w odniesieniu do zakresu uziarnienia podanych w WT-4 [22] załącznik B.</w:t>
      </w:r>
    </w:p>
    <w:p w14:paraId="50C1DA6D" w14:textId="77777777" w:rsidR="00D91956" w:rsidRPr="00D91956" w:rsidRDefault="00D91956" w:rsidP="00D91956">
      <w:pPr>
        <w:pStyle w:val="Nagwek2"/>
        <w:spacing w:line="240" w:lineRule="auto"/>
        <w:rPr>
          <w:rFonts w:cs="Arial"/>
          <w:szCs w:val="20"/>
        </w:rPr>
      </w:pPr>
      <w:r w:rsidRPr="00D91956">
        <w:rPr>
          <w:rFonts w:cs="Arial"/>
          <w:szCs w:val="20"/>
        </w:rPr>
        <w:t>5.8. Wbudowanie mieszanki kruszywa</w:t>
      </w:r>
    </w:p>
    <w:p w14:paraId="37E55BAB" w14:textId="77777777" w:rsidR="00D91956" w:rsidRPr="00D91956" w:rsidRDefault="00D91956" w:rsidP="00D91956">
      <w:pPr>
        <w:spacing w:line="240" w:lineRule="auto"/>
        <w:rPr>
          <w:rFonts w:cs="Arial"/>
          <w:szCs w:val="20"/>
        </w:rPr>
      </w:pPr>
      <w:r w:rsidRPr="00D91956">
        <w:rPr>
          <w:rFonts w:cs="Arial"/>
          <w:szCs w:val="20"/>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74FA8151" w14:textId="77777777" w:rsidR="00D91956" w:rsidRPr="00D91956" w:rsidRDefault="00D91956" w:rsidP="00D91956">
      <w:pPr>
        <w:spacing w:line="240" w:lineRule="auto"/>
        <w:rPr>
          <w:rFonts w:cs="Arial"/>
          <w:szCs w:val="20"/>
        </w:rPr>
      </w:pPr>
      <w:r w:rsidRPr="00D91956">
        <w:rPr>
          <w:rFonts w:cs="Arial"/>
          <w:szCs w:val="20"/>
        </w:rPr>
        <w:tab/>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D91956">
          <w:rPr>
            <w:rFonts w:cs="Arial"/>
            <w:szCs w:val="20"/>
          </w:rPr>
          <w:t>20 cm</w:t>
        </w:r>
      </w:smartTag>
      <w:r w:rsidRPr="00D91956">
        <w:rPr>
          <w:rFonts w:cs="Arial"/>
          <w:szCs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493FE43B" w14:textId="77777777" w:rsidR="00D91956" w:rsidRPr="00D91956" w:rsidRDefault="00D91956" w:rsidP="00D91956">
      <w:pPr>
        <w:spacing w:line="240" w:lineRule="auto"/>
        <w:rPr>
          <w:rFonts w:cs="Arial"/>
          <w:szCs w:val="20"/>
        </w:rPr>
      </w:pPr>
      <w:r w:rsidRPr="00D91956">
        <w:rPr>
          <w:rFonts w:cs="Arial"/>
          <w:szCs w:val="20"/>
        </w:rPr>
        <w:tab/>
        <w:t xml:space="preserve">Wilgotność mieszanki kruszywa podczas zagęszczania powinna odpowiadać wilgotności optymalnej, określonej według próby </w:t>
      </w:r>
      <w:proofErr w:type="spellStart"/>
      <w:r w:rsidRPr="00D91956">
        <w:rPr>
          <w:rFonts w:cs="Arial"/>
          <w:szCs w:val="20"/>
        </w:rPr>
        <w:t>Proctora</w:t>
      </w:r>
      <w:proofErr w:type="spellEnd"/>
      <w:r w:rsidRPr="00D91956">
        <w:rPr>
          <w:rFonts w:cs="Arial"/>
          <w:szCs w:val="20"/>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3323832D" w14:textId="77777777" w:rsidR="00D91956" w:rsidRPr="00D91956" w:rsidRDefault="00D91956" w:rsidP="00D91956">
      <w:pPr>
        <w:spacing w:line="240" w:lineRule="auto"/>
        <w:rPr>
          <w:rFonts w:cs="Arial"/>
          <w:szCs w:val="20"/>
        </w:rPr>
      </w:pPr>
      <w:r w:rsidRPr="00D91956">
        <w:rPr>
          <w:rFonts w:cs="Arial"/>
          <w:szCs w:val="20"/>
        </w:rPr>
        <w:tab/>
        <w:t>Rozścieloną mieszankę kruszywa należy sprofilować równiarką lub ciężkim szablonem, do spadków poprzecznych i pochyleń podłużnych ustalonych w dokumentacji projektowej. W czasie profilowania należy wyrównać lokalne wgłębienia.</w:t>
      </w:r>
    </w:p>
    <w:p w14:paraId="746C23B8" w14:textId="77777777" w:rsidR="00D91956" w:rsidRPr="00D91956" w:rsidRDefault="00D91956" w:rsidP="00D91956">
      <w:pPr>
        <w:pStyle w:val="Nagwek2"/>
        <w:spacing w:line="240" w:lineRule="auto"/>
        <w:rPr>
          <w:rFonts w:cs="Arial"/>
          <w:szCs w:val="20"/>
        </w:rPr>
      </w:pPr>
      <w:r w:rsidRPr="00D91956">
        <w:rPr>
          <w:rFonts w:cs="Arial"/>
          <w:szCs w:val="20"/>
        </w:rPr>
        <w:t>5.9. Zagęszczanie mieszanki kruszywa</w:t>
      </w:r>
    </w:p>
    <w:p w14:paraId="73A349E5" w14:textId="77777777" w:rsidR="00D91956" w:rsidRPr="00D91956" w:rsidRDefault="00D91956" w:rsidP="00D91956">
      <w:pPr>
        <w:spacing w:line="240" w:lineRule="auto"/>
        <w:rPr>
          <w:rFonts w:cs="Arial"/>
          <w:szCs w:val="20"/>
        </w:rPr>
      </w:pPr>
      <w:r w:rsidRPr="00D91956">
        <w:rPr>
          <w:rFonts w:cs="Arial"/>
          <w:szCs w:val="20"/>
        </w:rPr>
        <w:tab/>
        <w:t>Po wyprofilowaniu mieszanki kruszywa należy rozpocząć jej zagęszczanie, które należy kontynuować aż do osiągnięcia wymaganego w ST wskaźnika zagęszczenia.</w:t>
      </w:r>
    </w:p>
    <w:p w14:paraId="5A56C05D" w14:textId="77777777" w:rsidR="00D91956" w:rsidRPr="00D91956" w:rsidRDefault="00D91956" w:rsidP="00D91956">
      <w:pPr>
        <w:spacing w:line="240" w:lineRule="auto"/>
        <w:rPr>
          <w:rFonts w:cs="Arial"/>
          <w:szCs w:val="20"/>
        </w:rPr>
      </w:pPr>
      <w:r w:rsidRPr="00D91956">
        <w:rPr>
          <w:rFonts w:cs="Arial"/>
          <w:szCs w:val="20"/>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4D1E9876" w14:textId="77777777" w:rsidR="00D91956" w:rsidRPr="00D91956" w:rsidRDefault="00D91956" w:rsidP="00D91956">
      <w:pPr>
        <w:spacing w:line="240" w:lineRule="auto"/>
        <w:rPr>
          <w:rFonts w:cs="Arial"/>
          <w:szCs w:val="20"/>
        </w:rPr>
      </w:pPr>
      <w:r w:rsidRPr="00D91956">
        <w:rPr>
          <w:rFonts w:cs="Arial"/>
          <w:szCs w:val="20"/>
        </w:rPr>
        <w:tab/>
        <w:t>Zagęszczenie powinno być równomierne na całej szerokości warstwy.</w:t>
      </w:r>
    </w:p>
    <w:p w14:paraId="29CBB731" w14:textId="77777777" w:rsidR="00D91956" w:rsidRPr="00D91956" w:rsidRDefault="00D91956" w:rsidP="00D91956">
      <w:pPr>
        <w:spacing w:line="240" w:lineRule="auto"/>
        <w:rPr>
          <w:rFonts w:cs="Arial"/>
          <w:szCs w:val="20"/>
        </w:rPr>
      </w:pPr>
      <w:r w:rsidRPr="00D91956">
        <w:rPr>
          <w:rFonts w:cs="Arial"/>
          <w:szCs w:val="20"/>
        </w:rPr>
        <w:tab/>
        <w:t xml:space="preserve">Zaleca się, aby grubość zagęszczanej warstwy nie przekraczała przy walcach statycznych gładkich </w:t>
      </w:r>
      <w:smartTag w:uri="urn:schemas-microsoft-com:office:smarttags" w:element="metricconverter">
        <w:smartTagPr>
          <w:attr w:name="ProductID" w:val="15 cm"/>
        </w:smartTagPr>
        <w:r w:rsidRPr="00D91956">
          <w:rPr>
            <w:rFonts w:cs="Arial"/>
            <w:szCs w:val="20"/>
          </w:rPr>
          <w:t>15 cm</w:t>
        </w:r>
      </w:smartTag>
      <w:r w:rsidRPr="00D91956">
        <w:rPr>
          <w:rFonts w:cs="Arial"/>
          <w:szCs w:val="20"/>
        </w:rPr>
        <w:t xml:space="preserve">, a przy walcach ogumionych lub wibracyjnych </w:t>
      </w:r>
      <w:smartTag w:uri="urn:schemas-microsoft-com:office:smarttags" w:element="metricconverter">
        <w:smartTagPr>
          <w:attr w:name="ProductID" w:val="20 cm"/>
        </w:smartTagPr>
        <w:r w:rsidRPr="00D91956">
          <w:rPr>
            <w:rFonts w:cs="Arial"/>
            <w:szCs w:val="20"/>
          </w:rPr>
          <w:t>20 cm</w:t>
        </w:r>
      </w:smartTag>
      <w:r w:rsidRPr="00D91956">
        <w:rPr>
          <w:rFonts w:cs="Arial"/>
          <w:szCs w:val="20"/>
        </w:rPr>
        <w:t>.</w:t>
      </w:r>
    </w:p>
    <w:p w14:paraId="073FA1DB" w14:textId="77777777" w:rsidR="00D91956" w:rsidRPr="00D91956" w:rsidRDefault="00D91956" w:rsidP="00D91956">
      <w:pPr>
        <w:pStyle w:val="Nagwek2"/>
        <w:spacing w:line="240" w:lineRule="auto"/>
        <w:rPr>
          <w:rFonts w:cs="Arial"/>
          <w:szCs w:val="20"/>
        </w:rPr>
      </w:pPr>
      <w:r w:rsidRPr="00D91956">
        <w:rPr>
          <w:rFonts w:cs="Arial"/>
          <w:szCs w:val="20"/>
        </w:rPr>
        <w:t>5.10. Utrzymanie wykonanej warstwy</w:t>
      </w:r>
    </w:p>
    <w:p w14:paraId="2F30F3E0" w14:textId="77777777" w:rsidR="00D91956" w:rsidRPr="00D91956" w:rsidRDefault="00D91956" w:rsidP="00D91956">
      <w:pPr>
        <w:spacing w:line="240" w:lineRule="auto"/>
        <w:rPr>
          <w:rFonts w:cs="Arial"/>
          <w:szCs w:val="20"/>
        </w:rPr>
      </w:pPr>
      <w:r w:rsidRPr="00D91956">
        <w:rPr>
          <w:rFonts w:cs="Arial"/>
          <w:szCs w:val="20"/>
        </w:rPr>
        <w:tab/>
        <w:t>Zagęszczona warstwa, przed ułożeniem następnej warstwy, powinna być utrzymywana w dobrym stanie. Jeżeli po wykonanej warstwie będzie się odbywał ruch budowlany, to Wykonawca jest obowiązany naprawić wszelkie uszkodzenia, spowodowane przez ten ruch.</w:t>
      </w:r>
    </w:p>
    <w:p w14:paraId="04089D63" w14:textId="77777777" w:rsidR="00D91956" w:rsidRPr="00D91956" w:rsidRDefault="00D91956" w:rsidP="00D91956">
      <w:pPr>
        <w:pStyle w:val="Nagwek2"/>
        <w:spacing w:line="240" w:lineRule="auto"/>
        <w:rPr>
          <w:rFonts w:cs="Arial"/>
          <w:szCs w:val="20"/>
        </w:rPr>
      </w:pPr>
      <w:r w:rsidRPr="00D91956">
        <w:rPr>
          <w:rFonts w:cs="Arial"/>
          <w:szCs w:val="20"/>
        </w:rPr>
        <w:t>5.11. Roboty wykończeniowe</w:t>
      </w:r>
    </w:p>
    <w:p w14:paraId="598A9D9B" w14:textId="77777777" w:rsidR="00D91956" w:rsidRPr="00D91956" w:rsidRDefault="00D91956" w:rsidP="00D91956">
      <w:pPr>
        <w:spacing w:line="240" w:lineRule="auto"/>
        <w:ind w:firstLine="709"/>
        <w:rPr>
          <w:rFonts w:cs="Arial"/>
          <w:szCs w:val="20"/>
        </w:rPr>
      </w:pPr>
      <w:r w:rsidRPr="00D91956">
        <w:rPr>
          <w:rFonts w:cs="Arial"/>
          <w:szCs w:val="20"/>
        </w:rPr>
        <w:t>Roboty wykończeniowe, zgodne z dokumentacją projektową, ST lub wskazaniami Inżyniera dotyczą prac związanych z dostosowaniem wykonanych  robót do istniejących warunków terenowych, takie jak:</w:t>
      </w:r>
    </w:p>
    <w:p w14:paraId="35CD1774" w14:textId="77777777" w:rsidR="00D91956" w:rsidRPr="00D91956" w:rsidRDefault="00D91956" w:rsidP="00CF1E7D">
      <w:pPr>
        <w:numPr>
          <w:ilvl w:val="0"/>
          <w:numId w:val="105"/>
        </w:numPr>
        <w:tabs>
          <w:tab w:val="clear" w:pos="397"/>
          <w:tab w:val="num" w:pos="284"/>
        </w:tabs>
        <w:overflowPunct w:val="0"/>
        <w:autoSpaceDE w:val="0"/>
        <w:autoSpaceDN w:val="0"/>
        <w:adjustRightInd w:val="0"/>
        <w:spacing w:line="240" w:lineRule="auto"/>
        <w:ind w:left="284" w:hanging="284"/>
        <w:jc w:val="both"/>
        <w:textAlignment w:val="baseline"/>
        <w:rPr>
          <w:rFonts w:cs="Arial"/>
          <w:szCs w:val="20"/>
        </w:rPr>
      </w:pPr>
      <w:r w:rsidRPr="00D91956">
        <w:rPr>
          <w:rFonts w:cs="Arial"/>
          <w:szCs w:val="20"/>
        </w:rPr>
        <w:t>odtworzenie przeszkód czasowo usuniętych,</w:t>
      </w:r>
    </w:p>
    <w:p w14:paraId="1809964F" w14:textId="77777777" w:rsidR="00D91956" w:rsidRPr="00D91956" w:rsidRDefault="00D91956" w:rsidP="00CF1E7D">
      <w:pPr>
        <w:numPr>
          <w:ilvl w:val="0"/>
          <w:numId w:val="104"/>
        </w:numPr>
        <w:overflowPunct w:val="0"/>
        <w:autoSpaceDE w:val="0"/>
        <w:autoSpaceDN w:val="0"/>
        <w:adjustRightInd w:val="0"/>
        <w:spacing w:line="240" w:lineRule="auto"/>
        <w:jc w:val="both"/>
        <w:textAlignment w:val="baseline"/>
        <w:rPr>
          <w:rFonts w:cs="Arial"/>
          <w:szCs w:val="20"/>
        </w:rPr>
      </w:pPr>
      <w:r w:rsidRPr="00D91956">
        <w:rPr>
          <w:rFonts w:cs="Arial"/>
          <w:szCs w:val="20"/>
        </w:rPr>
        <w:t>uzupełnienie zniszczonych w czasie robót istniejących elementów drogowych lub terenowych,</w:t>
      </w:r>
    </w:p>
    <w:p w14:paraId="42D80E05"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roboty porządkujące otoczenie terenu robót,</w:t>
      </w:r>
    </w:p>
    <w:p w14:paraId="759EADEE"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usunięcie oznakowania drogi wprowadzonego na okres robót.</w:t>
      </w:r>
    </w:p>
    <w:p w14:paraId="638374AD" w14:textId="77777777" w:rsidR="00D91956" w:rsidRPr="00D91956" w:rsidRDefault="00D91956" w:rsidP="00D91956">
      <w:pPr>
        <w:pStyle w:val="Nagwek1"/>
        <w:numPr>
          <w:ilvl w:val="12"/>
          <w:numId w:val="0"/>
        </w:numPr>
        <w:spacing w:line="240" w:lineRule="auto"/>
        <w:rPr>
          <w:rFonts w:cs="Arial"/>
          <w:szCs w:val="20"/>
        </w:rPr>
      </w:pPr>
      <w:bookmarkStart w:id="827" w:name="_Toc421940501"/>
      <w:bookmarkStart w:id="828" w:name="_Toc24955913"/>
      <w:bookmarkStart w:id="829" w:name="_Toc25128887"/>
      <w:bookmarkStart w:id="830" w:name="_Toc25373385"/>
      <w:bookmarkStart w:id="831" w:name="_Toc25379401"/>
      <w:bookmarkStart w:id="832" w:name="_Toc174333138"/>
      <w:bookmarkStart w:id="833" w:name="_Toc179183771"/>
      <w:bookmarkStart w:id="834" w:name="_Toc198436140"/>
      <w:bookmarkStart w:id="835" w:name="_Toc199904824"/>
      <w:bookmarkStart w:id="836" w:name="_Toc216843088"/>
      <w:bookmarkStart w:id="837" w:name="_Toc257193991"/>
      <w:bookmarkStart w:id="838" w:name="_Toc284409958"/>
      <w:bookmarkStart w:id="839" w:name="_Toc295205110"/>
      <w:bookmarkStart w:id="840" w:name="_Toc331508868"/>
      <w:bookmarkStart w:id="841" w:name="_Toc346094297"/>
      <w:r w:rsidRPr="00D91956">
        <w:rPr>
          <w:rFonts w:cs="Arial"/>
          <w:szCs w:val="20"/>
        </w:rPr>
        <w:t xml:space="preserve">6. </w:t>
      </w:r>
      <w:bookmarkEnd w:id="827"/>
      <w:bookmarkEnd w:id="828"/>
      <w:bookmarkEnd w:id="829"/>
      <w:bookmarkEnd w:id="830"/>
      <w:bookmarkEnd w:id="831"/>
      <w:bookmarkEnd w:id="832"/>
      <w:bookmarkEnd w:id="833"/>
      <w:bookmarkEnd w:id="834"/>
      <w:bookmarkEnd w:id="835"/>
      <w:bookmarkEnd w:id="836"/>
      <w:bookmarkEnd w:id="837"/>
      <w:bookmarkEnd w:id="838"/>
      <w:bookmarkEnd w:id="839"/>
      <w:r w:rsidRPr="00D91956">
        <w:rPr>
          <w:rFonts w:cs="Arial"/>
          <w:szCs w:val="20"/>
        </w:rPr>
        <w:t>KONTROLA JAKOŚCI ROBÓT</w:t>
      </w:r>
      <w:bookmarkEnd w:id="840"/>
      <w:bookmarkEnd w:id="841"/>
    </w:p>
    <w:p w14:paraId="451FFC5F" w14:textId="77777777" w:rsidR="00D91956" w:rsidRPr="00D91956" w:rsidRDefault="00D91956" w:rsidP="00D91956">
      <w:pPr>
        <w:pStyle w:val="Nagwek2"/>
        <w:numPr>
          <w:ilvl w:val="12"/>
          <w:numId w:val="0"/>
        </w:numPr>
        <w:spacing w:line="240" w:lineRule="auto"/>
        <w:rPr>
          <w:rFonts w:cs="Arial"/>
          <w:szCs w:val="20"/>
        </w:rPr>
      </w:pPr>
      <w:r w:rsidRPr="00D91956">
        <w:rPr>
          <w:rFonts w:cs="Arial"/>
          <w:szCs w:val="20"/>
        </w:rPr>
        <w:t>6.1. Ogólne zasady kontroli jakości robót</w:t>
      </w:r>
    </w:p>
    <w:p w14:paraId="77219516" w14:textId="56D1A74E" w:rsidR="00D91956" w:rsidRPr="00D91956" w:rsidRDefault="00D91956" w:rsidP="00D91956">
      <w:pPr>
        <w:numPr>
          <w:ilvl w:val="12"/>
          <w:numId w:val="0"/>
        </w:numPr>
        <w:spacing w:line="240" w:lineRule="auto"/>
        <w:rPr>
          <w:rFonts w:cs="Arial"/>
          <w:szCs w:val="20"/>
        </w:rPr>
      </w:pPr>
      <w:r w:rsidRPr="00D91956">
        <w:rPr>
          <w:rFonts w:cs="Arial"/>
          <w:szCs w:val="20"/>
        </w:rPr>
        <w:tab/>
        <w:t xml:space="preserve">Ogólne zasady kontroli jakości robót podano w </w:t>
      </w:r>
      <w:r w:rsidR="008F5EED">
        <w:rPr>
          <w:rFonts w:cs="Arial"/>
          <w:szCs w:val="20"/>
        </w:rPr>
        <w:t>S</w:t>
      </w:r>
      <w:r w:rsidRPr="00D91956">
        <w:rPr>
          <w:rFonts w:cs="Arial"/>
          <w:szCs w:val="20"/>
        </w:rPr>
        <w:t>ST   D-M-00.00.00 „Wymagania ogólne” [1], pkt 6.</w:t>
      </w:r>
    </w:p>
    <w:p w14:paraId="5E615F42" w14:textId="77777777" w:rsidR="00D91956" w:rsidRPr="00D91956" w:rsidRDefault="00D91956" w:rsidP="00D91956">
      <w:pPr>
        <w:pStyle w:val="Nagwek2"/>
        <w:numPr>
          <w:ilvl w:val="12"/>
          <w:numId w:val="0"/>
        </w:numPr>
        <w:spacing w:line="240" w:lineRule="auto"/>
        <w:rPr>
          <w:rFonts w:cs="Arial"/>
          <w:szCs w:val="20"/>
        </w:rPr>
      </w:pPr>
      <w:r w:rsidRPr="00D91956">
        <w:rPr>
          <w:rFonts w:cs="Arial"/>
          <w:szCs w:val="20"/>
        </w:rPr>
        <w:t>6.2. Badania przed przystąpieniem do robót</w:t>
      </w:r>
    </w:p>
    <w:p w14:paraId="589040F7" w14:textId="77777777" w:rsidR="00D91956" w:rsidRPr="00D91956" w:rsidRDefault="00D91956" w:rsidP="00D91956">
      <w:pPr>
        <w:numPr>
          <w:ilvl w:val="12"/>
          <w:numId w:val="0"/>
        </w:numPr>
        <w:spacing w:line="240" w:lineRule="auto"/>
        <w:rPr>
          <w:rFonts w:cs="Arial"/>
          <w:szCs w:val="20"/>
        </w:rPr>
      </w:pPr>
      <w:r w:rsidRPr="00D91956">
        <w:rPr>
          <w:rFonts w:cs="Arial"/>
          <w:szCs w:val="20"/>
        </w:rPr>
        <w:tab/>
        <w:t>Przed przystąpieniem do robót Wykonawca powinien:</w:t>
      </w:r>
    </w:p>
    <w:p w14:paraId="31192357"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C6D91C1"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wykonać badania kruszyw przeznaczonych do wykonania robót, obejmujące wszystkie właściwości określone w tablicy 1 niniejszej OST.</w:t>
      </w:r>
    </w:p>
    <w:p w14:paraId="027D6817" w14:textId="77777777" w:rsidR="00D91956" w:rsidRPr="00D91956" w:rsidRDefault="00D91956" w:rsidP="00D91956">
      <w:pPr>
        <w:numPr>
          <w:ilvl w:val="12"/>
          <w:numId w:val="0"/>
        </w:numPr>
        <w:spacing w:line="240" w:lineRule="auto"/>
        <w:rPr>
          <w:rFonts w:cs="Arial"/>
          <w:szCs w:val="20"/>
        </w:rPr>
      </w:pPr>
      <w:r w:rsidRPr="00D91956">
        <w:rPr>
          <w:rFonts w:cs="Arial"/>
          <w:szCs w:val="20"/>
        </w:rPr>
        <w:tab/>
        <w:t>Wszystkie dokumenty oraz wyniki badań Wykonawca przedstawia Inżynierowi do akceptacji.</w:t>
      </w:r>
    </w:p>
    <w:p w14:paraId="200EFF11" w14:textId="77777777" w:rsidR="00D91956" w:rsidRPr="00D91956" w:rsidRDefault="00D91956" w:rsidP="00D91956">
      <w:pPr>
        <w:pStyle w:val="Nagwek2"/>
        <w:numPr>
          <w:ilvl w:val="12"/>
          <w:numId w:val="0"/>
        </w:numPr>
        <w:spacing w:line="240" w:lineRule="auto"/>
        <w:rPr>
          <w:rFonts w:cs="Arial"/>
          <w:szCs w:val="20"/>
        </w:rPr>
      </w:pPr>
      <w:r w:rsidRPr="00D91956">
        <w:rPr>
          <w:rFonts w:cs="Arial"/>
          <w:szCs w:val="20"/>
        </w:rPr>
        <w:t>6.3. Badania w czasie robót</w:t>
      </w:r>
    </w:p>
    <w:p w14:paraId="7A5BF84E" w14:textId="77777777" w:rsidR="00D91956" w:rsidRPr="00D91956" w:rsidRDefault="00D91956" w:rsidP="00D91956">
      <w:pPr>
        <w:numPr>
          <w:ilvl w:val="12"/>
          <w:numId w:val="0"/>
        </w:numPr>
        <w:spacing w:line="240" w:lineRule="auto"/>
        <w:rPr>
          <w:rFonts w:cs="Arial"/>
          <w:szCs w:val="20"/>
        </w:rPr>
      </w:pPr>
      <w:r w:rsidRPr="00D91956">
        <w:rPr>
          <w:rFonts w:cs="Arial"/>
          <w:szCs w:val="20"/>
        </w:rPr>
        <w:tab/>
        <w:t xml:space="preserve">Częstotliwość oraz zakres badań i pomiarów, które należy wykonać w czasie robót podaje tablica 3. </w:t>
      </w:r>
    </w:p>
    <w:p w14:paraId="52EF4C88" w14:textId="77777777" w:rsidR="008F5EED" w:rsidRDefault="008F5EED" w:rsidP="00D91956">
      <w:pPr>
        <w:numPr>
          <w:ilvl w:val="12"/>
          <w:numId w:val="0"/>
        </w:numPr>
        <w:spacing w:before="120" w:after="120" w:line="240" w:lineRule="auto"/>
        <w:rPr>
          <w:rFonts w:cs="Arial"/>
          <w:szCs w:val="20"/>
        </w:rPr>
      </w:pPr>
    </w:p>
    <w:p w14:paraId="3551C3F8" w14:textId="1596BD77" w:rsidR="00D91956" w:rsidRPr="00D91956" w:rsidRDefault="00D91956" w:rsidP="00D91956">
      <w:pPr>
        <w:numPr>
          <w:ilvl w:val="12"/>
          <w:numId w:val="0"/>
        </w:numPr>
        <w:spacing w:before="120" w:after="120" w:line="240" w:lineRule="auto"/>
        <w:rPr>
          <w:rFonts w:cs="Arial"/>
          <w:szCs w:val="20"/>
        </w:rPr>
      </w:pPr>
      <w:r w:rsidRPr="00D91956">
        <w:rPr>
          <w:rFonts w:cs="Arial"/>
          <w:szCs w:val="20"/>
        </w:rPr>
        <w:lastRenderedPageBreak/>
        <w:t>Tablica 3.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D91956" w:rsidRPr="00D91956" w14:paraId="6E07B234" w14:textId="77777777" w:rsidTr="007B6855">
        <w:tc>
          <w:tcPr>
            <w:tcW w:w="496" w:type="dxa"/>
            <w:tcBorders>
              <w:bottom w:val="single" w:sz="4" w:space="0" w:color="auto"/>
            </w:tcBorders>
          </w:tcPr>
          <w:p w14:paraId="1CD7CFD9"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Lp.</w:t>
            </w:r>
          </w:p>
        </w:tc>
        <w:tc>
          <w:tcPr>
            <w:tcW w:w="3534" w:type="dxa"/>
            <w:tcBorders>
              <w:bottom w:val="single" w:sz="4" w:space="0" w:color="auto"/>
            </w:tcBorders>
          </w:tcPr>
          <w:p w14:paraId="1E4D67A3"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Wyszczególnienie robót</w:t>
            </w:r>
          </w:p>
        </w:tc>
        <w:tc>
          <w:tcPr>
            <w:tcW w:w="2204" w:type="dxa"/>
            <w:tcBorders>
              <w:bottom w:val="single" w:sz="4" w:space="0" w:color="auto"/>
            </w:tcBorders>
          </w:tcPr>
          <w:p w14:paraId="1A8DADB6"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Częstotliwość badań</w:t>
            </w:r>
          </w:p>
        </w:tc>
        <w:tc>
          <w:tcPr>
            <w:tcW w:w="2693" w:type="dxa"/>
            <w:tcBorders>
              <w:bottom w:val="single" w:sz="4" w:space="0" w:color="auto"/>
            </w:tcBorders>
          </w:tcPr>
          <w:p w14:paraId="484DDC42"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Wartości dopuszczalne</w:t>
            </w:r>
          </w:p>
        </w:tc>
      </w:tr>
      <w:tr w:rsidR="00D91956" w:rsidRPr="00D91956" w14:paraId="50772DB1" w14:textId="77777777" w:rsidTr="007B6855">
        <w:tc>
          <w:tcPr>
            <w:tcW w:w="496" w:type="dxa"/>
            <w:tcBorders>
              <w:top w:val="single" w:sz="4" w:space="0" w:color="auto"/>
            </w:tcBorders>
            <w:vAlign w:val="center"/>
          </w:tcPr>
          <w:p w14:paraId="384C7A1D" w14:textId="77777777" w:rsidR="00D91956" w:rsidRPr="00D91956" w:rsidRDefault="00D91956" w:rsidP="00D91956">
            <w:pPr>
              <w:numPr>
                <w:ilvl w:val="12"/>
                <w:numId w:val="0"/>
              </w:numPr>
              <w:spacing w:line="240" w:lineRule="auto"/>
              <w:jc w:val="center"/>
              <w:rPr>
                <w:rFonts w:cs="Arial"/>
                <w:szCs w:val="20"/>
              </w:rPr>
            </w:pPr>
            <w:r w:rsidRPr="00D91956">
              <w:rPr>
                <w:rFonts w:cs="Arial"/>
                <w:szCs w:val="20"/>
              </w:rPr>
              <w:t>1</w:t>
            </w:r>
          </w:p>
        </w:tc>
        <w:tc>
          <w:tcPr>
            <w:tcW w:w="3534" w:type="dxa"/>
            <w:tcBorders>
              <w:top w:val="single" w:sz="4" w:space="0" w:color="auto"/>
            </w:tcBorders>
            <w:vAlign w:val="center"/>
          </w:tcPr>
          <w:p w14:paraId="68F582E0" w14:textId="77777777" w:rsidR="00D91956" w:rsidRPr="00D91956" w:rsidRDefault="00D91956" w:rsidP="00D91956">
            <w:pPr>
              <w:numPr>
                <w:ilvl w:val="12"/>
                <w:numId w:val="0"/>
              </w:numPr>
              <w:spacing w:line="240" w:lineRule="auto"/>
              <w:rPr>
                <w:rFonts w:cs="Arial"/>
                <w:szCs w:val="20"/>
              </w:rPr>
            </w:pPr>
            <w:r w:rsidRPr="00D91956">
              <w:rPr>
                <w:rFonts w:cs="Arial"/>
                <w:szCs w:val="20"/>
              </w:rPr>
              <w:t>Lokalizacja i zgodność granic terenu robót z dokumentacją projektową</w:t>
            </w:r>
          </w:p>
        </w:tc>
        <w:tc>
          <w:tcPr>
            <w:tcW w:w="2204" w:type="dxa"/>
            <w:tcBorders>
              <w:top w:val="single" w:sz="4" w:space="0" w:color="auto"/>
            </w:tcBorders>
            <w:vAlign w:val="center"/>
          </w:tcPr>
          <w:p w14:paraId="2DAAAB23" w14:textId="77777777" w:rsidR="00D91956" w:rsidRPr="00D91956" w:rsidRDefault="00D91956" w:rsidP="00D91956">
            <w:pPr>
              <w:numPr>
                <w:ilvl w:val="12"/>
                <w:numId w:val="0"/>
              </w:numPr>
              <w:spacing w:line="240" w:lineRule="auto"/>
              <w:jc w:val="center"/>
              <w:rPr>
                <w:rFonts w:cs="Arial"/>
                <w:szCs w:val="20"/>
              </w:rPr>
            </w:pPr>
            <w:r w:rsidRPr="00D91956">
              <w:rPr>
                <w:rFonts w:cs="Arial"/>
                <w:szCs w:val="20"/>
              </w:rPr>
              <w:t>1 raz</w:t>
            </w:r>
          </w:p>
        </w:tc>
        <w:tc>
          <w:tcPr>
            <w:tcW w:w="2693" w:type="dxa"/>
            <w:tcBorders>
              <w:top w:val="single" w:sz="4" w:space="0" w:color="auto"/>
            </w:tcBorders>
            <w:vAlign w:val="center"/>
          </w:tcPr>
          <w:p w14:paraId="07741670" w14:textId="77777777" w:rsidR="00D91956" w:rsidRPr="00D91956" w:rsidRDefault="00D91956" w:rsidP="00D91956">
            <w:pPr>
              <w:numPr>
                <w:ilvl w:val="12"/>
                <w:numId w:val="0"/>
              </w:numPr>
              <w:spacing w:line="240" w:lineRule="auto"/>
              <w:jc w:val="center"/>
              <w:rPr>
                <w:rFonts w:cs="Arial"/>
                <w:szCs w:val="20"/>
              </w:rPr>
            </w:pPr>
            <w:r w:rsidRPr="00D91956">
              <w:rPr>
                <w:rFonts w:cs="Arial"/>
                <w:szCs w:val="20"/>
              </w:rPr>
              <w:t xml:space="preserve">Wg </w:t>
            </w:r>
            <w:proofErr w:type="spellStart"/>
            <w:r w:rsidRPr="00D91956">
              <w:rPr>
                <w:rFonts w:cs="Arial"/>
                <w:szCs w:val="20"/>
              </w:rPr>
              <w:t>pktu</w:t>
            </w:r>
            <w:proofErr w:type="spellEnd"/>
            <w:r w:rsidRPr="00D91956">
              <w:rPr>
                <w:rFonts w:cs="Arial"/>
                <w:szCs w:val="20"/>
              </w:rPr>
              <w:t xml:space="preserve"> 5 </w:t>
            </w:r>
          </w:p>
          <w:p w14:paraId="0B8D8D6C" w14:textId="77777777" w:rsidR="00D91956" w:rsidRPr="00D91956" w:rsidRDefault="00D91956" w:rsidP="00D91956">
            <w:pPr>
              <w:numPr>
                <w:ilvl w:val="12"/>
                <w:numId w:val="0"/>
              </w:numPr>
              <w:spacing w:line="240" w:lineRule="auto"/>
              <w:jc w:val="center"/>
              <w:rPr>
                <w:rFonts w:cs="Arial"/>
                <w:szCs w:val="20"/>
              </w:rPr>
            </w:pPr>
            <w:r w:rsidRPr="00D91956">
              <w:rPr>
                <w:rFonts w:cs="Arial"/>
                <w:szCs w:val="20"/>
              </w:rPr>
              <w:t xml:space="preserve">i dokumentacji projektowej </w:t>
            </w:r>
          </w:p>
        </w:tc>
      </w:tr>
      <w:tr w:rsidR="00D91956" w:rsidRPr="00D91956" w14:paraId="3F8CFE1E" w14:textId="77777777" w:rsidTr="007B6855">
        <w:tc>
          <w:tcPr>
            <w:tcW w:w="496" w:type="dxa"/>
            <w:vAlign w:val="center"/>
          </w:tcPr>
          <w:p w14:paraId="0720C7C1"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2</w:t>
            </w:r>
          </w:p>
        </w:tc>
        <w:tc>
          <w:tcPr>
            <w:tcW w:w="3534" w:type="dxa"/>
            <w:vAlign w:val="center"/>
          </w:tcPr>
          <w:p w14:paraId="0F9BF289"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Roboty przygotowawcze</w:t>
            </w:r>
          </w:p>
        </w:tc>
        <w:tc>
          <w:tcPr>
            <w:tcW w:w="2204" w:type="dxa"/>
            <w:vAlign w:val="center"/>
          </w:tcPr>
          <w:p w14:paraId="6CB426D1"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Ocena ciągła</w:t>
            </w:r>
          </w:p>
        </w:tc>
        <w:tc>
          <w:tcPr>
            <w:tcW w:w="2693" w:type="dxa"/>
            <w:vAlign w:val="center"/>
          </w:tcPr>
          <w:p w14:paraId="564210D7"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 xml:space="preserve">Wg </w:t>
            </w:r>
            <w:proofErr w:type="spellStart"/>
            <w:r w:rsidRPr="00D91956">
              <w:rPr>
                <w:rFonts w:cs="Arial"/>
                <w:szCs w:val="20"/>
              </w:rPr>
              <w:t>pktu</w:t>
            </w:r>
            <w:proofErr w:type="spellEnd"/>
            <w:r w:rsidRPr="00D91956">
              <w:rPr>
                <w:rFonts w:cs="Arial"/>
                <w:szCs w:val="20"/>
              </w:rPr>
              <w:t xml:space="preserve"> 5.3</w:t>
            </w:r>
          </w:p>
        </w:tc>
      </w:tr>
      <w:tr w:rsidR="00D91956" w:rsidRPr="00D91956" w14:paraId="036535DF" w14:textId="77777777" w:rsidTr="007B6855">
        <w:tc>
          <w:tcPr>
            <w:tcW w:w="496" w:type="dxa"/>
            <w:vAlign w:val="center"/>
          </w:tcPr>
          <w:p w14:paraId="1EFDA1F6"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3</w:t>
            </w:r>
          </w:p>
        </w:tc>
        <w:tc>
          <w:tcPr>
            <w:tcW w:w="3534" w:type="dxa"/>
            <w:vAlign w:val="center"/>
          </w:tcPr>
          <w:p w14:paraId="033B24C6"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Właściwości kruszywa</w:t>
            </w:r>
          </w:p>
        </w:tc>
        <w:tc>
          <w:tcPr>
            <w:tcW w:w="2204" w:type="dxa"/>
            <w:vAlign w:val="center"/>
          </w:tcPr>
          <w:p w14:paraId="0EFE8192"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Dla każdej partii kruszywa  i przy każdej zmianie kruszywa</w:t>
            </w:r>
          </w:p>
        </w:tc>
        <w:tc>
          <w:tcPr>
            <w:tcW w:w="2693" w:type="dxa"/>
            <w:vAlign w:val="center"/>
          </w:tcPr>
          <w:p w14:paraId="54BD7603"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Wg tablicy 1</w:t>
            </w:r>
          </w:p>
        </w:tc>
      </w:tr>
      <w:tr w:rsidR="00D91956" w:rsidRPr="00D91956" w14:paraId="33A1A3AF" w14:textId="77777777" w:rsidTr="007B6855">
        <w:tc>
          <w:tcPr>
            <w:tcW w:w="496" w:type="dxa"/>
            <w:vAlign w:val="center"/>
          </w:tcPr>
          <w:p w14:paraId="5CD06B40"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4</w:t>
            </w:r>
          </w:p>
        </w:tc>
        <w:tc>
          <w:tcPr>
            <w:tcW w:w="3534" w:type="dxa"/>
            <w:vAlign w:val="center"/>
          </w:tcPr>
          <w:p w14:paraId="42AF5BC7"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Uziarnienie mieszanki</w:t>
            </w:r>
          </w:p>
        </w:tc>
        <w:tc>
          <w:tcPr>
            <w:tcW w:w="2204" w:type="dxa"/>
            <w:vAlign w:val="center"/>
          </w:tcPr>
          <w:p w14:paraId="5C60BFDA"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 xml:space="preserve">2 razy na dziennej działce roboczej  </w:t>
            </w:r>
          </w:p>
        </w:tc>
        <w:tc>
          <w:tcPr>
            <w:tcW w:w="2693" w:type="dxa"/>
            <w:vAlign w:val="center"/>
          </w:tcPr>
          <w:p w14:paraId="06ACF0E1"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Wg tablicy 2</w:t>
            </w:r>
          </w:p>
        </w:tc>
      </w:tr>
      <w:tr w:rsidR="00D91956" w:rsidRPr="00D91956" w14:paraId="437A935A" w14:textId="77777777" w:rsidTr="007B6855">
        <w:tc>
          <w:tcPr>
            <w:tcW w:w="496" w:type="dxa"/>
            <w:vAlign w:val="center"/>
          </w:tcPr>
          <w:p w14:paraId="5B11300A"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5</w:t>
            </w:r>
          </w:p>
        </w:tc>
        <w:tc>
          <w:tcPr>
            <w:tcW w:w="3534" w:type="dxa"/>
            <w:vAlign w:val="center"/>
          </w:tcPr>
          <w:p w14:paraId="3D6CC3B4"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Wilgotność mieszanki</w:t>
            </w:r>
          </w:p>
        </w:tc>
        <w:tc>
          <w:tcPr>
            <w:tcW w:w="2204" w:type="dxa"/>
            <w:vAlign w:val="center"/>
          </w:tcPr>
          <w:p w14:paraId="109CA297"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c>
          <w:tcPr>
            <w:tcW w:w="2693" w:type="dxa"/>
            <w:vAlign w:val="center"/>
          </w:tcPr>
          <w:p w14:paraId="6416384B"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r>
      <w:tr w:rsidR="00D91956" w:rsidRPr="00D91956" w14:paraId="37937E97" w14:textId="77777777" w:rsidTr="007B6855">
        <w:tc>
          <w:tcPr>
            <w:tcW w:w="496" w:type="dxa"/>
            <w:vAlign w:val="center"/>
          </w:tcPr>
          <w:p w14:paraId="5073B212"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6</w:t>
            </w:r>
          </w:p>
        </w:tc>
        <w:tc>
          <w:tcPr>
            <w:tcW w:w="3534" w:type="dxa"/>
            <w:vAlign w:val="center"/>
          </w:tcPr>
          <w:p w14:paraId="0183363B"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Zawartość pyłów w mieszance</w:t>
            </w:r>
          </w:p>
        </w:tc>
        <w:tc>
          <w:tcPr>
            <w:tcW w:w="2204" w:type="dxa"/>
            <w:vAlign w:val="center"/>
          </w:tcPr>
          <w:p w14:paraId="21C4392C"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c>
          <w:tcPr>
            <w:tcW w:w="2693" w:type="dxa"/>
            <w:vAlign w:val="center"/>
          </w:tcPr>
          <w:p w14:paraId="7FD20840"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r>
      <w:tr w:rsidR="00D91956" w:rsidRPr="00D91956" w14:paraId="7A128DCD" w14:textId="77777777" w:rsidTr="007B6855">
        <w:tc>
          <w:tcPr>
            <w:tcW w:w="496" w:type="dxa"/>
            <w:vAlign w:val="center"/>
          </w:tcPr>
          <w:p w14:paraId="306C4857"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7</w:t>
            </w:r>
          </w:p>
        </w:tc>
        <w:tc>
          <w:tcPr>
            <w:tcW w:w="3534" w:type="dxa"/>
            <w:vAlign w:val="center"/>
          </w:tcPr>
          <w:p w14:paraId="451FF125"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Zawartość nadziarna w mieszance</w:t>
            </w:r>
          </w:p>
        </w:tc>
        <w:tc>
          <w:tcPr>
            <w:tcW w:w="2204" w:type="dxa"/>
            <w:vAlign w:val="center"/>
          </w:tcPr>
          <w:p w14:paraId="7572F37A"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c>
          <w:tcPr>
            <w:tcW w:w="2693" w:type="dxa"/>
            <w:vAlign w:val="center"/>
          </w:tcPr>
          <w:p w14:paraId="55F383C2"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r>
      <w:tr w:rsidR="00D91956" w:rsidRPr="00D91956" w14:paraId="69823A4C" w14:textId="77777777" w:rsidTr="007B6855">
        <w:tc>
          <w:tcPr>
            <w:tcW w:w="496" w:type="dxa"/>
            <w:vAlign w:val="center"/>
          </w:tcPr>
          <w:p w14:paraId="34D6F9FE"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8</w:t>
            </w:r>
          </w:p>
        </w:tc>
        <w:tc>
          <w:tcPr>
            <w:tcW w:w="3534" w:type="dxa"/>
            <w:vAlign w:val="center"/>
          </w:tcPr>
          <w:p w14:paraId="36415D51"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Wrażliwość mieszanki na mróz, wskaźnik piaskowy</w:t>
            </w:r>
          </w:p>
        </w:tc>
        <w:tc>
          <w:tcPr>
            <w:tcW w:w="2204" w:type="dxa"/>
            <w:vAlign w:val="center"/>
          </w:tcPr>
          <w:p w14:paraId="04A5B051"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c>
          <w:tcPr>
            <w:tcW w:w="2693" w:type="dxa"/>
            <w:vAlign w:val="center"/>
          </w:tcPr>
          <w:p w14:paraId="6369B644"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r>
      <w:tr w:rsidR="00D91956" w:rsidRPr="00D91956" w14:paraId="00C78285" w14:textId="77777777" w:rsidTr="007B6855">
        <w:tc>
          <w:tcPr>
            <w:tcW w:w="496" w:type="dxa"/>
            <w:vAlign w:val="center"/>
          </w:tcPr>
          <w:p w14:paraId="44036F85"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9</w:t>
            </w:r>
          </w:p>
        </w:tc>
        <w:tc>
          <w:tcPr>
            <w:tcW w:w="3534" w:type="dxa"/>
            <w:vAlign w:val="center"/>
          </w:tcPr>
          <w:p w14:paraId="52DA0919"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Zawartość wody w mieszance</w:t>
            </w:r>
          </w:p>
        </w:tc>
        <w:tc>
          <w:tcPr>
            <w:tcW w:w="2204" w:type="dxa"/>
            <w:vAlign w:val="center"/>
          </w:tcPr>
          <w:p w14:paraId="119BDE60"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c>
          <w:tcPr>
            <w:tcW w:w="2693" w:type="dxa"/>
            <w:vAlign w:val="center"/>
          </w:tcPr>
          <w:p w14:paraId="23AEB7A2"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r>
      <w:tr w:rsidR="00D91956" w:rsidRPr="00D91956" w14:paraId="4D5AF35C" w14:textId="77777777" w:rsidTr="007B6855">
        <w:tc>
          <w:tcPr>
            <w:tcW w:w="496" w:type="dxa"/>
            <w:vAlign w:val="center"/>
          </w:tcPr>
          <w:p w14:paraId="00E6D26E"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10</w:t>
            </w:r>
          </w:p>
        </w:tc>
        <w:tc>
          <w:tcPr>
            <w:tcW w:w="3534" w:type="dxa"/>
            <w:vAlign w:val="center"/>
          </w:tcPr>
          <w:p w14:paraId="32237C96"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Wartość CBR po zagęszczeniu mieszanki</w:t>
            </w:r>
          </w:p>
        </w:tc>
        <w:tc>
          <w:tcPr>
            <w:tcW w:w="2204" w:type="dxa"/>
            <w:vAlign w:val="center"/>
          </w:tcPr>
          <w:p w14:paraId="166F556E" w14:textId="77777777" w:rsidR="00D91956" w:rsidRPr="00D91956" w:rsidRDefault="00D91956" w:rsidP="00D91956">
            <w:pPr>
              <w:numPr>
                <w:ilvl w:val="12"/>
                <w:numId w:val="0"/>
              </w:numPr>
              <w:spacing w:before="60" w:line="240" w:lineRule="auto"/>
              <w:jc w:val="center"/>
              <w:rPr>
                <w:rFonts w:cs="Arial"/>
                <w:szCs w:val="20"/>
              </w:rPr>
            </w:pPr>
            <w:r w:rsidRPr="00D91956">
              <w:rPr>
                <w:rFonts w:cs="Arial"/>
                <w:szCs w:val="20"/>
              </w:rPr>
              <w:t xml:space="preserve">10 próbek </w:t>
            </w:r>
          </w:p>
          <w:p w14:paraId="482D1A5D" w14:textId="77777777" w:rsidR="00D91956" w:rsidRPr="00D91956" w:rsidRDefault="00D91956" w:rsidP="00D91956">
            <w:pPr>
              <w:numPr>
                <w:ilvl w:val="12"/>
                <w:numId w:val="0"/>
              </w:numPr>
              <w:spacing w:line="240" w:lineRule="auto"/>
              <w:jc w:val="center"/>
              <w:rPr>
                <w:rFonts w:cs="Arial"/>
                <w:szCs w:val="20"/>
                <w:vertAlign w:val="superscript"/>
              </w:rPr>
            </w:pPr>
            <w:r w:rsidRPr="00D91956">
              <w:rPr>
                <w:rFonts w:cs="Arial"/>
                <w:szCs w:val="20"/>
              </w:rPr>
              <w:t xml:space="preserve">na </w:t>
            </w:r>
            <w:smartTag w:uri="urn:schemas-microsoft-com:office:smarttags" w:element="metricconverter">
              <w:smartTagPr>
                <w:attr w:name="ProductID" w:val="10ﾠ000 m2"/>
              </w:smartTagPr>
              <w:r w:rsidRPr="00D91956">
                <w:rPr>
                  <w:rFonts w:cs="Arial"/>
                  <w:szCs w:val="20"/>
                </w:rPr>
                <w:t>10 000 m</w:t>
              </w:r>
              <w:r w:rsidRPr="00D91956">
                <w:rPr>
                  <w:rFonts w:cs="Arial"/>
                  <w:szCs w:val="20"/>
                  <w:vertAlign w:val="superscript"/>
                </w:rPr>
                <w:t>2</w:t>
              </w:r>
            </w:smartTag>
          </w:p>
        </w:tc>
        <w:tc>
          <w:tcPr>
            <w:tcW w:w="2693" w:type="dxa"/>
            <w:vAlign w:val="center"/>
          </w:tcPr>
          <w:p w14:paraId="0559493A"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r>
      <w:tr w:rsidR="00D91956" w:rsidRPr="00D91956" w14:paraId="1385385C" w14:textId="77777777" w:rsidTr="007B6855">
        <w:tc>
          <w:tcPr>
            <w:tcW w:w="496" w:type="dxa"/>
            <w:vAlign w:val="center"/>
          </w:tcPr>
          <w:p w14:paraId="35370097"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11</w:t>
            </w:r>
          </w:p>
        </w:tc>
        <w:tc>
          <w:tcPr>
            <w:tcW w:w="3534" w:type="dxa"/>
            <w:vAlign w:val="center"/>
          </w:tcPr>
          <w:p w14:paraId="1A1E777A"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Inne właściwości mieszanki</w:t>
            </w:r>
          </w:p>
        </w:tc>
        <w:tc>
          <w:tcPr>
            <w:tcW w:w="2204" w:type="dxa"/>
            <w:vAlign w:val="center"/>
          </w:tcPr>
          <w:p w14:paraId="1DDA35E6" w14:textId="77777777" w:rsidR="00D91956" w:rsidRPr="00D91956" w:rsidRDefault="00D91956" w:rsidP="00D91956">
            <w:pPr>
              <w:numPr>
                <w:ilvl w:val="12"/>
                <w:numId w:val="0"/>
              </w:numPr>
              <w:spacing w:before="60" w:line="240" w:lineRule="auto"/>
              <w:jc w:val="center"/>
              <w:rPr>
                <w:rFonts w:cs="Arial"/>
                <w:szCs w:val="20"/>
              </w:rPr>
            </w:pPr>
            <w:r w:rsidRPr="00D91956">
              <w:rPr>
                <w:rFonts w:cs="Arial"/>
                <w:szCs w:val="20"/>
              </w:rPr>
              <w:t>Wg ustalenia Inżyniera</w:t>
            </w:r>
          </w:p>
        </w:tc>
        <w:tc>
          <w:tcPr>
            <w:tcW w:w="2693" w:type="dxa"/>
            <w:vAlign w:val="center"/>
          </w:tcPr>
          <w:p w14:paraId="57528355"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r>
      <w:tr w:rsidR="00D91956" w:rsidRPr="00D91956" w14:paraId="1F49EEF5" w14:textId="77777777" w:rsidTr="007B6855">
        <w:tc>
          <w:tcPr>
            <w:tcW w:w="496" w:type="dxa"/>
            <w:vAlign w:val="center"/>
          </w:tcPr>
          <w:p w14:paraId="78CFEB26"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12</w:t>
            </w:r>
          </w:p>
        </w:tc>
        <w:tc>
          <w:tcPr>
            <w:tcW w:w="3534" w:type="dxa"/>
            <w:vAlign w:val="center"/>
          </w:tcPr>
          <w:p w14:paraId="5B7D06D1"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Cechy środowiskowe</w:t>
            </w:r>
          </w:p>
        </w:tc>
        <w:tc>
          <w:tcPr>
            <w:tcW w:w="2204" w:type="dxa"/>
            <w:vAlign w:val="center"/>
          </w:tcPr>
          <w:p w14:paraId="667B5D0F" w14:textId="77777777" w:rsidR="00D91956" w:rsidRPr="00D91956" w:rsidRDefault="00D91956" w:rsidP="00D91956">
            <w:pPr>
              <w:numPr>
                <w:ilvl w:val="12"/>
                <w:numId w:val="0"/>
              </w:numPr>
              <w:spacing w:before="60" w:line="240" w:lineRule="auto"/>
              <w:jc w:val="center"/>
              <w:rPr>
                <w:rFonts w:cs="Arial"/>
                <w:szCs w:val="20"/>
              </w:rPr>
            </w:pPr>
            <w:r w:rsidRPr="00D91956">
              <w:rPr>
                <w:rFonts w:cs="Arial"/>
                <w:szCs w:val="20"/>
              </w:rPr>
              <w:t>Wg ustalenia Inżyniera</w:t>
            </w:r>
          </w:p>
        </w:tc>
        <w:tc>
          <w:tcPr>
            <w:tcW w:w="2693" w:type="dxa"/>
            <w:vAlign w:val="center"/>
          </w:tcPr>
          <w:p w14:paraId="25AE0030"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Jw.</w:t>
            </w:r>
          </w:p>
        </w:tc>
      </w:tr>
      <w:tr w:rsidR="00D91956" w:rsidRPr="00D91956" w14:paraId="6DBA28FD" w14:textId="77777777" w:rsidTr="007B6855">
        <w:tc>
          <w:tcPr>
            <w:tcW w:w="496" w:type="dxa"/>
            <w:vAlign w:val="center"/>
          </w:tcPr>
          <w:p w14:paraId="7260E559"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13</w:t>
            </w:r>
          </w:p>
        </w:tc>
        <w:tc>
          <w:tcPr>
            <w:tcW w:w="3534" w:type="dxa"/>
            <w:vAlign w:val="center"/>
          </w:tcPr>
          <w:p w14:paraId="0A4B77F4" w14:textId="77777777" w:rsidR="00D91956" w:rsidRPr="00D91956" w:rsidRDefault="00D91956" w:rsidP="00D91956">
            <w:pPr>
              <w:numPr>
                <w:ilvl w:val="12"/>
                <w:numId w:val="0"/>
              </w:numPr>
              <w:spacing w:before="60" w:after="60" w:line="240" w:lineRule="auto"/>
              <w:rPr>
                <w:rFonts w:cs="Arial"/>
                <w:szCs w:val="20"/>
              </w:rPr>
            </w:pPr>
            <w:r w:rsidRPr="00D91956">
              <w:rPr>
                <w:rFonts w:cs="Arial"/>
                <w:szCs w:val="20"/>
              </w:rPr>
              <w:t>Roboty wykończeniowe</w:t>
            </w:r>
          </w:p>
        </w:tc>
        <w:tc>
          <w:tcPr>
            <w:tcW w:w="2204" w:type="dxa"/>
            <w:vAlign w:val="center"/>
          </w:tcPr>
          <w:p w14:paraId="0C457F6B" w14:textId="77777777" w:rsidR="00D91956" w:rsidRPr="00D91956" w:rsidRDefault="00D91956" w:rsidP="00D91956">
            <w:pPr>
              <w:numPr>
                <w:ilvl w:val="12"/>
                <w:numId w:val="0"/>
              </w:numPr>
              <w:spacing w:before="60" w:line="240" w:lineRule="auto"/>
              <w:jc w:val="center"/>
              <w:rPr>
                <w:rFonts w:cs="Arial"/>
                <w:szCs w:val="20"/>
              </w:rPr>
            </w:pPr>
            <w:r w:rsidRPr="00D91956">
              <w:rPr>
                <w:rFonts w:cs="Arial"/>
                <w:szCs w:val="20"/>
              </w:rPr>
              <w:t>Ocena ciągła</w:t>
            </w:r>
          </w:p>
        </w:tc>
        <w:tc>
          <w:tcPr>
            <w:tcW w:w="2693" w:type="dxa"/>
            <w:vAlign w:val="center"/>
          </w:tcPr>
          <w:p w14:paraId="6135F30D" w14:textId="77777777" w:rsidR="00D91956" w:rsidRPr="00D91956" w:rsidRDefault="00D91956" w:rsidP="00D91956">
            <w:pPr>
              <w:numPr>
                <w:ilvl w:val="12"/>
                <w:numId w:val="0"/>
              </w:numPr>
              <w:spacing w:before="60" w:after="60" w:line="240" w:lineRule="auto"/>
              <w:jc w:val="center"/>
              <w:rPr>
                <w:rFonts w:cs="Arial"/>
                <w:szCs w:val="20"/>
              </w:rPr>
            </w:pPr>
            <w:r w:rsidRPr="00D91956">
              <w:rPr>
                <w:rFonts w:cs="Arial"/>
                <w:szCs w:val="20"/>
              </w:rPr>
              <w:t xml:space="preserve">Wg </w:t>
            </w:r>
            <w:proofErr w:type="spellStart"/>
            <w:r w:rsidRPr="00D91956">
              <w:rPr>
                <w:rFonts w:cs="Arial"/>
                <w:szCs w:val="20"/>
              </w:rPr>
              <w:t>pktu</w:t>
            </w:r>
            <w:proofErr w:type="spellEnd"/>
            <w:r w:rsidRPr="00D91956">
              <w:rPr>
                <w:rFonts w:cs="Arial"/>
                <w:szCs w:val="20"/>
              </w:rPr>
              <w:t xml:space="preserve"> 5.11</w:t>
            </w:r>
          </w:p>
        </w:tc>
      </w:tr>
    </w:tbl>
    <w:p w14:paraId="19C36800" w14:textId="77777777" w:rsidR="00D91956" w:rsidRPr="00D91956" w:rsidRDefault="00D91956" w:rsidP="00D91956">
      <w:pPr>
        <w:pStyle w:val="Nagwek2"/>
        <w:spacing w:before="240" w:line="240" w:lineRule="auto"/>
        <w:rPr>
          <w:rFonts w:cs="Arial"/>
          <w:szCs w:val="20"/>
        </w:rPr>
      </w:pPr>
      <w:bookmarkStart w:id="842" w:name="_Toc421940502"/>
      <w:bookmarkStart w:id="843" w:name="_Toc24955914"/>
      <w:bookmarkStart w:id="844" w:name="_Toc25128888"/>
      <w:bookmarkStart w:id="845" w:name="_Toc25373386"/>
      <w:bookmarkStart w:id="846" w:name="_Toc25379402"/>
      <w:bookmarkStart w:id="847" w:name="_Toc174333139"/>
      <w:bookmarkStart w:id="848" w:name="_Toc179183772"/>
      <w:bookmarkStart w:id="849" w:name="_Toc198436141"/>
      <w:bookmarkStart w:id="850" w:name="_Toc199904825"/>
      <w:bookmarkStart w:id="851" w:name="_Toc216843089"/>
      <w:bookmarkStart w:id="852" w:name="_Toc257193992"/>
      <w:bookmarkStart w:id="853" w:name="_Toc284409959"/>
      <w:bookmarkStart w:id="854" w:name="_Toc295205111"/>
      <w:r w:rsidRPr="00D91956">
        <w:rPr>
          <w:rFonts w:cs="Arial"/>
          <w:szCs w:val="20"/>
        </w:rPr>
        <w:t>6.4. Wymagania dotyczące cech geometrycznych podłoża ulepszonego</w:t>
      </w:r>
    </w:p>
    <w:p w14:paraId="787985AA" w14:textId="77777777" w:rsidR="00D91956" w:rsidRPr="00D91956" w:rsidRDefault="00D91956" w:rsidP="00D91956">
      <w:pPr>
        <w:spacing w:line="240" w:lineRule="auto"/>
        <w:ind w:firstLine="709"/>
        <w:rPr>
          <w:rFonts w:cs="Arial"/>
          <w:szCs w:val="20"/>
        </w:rPr>
      </w:pPr>
      <w:r w:rsidRPr="00D91956">
        <w:rPr>
          <w:rFonts w:cs="Arial"/>
          <w:szCs w:val="20"/>
        </w:rPr>
        <w:t>Częstotliwość oraz zakres badań i pomiarów dotyczących cech geometrycznych warstwy z mieszanki niezwiązanej podaje tablica 4.</w:t>
      </w:r>
    </w:p>
    <w:p w14:paraId="6909B767" w14:textId="77777777" w:rsidR="00D91956" w:rsidRPr="00D91956" w:rsidRDefault="00D91956" w:rsidP="00D91956">
      <w:pPr>
        <w:keepNext/>
        <w:spacing w:before="60" w:after="120" w:line="240" w:lineRule="auto"/>
        <w:rPr>
          <w:rFonts w:cs="Arial"/>
          <w:szCs w:val="20"/>
        </w:rPr>
      </w:pPr>
      <w:r w:rsidRPr="00D91956">
        <w:rPr>
          <w:rFonts w:cs="Arial"/>
          <w:szCs w:val="20"/>
        </w:rPr>
        <w:t>Tablica 4.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D91956" w:rsidRPr="00D91956" w14:paraId="4D8DFF5A" w14:textId="77777777" w:rsidTr="007B6855">
        <w:tc>
          <w:tcPr>
            <w:tcW w:w="496" w:type="dxa"/>
            <w:tcBorders>
              <w:top w:val="single" w:sz="4" w:space="0" w:color="auto"/>
              <w:left w:val="single" w:sz="4" w:space="0" w:color="auto"/>
              <w:bottom w:val="single" w:sz="4" w:space="0" w:color="auto"/>
            </w:tcBorders>
          </w:tcPr>
          <w:p w14:paraId="34CDD2F2" w14:textId="77777777" w:rsidR="00D91956" w:rsidRPr="00D91956" w:rsidRDefault="00D91956" w:rsidP="00D91956">
            <w:pPr>
              <w:spacing w:line="240" w:lineRule="auto"/>
              <w:jc w:val="center"/>
              <w:rPr>
                <w:rFonts w:cs="Arial"/>
                <w:szCs w:val="20"/>
              </w:rPr>
            </w:pPr>
          </w:p>
          <w:p w14:paraId="5722504D" w14:textId="77777777" w:rsidR="00D91956" w:rsidRPr="00D91956" w:rsidRDefault="00D91956" w:rsidP="00D91956">
            <w:pPr>
              <w:spacing w:line="240" w:lineRule="auto"/>
              <w:jc w:val="center"/>
              <w:rPr>
                <w:rFonts w:cs="Arial"/>
                <w:szCs w:val="20"/>
              </w:rPr>
            </w:pPr>
            <w:r w:rsidRPr="00D91956">
              <w:rPr>
                <w:rFonts w:cs="Arial"/>
                <w:szCs w:val="20"/>
              </w:rPr>
              <w:t>Lp.</w:t>
            </w:r>
          </w:p>
        </w:tc>
        <w:tc>
          <w:tcPr>
            <w:tcW w:w="3414" w:type="dxa"/>
            <w:tcBorders>
              <w:top w:val="single" w:sz="4" w:space="0" w:color="auto"/>
              <w:bottom w:val="single" w:sz="4" w:space="0" w:color="auto"/>
              <w:right w:val="single" w:sz="4" w:space="0" w:color="auto"/>
            </w:tcBorders>
          </w:tcPr>
          <w:p w14:paraId="5A6F7143" w14:textId="77777777" w:rsidR="00D91956" w:rsidRPr="00D91956" w:rsidRDefault="00D91956" w:rsidP="00D91956">
            <w:pPr>
              <w:spacing w:before="120" w:line="240" w:lineRule="auto"/>
              <w:ind w:left="215" w:right="312"/>
              <w:jc w:val="center"/>
              <w:rPr>
                <w:rFonts w:cs="Arial"/>
                <w:szCs w:val="20"/>
              </w:rPr>
            </w:pPr>
            <w:r w:rsidRPr="00D91956">
              <w:rPr>
                <w:rFonts w:cs="Arial"/>
                <w:szCs w:val="20"/>
              </w:rPr>
              <w:t>Wyszczególnienie badań i pomiarów</w:t>
            </w:r>
          </w:p>
        </w:tc>
        <w:tc>
          <w:tcPr>
            <w:tcW w:w="2280" w:type="dxa"/>
            <w:tcBorders>
              <w:left w:val="single" w:sz="4" w:space="0" w:color="auto"/>
            </w:tcBorders>
            <w:shd w:val="clear" w:color="auto" w:fill="auto"/>
          </w:tcPr>
          <w:p w14:paraId="005908A3" w14:textId="77777777" w:rsidR="00D91956" w:rsidRPr="00D91956" w:rsidRDefault="00D91956" w:rsidP="00D91956">
            <w:pPr>
              <w:spacing w:line="240" w:lineRule="auto"/>
              <w:jc w:val="center"/>
              <w:rPr>
                <w:rFonts w:cs="Arial"/>
                <w:szCs w:val="20"/>
              </w:rPr>
            </w:pPr>
            <w:r w:rsidRPr="00D91956">
              <w:rPr>
                <w:rFonts w:cs="Arial"/>
                <w:szCs w:val="20"/>
              </w:rPr>
              <w:t>Minimalna częstotliwość badań i pomiarów</w:t>
            </w:r>
          </w:p>
        </w:tc>
        <w:tc>
          <w:tcPr>
            <w:tcW w:w="2760" w:type="dxa"/>
            <w:shd w:val="clear" w:color="auto" w:fill="auto"/>
          </w:tcPr>
          <w:p w14:paraId="72ACFAE7" w14:textId="77777777" w:rsidR="00D91956" w:rsidRPr="00D91956" w:rsidRDefault="00D91956" w:rsidP="00D91956">
            <w:pPr>
              <w:spacing w:line="240" w:lineRule="auto"/>
              <w:jc w:val="center"/>
              <w:rPr>
                <w:rFonts w:cs="Arial"/>
                <w:szCs w:val="20"/>
              </w:rPr>
            </w:pPr>
          </w:p>
          <w:p w14:paraId="712257C4" w14:textId="77777777" w:rsidR="00D91956" w:rsidRPr="00D91956" w:rsidRDefault="00D91956" w:rsidP="00D91956">
            <w:pPr>
              <w:spacing w:line="240" w:lineRule="auto"/>
              <w:jc w:val="center"/>
              <w:rPr>
                <w:rFonts w:cs="Arial"/>
                <w:szCs w:val="20"/>
              </w:rPr>
            </w:pPr>
            <w:r w:rsidRPr="00D91956">
              <w:rPr>
                <w:rFonts w:cs="Arial"/>
                <w:szCs w:val="20"/>
              </w:rPr>
              <w:t>Dopuszczalne odchyłki</w:t>
            </w:r>
          </w:p>
        </w:tc>
      </w:tr>
      <w:tr w:rsidR="00D91956" w:rsidRPr="00D91956" w14:paraId="395F3E7B" w14:textId="77777777" w:rsidTr="007B6855">
        <w:tc>
          <w:tcPr>
            <w:tcW w:w="496" w:type="dxa"/>
            <w:tcBorders>
              <w:top w:val="single" w:sz="4" w:space="0" w:color="auto"/>
            </w:tcBorders>
          </w:tcPr>
          <w:p w14:paraId="5B89F0FE" w14:textId="77777777" w:rsidR="00D91956" w:rsidRPr="00D91956" w:rsidRDefault="00D91956" w:rsidP="00D91956">
            <w:pPr>
              <w:spacing w:line="240" w:lineRule="auto"/>
              <w:jc w:val="center"/>
              <w:rPr>
                <w:rFonts w:cs="Arial"/>
                <w:szCs w:val="20"/>
              </w:rPr>
            </w:pPr>
            <w:r w:rsidRPr="00D91956">
              <w:rPr>
                <w:rFonts w:cs="Arial"/>
                <w:szCs w:val="20"/>
              </w:rPr>
              <w:t>1</w:t>
            </w:r>
          </w:p>
        </w:tc>
        <w:tc>
          <w:tcPr>
            <w:tcW w:w="3414" w:type="dxa"/>
            <w:tcBorders>
              <w:top w:val="single" w:sz="4" w:space="0" w:color="auto"/>
            </w:tcBorders>
          </w:tcPr>
          <w:p w14:paraId="55EF1D2F" w14:textId="77777777" w:rsidR="00D91956" w:rsidRPr="00D91956" w:rsidRDefault="00D91956" w:rsidP="00D91956">
            <w:pPr>
              <w:spacing w:line="240" w:lineRule="auto"/>
              <w:rPr>
                <w:rFonts w:cs="Arial"/>
                <w:szCs w:val="20"/>
              </w:rPr>
            </w:pPr>
            <w:r w:rsidRPr="00D91956">
              <w:rPr>
                <w:rFonts w:cs="Arial"/>
                <w:szCs w:val="20"/>
              </w:rPr>
              <w:t>Szerokość warstwy</w:t>
            </w:r>
          </w:p>
        </w:tc>
        <w:tc>
          <w:tcPr>
            <w:tcW w:w="2280" w:type="dxa"/>
            <w:shd w:val="clear" w:color="auto" w:fill="auto"/>
          </w:tcPr>
          <w:p w14:paraId="513F76E7" w14:textId="77777777" w:rsidR="00D91956" w:rsidRPr="00D91956" w:rsidRDefault="00D91956" w:rsidP="00D91956">
            <w:pPr>
              <w:spacing w:line="240" w:lineRule="auto"/>
              <w:jc w:val="center"/>
              <w:rPr>
                <w:rFonts w:cs="Arial"/>
                <w:szCs w:val="20"/>
              </w:rPr>
            </w:pPr>
            <w:r w:rsidRPr="00D91956">
              <w:rPr>
                <w:rFonts w:cs="Arial"/>
                <w:szCs w:val="20"/>
              </w:rPr>
              <w:t xml:space="preserve">10 razy na </w:t>
            </w:r>
            <w:smartTag w:uri="urn:schemas-microsoft-com:office:smarttags" w:element="metricconverter">
              <w:smartTagPr>
                <w:attr w:name="ProductID" w:val="1 km"/>
              </w:smartTagPr>
              <w:r w:rsidRPr="00D91956">
                <w:rPr>
                  <w:rFonts w:cs="Arial"/>
                  <w:szCs w:val="20"/>
                </w:rPr>
                <w:t>1 km</w:t>
              </w:r>
            </w:smartTag>
          </w:p>
        </w:tc>
        <w:tc>
          <w:tcPr>
            <w:tcW w:w="2760" w:type="dxa"/>
            <w:shd w:val="clear" w:color="auto" w:fill="auto"/>
          </w:tcPr>
          <w:p w14:paraId="0AC16C2A" w14:textId="77777777" w:rsidR="00D91956" w:rsidRPr="00D91956" w:rsidRDefault="00D91956" w:rsidP="00D91956">
            <w:pPr>
              <w:spacing w:line="240" w:lineRule="auto"/>
              <w:jc w:val="center"/>
              <w:rPr>
                <w:rFonts w:cs="Arial"/>
                <w:szCs w:val="20"/>
              </w:rPr>
            </w:pPr>
            <w:r w:rsidRPr="00D91956">
              <w:rPr>
                <w:rFonts w:cs="Arial"/>
                <w:szCs w:val="20"/>
              </w:rPr>
              <w:t>+</w:t>
            </w:r>
            <w:smartTag w:uri="urn:schemas-microsoft-com:office:smarttags" w:element="metricconverter">
              <w:smartTagPr>
                <w:attr w:name="ProductID" w:val="10 cm"/>
              </w:smartTagPr>
              <w:r w:rsidRPr="00D91956">
                <w:rPr>
                  <w:rFonts w:cs="Arial"/>
                  <w:szCs w:val="20"/>
                </w:rPr>
                <w:t>10 cm</w:t>
              </w:r>
            </w:smartTag>
            <w:r w:rsidRPr="00D91956">
              <w:rPr>
                <w:rFonts w:cs="Arial"/>
                <w:szCs w:val="20"/>
              </w:rPr>
              <w:t xml:space="preserve">, </w:t>
            </w:r>
            <w:smartTag w:uri="urn:schemas-microsoft-com:office:smarttags" w:element="metricconverter">
              <w:smartTagPr>
                <w:attr w:name="ProductID" w:val="-5 cm"/>
              </w:smartTagPr>
              <w:r w:rsidRPr="00D91956">
                <w:rPr>
                  <w:rFonts w:cs="Arial"/>
                  <w:szCs w:val="20"/>
                </w:rPr>
                <w:t>-5 cm</w:t>
              </w:r>
            </w:smartTag>
            <w:r w:rsidRPr="00D91956">
              <w:rPr>
                <w:rFonts w:cs="Arial"/>
                <w:szCs w:val="20"/>
              </w:rPr>
              <w:t xml:space="preserve"> (różnice od szerokości projektowej)</w:t>
            </w:r>
          </w:p>
        </w:tc>
      </w:tr>
      <w:tr w:rsidR="00D91956" w:rsidRPr="00D91956" w14:paraId="35687660" w14:textId="77777777" w:rsidTr="007B6855">
        <w:tc>
          <w:tcPr>
            <w:tcW w:w="496" w:type="dxa"/>
          </w:tcPr>
          <w:p w14:paraId="15ECC981" w14:textId="77777777" w:rsidR="00D91956" w:rsidRPr="00D91956" w:rsidRDefault="00D91956" w:rsidP="00D91956">
            <w:pPr>
              <w:spacing w:line="240" w:lineRule="auto"/>
              <w:jc w:val="center"/>
              <w:rPr>
                <w:rFonts w:cs="Arial"/>
                <w:szCs w:val="20"/>
              </w:rPr>
            </w:pPr>
            <w:r w:rsidRPr="00D91956">
              <w:rPr>
                <w:rFonts w:cs="Arial"/>
                <w:szCs w:val="20"/>
              </w:rPr>
              <w:t>2</w:t>
            </w:r>
          </w:p>
        </w:tc>
        <w:tc>
          <w:tcPr>
            <w:tcW w:w="3414" w:type="dxa"/>
          </w:tcPr>
          <w:p w14:paraId="37FB2504" w14:textId="77777777" w:rsidR="00D91956" w:rsidRPr="00D91956" w:rsidRDefault="00D91956" w:rsidP="00D91956">
            <w:pPr>
              <w:spacing w:line="240" w:lineRule="auto"/>
              <w:rPr>
                <w:rFonts w:cs="Arial"/>
                <w:szCs w:val="20"/>
              </w:rPr>
            </w:pPr>
            <w:r w:rsidRPr="00D91956">
              <w:rPr>
                <w:rFonts w:cs="Arial"/>
                <w:szCs w:val="20"/>
              </w:rPr>
              <w:t>Równość podłużna</w:t>
            </w:r>
          </w:p>
        </w:tc>
        <w:tc>
          <w:tcPr>
            <w:tcW w:w="2280" w:type="dxa"/>
            <w:shd w:val="clear" w:color="auto" w:fill="auto"/>
          </w:tcPr>
          <w:p w14:paraId="38C7EB69" w14:textId="77777777" w:rsidR="00D91956" w:rsidRPr="00D91956" w:rsidRDefault="00D91956" w:rsidP="00D91956">
            <w:pPr>
              <w:spacing w:line="240" w:lineRule="auto"/>
              <w:jc w:val="center"/>
              <w:rPr>
                <w:rFonts w:cs="Arial"/>
                <w:szCs w:val="20"/>
              </w:rPr>
            </w:pPr>
            <w:r w:rsidRPr="00D91956">
              <w:rPr>
                <w:rFonts w:cs="Arial"/>
                <w:szCs w:val="20"/>
              </w:rPr>
              <w:t>Wg [23]</w:t>
            </w:r>
          </w:p>
        </w:tc>
        <w:tc>
          <w:tcPr>
            <w:tcW w:w="2760" w:type="dxa"/>
            <w:shd w:val="clear" w:color="auto" w:fill="auto"/>
          </w:tcPr>
          <w:p w14:paraId="689EF6A1" w14:textId="77777777" w:rsidR="00D91956" w:rsidRPr="00D91956" w:rsidRDefault="00D91956" w:rsidP="00D91956">
            <w:pPr>
              <w:spacing w:line="240" w:lineRule="auto"/>
              <w:jc w:val="center"/>
              <w:rPr>
                <w:rFonts w:cs="Arial"/>
                <w:szCs w:val="20"/>
              </w:rPr>
            </w:pPr>
            <w:r w:rsidRPr="00D91956">
              <w:rPr>
                <w:rFonts w:cs="Arial"/>
                <w:szCs w:val="20"/>
              </w:rPr>
              <w:t>Wg [23]</w:t>
            </w:r>
          </w:p>
        </w:tc>
      </w:tr>
      <w:tr w:rsidR="00D91956" w:rsidRPr="00D91956" w14:paraId="351A3841" w14:textId="77777777" w:rsidTr="007B6855">
        <w:tc>
          <w:tcPr>
            <w:tcW w:w="496" w:type="dxa"/>
          </w:tcPr>
          <w:p w14:paraId="03920C55" w14:textId="77777777" w:rsidR="00D91956" w:rsidRPr="00D91956" w:rsidRDefault="00D91956" w:rsidP="00D91956">
            <w:pPr>
              <w:spacing w:line="240" w:lineRule="auto"/>
              <w:jc w:val="center"/>
              <w:rPr>
                <w:rFonts w:cs="Arial"/>
                <w:szCs w:val="20"/>
              </w:rPr>
            </w:pPr>
            <w:r w:rsidRPr="00D91956">
              <w:rPr>
                <w:rFonts w:cs="Arial"/>
                <w:szCs w:val="20"/>
              </w:rPr>
              <w:t>3</w:t>
            </w:r>
          </w:p>
        </w:tc>
        <w:tc>
          <w:tcPr>
            <w:tcW w:w="3414" w:type="dxa"/>
          </w:tcPr>
          <w:p w14:paraId="14EFC8FC" w14:textId="77777777" w:rsidR="00D91956" w:rsidRPr="00D91956" w:rsidRDefault="00D91956" w:rsidP="00D91956">
            <w:pPr>
              <w:spacing w:line="240" w:lineRule="auto"/>
              <w:rPr>
                <w:rFonts w:cs="Arial"/>
                <w:szCs w:val="20"/>
              </w:rPr>
            </w:pPr>
            <w:r w:rsidRPr="00D91956">
              <w:rPr>
                <w:rFonts w:cs="Arial"/>
                <w:szCs w:val="20"/>
              </w:rPr>
              <w:t>Równość poprzeczna</w:t>
            </w:r>
          </w:p>
        </w:tc>
        <w:tc>
          <w:tcPr>
            <w:tcW w:w="2280" w:type="dxa"/>
            <w:shd w:val="clear" w:color="auto" w:fill="auto"/>
          </w:tcPr>
          <w:p w14:paraId="4DFE368D" w14:textId="77777777" w:rsidR="00D91956" w:rsidRPr="00D91956" w:rsidRDefault="00D91956" w:rsidP="00D91956">
            <w:pPr>
              <w:spacing w:line="240" w:lineRule="auto"/>
              <w:jc w:val="center"/>
              <w:rPr>
                <w:rFonts w:cs="Arial"/>
                <w:szCs w:val="20"/>
              </w:rPr>
            </w:pPr>
            <w:r w:rsidRPr="00D91956">
              <w:rPr>
                <w:rFonts w:cs="Arial"/>
                <w:szCs w:val="20"/>
              </w:rPr>
              <w:t>Wg [23]</w:t>
            </w:r>
          </w:p>
        </w:tc>
        <w:tc>
          <w:tcPr>
            <w:tcW w:w="2760" w:type="dxa"/>
            <w:shd w:val="clear" w:color="auto" w:fill="auto"/>
          </w:tcPr>
          <w:p w14:paraId="2C7F923F" w14:textId="77777777" w:rsidR="00D91956" w:rsidRPr="00D91956" w:rsidRDefault="00D91956" w:rsidP="00D91956">
            <w:pPr>
              <w:spacing w:line="240" w:lineRule="auto"/>
              <w:jc w:val="center"/>
              <w:rPr>
                <w:rFonts w:cs="Arial"/>
                <w:szCs w:val="20"/>
              </w:rPr>
            </w:pPr>
            <w:r w:rsidRPr="00D91956">
              <w:rPr>
                <w:rFonts w:cs="Arial"/>
                <w:szCs w:val="20"/>
              </w:rPr>
              <w:t>Wg [23]</w:t>
            </w:r>
          </w:p>
        </w:tc>
      </w:tr>
      <w:tr w:rsidR="00D91956" w:rsidRPr="00D91956" w14:paraId="3595ACC1" w14:textId="77777777" w:rsidTr="007B6855">
        <w:tc>
          <w:tcPr>
            <w:tcW w:w="496" w:type="dxa"/>
          </w:tcPr>
          <w:p w14:paraId="49ECE663" w14:textId="77777777" w:rsidR="00D91956" w:rsidRPr="00D91956" w:rsidRDefault="00D91956" w:rsidP="00D91956">
            <w:pPr>
              <w:spacing w:line="240" w:lineRule="auto"/>
              <w:jc w:val="center"/>
              <w:rPr>
                <w:rFonts w:cs="Arial"/>
                <w:szCs w:val="20"/>
              </w:rPr>
            </w:pPr>
            <w:r w:rsidRPr="00D91956">
              <w:rPr>
                <w:rFonts w:cs="Arial"/>
                <w:szCs w:val="20"/>
              </w:rPr>
              <w:t>4</w:t>
            </w:r>
          </w:p>
        </w:tc>
        <w:tc>
          <w:tcPr>
            <w:tcW w:w="3414" w:type="dxa"/>
          </w:tcPr>
          <w:p w14:paraId="204F3677" w14:textId="77777777" w:rsidR="00D91956" w:rsidRPr="00D91956" w:rsidRDefault="00D91956" w:rsidP="00D91956">
            <w:pPr>
              <w:spacing w:line="240" w:lineRule="auto"/>
              <w:rPr>
                <w:rFonts w:cs="Arial"/>
                <w:szCs w:val="20"/>
              </w:rPr>
            </w:pPr>
            <w:r w:rsidRPr="00D91956">
              <w:rPr>
                <w:rFonts w:cs="Arial"/>
                <w:szCs w:val="20"/>
              </w:rPr>
              <w:t xml:space="preserve">Spadki poprzeczne </w:t>
            </w:r>
            <w:r w:rsidRPr="00D91956">
              <w:rPr>
                <w:rFonts w:cs="Arial"/>
                <w:szCs w:val="20"/>
                <w:vertAlign w:val="superscript"/>
              </w:rPr>
              <w:t>*)</w:t>
            </w:r>
          </w:p>
        </w:tc>
        <w:tc>
          <w:tcPr>
            <w:tcW w:w="2280" w:type="dxa"/>
            <w:shd w:val="clear" w:color="auto" w:fill="auto"/>
          </w:tcPr>
          <w:p w14:paraId="19E9262F" w14:textId="77777777" w:rsidR="00D91956" w:rsidRPr="00D91956" w:rsidRDefault="00D91956" w:rsidP="00D91956">
            <w:pPr>
              <w:spacing w:line="240" w:lineRule="auto"/>
              <w:jc w:val="center"/>
              <w:rPr>
                <w:rFonts w:cs="Arial"/>
                <w:szCs w:val="20"/>
              </w:rPr>
            </w:pPr>
            <w:r w:rsidRPr="00D91956">
              <w:rPr>
                <w:rFonts w:cs="Arial"/>
                <w:szCs w:val="20"/>
              </w:rPr>
              <w:t xml:space="preserve">10 razy na </w:t>
            </w:r>
            <w:smartTag w:uri="urn:schemas-microsoft-com:office:smarttags" w:element="metricconverter">
              <w:smartTagPr>
                <w:attr w:name="ProductID" w:val="1 km"/>
              </w:smartTagPr>
              <w:r w:rsidRPr="00D91956">
                <w:rPr>
                  <w:rFonts w:cs="Arial"/>
                  <w:szCs w:val="20"/>
                </w:rPr>
                <w:t>1 km</w:t>
              </w:r>
            </w:smartTag>
          </w:p>
        </w:tc>
        <w:tc>
          <w:tcPr>
            <w:tcW w:w="2760" w:type="dxa"/>
            <w:shd w:val="clear" w:color="auto" w:fill="auto"/>
          </w:tcPr>
          <w:p w14:paraId="206AA055" w14:textId="77777777" w:rsidR="00D91956" w:rsidRPr="00D91956" w:rsidRDefault="00D91956" w:rsidP="00D91956">
            <w:pPr>
              <w:spacing w:line="240" w:lineRule="auto"/>
              <w:jc w:val="center"/>
              <w:rPr>
                <w:rFonts w:cs="Arial"/>
                <w:szCs w:val="20"/>
              </w:rPr>
            </w:pPr>
            <w:r w:rsidRPr="00D91956">
              <w:rPr>
                <w:rFonts w:cs="Arial"/>
                <w:szCs w:val="20"/>
              </w:rPr>
              <w:t>± 0,5% (dopuszczalna tolerancja od spadków projektowych)</w:t>
            </w:r>
          </w:p>
        </w:tc>
      </w:tr>
      <w:tr w:rsidR="00D91956" w:rsidRPr="00D91956" w14:paraId="37147ACB" w14:textId="77777777" w:rsidTr="007B6855">
        <w:tc>
          <w:tcPr>
            <w:tcW w:w="496" w:type="dxa"/>
          </w:tcPr>
          <w:p w14:paraId="4A1133B7" w14:textId="77777777" w:rsidR="00D91956" w:rsidRPr="00D91956" w:rsidRDefault="00D91956" w:rsidP="00D91956">
            <w:pPr>
              <w:spacing w:line="240" w:lineRule="auto"/>
              <w:jc w:val="center"/>
              <w:rPr>
                <w:rFonts w:cs="Arial"/>
                <w:szCs w:val="20"/>
              </w:rPr>
            </w:pPr>
            <w:r w:rsidRPr="00D91956">
              <w:rPr>
                <w:rFonts w:cs="Arial"/>
                <w:szCs w:val="20"/>
              </w:rPr>
              <w:t>5</w:t>
            </w:r>
          </w:p>
        </w:tc>
        <w:tc>
          <w:tcPr>
            <w:tcW w:w="3414" w:type="dxa"/>
          </w:tcPr>
          <w:p w14:paraId="10F9D7E3" w14:textId="77777777" w:rsidR="00D91956" w:rsidRPr="00D91956" w:rsidRDefault="00D91956" w:rsidP="00D91956">
            <w:pPr>
              <w:spacing w:line="240" w:lineRule="auto"/>
              <w:rPr>
                <w:rFonts w:cs="Arial"/>
                <w:szCs w:val="20"/>
              </w:rPr>
            </w:pPr>
            <w:r w:rsidRPr="00D91956">
              <w:rPr>
                <w:rFonts w:cs="Arial"/>
                <w:szCs w:val="20"/>
              </w:rPr>
              <w:t>Rzędne wysokościowe</w:t>
            </w:r>
          </w:p>
        </w:tc>
        <w:tc>
          <w:tcPr>
            <w:tcW w:w="2280" w:type="dxa"/>
            <w:shd w:val="clear" w:color="auto" w:fill="auto"/>
          </w:tcPr>
          <w:p w14:paraId="5BDBE239" w14:textId="77777777" w:rsidR="00D91956" w:rsidRPr="00D91956" w:rsidRDefault="00D91956" w:rsidP="00D91956">
            <w:pPr>
              <w:spacing w:line="240" w:lineRule="auto"/>
              <w:jc w:val="center"/>
              <w:rPr>
                <w:rFonts w:cs="Arial"/>
                <w:szCs w:val="20"/>
              </w:rPr>
            </w:pPr>
            <w:r w:rsidRPr="00D91956">
              <w:rPr>
                <w:rFonts w:cs="Arial"/>
                <w:szCs w:val="20"/>
              </w:rPr>
              <w:t>Wg [23]</w:t>
            </w:r>
          </w:p>
        </w:tc>
        <w:tc>
          <w:tcPr>
            <w:tcW w:w="2760" w:type="dxa"/>
            <w:shd w:val="clear" w:color="auto" w:fill="auto"/>
          </w:tcPr>
          <w:p w14:paraId="1D829ED8" w14:textId="77777777" w:rsidR="00D91956" w:rsidRPr="00D91956" w:rsidRDefault="00D91956" w:rsidP="00D91956">
            <w:pPr>
              <w:spacing w:line="240" w:lineRule="auto"/>
              <w:jc w:val="center"/>
              <w:rPr>
                <w:rFonts w:cs="Arial"/>
                <w:szCs w:val="20"/>
              </w:rPr>
            </w:pPr>
            <w:r w:rsidRPr="00D91956">
              <w:rPr>
                <w:rFonts w:cs="Arial"/>
                <w:szCs w:val="20"/>
              </w:rPr>
              <w:t>Wg [23]</w:t>
            </w:r>
          </w:p>
        </w:tc>
      </w:tr>
      <w:tr w:rsidR="00D91956" w:rsidRPr="00D91956" w14:paraId="1B0EA67E" w14:textId="77777777" w:rsidTr="007B6855">
        <w:tc>
          <w:tcPr>
            <w:tcW w:w="496" w:type="dxa"/>
          </w:tcPr>
          <w:p w14:paraId="27B78BAC" w14:textId="77777777" w:rsidR="00D91956" w:rsidRPr="00D91956" w:rsidRDefault="00D91956" w:rsidP="00D91956">
            <w:pPr>
              <w:spacing w:line="240" w:lineRule="auto"/>
              <w:jc w:val="center"/>
              <w:rPr>
                <w:rFonts w:cs="Arial"/>
                <w:szCs w:val="20"/>
              </w:rPr>
            </w:pPr>
            <w:r w:rsidRPr="00D91956">
              <w:rPr>
                <w:rFonts w:cs="Arial"/>
                <w:szCs w:val="20"/>
              </w:rPr>
              <w:t>6</w:t>
            </w:r>
          </w:p>
        </w:tc>
        <w:tc>
          <w:tcPr>
            <w:tcW w:w="3414" w:type="dxa"/>
          </w:tcPr>
          <w:p w14:paraId="47761BBA" w14:textId="77777777" w:rsidR="00D91956" w:rsidRPr="00D91956" w:rsidRDefault="00D91956" w:rsidP="00D91956">
            <w:pPr>
              <w:spacing w:line="240" w:lineRule="auto"/>
              <w:rPr>
                <w:rFonts w:cs="Arial"/>
                <w:szCs w:val="20"/>
              </w:rPr>
            </w:pPr>
            <w:r w:rsidRPr="00D91956">
              <w:rPr>
                <w:rFonts w:cs="Arial"/>
                <w:szCs w:val="20"/>
              </w:rPr>
              <w:t xml:space="preserve">Ukształtowanie osi w planie </w:t>
            </w:r>
            <w:r w:rsidRPr="00D91956">
              <w:rPr>
                <w:rFonts w:cs="Arial"/>
                <w:szCs w:val="20"/>
                <w:vertAlign w:val="superscript"/>
              </w:rPr>
              <w:t>*)</w:t>
            </w:r>
          </w:p>
        </w:tc>
        <w:tc>
          <w:tcPr>
            <w:tcW w:w="2280" w:type="dxa"/>
            <w:shd w:val="clear" w:color="auto" w:fill="auto"/>
          </w:tcPr>
          <w:p w14:paraId="19128B09" w14:textId="77777777" w:rsidR="00D91956" w:rsidRPr="00D91956" w:rsidRDefault="00D91956" w:rsidP="00D91956">
            <w:pPr>
              <w:spacing w:line="240" w:lineRule="auto"/>
              <w:jc w:val="center"/>
              <w:rPr>
                <w:rFonts w:cs="Arial"/>
                <w:szCs w:val="20"/>
              </w:rPr>
            </w:pPr>
            <w:r w:rsidRPr="00D91956">
              <w:rPr>
                <w:rFonts w:cs="Arial"/>
                <w:szCs w:val="20"/>
              </w:rPr>
              <w:t xml:space="preserve">Co </w:t>
            </w:r>
            <w:smartTag w:uri="urn:schemas-microsoft-com:office:smarttags" w:element="metricconverter">
              <w:smartTagPr>
                <w:attr w:name="ProductID" w:val="100 m"/>
              </w:smartTagPr>
              <w:r w:rsidRPr="00D91956">
                <w:rPr>
                  <w:rFonts w:cs="Arial"/>
                  <w:szCs w:val="20"/>
                </w:rPr>
                <w:t>100 m</w:t>
              </w:r>
            </w:smartTag>
          </w:p>
        </w:tc>
        <w:tc>
          <w:tcPr>
            <w:tcW w:w="2760" w:type="dxa"/>
            <w:shd w:val="clear" w:color="auto" w:fill="auto"/>
          </w:tcPr>
          <w:p w14:paraId="776C9149" w14:textId="77777777" w:rsidR="00D91956" w:rsidRPr="00D91956" w:rsidRDefault="00D91956" w:rsidP="00D91956">
            <w:pPr>
              <w:spacing w:line="240" w:lineRule="auto"/>
              <w:jc w:val="center"/>
              <w:rPr>
                <w:rFonts w:cs="Arial"/>
                <w:szCs w:val="20"/>
              </w:rPr>
            </w:pPr>
            <w:r w:rsidRPr="00D91956">
              <w:rPr>
                <w:rFonts w:cs="Arial"/>
                <w:szCs w:val="20"/>
              </w:rPr>
              <w:t xml:space="preserve">Przesunięcie od osi projektowanej ± </w:t>
            </w:r>
            <w:smartTag w:uri="urn:schemas-microsoft-com:office:smarttags" w:element="metricconverter">
              <w:smartTagPr>
                <w:attr w:name="ProductID" w:val="5 cm"/>
              </w:smartTagPr>
              <w:r w:rsidRPr="00D91956">
                <w:rPr>
                  <w:rFonts w:cs="Arial"/>
                  <w:szCs w:val="20"/>
                </w:rPr>
                <w:t>5 cm</w:t>
              </w:r>
            </w:smartTag>
          </w:p>
        </w:tc>
      </w:tr>
      <w:tr w:rsidR="00D91956" w:rsidRPr="00D91956" w14:paraId="4DFF9162" w14:textId="77777777" w:rsidTr="007B6855">
        <w:tc>
          <w:tcPr>
            <w:tcW w:w="496" w:type="dxa"/>
          </w:tcPr>
          <w:p w14:paraId="1C15E4C0" w14:textId="77777777" w:rsidR="00D91956" w:rsidRPr="00D91956" w:rsidRDefault="00D91956" w:rsidP="00D91956">
            <w:pPr>
              <w:spacing w:line="240" w:lineRule="auto"/>
              <w:jc w:val="center"/>
              <w:rPr>
                <w:rFonts w:cs="Arial"/>
                <w:szCs w:val="20"/>
              </w:rPr>
            </w:pPr>
            <w:r w:rsidRPr="00D91956">
              <w:rPr>
                <w:rFonts w:cs="Arial"/>
                <w:szCs w:val="20"/>
              </w:rPr>
              <w:t>7</w:t>
            </w:r>
          </w:p>
        </w:tc>
        <w:tc>
          <w:tcPr>
            <w:tcW w:w="3414" w:type="dxa"/>
          </w:tcPr>
          <w:p w14:paraId="0EF55D57" w14:textId="77777777" w:rsidR="00D91956" w:rsidRPr="00D91956" w:rsidRDefault="00D91956" w:rsidP="00D91956">
            <w:pPr>
              <w:spacing w:line="240" w:lineRule="auto"/>
              <w:rPr>
                <w:rFonts w:cs="Arial"/>
                <w:szCs w:val="20"/>
              </w:rPr>
            </w:pPr>
            <w:r w:rsidRPr="00D91956">
              <w:rPr>
                <w:rFonts w:cs="Arial"/>
                <w:szCs w:val="20"/>
              </w:rPr>
              <w:t>Grubość warstwy</w:t>
            </w:r>
          </w:p>
        </w:tc>
        <w:tc>
          <w:tcPr>
            <w:tcW w:w="2280" w:type="dxa"/>
            <w:shd w:val="clear" w:color="auto" w:fill="auto"/>
          </w:tcPr>
          <w:p w14:paraId="760A7FEF" w14:textId="77777777" w:rsidR="00D91956" w:rsidRPr="00D91956" w:rsidRDefault="00D91956" w:rsidP="00D91956">
            <w:pPr>
              <w:spacing w:line="240" w:lineRule="auto"/>
              <w:jc w:val="center"/>
              <w:rPr>
                <w:rFonts w:cs="Arial"/>
                <w:szCs w:val="20"/>
              </w:rPr>
            </w:pPr>
            <w:r w:rsidRPr="00D91956">
              <w:rPr>
                <w:rFonts w:cs="Arial"/>
                <w:szCs w:val="20"/>
              </w:rPr>
              <w:t xml:space="preserve">w 3 punktach na działce roboczej, lecz nie rzadziej niż raz na </w:t>
            </w:r>
            <w:smartTag w:uri="urn:schemas-microsoft-com:office:smarttags" w:element="metricconverter">
              <w:smartTagPr>
                <w:attr w:name="ProductID" w:val="2000 m2"/>
              </w:smartTagPr>
              <w:r w:rsidRPr="00D91956">
                <w:rPr>
                  <w:rFonts w:cs="Arial"/>
                  <w:szCs w:val="20"/>
                </w:rPr>
                <w:t>2000 m</w:t>
              </w:r>
              <w:r w:rsidRPr="00D91956">
                <w:rPr>
                  <w:rFonts w:cs="Arial"/>
                  <w:szCs w:val="20"/>
                  <w:vertAlign w:val="superscript"/>
                </w:rPr>
                <w:t>2</w:t>
              </w:r>
            </w:smartTag>
          </w:p>
        </w:tc>
        <w:tc>
          <w:tcPr>
            <w:tcW w:w="2760" w:type="dxa"/>
            <w:shd w:val="clear" w:color="auto" w:fill="auto"/>
          </w:tcPr>
          <w:p w14:paraId="0BDAEFE9" w14:textId="77777777" w:rsidR="00D91956" w:rsidRPr="00D91956" w:rsidRDefault="00D91956" w:rsidP="00D91956">
            <w:pPr>
              <w:spacing w:line="240" w:lineRule="auto"/>
              <w:jc w:val="center"/>
              <w:rPr>
                <w:rFonts w:cs="Arial"/>
                <w:szCs w:val="20"/>
              </w:rPr>
            </w:pPr>
            <w:r w:rsidRPr="00D91956">
              <w:rPr>
                <w:rFonts w:cs="Arial"/>
                <w:szCs w:val="20"/>
              </w:rPr>
              <w:t>Różnice od grubości projektowanej +10%,           -15%</w:t>
            </w:r>
          </w:p>
          <w:p w14:paraId="69326953" w14:textId="77777777" w:rsidR="00D91956" w:rsidRPr="00D91956" w:rsidRDefault="00D91956" w:rsidP="00D91956">
            <w:pPr>
              <w:spacing w:line="240" w:lineRule="auto"/>
              <w:rPr>
                <w:rFonts w:cs="Arial"/>
                <w:szCs w:val="20"/>
              </w:rPr>
            </w:pPr>
          </w:p>
        </w:tc>
      </w:tr>
    </w:tbl>
    <w:p w14:paraId="60793C95" w14:textId="77777777" w:rsidR="00D91956" w:rsidRPr="00D91956" w:rsidRDefault="00D91956" w:rsidP="00D91956">
      <w:pPr>
        <w:spacing w:before="120" w:line="240" w:lineRule="auto"/>
        <w:rPr>
          <w:rFonts w:cs="Arial"/>
          <w:szCs w:val="20"/>
        </w:rPr>
      </w:pPr>
      <w:r w:rsidRPr="00D91956">
        <w:rPr>
          <w:rFonts w:cs="Arial"/>
          <w:szCs w:val="20"/>
        </w:rPr>
        <w:t>*) Dodatkowe pomiary spadków poprzecznych i ukształtowania osi w planie należy wykonać w punktach głównych łuków poziomych.</w:t>
      </w:r>
    </w:p>
    <w:p w14:paraId="2616141F" w14:textId="77777777" w:rsidR="00D91956" w:rsidRPr="00D91956" w:rsidRDefault="00D91956" w:rsidP="00D91956">
      <w:pPr>
        <w:pStyle w:val="Nagwek1"/>
        <w:numPr>
          <w:ilvl w:val="12"/>
          <w:numId w:val="0"/>
        </w:numPr>
        <w:spacing w:line="240" w:lineRule="auto"/>
        <w:rPr>
          <w:rFonts w:cs="Arial"/>
          <w:szCs w:val="20"/>
        </w:rPr>
      </w:pPr>
      <w:bookmarkStart w:id="855" w:name="_Toc331508869"/>
      <w:bookmarkStart w:id="856" w:name="_Toc346094298"/>
      <w:r w:rsidRPr="00D91956">
        <w:rPr>
          <w:rFonts w:cs="Arial"/>
          <w:szCs w:val="20"/>
        </w:rPr>
        <w:t xml:space="preserve">7. </w:t>
      </w:r>
      <w:bookmarkEnd w:id="842"/>
      <w:bookmarkEnd w:id="843"/>
      <w:bookmarkEnd w:id="844"/>
      <w:bookmarkEnd w:id="845"/>
      <w:bookmarkEnd w:id="846"/>
      <w:bookmarkEnd w:id="847"/>
      <w:bookmarkEnd w:id="848"/>
      <w:bookmarkEnd w:id="849"/>
      <w:bookmarkEnd w:id="850"/>
      <w:bookmarkEnd w:id="851"/>
      <w:bookmarkEnd w:id="852"/>
      <w:bookmarkEnd w:id="853"/>
      <w:bookmarkEnd w:id="854"/>
      <w:r w:rsidRPr="00D91956">
        <w:rPr>
          <w:rFonts w:cs="Arial"/>
          <w:szCs w:val="20"/>
        </w:rPr>
        <w:t>OBMIAR ROBOT</w:t>
      </w:r>
      <w:bookmarkEnd w:id="855"/>
      <w:bookmarkEnd w:id="856"/>
    </w:p>
    <w:p w14:paraId="380EA3A2" w14:textId="77777777" w:rsidR="00D91956" w:rsidRPr="00D91956" w:rsidRDefault="00D91956" w:rsidP="00D91956">
      <w:pPr>
        <w:pStyle w:val="Nagwek2"/>
        <w:numPr>
          <w:ilvl w:val="12"/>
          <w:numId w:val="0"/>
        </w:numPr>
        <w:spacing w:line="240" w:lineRule="auto"/>
        <w:rPr>
          <w:rFonts w:cs="Arial"/>
          <w:szCs w:val="20"/>
        </w:rPr>
      </w:pPr>
      <w:r w:rsidRPr="00D91956">
        <w:rPr>
          <w:rFonts w:cs="Arial"/>
          <w:szCs w:val="20"/>
        </w:rPr>
        <w:t>7.1. Ogólne zasady obmiaru robót</w:t>
      </w:r>
    </w:p>
    <w:p w14:paraId="24A84470" w14:textId="06F09F31" w:rsidR="00D91956" w:rsidRPr="00D91956" w:rsidRDefault="00D91956" w:rsidP="00D91956">
      <w:pPr>
        <w:numPr>
          <w:ilvl w:val="12"/>
          <w:numId w:val="0"/>
        </w:numPr>
        <w:spacing w:line="240" w:lineRule="auto"/>
        <w:rPr>
          <w:rFonts w:cs="Arial"/>
          <w:szCs w:val="20"/>
        </w:rPr>
      </w:pPr>
      <w:r w:rsidRPr="00D91956">
        <w:rPr>
          <w:rFonts w:cs="Arial"/>
          <w:szCs w:val="20"/>
        </w:rPr>
        <w:tab/>
        <w:t xml:space="preserve">Ogólne zasady obmiaru robót podano w </w:t>
      </w:r>
      <w:r w:rsidR="008F5EED">
        <w:rPr>
          <w:rFonts w:cs="Arial"/>
          <w:szCs w:val="20"/>
        </w:rPr>
        <w:t>S</w:t>
      </w:r>
      <w:r w:rsidRPr="00D91956">
        <w:rPr>
          <w:rFonts w:cs="Arial"/>
          <w:szCs w:val="20"/>
        </w:rPr>
        <w:t>ST  D-M-00.00.00 „Wymagania ogólne” [1], pkt 7.</w:t>
      </w:r>
    </w:p>
    <w:p w14:paraId="66563435" w14:textId="77777777" w:rsidR="00D91956" w:rsidRPr="00D91956" w:rsidRDefault="00D91956" w:rsidP="00D91956">
      <w:pPr>
        <w:pStyle w:val="Nagwek2"/>
        <w:numPr>
          <w:ilvl w:val="12"/>
          <w:numId w:val="0"/>
        </w:numPr>
        <w:spacing w:line="240" w:lineRule="auto"/>
        <w:rPr>
          <w:rFonts w:cs="Arial"/>
          <w:szCs w:val="20"/>
        </w:rPr>
      </w:pPr>
      <w:r w:rsidRPr="00D91956">
        <w:rPr>
          <w:rFonts w:cs="Arial"/>
          <w:szCs w:val="20"/>
        </w:rPr>
        <w:t>7.2. Jednostka obmiarowa</w:t>
      </w:r>
    </w:p>
    <w:p w14:paraId="141DC5F3" w14:textId="77777777" w:rsidR="00D91956" w:rsidRPr="00D91956" w:rsidRDefault="00D91956" w:rsidP="00D91956">
      <w:pPr>
        <w:spacing w:line="240" w:lineRule="auto"/>
        <w:rPr>
          <w:rFonts w:cs="Arial"/>
          <w:szCs w:val="20"/>
        </w:rPr>
      </w:pPr>
      <w:r w:rsidRPr="00D91956">
        <w:rPr>
          <w:rFonts w:cs="Arial"/>
          <w:szCs w:val="20"/>
        </w:rPr>
        <w:tab/>
        <w:t>Jednostką obmiarową jest m</w:t>
      </w:r>
      <w:r w:rsidRPr="00D91956">
        <w:rPr>
          <w:rFonts w:cs="Arial"/>
          <w:szCs w:val="20"/>
          <w:vertAlign w:val="superscript"/>
        </w:rPr>
        <w:t>2</w:t>
      </w:r>
      <w:r w:rsidRPr="00D91956">
        <w:rPr>
          <w:rFonts w:cs="Arial"/>
          <w:szCs w:val="20"/>
        </w:rPr>
        <w:t xml:space="preserve"> (metr kwadratowy) wykonanej warstwy.</w:t>
      </w:r>
    </w:p>
    <w:p w14:paraId="553FB5F2" w14:textId="77777777" w:rsidR="00D91956" w:rsidRPr="00D91956" w:rsidRDefault="00D91956" w:rsidP="00D91956">
      <w:pPr>
        <w:pStyle w:val="Nagwek1"/>
        <w:numPr>
          <w:ilvl w:val="12"/>
          <w:numId w:val="0"/>
        </w:numPr>
        <w:spacing w:line="240" w:lineRule="auto"/>
        <w:rPr>
          <w:rFonts w:cs="Arial"/>
          <w:szCs w:val="20"/>
        </w:rPr>
      </w:pPr>
      <w:r w:rsidRPr="00D91956">
        <w:rPr>
          <w:rFonts w:cs="Arial"/>
          <w:szCs w:val="20"/>
        </w:rPr>
        <w:t xml:space="preserve"> </w:t>
      </w:r>
      <w:bookmarkStart w:id="857" w:name="_Toc421940503"/>
      <w:bookmarkStart w:id="858" w:name="_Toc24955915"/>
      <w:bookmarkStart w:id="859" w:name="_Toc25128889"/>
      <w:bookmarkStart w:id="860" w:name="_Toc25373387"/>
      <w:bookmarkStart w:id="861" w:name="_Toc25379403"/>
      <w:bookmarkStart w:id="862" w:name="_Toc174333140"/>
      <w:bookmarkStart w:id="863" w:name="_Toc179183773"/>
      <w:bookmarkStart w:id="864" w:name="_Toc198436142"/>
      <w:bookmarkStart w:id="865" w:name="_Toc199904826"/>
      <w:bookmarkStart w:id="866" w:name="_Toc216843090"/>
      <w:bookmarkStart w:id="867" w:name="_Toc257193993"/>
      <w:bookmarkStart w:id="868" w:name="_Toc284409960"/>
      <w:bookmarkStart w:id="869" w:name="_Toc295205112"/>
      <w:bookmarkStart w:id="870" w:name="_Toc331508870"/>
      <w:bookmarkStart w:id="871" w:name="_Toc346094299"/>
      <w:r w:rsidRPr="00D91956">
        <w:rPr>
          <w:rFonts w:cs="Arial"/>
          <w:szCs w:val="20"/>
        </w:rPr>
        <w:t xml:space="preserve">8. </w:t>
      </w:r>
      <w:bookmarkEnd w:id="857"/>
      <w:bookmarkEnd w:id="858"/>
      <w:bookmarkEnd w:id="859"/>
      <w:bookmarkEnd w:id="860"/>
      <w:bookmarkEnd w:id="861"/>
      <w:bookmarkEnd w:id="862"/>
      <w:bookmarkEnd w:id="863"/>
      <w:bookmarkEnd w:id="864"/>
      <w:bookmarkEnd w:id="865"/>
      <w:bookmarkEnd w:id="866"/>
      <w:bookmarkEnd w:id="867"/>
      <w:bookmarkEnd w:id="868"/>
      <w:bookmarkEnd w:id="869"/>
      <w:r w:rsidRPr="00D91956">
        <w:rPr>
          <w:rFonts w:cs="Arial"/>
          <w:szCs w:val="20"/>
        </w:rPr>
        <w:t>ODBIÓR ROBÓT</w:t>
      </w:r>
      <w:bookmarkEnd w:id="870"/>
      <w:bookmarkEnd w:id="871"/>
    </w:p>
    <w:p w14:paraId="0833E760" w14:textId="6CA02816" w:rsidR="00D91956" w:rsidRPr="00D91956" w:rsidRDefault="00D91956" w:rsidP="00D91956">
      <w:pPr>
        <w:numPr>
          <w:ilvl w:val="12"/>
          <w:numId w:val="0"/>
        </w:numPr>
        <w:spacing w:line="240" w:lineRule="auto"/>
        <w:rPr>
          <w:rFonts w:cs="Arial"/>
          <w:szCs w:val="20"/>
        </w:rPr>
      </w:pPr>
      <w:r w:rsidRPr="00D91956">
        <w:rPr>
          <w:rFonts w:cs="Arial"/>
          <w:szCs w:val="20"/>
        </w:rPr>
        <w:tab/>
        <w:t xml:space="preserve">Ogólne zasady odbioru robót podano w </w:t>
      </w:r>
      <w:r w:rsidR="008F5EED">
        <w:rPr>
          <w:rFonts w:cs="Arial"/>
          <w:szCs w:val="20"/>
        </w:rPr>
        <w:t>S</w:t>
      </w:r>
      <w:r w:rsidRPr="00D91956">
        <w:rPr>
          <w:rFonts w:cs="Arial"/>
          <w:szCs w:val="20"/>
        </w:rPr>
        <w:t>ST  D-M-00.00.00 „Wymagania ogólne” [1], pkt 8.</w:t>
      </w:r>
    </w:p>
    <w:p w14:paraId="4A3FF4EA" w14:textId="77777777" w:rsidR="00D91956" w:rsidRPr="00D91956" w:rsidRDefault="00D91956" w:rsidP="00D91956">
      <w:pPr>
        <w:numPr>
          <w:ilvl w:val="12"/>
          <w:numId w:val="0"/>
        </w:numPr>
        <w:spacing w:line="240" w:lineRule="auto"/>
        <w:rPr>
          <w:rFonts w:cs="Arial"/>
          <w:szCs w:val="20"/>
        </w:rPr>
      </w:pPr>
      <w:r w:rsidRPr="00D91956">
        <w:rPr>
          <w:rFonts w:cs="Arial"/>
          <w:szCs w:val="20"/>
        </w:rPr>
        <w:tab/>
        <w:t>Roboty uznaje się za wykonane zgodnie z dokumentacją projektową, ST i wymaganiami Inżyniera, jeżeli wszystkie pomiary i badania z zachowaniem tolerancji według punktu 6 dały wyniki pozytywne.</w:t>
      </w:r>
    </w:p>
    <w:p w14:paraId="12A380D7" w14:textId="77777777" w:rsidR="00D91956" w:rsidRPr="00D91956" w:rsidRDefault="00D91956" w:rsidP="00D91956">
      <w:pPr>
        <w:pStyle w:val="Nagwek1"/>
        <w:numPr>
          <w:ilvl w:val="12"/>
          <w:numId w:val="0"/>
        </w:numPr>
        <w:spacing w:line="240" w:lineRule="auto"/>
        <w:rPr>
          <w:rFonts w:cs="Arial"/>
          <w:szCs w:val="20"/>
        </w:rPr>
      </w:pPr>
      <w:bookmarkStart w:id="872" w:name="_Toc421686551"/>
      <w:bookmarkStart w:id="873" w:name="_Toc421940504"/>
      <w:bookmarkStart w:id="874" w:name="_Toc24955916"/>
      <w:bookmarkStart w:id="875" w:name="_Toc25128890"/>
      <w:bookmarkStart w:id="876" w:name="_Toc25373388"/>
      <w:bookmarkStart w:id="877" w:name="_Toc25379404"/>
      <w:bookmarkStart w:id="878" w:name="_Toc174333141"/>
      <w:bookmarkStart w:id="879" w:name="_Toc179183774"/>
      <w:bookmarkStart w:id="880" w:name="_Toc198436143"/>
      <w:bookmarkStart w:id="881" w:name="_Toc199904827"/>
      <w:bookmarkStart w:id="882" w:name="_Toc216843091"/>
      <w:bookmarkStart w:id="883" w:name="_Toc257193994"/>
      <w:bookmarkStart w:id="884" w:name="_Toc284409961"/>
      <w:bookmarkStart w:id="885" w:name="_Toc295205113"/>
      <w:bookmarkStart w:id="886" w:name="_Toc331508871"/>
      <w:bookmarkStart w:id="887" w:name="_Toc346094300"/>
      <w:r w:rsidRPr="00D91956">
        <w:rPr>
          <w:rFonts w:cs="Arial"/>
          <w:szCs w:val="20"/>
        </w:rPr>
        <w:lastRenderedPageBreak/>
        <w:t xml:space="preserve">9. </w:t>
      </w:r>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r w:rsidRPr="00D91956">
        <w:rPr>
          <w:rFonts w:cs="Arial"/>
          <w:szCs w:val="20"/>
        </w:rPr>
        <w:t>PODSTAWA PŁATNOŚCI</w:t>
      </w:r>
      <w:bookmarkEnd w:id="886"/>
      <w:bookmarkEnd w:id="887"/>
    </w:p>
    <w:p w14:paraId="259264B1" w14:textId="77777777" w:rsidR="00D91956" w:rsidRPr="00D91956" w:rsidRDefault="00D91956" w:rsidP="00D91956">
      <w:pPr>
        <w:pStyle w:val="Nagwek2"/>
        <w:numPr>
          <w:ilvl w:val="12"/>
          <w:numId w:val="0"/>
        </w:numPr>
        <w:spacing w:line="240" w:lineRule="auto"/>
        <w:rPr>
          <w:rFonts w:cs="Arial"/>
          <w:szCs w:val="20"/>
        </w:rPr>
      </w:pPr>
      <w:r w:rsidRPr="00D91956">
        <w:rPr>
          <w:rFonts w:cs="Arial"/>
          <w:szCs w:val="20"/>
        </w:rPr>
        <w:t>9.1. Ogólne ustalenia dotyczące podstawy płatności</w:t>
      </w:r>
    </w:p>
    <w:p w14:paraId="7C2D90B2" w14:textId="6A09C415" w:rsidR="00D91956" w:rsidRPr="00D91956" w:rsidRDefault="00D91956" w:rsidP="00D91956">
      <w:pPr>
        <w:numPr>
          <w:ilvl w:val="12"/>
          <w:numId w:val="0"/>
        </w:numPr>
        <w:spacing w:line="240" w:lineRule="auto"/>
        <w:rPr>
          <w:rFonts w:cs="Arial"/>
          <w:szCs w:val="20"/>
        </w:rPr>
      </w:pPr>
      <w:r w:rsidRPr="00D91956">
        <w:rPr>
          <w:rFonts w:cs="Arial"/>
          <w:szCs w:val="20"/>
        </w:rPr>
        <w:tab/>
        <w:t xml:space="preserve">Ogólne ustalenia dotyczące podstawy płatności podano w </w:t>
      </w:r>
      <w:r w:rsidR="008F5EED">
        <w:rPr>
          <w:rFonts w:cs="Arial"/>
          <w:szCs w:val="20"/>
        </w:rPr>
        <w:t>S</w:t>
      </w:r>
      <w:r w:rsidRPr="00D91956">
        <w:rPr>
          <w:rFonts w:cs="Arial"/>
          <w:szCs w:val="20"/>
        </w:rPr>
        <w:t>ST D-M-00.00.00 „Wymagania ogólne” [1], pkt 9.</w:t>
      </w:r>
    </w:p>
    <w:p w14:paraId="7B14F7EB" w14:textId="77777777" w:rsidR="00D91956" w:rsidRPr="00D91956" w:rsidRDefault="00D91956" w:rsidP="00D91956">
      <w:pPr>
        <w:pStyle w:val="Nagwek2"/>
        <w:numPr>
          <w:ilvl w:val="12"/>
          <w:numId w:val="0"/>
        </w:numPr>
        <w:spacing w:line="240" w:lineRule="auto"/>
        <w:rPr>
          <w:rFonts w:cs="Arial"/>
          <w:szCs w:val="20"/>
        </w:rPr>
      </w:pPr>
      <w:r w:rsidRPr="00D91956">
        <w:rPr>
          <w:rFonts w:cs="Arial"/>
          <w:szCs w:val="20"/>
        </w:rPr>
        <w:t>9.2. Cena jednostki obmiarowej</w:t>
      </w:r>
    </w:p>
    <w:p w14:paraId="6E77EAEE" w14:textId="77777777" w:rsidR="00D91956" w:rsidRPr="00D91956" w:rsidRDefault="00D91956" w:rsidP="00D91956">
      <w:pPr>
        <w:numPr>
          <w:ilvl w:val="12"/>
          <w:numId w:val="0"/>
        </w:numPr>
        <w:spacing w:line="240" w:lineRule="auto"/>
        <w:rPr>
          <w:rFonts w:cs="Arial"/>
          <w:szCs w:val="20"/>
        </w:rPr>
      </w:pPr>
      <w:r w:rsidRPr="00D91956">
        <w:rPr>
          <w:rFonts w:cs="Arial"/>
          <w:szCs w:val="20"/>
        </w:rPr>
        <w:tab/>
        <w:t>Cena wykonania  jednostki obmiarowej (</w:t>
      </w:r>
      <w:smartTag w:uri="urn:schemas-microsoft-com:office:smarttags" w:element="metricconverter">
        <w:smartTagPr>
          <w:attr w:name="ProductID" w:val="1 m2"/>
        </w:smartTagPr>
        <w:r w:rsidRPr="00D91956">
          <w:rPr>
            <w:rFonts w:cs="Arial"/>
            <w:szCs w:val="20"/>
          </w:rPr>
          <w:t>1 m</w:t>
        </w:r>
        <w:r w:rsidRPr="00D91956">
          <w:rPr>
            <w:rFonts w:cs="Arial"/>
            <w:szCs w:val="20"/>
            <w:vertAlign w:val="superscript"/>
          </w:rPr>
          <w:t>2</w:t>
        </w:r>
      </w:smartTag>
      <w:r w:rsidRPr="00D91956">
        <w:rPr>
          <w:rFonts w:cs="Arial"/>
          <w:szCs w:val="20"/>
        </w:rPr>
        <w:t>) obejmuje:</w:t>
      </w:r>
    </w:p>
    <w:p w14:paraId="097C9058"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prace pomiarowe i roboty przygotowawcze,</w:t>
      </w:r>
    </w:p>
    <w:p w14:paraId="0ABA3865"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oznakowanie robót,</w:t>
      </w:r>
    </w:p>
    <w:p w14:paraId="2512258D"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dostarczenie materiałów i sprzętu,</w:t>
      </w:r>
    </w:p>
    <w:p w14:paraId="4437682A"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przygotowanie mieszanki z kruszywa, zgodnie z receptą,</w:t>
      </w:r>
    </w:p>
    <w:p w14:paraId="1CA3FA36"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dostarczenie mieszanki na miejsce wbudowania,</w:t>
      </w:r>
    </w:p>
    <w:p w14:paraId="59C2B31F"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rozłożenie mieszanki,</w:t>
      </w:r>
    </w:p>
    <w:p w14:paraId="1D5E8D5F"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zagęszczenie mieszanki,</w:t>
      </w:r>
    </w:p>
    <w:p w14:paraId="4F623892"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utrzymanie warstwy w czasie robót,</w:t>
      </w:r>
    </w:p>
    <w:p w14:paraId="062128B0"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przeprowadzenie wymaganych  pomiarów i badań,</w:t>
      </w:r>
    </w:p>
    <w:p w14:paraId="41228DC7"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uporządkowanie terenu robót i jego otoczenia,</w:t>
      </w:r>
    </w:p>
    <w:p w14:paraId="65A5DAB7"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roboty wykończeniowe,</w:t>
      </w:r>
    </w:p>
    <w:p w14:paraId="26C48D00"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b/>
          <w:szCs w:val="20"/>
        </w:rPr>
      </w:pPr>
      <w:r w:rsidRPr="00D91956">
        <w:rPr>
          <w:rFonts w:cs="Arial"/>
          <w:szCs w:val="20"/>
        </w:rPr>
        <w:t>odwiezienie sprzętu.</w:t>
      </w:r>
    </w:p>
    <w:p w14:paraId="5D620FC4" w14:textId="77777777" w:rsidR="00D91956" w:rsidRPr="00D91956" w:rsidRDefault="00D91956" w:rsidP="00D91956">
      <w:pPr>
        <w:spacing w:line="240" w:lineRule="auto"/>
        <w:ind w:firstLine="709"/>
        <w:rPr>
          <w:rFonts w:cs="Arial"/>
          <w:szCs w:val="20"/>
        </w:rPr>
      </w:pPr>
      <w:r w:rsidRPr="00D91956">
        <w:rPr>
          <w:rFonts w:cs="Arial"/>
          <w:szCs w:val="20"/>
        </w:rPr>
        <w:t>Wszystkie roboty powinny być wykonane według wymagań dokumentacji projektowej, ST, specyfikacji technicznej i postanowień Inżyniera.</w:t>
      </w:r>
    </w:p>
    <w:p w14:paraId="1603B915" w14:textId="77777777" w:rsidR="00D91956" w:rsidRPr="00D91956" w:rsidRDefault="00D91956" w:rsidP="00D91956">
      <w:pPr>
        <w:pStyle w:val="Nagwek2"/>
        <w:spacing w:line="240" w:lineRule="auto"/>
        <w:rPr>
          <w:rFonts w:cs="Arial"/>
          <w:szCs w:val="20"/>
        </w:rPr>
      </w:pPr>
      <w:r w:rsidRPr="00D91956">
        <w:rPr>
          <w:rFonts w:cs="Arial"/>
          <w:szCs w:val="20"/>
        </w:rPr>
        <w:t>9.3. Sposób rozliczenia robót tymczasowych i prac towarzyszących</w:t>
      </w:r>
    </w:p>
    <w:p w14:paraId="27E01D2B" w14:textId="2ADB2BE0" w:rsidR="00D91956" w:rsidRPr="00D91956" w:rsidRDefault="00D91956" w:rsidP="00D91956">
      <w:pPr>
        <w:spacing w:line="240" w:lineRule="auto"/>
        <w:rPr>
          <w:rFonts w:cs="Arial"/>
          <w:szCs w:val="20"/>
        </w:rPr>
      </w:pPr>
      <w:r w:rsidRPr="00D91956">
        <w:rPr>
          <w:rFonts w:cs="Arial"/>
          <w:szCs w:val="20"/>
        </w:rPr>
        <w:tab/>
        <w:t xml:space="preserve">Cena wykonania robót określonych niniejszą </w:t>
      </w:r>
      <w:r w:rsidR="008F5EED">
        <w:rPr>
          <w:rFonts w:cs="Arial"/>
          <w:szCs w:val="20"/>
        </w:rPr>
        <w:t>S</w:t>
      </w:r>
      <w:r w:rsidRPr="00D91956">
        <w:rPr>
          <w:rFonts w:cs="Arial"/>
          <w:szCs w:val="20"/>
        </w:rPr>
        <w:t>ST obejmuje:</w:t>
      </w:r>
    </w:p>
    <w:p w14:paraId="5BCBB97C"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roboty tymczasowe, które są potrzebne do wykonania robót podstawowych, ale nie są przekazywane Zamawiającemu i są usuwane po wykonaniu robót podstawowych,</w:t>
      </w:r>
    </w:p>
    <w:p w14:paraId="3197B319" w14:textId="77777777" w:rsidR="00D91956" w:rsidRPr="00D91956" w:rsidRDefault="00D91956" w:rsidP="00CF1E7D">
      <w:pPr>
        <w:numPr>
          <w:ilvl w:val="0"/>
          <w:numId w:val="260"/>
        </w:numPr>
        <w:overflowPunct w:val="0"/>
        <w:autoSpaceDE w:val="0"/>
        <w:autoSpaceDN w:val="0"/>
        <w:adjustRightInd w:val="0"/>
        <w:spacing w:line="240" w:lineRule="auto"/>
        <w:jc w:val="both"/>
        <w:textAlignment w:val="baseline"/>
        <w:rPr>
          <w:rFonts w:cs="Arial"/>
          <w:szCs w:val="20"/>
        </w:rPr>
      </w:pPr>
      <w:r w:rsidRPr="00D91956">
        <w:rPr>
          <w:rFonts w:cs="Arial"/>
          <w:szCs w:val="20"/>
        </w:rPr>
        <w:t>prace towarzyszące, które są niezbędne do wykonania robót podstawowych, niezaliczane do robót tymczasowych, jak geodezyjne wytyczenie robót itd.</w:t>
      </w:r>
    </w:p>
    <w:p w14:paraId="23BE92E3" w14:textId="77777777" w:rsidR="00D91956" w:rsidRPr="00D91956" w:rsidRDefault="00D91956" w:rsidP="00D91956">
      <w:pPr>
        <w:pStyle w:val="Nagwek1"/>
        <w:spacing w:line="240" w:lineRule="auto"/>
        <w:rPr>
          <w:rFonts w:cs="Arial"/>
          <w:szCs w:val="20"/>
        </w:rPr>
      </w:pPr>
      <w:bookmarkStart w:id="888" w:name="_Toc25128891"/>
      <w:bookmarkStart w:id="889" w:name="_Toc25373389"/>
      <w:bookmarkStart w:id="890" w:name="_Toc25379405"/>
      <w:bookmarkStart w:id="891" w:name="_Toc174333142"/>
      <w:bookmarkStart w:id="892" w:name="_Toc179183775"/>
      <w:bookmarkStart w:id="893" w:name="_Toc198436144"/>
      <w:bookmarkStart w:id="894" w:name="_Toc199904828"/>
      <w:bookmarkStart w:id="895" w:name="_Toc216843092"/>
      <w:bookmarkStart w:id="896" w:name="_Toc257193995"/>
      <w:bookmarkStart w:id="897" w:name="_Toc284409962"/>
      <w:bookmarkStart w:id="898" w:name="_Toc295205114"/>
      <w:bookmarkStart w:id="899" w:name="_Toc331508872"/>
      <w:bookmarkStart w:id="900" w:name="_Toc346094301"/>
      <w:r w:rsidRPr="00D91956">
        <w:rPr>
          <w:rFonts w:cs="Arial"/>
          <w:szCs w:val="20"/>
        </w:rPr>
        <w:t xml:space="preserve">10. </w:t>
      </w:r>
      <w:bookmarkEnd w:id="888"/>
      <w:bookmarkEnd w:id="889"/>
      <w:bookmarkEnd w:id="890"/>
      <w:bookmarkEnd w:id="891"/>
      <w:bookmarkEnd w:id="892"/>
      <w:bookmarkEnd w:id="893"/>
      <w:bookmarkEnd w:id="894"/>
      <w:bookmarkEnd w:id="895"/>
      <w:bookmarkEnd w:id="896"/>
      <w:bookmarkEnd w:id="897"/>
      <w:bookmarkEnd w:id="898"/>
      <w:r w:rsidRPr="00D91956">
        <w:rPr>
          <w:rFonts w:cs="Arial"/>
          <w:szCs w:val="20"/>
        </w:rPr>
        <w:t>PRZEPISY ZWIĄZANE</w:t>
      </w:r>
      <w:bookmarkEnd w:id="899"/>
      <w:bookmarkEnd w:id="900"/>
    </w:p>
    <w:p w14:paraId="6115C8E8" w14:textId="1B319859" w:rsidR="00D91956" w:rsidRPr="00D91956" w:rsidRDefault="00D91956" w:rsidP="00D91956">
      <w:pPr>
        <w:pStyle w:val="Nagwek2"/>
        <w:spacing w:line="240" w:lineRule="auto"/>
        <w:rPr>
          <w:rFonts w:cs="Arial"/>
          <w:szCs w:val="20"/>
        </w:rPr>
      </w:pPr>
      <w:r w:rsidRPr="00D91956">
        <w:rPr>
          <w:rFonts w:cs="Arial"/>
          <w:szCs w:val="20"/>
        </w:rPr>
        <w:t>10.1. Ogólne specyfikacje techniczne (</w:t>
      </w:r>
      <w:r w:rsidR="008F5EED">
        <w:rPr>
          <w:rFonts w:cs="Arial"/>
          <w:szCs w:val="20"/>
        </w:rPr>
        <w:t>S</w:t>
      </w:r>
      <w:r w:rsidRPr="00D91956">
        <w:rPr>
          <w:rFonts w:cs="Arial"/>
          <w:szCs w:val="20"/>
        </w:rPr>
        <w:t>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D91956" w:rsidRPr="00D91956" w14:paraId="5B2DD8C4" w14:textId="77777777" w:rsidTr="007B6855">
        <w:tc>
          <w:tcPr>
            <w:tcW w:w="637" w:type="dxa"/>
          </w:tcPr>
          <w:p w14:paraId="1BC96033" w14:textId="77777777" w:rsidR="00D91956" w:rsidRPr="00D91956" w:rsidRDefault="00D91956" w:rsidP="00D91956">
            <w:pPr>
              <w:spacing w:line="240" w:lineRule="auto"/>
              <w:jc w:val="center"/>
              <w:rPr>
                <w:rFonts w:cs="Arial"/>
                <w:szCs w:val="20"/>
              </w:rPr>
            </w:pPr>
            <w:r w:rsidRPr="00D91956">
              <w:rPr>
                <w:rFonts w:cs="Arial"/>
                <w:szCs w:val="20"/>
              </w:rPr>
              <w:t>1.</w:t>
            </w:r>
          </w:p>
        </w:tc>
        <w:tc>
          <w:tcPr>
            <w:tcW w:w="2073" w:type="dxa"/>
          </w:tcPr>
          <w:p w14:paraId="177C37EE" w14:textId="77777777" w:rsidR="00D91956" w:rsidRPr="00D91956" w:rsidRDefault="00D91956" w:rsidP="00D91956">
            <w:pPr>
              <w:spacing w:line="240" w:lineRule="auto"/>
              <w:rPr>
                <w:rFonts w:cs="Arial"/>
                <w:szCs w:val="20"/>
              </w:rPr>
            </w:pPr>
            <w:r w:rsidRPr="00D91956">
              <w:rPr>
                <w:rFonts w:cs="Arial"/>
                <w:szCs w:val="20"/>
              </w:rPr>
              <w:t xml:space="preserve"> D-M-00.00.00</w:t>
            </w:r>
          </w:p>
        </w:tc>
        <w:tc>
          <w:tcPr>
            <w:tcW w:w="6492" w:type="dxa"/>
          </w:tcPr>
          <w:p w14:paraId="137A702B" w14:textId="77777777" w:rsidR="00D91956" w:rsidRPr="00D91956" w:rsidRDefault="00D91956" w:rsidP="00D91956">
            <w:pPr>
              <w:spacing w:line="240" w:lineRule="auto"/>
              <w:rPr>
                <w:rFonts w:cs="Arial"/>
                <w:szCs w:val="20"/>
              </w:rPr>
            </w:pPr>
            <w:r w:rsidRPr="00D91956">
              <w:rPr>
                <w:rFonts w:cs="Arial"/>
                <w:szCs w:val="20"/>
              </w:rPr>
              <w:t>Wymagania ogólne</w:t>
            </w:r>
          </w:p>
        </w:tc>
      </w:tr>
      <w:tr w:rsidR="00D91956" w:rsidRPr="00D91956" w14:paraId="4DE59030" w14:textId="77777777" w:rsidTr="007B6855">
        <w:tc>
          <w:tcPr>
            <w:tcW w:w="637" w:type="dxa"/>
          </w:tcPr>
          <w:p w14:paraId="08E1CB6C" w14:textId="77777777" w:rsidR="00D91956" w:rsidRPr="00D91956" w:rsidRDefault="00D91956" w:rsidP="00D91956">
            <w:pPr>
              <w:spacing w:line="240" w:lineRule="auto"/>
              <w:jc w:val="center"/>
              <w:rPr>
                <w:rFonts w:cs="Arial"/>
                <w:szCs w:val="20"/>
              </w:rPr>
            </w:pPr>
            <w:r w:rsidRPr="00D91956">
              <w:rPr>
                <w:rFonts w:cs="Arial"/>
                <w:szCs w:val="20"/>
              </w:rPr>
              <w:t>2.</w:t>
            </w:r>
          </w:p>
        </w:tc>
        <w:tc>
          <w:tcPr>
            <w:tcW w:w="2073" w:type="dxa"/>
          </w:tcPr>
          <w:p w14:paraId="59459725" w14:textId="77777777" w:rsidR="00D91956" w:rsidRPr="00D91956" w:rsidRDefault="00D91956" w:rsidP="00D91956">
            <w:pPr>
              <w:spacing w:line="240" w:lineRule="auto"/>
              <w:rPr>
                <w:rFonts w:cs="Arial"/>
                <w:szCs w:val="20"/>
              </w:rPr>
            </w:pPr>
            <w:r w:rsidRPr="00D91956">
              <w:rPr>
                <w:rFonts w:cs="Arial"/>
                <w:szCs w:val="20"/>
              </w:rPr>
              <w:t xml:space="preserve"> D-01.00.00</w:t>
            </w:r>
          </w:p>
        </w:tc>
        <w:tc>
          <w:tcPr>
            <w:tcW w:w="6492" w:type="dxa"/>
          </w:tcPr>
          <w:p w14:paraId="5DC44706" w14:textId="77777777" w:rsidR="00D91956" w:rsidRPr="00D91956" w:rsidRDefault="00D91956" w:rsidP="00D91956">
            <w:pPr>
              <w:spacing w:line="240" w:lineRule="auto"/>
              <w:rPr>
                <w:rFonts w:cs="Arial"/>
                <w:szCs w:val="20"/>
              </w:rPr>
            </w:pPr>
            <w:r w:rsidRPr="00D91956">
              <w:rPr>
                <w:rFonts w:cs="Arial"/>
                <w:szCs w:val="20"/>
              </w:rPr>
              <w:t>Roboty przygotowawcze</w:t>
            </w:r>
          </w:p>
        </w:tc>
      </w:tr>
      <w:tr w:rsidR="00D91956" w:rsidRPr="00D91956" w14:paraId="38299CFC" w14:textId="77777777" w:rsidTr="007B6855">
        <w:tc>
          <w:tcPr>
            <w:tcW w:w="637" w:type="dxa"/>
          </w:tcPr>
          <w:p w14:paraId="7AD96790" w14:textId="77777777" w:rsidR="00D91956" w:rsidRPr="00D91956" w:rsidRDefault="00D91956" w:rsidP="00D91956">
            <w:pPr>
              <w:spacing w:line="240" w:lineRule="auto"/>
              <w:jc w:val="center"/>
              <w:rPr>
                <w:rFonts w:cs="Arial"/>
                <w:szCs w:val="20"/>
              </w:rPr>
            </w:pPr>
            <w:r w:rsidRPr="00D91956">
              <w:rPr>
                <w:rFonts w:cs="Arial"/>
                <w:szCs w:val="20"/>
              </w:rPr>
              <w:t>3.</w:t>
            </w:r>
          </w:p>
        </w:tc>
        <w:tc>
          <w:tcPr>
            <w:tcW w:w="2073" w:type="dxa"/>
          </w:tcPr>
          <w:p w14:paraId="0166EF42" w14:textId="77777777" w:rsidR="00D91956" w:rsidRPr="00D91956" w:rsidRDefault="00D91956" w:rsidP="00D91956">
            <w:pPr>
              <w:spacing w:line="240" w:lineRule="auto"/>
              <w:rPr>
                <w:rFonts w:cs="Arial"/>
                <w:szCs w:val="20"/>
              </w:rPr>
            </w:pPr>
            <w:r w:rsidRPr="00D91956">
              <w:rPr>
                <w:rFonts w:cs="Arial"/>
                <w:szCs w:val="20"/>
              </w:rPr>
              <w:t xml:space="preserve"> D-02.00.00</w:t>
            </w:r>
          </w:p>
        </w:tc>
        <w:tc>
          <w:tcPr>
            <w:tcW w:w="6492" w:type="dxa"/>
          </w:tcPr>
          <w:p w14:paraId="64F578D6" w14:textId="77777777" w:rsidR="00D91956" w:rsidRPr="00D91956" w:rsidRDefault="00D91956" w:rsidP="00D91956">
            <w:pPr>
              <w:spacing w:line="240" w:lineRule="auto"/>
              <w:rPr>
                <w:rFonts w:cs="Arial"/>
                <w:szCs w:val="20"/>
              </w:rPr>
            </w:pPr>
            <w:r w:rsidRPr="00D91956">
              <w:rPr>
                <w:rFonts w:cs="Arial"/>
                <w:szCs w:val="20"/>
              </w:rPr>
              <w:t>Roboty ziemne</w:t>
            </w:r>
          </w:p>
        </w:tc>
      </w:tr>
      <w:tr w:rsidR="00D91956" w:rsidRPr="00D91956" w14:paraId="22E2CF75" w14:textId="77777777" w:rsidTr="007B6855">
        <w:tc>
          <w:tcPr>
            <w:tcW w:w="637" w:type="dxa"/>
          </w:tcPr>
          <w:p w14:paraId="2F783C6D" w14:textId="77777777" w:rsidR="00D91956" w:rsidRPr="00D91956" w:rsidRDefault="00D91956" w:rsidP="00D91956">
            <w:pPr>
              <w:spacing w:line="240" w:lineRule="auto"/>
              <w:jc w:val="center"/>
              <w:rPr>
                <w:rFonts w:cs="Arial"/>
                <w:szCs w:val="20"/>
              </w:rPr>
            </w:pPr>
            <w:r w:rsidRPr="00D91956">
              <w:rPr>
                <w:rFonts w:cs="Arial"/>
                <w:szCs w:val="20"/>
              </w:rPr>
              <w:t>4.</w:t>
            </w:r>
          </w:p>
        </w:tc>
        <w:tc>
          <w:tcPr>
            <w:tcW w:w="2073" w:type="dxa"/>
          </w:tcPr>
          <w:p w14:paraId="32B2E303" w14:textId="77777777" w:rsidR="00D91956" w:rsidRPr="00D91956" w:rsidRDefault="00D91956" w:rsidP="00D91956">
            <w:pPr>
              <w:spacing w:line="240" w:lineRule="auto"/>
              <w:rPr>
                <w:rFonts w:cs="Arial"/>
                <w:szCs w:val="20"/>
              </w:rPr>
            </w:pPr>
            <w:r w:rsidRPr="00D91956">
              <w:rPr>
                <w:rFonts w:cs="Arial"/>
                <w:szCs w:val="20"/>
              </w:rPr>
              <w:t xml:space="preserve"> D-04.01.01</w:t>
            </w:r>
          </w:p>
        </w:tc>
        <w:tc>
          <w:tcPr>
            <w:tcW w:w="6492" w:type="dxa"/>
          </w:tcPr>
          <w:p w14:paraId="13BBB386" w14:textId="249EE495" w:rsidR="00D91956" w:rsidRPr="00D91956" w:rsidRDefault="00D91956" w:rsidP="00D91956">
            <w:pPr>
              <w:spacing w:line="240" w:lineRule="auto"/>
              <w:rPr>
                <w:rFonts w:cs="Arial"/>
                <w:szCs w:val="20"/>
              </w:rPr>
            </w:pPr>
            <w:r w:rsidRPr="00D91956">
              <w:rPr>
                <w:rFonts w:cs="Arial"/>
                <w:szCs w:val="20"/>
              </w:rPr>
              <w:t xml:space="preserve">Koryto wraz z profilowaniem i zagęszczeniem podłoża (zawarte w </w:t>
            </w:r>
            <w:r w:rsidR="008F5EED">
              <w:rPr>
                <w:rFonts w:cs="Arial"/>
                <w:szCs w:val="20"/>
              </w:rPr>
              <w:t>S</w:t>
            </w:r>
            <w:r w:rsidRPr="00D91956">
              <w:rPr>
                <w:rFonts w:cs="Arial"/>
                <w:szCs w:val="20"/>
              </w:rPr>
              <w:t>ST D-04.01.01÷04.03.01 Dolne warstwy podbudów oraz oczyszczenie i skropienie)</w:t>
            </w:r>
          </w:p>
        </w:tc>
      </w:tr>
      <w:tr w:rsidR="00D91956" w:rsidRPr="00D91956" w14:paraId="305EC3B4" w14:textId="77777777" w:rsidTr="007B6855">
        <w:trPr>
          <w:trHeight w:val="920"/>
        </w:trPr>
        <w:tc>
          <w:tcPr>
            <w:tcW w:w="637" w:type="dxa"/>
          </w:tcPr>
          <w:p w14:paraId="723D82AF" w14:textId="77777777" w:rsidR="00D91956" w:rsidRPr="00D91956" w:rsidRDefault="00D91956" w:rsidP="00D91956">
            <w:pPr>
              <w:spacing w:line="240" w:lineRule="auto"/>
              <w:jc w:val="center"/>
              <w:rPr>
                <w:rFonts w:cs="Arial"/>
                <w:szCs w:val="20"/>
              </w:rPr>
            </w:pPr>
            <w:r w:rsidRPr="00D91956">
              <w:rPr>
                <w:rFonts w:cs="Arial"/>
                <w:szCs w:val="20"/>
              </w:rPr>
              <w:t>5.</w:t>
            </w:r>
          </w:p>
        </w:tc>
        <w:tc>
          <w:tcPr>
            <w:tcW w:w="2073" w:type="dxa"/>
          </w:tcPr>
          <w:p w14:paraId="3CCB62D8" w14:textId="77777777" w:rsidR="00D91956" w:rsidRPr="00D91956" w:rsidRDefault="00D91956" w:rsidP="00D91956">
            <w:pPr>
              <w:spacing w:line="240" w:lineRule="auto"/>
              <w:rPr>
                <w:rFonts w:cs="Arial"/>
                <w:szCs w:val="20"/>
              </w:rPr>
            </w:pPr>
            <w:r w:rsidRPr="00D91956">
              <w:rPr>
                <w:rFonts w:cs="Arial"/>
                <w:szCs w:val="20"/>
              </w:rPr>
              <w:t>D-04.02.01</w:t>
            </w:r>
          </w:p>
        </w:tc>
        <w:tc>
          <w:tcPr>
            <w:tcW w:w="6492" w:type="dxa"/>
          </w:tcPr>
          <w:p w14:paraId="619BC844" w14:textId="77777777" w:rsidR="00D91956" w:rsidRPr="00D91956" w:rsidRDefault="00D91956" w:rsidP="00D91956">
            <w:pPr>
              <w:spacing w:line="240" w:lineRule="auto"/>
              <w:rPr>
                <w:rFonts w:cs="Arial"/>
                <w:szCs w:val="20"/>
              </w:rPr>
            </w:pPr>
            <w:r w:rsidRPr="00D91956">
              <w:rPr>
                <w:rFonts w:cs="Arial"/>
                <w:szCs w:val="20"/>
              </w:rPr>
              <w:t>Warstwy odsączające i odcinające  (zawarte w OST                      D-04.01.01÷04.03.01 Dolne warstwy podbudów oraz oczyszczenie i skropienie)</w:t>
            </w:r>
          </w:p>
        </w:tc>
      </w:tr>
      <w:tr w:rsidR="00D91956" w:rsidRPr="00D91956" w14:paraId="443AA6AE" w14:textId="77777777" w:rsidTr="007B6855">
        <w:tc>
          <w:tcPr>
            <w:tcW w:w="637" w:type="dxa"/>
          </w:tcPr>
          <w:p w14:paraId="3E86928D" w14:textId="77777777" w:rsidR="00D91956" w:rsidRPr="00D91956" w:rsidRDefault="00D91956" w:rsidP="00D91956">
            <w:pPr>
              <w:spacing w:line="240" w:lineRule="auto"/>
              <w:jc w:val="center"/>
              <w:rPr>
                <w:rFonts w:cs="Arial"/>
                <w:szCs w:val="20"/>
              </w:rPr>
            </w:pPr>
            <w:r w:rsidRPr="00D91956">
              <w:rPr>
                <w:rFonts w:cs="Arial"/>
                <w:szCs w:val="20"/>
              </w:rPr>
              <w:t>6.</w:t>
            </w:r>
          </w:p>
        </w:tc>
        <w:tc>
          <w:tcPr>
            <w:tcW w:w="2073" w:type="dxa"/>
          </w:tcPr>
          <w:p w14:paraId="4BB113F9" w14:textId="77777777" w:rsidR="00D91956" w:rsidRPr="00D91956" w:rsidRDefault="00D91956" w:rsidP="00D91956">
            <w:pPr>
              <w:spacing w:line="240" w:lineRule="auto"/>
              <w:rPr>
                <w:rFonts w:cs="Arial"/>
                <w:szCs w:val="20"/>
              </w:rPr>
            </w:pPr>
            <w:r w:rsidRPr="00D91956">
              <w:rPr>
                <w:rFonts w:cs="Arial"/>
                <w:szCs w:val="20"/>
              </w:rPr>
              <w:t>D-04.02.01a</w:t>
            </w:r>
          </w:p>
        </w:tc>
        <w:tc>
          <w:tcPr>
            <w:tcW w:w="6492" w:type="dxa"/>
          </w:tcPr>
          <w:p w14:paraId="63580EBF" w14:textId="77777777" w:rsidR="00D91956" w:rsidRPr="00D91956" w:rsidRDefault="00D91956" w:rsidP="00D91956">
            <w:pPr>
              <w:spacing w:line="240" w:lineRule="auto"/>
              <w:rPr>
                <w:rFonts w:cs="Arial"/>
                <w:szCs w:val="20"/>
              </w:rPr>
            </w:pPr>
            <w:r w:rsidRPr="00D91956">
              <w:rPr>
                <w:rFonts w:cs="Arial"/>
                <w:szCs w:val="20"/>
              </w:rPr>
              <w:t>Warstwa odcinająca z geowłókniny</w:t>
            </w:r>
          </w:p>
        </w:tc>
      </w:tr>
    </w:tbl>
    <w:p w14:paraId="19192D44" w14:textId="77777777" w:rsidR="00D91956" w:rsidRPr="00D91956" w:rsidRDefault="00D91956" w:rsidP="00D91956">
      <w:pPr>
        <w:pStyle w:val="Nagwek2"/>
        <w:spacing w:line="240" w:lineRule="auto"/>
        <w:rPr>
          <w:rFonts w:cs="Arial"/>
          <w:szCs w:val="20"/>
        </w:rPr>
      </w:pPr>
      <w:r w:rsidRPr="00D91956">
        <w:rPr>
          <w:rFonts w:cs="Arial"/>
          <w:szCs w:val="20"/>
        </w:rPr>
        <w:t>10.2. Normy</w:t>
      </w:r>
    </w:p>
    <w:tbl>
      <w:tblPr>
        <w:tblW w:w="9228" w:type="dxa"/>
        <w:tblLook w:val="01E0" w:firstRow="1" w:lastRow="1" w:firstColumn="1" w:lastColumn="1" w:noHBand="0" w:noVBand="0"/>
      </w:tblPr>
      <w:tblGrid>
        <w:gridCol w:w="675"/>
        <w:gridCol w:w="2073"/>
        <w:gridCol w:w="6480"/>
      </w:tblGrid>
      <w:tr w:rsidR="00D91956" w:rsidRPr="00D91956" w14:paraId="2137D34A" w14:textId="77777777" w:rsidTr="007B6855">
        <w:tc>
          <w:tcPr>
            <w:tcW w:w="675" w:type="dxa"/>
          </w:tcPr>
          <w:p w14:paraId="75EA4B30" w14:textId="77777777" w:rsidR="00D91956" w:rsidRPr="00D91956" w:rsidRDefault="00D91956" w:rsidP="00D91956">
            <w:pPr>
              <w:spacing w:line="240" w:lineRule="auto"/>
              <w:jc w:val="center"/>
              <w:rPr>
                <w:rFonts w:cs="Arial"/>
                <w:szCs w:val="20"/>
              </w:rPr>
            </w:pPr>
            <w:r w:rsidRPr="00D91956">
              <w:rPr>
                <w:rFonts w:cs="Arial"/>
                <w:szCs w:val="20"/>
              </w:rPr>
              <w:t>7.</w:t>
            </w:r>
          </w:p>
        </w:tc>
        <w:tc>
          <w:tcPr>
            <w:tcW w:w="2073" w:type="dxa"/>
          </w:tcPr>
          <w:p w14:paraId="38536733" w14:textId="77777777" w:rsidR="00D91956" w:rsidRPr="00D91956" w:rsidRDefault="00D91956" w:rsidP="00D91956">
            <w:pPr>
              <w:spacing w:line="240" w:lineRule="auto"/>
              <w:rPr>
                <w:rFonts w:cs="Arial"/>
                <w:szCs w:val="20"/>
              </w:rPr>
            </w:pPr>
            <w:r w:rsidRPr="00D91956">
              <w:rPr>
                <w:rFonts w:cs="Arial"/>
                <w:szCs w:val="20"/>
              </w:rPr>
              <w:t>PN-EN 933-1</w:t>
            </w:r>
          </w:p>
        </w:tc>
        <w:tc>
          <w:tcPr>
            <w:tcW w:w="6480" w:type="dxa"/>
          </w:tcPr>
          <w:p w14:paraId="72AAE59E" w14:textId="77777777" w:rsidR="00D91956" w:rsidRPr="00D91956" w:rsidRDefault="00D91956" w:rsidP="00D91956">
            <w:pPr>
              <w:spacing w:line="240" w:lineRule="auto"/>
              <w:rPr>
                <w:rFonts w:cs="Arial"/>
                <w:szCs w:val="20"/>
              </w:rPr>
            </w:pPr>
            <w:r w:rsidRPr="00D91956">
              <w:rPr>
                <w:rFonts w:cs="Arial"/>
                <w:szCs w:val="20"/>
              </w:rPr>
              <w:t>Badania geometrycznych właściwości kruszyw – Oznaczanie składu ziarnowego – Metoda przesiewania</w:t>
            </w:r>
          </w:p>
        </w:tc>
      </w:tr>
      <w:tr w:rsidR="00D91956" w:rsidRPr="00D91956" w14:paraId="60E7B772" w14:textId="77777777" w:rsidTr="007B6855">
        <w:tc>
          <w:tcPr>
            <w:tcW w:w="675" w:type="dxa"/>
          </w:tcPr>
          <w:p w14:paraId="75B17F24" w14:textId="77777777" w:rsidR="00D91956" w:rsidRPr="00D91956" w:rsidRDefault="00D91956" w:rsidP="00D91956">
            <w:pPr>
              <w:spacing w:line="240" w:lineRule="auto"/>
              <w:jc w:val="center"/>
              <w:rPr>
                <w:rFonts w:cs="Arial"/>
                <w:szCs w:val="20"/>
              </w:rPr>
            </w:pPr>
            <w:r w:rsidRPr="00D91956">
              <w:rPr>
                <w:rFonts w:cs="Arial"/>
                <w:szCs w:val="20"/>
              </w:rPr>
              <w:t>8.</w:t>
            </w:r>
          </w:p>
        </w:tc>
        <w:tc>
          <w:tcPr>
            <w:tcW w:w="2073" w:type="dxa"/>
          </w:tcPr>
          <w:p w14:paraId="3567904C" w14:textId="77777777" w:rsidR="00D91956" w:rsidRPr="00D91956" w:rsidRDefault="00D91956" w:rsidP="00D91956">
            <w:pPr>
              <w:spacing w:line="240" w:lineRule="auto"/>
              <w:rPr>
                <w:rFonts w:cs="Arial"/>
                <w:szCs w:val="20"/>
              </w:rPr>
            </w:pPr>
            <w:r w:rsidRPr="00D91956">
              <w:rPr>
                <w:rFonts w:cs="Arial"/>
                <w:szCs w:val="20"/>
              </w:rPr>
              <w:t>PN-EN 933-3</w:t>
            </w:r>
          </w:p>
        </w:tc>
        <w:tc>
          <w:tcPr>
            <w:tcW w:w="6480" w:type="dxa"/>
          </w:tcPr>
          <w:p w14:paraId="61179623" w14:textId="77777777" w:rsidR="00D91956" w:rsidRPr="00D91956" w:rsidRDefault="00D91956" w:rsidP="00D91956">
            <w:pPr>
              <w:spacing w:line="240" w:lineRule="auto"/>
              <w:rPr>
                <w:rFonts w:cs="Arial"/>
                <w:szCs w:val="20"/>
              </w:rPr>
            </w:pPr>
            <w:r w:rsidRPr="00D91956">
              <w:rPr>
                <w:rFonts w:cs="Arial"/>
                <w:szCs w:val="20"/>
              </w:rPr>
              <w:t>Badania geometrycznych właściwości kruszyw – Oznaczanie kształtu ziaren za pomocą wskaźnika płaskości</w:t>
            </w:r>
          </w:p>
        </w:tc>
      </w:tr>
      <w:tr w:rsidR="00D91956" w:rsidRPr="00D91956" w14:paraId="318AAD9E" w14:textId="77777777" w:rsidTr="007B6855">
        <w:tc>
          <w:tcPr>
            <w:tcW w:w="675" w:type="dxa"/>
          </w:tcPr>
          <w:p w14:paraId="34757E7C" w14:textId="77777777" w:rsidR="00D91956" w:rsidRPr="00D91956" w:rsidRDefault="00D91956" w:rsidP="00D91956">
            <w:pPr>
              <w:spacing w:line="240" w:lineRule="auto"/>
              <w:jc w:val="center"/>
              <w:rPr>
                <w:rFonts w:cs="Arial"/>
                <w:szCs w:val="20"/>
              </w:rPr>
            </w:pPr>
            <w:r w:rsidRPr="00D91956">
              <w:rPr>
                <w:rFonts w:cs="Arial"/>
                <w:szCs w:val="20"/>
              </w:rPr>
              <w:t>9.</w:t>
            </w:r>
          </w:p>
        </w:tc>
        <w:tc>
          <w:tcPr>
            <w:tcW w:w="2073" w:type="dxa"/>
          </w:tcPr>
          <w:p w14:paraId="1A822E5F" w14:textId="77777777" w:rsidR="00D91956" w:rsidRPr="00D91956" w:rsidRDefault="00D91956" w:rsidP="00D91956">
            <w:pPr>
              <w:spacing w:line="240" w:lineRule="auto"/>
              <w:rPr>
                <w:rFonts w:cs="Arial"/>
                <w:szCs w:val="20"/>
              </w:rPr>
            </w:pPr>
            <w:r w:rsidRPr="00D91956">
              <w:rPr>
                <w:rFonts w:cs="Arial"/>
                <w:szCs w:val="20"/>
              </w:rPr>
              <w:t>PN-EN 933-4</w:t>
            </w:r>
          </w:p>
        </w:tc>
        <w:tc>
          <w:tcPr>
            <w:tcW w:w="6480" w:type="dxa"/>
          </w:tcPr>
          <w:p w14:paraId="0F39A564" w14:textId="77777777" w:rsidR="00D91956" w:rsidRPr="00D91956" w:rsidRDefault="00D91956" w:rsidP="00D91956">
            <w:pPr>
              <w:spacing w:line="240" w:lineRule="auto"/>
              <w:rPr>
                <w:rFonts w:cs="Arial"/>
                <w:szCs w:val="20"/>
              </w:rPr>
            </w:pPr>
            <w:r w:rsidRPr="00D91956">
              <w:rPr>
                <w:rFonts w:cs="Arial"/>
                <w:szCs w:val="20"/>
              </w:rPr>
              <w:t>Badania geometrycznych właściwości kruszyw – Oznaczanie kształtu ziaren – Wskaźnik kształtu</w:t>
            </w:r>
          </w:p>
        </w:tc>
      </w:tr>
      <w:tr w:rsidR="00D91956" w:rsidRPr="00D91956" w14:paraId="176454FB" w14:textId="77777777" w:rsidTr="007B6855">
        <w:tc>
          <w:tcPr>
            <w:tcW w:w="675" w:type="dxa"/>
          </w:tcPr>
          <w:p w14:paraId="30335A65" w14:textId="77777777" w:rsidR="00D91956" w:rsidRPr="00D91956" w:rsidRDefault="00D91956" w:rsidP="00D91956">
            <w:pPr>
              <w:spacing w:line="240" w:lineRule="auto"/>
              <w:jc w:val="center"/>
              <w:rPr>
                <w:rFonts w:cs="Arial"/>
                <w:szCs w:val="20"/>
              </w:rPr>
            </w:pPr>
            <w:r w:rsidRPr="00D91956">
              <w:rPr>
                <w:rFonts w:cs="Arial"/>
                <w:szCs w:val="20"/>
              </w:rPr>
              <w:t>10.</w:t>
            </w:r>
          </w:p>
        </w:tc>
        <w:tc>
          <w:tcPr>
            <w:tcW w:w="2073" w:type="dxa"/>
          </w:tcPr>
          <w:p w14:paraId="3D1F9FEB" w14:textId="77777777" w:rsidR="00D91956" w:rsidRPr="00D91956" w:rsidRDefault="00D91956" w:rsidP="00D91956">
            <w:pPr>
              <w:spacing w:line="240" w:lineRule="auto"/>
              <w:rPr>
                <w:rFonts w:cs="Arial"/>
                <w:szCs w:val="20"/>
              </w:rPr>
            </w:pPr>
            <w:r w:rsidRPr="00D91956">
              <w:rPr>
                <w:rFonts w:cs="Arial"/>
                <w:szCs w:val="20"/>
              </w:rPr>
              <w:t>PN-EN 933-5</w:t>
            </w:r>
          </w:p>
        </w:tc>
        <w:tc>
          <w:tcPr>
            <w:tcW w:w="6480" w:type="dxa"/>
          </w:tcPr>
          <w:p w14:paraId="0146E24D" w14:textId="77777777" w:rsidR="00D91956" w:rsidRPr="00D91956" w:rsidRDefault="00D91956" w:rsidP="00D91956">
            <w:pPr>
              <w:spacing w:line="240" w:lineRule="auto"/>
              <w:rPr>
                <w:rFonts w:cs="Arial"/>
                <w:szCs w:val="20"/>
              </w:rPr>
            </w:pPr>
            <w:r w:rsidRPr="00D91956">
              <w:rPr>
                <w:rFonts w:cs="Arial"/>
                <w:szCs w:val="20"/>
              </w:rPr>
              <w:t xml:space="preserve">Badania geometrycznych właściwości kruszyw – Oznaczanie procentowej zawartości </w:t>
            </w:r>
            <w:proofErr w:type="spellStart"/>
            <w:r w:rsidRPr="00D91956">
              <w:rPr>
                <w:rFonts w:cs="Arial"/>
                <w:szCs w:val="20"/>
              </w:rPr>
              <w:t>ziarn</w:t>
            </w:r>
            <w:proofErr w:type="spellEnd"/>
            <w:r w:rsidRPr="00D91956">
              <w:rPr>
                <w:rFonts w:cs="Arial"/>
                <w:szCs w:val="20"/>
              </w:rPr>
              <w:t xml:space="preserve"> o powierzchniach powstałych w wyniku </w:t>
            </w:r>
            <w:proofErr w:type="spellStart"/>
            <w:r w:rsidRPr="00D91956">
              <w:rPr>
                <w:rFonts w:cs="Arial"/>
                <w:szCs w:val="20"/>
              </w:rPr>
              <w:t>przekruszenia</w:t>
            </w:r>
            <w:proofErr w:type="spellEnd"/>
            <w:r w:rsidRPr="00D91956">
              <w:rPr>
                <w:rFonts w:cs="Arial"/>
                <w:szCs w:val="20"/>
              </w:rPr>
              <w:t xml:space="preserve"> lub łamania kruszyw grubych</w:t>
            </w:r>
          </w:p>
        </w:tc>
      </w:tr>
      <w:tr w:rsidR="00D91956" w:rsidRPr="00D91956" w14:paraId="4CCD238F" w14:textId="77777777" w:rsidTr="007B6855">
        <w:tc>
          <w:tcPr>
            <w:tcW w:w="675" w:type="dxa"/>
          </w:tcPr>
          <w:p w14:paraId="7F1CCCB7" w14:textId="77777777" w:rsidR="00D91956" w:rsidRPr="00D91956" w:rsidRDefault="00D91956" w:rsidP="00D91956">
            <w:pPr>
              <w:spacing w:line="240" w:lineRule="auto"/>
              <w:jc w:val="center"/>
              <w:rPr>
                <w:rFonts w:cs="Arial"/>
                <w:szCs w:val="20"/>
              </w:rPr>
            </w:pPr>
            <w:r w:rsidRPr="00D91956">
              <w:rPr>
                <w:rFonts w:cs="Arial"/>
                <w:szCs w:val="20"/>
              </w:rPr>
              <w:t>11.</w:t>
            </w:r>
          </w:p>
        </w:tc>
        <w:tc>
          <w:tcPr>
            <w:tcW w:w="2073" w:type="dxa"/>
          </w:tcPr>
          <w:p w14:paraId="0EE68248" w14:textId="77777777" w:rsidR="00D91956" w:rsidRPr="00D91956" w:rsidRDefault="00D91956" w:rsidP="00D91956">
            <w:pPr>
              <w:spacing w:line="240" w:lineRule="auto"/>
              <w:rPr>
                <w:rFonts w:cs="Arial"/>
                <w:szCs w:val="20"/>
              </w:rPr>
            </w:pPr>
            <w:r w:rsidRPr="00D91956">
              <w:rPr>
                <w:rFonts w:cs="Arial"/>
                <w:szCs w:val="20"/>
              </w:rPr>
              <w:t>PN-EN 1097-1</w:t>
            </w:r>
          </w:p>
        </w:tc>
        <w:tc>
          <w:tcPr>
            <w:tcW w:w="6480" w:type="dxa"/>
          </w:tcPr>
          <w:p w14:paraId="3C20AE57" w14:textId="77777777" w:rsidR="00D91956" w:rsidRPr="00D91956" w:rsidRDefault="00D91956" w:rsidP="00D91956">
            <w:pPr>
              <w:spacing w:line="240" w:lineRule="auto"/>
              <w:rPr>
                <w:rFonts w:cs="Arial"/>
                <w:szCs w:val="20"/>
              </w:rPr>
            </w:pPr>
            <w:r w:rsidRPr="00D91956">
              <w:rPr>
                <w:rFonts w:cs="Arial"/>
                <w:szCs w:val="20"/>
              </w:rPr>
              <w:t>Badania mechanicznych i fizycznych właściwości kruszyw – Oznaczanie odporności na ścieranie (mikro-</w:t>
            </w:r>
            <w:proofErr w:type="spellStart"/>
            <w:r w:rsidRPr="00D91956">
              <w:rPr>
                <w:rFonts w:cs="Arial"/>
                <w:szCs w:val="20"/>
              </w:rPr>
              <w:t>Deval</w:t>
            </w:r>
            <w:proofErr w:type="spellEnd"/>
            <w:r w:rsidRPr="00D91956">
              <w:rPr>
                <w:rFonts w:cs="Arial"/>
                <w:szCs w:val="20"/>
              </w:rPr>
              <w:t>)</w:t>
            </w:r>
          </w:p>
        </w:tc>
      </w:tr>
      <w:tr w:rsidR="00D91956" w:rsidRPr="00D91956" w14:paraId="6F1485A8" w14:textId="77777777" w:rsidTr="007B6855">
        <w:tc>
          <w:tcPr>
            <w:tcW w:w="675" w:type="dxa"/>
          </w:tcPr>
          <w:p w14:paraId="74DA0AA0" w14:textId="77777777" w:rsidR="00D91956" w:rsidRPr="00D91956" w:rsidRDefault="00D91956" w:rsidP="00D91956">
            <w:pPr>
              <w:spacing w:line="240" w:lineRule="auto"/>
              <w:jc w:val="center"/>
              <w:rPr>
                <w:rFonts w:cs="Arial"/>
                <w:szCs w:val="20"/>
              </w:rPr>
            </w:pPr>
            <w:r w:rsidRPr="00D91956">
              <w:rPr>
                <w:rFonts w:cs="Arial"/>
                <w:szCs w:val="20"/>
              </w:rPr>
              <w:t>12.</w:t>
            </w:r>
          </w:p>
        </w:tc>
        <w:tc>
          <w:tcPr>
            <w:tcW w:w="2073" w:type="dxa"/>
          </w:tcPr>
          <w:p w14:paraId="6BD6889E" w14:textId="77777777" w:rsidR="00D91956" w:rsidRPr="00D91956" w:rsidRDefault="00D91956" w:rsidP="00D91956">
            <w:pPr>
              <w:spacing w:line="240" w:lineRule="auto"/>
              <w:rPr>
                <w:rFonts w:cs="Arial"/>
                <w:szCs w:val="20"/>
              </w:rPr>
            </w:pPr>
            <w:r w:rsidRPr="00D91956">
              <w:rPr>
                <w:rFonts w:cs="Arial"/>
                <w:szCs w:val="20"/>
              </w:rPr>
              <w:t>PN-EN 1097-2</w:t>
            </w:r>
          </w:p>
        </w:tc>
        <w:tc>
          <w:tcPr>
            <w:tcW w:w="6480" w:type="dxa"/>
          </w:tcPr>
          <w:p w14:paraId="20441634" w14:textId="77777777" w:rsidR="00D91956" w:rsidRPr="00D91956" w:rsidRDefault="00D91956" w:rsidP="00D91956">
            <w:pPr>
              <w:spacing w:line="240" w:lineRule="auto"/>
              <w:rPr>
                <w:rFonts w:cs="Arial"/>
                <w:szCs w:val="20"/>
              </w:rPr>
            </w:pPr>
            <w:r w:rsidRPr="00D91956">
              <w:rPr>
                <w:rFonts w:cs="Arial"/>
                <w:szCs w:val="20"/>
              </w:rPr>
              <w:t>Badania mechanicznych i fizycznych właściwości kruszyw – Metody oznaczania odporności na rozdrabnianie</w:t>
            </w:r>
          </w:p>
        </w:tc>
      </w:tr>
      <w:tr w:rsidR="00D91956" w:rsidRPr="00D91956" w14:paraId="2B4CDA71" w14:textId="77777777" w:rsidTr="007B6855">
        <w:tc>
          <w:tcPr>
            <w:tcW w:w="675" w:type="dxa"/>
          </w:tcPr>
          <w:p w14:paraId="015863CA" w14:textId="77777777" w:rsidR="00D91956" w:rsidRPr="00D91956" w:rsidRDefault="00D91956" w:rsidP="00D91956">
            <w:pPr>
              <w:spacing w:line="240" w:lineRule="auto"/>
              <w:jc w:val="center"/>
              <w:rPr>
                <w:rFonts w:cs="Arial"/>
                <w:szCs w:val="20"/>
              </w:rPr>
            </w:pPr>
            <w:r w:rsidRPr="00D91956">
              <w:rPr>
                <w:rFonts w:cs="Arial"/>
                <w:szCs w:val="20"/>
              </w:rPr>
              <w:t>13.</w:t>
            </w:r>
          </w:p>
        </w:tc>
        <w:tc>
          <w:tcPr>
            <w:tcW w:w="2073" w:type="dxa"/>
          </w:tcPr>
          <w:p w14:paraId="36F8E345" w14:textId="77777777" w:rsidR="00D91956" w:rsidRPr="00D91956" w:rsidRDefault="00D91956" w:rsidP="00D91956">
            <w:pPr>
              <w:spacing w:line="240" w:lineRule="auto"/>
              <w:rPr>
                <w:rFonts w:cs="Arial"/>
                <w:szCs w:val="20"/>
              </w:rPr>
            </w:pPr>
            <w:r w:rsidRPr="00D91956">
              <w:rPr>
                <w:rFonts w:cs="Arial"/>
                <w:szCs w:val="20"/>
              </w:rPr>
              <w:t>PN-EN 1097-6</w:t>
            </w:r>
          </w:p>
        </w:tc>
        <w:tc>
          <w:tcPr>
            <w:tcW w:w="6480" w:type="dxa"/>
          </w:tcPr>
          <w:p w14:paraId="0533B253" w14:textId="77777777" w:rsidR="00D91956" w:rsidRPr="00D91956" w:rsidRDefault="00D91956" w:rsidP="00D91956">
            <w:pPr>
              <w:spacing w:line="240" w:lineRule="auto"/>
              <w:rPr>
                <w:rFonts w:cs="Arial"/>
                <w:szCs w:val="20"/>
              </w:rPr>
            </w:pPr>
            <w:r w:rsidRPr="00D91956">
              <w:rPr>
                <w:rFonts w:cs="Arial"/>
                <w:szCs w:val="20"/>
              </w:rPr>
              <w:t xml:space="preserve">Badania mechanicznych i fizycznych właściwości kruszyw – Część 6: Oznaczanie gęstości </w:t>
            </w:r>
            <w:proofErr w:type="spellStart"/>
            <w:r w:rsidRPr="00D91956">
              <w:rPr>
                <w:rFonts w:cs="Arial"/>
                <w:szCs w:val="20"/>
              </w:rPr>
              <w:t>ziarn</w:t>
            </w:r>
            <w:proofErr w:type="spellEnd"/>
            <w:r w:rsidRPr="00D91956">
              <w:rPr>
                <w:rFonts w:cs="Arial"/>
                <w:szCs w:val="20"/>
              </w:rPr>
              <w:t xml:space="preserve"> i nasiąkliwości</w:t>
            </w:r>
          </w:p>
        </w:tc>
      </w:tr>
      <w:tr w:rsidR="00D91956" w:rsidRPr="00D91956" w14:paraId="6AD3D23C" w14:textId="77777777" w:rsidTr="007B6855">
        <w:tc>
          <w:tcPr>
            <w:tcW w:w="675" w:type="dxa"/>
          </w:tcPr>
          <w:p w14:paraId="3E64F50C" w14:textId="77777777" w:rsidR="00D91956" w:rsidRPr="00D91956" w:rsidRDefault="00D91956" w:rsidP="00D91956">
            <w:pPr>
              <w:spacing w:line="240" w:lineRule="auto"/>
              <w:jc w:val="center"/>
              <w:rPr>
                <w:rFonts w:cs="Arial"/>
                <w:szCs w:val="20"/>
              </w:rPr>
            </w:pPr>
            <w:r w:rsidRPr="00D91956">
              <w:rPr>
                <w:rFonts w:cs="Arial"/>
                <w:szCs w:val="20"/>
              </w:rPr>
              <w:t>14.</w:t>
            </w:r>
          </w:p>
        </w:tc>
        <w:tc>
          <w:tcPr>
            <w:tcW w:w="2073" w:type="dxa"/>
          </w:tcPr>
          <w:p w14:paraId="42199896" w14:textId="77777777" w:rsidR="00D91956" w:rsidRPr="00D91956" w:rsidRDefault="00D91956" w:rsidP="00D91956">
            <w:pPr>
              <w:spacing w:line="240" w:lineRule="auto"/>
              <w:rPr>
                <w:rFonts w:cs="Arial"/>
                <w:szCs w:val="20"/>
              </w:rPr>
            </w:pPr>
            <w:r w:rsidRPr="00D91956">
              <w:rPr>
                <w:rFonts w:cs="Arial"/>
                <w:szCs w:val="20"/>
              </w:rPr>
              <w:t>PN-EN 1367-1</w:t>
            </w:r>
          </w:p>
        </w:tc>
        <w:tc>
          <w:tcPr>
            <w:tcW w:w="6480" w:type="dxa"/>
          </w:tcPr>
          <w:p w14:paraId="6AFF9A6A" w14:textId="77777777" w:rsidR="00D91956" w:rsidRPr="00D91956" w:rsidRDefault="00D91956" w:rsidP="00D91956">
            <w:pPr>
              <w:spacing w:line="240" w:lineRule="auto"/>
              <w:rPr>
                <w:rFonts w:cs="Arial"/>
                <w:szCs w:val="20"/>
              </w:rPr>
            </w:pPr>
            <w:r w:rsidRPr="00D91956">
              <w:rPr>
                <w:rFonts w:cs="Arial"/>
                <w:szCs w:val="20"/>
              </w:rPr>
              <w:t>Badania właściwości cieplnych i odporności kruszyw na działanie czynników atmosferycznych – Część 1: Oznaczanie mrozoodporności</w:t>
            </w:r>
          </w:p>
        </w:tc>
      </w:tr>
      <w:tr w:rsidR="00D91956" w:rsidRPr="00D91956" w14:paraId="2DBD7868" w14:textId="77777777" w:rsidTr="007B6855">
        <w:tc>
          <w:tcPr>
            <w:tcW w:w="675" w:type="dxa"/>
          </w:tcPr>
          <w:p w14:paraId="5B354035" w14:textId="77777777" w:rsidR="00D91956" w:rsidRPr="00D91956" w:rsidRDefault="00D91956" w:rsidP="00D91956">
            <w:pPr>
              <w:spacing w:line="240" w:lineRule="auto"/>
              <w:jc w:val="center"/>
              <w:rPr>
                <w:rFonts w:cs="Arial"/>
                <w:szCs w:val="20"/>
              </w:rPr>
            </w:pPr>
            <w:r w:rsidRPr="00D91956">
              <w:rPr>
                <w:rFonts w:cs="Arial"/>
                <w:szCs w:val="20"/>
              </w:rPr>
              <w:t>15.</w:t>
            </w:r>
          </w:p>
        </w:tc>
        <w:tc>
          <w:tcPr>
            <w:tcW w:w="2073" w:type="dxa"/>
          </w:tcPr>
          <w:p w14:paraId="24ED0733" w14:textId="77777777" w:rsidR="00D91956" w:rsidRPr="00D91956" w:rsidRDefault="00D91956" w:rsidP="00D91956">
            <w:pPr>
              <w:spacing w:line="240" w:lineRule="auto"/>
              <w:rPr>
                <w:rFonts w:cs="Arial"/>
                <w:szCs w:val="20"/>
              </w:rPr>
            </w:pPr>
            <w:r w:rsidRPr="00D91956">
              <w:rPr>
                <w:rFonts w:cs="Arial"/>
                <w:szCs w:val="20"/>
              </w:rPr>
              <w:t>PN-EN 1367-3</w:t>
            </w:r>
          </w:p>
        </w:tc>
        <w:tc>
          <w:tcPr>
            <w:tcW w:w="6480" w:type="dxa"/>
          </w:tcPr>
          <w:p w14:paraId="3439F01E" w14:textId="77777777" w:rsidR="00D91956" w:rsidRPr="00D91956" w:rsidRDefault="00D91956" w:rsidP="00D91956">
            <w:pPr>
              <w:spacing w:line="240" w:lineRule="auto"/>
              <w:rPr>
                <w:rFonts w:cs="Arial"/>
                <w:szCs w:val="20"/>
              </w:rPr>
            </w:pPr>
            <w:r w:rsidRPr="00D91956">
              <w:rPr>
                <w:rFonts w:cs="Arial"/>
                <w:szCs w:val="20"/>
              </w:rPr>
              <w:t>Badania właściwości cieplnych i odporności kruszyw na działanie czynników atmosferycznych – Część 3: Badanie bazaltowej zgorzeli słonecznej metodą gotowania</w:t>
            </w:r>
          </w:p>
        </w:tc>
      </w:tr>
      <w:tr w:rsidR="00D91956" w:rsidRPr="00D91956" w14:paraId="433D95B5" w14:textId="77777777" w:rsidTr="007B6855">
        <w:tc>
          <w:tcPr>
            <w:tcW w:w="675" w:type="dxa"/>
          </w:tcPr>
          <w:p w14:paraId="58C0E886" w14:textId="77777777" w:rsidR="00D91956" w:rsidRPr="00D91956" w:rsidRDefault="00D91956" w:rsidP="00D91956">
            <w:pPr>
              <w:spacing w:line="240" w:lineRule="auto"/>
              <w:jc w:val="center"/>
              <w:rPr>
                <w:rFonts w:cs="Arial"/>
                <w:szCs w:val="20"/>
              </w:rPr>
            </w:pPr>
            <w:r w:rsidRPr="00D91956">
              <w:rPr>
                <w:rFonts w:cs="Arial"/>
                <w:szCs w:val="20"/>
              </w:rPr>
              <w:t>16.</w:t>
            </w:r>
          </w:p>
        </w:tc>
        <w:tc>
          <w:tcPr>
            <w:tcW w:w="2073" w:type="dxa"/>
          </w:tcPr>
          <w:p w14:paraId="7BA5461A" w14:textId="77777777" w:rsidR="00D91956" w:rsidRPr="00D91956" w:rsidRDefault="00D91956" w:rsidP="00D91956">
            <w:pPr>
              <w:spacing w:line="240" w:lineRule="auto"/>
              <w:rPr>
                <w:rFonts w:cs="Arial"/>
                <w:szCs w:val="20"/>
              </w:rPr>
            </w:pPr>
            <w:r w:rsidRPr="00D91956">
              <w:rPr>
                <w:rFonts w:cs="Arial"/>
                <w:szCs w:val="20"/>
              </w:rPr>
              <w:t>PN-EN 1744-1</w:t>
            </w:r>
          </w:p>
        </w:tc>
        <w:tc>
          <w:tcPr>
            <w:tcW w:w="6480" w:type="dxa"/>
          </w:tcPr>
          <w:p w14:paraId="0E7F4318" w14:textId="77777777" w:rsidR="00D91956" w:rsidRPr="00D91956" w:rsidRDefault="00D91956" w:rsidP="00D91956">
            <w:pPr>
              <w:spacing w:line="240" w:lineRule="auto"/>
              <w:rPr>
                <w:rFonts w:cs="Arial"/>
                <w:szCs w:val="20"/>
              </w:rPr>
            </w:pPr>
            <w:r w:rsidRPr="00D91956">
              <w:rPr>
                <w:rFonts w:cs="Arial"/>
                <w:szCs w:val="20"/>
              </w:rPr>
              <w:t>Badania chemicznych właściwości kruszyw – Analiza chemiczna</w:t>
            </w:r>
          </w:p>
        </w:tc>
      </w:tr>
      <w:tr w:rsidR="00D91956" w:rsidRPr="00D91956" w14:paraId="58783A19" w14:textId="77777777" w:rsidTr="007B6855">
        <w:tc>
          <w:tcPr>
            <w:tcW w:w="675" w:type="dxa"/>
          </w:tcPr>
          <w:p w14:paraId="2CA51E1E" w14:textId="77777777" w:rsidR="00D91956" w:rsidRPr="00D91956" w:rsidRDefault="00D91956" w:rsidP="00D91956">
            <w:pPr>
              <w:spacing w:line="240" w:lineRule="auto"/>
              <w:jc w:val="center"/>
              <w:rPr>
                <w:rFonts w:cs="Arial"/>
                <w:szCs w:val="20"/>
              </w:rPr>
            </w:pPr>
            <w:r w:rsidRPr="00D91956">
              <w:rPr>
                <w:rFonts w:cs="Arial"/>
                <w:szCs w:val="20"/>
              </w:rPr>
              <w:t>17.</w:t>
            </w:r>
          </w:p>
        </w:tc>
        <w:tc>
          <w:tcPr>
            <w:tcW w:w="2073" w:type="dxa"/>
          </w:tcPr>
          <w:p w14:paraId="558124D0" w14:textId="77777777" w:rsidR="00D91956" w:rsidRPr="00D91956" w:rsidRDefault="00D91956" w:rsidP="00D91956">
            <w:pPr>
              <w:spacing w:line="240" w:lineRule="auto"/>
              <w:rPr>
                <w:rFonts w:cs="Arial"/>
                <w:szCs w:val="20"/>
              </w:rPr>
            </w:pPr>
            <w:r w:rsidRPr="00D91956">
              <w:rPr>
                <w:rFonts w:cs="Arial"/>
                <w:szCs w:val="20"/>
              </w:rPr>
              <w:t>PN-EN 1744-3</w:t>
            </w:r>
          </w:p>
        </w:tc>
        <w:tc>
          <w:tcPr>
            <w:tcW w:w="6480" w:type="dxa"/>
          </w:tcPr>
          <w:p w14:paraId="566E1714" w14:textId="77777777" w:rsidR="00D91956" w:rsidRPr="00D91956" w:rsidRDefault="00D91956" w:rsidP="00D91956">
            <w:pPr>
              <w:spacing w:line="240" w:lineRule="auto"/>
              <w:rPr>
                <w:rFonts w:cs="Arial"/>
                <w:szCs w:val="20"/>
              </w:rPr>
            </w:pPr>
            <w:r w:rsidRPr="00D91956">
              <w:rPr>
                <w:rFonts w:cs="Arial"/>
                <w:szCs w:val="20"/>
              </w:rPr>
              <w:t>Badania chemicznych właściwości kruszyw – Część 3: Przygotowanie wyciągów przez wymywanie kruszyw</w:t>
            </w:r>
          </w:p>
        </w:tc>
      </w:tr>
      <w:tr w:rsidR="00D91956" w:rsidRPr="00D91956" w14:paraId="62910342" w14:textId="77777777" w:rsidTr="007B6855">
        <w:tc>
          <w:tcPr>
            <w:tcW w:w="675" w:type="dxa"/>
          </w:tcPr>
          <w:p w14:paraId="1759B723" w14:textId="77777777" w:rsidR="00D91956" w:rsidRPr="00D91956" w:rsidRDefault="00D91956" w:rsidP="00D91956">
            <w:pPr>
              <w:spacing w:line="240" w:lineRule="auto"/>
              <w:jc w:val="center"/>
              <w:rPr>
                <w:rFonts w:cs="Arial"/>
                <w:szCs w:val="20"/>
              </w:rPr>
            </w:pPr>
            <w:r w:rsidRPr="00D91956">
              <w:rPr>
                <w:rFonts w:cs="Arial"/>
                <w:szCs w:val="20"/>
              </w:rPr>
              <w:t>18.</w:t>
            </w:r>
          </w:p>
        </w:tc>
        <w:tc>
          <w:tcPr>
            <w:tcW w:w="2073" w:type="dxa"/>
          </w:tcPr>
          <w:p w14:paraId="67D37C53" w14:textId="77777777" w:rsidR="00D91956" w:rsidRPr="00D91956" w:rsidRDefault="00D91956" w:rsidP="00D91956">
            <w:pPr>
              <w:spacing w:line="240" w:lineRule="auto"/>
              <w:rPr>
                <w:rFonts w:cs="Arial"/>
                <w:szCs w:val="20"/>
              </w:rPr>
            </w:pPr>
            <w:r w:rsidRPr="00D91956">
              <w:rPr>
                <w:rFonts w:cs="Arial"/>
                <w:szCs w:val="20"/>
              </w:rPr>
              <w:t>PN-EN 13242</w:t>
            </w:r>
          </w:p>
        </w:tc>
        <w:tc>
          <w:tcPr>
            <w:tcW w:w="6480" w:type="dxa"/>
          </w:tcPr>
          <w:p w14:paraId="3755685A" w14:textId="77777777" w:rsidR="00D91956" w:rsidRPr="00D91956" w:rsidRDefault="00D91956" w:rsidP="00D91956">
            <w:pPr>
              <w:spacing w:line="240" w:lineRule="auto"/>
              <w:rPr>
                <w:rFonts w:cs="Arial"/>
                <w:szCs w:val="20"/>
              </w:rPr>
            </w:pPr>
            <w:r w:rsidRPr="00D91956">
              <w:rPr>
                <w:rFonts w:cs="Arial"/>
                <w:szCs w:val="20"/>
              </w:rPr>
              <w:t xml:space="preserve">Kruszywa do niezwiązanych i związanych hydraulicznie materiałów </w:t>
            </w:r>
            <w:r w:rsidRPr="00D91956">
              <w:rPr>
                <w:rFonts w:cs="Arial"/>
                <w:szCs w:val="20"/>
              </w:rPr>
              <w:lastRenderedPageBreak/>
              <w:t>stosowanych w obiektach budowlanych i budownictwie drogowym</w:t>
            </w:r>
          </w:p>
        </w:tc>
      </w:tr>
      <w:tr w:rsidR="00D91956" w:rsidRPr="00D91956" w14:paraId="7D080119" w14:textId="77777777" w:rsidTr="007B6855">
        <w:tc>
          <w:tcPr>
            <w:tcW w:w="675" w:type="dxa"/>
          </w:tcPr>
          <w:p w14:paraId="7036EE83" w14:textId="77777777" w:rsidR="00D91956" w:rsidRPr="00D91956" w:rsidRDefault="00D91956" w:rsidP="00D91956">
            <w:pPr>
              <w:spacing w:line="240" w:lineRule="auto"/>
              <w:jc w:val="center"/>
              <w:rPr>
                <w:rFonts w:cs="Arial"/>
                <w:szCs w:val="20"/>
              </w:rPr>
            </w:pPr>
            <w:r w:rsidRPr="00D91956">
              <w:rPr>
                <w:rFonts w:cs="Arial"/>
                <w:szCs w:val="20"/>
              </w:rPr>
              <w:lastRenderedPageBreak/>
              <w:t>19.</w:t>
            </w:r>
          </w:p>
        </w:tc>
        <w:tc>
          <w:tcPr>
            <w:tcW w:w="2073" w:type="dxa"/>
          </w:tcPr>
          <w:p w14:paraId="06691B3E" w14:textId="77777777" w:rsidR="00D91956" w:rsidRPr="00D91956" w:rsidRDefault="00D91956" w:rsidP="00D91956">
            <w:pPr>
              <w:spacing w:line="240" w:lineRule="auto"/>
              <w:rPr>
                <w:rFonts w:cs="Arial"/>
                <w:szCs w:val="20"/>
              </w:rPr>
            </w:pPr>
            <w:r w:rsidRPr="00D91956">
              <w:rPr>
                <w:rFonts w:cs="Arial"/>
                <w:szCs w:val="20"/>
              </w:rPr>
              <w:t>PN-EN 13285</w:t>
            </w:r>
          </w:p>
        </w:tc>
        <w:tc>
          <w:tcPr>
            <w:tcW w:w="6480" w:type="dxa"/>
          </w:tcPr>
          <w:p w14:paraId="0946D28C" w14:textId="77777777" w:rsidR="00D91956" w:rsidRPr="00D91956" w:rsidRDefault="00D91956" w:rsidP="00D91956">
            <w:pPr>
              <w:spacing w:line="240" w:lineRule="auto"/>
              <w:rPr>
                <w:rFonts w:cs="Arial"/>
                <w:szCs w:val="20"/>
              </w:rPr>
            </w:pPr>
            <w:r w:rsidRPr="00D91956">
              <w:rPr>
                <w:rFonts w:cs="Arial"/>
                <w:szCs w:val="20"/>
              </w:rPr>
              <w:t xml:space="preserve">Mieszanki niezwiązane – Wymagania </w:t>
            </w:r>
          </w:p>
        </w:tc>
      </w:tr>
      <w:tr w:rsidR="00D91956" w:rsidRPr="00D91956" w14:paraId="24497EF9" w14:textId="77777777" w:rsidTr="007B6855">
        <w:tc>
          <w:tcPr>
            <w:tcW w:w="675" w:type="dxa"/>
          </w:tcPr>
          <w:p w14:paraId="371F1DC9" w14:textId="77777777" w:rsidR="00D91956" w:rsidRPr="00D91956" w:rsidRDefault="00D91956" w:rsidP="00D91956">
            <w:pPr>
              <w:spacing w:line="240" w:lineRule="auto"/>
              <w:jc w:val="center"/>
              <w:rPr>
                <w:rFonts w:cs="Arial"/>
                <w:szCs w:val="20"/>
              </w:rPr>
            </w:pPr>
            <w:r w:rsidRPr="00D91956">
              <w:rPr>
                <w:rFonts w:cs="Arial"/>
                <w:szCs w:val="20"/>
              </w:rPr>
              <w:t>20.</w:t>
            </w:r>
          </w:p>
        </w:tc>
        <w:tc>
          <w:tcPr>
            <w:tcW w:w="2073" w:type="dxa"/>
          </w:tcPr>
          <w:p w14:paraId="3FC66BAE" w14:textId="77777777" w:rsidR="00D91956" w:rsidRPr="00D91956" w:rsidRDefault="00D91956" w:rsidP="00D91956">
            <w:pPr>
              <w:spacing w:line="240" w:lineRule="auto"/>
              <w:rPr>
                <w:rFonts w:cs="Arial"/>
                <w:szCs w:val="20"/>
              </w:rPr>
            </w:pPr>
            <w:r w:rsidRPr="00D91956">
              <w:rPr>
                <w:rFonts w:cs="Arial"/>
                <w:szCs w:val="20"/>
              </w:rPr>
              <w:t>PN-EN 13286-2</w:t>
            </w:r>
          </w:p>
        </w:tc>
        <w:tc>
          <w:tcPr>
            <w:tcW w:w="6480" w:type="dxa"/>
          </w:tcPr>
          <w:p w14:paraId="3A1DCCE0" w14:textId="77777777" w:rsidR="00D91956" w:rsidRPr="00D91956" w:rsidRDefault="00D91956" w:rsidP="00D91956">
            <w:pPr>
              <w:spacing w:line="240" w:lineRule="auto"/>
              <w:rPr>
                <w:rFonts w:cs="Arial"/>
                <w:szCs w:val="20"/>
              </w:rPr>
            </w:pPr>
            <w:r w:rsidRPr="00D91956">
              <w:rPr>
                <w:rFonts w:cs="Arial"/>
                <w:szCs w:val="20"/>
              </w:rPr>
              <w:t xml:space="preserve">Mieszanki niezwiązane i związane spoiwem hydraulicznym – Część 2: Metody określania gęstości i zawartości wody – Zagęszczanie metodą </w:t>
            </w:r>
            <w:proofErr w:type="spellStart"/>
            <w:r w:rsidRPr="00D91956">
              <w:rPr>
                <w:rFonts w:cs="Arial"/>
                <w:szCs w:val="20"/>
              </w:rPr>
              <w:t>Proctora</w:t>
            </w:r>
            <w:proofErr w:type="spellEnd"/>
          </w:p>
        </w:tc>
      </w:tr>
      <w:tr w:rsidR="00D91956" w:rsidRPr="00D91956" w14:paraId="27064903" w14:textId="77777777" w:rsidTr="007B6855">
        <w:tc>
          <w:tcPr>
            <w:tcW w:w="675" w:type="dxa"/>
          </w:tcPr>
          <w:p w14:paraId="3298E8E1" w14:textId="77777777" w:rsidR="00D91956" w:rsidRPr="00D91956" w:rsidRDefault="00D91956" w:rsidP="00D91956">
            <w:pPr>
              <w:spacing w:line="240" w:lineRule="auto"/>
              <w:jc w:val="center"/>
              <w:rPr>
                <w:rFonts w:cs="Arial"/>
                <w:szCs w:val="20"/>
              </w:rPr>
            </w:pPr>
            <w:r w:rsidRPr="00D91956">
              <w:rPr>
                <w:rFonts w:cs="Arial"/>
                <w:szCs w:val="20"/>
              </w:rPr>
              <w:t>21.</w:t>
            </w:r>
          </w:p>
        </w:tc>
        <w:tc>
          <w:tcPr>
            <w:tcW w:w="2073" w:type="dxa"/>
          </w:tcPr>
          <w:p w14:paraId="2F2AD216" w14:textId="77777777" w:rsidR="00D91956" w:rsidRPr="00D91956" w:rsidRDefault="00D91956" w:rsidP="00D91956">
            <w:pPr>
              <w:spacing w:line="240" w:lineRule="auto"/>
              <w:rPr>
                <w:rFonts w:cs="Arial"/>
                <w:szCs w:val="20"/>
              </w:rPr>
            </w:pPr>
            <w:r w:rsidRPr="00D91956">
              <w:rPr>
                <w:rFonts w:cs="Arial"/>
                <w:szCs w:val="20"/>
              </w:rPr>
              <w:t>ISO/TS 17892-11</w:t>
            </w:r>
          </w:p>
        </w:tc>
        <w:tc>
          <w:tcPr>
            <w:tcW w:w="6480" w:type="dxa"/>
          </w:tcPr>
          <w:p w14:paraId="18CA615F" w14:textId="77777777" w:rsidR="00D91956" w:rsidRPr="00D91956" w:rsidRDefault="00D91956" w:rsidP="00D91956">
            <w:pPr>
              <w:spacing w:line="240" w:lineRule="auto"/>
              <w:rPr>
                <w:rFonts w:cs="Arial"/>
                <w:szCs w:val="20"/>
              </w:rPr>
            </w:pPr>
            <w:r w:rsidRPr="00D91956">
              <w:rPr>
                <w:rFonts w:cs="Arial"/>
                <w:szCs w:val="20"/>
              </w:rPr>
              <w:t>Badania geotechniczne – Badania laboratoryjne gruntów – Część 11: Oznaczanie filtracji przy stałym i obniżającym spadku hydraulicznym</w:t>
            </w:r>
          </w:p>
        </w:tc>
      </w:tr>
    </w:tbl>
    <w:p w14:paraId="372BC737" w14:textId="77777777" w:rsidR="00D91956" w:rsidRPr="00D91956" w:rsidRDefault="00D91956" w:rsidP="00D91956">
      <w:pPr>
        <w:pStyle w:val="Nagwek2"/>
        <w:spacing w:line="240" w:lineRule="auto"/>
        <w:rPr>
          <w:rFonts w:cs="Arial"/>
          <w:szCs w:val="20"/>
        </w:rPr>
      </w:pPr>
      <w:r w:rsidRPr="00D91956">
        <w:rPr>
          <w:rFonts w:cs="Arial"/>
          <w:szCs w:val="20"/>
        </w:rPr>
        <w:t>10.3. Inne dokumenty</w:t>
      </w:r>
    </w:p>
    <w:p w14:paraId="25865BA1" w14:textId="77777777" w:rsidR="00D91956" w:rsidRPr="00D91956" w:rsidRDefault="00D91956" w:rsidP="00CF1E7D">
      <w:pPr>
        <w:numPr>
          <w:ilvl w:val="0"/>
          <w:numId w:val="277"/>
        </w:numPr>
        <w:overflowPunct w:val="0"/>
        <w:autoSpaceDE w:val="0"/>
        <w:autoSpaceDN w:val="0"/>
        <w:adjustRightInd w:val="0"/>
        <w:spacing w:line="240" w:lineRule="auto"/>
        <w:jc w:val="both"/>
        <w:textAlignment w:val="baseline"/>
        <w:rPr>
          <w:rFonts w:cs="Arial"/>
          <w:szCs w:val="20"/>
        </w:rPr>
      </w:pPr>
      <w:r w:rsidRPr="00D91956">
        <w:rPr>
          <w:rFonts w:cs="Arial"/>
          <w:szCs w:val="20"/>
        </w:rPr>
        <w:t>Mieszanki niezwiązane do dróg krajowych. WT-4 2010. Wymagania techniczne (zalecone do stosowania w specyfikacji technicznej na roboty budowlane na drogach krajowych wg zarządzenia nr 102 GDDKiA z dnia 19.11.2010 r.)</w:t>
      </w:r>
    </w:p>
    <w:p w14:paraId="2E75F061" w14:textId="77777777" w:rsidR="00D91956" w:rsidRPr="00D91956" w:rsidRDefault="00D91956" w:rsidP="00CF1E7D">
      <w:pPr>
        <w:numPr>
          <w:ilvl w:val="0"/>
          <w:numId w:val="277"/>
        </w:numPr>
        <w:overflowPunct w:val="0"/>
        <w:autoSpaceDE w:val="0"/>
        <w:autoSpaceDN w:val="0"/>
        <w:adjustRightInd w:val="0"/>
        <w:spacing w:line="240" w:lineRule="auto"/>
        <w:jc w:val="both"/>
        <w:textAlignment w:val="baseline"/>
        <w:rPr>
          <w:rFonts w:cs="Arial"/>
          <w:szCs w:val="20"/>
        </w:rPr>
      </w:pPr>
      <w:r w:rsidRPr="00D91956">
        <w:rPr>
          <w:rFonts w:cs="Arial"/>
          <w:szCs w:val="20"/>
        </w:rPr>
        <w:t>Rozporządzenie Ministra Transportu i Gospodarki Morskiej z dnia 2 marca 1999 r. w sprawie warunków technicznych, jakim powinny odpowiadać drogi publiczne i ich usytuowanie (Dz.U. nr 43, poz. 430)</w:t>
      </w:r>
    </w:p>
    <w:p w14:paraId="1D79263D" w14:textId="68DF2B6D" w:rsidR="00D91956" w:rsidRPr="008F5EED" w:rsidRDefault="00D91956" w:rsidP="00CF1E7D">
      <w:pPr>
        <w:numPr>
          <w:ilvl w:val="0"/>
          <w:numId w:val="277"/>
        </w:numPr>
        <w:overflowPunct w:val="0"/>
        <w:autoSpaceDE w:val="0"/>
        <w:autoSpaceDN w:val="0"/>
        <w:adjustRightInd w:val="0"/>
        <w:spacing w:line="240" w:lineRule="auto"/>
        <w:jc w:val="both"/>
        <w:textAlignment w:val="baseline"/>
        <w:rPr>
          <w:rFonts w:cs="Arial"/>
          <w:szCs w:val="20"/>
        </w:rPr>
      </w:pPr>
      <w:r w:rsidRPr="00D91956">
        <w:rPr>
          <w:rFonts w:cs="Arial"/>
          <w:szCs w:val="20"/>
        </w:rPr>
        <w:t>Katalog typowych konstrukcji nawierzchni podatnych i półsztywnych. Generalna Dyrekcja Dróg Publicznych – Instytut Badawczy Dróg i Mostów, Warszawa 1997</w:t>
      </w:r>
    </w:p>
    <w:p w14:paraId="7B3AD539" w14:textId="77777777" w:rsidR="00D91956" w:rsidRPr="00D91956" w:rsidRDefault="00D91956" w:rsidP="00D91956">
      <w:pPr>
        <w:pStyle w:val="Nagwek1"/>
        <w:spacing w:line="240" w:lineRule="auto"/>
        <w:jc w:val="right"/>
        <w:rPr>
          <w:rFonts w:cs="Arial"/>
          <w:szCs w:val="20"/>
        </w:rPr>
      </w:pPr>
      <w:bookmarkStart w:id="901" w:name="_Toc346094302"/>
      <w:r w:rsidRPr="00D91956">
        <w:rPr>
          <w:rFonts w:cs="Arial"/>
          <w:szCs w:val="20"/>
        </w:rPr>
        <w:t>11. ZAŁĄCZNIKI</w:t>
      </w:r>
      <w:bookmarkEnd w:id="901"/>
    </w:p>
    <w:p w14:paraId="1B12E5D8" w14:textId="77777777" w:rsidR="00D91956" w:rsidRPr="00D91956" w:rsidRDefault="00D91956" w:rsidP="00D91956">
      <w:pPr>
        <w:spacing w:after="120" w:line="240" w:lineRule="auto"/>
        <w:jc w:val="right"/>
        <w:rPr>
          <w:rFonts w:cs="Arial"/>
          <w:b/>
          <w:szCs w:val="20"/>
        </w:rPr>
      </w:pPr>
      <w:r w:rsidRPr="00D91956">
        <w:rPr>
          <w:rFonts w:cs="Arial"/>
          <w:b/>
          <w:szCs w:val="20"/>
        </w:rPr>
        <w:t>ZAŁĄCZNIK 1</w:t>
      </w:r>
    </w:p>
    <w:p w14:paraId="3F0845F1" w14:textId="77777777" w:rsidR="00D91956" w:rsidRPr="00D91956" w:rsidRDefault="00D91956" w:rsidP="00D91956">
      <w:pPr>
        <w:spacing w:after="120" w:line="240" w:lineRule="auto"/>
        <w:jc w:val="center"/>
        <w:rPr>
          <w:rFonts w:cs="Arial"/>
          <w:b/>
          <w:szCs w:val="20"/>
        </w:rPr>
      </w:pPr>
      <w:r w:rsidRPr="00D91956">
        <w:rPr>
          <w:rFonts w:cs="Arial"/>
          <w:b/>
          <w:szCs w:val="20"/>
        </w:rPr>
        <w:t>PRZYKŁADOWE  MIESZANKI  KRUSZYW  Z  RECYKLINGU [22]</w:t>
      </w:r>
    </w:p>
    <w:p w14:paraId="3B700A6A" w14:textId="77777777" w:rsidR="00D91956" w:rsidRPr="00D91956" w:rsidRDefault="00D91956" w:rsidP="00CF1E7D">
      <w:pPr>
        <w:pStyle w:val="Nagwek2"/>
        <w:numPr>
          <w:ilvl w:val="1"/>
          <w:numId w:val="107"/>
        </w:numPr>
        <w:tabs>
          <w:tab w:val="clear" w:pos="420"/>
        </w:tabs>
        <w:spacing w:line="240" w:lineRule="auto"/>
        <w:ind w:left="283" w:hanging="283"/>
        <w:rPr>
          <w:rFonts w:cs="Arial"/>
          <w:szCs w:val="20"/>
        </w:rPr>
      </w:pPr>
      <w:r w:rsidRPr="00D91956">
        <w:rPr>
          <w:rFonts w:cs="Arial"/>
          <w:szCs w:val="20"/>
        </w:rPr>
        <w:t>Rodzaje mieszanek kruszyw z recyklingu</w:t>
      </w:r>
    </w:p>
    <w:p w14:paraId="544C5282" w14:textId="77777777" w:rsidR="00D91956" w:rsidRPr="00D91956" w:rsidRDefault="00D91956" w:rsidP="00D91956">
      <w:pPr>
        <w:spacing w:line="240" w:lineRule="auto"/>
        <w:ind w:firstLine="709"/>
        <w:rPr>
          <w:rFonts w:cs="Arial"/>
          <w:szCs w:val="20"/>
        </w:rPr>
      </w:pPr>
      <w:r w:rsidRPr="00D91956">
        <w:rPr>
          <w:rFonts w:cs="Arial"/>
          <w:szCs w:val="20"/>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0F062271" w14:textId="77777777" w:rsidR="00D91956" w:rsidRPr="00D91956" w:rsidRDefault="00D91956" w:rsidP="00D91956">
      <w:pPr>
        <w:spacing w:line="240" w:lineRule="auto"/>
        <w:ind w:firstLine="709"/>
        <w:rPr>
          <w:rFonts w:cs="Arial"/>
          <w:szCs w:val="20"/>
        </w:rPr>
      </w:pPr>
      <w:r w:rsidRPr="00D91956">
        <w:rPr>
          <w:rFonts w:cs="Arial"/>
          <w:szCs w:val="20"/>
        </w:rPr>
        <w:t>Jako przykładowe podaje się następujące mieszanki kruszyw z recyklingu wraz z ich składami:</w:t>
      </w:r>
    </w:p>
    <w:p w14:paraId="7963FB06" w14:textId="77777777" w:rsidR="00D91956" w:rsidRPr="00D91956" w:rsidRDefault="00D91956" w:rsidP="00CF1E7D">
      <w:pPr>
        <w:numPr>
          <w:ilvl w:val="0"/>
          <w:numId w:val="108"/>
        </w:numPr>
        <w:overflowPunct w:val="0"/>
        <w:autoSpaceDE w:val="0"/>
        <w:autoSpaceDN w:val="0"/>
        <w:adjustRightInd w:val="0"/>
        <w:spacing w:line="240" w:lineRule="auto"/>
        <w:jc w:val="both"/>
        <w:textAlignment w:val="baseline"/>
        <w:rPr>
          <w:rFonts w:cs="Arial"/>
          <w:szCs w:val="20"/>
        </w:rPr>
      </w:pPr>
      <w:r w:rsidRPr="00D91956">
        <w:rPr>
          <w:rFonts w:cs="Arial"/>
          <w:szCs w:val="20"/>
        </w:rPr>
        <w:t xml:space="preserve">mieszanki z betonu </w:t>
      </w:r>
      <w:proofErr w:type="spellStart"/>
      <w:r w:rsidRPr="00D91956">
        <w:rPr>
          <w:rFonts w:cs="Arial"/>
          <w:szCs w:val="20"/>
        </w:rPr>
        <w:t>przekruszonego</w:t>
      </w:r>
      <w:proofErr w:type="spellEnd"/>
      <w:r w:rsidRPr="00D91956">
        <w:rPr>
          <w:rFonts w:cs="Arial"/>
          <w:szCs w:val="20"/>
        </w:rPr>
        <w:t>,</w:t>
      </w:r>
    </w:p>
    <w:p w14:paraId="0BA21B4E" w14:textId="77777777" w:rsidR="00D91956" w:rsidRPr="00D91956" w:rsidRDefault="00D91956" w:rsidP="00CF1E7D">
      <w:pPr>
        <w:numPr>
          <w:ilvl w:val="0"/>
          <w:numId w:val="108"/>
        </w:numPr>
        <w:overflowPunct w:val="0"/>
        <w:autoSpaceDE w:val="0"/>
        <w:autoSpaceDN w:val="0"/>
        <w:adjustRightInd w:val="0"/>
        <w:spacing w:line="240" w:lineRule="auto"/>
        <w:jc w:val="both"/>
        <w:textAlignment w:val="baseline"/>
        <w:rPr>
          <w:rFonts w:cs="Arial"/>
          <w:szCs w:val="20"/>
        </w:rPr>
      </w:pPr>
      <w:r w:rsidRPr="00D91956">
        <w:rPr>
          <w:rFonts w:cs="Arial"/>
          <w:szCs w:val="20"/>
        </w:rPr>
        <w:t xml:space="preserve">mieszanki z </w:t>
      </w:r>
      <w:proofErr w:type="spellStart"/>
      <w:r w:rsidRPr="00D91956">
        <w:rPr>
          <w:rFonts w:cs="Arial"/>
          <w:szCs w:val="20"/>
        </w:rPr>
        <w:t>przekruszonego</w:t>
      </w:r>
      <w:proofErr w:type="spellEnd"/>
      <w:r w:rsidRPr="00D91956">
        <w:rPr>
          <w:rFonts w:cs="Arial"/>
          <w:szCs w:val="20"/>
        </w:rPr>
        <w:t xml:space="preserve"> muru,</w:t>
      </w:r>
    </w:p>
    <w:p w14:paraId="64FE3834" w14:textId="77777777" w:rsidR="00D91956" w:rsidRPr="00D91956" w:rsidRDefault="00D91956" w:rsidP="00CF1E7D">
      <w:pPr>
        <w:numPr>
          <w:ilvl w:val="0"/>
          <w:numId w:val="108"/>
        </w:numPr>
        <w:overflowPunct w:val="0"/>
        <w:autoSpaceDE w:val="0"/>
        <w:autoSpaceDN w:val="0"/>
        <w:adjustRightInd w:val="0"/>
        <w:spacing w:line="240" w:lineRule="auto"/>
        <w:jc w:val="both"/>
        <w:textAlignment w:val="baseline"/>
        <w:rPr>
          <w:rFonts w:cs="Arial"/>
          <w:szCs w:val="20"/>
        </w:rPr>
      </w:pPr>
      <w:r w:rsidRPr="00D91956">
        <w:rPr>
          <w:rFonts w:cs="Arial"/>
          <w:szCs w:val="20"/>
        </w:rPr>
        <w:t xml:space="preserve">mieszanki z </w:t>
      </w:r>
      <w:proofErr w:type="spellStart"/>
      <w:r w:rsidRPr="00D91956">
        <w:rPr>
          <w:rFonts w:cs="Arial"/>
          <w:szCs w:val="20"/>
        </w:rPr>
        <w:t>przekruszonego</w:t>
      </w:r>
      <w:proofErr w:type="spellEnd"/>
      <w:r w:rsidRPr="00D91956">
        <w:rPr>
          <w:rFonts w:cs="Arial"/>
          <w:szCs w:val="20"/>
        </w:rPr>
        <w:t xml:space="preserve"> betonu i muru,</w:t>
      </w:r>
    </w:p>
    <w:p w14:paraId="07BF1DED" w14:textId="77777777" w:rsidR="00D91956" w:rsidRPr="00D91956" w:rsidRDefault="00D91956" w:rsidP="00CF1E7D">
      <w:pPr>
        <w:numPr>
          <w:ilvl w:val="0"/>
          <w:numId w:val="108"/>
        </w:numPr>
        <w:overflowPunct w:val="0"/>
        <w:autoSpaceDE w:val="0"/>
        <w:autoSpaceDN w:val="0"/>
        <w:adjustRightInd w:val="0"/>
        <w:spacing w:line="240" w:lineRule="auto"/>
        <w:jc w:val="both"/>
        <w:textAlignment w:val="baseline"/>
        <w:rPr>
          <w:rFonts w:cs="Arial"/>
          <w:szCs w:val="20"/>
        </w:rPr>
      </w:pPr>
      <w:r w:rsidRPr="00D91956">
        <w:rPr>
          <w:rFonts w:cs="Arial"/>
          <w:szCs w:val="20"/>
        </w:rPr>
        <w:t xml:space="preserve">mieszanki z </w:t>
      </w:r>
      <w:proofErr w:type="spellStart"/>
      <w:r w:rsidRPr="00D91956">
        <w:rPr>
          <w:rFonts w:cs="Arial"/>
          <w:szCs w:val="20"/>
        </w:rPr>
        <w:t>przekruszonych</w:t>
      </w:r>
      <w:proofErr w:type="spellEnd"/>
      <w:r w:rsidRPr="00D91956">
        <w:rPr>
          <w:rFonts w:cs="Arial"/>
          <w:szCs w:val="20"/>
        </w:rPr>
        <w:t xml:space="preserve"> materiałów drogowych (w tym destruktu asfaltowego),</w:t>
      </w:r>
    </w:p>
    <w:p w14:paraId="49EBCA50" w14:textId="77777777" w:rsidR="00D91956" w:rsidRPr="00D91956" w:rsidRDefault="00D91956" w:rsidP="00CF1E7D">
      <w:pPr>
        <w:numPr>
          <w:ilvl w:val="0"/>
          <w:numId w:val="108"/>
        </w:numPr>
        <w:overflowPunct w:val="0"/>
        <w:autoSpaceDE w:val="0"/>
        <w:autoSpaceDN w:val="0"/>
        <w:adjustRightInd w:val="0"/>
        <w:spacing w:line="240" w:lineRule="auto"/>
        <w:jc w:val="both"/>
        <w:textAlignment w:val="baseline"/>
        <w:rPr>
          <w:rFonts w:cs="Arial"/>
          <w:szCs w:val="20"/>
        </w:rPr>
      </w:pPr>
      <w:r w:rsidRPr="00D91956">
        <w:rPr>
          <w:rFonts w:cs="Arial"/>
          <w:szCs w:val="20"/>
        </w:rPr>
        <w:t>popiół powstały ze spalania odpadów komunalnych (w tym odpadów z gospodarstw domowych).</w:t>
      </w:r>
    </w:p>
    <w:p w14:paraId="75BD4842" w14:textId="77777777" w:rsidR="00D91956" w:rsidRPr="00D91956" w:rsidRDefault="00D91956" w:rsidP="00D91956">
      <w:pPr>
        <w:pStyle w:val="Nagwek2"/>
        <w:spacing w:line="240" w:lineRule="auto"/>
        <w:rPr>
          <w:rFonts w:cs="Arial"/>
          <w:szCs w:val="20"/>
        </w:rPr>
      </w:pPr>
      <w:r w:rsidRPr="00D91956">
        <w:rPr>
          <w:rFonts w:cs="Arial"/>
          <w:szCs w:val="20"/>
        </w:rPr>
        <w:t>1.2. Metoda badania</w:t>
      </w:r>
    </w:p>
    <w:p w14:paraId="798A0D13" w14:textId="77777777" w:rsidR="00D91956" w:rsidRPr="00D91956" w:rsidRDefault="00D91956" w:rsidP="00D91956">
      <w:pPr>
        <w:spacing w:line="240" w:lineRule="auto"/>
        <w:rPr>
          <w:rFonts w:cs="Arial"/>
          <w:szCs w:val="20"/>
        </w:rPr>
      </w:pPr>
      <w:r w:rsidRPr="00D91956">
        <w:rPr>
          <w:rFonts w:cs="Arial"/>
          <w:szCs w:val="20"/>
        </w:rPr>
        <w:tab/>
        <w:t>Masa próbki analitycznej niezbędna do wykonania oznaczenia składu mieszanki zależy od wymiaru największego ziarna w mieszance:</w:t>
      </w:r>
    </w:p>
    <w:p w14:paraId="402490E8" w14:textId="77777777" w:rsidR="00D91956" w:rsidRPr="00D91956" w:rsidRDefault="00D91956" w:rsidP="00CF1E7D">
      <w:pPr>
        <w:numPr>
          <w:ilvl w:val="0"/>
          <w:numId w:val="109"/>
        </w:numPr>
        <w:overflowPunct w:val="0"/>
        <w:autoSpaceDE w:val="0"/>
        <w:autoSpaceDN w:val="0"/>
        <w:adjustRightInd w:val="0"/>
        <w:spacing w:line="240" w:lineRule="auto"/>
        <w:jc w:val="both"/>
        <w:textAlignment w:val="baseline"/>
        <w:rPr>
          <w:rFonts w:cs="Arial"/>
          <w:szCs w:val="20"/>
        </w:rPr>
      </w:pPr>
      <w:r w:rsidRPr="00D91956">
        <w:rPr>
          <w:rFonts w:cs="Arial"/>
          <w:szCs w:val="20"/>
        </w:rPr>
        <w:t xml:space="preserve">przy D ≤ </w:t>
      </w:r>
      <w:smartTag w:uri="urn:schemas-microsoft-com:office:smarttags" w:element="metricconverter">
        <w:smartTagPr>
          <w:attr w:name="ProductID" w:val="32 mm"/>
        </w:smartTagPr>
        <w:r w:rsidRPr="00D91956">
          <w:rPr>
            <w:rFonts w:cs="Arial"/>
            <w:szCs w:val="20"/>
          </w:rPr>
          <w:t>32 mm</w:t>
        </w:r>
      </w:smartTag>
      <w:r w:rsidRPr="00D91956">
        <w:rPr>
          <w:rFonts w:cs="Arial"/>
          <w:szCs w:val="20"/>
        </w:rPr>
        <w:tab/>
        <w:t xml:space="preserve">masa próbki </w:t>
      </w:r>
      <w:smartTag w:uri="urn:schemas-microsoft-com:office:smarttags" w:element="metricconverter">
        <w:smartTagPr>
          <w:attr w:name="ProductID" w:val="4 000 g"/>
        </w:smartTagPr>
        <w:r w:rsidRPr="00D91956">
          <w:rPr>
            <w:rFonts w:cs="Arial"/>
            <w:szCs w:val="20"/>
          </w:rPr>
          <w:t>4 000 g</w:t>
        </w:r>
      </w:smartTag>
      <w:r w:rsidRPr="00D91956">
        <w:rPr>
          <w:rFonts w:cs="Arial"/>
          <w:szCs w:val="20"/>
        </w:rPr>
        <w:t>,</w:t>
      </w:r>
    </w:p>
    <w:p w14:paraId="55D7E9A0" w14:textId="77777777" w:rsidR="00D91956" w:rsidRPr="00D91956" w:rsidRDefault="00D91956" w:rsidP="00CF1E7D">
      <w:pPr>
        <w:numPr>
          <w:ilvl w:val="0"/>
          <w:numId w:val="109"/>
        </w:numPr>
        <w:overflowPunct w:val="0"/>
        <w:autoSpaceDE w:val="0"/>
        <w:autoSpaceDN w:val="0"/>
        <w:adjustRightInd w:val="0"/>
        <w:spacing w:line="240" w:lineRule="auto"/>
        <w:jc w:val="both"/>
        <w:textAlignment w:val="baseline"/>
        <w:rPr>
          <w:rFonts w:cs="Arial"/>
          <w:szCs w:val="20"/>
        </w:rPr>
      </w:pPr>
      <w:r w:rsidRPr="00D91956">
        <w:rPr>
          <w:rFonts w:cs="Arial"/>
          <w:szCs w:val="20"/>
        </w:rPr>
        <w:t xml:space="preserve">przy D &gt; </w:t>
      </w:r>
      <w:smartTag w:uri="urn:schemas-microsoft-com:office:smarttags" w:element="metricconverter">
        <w:smartTagPr>
          <w:attr w:name="ProductID" w:val="32 mm"/>
        </w:smartTagPr>
        <w:r w:rsidRPr="00D91956">
          <w:rPr>
            <w:rFonts w:cs="Arial"/>
            <w:szCs w:val="20"/>
          </w:rPr>
          <w:t>32 mm</w:t>
        </w:r>
      </w:smartTag>
      <w:r w:rsidRPr="00D91956">
        <w:rPr>
          <w:rFonts w:cs="Arial"/>
          <w:szCs w:val="20"/>
        </w:rPr>
        <w:tab/>
        <w:t xml:space="preserve">masa próbki </w:t>
      </w:r>
      <w:smartTag w:uri="urn:schemas-microsoft-com:office:smarttags" w:element="metricconverter">
        <w:smartTagPr>
          <w:attr w:name="ProductID" w:val="10 000 g"/>
        </w:smartTagPr>
        <w:r w:rsidRPr="00D91956">
          <w:rPr>
            <w:rFonts w:cs="Arial"/>
            <w:szCs w:val="20"/>
          </w:rPr>
          <w:t>10 000 g</w:t>
        </w:r>
      </w:smartTag>
      <w:r w:rsidRPr="00D91956">
        <w:rPr>
          <w:rFonts w:cs="Arial"/>
          <w:szCs w:val="20"/>
        </w:rPr>
        <w:t>.</w:t>
      </w:r>
    </w:p>
    <w:p w14:paraId="572A74B1" w14:textId="77777777" w:rsidR="00D91956" w:rsidRPr="00D91956" w:rsidRDefault="00D91956" w:rsidP="00D91956">
      <w:pPr>
        <w:spacing w:line="240" w:lineRule="auto"/>
        <w:ind w:firstLine="709"/>
        <w:rPr>
          <w:rFonts w:cs="Arial"/>
          <w:szCs w:val="20"/>
        </w:rPr>
      </w:pPr>
      <w:r w:rsidRPr="00D91956">
        <w:rPr>
          <w:rFonts w:cs="Arial"/>
          <w:szCs w:val="20"/>
        </w:rPr>
        <w:t xml:space="preserve">Zgodnie z PN-EN 933-1 [7] próbkę mieszanki należy przepłukać na sicie </w:t>
      </w:r>
      <w:smartTag w:uri="urn:schemas-microsoft-com:office:smarttags" w:element="metricconverter">
        <w:smartTagPr>
          <w:attr w:name="ProductID" w:val="8 mm"/>
        </w:smartTagPr>
        <w:r w:rsidRPr="00D91956">
          <w:rPr>
            <w:rFonts w:cs="Arial"/>
            <w:szCs w:val="20"/>
          </w:rPr>
          <w:t>8 mm</w:t>
        </w:r>
      </w:smartTag>
      <w:r w:rsidRPr="00D91956">
        <w:rPr>
          <w:rFonts w:cs="Arial"/>
          <w:szCs w:val="20"/>
        </w:rPr>
        <w:t>, przy czym sito nie może być przeładowane. Pozostałość na sicie jest suszona do masy stałej i podawana jako „M”.</w:t>
      </w:r>
    </w:p>
    <w:p w14:paraId="12CB94C7" w14:textId="77777777" w:rsidR="00D91956" w:rsidRPr="00D91956" w:rsidRDefault="00D91956" w:rsidP="00D91956">
      <w:pPr>
        <w:spacing w:line="240" w:lineRule="auto"/>
        <w:ind w:firstLine="709"/>
        <w:rPr>
          <w:rFonts w:cs="Arial"/>
          <w:szCs w:val="20"/>
        </w:rPr>
      </w:pPr>
      <w:r w:rsidRPr="00D91956">
        <w:rPr>
          <w:rFonts w:cs="Arial"/>
          <w:szCs w:val="20"/>
        </w:rPr>
        <w:t>Wymyte i wysuszone ziarna są sortowane metodą wizualną w następujące grupy:</w:t>
      </w:r>
    </w:p>
    <w:p w14:paraId="27174E0B" w14:textId="77777777" w:rsidR="00D91956" w:rsidRPr="00D91956" w:rsidRDefault="00D91956" w:rsidP="00CF1E7D">
      <w:pPr>
        <w:numPr>
          <w:ilvl w:val="0"/>
          <w:numId w:val="278"/>
        </w:numPr>
        <w:overflowPunct w:val="0"/>
        <w:autoSpaceDE w:val="0"/>
        <w:autoSpaceDN w:val="0"/>
        <w:adjustRightInd w:val="0"/>
        <w:spacing w:line="240" w:lineRule="auto"/>
        <w:jc w:val="both"/>
        <w:textAlignment w:val="baseline"/>
        <w:rPr>
          <w:rFonts w:cs="Arial"/>
          <w:szCs w:val="20"/>
        </w:rPr>
      </w:pPr>
      <w:r w:rsidRPr="00D91956">
        <w:rPr>
          <w:rFonts w:cs="Arial"/>
          <w:szCs w:val="20"/>
        </w:rPr>
        <w:t xml:space="preserve">kruszywa z </w:t>
      </w:r>
      <w:proofErr w:type="spellStart"/>
      <w:r w:rsidRPr="00D91956">
        <w:rPr>
          <w:rFonts w:cs="Arial"/>
          <w:szCs w:val="20"/>
        </w:rPr>
        <w:t>przekruszonej</w:t>
      </w:r>
      <w:proofErr w:type="spellEnd"/>
      <w:r w:rsidRPr="00D91956">
        <w:rPr>
          <w:rFonts w:cs="Arial"/>
          <w:szCs w:val="20"/>
        </w:rPr>
        <w:t xml:space="preserve"> skały,</w:t>
      </w:r>
    </w:p>
    <w:p w14:paraId="4419B4DE" w14:textId="77777777" w:rsidR="00D91956" w:rsidRPr="00D91956" w:rsidRDefault="00D91956" w:rsidP="00CF1E7D">
      <w:pPr>
        <w:numPr>
          <w:ilvl w:val="0"/>
          <w:numId w:val="278"/>
        </w:numPr>
        <w:overflowPunct w:val="0"/>
        <w:autoSpaceDE w:val="0"/>
        <w:autoSpaceDN w:val="0"/>
        <w:adjustRightInd w:val="0"/>
        <w:spacing w:line="240" w:lineRule="auto"/>
        <w:jc w:val="both"/>
        <w:textAlignment w:val="baseline"/>
        <w:rPr>
          <w:rFonts w:cs="Arial"/>
          <w:szCs w:val="20"/>
        </w:rPr>
      </w:pPr>
      <w:r w:rsidRPr="00D91956">
        <w:rPr>
          <w:rFonts w:cs="Arial"/>
          <w:szCs w:val="20"/>
        </w:rPr>
        <w:t>kruszywa ze żwiru,</w:t>
      </w:r>
    </w:p>
    <w:p w14:paraId="293C7D52" w14:textId="77777777" w:rsidR="00D91956" w:rsidRPr="00D91956" w:rsidRDefault="00D91956" w:rsidP="00CF1E7D">
      <w:pPr>
        <w:numPr>
          <w:ilvl w:val="0"/>
          <w:numId w:val="278"/>
        </w:numPr>
        <w:overflowPunct w:val="0"/>
        <w:autoSpaceDE w:val="0"/>
        <w:autoSpaceDN w:val="0"/>
        <w:adjustRightInd w:val="0"/>
        <w:spacing w:line="240" w:lineRule="auto"/>
        <w:jc w:val="both"/>
        <w:textAlignment w:val="baseline"/>
        <w:rPr>
          <w:rFonts w:cs="Arial"/>
          <w:szCs w:val="20"/>
        </w:rPr>
      </w:pPr>
      <w:r w:rsidRPr="00D91956">
        <w:rPr>
          <w:rFonts w:cs="Arial"/>
          <w:szCs w:val="20"/>
        </w:rPr>
        <w:t>beton i inne hydraulicznie związane mieszanki,</w:t>
      </w:r>
    </w:p>
    <w:p w14:paraId="10A07002" w14:textId="77777777" w:rsidR="00D91956" w:rsidRPr="00D91956" w:rsidRDefault="00D91956" w:rsidP="00CF1E7D">
      <w:pPr>
        <w:numPr>
          <w:ilvl w:val="0"/>
          <w:numId w:val="278"/>
        </w:numPr>
        <w:overflowPunct w:val="0"/>
        <w:autoSpaceDE w:val="0"/>
        <w:autoSpaceDN w:val="0"/>
        <w:adjustRightInd w:val="0"/>
        <w:spacing w:line="240" w:lineRule="auto"/>
        <w:jc w:val="both"/>
        <w:textAlignment w:val="baseline"/>
        <w:rPr>
          <w:rFonts w:cs="Arial"/>
          <w:szCs w:val="20"/>
        </w:rPr>
      </w:pPr>
      <w:r w:rsidRPr="00D91956">
        <w:rPr>
          <w:rFonts w:cs="Arial"/>
          <w:szCs w:val="20"/>
        </w:rPr>
        <w:t>żużel (łącznie z rodzajem żużla, jeżeli jest znany),</w:t>
      </w:r>
    </w:p>
    <w:p w14:paraId="75F5BF8F" w14:textId="77777777" w:rsidR="00D91956" w:rsidRPr="00D91956" w:rsidRDefault="00D91956" w:rsidP="00CF1E7D">
      <w:pPr>
        <w:numPr>
          <w:ilvl w:val="0"/>
          <w:numId w:val="278"/>
        </w:numPr>
        <w:overflowPunct w:val="0"/>
        <w:autoSpaceDE w:val="0"/>
        <w:autoSpaceDN w:val="0"/>
        <w:adjustRightInd w:val="0"/>
        <w:spacing w:line="240" w:lineRule="auto"/>
        <w:jc w:val="both"/>
        <w:textAlignment w:val="baseline"/>
        <w:rPr>
          <w:rFonts w:cs="Arial"/>
          <w:szCs w:val="20"/>
        </w:rPr>
      </w:pPr>
      <w:r w:rsidRPr="00D91956">
        <w:rPr>
          <w:rFonts w:cs="Arial"/>
          <w:szCs w:val="20"/>
        </w:rPr>
        <w:t>cegły, mury i bloki betonowe,</w:t>
      </w:r>
    </w:p>
    <w:p w14:paraId="6FC2D20C" w14:textId="77777777" w:rsidR="00D91956" w:rsidRPr="00D91956" w:rsidRDefault="00D91956" w:rsidP="00CF1E7D">
      <w:pPr>
        <w:numPr>
          <w:ilvl w:val="0"/>
          <w:numId w:val="278"/>
        </w:numPr>
        <w:overflowPunct w:val="0"/>
        <w:autoSpaceDE w:val="0"/>
        <w:autoSpaceDN w:val="0"/>
        <w:adjustRightInd w:val="0"/>
        <w:spacing w:line="240" w:lineRule="auto"/>
        <w:jc w:val="both"/>
        <w:textAlignment w:val="baseline"/>
        <w:rPr>
          <w:rFonts w:cs="Arial"/>
          <w:szCs w:val="20"/>
        </w:rPr>
      </w:pPr>
      <w:r w:rsidRPr="00D91956">
        <w:rPr>
          <w:rFonts w:cs="Arial"/>
          <w:szCs w:val="20"/>
        </w:rPr>
        <w:t>mur z cegły wapienno-piaskowej,</w:t>
      </w:r>
    </w:p>
    <w:p w14:paraId="2001155D" w14:textId="77777777" w:rsidR="00D91956" w:rsidRPr="00D91956" w:rsidRDefault="00D91956" w:rsidP="00CF1E7D">
      <w:pPr>
        <w:numPr>
          <w:ilvl w:val="0"/>
          <w:numId w:val="278"/>
        </w:numPr>
        <w:overflowPunct w:val="0"/>
        <w:autoSpaceDE w:val="0"/>
        <w:autoSpaceDN w:val="0"/>
        <w:adjustRightInd w:val="0"/>
        <w:spacing w:line="240" w:lineRule="auto"/>
        <w:jc w:val="both"/>
        <w:textAlignment w:val="baseline"/>
        <w:rPr>
          <w:rFonts w:cs="Arial"/>
          <w:szCs w:val="20"/>
        </w:rPr>
      </w:pPr>
      <w:r w:rsidRPr="00D91956">
        <w:rPr>
          <w:rFonts w:cs="Arial"/>
          <w:szCs w:val="20"/>
        </w:rPr>
        <w:t>kruszywa lekkie,</w:t>
      </w:r>
    </w:p>
    <w:p w14:paraId="649D6620" w14:textId="77777777" w:rsidR="00D91956" w:rsidRPr="00D91956" w:rsidRDefault="00D91956" w:rsidP="00CF1E7D">
      <w:pPr>
        <w:numPr>
          <w:ilvl w:val="0"/>
          <w:numId w:val="278"/>
        </w:numPr>
        <w:overflowPunct w:val="0"/>
        <w:autoSpaceDE w:val="0"/>
        <w:autoSpaceDN w:val="0"/>
        <w:adjustRightInd w:val="0"/>
        <w:spacing w:line="240" w:lineRule="auto"/>
        <w:jc w:val="both"/>
        <w:textAlignment w:val="baseline"/>
        <w:rPr>
          <w:rFonts w:cs="Arial"/>
          <w:szCs w:val="20"/>
        </w:rPr>
      </w:pPr>
      <w:r w:rsidRPr="00D91956">
        <w:rPr>
          <w:rFonts w:cs="Arial"/>
          <w:szCs w:val="20"/>
        </w:rPr>
        <w:t>destrukt asfaltowy,</w:t>
      </w:r>
    </w:p>
    <w:p w14:paraId="0563D58F" w14:textId="77777777" w:rsidR="00D91956" w:rsidRPr="00D91956" w:rsidRDefault="00D91956" w:rsidP="00CF1E7D">
      <w:pPr>
        <w:numPr>
          <w:ilvl w:val="0"/>
          <w:numId w:val="278"/>
        </w:numPr>
        <w:overflowPunct w:val="0"/>
        <w:autoSpaceDE w:val="0"/>
        <w:autoSpaceDN w:val="0"/>
        <w:adjustRightInd w:val="0"/>
        <w:spacing w:line="240" w:lineRule="auto"/>
        <w:jc w:val="both"/>
        <w:textAlignment w:val="baseline"/>
        <w:rPr>
          <w:rFonts w:cs="Arial"/>
          <w:szCs w:val="20"/>
        </w:rPr>
      </w:pPr>
      <w:r w:rsidRPr="00D91956">
        <w:rPr>
          <w:rFonts w:cs="Arial"/>
          <w:szCs w:val="20"/>
        </w:rPr>
        <w:t>zanieczyszczenia organiczne – drewno, tworzywo sztuczne itp.</w:t>
      </w:r>
    </w:p>
    <w:p w14:paraId="6204930F" w14:textId="77777777" w:rsidR="00D91956" w:rsidRPr="00D91956" w:rsidRDefault="00D91956" w:rsidP="00D91956">
      <w:pPr>
        <w:spacing w:line="240" w:lineRule="auto"/>
        <w:ind w:firstLine="709"/>
        <w:rPr>
          <w:rFonts w:cs="Arial"/>
          <w:szCs w:val="20"/>
        </w:rPr>
      </w:pPr>
      <w:r w:rsidRPr="00D91956">
        <w:rPr>
          <w:rFonts w:cs="Arial"/>
          <w:szCs w:val="20"/>
        </w:rPr>
        <w:t>Należy określić masę m</w:t>
      </w:r>
      <w:r w:rsidRPr="00D91956">
        <w:rPr>
          <w:rFonts w:cs="Arial"/>
          <w:szCs w:val="20"/>
          <w:vertAlign w:val="subscript"/>
        </w:rPr>
        <w:t xml:space="preserve">i  </w:t>
      </w:r>
      <w:r w:rsidRPr="00D91956">
        <w:rPr>
          <w:rFonts w:cs="Arial"/>
          <w:szCs w:val="20"/>
        </w:rPr>
        <w:t>każdej wydzielonej grupy i obliczyć jej procentową zawartość w całej masie mieszanki M, według poniższego wzoru, oraz podać tę wartość:</w:t>
      </w:r>
    </w:p>
    <w:p w14:paraId="648A848F" w14:textId="77777777" w:rsidR="00D91956" w:rsidRPr="00D91956" w:rsidRDefault="00D91956" w:rsidP="00D91956">
      <w:pPr>
        <w:spacing w:line="240" w:lineRule="auto"/>
        <w:rPr>
          <w:rFonts w:cs="Arial"/>
          <w:szCs w:val="20"/>
        </w:rPr>
      </w:pPr>
      <w:r w:rsidRPr="00D91956">
        <w:rPr>
          <w:rFonts w:cs="Arial"/>
          <w:b/>
          <w:szCs w:val="20"/>
        </w:rPr>
        <w:tab/>
      </w:r>
      <w:r w:rsidRPr="00D91956">
        <w:rPr>
          <w:rFonts w:cs="Arial"/>
          <w:b/>
          <w:szCs w:val="20"/>
        </w:rPr>
        <w:tab/>
      </w:r>
      <w:r w:rsidRPr="00D91956">
        <w:rPr>
          <w:rFonts w:cs="Arial"/>
          <w:b/>
          <w:szCs w:val="20"/>
        </w:rPr>
        <w:tab/>
      </w:r>
      <w:r w:rsidRPr="00D91956">
        <w:rPr>
          <w:rFonts w:cs="Arial"/>
          <w:b/>
          <w:szCs w:val="20"/>
        </w:rPr>
        <w:tab/>
      </w:r>
      <w:r w:rsidRPr="00D91956">
        <w:rPr>
          <w:rFonts w:cs="Arial"/>
          <w:b/>
          <w:szCs w:val="20"/>
        </w:rPr>
        <w:tab/>
      </w:r>
      <w:r w:rsidRPr="00D91956">
        <w:rPr>
          <w:rFonts w:cs="Arial"/>
          <w:szCs w:val="20"/>
        </w:rPr>
        <w:t>100  ×  m</w:t>
      </w:r>
      <w:r w:rsidRPr="00D91956">
        <w:rPr>
          <w:rFonts w:cs="Arial"/>
          <w:szCs w:val="20"/>
          <w:vertAlign w:val="subscript"/>
        </w:rPr>
        <w:t xml:space="preserve">i </w:t>
      </w:r>
      <w:r w:rsidRPr="00D91956">
        <w:rPr>
          <w:rFonts w:cs="Arial"/>
          <w:szCs w:val="20"/>
        </w:rPr>
        <w:t>/ M     [%(m/m)]</w:t>
      </w:r>
    </w:p>
    <w:p w14:paraId="310C412F" w14:textId="77777777" w:rsidR="00D91956" w:rsidRPr="00D91956" w:rsidRDefault="00D91956" w:rsidP="00D91956">
      <w:pPr>
        <w:pStyle w:val="Nagwek2"/>
        <w:spacing w:line="240" w:lineRule="auto"/>
        <w:rPr>
          <w:rFonts w:cs="Arial"/>
          <w:szCs w:val="20"/>
        </w:rPr>
      </w:pPr>
      <w:r w:rsidRPr="00D91956">
        <w:rPr>
          <w:rFonts w:cs="Arial"/>
          <w:szCs w:val="20"/>
        </w:rPr>
        <w:t>1.3. Składy mieszanek kruszyw z recyklingu</w:t>
      </w:r>
    </w:p>
    <w:p w14:paraId="0714C526" w14:textId="429A6EB1" w:rsidR="00D91956" w:rsidRPr="00D91956" w:rsidRDefault="00D91956" w:rsidP="00D91956">
      <w:pPr>
        <w:spacing w:line="240" w:lineRule="auto"/>
        <w:rPr>
          <w:rFonts w:cs="Arial"/>
          <w:szCs w:val="20"/>
        </w:rPr>
      </w:pPr>
      <w:r w:rsidRPr="00D91956">
        <w:rPr>
          <w:rFonts w:cs="Arial"/>
          <w:szCs w:val="20"/>
        </w:rPr>
        <w:t>(Uwaga: Gęstość materiałów podana w tablicach jest gęstością ziaren suszonych w suszarce laboratoryjnej, ustalana wg PN-EN 1097-6 [13])</w:t>
      </w:r>
    </w:p>
    <w:p w14:paraId="42DBF72E" w14:textId="77777777" w:rsidR="00D91956" w:rsidRPr="00D91956" w:rsidRDefault="00D91956" w:rsidP="00D91956">
      <w:pPr>
        <w:spacing w:line="240" w:lineRule="auto"/>
        <w:rPr>
          <w:rFonts w:cs="Arial"/>
          <w:szCs w:val="20"/>
        </w:rPr>
      </w:pPr>
    </w:p>
    <w:p w14:paraId="0BA67848" w14:textId="77777777" w:rsidR="00D91956" w:rsidRPr="00D91956" w:rsidRDefault="00D91956" w:rsidP="00D91956">
      <w:pPr>
        <w:spacing w:after="120" w:line="240" w:lineRule="auto"/>
        <w:rPr>
          <w:rFonts w:cs="Arial"/>
          <w:szCs w:val="20"/>
        </w:rPr>
      </w:pPr>
      <w:r w:rsidRPr="00D91956">
        <w:rPr>
          <w:rFonts w:cs="Arial"/>
          <w:szCs w:val="20"/>
        </w:rPr>
        <w:t xml:space="preserve">Tablica 1.1. Mieszanki z betonu </w:t>
      </w:r>
      <w:proofErr w:type="spellStart"/>
      <w:r w:rsidRPr="00D91956">
        <w:rPr>
          <w:rFonts w:cs="Arial"/>
          <w:szCs w:val="20"/>
        </w:rPr>
        <w:t>przekruszonego</w:t>
      </w:r>
      <w:proofErr w:type="spellEnd"/>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D91956" w:rsidRPr="00D91956" w14:paraId="32896FE8" w14:textId="77777777" w:rsidTr="007B6855">
        <w:tc>
          <w:tcPr>
            <w:tcW w:w="7184" w:type="dxa"/>
            <w:gridSpan w:val="2"/>
          </w:tcPr>
          <w:p w14:paraId="0C610A19" w14:textId="77777777" w:rsidR="00D91956" w:rsidRPr="00D91956" w:rsidRDefault="00D91956" w:rsidP="00D91956">
            <w:pPr>
              <w:spacing w:before="120" w:line="240" w:lineRule="auto"/>
              <w:jc w:val="center"/>
              <w:rPr>
                <w:rFonts w:cs="Arial"/>
                <w:szCs w:val="20"/>
              </w:rPr>
            </w:pPr>
            <w:r w:rsidRPr="00D91956">
              <w:rPr>
                <w:rFonts w:cs="Arial"/>
                <w:szCs w:val="20"/>
              </w:rPr>
              <w:t>Składniki</w:t>
            </w:r>
          </w:p>
        </w:tc>
        <w:tc>
          <w:tcPr>
            <w:tcW w:w="1684" w:type="dxa"/>
          </w:tcPr>
          <w:p w14:paraId="01CD0D72" w14:textId="77777777" w:rsidR="00D91956" w:rsidRPr="00D91956" w:rsidRDefault="00D91956" w:rsidP="00D91956">
            <w:pPr>
              <w:spacing w:line="240" w:lineRule="auto"/>
              <w:jc w:val="center"/>
              <w:rPr>
                <w:rFonts w:cs="Arial"/>
                <w:szCs w:val="20"/>
              </w:rPr>
            </w:pPr>
            <w:r w:rsidRPr="00D91956">
              <w:rPr>
                <w:rFonts w:cs="Arial"/>
                <w:szCs w:val="20"/>
              </w:rPr>
              <w:t>Zawartość, [%(m/m)]</w:t>
            </w:r>
          </w:p>
        </w:tc>
      </w:tr>
      <w:tr w:rsidR="00D91956" w:rsidRPr="00D91956" w14:paraId="4C0129B6" w14:textId="77777777" w:rsidTr="007B6855">
        <w:tc>
          <w:tcPr>
            <w:tcW w:w="2748" w:type="dxa"/>
          </w:tcPr>
          <w:p w14:paraId="5D96F88A" w14:textId="77777777" w:rsidR="00D91956" w:rsidRPr="00D91956" w:rsidRDefault="00D91956" w:rsidP="00D91956">
            <w:pPr>
              <w:spacing w:before="120" w:line="240" w:lineRule="auto"/>
              <w:rPr>
                <w:rFonts w:cs="Arial"/>
                <w:szCs w:val="20"/>
              </w:rPr>
            </w:pPr>
            <w:r w:rsidRPr="00D91956">
              <w:rPr>
                <w:rFonts w:cs="Arial"/>
                <w:szCs w:val="20"/>
              </w:rPr>
              <w:t>Główne składniki</w:t>
            </w:r>
          </w:p>
        </w:tc>
        <w:tc>
          <w:tcPr>
            <w:tcW w:w="4436" w:type="dxa"/>
          </w:tcPr>
          <w:p w14:paraId="03C9AE23" w14:textId="77777777" w:rsidR="00D91956" w:rsidRPr="00D91956" w:rsidRDefault="00D91956" w:rsidP="00D91956">
            <w:pPr>
              <w:spacing w:line="240" w:lineRule="auto"/>
              <w:rPr>
                <w:rFonts w:cs="Arial"/>
                <w:szCs w:val="20"/>
                <w:vertAlign w:val="superscript"/>
              </w:rPr>
            </w:pPr>
            <w:proofErr w:type="spellStart"/>
            <w:r w:rsidRPr="00D91956">
              <w:rPr>
                <w:rFonts w:cs="Arial"/>
                <w:szCs w:val="20"/>
              </w:rPr>
              <w:t>Przekruszony</w:t>
            </w:r>
            <w:proofErr w:type="spellEnd"/>
            <w:r w:rsidRPr="00D91956">
              <w:rPr>
                <w:rFonts w:cs="Arial"/>
                <w:szCs w:val="20"/>
              </w:rPr>
              <w:t xml:space="preserve"> beton (o gęstości &gt; 2,1 Mg/m</w:t>
            </w:r>
            <w:r w:rsidRPr="00D91956">
              <w:rPr>
                <w:rFonts w:cs="Arial"/>
                <w:szCs w:val="20"/>
                <w:vertAlign w:val="superscript"/>
              </w:rPr>
              <w:t>3</w:t>
            </w:r>
            <w:r w:rsidRPr="00D91956">
              <w:rPr>
                <w:rFonts w:cs="Arial"/>
                <w:szCs w:val="20"/>
              </w:rPr>
              <w:t>) i kruszywo (łącznie z żużlem)</w:t>
            </w:r>
          </w:p>
        </w:tc>
        <w:tc>
          <w:tcPr>
            <w:tcW w:w="1684" w:type="dxa"/>
          </w:tcPr>
          <w:p w14:paraId="6B2A2CAF" w14:textId="77777777" w:rsidR="00D91956" w:rsidRPr="00D91956" w:rsidRDefault="00D91956" w:rsidP="00D91956">
            <w:pPr>
              <w:spacing w:before="120" w:line="240" w:lineRule="auto"/>
              <w:jc w:val="center"/>
              <w:rPr>
                <w:rFonts w:cs="Arial"/>
                <w:szCs w:val="20"/>
              </w:rPr>
            </w:pPr>
            <w:r w:rsidRPr="00D91956">
              <w:rPr>
                <w:rFonts w:cs="Arial"/>
                <w:szCs w:val="20"/>
              </w:rPr>
              <w:t>≥ 90</w:t>
            </w:r>
          </w:p>
        </w:tc>
      </w:tr>
      <w:tr w:rsidR="00D91956" w:rsidRPr="00D91956" w14:paraId="49C57529" w14:textId="77777777" w:rsidTr="007B6855">
        <w:tc>
          <w:tcPr>
            <w:tcW w:w="2748" w:type="dxa"/>
            <w:vMerge w:val="restart"/>
          </w:tcPr>
          <w:p w14:paraId="63AA19EF" w14:textId="77777777" w:rsidR="00D91956" w:rsidRPr="00D91956" w:rsidRDefault="00D91956" w:rsidP="00D91956">
            <w:pPr>
              <w:spacing w:before="120" w:line="240" w:lineRule="auto"/>
              <w:rPr>
                <w:rFonts w:cs="Arial"/>
                <w:szCs w:val="20"/>
              </w:rPr>
            </w:pPr>
            <w:r w:rsidRPr="00D91956">
              <w:rPr>
                <w:rFonts w:cs="Arial"/>
                <w:szCs w:val="20"/>
              </w:rPr>
              <w:t>Inne materiały ziarniste</w:t>
            </w:r>
          </w:p>
        </w:tc>
        <w:tc>
          <w:tcPr>
            <w:tcW w:w="4436" w:type="dxa"/>
          </w:tcPr>
          <w:p w14:paraId="0FB1D878" w14:textId="77777777" w:rsidR="00D91956" w:rsidRPr="00D91956" w:rsidRDefault="00D91956" w:rsidP="00D91956">
            <w:pPr>
              <w:spacing w:line="240" w:lineRule="auto"/>
              <w:rPr>
                <w:rFonts w:cs="Arial"/>
                <w:szCs w:val="20"/>
              </w:rPr>
            </w:pPr>
            <w:proofErr w:type="spellStart"/>
            <w:r w:rsidRPr="00D91956">
              <w:rPr>
                <w:rFonts w:cs="Arial"/>
                <w:szCs w:val="20"/>
              </w:rPr>
              <w:t>Przekruszony</w:t>
            </w:r>
            <w:proofErr w:type="spellEnd"/>
            <w:r w:rsidRPr="00D91956">
              <w:rPr>
                <w:rFonts w:cs="Arial"/>
                <w:szCs w:val="20"/>
              </w:rPr>
              <w:t xml:space="preserve"> mur</w:t>
            </w:r>
          </w:p>
        </w:tc>
        <w:tc>
          <w:tcPr>
            <w:tcW w:w="1684" w:type="dxa"/>
          </w:tcPr>
          <w:p w14:paraId="34CA23A0" w14:textId="77777777" w:rsidR="00D91956" w:rsidRPr="00D91956" w:rsidRDefault="00D91956" w:rsidP="00D91956">
            <w:pPr>
              <w:spacing w:line="240" w:lineRule="auto"/>
              <w:jc w:val="center"/>
              <w:rPr>
                <w:rFonts w:cs="Arial"/>
                <w:szCs w:val="20"/>
              </w:rPr>
            </w:pPr>
            <w:r w:rsidRPr="00D91956">
              <w:rPr>
                <w:rFonts w:cs="Arial"/>
                <w:szCs w:val="20"/>
              </w:rPr>
              <w:t>≤ 10</w:t>
            </w:r>
          </w:p>
        </w:tc>
      </w:tr>
      <w:tr w:rsidR="00D91956" w:rsidRPr="00D91956" w14:paraId="4F0F52F9" w14:textId="77777777" w:rsidTr="007B6855">
        <w:tc>
          <w:tcPr>
            <w:tcW w:w="2748" w:type="dxa"/>
            <w:vMerge/>
          </w:tcPr>
          <w:p w14:paraId="372C7D09" w14:textId="77777777" w:rsidR="00D91956" w:rsidRPr="00D91956" w:rsidRDefault="00D91956" w:rsidP="00D91956">
            <w:pPr>
              <w:spacing w:before="120" w:line="240" w:lineRule="auto"/>
              <w:rPr>
                <w:rFonts w:cs="Arial"/>
                <w:szCs w:val="20"/>
              </w:rPr>
            </w:pPr>
          </w:p>
        </w:tc>
        <w:tc>
          <w:tcPr>
            <w:tcW w:w="4436" w:type="dxa"/>
          </w:tcPr>
          <w:p w14:paraId="40C5A5A0" w14:textId="77777777" w:rsidR="00D91956" w:rsidRPr="00D91956" w:rsidRDefault="00D91956" w:rsidP="00D91956">
            <w:pPr>
              <w:spacing w:line="240" w:lineRule="auto"/>
              <w:rPr>
                <w:rFonts w:cs="Arial"/>
                <w:szCs w:val="20"/>
              </w:rPr>
            </w:pPr>
            <w:r w:rsidRPr="00D91956">
              <w:rPr>
                <w:rFonts w:cs="Arial"/>
                <w:szCs w:val="20"/>
              </w:rPr>
              <w:t>Destrukt asfaltowy</w:t>
            </w:r>
          </w:p>
        </w:tc>
        <w:tc>
          <w:tcPr>
            <w:tcW w:w="1684" w:type="dxa"/>
          </w:tcPr>
          <w:p w14:paraId="796FBF6B" w14:textId="77777777" w:rsidR="00D91956" w:rsidRPr="00D91956" w:rsidRDefault="00D91956" w:rsidP="00D91956">
            <w:pPr>
              <w:spacing w:line="240" w:lineRule="auto"/>
              <w:jc w:val="center"/>
              <w:rPr>
                <w:rFonts w:cs="Arial"/>
                <w:szCs w:val="20"/>
              </w:rPr>
            </w:pPr>
            <w:r w:rsidRPr="00D91956">
              <w:rPr>
                <w:rFonts w:cs="Arial"/>
                <w:szCs w:val="20"/>
              </w:rPr>
              <w:t>≤ 15</w:t>
            </w:r>
          </w:p>
        </w:tc>
      </w:tr>
      <w:tr w:rsidR="00D91956" w:rsidRPr="00D91956" w14:paraId="07CD5AAD" w14:textId="77777777" w:rsidTr="007B6855">
        <w:tc>
          <w:tcPr>
            <w:tcW w:w="2748" w:type="dxa"/>
            <w:vMerge w:val="restart"/>
          </w:tcPr>
          <w:p w14:paraId="19EEF1E7" w14:textId="77777777" w:rsidR="00D91956" w:rsidRPr="00D91956" w:rsidRDefault="00D91956" w:rsidP="00D91956">
            <w:pPr>
              <w:spacing w:before="120" w:line="240" w:lineRule="auto"/>
              <w:rPr>
                <w:rFonts w:cs="Arial"/>
                <w:szCs w:val="20"/>
              </w:rPr>
            </w:pPr>
            <w:r w:rsidRPr="00D91956">
              <w:rPr>
                <w:rFonts w:cs="Arial"/>
                <w:szCs w:val="20"/>
              </w:rPr>
              <w:t>Zanieczyszczenia</w:t>
            </w:r>
          </w:p>
        </w:tc>
        <w:tc>
          <w:tcPr>
            <w:tcW w:w="4436" w:type="dxa"/>
          </w:tcPr>
          <w:p w14:paraId="7EC2DD6B" w14:textId="77777777" w:rsidR="00D91956" w:rsidRPr="00D91956" w:rsidRDefault="00D91956" w:rsidP="00D91956">
            <w:pPr>
              <w:spacing w:line="240" w:lineRule="auto"/>
              <w:rPr>
                <w:rFonts w:cs="Arial"/>
                <w:szCs w:val="20"/>
              </w:rPr>
            </w:pPr>
            <w:r w:rsidRPr="00D91956">
              <w:rPr>
                <w:rFonts w:cs="Arial"/>
                <w:szCs w:val="20"/>
              </w:rPr>
              <w:t>Składniki spoiste (łącznie z gliną)</w:t>
            </w:r>
          </w:p>
        </w:tc>
        <w:tc>
          <w:tcPr>
            <w:tcW w:w="1684" w:type="dxa"/>
          </w:tcPr>
          <w:p w14:paraId="14B53C0C" w14:textId="77777777" w:rsidR="00D91956" w:rsidRPr="00D91956" w:rsidRDefault="00D91956" w:rsidP="00D91956">
            <w:pPr>
              <w:spacing w:line="240" w:lineRule="auto"/>
              <w:jc w:val="center"/>
              <w:rPr>
                <w:rFonts w:cs="Arial"/>
                <w:szCs w:val="20"/>
              </w:rPr>
            </w:pPr>
            <w:r w:rsidRPr="00D91956">
              <w:rPr>
                <w:rFonts w:cs="Arial"/>
                <w:szCs w:val="20"/>
              </w:rPr>
              <w:t>≤ 1</w:t>
            </w:r>
          </w:p>
        </w:tc>
      </w:tr>
      <w:tr w:rsidR="00D91956" w:rsidRPr="00D91956" w14:paraId="2E9BC558" w14:textId="77777777" w:rsidTr="007B6855">
        <w:tc>
          <w:tcPr>
            <w:tcW w:w="2748" w:type="dxa"/>
            <w:vMerge/>
          </w:tcPr>
          <w:p w14:paraId="6C1C48CE" w14:textId="77777777" w:rsidR="00D91956" w:rsidRPr="00D91956" w:rsidRDefault="00D91956" w:rsidP="00D91956">
            <w:pPr>
              <w:spacing w:line="240" w:lineRule="auto"/>
              <w:rPr>
                <w:rFonts w:cs="Arial"/>
                <w:szCs w:val="20"/>
              </w:rPr>
            </w:pPr>
          </w:p>
        </w:tc>
        <w:tc>
          <w:tcPr>
            <w:tcW w:w="4436" w:type="dxa"/>
          </w:tcPr>
          <w:p w14:paraId="1421FC40" w14:textId="77777777" w:rsidR="00D91956" w:rsidRPr="00D91956" w:rsidRDefault="00D91956" w:rsidP="00D91956">
            <w:pPr>
              <w:spacing w:line="240" w:lineRule="auto"/>
              <w:rPr>
                <w:rFonts w:cs="Arial"/>
                <w:szCs w:val="20"/>
              </w:rPr>
            </w:pPr>
            <w:r w:rsidRPr="00D91956">
              <w:rPr>
                <w:rFonts w:cs="Arial"/>
                <w:szCs w:val="20"/>
              </w:rPr>
              <w:t>Składniki organiczne</w:t>
            </w:r>
          </w:p>
        </w:tc>
        <w:tc>
          <w:tcPr>
            <w:tcW w:w="1684" w:type="dxa"/>
          </w:tcPr>
          <w:p w14:paraId="76D6EF00" w14:textId="77777777" w:rsidR="00D91956" w:rsidRPr="00D91956" w:rsidRDefault="00D91956" w:rsidP="00D91956">
            <w:pPr>
              <w:spacing w:line="240" w:lineRule="auto"/>
              <w:jc w:val="center"/>
              <w:rPr>
                <w:rFonts w:cs="Arial"/>
                <w:szCs w:val="20"/>
              </w:rPr>
            </w:pPr>
            <w:r w:rsidRPr="00D91956">
              <w:rPr>
                <w:rFonts w:cs="Arial"/>
                <w:szCs w:val="20"/>
              </w:rPr>
              <w:t>≤ 0,1</w:t>
            </w:r>
          </w:p>
        </w:tc>
      </w:tr>
    </w:tbl>
    <w:p w14:paraId="70245CD6" w14:textId="77777777" w:rsidR="008F5EED" w:rsidRDefault="008F5EED" w:rsidP="00D91956">
      <w:pPr>
        <w:spacing w:before="120" w:after="120" w:line="240" w:lineRule="auto"/>
        <w:rPr>
          <w:rFonts w:cs="Arial"/>
          <w:szCs w:val="20"/>
        </w:rPr>
      </w:pPr>
    </w:p>
    <w:p w14:paraId="28EE7BA4" w14:textId="70C27C38" w:rsidR="00D91956" w:rsidRPr="00D91956" w:rsidRDefault="00D91956" w:rsidP="00D91956">
      <w:pPr>
        <w:spacing w:before="120" w:after="120" w:line="240" w:lineRule="auto"/>
        <w:rPr>
          <w:rFonts w:cs="Arial"/>
          <w:szCs w:val="20"/>
        </w:rPr>
      </w:pPr>
      <w:r w:rsidRPr="00D91956">
        <w:rPr>
          <w:rFonts w:cs="Arial"/>
          <w:szCs w:val="20"/>
        </w:rPr>
        <w:lastRenderedPageBreak/>
        <w:t xml:space="preserve">Tablica 1.2. Mieszanki z </w:t>
      </w:r>
      <w:proofErr w:type="spellStart"/>
      <w:r w:rsidRPr="00D91956">
        <w:rPr>
          <w:rFonts w:cs="Arial"/>
          <w:szCs w:val="20"/>
        </w:rPr>
        <w:t>przekruszonego</w:t>
      </w:r>
      <w:proofErr w:type="spellEnd"/>
      <w:r w:rsidRPr="00D91956">
        <w:rPr>
          <w:rFonts w:cs="Arial"/>
          <w:szCs w:val="20"/>
        </w:rPr>
        <w:t xml:space="preserve">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D91956" w:rsidRPr="00D91956" w14:paraId="7C62A54A" w14:textId="77777777" w:rsidTr="007B6855">
        <w:tc>
          <w:tcPr>
            <w:tcW w:w="7188" w:type="dxa"/>
            <w:gridSpan w:val="2"/>
          </w:tcPr>
          <w:p w14:paraId="6009FEAB" w14:textId="77777777" w:rsidR="00D91956" w:rsidRPr="00D91956" w:rsidRDefault="00D91956" w:rsidP="00D91956">
            <w:pPr>
              <w:spacing w:before="120" w:line="240" w:lineRule="auto"/>
              <w:jc w:val="center"/>
              <w:rPr>
                <w:rFonts w:cs="Arial"/>
                <w:szCs w:val="20"/>
              </w:rPr>
            </w:pPr>
            <w:r w:rsidRPr="00D91956">
              <w:rPr>
                <w:rFonts w:cs="Arial"/>
                <w:szCs w:val="20"/>
              </w:rPr>
              <w:t>Składniki</w:t>
            </w:r>
          </w:p>
        </w:tc>
        <w:tc>
          <w:tcPr>
            <w:tcW w:w="1680" w:type="dxa"/>
          </w:tcPr>
          <w:p w14:paraId="7A7BD9E2" w14:textId="77777777" w:rsidR="00D91956" w:rsidRPr="00D91956" w:rsidRDefault="00D91956" w:rsidP="00D91956">
            <w:pPr>
              <w:spacing w:line="240" w:lineRule="auto"/>
              <w:jc w:val="center"/>
              <w:rPr>
                <w:rFonts w:cs="Arial"/>
                <w:szCs w:val="20"/>
              </w:rPr>
            </w:pPr>
            <w:r w:rsidRPr="00D91956">
              <w:rPr>
                <w:rFonts w:cs="Arial"/>
                <w:szCs w:val="20"/>
              </w:rPr>
              <w:t>Zawartość, [%(m/m)]</w:t>
            </w:r>
          </w:p>
        </w:tc>
      </w:tr>
      <w:tr w:rsidR="00D91956" w:rsidRPr="00D91956" w14:paraId="5A990B23" w14:textId="77777777" w:rsidTr="007B6855">
        <w:tc>
          <w:tcPr>
            <w:tcW w:w="2748" w:type="dxa"/>
          </w:tcPr>
          <w:p w14:paraId="6F6C0130" w14:textId="77777777" w:rsidR="00D91956" w:rsidRPr="00D91956" w:rsidRDefault="00D91956" w:rsidP="00D91956">
            <w:pPr>
              <w:spacing w:before="120" w:line="240" w:lineRule="auto"/>
              <w:rPr>
                <w:rFonts w:cs="Arial"/>
                <w:szCs w:val="20"/>
              </w:rPr>
            </w:pPr>
            <w:r w:rsidRPr="00D91956">
              <w:rPr>
                <w:rFonts w:cs="Arial"/>
                <w:szCs w:val="20"/>
              </w:rPr>
              <w:t>Główne składniki</w:t>
            </w:r>
          </w:p>
        </w:tc>
        <w:tc>
          <w:tcPr>
            <w:tcW w:w="4440" w:type="dxa"/>
          </w:tcPr>
          <w:p w14:paraId="1D7691A4" w14:textId="77777777" w:rsidR="00D91956" w:rsidRPr="00D91956" w:rsidRDefault="00D91956" w:rsidP="00D91956">
            <w:pPr>
              <w:spacing w:line="240" w:lineRule="auto"/>
              <w:rPr>
                <w:rFonts w:cs="Arial"/>
                <w:szCs w:val="20"/>
                <w:vertAlign w:val="superscript"/>
              </w:rPr>
            </w:pPr>
            <w:proofErr w:type="spellStart"/>
            <w:r w:rsidRPr="00D91956">
              <w:rPr>
                <w:rFonts w:cs="Arial"/>
                <w:szCs w:val="20"/>
              </w:rPr>
              <w:t>Przekruszony</w:t>
            </w:r>
            <w:proofErr w:type="spellEnd"/>
            <w:r w:rsidRPr="00D91956">
              <w:rPr>
                <w:rFonts w:cs="Arial"/>
                <w:szCs w:val="20"/>
              </w:rPr>
              <w:t xml:space="preserve"> mur (gęstość &gt; 1,6 Mg/m</w:t>
            </w:r>
            <w:r w:rsidRPr="00D91956">
              <w:rPr>
                <w:rFonts w:cs="Arial"/>
                <w:szCs w:val="20"/>
                <w:vertAlign w:val="superscript"/>
              </w:rPr>
              <w:t>3</w:t>
            </w:r>
            <w:r w:rsidRPr="00D91956">
              <w:rPr>
                <w:rFonts w:cs="Arial"/>
                <w:szCs w:val="20"/>
              </w:rPr>
              <w:t xml:space="preserve">), </w:t>
            </w:r>
            <w:proofErr w:type="spellStart"/>
            <w:r w:rsidRPr="00D91956">
              <w:rPr>
                <w:rFonts w:cs="Arial"/>
                <w:szCs w:val="20"/>
              </w:rPr>
              <w:t>przekruszony</w:t>
            </w:r>
            <w:proofErr w:type="spellEnd"/>
            <w:r w:rsidRPr="00D91956">
              <w:rPr>
                <w:rFonts w:cs="Arial"/>
                <w:szCs w:val="20"/>
              </w:rPr>
              <w:t xml:space="preserve"> beton (gęstość &gt; 2,1 Mg/m</w:t>
            </w:r>
            <w:r w:rsidRPr="00D91956">
              <w:rPr>
                <w:rFonts w:cs="Arial"/>
                <w:szCs w:val="20"/>
                <w:vertAlign w:val="superscript"/>
              </w:rPr>
              <w:t>3</w:t>
            </w:r>
            <w:r w:rsidRPr="00D91956">
              <w:rPr>
                <w:rFonts w:cs="Arial"/>
                <w:szCs w:val="20"/>
              </w:rPr>
              <w:t>),   i kruszywo (łącznie z żużlem)</w:t>
            </w:r>
          </w:p>
        </w:tc>
        <w:tc>
          <w:tcPr>
            <w:tcW w:w="1680" w:type="dxa"/>
          </w:tcPr>
          <w:p w14:paraId="68BDF626" w14:textId="77777777" w:rsidR="00D91956" w:rsidRPr="00D91956" w:rsidRDefault="00D91956" w:rsidP="00D91956">
            <w:pPr>
              <w:spacing w:before="120" w:line="240" w:lineRule="auto"/>
              <w:jc w:val="center"/>
              <w:rPr>
                <w:rFonts w:cs="Arial"/>
                <w:szCs w:val="20"/>
              </w:rPr>
            </w:pPr>
            <w:r w:rsidRPr="00D91956">
              <w:rPr>
                <w:rFonts w:cs="Arial"/>
                <w:szCs w:val="20"/>
              </w:rPr>
              <w:t>≥ 80</w:t>
            </w:r>
          </w:p>
        </w:tc>
      </w:tr>
      <w:tr w:rsidR="00D91956" w:rsidRPr="00D91956" w14:paraId="2F247F6C" w14:textId="77777777" w:rsidTr="007B6855">
        <w:tc>
          <w:tcPr>
            <w:tcW w:w="2748" w:type="dxa"/>
            <w:vMerge w:val="restart"/>
          </w:tcPr>
          <w:p w14:paraId="3C4D16CE" w14:textId="77777777" w:rsidR="00D91956" w:rsidRPr="00D91956" w:rsidRDefault="00D91956" w:rsidP="00D91956">
            <w:pPr>
              <w:spacing w:before="120" w:line="240" w:lineRule="auto"/>
              <w:rPr>
                <w:rFonts w:cs="Arial"/>
                <w:szCs w:val="20"/>
              </w:rPr>
            </w:pPr>
            <w:r w:rsidRPr="00D91956">
              <w:rPr>
                <w:rFonts w:cs="Arial"/>
                <w:szCs w:val="20"/>
              </w:rPr>
              <w:t>Inne materiały ziarniste</w:t>
            </w:r>
          </w:p>
        </w:tc>
        <w:tc>
          <w:tcPr>
            <w:tcW w:w="4440" w:type="dxa"/>
          </w:tcPr>
          <w:p w14:paraId="7470B58C" w14:textId="77777777" w:rsidR="00D91956" w:rsidRPr="00D91956" w:rsidRDefault="00D91956" w:rsidP="00D91956">
            <w:pPr>
              <w:spacing w:line="240" w:lineRule="auto"/>
              <w:rPr>
                <w:rFonts w:cs="Arial"/>
                <w:szCs w:val="20"/>
              </w:rPr>
            </w:pPr>
            <w:r w:rsidRPr="00D91956">
              <w:rPr>
                <w:rFonts w:cs="Arial"/>
                <w:szCs w:val="20"/>
              </w:rPr>
              <w:t>Materiały ziarniste o gęstości &lt; 1,6 Mg/m</w:t>
            </w:r>
            <w:r w:rsidRPr="00D91956">
              <w:rPr>
                <w:rFonts w:cs="Arial"/>
                <w:szCs w:val="20"/>
                <w:vertAlign w:val="superscript"/>
              </w:rPr>
              <w:t>3</w:t>
            </w:r>
          </w:p>
        </w:tc>
        <w:tc>
          <w:tcPr>
            <w:tcW w:w="1680" w:type="dxa"/>
          </w:tcPr>
          <w:p w14:paraId="22F1BE76" w14:textId="77777777" w:rsidR="00D91956" w:rsidRPr="00D91956" w:rsidRDefault="00D91956" w:rsidP="00D91956">
            <w:pPr>
              <w:spacing w:line="240" w:lineRule="auto"/>
              <w:jc w:val="center"/>
              <w:rPr>
                <w:rFonts w:cs="Arial"/>
                <w:szCs w:val="20"/>
              </w:rPr>
            </w:pPr>
            <w:r w:rsidRPr="00D91956">
              <w:rPr>
                <w:rFonts w:cs="Arial"/>
                <w:szCs w:val="20"/>
              </w:rPr>
              <w:t>≤ 20</w:t>
            </w:r>
          </w:p>
        </w:tc>
      </w:tr>
      <w:tr w:rsidR="00D91956" w:rsidRPr="00D91956" w14:paraId="338C0431" w14:textId="77777777" w:rsidTr="007B6855">
        <w:tc>
          <w:tcPr>
            <w:tcW w:w="2748" w:type="dxa"/>
            <w:vMerge/>
          </w:tcPr>
          <w:p w14:paraId="263921CF" w14:textId="77777777" w:rsidR="00D91956" w:rsidRPr="00D91956" w:rsidRDefault="00D91956" w:rsidP="00D91956">
            <w:pPr>
              <w:spacing w:before="120" w:line="240" w:lineRule="auto"/>
              <w:rPr>
                <w:rFonts w:cs="Arial"/>
                <w:szCs w:val="20"/>
              </w:rPr>
            </w:pPr>
          </w:p>
        </w:tc>
        <w:tc>
          <w:tcPr>
            <w:tcW w:w="4440" w:type="dxa"/>
          </w:tcPr>
          <w:p w14:paraId="78D2D84A" w14:textId="77777777" w:rsidR="00D91956" w:rsidRPr="00D91956" w:rsidRDefault="00D91956" w:rsidP="00D91956">
            <w:pPr>
              <w:spacing w:line="240" w:lineRule="auto"/>
              <w:rPr>
                <w:rFonts w:cs="Arial"/>
                <w:szCs w:val="20"/>
              </w:rPr>
            </w:pPr>
            <w:r w:rsidRPr="00D91956">
              <w:rPr>
                <w:rFonts w:cs="Arial"/>
                <w:szCs w:val="20"/>
              </w:rPr>
              <w:t>Destrukt asfaltowy</w:t>
            </w:r>
          </w:p>
        </w:tc>
        <w:tc>
          <w:tcPr>
            <w:tcW w:w="1680" w:type="dxa"/>
          </w:tcPr>
          <w:p w14:paraId="4BC083C5" w14:textId="77777777" w:rsidR="00D91956" w:rsidRPr="00D91956" w:rsidRDefault="00D91956" w:rsidP="00D91956">
            <w:pPr>
              <w:spacing w:line="240" w:lineRule="auto"/>
              <w:jc w:val="center"/>
              <w:rPr>
                <w:rFonts w:cs="Arial"/>
                <w:szCs w:val="20"/>
              </w:rPr>
            </w:pPr>
            <w:r w:rsidRPr="00D91956">
              <w:rPr>
                <w:rFonts w:cs="Arial"/>
                <w:szCs w:val="20"/>
              </w:rPr>
              <w:t>≤ 5</w:t>
            </w:r>
          </w:p>
        </w:tc>
      </w:tr>
      <w:tr w:rsidR="00D91956" w:rsidRPr="00D91956" w14:paraId="0A571D81" w14:textId="77777777" w:rsidTr="007B6855">
        <w:tc>
          <w:tcPr>
            <w:tcW w:w="2748" w:type="dxa"/>
            <w:vMerge w:val="restart"/>
          </w:tcPr>
          <w:p w14:paraId="1D89ADA9" w14:textId="77777777" w:rsidR="00D91956" w:rsidRPr="00D91956" w:rsidRDefault="00D91956" w:rsidP="00D91956">
            <w:pPr>
              <w:spacing w:before="120" w:line="240" w:lineRule="auto"/>
              <w:rPr>
                <w:rFonts w:cs="Arial"/>
                <w:szCs w:val="20"/>
              </w:rPr>
            </w:pPr>
            <w:r w:rsidRPr="00D91956">
              <w:rPr>
                <w:rFonts w:cs="Arial"/>
                <w:szCs w:val="20"/>
              </w:rPr>
              <w:t>Zanieczyszczenia</w:t>
            </w:r>
          </w:p>
        </w:tc>
        <w:tc>
          <w:tcPr>
            <w:tcW w:w="4440" w:type="dxa"/>
          </w:tcPr>
          <w:p w14:paraId="45D7E869" w14:textId="77777777" w:rsidR="00D91956" w:rsidRPr="00D91956" w:rsidRDefault="00D91956" w:rsidP="00D91956">
            <w:pPr>
              <w:spacing w:line="240" w:lineRule="auto"/>
              <w:rPr>
                <w:rFonts w:cs="Arial"/>
                <w:szCs w:val="20"/>
              </w:rPr>
            </w:pPr>
            <w:r w:rsidRPr="00D91956">
              <w:rPr>
                <w:rFonts w:cs="Arial"/>
                <w:szCs w:val="20"/>
              </w:rPr>
              <w:t>Składniki spoiste (łącznie z gliną)</w:t>
            </w:r>
          </w:p>
        </w:tc>
        <w:tc>
          <w:tcPr>
            <w:tcW w:w="1680" w:type="dxa"/>
          </w:tcPr>
          <w:p w14:paraId="06FBF0F2" w14:textId="77777777" w:rsidR="00D91956" w:rsidRPr="00D91956" w:rsidRDefault="00D91956" w:rsidP="00D91956">
            <w:pPr>
              <w:spacing w:line="240" w:lineRule="auto"/>
              <w:jc w:val="center"/>
              <w:rPr>
                <w:rFonts w:cs="Arial"/>
                <w:szCs w:val="20"/>
              </w:rPr>
            </w:pPr>
            <w:r w:rsidRPr="00D91956">
              <w:rPr>
                <w:rFonts w:cs="Arial"/>
                <w:szCs w:val="20"/>
              </w:rPr>
              <w:t>≤ 1</w:t>
            </w:r>
          </w:p>
        </w:tc>
      </w:tr>
      <w:tr w:rsidR="00D91956" w:rsidRPr="00D91956" w14:paraId="35E5A6A2" w14:textId="77777777" w:rsidTr="007B6855">
        <w:tc>
          <w:tcPr>
            <w:tcW w:w="2748" w:type="dxa"/>
            <w:vMerge/>
          </w:tcPr>
          <w:p w14:paraId="4B138A12" w14:textId="77777777" w:rsidR="00D91956" w:rsidRPr="00D91956" w:rsidRDefault="00D91956" w:rsidP="00D91956">
            <w:pPr>
              <w:spacing w:line="240" w:lineRule="auto"/>
              <w:rPr>
                <w:rFonts w:cs="Arial"/>
                <w:szCs w:val="20"/>
              </w:rPr>
            </w:pPr>
          </w:p>
        </w:tc>
        <w:tc>
          <w:tcPr>
            <w:tcW w:w="4440" w:type="dxa"/>
          </w:tcPr>
          <w:p w14:paraId="47A4B4D2" w14:textId="77777777" w:rsidR="00D91956" w:rsidRPr="00D91956" w:rsidRDefault="00D91956" w:rsidP="00D91956">
            <w:pPr>
              <w:spacing w:line="240" w:lineRule="auto"/>
              <w:rPr>
                <w:rFonts w:cs="Arial"/>
                <w:szCs w:val="20"/>
              </w:rPr>
            </w:pPr>
            <w:r w:rsidRPr="00D91956">
              <w:rPr>
                <w:rFonts w:cs="Arial"/>
                <w:szCs w:val="20"/>
              </w:rPr>
              <w:t>Składniki organiczne</w:t>
            </w:r>
          </w:p>
        </w:tc>
        <w:tc>
          <w:tcPr>
            <w:tcW w:w="1680" w:type="dxa"/>
          </w:tcPr>
          <w:p w14:paraId="14B9C5CB" w14:textId="77777777" w:rsidR="00D91956" w:rsidRPr="00D91956" w:rsidRDefault="00D91956" w:rsidP="00D91956">
            <w:pPr>
              <w:spacing w:line="240" w:lineRule="auto"/>
              <w:jc w:val="center"/>
              <w:rPr>
                <w:rFonts w:cs="Arial"/>
                <w:szCs w:val="20"/>
              </w:rPr>
            </w:pPr>
            <w:r w:rsidRPr="00D91956">
              <w:rPr>
                <w:rFonts w:cs="Arial"/>
                <w:szCs w:val="20"/>
              </w:rPr>
              <w:t>≤ 0,1</w:t>
            </w:r>
          </w:p>
        </w:tc>
      </w:tr>
    </w:tbl>
    <w:p w14:paraId="46365CEF" w14:textId="77777777" w:rsidR="00D91956" w:rsidRPr="00D91956" w:rsidRDefault="00D91956" w:rsidP="00D91956">
      <w:pPr>
        <w:spacing w:before="120" w:after="120" w:line="240" w:lineRule="auto"/>
        <w:rPr>
          <w:rFonts w:cs="Arial"/>
          <w:szCs w:val="20"/>
        </w:rPr>
      </w:pPr>
      <w:r w:rsidRPr="00D91956">
        <w:rPr>
          <w:rFonts w:cs="Arial"/>
          <w:szCs w:val="20"/>
        </w:rPr>
        <w:t xml:space="preserve">Tablica 1.3. Mieszanki z </w:t>
      </w:r>
      <w:proofErr w:type="spellStart"/>
      <w:r w:rsidRPr="00D91956">
        <w:rPr>
          <w:rFonts w:cs="Arial"/>
          <w:szCs w:val="20"/>
        </w:rPr>
        <w:t>przekruszonego</w:t>
      </w:r>
      <w:proofErr w:type="spellEnd"/>
      <w:r w:rsidRPr="00D91956">
        <w:rPr>
          <w:rFonts w:cs="Arial"/>
          <w:szCs w:val="20"/>
        </w:rPr>
        <w:t xml:space="preserve">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D91956" w:rsidRPr="00D91956" w14:paraId="35F46D01" w14:textId="77777777" w:rsidTr="007B6855">
        <w:tc>
          <w:tcPr>
            <w:tcW w:w="7184" w:type="dxa"/>
            <w:gridSpan w:val="2"/>
          </w:tcPr>
          <w:p w14:paraId="2E980CA0" w14:textId="77777777" w:rsidR="00D91956" w:rsidRPr="00D91956" w:rsidRDefault="00D91956" w:rsidP="00D91956">
            <w:pPr>
              <w:spacing w:before="120" w:line="240" w:lineRule="auto"/>
              <w:jc w:val="center"/>
              <w:rPr>
                <w:rFonts w:cs="Arial"/>
                <w:szCs w:val="20"/>
              </w:rPr>
            </w:pPr>
            <w:r w:rsidRPr="00D91956">
              <w:rPr>
                <w:rFonts w:cs="Arial"/>
                <w:szCs w:val="20"/>
              </w:rPr>
              <w:t>Składniki</w:t>
            </w:r>
          </w:p>
        </w:tc>
        <w:tc>
          <w:tcPr>
            <w:tcW w:w="1684" w:type="dxa"/>
          </w:tcPr>
          <w:p w14:paraId="1A291AC3" w14:textId="77777777" w:rsidR="00D91956" w:rsidRPr="00D91956" w:rsidRDefault="00D91956" w:rsidP="00D91956">
            <w:pPr>
              <w:spacing w:line="240" w:lineRule="auto"/>
              <w:jc w:val="center"/>
              <w:rPr>
                <w:rFonts w:cs="Arial"/>
                <w:szCs w:val="20"/>
              </w:rPr>
            </w:pPr>
            <w:r w:rsidRPr="00D91956">
              <w:rPr>
                <w:rFonts w:cs="Arial"/>
                <w:szCs w:val="20"/>
              </w:rPr>
              <w:t>Zawartość, [%(m/m)]</w:t>
            </w:r>
          </w:p>
        </w:tc>
      </w:tr>
      <w:tr w:rsidR="00D91956" w:rsidRPr="00D91956" w14:paraId="1C8FAA19" w14:textId="77777777" w:rsidTr="007B6855">
        <w:tc>
          <w:tcPr>
            <w:tcW w:w="2748" w:type="dxa"/>
          </w:tcPr>
          <w:p w14:paraId="7D0681BF" w14:textId="77777777" w:rsidR="00D91956" w:rsidRPr="00D91956" w:rsidRDefault="00D91956" w:rsidP="00D91956">
            <w:pPr>
              <w:spacing w:before="120" w:line="240" w:lineRule="auto"/>
              <w:rPr>
                <w:rFonts w:cs="Arial"/>
                <w:szCs w:val="20"/>
              </w:rPr>
            </w:pPr>
            <w:r w:rsidRPr="00D91956">
              <w:rPr>
                <w:rFonts w:cs="Arial"/>
                <w:szCs w:val="20"/>
              </w:rPr>
              <w:t>Główne składniki</w:t>
            </w:r>
          </w:p>
        </w:tc>
        <w:tc>
          <w:tcPr>
            <w:tcW w:w="4436" w:type="dxa"/>
          </w:tcPr>
          <w:p w14:paraId="7DAC7A0A" w14:textId="77777777" w:rsidR="00D91956" w:rsidRPr="00D91956" w:rsidRDefault="00D91956" w:rsidP="00D91956">
            <w:pPr>
              <w:spacing w:line="240" w:lineRule="auto"/>
              <w:rPr>
                <w:rFonts w:cs="Arial"/>
                <w:szCs w:val="20"/>
                <w:vertAlign w:val="superscript"/>
              </w:rPr>
            </w:pPr>
            <w:proofErr w:type="spellStart"/>
            <w:r w:rsidRPr="00D91956">
              <w:rPr>
                <w:rFonts w:cs="Arial"/>
                <w:szCs w:val="20"/>
              </w:rPr>
              <w:t>Przekruszony</w:t>
            </w:r>
            <w:proofErr w:type="spellEnd"/>
            <w:r w:rsidRPr="00D91956">
              <w:rPr>
                <w:rFonts w:cs="Arial"/>
                <w:szCs w:val="20"/>
              </w:rPr>
              <w:t xml:space="preserve"> beton (gęstość &gt; 2,1 Mg/m</w:t>
            </w:r>
            <w:r w:rsidRPr="00D91956">
              <w:rPr>
                <w:rFonts w:cs="Arial"/>
                <w:szCs w:val="20"/>
                <w:vertAlign w:val="superscript"/>
              </w:rPr>
              <w:t>3</w:t>
            </w:r>
            <w:r w:rsidRPr="00D91956">
              <w:rPr>
                <w:rFonts w:cs="Arial"/>
                <w:szCs w:val="20"/>
              </w:rPr>
              <w:t>) i kruszywo (łącznie z żużlem)</w:t>
            </w:r>
          </w:p>
        </w:tc>
        <w:tc>
          <w:tcPr>
            <w:tcW w:w="1684" w:type="dxa"/>
          </w:tcPr>
          <w:p w14:paraId="5CD2C2FF" w14:textId="77777777" w:rsidR="00D91956" w:rsidRPr="00D91956" w:rsidRDefault="00D91956" w:rsidP="00D91956">
            <w:pPr>
              <w:spacing w:before="120" w:line="240" w:lineRule="auto"/>
              <w:jc w:val="center"/>
              <w:rPr>
                <w:rFonts w:cs="Arial"/>
                <w:szCs w:val="20"/>
              </w:rPr>
            </w:pPr>
            <w:r w:rsidRPr="00D91956">
              <w:rPr>
                <w:rFonts w:cs="Arial"/>
                <w:szCs w:val="20"/>
              </w:rPr>
              <w:t>≥ 50</w:t>
            </w:r>
          </w:p>
        </w:tc>
      </w:tr>
      <w:tr w:rsidR="00D91956" w:rsidRPr="00D91956" w14:paraId="296F0A78" w14:textId="77777777" w:rsidTr="007B6855">
        <w:tc>
          <w:tcPr>
            <w:tcW w:w="2748" w:type="dxa"/>
            <w:vMerge w:val="restart"/>
          </w:tcPr>
          <w:p w14:paraId="4E7D456B" w14:textId="77777777" w:rsidR="00D91956" w:rsidRPr="00D91956" w:rsidRDefault="00D91956" w:rsidP="00D91956">
            <w:pPr>
              <w:spacing w:line="240" w:lineRule="auto"/>
              <w:rPr>
                <w:rFonts w:cs="Arial"/>
                <w:szCs w:val="20"/>
              </w:rPr>
            </w:pPr>
          </w:p>
          <w:p w14:paraId="36DCE686" w14:textId="77777777" w:rsidR="00D91956" w:rsidRPr="00D91956" w:rsidRDefault="00D91956" w:rsidP="00D91956">
            <w:pPr>
              <w:spacing w:line="240" w:lineRule="auto"/>
              <w:rPr>
                <w:rFonts w:cs="Arial"/>
                <w:szCs w:val="20"/>
              </w:rPr>
            </w:pPr>
            <w:r w:rsidRPr="00D91956">
              <w:rPr>
                <w:rFonts w:cs="Arial"/>
                <w:szCs w:val="20"/>
              </w:rPr>
              <w:t>Inne materiały ziarniste</w:t>
            </w:r>
          </w:p>
        </w:tc>
        <w:tc>
          <w:tcPr>
            <w:tcW w:w="4436" w:type="dxa"/>
          </w:tcPr>
          <w:p w14:paraId="5384758D" w14:textId="77777777" w:rsidR="00D91956" w:rsidRPr="00D91956" w:rsidRDefault="00D91956" w:rsidP="00D91956">
            <w:pPr>
              <w:spacing w:line="240" w:lineRule="auto"/>
              <w:rPr>
                <w:rFonts w:cs="Arial"/>
                <w:szCs w:val="20"/>
              </w:rPr>
            </w:pPr>
            <w:proofErr w:type="spellStart"/>
            <w:r w:rsidRPr="00D91956">
              <w:rPr>
                <w:rFonts w:cs="Arial"/>
                <w:szCs w:val="20"/>
              </w:rPr>
              <w:t>Przekruszony</w:t>
            </w:r>
            <w:proofErr w:type="spellEnd"/>
            <w:r w:rsidRPr="00D91956">
              <w:rPr>
                <w:rFonts w:cs="Arial"/>
                <w:szCs w:val="20"/>
              </w:rPr>
              <w:t xml:space="preserve"> mur</w:t>
            </w:r>
          </w:p>
        </w:tc>
        <w:tc>
          <w:tcPr>
            <w:tcW w:w="1684" w:type="dxa"/>
          </w:tcPr>
          <w:p w14:paraId="1B9E7805" w14:textId="77777777" w:rsidR="00D91956" w:rsidRPr="00D91956" w:rsidRDefault="00D91956" w:rsidP="00D91956">
            <w:pPr>
              <w:spacing w:line="240" w:lineRule="auto"/>
              <w:jc w:val="center"/>
              <w:rPr>
                <w:rFonts w:cs="Arial"/>
                <w:szCs w:val="20"/>
              </w:rPr>
            </w:pPr>
            <w:r w:rsidRPr="00D91956">
              <w:rPr>
                <w:rFonts w:cs="Arial"/>
                <w:szCs w:val="20"/>
              </w:rPr>
              <w:t>≤ 50</w:t>
            </w:r>
          </w:p>
        </w:tc>
      </w:tr>
      <w:tr w:rsidR="00D91956" w:rsidRPr="00D91956" w14:paraId="6F7E72DE" w14:textId="77777777" w:rsidTr="007B6855">
        <w:tc>
          <w:tcPr>
            <w:tcW w:w="2748" w:type="dxa"/>
            <w:vMerge/>
          </w:tcPr>
          <w:p w14:paraId="23F16F58" w14:textId="77777777" w:rsidR="00D91956" w:rsidRPr="00D91956" w:rsidRDefault="00D91956" w:rsidP="00D91956">
            <w:pPr>
              <w:spacing w:before="120" w:line="240" w:lineRule="auto"/>
              <w:rPr>
                <w:rFonts w:cs="Arial"/>
                <w:szCs w:val="20"/>
              </w:rPr>
            </w:pPr>
          </w:p>
        </w:tc>
        <w:tc>
          <w:tcPr>
            <w:tcW w:w="4436" w:type="dxa"/>
          </w:tcPr>
          <w:p w14:paraId="00493CF8" w14:textId="77777777" w:rsidR="00D91956" w:rsidRPr="00D91956" w:rsidRDefault="00D91956" w:rsidP="00D91956">
            <w:pPr>
              <w:spacing w:line="240" w:lineRule="auto"/>
              <w:rPr>
                <w:rFonts w:cs="Arial"/>
                <w:szCs w:val="20"/>
              </w:rPr>
            </w:pPr>
            <w:r w:rsidRPr="00D91956">
              <w:rPr>
                <w:rFonts w:cs="Arial"/>
                <w:szCs w:val="20"/>
              </w:rPr>
              <w:t>Destrukt asfaltowy</w:t>
            </w:r>
          </w:p>
        </w:tc>
        <w:tc>
          <w:tcPr>
            <w:tcW w:w="1684" w:type="dxa"/>
          </w:tcPr>
          <w:p w14:paraId="14B499D6" w14:textId="77777777" w:rsidR="00D91956" w:rsidRPr="00D91956" w:rsidRDefault="00D91956" w:rsidP="00D91956">
            <w:pPr>
              <w:spacing w:line="240" w:lineRule="auto"/>
              <w:jc w:val="center"/>
              <w:rPr>
                <w:rFonts w:cs="Arial"/>
                <w:szCs w:val="20"/>
              </w:rPr>
            </w:pPr>
            <w:r w:rsidRPr="00D91956">
              <w:rPr>
                <w:rFonts w:cs="Arial"/>
                <w:szCs w:val="20"/>
              </w:rPr>
              <w:t>≤ 5</w:t>
            </w:r>
          </w:p>
        </w:tc>
      </w:tr>
      <w:tr w:rsidR="00D91956" w:rsidRPr="00D91956" w14:paraId="1877F42C" w14:textId="77777777" w:rsidTr="007B6855">
        <w:tc>
          <w:tcPr>
            <w:tcW w:w="2748" w:type="dxa"/>
            <w:vMerge/>
          </w:tcPr>
          <w:p w14:paraId="6109ABD5" w14:textId="77777777" w:rsidR="00D91956" w:rsidRPr="00D91956" w:rsidRDefault="00D91956" w:rsidP="00D91956">
            <w:pPr>
              <w:spacing w:before="120" w:line="240" w:lineRule="auto"/>
              <w:rPr>
                <w:rFonts w:cs="Arial"/>
                <w:szCs w:val="20"/>
              </w:rPr>
            </w:pPr>
          </w:p>
        </w:tc>
        <w:tc>
          <w:tcPr>
            <w:tcW w:w="4436" w:type="dxa"/>
          </w:tcPr>
          <w:p w14:paraId="4B120017" w14:textId="77777777" w:rsidR="00D91956" w:rsidRPr="00D91956" w:rsidRDefault="00D91956" w:rsidP="00D91956">
            <w:pPr>
              <w:spacing w:line="240" w:lineRule="auto"/>
              <w:rPr>
                <w:rFonts w:cs="Arial"/>
                <w:szCs w:val="20"/>
                <w:vertAlign w:val="superscript"/>
              </w:rPr>
            </w:pPr>
            <w:r w:rsidRPr="00D91956">
              <w:rPr>
                <w:rFonts w:cs="Arial"/>
                <w:szCs w:val="20"/>
              </w:rPr>
              <w:t>Materiały ziarniste o gęstości &gt; 1,6 Mg/m</w:t>
            </w:r>
            <w:r w:rsidRPr="00D91956">
              <w:rPr>
                <w:rFonts w:cs="Arial"/>
                <w:szCs w:val="20"/>
                <w:vertAlign w:val="superscript"/>
              </w:rPr>
              <w:t>3</w:t>
            </w:r>
          </w:p>
        </w:tc>
        <w:tc>
          <w:tcPr>
            <w:tcW w:w="1684" w:type="dxa"/>
          </w:tcPr>
          <w:p w14:paraId="0C9A59E9" w14:textId="77777777" w:rsidR="00D91956" w:rsidRPr="00D91956" w:rsidRDefault="00D91956" w:rsidP="00D91956">
            <w:pPr>
              <w:spacing w:line="240" w:lineRule="auto"/>
              <w:jc w:val="center"/>
              <w:rPr>
                <w:rFonts w:cs="Arial"/>
                <w:szCs w:val="20"/>
              </w:rPr>
            </w:pPr>
            <w:r w:rsidRPr="00D91956">
              <w:rPr>
                <w:rFonts w:cs="Arial"/>
                <w:szCs w:val="20"/>
              </w:rPr>
              <w:t>≤ 10</w:t>
            </w:r>
          </w:p>
        </w:tc>
      </w:tr>
      <w:tr w:rsidR="00D91956" w:rsidRPr="00D91956" w14:paraId="153F0B2D" w14:textId="77777777" w:rsidTr="007B6855">
        <w:tc>
          <w:tcPr>
            <w:tcW w:w="2748" w:type="dxa"/>
            <w:vMerge w:val="restart"/>
          </w:tcPr>
          <w:p w14:paraId="4CDEFC1F" w14:textId="77777777" w:rsidR="00D91956" w:rsidRPr="00D91956" w:rsidRDefault="00D91956" w:rsidP="00D91956">
            <w:pPr>
              <w:spacing w:before="120" w:line="240" w:lineRule="auto"/>
              <w:rPr>
                <w:rFonts w:cs="Arial"/>
                <w:szCs w:val="20"/>
              </w:rPr>
            </w:pPr>
            <w:r w:rsidRPr="00D91956">
              <w:rPr>
                <w:rFonts w:cs="Arial"/>
                <w:szCs w:val="20"/>
              </w:rPr>
              <w:t>Zanieczyszczenia</w:t>
            </w:r>
          </w:p>
        </w:tc>
        <w:tc>
          <w:tcPr>
            <w:tcW w:w="4436" w:type="dxa"/>
          </w:tcPr>
          <w:p w14:paraId="217B1DAF" w14:textId="77777777" w:rsidR="00D91956" w:rsidRPr="00D91956" w:rsidRDefault="00D91956" w:rsidP="00D91956">
            <w:pPr>
              <w:spacing w:line="240" w:lineRule="auto"/>
              <w:rPr>
                <w:rFonts w:cs="Arial"/>
                <w:szCs w:val="20"/>
              </w:rPr>
            </w:pPr>
            <w:r w:rsidRPr="00D91956">
              <w:rPr>
                <w:rFonts w:cs="Arial"/>
                <w:szCs w:val="20"/>
              </w:rPr>
              <w:t>Składniki spoiste (łącznie z gliną)</w:t>
            </w:r>
          </w:p>
        </w:tc>
        <w:tc>
          <w:tcPr>
            <w:tcW w:w="1684" w:type="dxa"/>
          </w:tcPr>
          <w:p w14:paraId="0B2E960C" w14:textId="77777777" w:rsidR="00D91956" w:rsidRPr="00D91956" w:rsidRDefault="00D91956" w:rsidP="00D91956">
            <w:pPr>
              <w:spacing w:line="240" w:lineRule="auto"/>
              <w:jc w:val="center"/>
              <w:rPr>
                <w:rFonts w:cs="Arial"/>
                <w:szCs w:val="20"/>
              </w:rPr>
            </w:pPr>
            <w:r w:rsidRPr="00D91956">
              <w:rPr>
                <w:rFonts w:cs="Arial"/>
                <w:szCs w:val="20"/>
              </w:rPr>
              <w:t>≤ 1</w:t>
            </w:r>
          </w:p>
        </w:tc>
      </w:tr>
      <w:tr w:rsidR="00D91956" w:rsidRPr="00D91956" w14:paraId="22786418" w14:textId="77777777" w:rsidTr="007B6855">
        <w:tc>
          <w:tcPr>
            <w:tcW w:w="2748" w:type="dxa"/>
            <w:vMerge/>
          </w:tcPr>
          <w:p w14:paraId="2E9C7565" w14:textId="77777777" w:rsidR="00D91956" w:rsidRPr="00D91956" w:rsidRDefault="00D91956" w:rsidP="00D91956">
            <w:pPr>
              <w:spacing w:line="240" w:lineRule="auto"/>
              <w:rPr>
                <w:rFonts w:cs="Arial"/>
                <w:szCs w:val="20"/>
              </w:rPr>
            </w:pPr>
          </w:p>
        </w:tc>
        <w:tc>
          <w:tcPr>
            <w:tcW w:w="4436" w:type="dxa"/>
          </w:tcPr>
          <w:p w14:paraId="4350786F" w14:textId="77777777" w:rsidR="00D91956" w:rsidRPr="00D91956" w:rsidRDefault="00D91956" w:rsidP="00D91956">
            <w:pPr>
              <w:spacing w:line="240" w:lineRule="auto"/>
              <w:rPr>
                <w:rFonts w:cs="Arial"/>
                <w:szCs w:val="20"/>
              </w:rPr>
            </w:pPr>
            <w:r w:rsidRPr="00D91956">
              <w:rPr>
                <w:rFonts w:cs="Arial"/>
                <w:szCs w:val="20"/>
              </w:rPr>
              <w:t>Składniki organiczne</w:t>
            </w:r>
          </w:p>
        </w:tc>
        <w:tc>
          <w:tcPr>
            <w:tcW w:w="1684" w:type="dxa"/>
          </w:tcPr>
          <w:p w14:paraId="012924E0" w14:textId="77777777" w:rsidR="00D91956" w:rsidRPr="00D91956" w:rsidRDefault="00D91956" w:rsidP="00D91956">
            <w:pPr>
              <w:spacing w:line="240" w:lineRule="auto"/>
              <w:jc w:val="center"/>
              <w:rPr>
                <w:rFonts w:cs="Arial"/>
                <w:szCs w:val="20"/>
              </w:rPr>
            </w:pPr>
            <w:r w:rsidRPr="00D91956">
              <w:rPr>
                <w:rFonts w:cs="Arial"/>
                <w:szCs w:val="20"/>
              </w:rPr>
              <w:t>≤ 0,1</w:t>
            </w:r>
          </w:p>
        </w:tc>
      </w:tr>
    </w:tbl>
    <w:p w14:paraId="7FA4A177" w14:textId="77777777" w:rsidR="00D91956" w:rsidRPr="00D91956" w:rsidRDefault="00D91956" w:rsidP="00D91956">
      <w:pPr>
        <w:spacing w:before="120" w:after="120" w:line="240" w:lineRule="auto"/>
        <w:rPr>
          <w:rFonts w:cs="Arial"/>
          <w:szCs w:val="20"/>
        </w:rPr>
      </w:pPr>
      <w:r w:rsidRPr="00D91956">
        <w:rPr>
          <w:rFonts w:cs="Arial"/>
          <w:szCs w:val="20"/>
        </w:rPr>
        <w:t xml:space="preserve">Tablica 1.4. </w:t>
      </w:r>
      <w:proofErr w:type="spellStart"/>
      <w:r w:rsidRPr="00D91956">
        <w:rPr>
          <w:rFonts w:cs="Arial"/>
          <w:szCs w:val="20"/>
        </w:rPr>
        <w:t>Przekruszone</w:t>
      </w:r>
      <w:proofErr w:type="spellEnd"/>
      <w:r w:rsidRPr="00D91956">
        <w:rPr>
          <w:rFonts w:cs="Arial"/>
          <w:szCs w:val="20"/>
        </w:rPr>
        <w:t xml:space="preserv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D91956" w:rsidRPr="00D91956" w14:paraId="2A0F8E0C" w14:textId="77777777" w:rsidTr="007B6855">
        <w:tc>
          <w:tcPr>
            <w:tcW w:w="7184" w:type="dxa"/>
            <w:gridSpan w:val="2"/>
          </w:tcPr>
          <w:p w14:paraId="69D35923" w14:textId="77777777" w:rsidR="00D91956" w:rsidRPr="00D91956" w:rsidRDefault="00D91956" w:rsidP="00D91956">
            <w:pPr>
              <w:spacing w:before="120" w:line="240" w:lineRule="auto"/>
              <w:jc w:val="center"/>
              <w:rPr>
                <w:rFonts w:cs="Arial"/>
                <w:szCs w:val="20"/>
              </w:rPr>
            </w:pPr>
            <w:r w:rsidRPr="00D91956">
              <w:rPr>
                <w:rFonts w:cs="Arial"/>
                <w:szCs w:val="20"/>
              </w:rPr>
              <w:t>Składniki</w:t>
            </w:r>
          </w:p>
        </w:tc>
        <w:tc>
          <w:tcPr>
            <w:tcW w:w="1684" w:type="dxa"/>
          </w:tcPr>
          <w:p w14:paraId="6C0F8288" w14:textId="77777777" w:rsidR="00D91956" w:rsidRPr="00D91956" w:rsidRDefault="00D91956" w:rsidP="00D91956">
            <w:pPr>
              <w:spacing w:line="240" w:lineRule="auto"/>
              <w:jc w:val="center"/>
              <w:rPr>
                <w:rFonts w:cs="Arial"/>
                <w:szCs w:val="20"/>
              </w:rPr>
            </w:pPr>
            <w:r w:rsidRPr="00D91956">
              <w:rPr>
                <w:rFonts w:cs="Arial"/>
                <w:szCs w:val="20"/>
              </w:rPr>
              <w:t>Zawartość, [%(m/m)]</w:t>
            </w:r>
          </w:p>
        </w:tc>
      </w:tr>
      <w:tr w:rsidR="00D91956" w:rsidRPr="00D91956" w14:paraId="28F4A46A" w14:textId="77777777" w:rsidTr="007B6855">
        <w:tc>
          <w:tcPr>
            <w:tcW w:w="2748" w:type="dxa"/>
            <w:vMerge w:val="restart"/>
          </w:tcPr>
          <w:p w14:paraId="31C938E7" w14:textId="77777777" w:rsidR="00D91956" w:rsidRPr="00D91956" w:rsidRDefault="00D91956" w:rsidP="00D91956">
            <w:pPr>
              <w:spacing w:before="120" w:line="240" w:lineRule="auto"/>
              <w:rPr>
                <w:rFonts w:cs="Arial"/>
                <w:szCs w:val="20"/>
              </w:rPr>
            </w:pPr>
          </w:p>
          <w:p w14:paraId="0F98C7E5" w14:textId="77777777" w:rsidR="00D91956" w:rsidRPr="00D91956" w:rsidRDefault="00D91956" w:rsidP="00D91956">
            <w:pPr>
              <w:spacing w:before="120" w:line="240" w:lineRule="auto"/>
              <w:rPr>
                <w:rFonts w:cs="Arial"/>
                <w:szCs w:val="20"/>
              </w:rPr>
            </w:pPr>
            <w:r w:rsidRPr="00D91956">
              <w:rPr>
                <w:rFonts w:cs="Arial"/>
                <w:szCs w:val="20"/>
              </w:rPr>
              <w:t>Główne składniki</w:t>
            </w:r>
          </w:p>
        </w:tc>
        <w:tc>
          <w:tcPr>
            <w:tcW w:w="4436" w:type="dxa"/>
          </w:tcPr>
          <w:p w14:paraId="733944BA" w14:textId="77777777" w:rsidR="00D91956" w:rsidRPr="00D91956" w:rsidRDefault="00D91956" w:rsidP="00D91956">
            <w:pPr>
              <w:spacing w:line="240" w:lineRule="auto"/>
              <w:rPr>
                <w:rFonts w:cs="Arial"/>
                <w:szCs w:val="20"/>
                <w:vertAlign w:val="superscript"/>
              </w:rPr>
            </w:pPr>
            <w:r w:rsidRPr="00D91956">
              <w:rPr>
                <w:rFonts w:cs="Arial"/>
                <w:szCs w:val="20"/>
              </w:rPr>
              <w:t xml:space="preserve">Materiały drogowe – łącznie z kruszonym betonem, niezwiązanymi kruszywami i </w:t>
            </w:r>
            <w:proofErr w:type="spellStart"/>
            <w:r w:rsidRPr="00D91956">
              <w:rPr>
                <w:rFonts w:cs="Arial"/>
                <w:szCs w:val="20"/>
              </w:rPr>
              <w:t>przekruszone</w:t>
            </w:r>
            <w:proofErr w:type="spellEnd"/>
            <w:r w:rsidRPr="00D91956">
              <w:rPr>
                <w:rFonts w:cs="Arial"/>
                <w:szCs w:val="20"/>
              </w:rPr>
              <w:t xml:space="preserve"> mieszanki kruszyw związane hydraulicznie</w:t>
            </w:r>
          </w:p>
        </w:tc>
        <w:tc>
          <w:tcPr>
            <w:tcW w:w="1684" w:type="dxa"/>
          </w:tcPr>
          <w:p w14:paraId="770E77AC" w14:textId="77777777" w:rsidR="00D91956" w:rsidRPr="00D91956" w:rsidRDefault="00D91956" w:rsidP="00D91956">
            <w:pPr>
              <w:spacing w:before="120" w:line="240" w:lineRule="auto"/>
              <w:jc w:val="center"/>
              <w:rPr>
                <w:rFonts w:cs="Arial"/>
                <w:szCs w:val="20"/>
              </w:rPr>
            </w:pPr>
          </w:p>
          <w:p w14:paraId="0111F51A" w14:textId="77777777" w:rsidR="00D91956" w:rsidRPr="00D91956" w:rsidRDefault="00D91956" w:rsidP="00D91956">
            <w:pPr>
              <w:spacing w:before="120" w:line="240" w:lineRule="auto"/>
              <w:jc w:val="center"/>
              <w:rPr>
                <w:rFonts w:cs="Arial"/>
                <w:szCs w:val="20"/>
              </w:rPr>
            </w:pPr>
            <w:r w:rsidRPr="00D91956">
              <w:rPr>
                <w:rFonts w:cs="Arial"/>
                <w:szCs w:val="20"/>
              </w:rPr>
              <w:t>≥ 90</w:t>
            </w:r>
          </w:p>
        </w:tc>
      </w:tr>
      <w:tr w:rsidR="00D91956" w:rsidRPr="00D91956" w14:paraId="0CA3A22F" w14:textId="77777777" w:rsidTr="007B6855">
        <w:tc>
          <w:tcPr>
            <w:tcW w:w="2748" w:type="dxa"/>
            <w:vMerge/>
          </w:tcPr>
          <w:p w14:paraId="4C54324D" w14:textId="77777777" w:rsidR="00D91956" w:rsidRPr="00D91956" w:rsidRDefault="00D91956" w:rsidP="00D91956">
            <w:pPr>
              <w:spacing w:before="120" w:line="240" w:lineRule="auto"/>
              <w:rPr>
                <w:rFonts w:cs="Arial"/>
                <w:szCs w:val="20"/>
              </w:rPr>
            </w:pPr>
          </w:p>
        </w:tc>
        <w:tc>
          <w:tcPr>
            <w:tcW w:w="4436" w:type="dxa"/>
          </w:tcPr>
          <w:p w14:paraId="551A975D" w14:textId="77777777" w:rsidR="00D91956" w:rsidRPr="00D91956" w:rsidRDefault="00D91956" w:rsidP="00D91956">
            <w:pPr>
              <w:spacing w:line="240" w:lineRule="auto"/>
              <w:rPr>
                <w:rFonts w:cs="Arial"/>
                <w:szCs w:val="20"/>
              </w:rPr>
            </w:pPr>
            <w:r w:rsidRPr="00D91956">
              <w:rPr>
                <w:rFonts w:cs="Arial"/>
                <w:szCs w:val="20"/>
              </w:rPr>
              <w:t>Destrukt asfaltowy</w:t>
            </w:r>
          </w:p>
        </w:tc>
        <w:tc>
          <w:tcPr>
            <w:tcW w:w="1684" w:type="dxa"/>
          </w:tcPr>
          <w:p w14:paraId="782DB5C8" w14:textId="77777777" w:rsidR="00D91956" w:rsidRPr="00D91956" w:rsidRDefault="00D91956" w:rsidP="00D91956">
            <w:pPr>
              <w:spacing w:line="240" w:lineRule="auto"/>
              <w:jc w:val="center"/>
              <w:rPr>
                <w:rFonts w:cs="Arial"/>
                <w:szCs w:val="20"/>
              </w:rPr>
            </w:pPr>
            <w:r w:rsidRPr="00D91956">
              <w:rPr>
                <w:rFonts w:cs="Arial"/>
                <w:szCs w:val="20"/>
              </w:rPr>
              <w:t>≤ 30</w:t>
            </w:r>
          </w:p>
        </w:tc>
      </w:tr>
      <w:tr w:rsidR="00D91956" w:rsidRPr="00D91956" w14:paraId="700EC6B9" w14:textId="77777777" w:rsidTr="007B6855">
        <w:tc>
          <w:tcPr>
            <w:tcW w:w="2748" w:type="dxa"/>
            <w:vMerge w:val="restart"/>
          </w:tcPr>
          <w:p w14:paraId="7C91A788" w14:textId="77777777" w:rsidR="00D91956" w:rsidRPr="00D91956" w:rsidRDefault="00D91956" w:rsidP="00D91956">
            <w:pPr>
              <w:spacing w:before="120" w:line="240" w:lineRule="auto"/>
              <w:rPr>
                <w:rFonts w:cs="Arial"/>
                <w:szCs w:val="20"/>
              </w:rPr>
            </w:pPr>
            <w:r w:rsidRPr="00D91956">
              <w:rPr>
                <w:rFonts w:cs="Arial"/>
                <w:szCs w:val="20"/>
              </w:rPr>
              <w:t>Zanieczyszczenia</w:t>
            </w:r>
          </w:p>
        </w:tc>
        <w:tc>
          <w:tcPr>
            <w:tcW w:w="4436" w:type="dxa"/>
          </w:tcPr>
          <w:p w14:paraId="7AD51107" w14:textId="77777777" w:rsidR="00D91956" w:rsidRPr="00D91956" w:rsidRDefault="00D91956" w:rsidP="00D91956">
            <w:pPr>
              <w:spacing w:line="240" w:lineRule="auto"/>
              <w:rPr>
                <w:rFonts w:cs="Arial"/>
                <w:szCs w:val="20"/>
              </w:rPr>
            </w:pPr>
            <w:r w:rsidRPr="00D91956">
              <w:rPr>
                <w:rFonts w:cs="Arial"/>
                <w:szCs w:val="20"/>
              </w:rPr>
              <w:t>Składniki spoiste (łącznie z gliną)</w:t>
            </w:r>
          </w:p>
        </w:tc>
        <w:tc>
          <w:tcPr>
            <w:tcW w:w="1684" w:type="dxa"/>
          </w:tcPr>
          <w:p w14:paraId="5AFB26DD" w14:textId="77777777" w:rsidR="00D91956" w:rsidRPr="00D91956" w:rsidRDefault="00D91956" w:rsidP="00D91956">
            <w:pPr>
              <w:spacing w:line="240" w:lineRule="auto"/>
              <w:jc w:val="center"/>
              <w:rPr>
                <w:rFonts w:cs="Arial"/>
                <w:szCs w:val="20"/>
              </w:rPr>
            </w:pPr>
            <w:r w:rsidRPr="00D91956">
              <w:rPr>
                <w:rFonts w:cs="Arial"/>
                <w:szCs w:val="20"/>
              </w:rPr>
              <w:t>≤ 1</w:t>
            </w:r>
          </w:p>
        </w:tc>
      </w:tr>
      <w:tr w:rsidR="00D91956" w:rsidRPr="00D91956" w14:paraId="73AE948E" w14:textId="77777777" w:rsidTr="007B6855">
        <w:tc>
          <w:tcPr>
            <w:tcW w:w="2748" w:type="dxa"/>
            <w:vMerge/>
          </w:tcPr>
          <w:p w14:paraId="01EA8A44" w14:textId="77777777" w:rsidR="00D91956" w:rsidRPr="00D91956" w:rsidRDefault="00D91956" w:rsidP="00D91956">
            <w:pPr>
              <w:spacing w:line="240" w:lineRule="auto"/>
              <w:rPr>
                <w:rFonts w:cs="Arial"/>
                <w:szCs w:val="20"/>
              </w:rPr>
            </w:pPr>
          </w:p>
        </w:tc>
        <w:tc>
          <w:tcPr>
            <w:tcW w:w="4436" w:type="dxa"/>
          </w:tcPr>
          <w:p w14:paraId="1DC70B47" w14:textId="77777777" w:rsidR="00D91956" w:rsidRPr="00D91956" w:rsidRDefault="00D91956" w:rsidP="00D91956">
            <w:pPr>
              <w:spacing w:line="240" w:lineRule="auto"/>
              <w:rPr>
                <w:rFonts w:cs="Arial"/>
                <w:szCs w:val="20"/>
              </w:rPr>
            </w:pPr>
            <w:r w:rsidRPr="00D91956">
              <w:rPr>
                <w:rFonts w:cs="Arial"/>
                <w:szCs w:val="20"/>
              </w:rPr>
              <w:t>Składniki organiczne</w:t>
            </w:r>
          </w:p>
        </w:tc>
        <w:tc>
          <w:tcPr>
            <w:tcW w:w="1684" w:type="dxa"/>
          </w:tcPr>
          <w:p w14:paraId="78085B96" w14:textId="77777777" w:rsidR="00D91956" w:rsidRPr="00D91956" w:rsidRDefault="00D91956" w:rsidP="00D91956">
            <w:pPr>
              <w:spacing w:line="240" w:lineRule="auto"/>
              <w:jc w:val="center"/>
              <w:rPr>
                <w:rFonts w:cs="Arial"/>
                <w:szCs w:val="20"/>
              </w:rPr>
            </w:pPr>
            <w:r w:rsidRPr="00D91956">
              <w:rPr>
                <w:rFonts w:cs="Arial"/>
                <w:szCs w:val="20"/>
              </w:rPr>
              <w:t>≤ 0,1</w:t>
            </w:r>
          </w:p>
        </w:tc>
      </w:tr>
    </w:tbl>
    <w:p w14:paraId="39D9BD6A" w14:textId="77777777" w:rsidR="00D91956" w:rsidRPr="00D91956" w:rsidRDefault="00D91956" w:rsidP="00D91956">
      <w:pPr>
        <w:spacing w:line="240" w:lineRule="auto"/>
        <w:jc w:val="right"/>
        <w:rPr>
          <w:rFonts w:cs="Arial"/>
          <w:b/>
          <w:szCs w:val="20"/>
        </w:rPr>
      </w:pPr>
    </w:p>
    <w:p w14:paraId="71445C6D" w14:textId="77777777" w:rsidR="00D91956" w:rsidRPr="00D91956" w:rsidRDefault="00D91956" w:rsidP="00D91956">
      <w:pPr>
        <w:spacing w:before="120" w:after="120" w:line="240" w:lineRule="auto"/>
        <w:rPr>
          <w:rFonts w:cs="Arial"/>
          <w:szCs w:val="20"/>
        </w:rPr>
      </w:pPr>
      <w:r w:rsidRPr="00D91956">
        <w:rPr>
          <w:rFonts w:cs="Arial"/>
          <w:szCs w:val="20"/>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D91956" w:rsidRPr="00D91956" w14:paraId="27955615" w14:textId="77777777" w:rsidTr="007B6855">
        <w:tc>
          <w:tcPr>
            <w:tcW w:w="6348" w:type="dxa"/>
            <w:gridSpan w:val="2"/>
          </w:tcPr>
          <w:p w14:paraId="669AC864" w14:textId="77777777" w:rsidR="00D91956" w:rsidRPr="00D91956" w:rsidRDefault="00D91956" w:rsidP="00D91956">
            <w:pPr>
              <w:spacing w:before="120" w:line="240" w:lineRule="auto"/>
              <w:jc w:val="center"/>
              <w:rPr>
                <w:rFonts w:cs="Arial"/>
                <w:szCs w:val="20"/>
              </w:rPr>
            </w:pPr>
            <w:r w:rsidRPr="00D91956">
              <w:rPr>
                <w:rFonts w:cs="Arial"/>
                <w:szCs w:val="20"/>
              </w:rPr>
              <w:t>Składniki</w:t>
            </w:r>
          </w:p>
        </w:tc>
        <w:tc>
          <w:tcPr>
            <w:tcW w:w="2520" w:type="dxa"/>
          </w:tcPr>
          <w:p w14:paraId="5B069BD6" w14:textId="77777777" w:rsidR="00D91956" w:rsidRPr="00D91956" w:rsidRDefault="00D91956" w:rsidP="00D91956">
            <w:pPr>
              <w:spacing w:line="240" w:lineRule="auto"/>
              <w:jc w:val="center"/>
              <w:rPr>
                <w:rFonts w:cs="Arial"/>
                <w:szCs w:val="20"/>
              </w:rPr>
            </w:pPr>
            <w:r w:rsidRPr="00D91956">
              <w:rPr>
                <w:rFonts w:cs="Arial"/>
                <w:szCs w:val="20"/>
              </w:rPr>
              <w:t>Zawartość grubego kruszywa [%(m/m)]</w:t>
            </w:r>
          </w:p>
        </w:tc>
      </w:tr>
      <w:tr w:rsidR="00D91956" w:rsidRPr="00D91956" w14:paraId="116FD5C4" w14:textId="77777777" w:rsidTr="007B6855">
        <w:tc>
          <w:tcPr>
            <w:tcW w:w="2028" w:type="dxa"/>
          </w:tcPr>
          <w:p w14:paraId="27142857" w14:textId="77777777" w:rsidR="00D91956" w:rsidRPr="00D91956" w:rsidRDefault="00D91956" w:rsidP="00D91956">
            <w:pPr>
              <w:spacing w:before="120" w:line="240" w:lineRule="auto"/>
              <w:rPr>
                <w:rFonts w:cs="Arial"/>
                <w:szCs w:val="20"/>
              </w:rPr>
            </w:pPr>
            <w:r w:rsidRPr="00D91956">
              <w:rPr>
                <w:rFonts w:cs="Arial"/>
                <w:szCs w:val="20"/>
              </w:rPr>
              <w:t>Główne składniki</w:t>
            </w:r>
          </w:p>
        </w:tc>
        <w:tc>
          <w:tcPr>
            <w:tcW w:w="4320" w:type="dxa"/>
          </w:tcPr>
          <w:p w14:paraId="4B5C5ABC" w14:textId="77777777" w:rsidR="00D91956" w:rsidRPr="00D91956" w:rsidRDefault="00D91956" w:rsidP="00D91956">
            <w:pPr>
              <w:spacing w:line="240" w:lineRule="auto"/>
              <w:rPr>
                <w:rFonts w:cs="Arial"/>
                <w:szCs w:val="20"/>
                <w:vertAlign w:val="superscript"/>
              </w:rPr>
            </w:pPr>
            <w:r w:rsidRPr="00D91956">
              <w:rPr>
                <w:rFonts w:cs="Arial"/>
                <w:szCs w:val="20"/>
              </w:rPr>
              <w:t>Ziarniste substancje mineralne, łącznie ze szkłem, ceramiką, żużlem itp.</w:t>
            </w:r>
          </w:p>
        </w:tc>
        <w:tc>
          <w:tcPr>
            <w:tcW w:w="2520" w:type="dxa"/>
          </w:tcPr>
          <w:p w14:paraId="3111C2ED" w14:textId="77777777" w:rsidR="00D91956" w:rsidRPr="00D91956" w:rsidRDefault="00D91956" w:rsidP="00D91956">
            <w:pPr>
              <w:spacing w:before="120" w:line="240" w:lineRule="auto"/>
              <w:jc w:val="center"/>
              <w:rPr>
                <w:rFonts w:cs="Arial"/>
                <w:szCs w:val="20"/>
              </w:rPr>
            </w:pPr>
            <w:r w:rsidRPr="00D91956">
              <w:rPr>
                <w:rFonts w:cs="Arial"/>
                <w:szCs w:val="20"/>
              </w:rPr>
              <w:t>≥ 90</w:t>
            </w:r>
          </w:p>
        </w:tc>
      </w:tr>
      <w:tr w:rsidR="00D91956" w:rsidRPr="00D91956" w14:paraId="124CC3F0" w14:textId="77777777" w:rsidTr="007B6855">
        <w:tc>
          <w:tcPr>
            <w:tcW w:w="2028" w:type="dxa"/>
          </w:tcPr>
          <w:p w14:paraId="0A68879D" w14:textId="77777777" w:rsidR="00D91956" w:rsidRPr="00D91956" w:rsidRDefault="00D91956" w:rsidP="00D91956">
            <w:pPr>
              <w:spacing w:line="240" w:lineRule="auto"/>
              <w:rPr>
                <w:rFonts w:cs="Arial"/>
                <w:szCs w:val="20"/>
              </w:rPr>
            </w:pPr>
            <w:r w:rsidRPr="00D91956">
              <w:rPr>
                <w:rFonts w:cs="Arial"/>
                <w:szCs w:val="20"/>
              </w:rPr>
              <w:t>Inne składniki</w:t>
            </w:r>
          </w:p>
        </w:tc>
        <w:tc>
          <w:tcPr>
            <w:tcW w:w="4320" w:type="dxa"/>
          </w:tcPr>
          <w:p w14:paraId="6727497B" w14:textId="77777777" w:rsidR="00D91956" w:rsidRPr="00D91956" w:rsidRDefault="00D91956" w:rsidP="00D91956">
            <w:pPr>
              <w:spacing w:line="240" w:lineRule="auto"/>
              <w:rPr>
                <w:rFonts w:cs="Arial"/>
                <w:szCs w:val="20"/>
              </w:rPr>
            </w:pPr>
            <w:r w:rsidRPr="00D91956">
              <w:rPr>
                <w:rFonts w:cs="Arial"/>
                <w:szCs w:val="20"/>
              </w:rPr>
              <w:t>Żelazo i inne metale</w:t>
            </w:r>
          </w:p>
        </w:tc>
        <w:tc>
          <w:tcPr>
            <w:tcW w:w="2520" w:type="dxa"/>
          </w:tcPr>
          <w:p w14:paraId="693ADD68" w14:textId="77777777" w:rsidR="00D91956" w:rsidRPr="00D91956" w:rsidRDefault="00D91956" w:rsidP="00D91956">
            <w:pPr>
              <w:spacing w:line="240" w:lineRule="auto"/>
              <w:jc w:val="center"/>
              <w:rPr>
                <w:rFonts w:cs="Arial"/>
                <w:szCs w:val="20"/>
              </w:rPr>
            </w:pPr>
            <w:r w:rsidRPr="00D91956">
              <w:rPr>
                <w:rFonts w:cs="Arial"/>
                <w:szCs w:val="20"/>
              </w:rPr>
              <w:t>≤ 5</w:t>
            </w:r>
          </w:p>
        </w:tc>
      </w:tr>
      <w:tr w:rsidR="00D91956" w:rsidRPr="00D91956" w14:paraId="355B1B14" w14:textId="77777777" w:rsidTr="007B6855">
        <w:tc>
          <w:tcPr>
            <w:tcW w:w="2028" w:type="dxa"/>
            <w:vMerge w:val="restart"/>
          </w:tcPr>
          <w:p w14:paraId="260589E8" w14:textId="77777777" w:rsidR="00D91956" w:rsidRPr="00D91956" w:rsidRDefault="00D91956" w:rsidP="00D91956">
            <w:pPr>
              <w:spacing w:line="240" w:lineRule="auto"/>
              <w:rPr>
                <w:rFonts w:cs="Arial"/>
                <w:szCs w:val="20"/>
              </w:rPr>
            </w:pPr>
          </w:p>
          <w:p w14:paraId="3D885A34" w14:textId="77777777" w:rsidR="00D91956" w:rsidRPr="00D91956" w:rsidRDefault="00D91956" w:rsidP="00D91956">
            <w:pPr>
              <w:spacing w:line="240" w:lineRule="auto"/>
              <w:rPr>
                <w:rFonts w:cs="Arial"/>
                <w:szCs w:val="20"/>
              </w:rPr>
            </w:pPr>
            <w:r w:rsidRPr="00D91956">
              <w:rPr>
                <w:rFonts w:cs="Arial"/>
                <w:szCs w:val="20"/>
              </w:rPr>
              <w:t>Zanieczyszczenia</w:t>
            </w:r>
          </w:p>
        </w:tc>
        <w:tc>
          <w:tcPr>
            <w:tcW w:w="4320" w:type="dxa"/>
          </w:tcPr>
          <w:p w14:paraId="32F95D53" w14:textId="77777777" w:rsidR="00D91956" w:rsidRPr="00D91956" w:rsidRDefault="00D91956" w:rsidP="00D91956">
            <w:pPr>
              <w:spacing w:line="240" w:lineRule="auto"/>
              <w:rPr>
                <w:rFonts w:cs="Arial"/>
                <w:szCs w:val="20"/>
              </w:rPr>
            </w:pPr>
            <w:r w:rsidRPr="00D91956">
              <w:rPr>
                <w:rFonts w:cs="Arial"/>
                <w:szCs w:val="20"/>
              </w:rPr>
              <w:t>Składniki niespalone</w:t>
            </w:r>
          </w:p>
        </w:tc>
        <w:tc>
          <w:tcPr>
            <w:tcW w:w="2520" w:type="dxa"/>
          </w:tcPr>
          <w:p w14:paraId="237E0A3A" w14:textId="77777777" w:rsidR="00D91956" w:rsidRPr="00D91956" w:rsidRDefault="00D91956" w:rsidP="00D91956">
            <w:pPr>
              <w:spacing w:line="240" w:lineRule="auto"/>
              <w:jc w:val="center"/>
              <w:rPr>
                <w:rFonts w:cs="Arial"/>
                <w:szCs w:val="20"/>
              </w:rPr>
            </w:pPr>
            <w:r w:rsidRPr="00D91956">
              <w:rPr>
                <w:rFonts w:cs="Arial"/>
                <w:szCs w:val="20"/>
              </w:rPr>
              <w:t>≤ 6</w:t>
            </w:r>
          </w:p>
        </w:tc>
      </w:tr>
      <w:tr w:rsidR="00D91956" w:rsidRPr="00D91956" w14:paraId="1EED951B" w14:textId="77777777" w:rsidTr="007B6855">
        <w:tc>
          <w:tcPr>
            <w:tcW w:w="2028" w:type="dxa"/>
            <w:vMerge/>
          </w:tcPr>
          <w:p w14:paraId="032A971A" w14:textId="77777777" w:rsidR="00D91956" w:rsidRPr="00D91956" w:rsidRDefault="00D91956" w:rsidP="00D91956">
            <w:pPr>
              <w:spacing w:line="240" w:lineRule="auto"/>
              <w:rPr>
                <w:rFonts w:cs="Arial"/>
                <w:szCs w:val="20"/>
              </w:rPr>
            </w:pPr>
          </w:p>
        </w:tc>
        <w:tc>
          <w:tcPr>
            <w:tcW w:w="4320" w:type="dxa"/>
          </w:tcPr>
          <w:p w14:paraId="13F362D7" w14:textId="77777777" w:rsidR="00D91956" w:rsidRPr="00D91956" w:rsidRDefault="00D91956" w:rsidP="00D91956">
            <w:pPr>
              <w:spacing w:line="240" w:lineRule="auto"/>
              <w:rPr>
                <w:rFonts w:cs="Arial"/>
                <w:szCs w:val="20"/>
              </w:rPr>
            </w:pPr>
            <w:r w:rsidRPr="00D91956">
              <w:rPr>
                <w:rFonts w:cs="Arial"/>
                <w:szCs w:val="20"/>
              </w:rPr>
              <w:t>Składniki organiczne</w:t>
            </w:r>
          </w:p>
        </w:tc>
        <w:tc>
          <w:tcPr>
            <w:tcW w:w="2520" w:type="dxa"/>
          </w:tcPr>
          <w:p w14:paraId="7B2393E4" w14:textId="77777777" w:rsidR="00D91956" w:rsidRPr="00D91956" w:rsidRDefault="00D91956" w:rsidP="00D91956">
            <w:pPr>
              <w:spacing w:line="240" w:lineRule="auto"/>
              <w:jc w:val="center"/>
              <w:rPr>
                <w:rFonts w:cs="Arial"/>
                <w:szCs w:val="20"/>
              </w:rPr>
            </w:pPr>
            <w:r w:rsidRPr="00D91956">
              <w:rPr>
                <w:rFonts w:cs="Arial"/>
                <w:szCs w:val="20"/>
              </w:rPr>
              <w:t>≤ 5</w:t>
            </w:r>
          </w:p>
        </w:tc>
      </w:tr>
      <w:tr w:rsidR="00D91956" w:rsidRPr="00D91956" w14:paraId="0ACC3D5D" w14:textId="77777777" w:rsidTr="007B6855">
        <w:tc>
          <w:tcPr>
            <w:tcW w:w="2028" w:type="dxa"/>
            <w:vMerge/>
          </w:tcPr>
          <w:p w14:paraId="1B7DE947" w14:textId="77777777" w:rsidR="00D91956" w:rsidRPr="00D91956" w:rsidRDefault="00D91956" w:rsidP="00D91956">
            <w:pPr>
              <w:spacing w:line="240" w:lineRule="auto"/>
              <w:rPr>
                <w:rFonts w:cs="Arial"/>
                <w:szCs w:val="20"/>
              </w:rPr>
            </w:pPr>
          </w:p>
        </w:tc>
        <w:tc>
          <w:tcPr>
            <w:tcW w:w="4320" w:type="dxa"/>
          </w:tcPr>
          <w:p w14:paraId="486B12AC" w14:textId="77777777" w:rsidR="00D91956" w:rsidRPr="00D91956" w:rsidRDefault="00D91956" w:rsidP="00D91956">
            <w:pPr>
              <w:spacing w:line="240" w:lineRule="auto"/>
              <w:rPr>
                <w:rFonts w:cs="Arial"/>
                <w:szCs w:val="20"/>
              </w:rPr>
            </w:pPr>
            <w:r w:rsidRPr="00D91956">
              <w:rPr>
                <w:rFonts w:cs="Arial"/>
                <w:szCs w:val="20"/>
              </w:rPr>
              <w:t>Popiół lotny ze spalania odpadów komunalnych</w:t>
            </w:r>
          </w:p>
        </w:tc>
        <w:tc>
          <w:tcPr>
            <w:tcW w:w="2520" w:type="dxa"/>
          </w:tcPr>
          <w:p w14:paraId="4EB82E12" w14:textId="77777777" w:rsidR="00D91956" w:rsidRPr="00D91956" w:rsidRDefault="00D91956" w:rsidP="00D91956">
            <w:pPr>
              <w:spacing w:before="120" w:line="240" w:lineRule="auto"/>
              <w:jc w:val="center"/>
              <w:rPr>
                <w:rFonts w:cs="Arial"/>
                <w:szCs w:val="20"/>
              </w:rPr>
            </w:pPr>
            <w:r w:rsidRPr="00D91956">
              <w:rPr>
                <w:rFonts w:cs="Arial"/>
                <w:szCs w:val="20"/>
              </w:rPr>
              <w:t>0</w:t>
            </w:r>
          </w:p>
        </w:tc>
      </w:tr>
    </w:tbl>
    <w:p w14:paraId="585ABD93" w14:textId="77777777" w:rsidR="00D91956" w:rsidRPr="00D91956" w:rsidRDefault="00D91956" w:rsidP="00D91956">
      <w:pPr>
        <w:spacing w:line="240" w:lineRule="auto"/>
        <w:rPr>
          <w:rFonts w:cs="Arial"/>
          <w:b/>
          <w:szCs w:val="20"/>
        </w:rPr>
      </w:pPr>
    </w:p>
    <w:p w14:paraId="2C27915C" w14:textId="77777777" w:rsidR="00D91956" w:rsidRPr="00D91956" w:rsidRDefault="00D91956" w:rsidP="00D91956">
      <w:pPr>
        <w:spacing w:line="240" w:lineRule="auto"/>
        <w:jc w:val="right"/>
        <w:rPr>
          <w:rFonts w:cs="Arial"/>
          <w:b/>
          <w:szCs w:val="20"/>
        </w:rPr>
      </w:pPr>
    </w:p>
    <w:p w14:paraId="050051EA" w14:textId="77777777" w:rsidR="00D91956" w:rsidRPr="00D91956" w:rsidRDefault="00D91956" w:rsidP="00D91956">
      <w:pPr>
        <w:spacing w:line="240" w:lineRule="auto"/>
        <w:jc w:val="right"/>
        <w:rPr>
          <w:rFonts w:cs="Arial"/>
          <w:b/>
          <w:szCs w:val="20"/>
        </w:rPr>
      </w:pPr>
      <w:r w:rsidRPr="00D91956">
        <w:rPr>
          <w:rFonts w:cs="Arial"/>
          <w:b/>
          <w:szCs w:val="20"/>
        </w:rPr>
        <w:t>ZAŁĄCZNIK 2</w:t>
      </w:r>
    </w:p>
    <w:p w14:paraId="7853292A" w14:textId="77777777" w:rsidR="00D91956" w:rsidRPr="00D91956" w:rsidRDefault="00D91956" w:rsidP="00D91956">
      <w:pPr>
        <w:spacing w:before="120" w:line="240" w:lineRule="auto"/>
        <w:jc w:val="center"/>
        <w:rPr>
          <w:rFonts w:cs="Arial"/>
          <w:b/>
          <w:szCs w:val="20"/>
        </w:rPr>
      </w:pPr>
      <w:r w:rsidRPr="00D91956">
        <w:rPr>
          <w:rFonts w:cs="Arial"/>
          <w:b/>
          <w:szCs w:val="20"/>
        </w:rPr>
        <w:t>PODSTAWY  FORMALNE  OPRACOWANIA  OST</w:t>
      </w:r>
    </w:p>
    <w:p w14:paraId="295F2213" w14:textId="77777777" w:rsidR="00D91956" w:rsidRPr="00D91956" w:rsidRDefault="00D91956" w:rsidP="00D91956">
      <w:pPr>
        <w:pStyle w:val="Nagwek2"/>
        <w:spacing w:line="240" w:lineRule="auto"/>
        <w:rPr>
          <w:rFonts w:cs="Arial"/>
          <w:szCs w:val="20"/>
        </w:rPr>
      </w:pPr>
      <w:r w:rsidRPr="00D91956">
        <w:rPr>
          <w:rFonts w:cs="Arial"/>
          <w:szCs w:val="20"/>
        </w:rPr>
        <w:t>1. Normy i przepisy</w:t>
      </w:r>
    </w:p>
    <w:p w14:paraId="41AB0972" w14:textId="77777777" w:rsidR="00D91956" w:rsidRPr="00D91956" w:rsidRDefault="00D91956" w:rsidP="00D91956">
      <w:pPr>
        <w:spacing w:line="240" w:lineRule="auto"/>
        <w:rPr>
          <w:rFonts w:cs="Arial"/>
          <w:szCs w:val="20"/>
        </w:rPr>
      </w:pPr>
      <w:r w:rsidRPr="00D91956">
        <w:rPr>
          <w:rFonts w:cs="Arial"/>
          <w:szCs w:val="20"/>
        </w:rPr>
        <w:tab/>
        <w:t>W 2010 r. wprowadzono do zbioru Polskich Norm normę PN-EN 13285 „Mieszanki niezwiązane – Specyfikacja”.  Norma ta jest normą klasyfikacyjną, nie określającą bezpośrednio wymagań wobec mieszanek do konkretnych zastosowań.</w:t>
      </w:r>
    </w:p>
    <w:p w14:paraId="59962C62" w14:textId="77777777" w:rsidR="00D91956" w:rsidRPr="00D91956" w:rsidRDefault="00D91956" w:rsidP="00D91956">
      <w:pPr>
        <w:spacing w:line="240" w:lineRule="auto"/>
        <w:ind w:firstLine="709"/>
        <w:rPr>
          <w:rFonts w:cs="Arial"/>
          <w:szCs w:val="20"/>
        </w:rPr>
      </w:pPr>
      <w:r w:rsidRPr="00D91956">
        <w:rPr>
          <w:rFonts w:cs="Arial"/>
          <w:szCs w:val="20"/>
        </w:rPr>
        <w:t xml:space="preserve"> Wprowadzenie normy PN-EN 13285 do praktycznego stosowania umożliwia krajowy dokument aplikacyjny „Mieszanki niezwiązane do dróg krajowych, WT-4 2010 Wymagania techniczne”, zalecony do stosowania w specyfikacjach technicznych wykonania i odbioru robót budowlanych zarządzeniem nr 102 Generalnego Dyrektora Dróg Krajowych i Autostrad z dnia 19 listopada 2010 r.</w:t>
      </w:r>
    </w:p>
    <w:p w14:paraId="7131A0DD" w14:textId="77777777" w:rsidR="00D91956" w:rsidRPr="00D91956" w:rsidRDefault="00D91956" w:rsidP="00D91956">
      <w:pPr>
        <w:spacing w:line="240" w:lineRule="auto"/>
        <w:rPr>
          <w:rFonts w:cs="Arial"/>
          <w:szCs w:val="20"/>
        </w:rPr>
      </w:pPr>
      <w:r w:rsidRPr="00D91956">
        <w:rPr>
          <w:rFonts w:cs="Arial"/>
          <w:szCs w:val="20"/>
        </w:rPr>
        <w:tab/>
        <w:t>Norma PN-EN 13285 wprowadza stosowanie kruszyw zgodnych z normą PN-EN 13242, obejmujących kruszywa naturalne, sztuczne i kruszywa z recyklingu.</w:t>
      </w:r>
    </w:p>
    <w:p w14:paraId="17F52264" w14:textId="06A3FC1C" w:rsidR="00D91956" w:rsidRPr="00D91956" w:rsidRDefault="00D91956" w:rsidP="00D91956">
      <w:pPr>
        <w:spacing w:line="240" w:lineRule="auto"/>
        <w:rPr>
          <w:rFonts w:cs="Arial"/>
          <w:szCs w:val="20"/>
        </w:rPr>
      </w:pPr>
      <w:r w:rsidRPr="00D91956">
        <w:rPr>
          <w:rFonts w:cs="Arial"/>
          <w:szCs w:val="20"/>
        </w:rPr>
        <w:tab/>
        <w:t xml:space="preserve">Wyżej wymienione przepisy są podstawą do opracowania niniejszej </w:t>
      </w:r>
      <w:r w:rsidR="008F5EED">
        <w:rPr>
          <w:rFonts w:cs="Arial"/>
          <w:szCs w:val="20"/>
        </w:rPr>
        <w:t>S</w:t>
      </w:r>
      <w:r w:rsidRPr="00D91956">
        <w:rPr>
          <w:rFonts w:cs="Arial"/>
          <w:szCs w:val="20"/>
        </w:rPr>
        <w:t>ST.</w:t>
      </w:r>
    </w:p>
    <w:p w14:paraId="32352395" w14:textId="77777777" w:rsidR="00D91956" w:rsidRPr="00D91956" w:rsidRDefault="00D91956" w:rsidP="00D91956">
      <w:pPr>
        <w:spacing w:line="240" w:lineRule="auto"/>
        <w:rPr>
          <w:rFonts w:cs="Arial"/>
          <w:szCs w:val="20"/>
        </w:rPr>
      </w:pPr>
      <w:r w:rsidRPr="00D91956">
        <w:rPr>
          <w:rFonts w:cs="Arial"/>
          <w:szCs w:val="20"/>
        </w:rPr>
        <w:tab/>
        <w:t>Obecnie stosowane określenie „mieszanka kruszywa niezwiązanego” odpowiada dawniej stosowanemu określeniu „kruszywo stabilizowane mechanicznie”.</w:t>
      </w:r>
    </w:p>
    <w:p w14:paraId="3BA2C905" w14:textId="77777777" w:rsidR="00D91956" w:rsidRPr="00D91956" w:rsidRDefault="00D91956" w:rsidP="00D91956">
      <w:pPr>
        <w:pStyle w:val="Nagwek2"/>
        <w:spacing w:line="240" w:lineRule="auto"/>
        <w:rPr>
          <w:rFonts w:cs="Arial"/>
          <w:szCs w:val="20"/>
        </w:rPr>
      </w:pPr>
      <w:r w:rsidRPr="00D91956">
        <w:rPr>
          <w:rFonts w:cs="Arial"/>
          <w:szCs w:val="20"/>
        </w:rPr>
        <w:lastRenderedPageBreak/>
        <w:t>2. Schemat konstrukcji nawierzchni drogowej</w:t>
      </w:r>
    </w:p>
    <w:p w14:paraId="6F06A000" w14:textId="77777777" w:rsidR="00D91956" w:rsidRPr="00D91956" w:rsidRDefault="00D91956" w:rsidP="00D91956">
      <w:pPr>
        <w:spacing w:line="240" w:lineRule="auto"/>
        <w:rPr>
          <w:rFonts w:cs="Arial"/>
          <w:szCs w:val="20"/>
        </w:rPr>
      </w:pPr>
      <w:r w:rsidRPr="00D91956">
        <w:rPr>
          <w:rFonts w:cs="Arial"/>
          <w:szCs w:val="20"/>
        </w:rPr>
        <w:tab/>
        <w:t>Ogólny schemat konstrukcji nawierzchni drogowej podatnej i półsztywnej oraz podłoża, zgodnej z WT-4 2010, przedstawia poniższy szkic.</w:t>
      </w:r>
    </w:p>
    <w:p w14:paraId="6C35225F" w14:textId="77777777" w:rsidR="00D91956" w:rsidRPr="00D91956" w:rsidRDefault="00D91956" w:rsidP="00D91956">
      <w:pPr>
        <w:spacing w:line="240" w:lineRule="auto"/>
        <w:jc w:val="right"/>
        <w:rPr>
          <w:rFonts w:cs="Arial"/>
          <w:b/>
          <w:szCs w:val="20"/>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D91956" w:rsidRPr="00D91956" w14:paraId="06A754BF" w14:textId="77777777" w:rsidTr="007B6855">
        <w:tc>
          <w:tcPr>
            <w:tcW w:w="7308" w:type="dxa"/>
            <w:gridSpan w:val="2"/>
          </w:tcPr>
          <w:p w14:paraId="4D7498D0" w14:textId="77777777" w:rsidR="00D91956" w:rsidRPr="00D91956" w:rsidRDefault="00D91956" w:rsidP="00D91956">
            <w:pPr>
              <w:spacing w:line="240" w:lineRule="auto"/>
              <w:rPr>
                <w:rFonts w:cs="Arial"/>
                <w:szCs w:val="20"/>
              </w:rPr>
            </w:pPr>
            <w:r w:rsidRPr="00D91956">
              <w:rPr>
                <w:rFonts w:cs="Arial"/>
                <w:szCs w:val="20"/>
              </w:rPr>
              <w:t>warstwa ścieralna</w:t>
            </w:r>
          </w:p>
        </w:tc>
        <w:tc>
          <w:tcPr>
            <w:tcW w:w="1560" w:type="dxa"/>
            <w:vMerge w:val="restart"/>
          </w:tcPr>
          <w:p w14:paraId="0D17389C" w14:textId="77777777" w:rsidR="00D91956" w:rsidRPr="00D91956" w:rsidRDefault="00D91956" w:rsidP="00D91956">
            <w:pPr>
              <w:spacing w:line="240" w:lineRule="auto"/>
              <w:jc w:val="center"/>
              <w:rPr>
                <w:rFonts w:cs="Arial"/>
                <w:szCs w:val="20"/>
              </w:rPr>
            </w:pPr>
          </w:p>
          <w:p w14:paraId="4EE3725E" w14:textId="77777777" w:rsidR="00D91956" w:rsidRPr="00D91956" w:rsidRDefault="00D91956" w:rsidP="00D91956">
            <w:pPr>
              <w:spacing w:line="240" w:lineRule="auto"/>
              <w:jc w:val="center"/>
              <w:rPr>
                <w:rFonts w:cs="Arial"/>
                <w:szCs w:val="20"/>
              </w:rPr>
            </w:pPr>
            <w:r w:rsidRPr="00D91956">
              <w:rPr>
                <w:rFonts w:cs="Arial"/>
                <w:szCs w:val="20"/>
              </w:rPr>
              <w:t>nawierzchnia</w:t>
            </w:r>
          </w:p>
        </w:tc>
      </w:tr>
      <w:tr w:rsidR="00D91956" w:rsidRPr="00D91956" w14:paraId="5668B759" w14:textId="77777777" w:rsidTr="007B6855">
        <w:tc>
          <w:tcPr>
            <w:tcW w:w="7308" w:type="dxa"/>
            <w:gridSpan w:val="2"/>
          </w:tcPr>
          <w:p w14:paraId="5C6AD9A2" w14:textId="77777777" w:rsidR="00D91956" w:rsidRPr="00D91956" w:rsidRDefault="00D91956" w:rsidP="00D91956">
            <w:pPr>
              <w:spacing w:line="240" w:lineRule="auto"/>
              <w:rPr>
                <w:rFonts w:cs="Arial"/>
                <w:szCs w:val="20"/>
              </w:rPr>
            </w:pPr>
            <w:r w:rsidRPr="00D91956">
              <w:rPr>
                <w:rFonts w:cs="Arial"/>
                <w:szCs w:val="20"/>
              </w:rPr>
              <w:t>warstwa wiążąca</w:t>
            </w:r>
          </w:p>
        </w:tc>
        <w:tc>
          <w:tcPr>
            <w:tcW w:w="1560" w:type="dxa"/>
            <w:vMerge/>
          </w:tcPr>
          <w:p w14:paraId="0A2C092D" w14:textId="77777777" w:rsidR="00D91956" w:rsidRPr="00D91956" w:rsidRDefault="00D91956" w:rsidP="00D91956">
            <w:pPr>
              <w:spacing w:line="240" w:lineRule="auto"/>
              <w:rPr>
                <w:rFonts w:cs="Arial"/>
                <w:szCs w:val="20"/>
              </w:rPr>
            </w:pPr>
          </w:p>
        </w:tc>
      </w:tr>
      <w:tr w:rsidR="00D91956" w:rsidRPr="00D91956" w14:paraId="07A6598C" w14:textId="77777777" w:rsidTr="007B6855">
        <w:tc>
          <w:tcPr>
            <w:tcW w:w="3652" w:type="dxa"/>
          </w:tcPr>
          <w:p w14:paraId="0A4EAD6C" w14:textId="77777777" w:rsidR="00D91956" w:rsidRPr="00D91956" w:rsidRDefault="00D91956" w:rsidP="00D91956">
            <w:pPr>
              <w:spacing w:line="240" w:lineRule="auto"/>
              <w:rPr>
                <w:rFonts w:cs="Arial"/>
                <w:szCs w:val="20"/>
              </w:rPr>
            </w:pPr>
            <w:r w:rsidRPr="00D91956">
              <w:rPr>
                <w:rFonts w:cs="Arial"/>
                <w:szCs w:val="20"/>
              </w:rPr>
              <w:t>podbudowa zasadnicza</w:t>
            </w:r>
          </w:p>
        </w:tc>
        <w:tc>
          <w:tcPr>
            <w:tcW w:w="3656" w:type="dxa"/>
            <w:vMerge w:val="restart"/>
          </w:tcPr>
          <w:p w14:paraId="075FC4C8" w14:textId="77777777" w:rsidR="00D91956" w:rsidRPr="00D91956" w:rsidRDefault="00D91956" w:rsidP="00D91956">
            <w:pPr>
              <w:spacing w:before="120" w:line="240" w:lineRule="auto"/>
              <w:jc w:val="center"/>
              <w:rPr>
                <w:rFonts w:cs="Arial"/>
                <w:szCs w:val="20"/>
              </w:rPr>
            </w:pPr>
            <w:r w:rsidRPr="00D91956">
              <w:rPr>
                <w:rFonts w:cs="Arial"/>
                <w:szCs w:val="20"/>
              </w:rPr>
              <w:t>podbudowa</w:t>
            </w:r>
          </w:p>
        </w:tc>
        <w:tc>
          <w:tcPr>
            <w:tcW w:w="1560" w:type="dxa"/>
            <w:vMerge/>
          </w:tcPr>
          <w:p w14:paraId="000CD725" w14:textId="77777777" w:rsidR="00D91956" w:rsidRPr="00D91956" w:rsidRDefault="00D91956" w:rsidP="00D91956">
            <w:pPr>
              <w:spacing w:line="240" w:lineRule="auto"/>
              <w:rPr>
                <w:rFonts w:cs="Arial"/>
                <w:szCs w:val="20"/>
              </w:rPr>
            </w:pPr>
          </w:p>
        </w:tc>
      </w:tr>
      <w:tr w:rsidR="00D91956" w:rsidRPr="00D91956" w14:paraId="68ADF243" w14:textId="77777777" w:rsidTr="007B6855">
        <w:tc>
          <w:tcPr>
            <w:tcW w:w="3652" w:type="dxa"/>
          </w:tcPr>
          <w:p w14:paraId="13C5FEB2" w14:textId="77777777" w:rsidR="00D91956" w:rsidRPr="00D91956" w:rsidRDefault="00D91956" w:rsidP="00D91956">
            <w:pPr>
              <w:spacing w:line="240" w:lineRule="auto"/>
              <w:rPr>
                <w:rFonts w:cs="Arial"/>
                <w:szCs w:val="20"/>
              </w:rPr>
            </w:pPr>
            <w:r w:rsidRPr="00D91956">
              <w:rPr>
                <w:rFonts w:cs="Arial"/>
                <w:szCs w:val="20"/>
              </w:rPr>
              <w:t>podbudowa pomocnicza</w:t>
            </w:r>
          </w:p>
        </w:tc>
        <w:tc>
          <w:tcPr>
            <w:tcW w:w="3656" w:type="dxa"/>
            <w:vMerge/>
          </w:tcPr>
          <w:p w14:paraId="2DC8A197" w14:textId="77777777" w:rsidR="00D91956" w:rsidRPr="00D91956" w:rsidRDefault="00D91956" w:rsidP="00D91956">
            <w:pPr>
              <w:spacing w:line="240" w:lineRule="auto"/>
              <w:rPr>
                <w:rFonts w:cs="Arial"/>
                <w:szCs w:val="20"/>
              </w:rPr>
            </w:pPr>
          </w:p>
        </w:tc>
        <w:tc>
          <w:tcPr>
            <w:tcW w:w="1560" w:type="dxa"/>
            <w:vMerge/>
          </w:tcPr>
          <w:p w14:paraId="04EBE49C" w14:textId="77777777" w:rsidR="00D91956" w:rsidRPr="00D91956" w:rsidRDefault="00D91956" w:rsidP="00D91956">
            <w:pPr>
              <w:spacing w:line="240" w:lineRule="auto"/>
              <w:rPr>
                <w:rFonts w:cs="Arial"/>
                <w:szCs w:val="20"/>
              </w:rPr>
            </w:pPr>
          </w:p>
        </w:tc>
      </w:tr>
      <w:tr w:rsidR="00D91956" w:rsidRPr="00D91956" w14:paraId="1B80BFB8" w14:textId="77777777" w:rsidTr="007B6855">
        <w:tc>
          <w:tcPr>
            <w:tcW w:w="7308" w:type="dxa"/>
            <w:gridSpan w:val="2"/>
          </w:tcPr>
          <w:p w14:paraId="7433DA04" w14:textId="77777777" w:rsidR="00D91956" w:rsidRPr="00D91956" w:rsidRDefault="00D91956" w:rsidP="00D91956">
            <w:pPr>
              <w:spacing w:line="240" w:lineRule="auto"/>
              <w:rPr>
                <w:rFonts w:cs="Arial"/>
                <w:szCs w:val="20"/>
              </w:rPr>
            </w:pPr>
            <w:r w:rsidRPr="00D91956">
              <w:rPr>
                <w:rFonts w:cs="Arial"/>
                <w:szCs w:val="20"/>
              </w:rPr>
              <w:t xml:space="preserve">podłoże ulepszone (warstwa </w:t>
            </w:r>
            <w:proofErr w:type="spellStart"/>
            <w:r w:rsidRPr="00D91956">
              <w:rPr>
                <w:rFonts w:cs="Arial"/>
                <w:szCs w:val="20"/>
              </w:rPr>
              <w:t>mrozoochronna</w:t>
            </w:r>
            <w:proofErr w:type="spellEnd"/>
            <w:r w:rsidRPr="00D91956">
              <w:rPr>
                <w:rFonts w:cs="Arial"/>
                <w:szCs w:val="20"/>
              </w:rPr>
              <w:t>, odsączająca, odcinająca, wzmacniająca)</w:t>
            </w:r>
          </w:p>
        </w:tc>
        <w:tc>
          <w:tcPr>
            <w:tcW w:w="1560" w:type="dxa"/>
            <w:vMerge w:val="restart"/>
          </w:tcPr>
          <w:p w14:paraId="043FB7F4" w14:textId="77777777" w:rsidR="00D91956" w:rsidRPr="00D91956" w:rsidRDefault="00D91956" w:rsidP="00D91956">
            <w:pPr>
              <w:spacing w:before="120" w:line="240" w:lineRule="auto"/>
              <w:jc w:val="center"/>
              <w:rPr>
                <w:rFonts w:cs="Arial"/>
                <w:szCs w:val="20"/>
              </w:rPr>
            </w:pPr>
            <w:r w:rsidRPr="00D91956">
              <w:rPr>
                <w:rFonts w:cs="Arial"/>
                <w:szCs w:val="20"/>
              </w:rPr>
              <w:t>podłoże</w:t>
            </w:r>
          </w:p>
        </w:tc>
      </w:tr>
      <w:tr w:rsidR="00D91956" w:rsidRPr="00D91956" w14:paraId="7D1CE8CE" w14:textId="77777777" w:rsidTr="007B6855">
        <w:tc>
          <w:tcPr>
            <w:tcW w:w="7308" w:type="dxa"/>
            <w:gridSpan w:val="2"/>
          </w:tcPr>
          <w:p w14:paraId="3547B289" w14:textId="77777777" w:rsidR="00D91956" w:rsidRPr="00D91956" w:rsidRDefault="00D91956" w:rsidP="00D91956">
            <w:pPr>
              <w:spacing w:line="240" w:lineRule="auto"/>
              <w:rPr>
                <w:rFonts w:cs="Arial"/>
                <w:szCs w:val="20"/>
              </w:rPr>
            </w:pPr>
            <w:r w:rsidRPr="00D91956">
              <w:rPr>
                <w:rFonts w:cs="Arial"/>
                <w:szCs w:val="20"/>
              </w:rPr>
              <w:t>podłoże gruntowe</w:t>
            </w:r>
          </w:p>
        </w:tc>
        <w:tc>
          <w:tcPr>
            <w:tcW w:w="1560" w:type="dxa"/>
            <w:vMerge/>
          </w:tcPr>
          <w:p w14:paraId="1A99108E" w14:textId="77777777" w:rsidR="00D91956" w:rsidRPr="00D91956" w:rsidRDefault="00D91956" w:rsidP="00D91956">
            <w:pPr>
              <w:spacing w:line="240" w:lineRule="auto"/>
              <w:rPr>
                <w:rFonts w:cs="Arial"/>
                <w:b/>
                <w:szCs w:val="20"/>
              </w:rPr>
            </w:pPr>
          </w:p>
        </w:tc>
      </w:tr>
    </w:tbl>
    <w:p w14:paraId="7A3DEE24" w14:textId="77777777" w:rsidR="00D91956" w:rsidRPr="00D91956" w:rsidRDefault="00D91956" w:rsidP="008F5EED">
      <w:pPr>
        <w:spacing w:after="120" w:line="240" w:lineRule="auto"/>
        <w:rPr>
          <w:rFonts w:cs="Arial"/>
          <w:szCs w:val="20"/>
        </w:rPr>
      </w:pPr>
    </w:p>
    <w:p w14:paraId="34E5C4E1" w14:textId="77777777" w:rsidR="00D91956" w:rsidRPr="00D91956" w:rsidRDefault="00D91956" w:rsidP="00D91956">
      <w:pPr>
        <w:spacing w:after="120" w:line="240" w:lineRule="auto"/>
        <w:ind w:left="284" w:hanging="284"/>
        <w:jc w:val="right"/>
        <w:rPr>
          <w:rFonts w:cs="Arial"/>
          <w:b/>
          <w:szCs w:val="20"/>
        </w:rPr>
      </w:pPr>
      <w:r w:rsidRPr="00D91956">
        <w:rPr>
          <w:rFonts w:cs="Arial"/>
          <w:b/>
          <w:szCs w:val="20"/>
        </w:rPr>
        <w:t>ZAŁĄCZNIK 3</w:t>
      </w:r>
    </w:p>
    <w:p w14:paraId="6DBEC892" w14:textId="77777777" w:rsidR="00D91956" w:rsidRPr="00D91956" w:rsidRDefault="00D91956" w:rsidP="00D91956">
      <w:pPr>
        <w:spacing w:after="120" w:line="240" w:lineRule="auto"/>
        <w:ind w:left="284" w:hanging="284"/>
        <w:jc w:val="center"/>
        <w:rPr>
          <w:rFonts w:cs="Arial"/>
          <w:b/>
          <w:szCs w:val="20"/>
        </w:rPr>
      </w:pPr>
      <w:r w:rsidRPr="00D91956">
        <w:rPr>
          <w:rFonts w:cs="Arial"/>
          <w:b/>
          <w:szCs w:val="20"/>
        </w:rPr>
        <w:t>STOSOWANIE  PODŁOŻA  ULEPSZONEGO</w:t>
      </w:r>
    </w:p>
    <w:p w14:paraId="4B218B44" w14:textId="77777777" w:rsidR="00D91956" w:rsidRPr="00D91956" w:rsidRDefault="00D91956" w:rsidP="00D91956">
      <w:pPr>
        <w:spacing w:line="240" w:lineRule="auto"/>
        <w:rPr>
          <w:rFonts w:cs="Arial"/>
          <w:szCs w:val="20"/>
        </w:rPr>
      </w:pPr>
      <w:r w:rsidRPr="00D91956">
        <w:rPr>
          <w:rFonts w:cs="Arial"/>
          <w:szCs w:val="20"/>
        </w:rPr>
        <w:tab/>
        <w:t>Warstwa podłoża ulepszonego jest to wierzchnia warstwa podłoża gruntowego, która została ulepszona w celu zwiększenia nośności słabego gruntu rodzimego w wykopie, umożliwienia przejęcia ruchu budowlanego, ochrony gruntu rodzimego przed  deformacjami powodowanymi przez ciężki ruch budowlany i właściwego wykonania wyżej leżących warstw konstrukcji nawierzchni.</w:t>
      </w:r>
    </w:p>
    <w:p w14:paraId="60E87DDA" w14:textId="77777777" w:rsidR="00D91956" w:rsidRPr="00D91956" w:rsidRDefault="00D91956" w:rsidP="00D91956">
      <w:pPr>
        <w:spacing w:line="240" w:lineRule="auto"/>
        <w:rPr>
          <w:rFonts w:cs="Arial"/>
          <w:szCs w:val="20"/>
        </w:rPr>
      </w:pPr>
      <w:r w:rsidRPr="00D91956">
        <w:rPr>
          <w:rFonts w:cs="Arial"/>
          <w:szCs w:val="20"/>
        </w:rPr>
        <w:tab/>
        <w:t>Warstwa podłoża ulepszonego występuje w wykopach, gdy nośność podłoża rodzimego jest niewystarczająca. Warstwa podłoża ulepszonego nie występuje w wykopach jeśli nośność gruntu rodzimego jest zadowalająca.</w:t>
      </w:r>
    </w:p>
    <w:p w14:paraId="5230FF58" w14:textId="77777777" w:rsidR="00D91956" w:rsidRPr="00D91956" w:rsidRDefault="00D91956" w:rsidP="00D91956">
      <w:pPr>
        <w:spacing w:line="240" w:lineRule="auto"/>
        <w:rPr>
          <w:rFonts w:cs="Arial"/>
          <w:szCs w:val="20"/>
        </w:rPr>
      </w:pPr>
      <w:r w:rsidRPr="00D91956">
        <w:rPr>
          <w:rFonts w:cs="Arial"/>
          <w:szCs w:val="20"/>
        </w:rPr>
        <w:tab/>
        <w:t>Warstwa podłoża ulepszonego nie występuje w nasypach, których warstwy górne powinny być wykonane z gruntów o zadowalającej nośności.</w:t>
      </w:r>
    </w:p>
    <w:p w14:paraId="3CC0A311" w14:textId="0EFC3C84" w:rsidR="00D91956" w:rsidRPr="00D91956" w:rsidRDefault="00D91956" w:rsidP="00D91956">
      <w:pPr>
        <w:spacing w:line="240" w:lineRule="auto"/>
        <w:rPr>
          <w:rFonts w:cs="Arial"/>
          <w:szCs w:val="20"/>
        </w:rPr>
      </w:pPr>
      <w:r w:rsidRPr="00D91956">
        <w:rPr>
          <w:rFonts w:cs="Arial"/>
          <w:szCs w:val="20"/>
        </w:rPr>
        <w:tab/>
        <w:t xml:space="preserve">Warstwa podłoża ulepszonego może być wykonana z mieszanki kruszywa niezwiązanego, według niniejszej </w:t>
      </w:r>
      <w:r w:rsidR="008F5EED">
        <w:rPr>
          <w:rFonts w:cs="Arial"/>
          <w:szCs w:val="20"/>
        </w:rPr>
        <w:t>S</w:t>
      </w:r>
      <w:r w:rsidRPr="00D91956">
        <w:rPr>
          <w:rFonts w:cs="Arial"/>
          <w:szCs w:val="20"/>
        </w:rPr>
        <w:t xml:space="preserve">ST, będąc materiałem nośnym, niespoistym i </w:t>
      </w:r>
      <w:proofErr w:type="spellStart"/>
      <w:r w:rsidRPr="00D91956">
        <w:rPr>
          <w:rFonts w:cs="Arial"/>
          <w:szCs w:val="20"/>
        </w:rPr>
        <w:t>niewysadzinowym</w:t>
      </w:r>
      <w:proofErr w:type="spellEnd"/>
      <w:r w:rsidRPr="00D91956">
        <w:rPr>
          <w:rFonts w:cs="Arial"/>
          <w:szCs w:val="20"/>
        </w:rPr>
        <w:t>.</w:t>
      </w:r>
    </w:p>
    <w:p w14:paraId="453CA3AF" w14:textId="77777777" w:rsidR="00D91956" w:rsidRPr="00D91956" w:rsidRDefault="00D91956" w:rsidP="00D91956">
      <w:pPr>
        <w:spacing w:line="240" w:lineRule="auto"/>
        <w:rPr>
          <w:rFonts w:cs="Arial"/>
          <w:szCs w:val="20"/>
        </w:rPr>
      </w:pPr>
      <w:r w:rsidRPr="00D91956">
        <w:rPr>
          <w:rFonts w:cs="Arial"/>
          <w:szCs w:val="20"/>
        </w:rPr>
        <w:tab/>
        <w:t xml:space="preserve">Warstwa podłoża ulepszonego spełnia funkcję warstwy </w:t>
      </w:r>
      <w:proofErr w:type="spellStart"/>
      <w:r w:rsidRPr="00D91956">
        <w:rPr>
          <w:rFonts w:cs="Arial"/>
          <w:szCs w:val="20"/>
        </w:rPr>
        <w:t>mrozoochronnej</w:t>
      </w:r>
      <w:proofErr w:type="spellEnd"/>
      <w:r w:rsidRPr="00D91956">
        <w:rPr>
          <w:rFonts w:cs="Arial"/>
          <w:szCs w:val="20"/>
        </w:rPr>
        <w:t>, zapewniając odpowiednią nośność materiału oraz charakteryzując się wodoprzepuszczalnością k &gt; 8 m/dobę (0,0093 cm/s), umożliwiającą odprowadzenie większej ilości sączącej się wody, co pozwala na pełnienie roli warstwy odsączającej.</w:t>
      </w:r>
    </w:p>
    <w:p w14:paraId="4260489D" w14:textId="77777777" w:rsidR="00D91956" w:rsidRPr="00D91956" w:rsidRDefault="00D91956" w:rsidP="00D91956">
      <w:pPr>
        <w:spacing w:line="240" w:lineRule="auto"/>
        <w:rPr>
          <w:rFonts w:cs="Arial"/>
          <w:szCs w:val="20"/>
        </w:rPr>
      </w:pPr>
      <w:r w:rsidRPr="00D91956">
        <w:rPr>
          <w:rFonts w:cs="Arial"/>
          <w:szCs w:val="20"/>
        </w:rPr>
        <w:tab/>
        <w:t xml:space="preserve">Zarówno warstwa odsączająca jak i warstwa </w:t>
      </w:r>
      <w:proofErr w:type="spellStart"/>
      <w:r w:rsidRPr="00D91956">
        <w:rPr>
          <w:rFonts w:cs="Arial"/>
          <w:szCs w:val="20"/>
        </w:rPr>
        <w:t>mrozoochronna</w:t>
      </w:r>
      <w:proofErr w:type="spellEnd"/>
      <w:r w:rsidRPr="00D91956">
        <w:rPr>
          <w:rFonts w:cs="Arial"/>
          <w:szCs w:val="20"/>
        </w:rPr>
        <w:t xml:space="preserve"> wykonana z kruszywa muszą być wyprowadzone w nasypie na krawędź skarpy, a w wykopie do drenu podłużnego lub </w:t>
      </w:r>
      <w:smartTag w:uri="urn:schemas-microsoft-com:office:smarttags" w:element="metricconverter">
        <w:smartTagPr>
          <w:attr w:name="ProductID" w:val="20 cm"/>
        </w:smartTagPr>
        <w:r w:rsidRPr="00D91956">
          <w:rPr>
            <w:rFonts w:cs="Arial"/>
            <w:szCs w:val="20"/>
          </w:rPr>
          <w:t>20 cm</w:t>
        </w:r>
      </w:smartTag>
      <w:r w:rsidRPr="00D91956">
        <w:rPr>
          <w:rFonts w:cs="Arial"/>
          <w:szCs w:val="20"/>
        </w:rPr>
        <w:t xml:space="preserve"> nad poziom dna rowu.</w:t>
      </w:r>
    </w:p>
    <w:p w14:paraId="03E58C8D" w14:textId="77777777" w:rsidR="00546967" w:rsidRPr="00416677" w:rsidRDefault="00546967" w:rsidP="00416677">
      <w:pPr>
        <w:spacing w:line="240" w:lineRule="auto"/>
      </w:pPr>
    </w:p>
    <w:p w14:paraId="1269CBAA" w14:textId="58F9A147" w:rsidR="005932F2" w:rsidRPr="006431C4" w:rsidRDefault="005932F2" w:rsidP="005932F2">
      <w:pPr>
        <w:pStyle w:val="Nagwek4"/>
        <w:shd w:val="clear" w:color="auto" w:fill="FFFFFF" w:themeFill="background1"/>
        <w:spacing w:before="240" w:line="240" w:lineRule="auto"/>
        <w:jc w:val="both"/>
        <w:rPr>
          <w:rFonts w:cs="Arial"/>
        </w:rPr>
      </w:pPr>
      <w:bookmarkStart w:id="902" w:name="_Toc111635982"/>
      <w:r w:rsidRPr="006431C4">
        <w:rPr>
          <w:rFonts w:cs="Arial"/>
        </w:rPr>
        <w:t>D-04.04.02</w:t>
      </w:r>
      <w:r w:rsidR="00F25E60">
        <w:rPr>
          <w:rFonts w:cs="Arial"/>
        </w:rPr>
        <w:t>a</w:t>
      </w:r>
      <w:r w:rsidRPr="006431C4">
        <w:rPr>
          <w:rFonts w:cs="Arial"/>
        </w:rPr>
        <w:t xml:space="preserve"> – PODBUDOWA </w:t>
      </w:r>
      <w:r w:rsidR="00F25E60">
        <w:rPr>
          <w:rFonts w:cs="Arial"/>
        </w:rPr>
        <w:t>POMOCNICZA</w:t>
      </w:r>
      <w:r w:rsidRPr="006431C4">
        <w:rPr>
          <w:rFonts w:cs="Arial"/>
        </w:rPr>
        <w:t xml:space="preserve"> Z MIESZANKI KRUSZYWA NIEZWIĄZANEGO</w:t>
      </w:r>
      <w:bookmarkEnd w:id="902"/>
    </w:p>
    <w:p w14:paraId="6D506E15" w14:textId="77777777" w:rsidR="00F25E60" w:rsidRPr="00F25E60" w:rsidRDefault="00F25E60" w:rsidP="00F25E60">
      <w:pPr>
        <w:pStyle w:val="Nagwek1"/>
        <w:spacing w:line="240" w:lineRule="auto"/>
        <w:rPr>
          <w:rFonts w:cs="Arial"/>
          <w:szCs w:val="20"/>
        </w:rPr>
      </w:pPr>
      <w:bookmarkStart w:id="903" w:name="_Toc348096806"/>
      <w:r w:rsidRPr="00F25E60">
        <w:rPr>
          <w:rFonts w:cs="Arial"/>
          <w:szCs w:val="20"/>
        </w:rPr>
        <w:t>1. Wstęp</w:t>
      </w:r>
      <w:bookmarkEnd w:id="903"/>
    </w:p>
    <w:p w14:paraId="419C0461" w14:textId="2F329CC5" w:rsidR="00F25E60" w:rsidRPr="00F25E60" w:rsidRDefault="00F25E60" w:rsidP="00F25E60">
      <w:pPr>
        <w:pStyle w:val="Nagwek2"/>
        <w:spacing w:line="240" w:lineRule="auto"/>
        <w:rPr>
          <w:rFonts w:cs="Arial"/>
          <w:szCs w:val="20"/>
        </w:rPr>
      </w:pPr>
      <w:r w:rsidRPr="00F25E60">
        <w:rPr>
          <w:rFonts w:cs="Arial"/>
          <w:szCs w:val="20"/>
        </w:rPr>
        <w:t xml:space="preserve">1.1. Przedmiot </w:t>
      </w:r>
      <w:r>
        <w:rPr>
          <w:rFonts w:cs="Arial"/>
          <w:szCs w:val="20"/>
        </w:rPr>
        <w:t>S</w:t>
      </w:r>
      <w:r w:rsidRPr="00F25E60">
        <w:rPr>
          <w:rFonts w:cs="Arial"/>
          <w:szCs w:val="20"/>
        </w:rPr>
        <w:t>ST</w:t>
      </w:r>
    </w:p>
    <w:p w14:paraId="1960D4AF" w14:textId="5DC76F74" w:rsidR="00F25E60" w:rsidRPr="00F25E60" w:rsidRDefault="00F25E60" w:rsidP="00F25E60">
      <w:pPr>
        <w:pStyle w:val="Standardowytekst"/>
        <w:rPr>
          <w:rFonts w:ascii="Arial" w:hAnsi="Arial" w:cs="Arial"/>
        </w:rPr>
      </w:pPr>
      <w:r w:rsidRPr="00F25E60">
        <w:rPr>
          <w:rFonts w:ascii="Arial" w:hAnsi="Arial" w:cs="Arial"/>
        </w:rPr>
        <w:tab/>
        <w:t xml:space="preserve">Przedmiotem niniejszej </w:t>
      </w:r>
      <w:r>
        <w:rPr>
          <w:rFonts w:ascii="Arial" w:hAnsi="Arial" w:cs="Arial"/>
        </w:rPr>
        <w:t>szczegółowe</w:t>
      </w:r>
      <w:r w:rsidRPr="00F25E60">
        <w:rPr>
          <w:rFonts w:ascii="Arial" w:hAnsi="Arial" w:cs="Arial"/>
        </w:rPr>
        <w:t>j specyfikacji technicznej (OST) są wymagania dotyczące wykonania i odbioru robót związanych z wykonaniem podbudowy pomocniczej z mieszanki kruszywa niezwiązanego.</w:t>
      </w:r>
    </w:p>
    <w:p w14:paraId="32CBF014" w14:textId="1058744A" w:rsidR="00F25E60" w:rsidRPr="00F25E60" w:rsidRDefault="00F25E60" w:rsidP="00F25E60">
      <w:pPr>
        <w:pStyle w:val="Nagwek2"/>
        <w:spacing w:line="240" w:lineRule="auto"/>
        <w:rPr>
          <w:rFonts w:cs="Arial"/>
          <w:szCs w:val="20"/>
        </w:rPr>
      </w:pPr>
      <w:r w:rsidRPr="00F25E60">
        <w:rPr>
          <w:rFonts w:cs="Arial"/>
          <w:szCs w:val="20"/>
        </w:rPr>
        <w:t xml:space="preserve">1.2. Zakres stosowania </w:t>
      </w:r>
      <w:r>
        <w:rPr>
          <w:rFonts w:cs="Arial"/>
          <w:szCs w:val="20"/>
        </w:rPr>
        <w:t>S</w:t>
      </w:r>
      <w:r w:rsidRPr="00F25E60">
        <w:rPr>
          <w:rFonts w:cs="Arial"/>
          <w:szCs w:val="20"/>
        </w:rPr>
        <w:t>ST</w:t>
      </w:r>
    </w:p>
    <w:p w14:paraId="2796FAC5" w14:textId="77777777" w:rsidR="00F25E60" w:rsidRPr="006431C4" w:rsidRDefault="00F25E60" w:rsidP="00F25E60">
      <w:pPr>
        <w:shd w:val="clear" w:color="auto" w:fill="FFFFFF" w:themeFill="background1"/>
        <w:tabs>
          <w:tab w:val="left" w:pos="142"/>
        </w:tabs>
        <w:spacing w:line="240" w:lineRule="auto"/>
        <w:jc w:val="both"/>
        <w:rPr>
          <w:rFonts w:cs="Arial"/>
          <w:szCs w:val="20"/>
        </w:rPr>
      </w:pPr>
      <w:r w:rsidRPr="00F25E60">
        <w:rPr>
          <w:rFonts w:cs="Arial"/>
          <w:szCs w:val="20"/>
        </w:rPr>
        <w:tab/>
      </w:r>
      <w:r w:rsidRPr="00416677">
        <w:rPr>
          <w:rFonts w:cs="Arial"/>
          <w:szCs w:val="20"/>
        </w:rPr>
        <w:tab/>
      </w: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2122030382"/>
        <w:placeholder>
          <w:docPart w:val="BF0126405B4744CAB5A602047A2656CD"/>
        </w:placeholder>
        <w:dataBinding w:prefixMappings="xmlns:ns0='http://purl.org/dc/elements/1.1/' xmlns:ns1='http://schemas.openxmlformats.org/package/2006/metadata/core-properties' " w:xpath="/ns1:coreProperties[1]/ns0:subject[1]" w:storeItemID="{6C3C8BC8-F283-45AE-878A-BAB7291924A1}"/>
        <w:text/>
      </w:sdtPr>
      <w:sdtEndPr/>
      <w:sdtContent>
        <w:p w14:paraId="54C5F313" w14:textId="56F25F18" w:rsidR="00F25E60" w:rsidRPr="00F25E60" w:rsidRDefault="00F25E60" w:rsidP="00F25E60">
          <w:pPr>
            <w:shd w:val="clear" w:color="auto" w:fill="FFFFFF" w:themeFill="background1"/>
            <w:tabs>
              <w:tab w:val="left" w:pos="142"/>
            </w:tabs>
            <w:spacing w:line="240" w:lineRule="auto"/>
            <w:jc w:val="both"/>
            <w:rPr>
              <w:rFonts w:cs="Arial"/>
              <w:szCs w:val="20"/>
            </w:rPr>
          </w:pPr>
          <w:r>
            <w:rPr>
              <w:rFonts w:cs="Arial"/>
              <w:szCs w:val="20"/>
            </w:rPr>
            <w:t>„Przebudowa drogi wojewódzkiej nr 957 w miejscowości Jabłonka odc. referencyjny 100 w km 9+073.78 - 9+279.58 (budowa chodnika) "</w:t>
          </w:r>
        </w:p>
      </w:sdtContent>
    </w:sdt>
    <w:p w14:paraId="490B0881" w14:textId="0F6E5751" w:rsidR="00F25E60" w:rsidRPr="00F25E60" w:rsidRDefault="00F25E60" w:rsidP="00F25E60">
      <w:pPr>
        <w:pStyle w:val="Nagwek2"/>
        <w:spacing w:line="240" w:lineRule="auto"/>
        <w:rPr>
          <w:rFonts w:cs="Arial"/>
          <w:szCs w:val="20"/>
        </w:rPr>
      </w:pPr>
      <w:r w:rsidRPr="00F25E60">
        <w:rPr>
          <w:rFonts w:cs="Arial"/>
          <w:szCs w:val="20"/>
        </w:rPr>
        <w:t xml:space="preserve">1.3. Zakres robót objętych </w:t>
      </w:r>
      <w:r w:rsidR="00C968CE">
        <w:rPr>
          <w:rFonts w:cs="Arial"/>
          <w:szCs w:val="20"/>
        </w:rPr>
        <w:t>S</w:t>
      </w:r>
      <w:r w:rsidRPr="00F25E60">
        <w:rPr>
          <w:rFonts w:cs="Arial"/>
          <w:szCs w:val="20"/>
        </w:rPr>
        <w:t>ST</w:t>
      </w:r>
    </w:p>
    <w:p w14:paraId="47520638" w14:textId="77777777" w:rsidR="00F25E60" w:rsidRPr="00F25E60" w:rsidRDefault="00F25E60" w:rsidP="00F25E60">
      <w:pPr>
        <w:spacing w:line="240" w:lineRule="auto"/>
        <w:rPr>
          <w:rFonts w:cs="Arial"/>
          <w:szCs w:val="20"/>
        </w:rPr>
      </w:pPr>
      <w:r w:rsidRPr="00F25E60">
        <w:rPr>
          <w:rFonts w:cs="Arial"/>
          <w:szCs w:val="20"/>
        </w:rPr>
        <w:tab/>
        <w:t>Ustalenia zawarte w niniejszej specyfikacji dotyczą zasad prowadzenia robót związanych z wykonaniem i odbiorem podbudowy pomocniczej z mieszanki kruszywa niezwiązanego, tj. ziarnistego materiału o określonym składzie, w procesie technologicznym, polegającym na odpowiednim zagęszczeniu przy optymalnej wilgotności mieszanki.</w:t>
      </w:r>
    </w:p>
    <w:p w14:paraId="30C56584" w14:textId="77777777" w:rsidR="00F25E60" w:rsidRPr="00F25E60" w:rsidRDefault="00F25E60" w:rsidP="00F25E60">
      <w:pPr>
        <w:spacing w:line="240" w:lineRule="auto"/>
        <w:rPr>
          <w:rFonts w:cs="Arial"/>
          <w:szCs w:val="20"/>
        </w:rPr>
      </w:pPr>
      <w:r w:rsidRPr="00F25E60">
        <w:rPr>
          <w:rFonts w:cs="Arial"/>
          <w:szCs w:val="20"/>
        </w:rPr>
        <w:tab/>
        <w:t>Mieszanka niezwiązana może być wytworzona z kruszyw naturalnych, sztucznych, kruszyw z recyklingu oraz mieszanin tych kruszyw w określonych proporcjach.</w:t>
      </w:r>
    </w:p>
    <w:p w14:paraId="1FD44442" w14:textId="77777777" w:rsidR="00F25E60" w:rsidRPr="00F25E60" w:rsidRDefault="00F25E60" w:rsidP="00F25E60">
      <w:pPr>
        <w:spacing w:line="240" w:lineRule="auto"/>
        <w:rPr>
          <w:rFonts w:cs="Arial"/>
          <w:szCs w:val="20"/>
        </w:rPr>
      </w:pPr>
      <w:r w:rsidRPr="00F25E60">
        <w:rPr>
          <w:rFonts w:cs="Arial"/>
          <w:szCs w:val="20"/>
        </w:rPr>
        <w:tab/>
        <w:t>Podbudowa pomocnicza, stanowiąca dolną część konstrukcji nawierzchni drogowej, zapewnia przenoszenie obciążeń z podbudowy zasadniczej na podłoże.</w:t>
      </w:r>
    </w:p>
    <w:p w14:paraId="2D4B6082" w14:textId="77777777" w:rsidR="00F25E60" w:rsidRPr="00F25E60" w:rsidRDefault="00F25E60" w:rsidP="00F25E60">
      <w:pPr>
        <w:spacing w:line="240" w:lineRule="auto"/>
        <w:ind w:firstLine="709"/>
        <w:rPr>
          <w:rFonts w:cs="Arial"/>
          <w:szCs w:val="20"/>
        </w:rPr>
      </w:pPr>
      <w:r w:rsidRPr="00F25E60">
        <w:rPr>
          <w:rFonts w:cs="Arial"/>
          <w:szCs w:val="20"/>
        </w:rPr>
        <w:t>Podbudowa pomocnicza z mieszanki kruszywa niezwiązanego może być wykonywana w konstrukcji  drogi obciążonej ruchem kategorii KR1÷KR6.</w:t>
      </w:r>
    </w:p>
    <w:p w14:paraId="3FC22E79" w14:textId="77777777" w:rsidR="00F25E60" w:rsidRPr="00F25E60" w:rsidRDefault="00F25E60" w:rsidP="00F25E60">
      <w:pPr>
        <w:pStyle w:val="Nagwek2"/>
        <w:spacing w:line="240" w:lineRule="auto"/>
        <w:rPr>
          <w:rFonts w:cs="Arial"/>
          <w:szCs w:val="20"/>
        </w:rPr>
      </w:pPr>
      <w:r w:rsidRPr="00F25E60">
        <w:rPr>
          <w:rFonts w:cs="Arial"/>
          <w:szCs w:val="20"/>
        </w:rPr>
        <w:t>1.4. Określenia podstawowe</w:t>
      </w:r>
    </w:p>
    <w:p w14:paraId="177DAA3B" w14:textId="77777777" w:rsidR="00F25E60" w:rsidRPr="00F25E60" w:rsidRDefault="00F25E60" w:rsidP="00F25E60">
      <w:pPr>
        <w:pStyle w:val="Bezodstpw"/>
        <w:rPr>
          <w:rFonts w:cs="Arial"/>
          <w:szCs w:val="20"/>
        </w:rPr>
      </w:pPr>
      <w:r w:rsidRPr="00F25E60">
        <w:rPr>
          <w:rFonts w:cs="Arial"/>
          <w:b/>
          <w:szCs w:val="20"/>
        </w:rPr>
        <w:t>1.4.1.</w:t>
      </w:r>
      <w:r w:rsidRPr="00F25E60">
        <w:rPr>
          <w:rFonts w:cs="Arial"/>
          <w:szCs w:val="20"/>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4AF85DD8" w14:textId="77777777" w:rsidR="00F25E60" w:rsidRPr="00F25E60" w:rsidRDefault="00F25E60" w:rsidP="00F25E60">
      <w:pPr>
        <w:pStyle w:val="Bezodstpw"/>
        <w:spacing w:before="120"/>
        <w:rPr>
          <w:rFonts w:cs="Arial"/>
          <w:szCs w:val="20"/>
        </w:rPr>
      </w:pPr>
      <w:r w:rsidRPr="00F25E60">
        <w:rPr>
          <w:rFonts w:cs="Arial"/>
          <w:b/>
          <w:szCs w:val="20"/>
        </w:rPr>
        <w:t>1.4.2.</w:t>
      </w:r>
      <w:r w:rsidRPr="00F25E60">
        <w:rPr>
          <w:rFonts w:cs="Arial"/>
          <w:szCs w:val="20"/>
        </w:rPr>
        <w:t xml:space="preserve"> Kategoria – charakterystyczny poziom właściwości kruszywa lub mieszanki niezwiązanej, wyrażony, jako przedział wartości lub wartość graniczna. Nie ma zależności pomiędzy kategoriami różnych właściwości.</w:t>
      </w:r>
    </w:p>
    <w:p w14:paraId="3534FB17" w14:textId="77777777" w:rsidR="00F25E60" w:rsidRPr="00F25E60" w:rsidRDefault="00F25E60" w:rsidP="00F25E60">
      <w:pPr>
        <w:pStyle w:val="Bezodstpw"/>
        <w:spacing w:before="120"/>
        <w:rPr>
          <w:rFonts w:cs="Arial"/>
          <w:szCs w:val="20"/>
        </w:rPr>
      </w:pPr>
      <w:r w:rsidRPr="00F25E60">
        <w:rPr>
          <w:rFonts w:cs="Arial"/>
          <w:b/>
          <w:szCs w:val="20"/>
        </w:rPr>
        <w:t>1.4.3.</w:t>
      </w:r>
      <w:r w:rsidRPr="00F25E60">
        <w:rPr>
          <w:rFonts w:cs="Arial"/>
          <w:szCs w:val="20"/>
        </w:rPr>
        <w:t xml:space="preserve"> Kruszywo – materiał ziarnisty stosowany w budownictwie, który może być naturalny, sztuczny lub z recyklingu.</w:t>
      </w:r>
    </w:p>
    <w:p w14:paraId="4C91701B" w14:textId="77777777" w:rsidR="00F25E60" w:rsidRPr="00F25E60" w:rsidRDefault="00F25E60" w:rsidP="00F25E60">
      <w:pPr>
        <w:pStyle w:val="Bezodstpw"/>
        <w:spacing w:before="120"/>
        <w:rPr>
          <w:rFonts w:cs="Arial"/>
          <w:szCs w:val="20"/>
        </w:rPr>
      </w:pPr>
      <w:r w:rsidRPr="00F25E60">
        <w:rPr>
          <w:rFonts w:cs="Arial"/>
          <w:b/>
          <w:szCs w:val="20"/>
        </w:rPr>
        <w:t>1.4.4.</w:t>
      </w:r>
      <w:r w:rsidRPr="00F25E60">
        <w:rPr>
          <w:rFonts w:cs="Arial"/>
          <w:szCs w:val="20"/>
        </w:rPr>
        <w:t xml:space="preserve"> Kruszywo naturalne – kruszywo ze złóż naturalnych pochodzenia mineralnego, które może być poddane wyłącznie obróbce mechanicznej. Kruszywo naturalne jest uzyskiwane z mineralnych surowców naturalnych występujących w </w:t>
      </w:r>
      <w:r w:rsidRPr="00F25E60">
        <w:rPr>
          <w:rFonts w:cs="Arial"/>
          <w:szCs w:val="20"/>
        </w:rPr>
        <w:lastRenderedPageBreak/>
        <w:t>przyrodzie, jak żwir, piasek, żwir kruszony, kruszywo z mechanicznie rozdrobnionych skał, nadziarna żwirowego lub otoczaków.</w:t>
      </w:r>
    </w:p>
    <w:p w14:paraId="028691FB" w14:textId="77777777" w:rsidR="00F25E60" w:rsidRPr="00F25E60" w:rsidRDefault="00F25E60" w:rsidP="00F25E60">
      <w:pPr>
        <w:pStyle w:val="Bezodstpw"/>
        <w:spacing w:before="120"/>
        <w:rPr>
          <w:rFonts w:cs="Arial"/>
          <w:szCs w:val="20"/>
        </w:rPr>
      </w:pPr>
      <w:r w:rsidRPr="00F25E60">
        <w:rPr>
          <w:rFonts w:cs="Arial"/>
          <w:b/>
          <w:szCs w:val="20"/>
        </w:rPr>
        <w:t>1.4.5.</w:t>
      </w:r>
      <w:r w:rsidRPr="00F25E60">
        <w:rPr>
          <w:rFonts w:cs="Arial"/>
          <w:szCs w:val="20"/>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7F9AF94F" w14:textId="77777777" w:rsidR="00F25E60" w:rsidRPr="00F25E60" w:rsidRDefault="00F25E60" w:rsidP="00F25E60">
      <w:pPr>
        <w:pStyle w:val="Bezodstpw"/>
        <w:spacing w:before="120"/>
        <w:rPr>
          <w:rFonts w:cs="Arial"/>
          <w:szCs w:val="20"/>
        </w:rPr>
      </w:pPr>
      <w:r w:rsidRPr="00F25E60">
        <w:rPr>
          <w:rFonts w:cs="Arial"/>
          <w:b/>
          <w:szCs w:val="20"/>
        </w:rPr>
        <w:t>1.4.6.</w:t>
      </w:r>
      <w:r w:rsidRPr="00F25E60">
        <w:rPr>
          <w:rFonts w:cs="Arial"/>
          <w:szCs w:val="20"/>
        </w:rPr>
        <w:t xml:space="preserve"> Kruszywo z recyklingu – kruszywo powstałe w wyniku przeróbki materiału zastosowanego uprzednio w budownictwie.</w:t>
      </w:r>
    </w:p>
    <w:p w14:paraId="775B5591" w14:textId="77777777" w:rsidR="00F25E60" w:rsidRPr="00F25E60" w:rsidRDefault="00F25E60" w:rsidP="00F25E60">
      <w:pPr>
        <w:pStyle w:val="Bezodstpw"/>
        <w:spacing w:before="120"/>
        <w:rPr>
          <w:rFonts w:cs="Arial"/>
          <w:szCs w:val="20"/>
        </w:rPr>
      </w:pPr>
      <w:r w:rsidRPr="00F25E60">
        <w:rPr>
          <w:rFonts w:cs="Arial"/>
          <w:b/>
          <w:szCs w:val="20"/>
        </w:rPr>
        <w:t>1.4.7.</w:t>
      </w:r>
      <w:r w:rsidRPr="00F25E60">
        <w:rPr>
          <w:rFonts w:cs="Arial"/>
          <w:szCs w:val="20"/>
        </w:rPr>
        <w:t xml:space="preserve"> Kruszywo kamienne – kruszywo z mineralnych surowców jak żwir kruszony, mechanicznie rozdrobnione skały, nadziarno żwirowe.</w:t>
      </w:r>
    </w:p>
    <w:p w14:paraId="05EE94FD" w14:textId="77777777" w:rsidR="00F25E60" w:rsidRPr="00F25E60" w:rsidRDefault="00F25E60" w:rsidP="00F25E60">
      <w:pPr>
        <w:pStyle w:val="Bezodstpw"/>
        <w:spacing w:before="120"/>
        <w:rPr>
          <w:rFonts w:cs="Arial"/>
          <w:szCs w:val="20"/>
        </w:rPr>
      </w:pPr>
      <w:r w:rsidRPr="00F25E60">
        <w:rPr>
          <w:rFonts w:cs="Arial"/>
          <w:b/>
          <w:szCs w:val="20"/>
        </w:rPr>
        <w:t>1.4.8.</w:t>
      </w:r>
      <w:r w:rsidRPr="00F25E60">
        <w:rPr>
          <w:rFonts w:cs="Arial"/>
          <w:szCs w:val="20"/>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2CD66462" w14:textId="77777777" w:rsidR="00F25E60" w:rsidRPr="00F25E60" w:rsidRDefault="00F25E60" w:rsidP="00F25E60">
      <w:pPr>
        <w:pStyle w:val="Bezodstpw"/>
        <w:spacing w:before="120"/>
        <w:rPr>
          <w:rFonts w:cs="Arial"/>
          <w:szCs w:val="20"/>
        </w:rPr>
      </w:pPr>
      <w:r w:rsidRPr="00F25E60">
        <w:rPr>
          <w:rFonts w:cs="Arial"/>
          <w:b/>
          <w:szCs w:val="20"/>
        </w:rPr>
        <w:t>1.4.9.</w:t>
      </w:r>
      <w:r w:rsidRPr="00F25E60">
        <w:rPr>
          <w:rFonts w:cs="Arial"/>
          <w:szCs w:val="20"/>
        </w:rPr>
        <w:t xml:space="preserve"> Kruszywo żużlowe z żużla stalowniczego – kruszywo składające się głównie ze skrystalizowanego krzemianu wapnia i ferrytu zawierającego </w:t>
      </w:r>
      <w:proofErr w:type="spellStart"/>
      <w:r w:rsidRPr="00F25E60">
        <w:rPr>
          <w:rFonts w:cs="Arial"/>
          <w:szCs w:val="20"/>
        </w:rPr>
        <w:t>CaO</w:t>
      </w:r>
      <w:proofErr w:type="spellEnd"/>
      <w:r w:rsidRPr="00F25E60">
        <w:rPr>
          <w:rFonts w:cs="Arial"/>
          <w:szCs w:val="20"/>
        </w:rPr>
        <w:t>, SiO</w:t>
      </w:r>
      <w:r w:rsidRPr="00F25E60">
        <w:rPr>
          <w:rFonts w:cs="Arial"/>
          <w:szCs w:val="20"/>
          <w:vertAlign w:val="subscript"/>
        </w:rPr>
        <w:t>2</w:t>
      </w:r>
      <w:r w:rsidRPr="00F25E60">
        <w:rPr>
          <w:rFonts w:cs="Arial"/>
          <w:szCs w:val="20"/>
        </w:rPr>
        <w:t xml:space="preserve">, </w:t>
      </w:r>
      <w:proofErr w:type="spellStart"/>
      <w:r w:rsidRPr="00F25E60">
        <w:rPr>
          <w:rFonts w:cs="Arial"/>
          <w:szCs w:val="20"/>
        </w:rPr>
        <w:t>MgO</w:t>
      </w:r>
      <w:proofErr w:type="spellEnd"/>
      <w:r w:rsidRPr="00F25E60">
        <w:rPr>
          <w:rFonts w:cs="Arial"/>
          <w:szCs w:val="20"/>
        </w:rPr>
        <w:t xml:space="preserve"> oraz tlenek żelaza. Kruszywo otrzymuje się przez powolne schładzanie powietrzem ciekłego żużla stalowniczego. Proces chłodzenia może odbywać się przy kontrolowanym dodawaniu wody. </w:t>
      </w:r>
    </w:p>
    <w:p w14:paraId="37D5DF77" w14:textId="77777777" w:rsidR="00F25E60" w:rsidRPr="00F25E60" w:rsidRDefault="00F25E60" w:rsidP="00F25E60">
      <w:pPr>
        <w:pStyle w:val="Bezodstpw"/>
        <w:spacing w:before="120"/>
        <w:rPr>
          <w:rFonts w:cs="Arial"/>
          <w:szCs w:val="20"/>
        </w:rPr>
      </w:pPr>
      <w:r w:rsidRPr="00F25E60">
        <w:rPr>
          <w:rFonts w:cs="Arial"/>
          <w:b/>
          <w:szCs w:val="20"/>
        </w:rPr>
        <w:t>1.4.10.</w:t>
      </w:r>
      <w:r w:rsidRPr="00F25E60">
        <w:rPr>
          <w:rFonts w:cs="Arial"/>
          <w:szCs w:val="20"/>
        </w:rPr>
        <w:t xml:space="preserve"> Kategoria ruchu (KR1 ÷ KR6) – obciążenie drogi ruchem samochodowym, wyrażone w osiach obliczeniowych (100 kN) według „Katalogu typowych konstrukcji nawierzchni podatnych i półsztywnych”. Generalna Dyrekcja Dróg Publicznych – Instytut Badawczy Dróg i Mostów, Warszawa 1997 [26].</w:t>
      </w:r>
    </w:p>
    <w:p w14:paraId="22EAA63C" w14:textId="77777777" w:rsidR="00F25E60" w:rsidRPr="00F25E60" w:rsidRDefault="00F25E60" w:rsidP="00F25E60">
      <w:pPr>
        <w:pStyle w:val="Bezodstpw"/>
        <w:spacing w:before="120"/>
        <w:rPr>
          <w:rFonts w:cs="Arial"/>
          <w:szCs w:val="20"/>
        </w:rPr>
      </w:pPr>
      <w:r w:rsidRPr="00F25E60">
        <w:rPr>
          <w:rFonts w:cs="Arial"/>
          <w:b/>
          <w:szCs w:val="20"/>
        </w:rPr>
        <w:t>1.4.11</w:t>
      </w:r>
      <w:r w:rsidRPr="00F25E60">
        <w:rPr>
          <w:rFonts w:cs="Arial"/>
          <w:szCs w:val="20"/>
        </w:rPr>
        <w:t xml:space="preserve">. Kruszywo grube (wg PN-EN 13242) – oznaczenie kruszywa o wymiarach ziaren </w:t>
      </w:r>
      <w:r w:rsidRPr="00F25E60">
        <w:rPr>
          <w:rFonts w:cs="Arial"/>
          <w:i/>
          <w:szCs w:val="20"/>
        </w:rPr>
        <w:t xml:space="preserve">d </w:t>
      </w:r>
      <w:r w:rsidRPr="00F25E60">
        <w:rPr>
          <w:rFonts w:cs="Arial"/>
          <w:szCs w:val="20"/>
        </w:rPr>
        <w:t xml:space="preserve">(dolnego) równym lub większym niż </w:t>
      </w:r>
      <w:smartTag w:uri="urn:schemas-microsoft-com:office:smarttags" w:element="metricconverter">
        <w:smartTagPr>
          <w:attr w:name="ProductID" w:val="1 mm"/>
        </w:smartTagPr>
        <w:r w:rsidRPr="00F25E60">
          <w:rPr>
            <w:rFonts w:cs="Arial"/>
            <w:szCs w:val="20"/>
          </w:rPr>
          <w:t>1 mm</w:t>
        </w:r>
      </w:smartTag>
      <w:r w:rsidRPr="00F25E60">
        <w:rPr>
          <w:rFonts w:cs="Arial"/>
          <w:szCs w:val="20"/>
        </w:rPr>
        <w:t xml:space="preserve"> oraz </w:t>
      </w:r>
      <w:r w:rsidRPr="00F25E60">
        <w:rPr>
          <w:rFonts w:cs="Arial"/>
          <w:i/>
          <w:szCs w:val="20"/>
        </w:rPr>
        <w:t xml:space="preserve">D </w:t>
      </w:r>
      <w:r w:rsidRPr="00F25E60">
        <w:rPr>
          <w:rFonts w:cs="Arial"/>
          <w:szCs w:val="20"/>
        </w:rPr>
        <w:t xml:space="preserve">(górnego) większym niż </w:t>
      </w:r>
      <w:smartTag w:uri="urn:schemas-microsoft-com:office:smarttags" w:element="metricconverter">
        <w:smartTagPr>
          <w:attr w:name="ProductID" w:val="2 mm"/>
        </w:smartTagPr>
        <w:r w:rsidRPr="00F25E60">
          <w:rPr>
            <w:rFonts w:cs="Arial"/>
            <w:szCs w:val="20"/>
          </w:rPr>
          <w:t>2 mm</w:t>
        </w:r>
      </w:smartTag>
      <w:r w:rsidRPr="00F25E60">
        <w:rPr>
          <w:rFonts w:cs="Arial"/>
          <w:szCs w:val="20"/>
        </w:rPr>
        <w:t>.</w:t>
      </w:r>
    </w:p>
    <w:p w14:paraId="1EF802A6" w14:textId="77777777" w:rsidR="00F25E60" w:rsidRPr="00F25E60" w:rsidRDefault="00F25E60" w:rsidP="00F25E60">
      <w:pPr>
        <w:pStyle w:val="Bezodstpw"/>
        <w:spacing w:before="120"/>
        <w:rPr>
          <w:rFonts w:cs="Arial"/>
          <w:szCs w:val="20"/>
        </w:rPr>
      </w:pPr>
      <w:r w:rsidRPr="00F25E60">
        <w:rPr>
          <w:rFonts w:cs="Arial"/>
          <w:b/>
          <w:szCs w:val="20"/>
        </w:rPr>
        <w:t>1.4.12.</w:t>
      </w:r>
      <w:r w:rsidRPr="00F25E60">
        <w:rPr>
          <w:rFonts w:cs="Arial"/>
          <w:szCs w:val="20"/>
        </w:rPr>
        <w:t xml:space="preserve"> Kruszywo drobne (wg PN-EN 13242) – oznaczenie kruszywa o wymiarach ziaren </w:t>
      </w:r>
      <w:r w:rsidRPr="00F25E60">
        <w:rPr>
          <w:rFonts w:cs="Arial"/>
          <w:i/>
          <w:szCs w:val="20"/>
        </w:rPr>
        <w:t>d</w:t>
      </w:r>
      <w:r w:rsidRPr="00F25E60">
        <w:rPr>
          <w:rFonts w:cs="Arial"/>
          <w:szCs w:val="20"/>
        </w:rPr>
        <w:t xml:space="preserve"> równym 0 oraz </w:t>
      </w:r>
      <w:r w:rsidRPr="00F25E60">
        <w:rPr>
          <w:rFonts w:cs="Arial"/>
          <w:i/>
          <w:szCs w:val="20"/>
        </w:rPr>
        <w:t>D</w:t>
      </w:r>
      <w:r w:rsidRPr="00F25E60">
        <w:rPr>
          <w:rFonts w:cs="Arial"/>
          <w:szCs w:val="20"/>
        </w:rPr>
        <w:t xml:space="preserve"> równym </w:t>
      </w:r>
      <w:smartTag w:uri="urn:schemas-microsoft-com:office:smarttags" w:element="metricconverter">
        <w:smartTagPr>
          <w:attr w:name="ProductID" w:val="6,3 mm"/>
        </w:smartTagPr>
        <w:r w:rsidRPr="00F25E60">
          <w:rPr>
            <w:rFonts w:cs="Arial"/>
            <w:szCs w:val="20"/>
          </w:rPr>
          <w:t>6,3 mm</w:t>
        </w:r>
      </w:smartTag>
      <w:r w:rsidRPr="00F25E60">
        <w:rPr>
          <w:rFonts w:cs="Arial"/>
          <w:szCs w:val="20"/>
        </w:rPr>
        <w:t xml:space="preserve"> lub mniejszym. </w:t>
      </w:r>
    </w:p>
    <w:p w14:paraId="2B8A4C49" w14:textId="77777777" w:rsidR="00F25E60" w:rsidRPr="00F25E60" w:rsidRDefault="00F25E60" w:rsidP="00F25E60">
      <w:pPr>
        <w:pStyle w:val="Bezodstpw"/>
        <w:spacing w:before="120"/>
        <w:rPr>
          <w:rFonts w:cs="Arial"/>
          <w:szCs w:val="20"/>
        </w:rPr>
      </w:pPr>
      <w:r w:rsidRPr="00F25E60">
        <w:rPr>
          <w:rFonts w:cs="Arial"/>
          <w:b/>
          <w:szCs w:val="20"/>
        </w:rPr>
        <w:t>1.4.13.</w:t>
      </w:r>
      <w:r w:rsidRPr="00F25E60">
        <w:rPr>
          <w:rFonts w:cs="Arial"/>
          <w:szCs w:val="20"/>
        </w:rPr>
        <w:t xml:space="preserve"> Kruszywo o ciągłym uziarnieniu (wg PN-EN 13242) – kruszywo stanowiące mieszankę kruszyw grubych i drobnych, w której </w:t>
      </w:r>
      <w:r w:rsidRPr="00F25E60">
        <w:rPr>
          <w:rFonts w:cs="Arial"/>
          <w:i/>
          <w:szCs w:val="20"/>
        </w:rPr>
        <w:t>D</w:t>
      </w:r>
      <w:r w:rsidRPr="00F25E60">
        <w:rPr>
          <w:rFonts w:cs="Arial"/>
          <w:szCs w:val="20"/>
        </w:rPr>
        <w:t xml:space="preserve"> jest większe niż </w:t>
      </w:r>
      <w:smartTag w:uri="urn:schemas-microsoft-com:office:smarttags" w:element="metricconverter">
        <w:smartTagPr>
          <w:attr w:name="ProductID" w:val="6,3 mm"/>
        </w:smartTagPr>
        <w:r w:rsidRPr="00F25E60">
          <w:rPr>
            <w:rFonts w:cs="Arial"/>
            <w:szCs w:val="20"/>
          </w:rPr>
          <w:t>6,3 mm</w:t>
        </w:r>
      </w:smartTag>
      <w:r w:rsidRPr="00F25E60">
        <w:rPr>
          <w:rFonts w:cs="Arial"/>
          <w:szCs w:val="20"/>
        </w:rPr>
        <w:t>.</w:t>
      </w:r>
    </w:p>
    <w:p w14:paraId="739D45E9" w14:textId="77777777" w:rsidR="00F25E60" w:rsidRPr="00F25E60" w:rsidRDefault="00F25E60" w:rsidP="00F25E60">
      <w:pPr>
        <w:pStyle w:val="Bezodstpw"/>
        <w:spacing w:before="120"/>
        <w:rPr>
          <w:rFonts w:cs="Arial"/>
          <w:szCs w:val="20"/>
        </w:rPr>
      </w:pPr>
      <w:r w:rsidRPr="00F25E60">
        <w:rPr>
          <w:rFonts w:cs="Arial"/>
          <w:b/>
          <w:szCs w:val="20"/>
        </w:rPr>
        <w:t>1.4.14.</w:t>
      </w:r>
      <w:r w:rsidRPr="00F25E60">
        <w:rPr>
          <w:rFonts w:cs="Arial"/>
          <w:szCs w:val="20"/>
        </w:rPr>
        <w:t xml:space="preserve"> Destrukt asfaltowy – materiał drogowy pochodzący z frezowania istniejących warstw z mieszanek mineralno-asfaltowych (</w:t>
      </w:r>
      <w:proofErr w:type="spellStart"/>
      <w:r w:rsidRPr="00F25E60">
        <w:rPr>
          <w:rFonts w:cs="Arial"/>
          <w:szCs w:val="20"/>
        </w:rPr>
        <w:t>mma</w:t>
      </w:r>
      <w:proofErr w:type="spellEnd"/>
      <w:r w:rsidRPr="00F25E60">
        <w:rPr>
          <w:rFonts w:cs="Arial"/>
          <w:szCs w:val="20"/>
        </w:rPr>
        <w:t xml:space="preserve">) lub z </w:t>
      </w:r>
      <w:proofErr w:type="spellStart"/>
      <w:r w:rsidRPr="00F25E60">
        <w:rPr>
          <w:rFonts w:cs="Arial"/>
          <w:szCs w:val="20"/>
        </w:rPr>
        <w:t>przekruszenia</w:t>
      </w:r>
      <w:proofErr w:type="spellEnd"/>
      <w:r w:rsidRPr="00F25E60">
        <w:rPr>
          <w:rFonts w:cs="Arial"/>
          <w:szCs w:val="20"/>
        </w:rPr>
        <w:t xml:space="preserve"> kawałków warstw nawierzchni asfaltowych oraz niewbudowanych partii </w:t>
      </w:r>
      <w:proofErr w:type="spellStart"/>
      <w:r w:rsidRPr="00F25E60">
        <w:rPr>
          <w:rFonts w:cs="Arial"/>
          <w:szCs w:val="20"/>
        </w:rPr>
        <w:t>mma</w:t>
      </w:r>
      <w:proofErr w:type="spellEnd"/>
      <w:r w:rsidRPr="00F25E60">
        <w:rPr>
          <w:rFonts w:cs="Arial"/>
          <w:szCs w:val="20"/>
        </w:rPr>
        <w:t xml:space="preserve">, który został ujednorodniony pod względem składu oraz co najmniej przesiany, w celu odrzucenia dużych kawałków </w:t>
      </w:r>
      <w:proofErr w:type="spellStart"/>
      <w:r w:rsidRPr="00F25E60">
        <w:rPr>
          <w:rFonts w:cs="Arial"/>
          <w:szCs w:val="20"/>
        </w:rPr>
        <w:t>mma</w:t>
      </w:r>
      <w:proofErr w:type="spellEnd"/>
      <w:r w:rsidRPr="00F25E60">
        <w:rPr>
          <w:rFonts w:cs="Arial"/>
          <w:szCs w:val="20"/>
        </w:rPr>
        <w:t xml:space="preserve"> (nadziarno nie większe od 1,4 D mieszanki niezwiązanej).</w:t>
      </w:r>
    </w:p>
    <w:p w14:paraId="73900117" w14:textId="7DF95110" w:rsidR="00F25E60" w:rsidRPr="00F25E60" w:rsidRDefault="00F25E60" w:rsidP="00F25E60">
      <w:pPr>
        <w:pStyle w:val="Bezodstpw"/>
        <w:spacing w:before="120"/>
        <w:rPr>
          <w:rFonts w:cs="Arial"/>
          <w:szCs w:val="20"/>
        </w:rPr>
      </w:pPr>
      <w:r w:rsidRPr="00F25E60">
        <w:rPr>
          <w:rFonts w:cs="Arial"/>
          <w:b/>
          <w:szCs w:val="20"/>
        </w:rPr>
        <w:t>1.4.15.</w:t>
      </w:r>
      <w:r w:rsidRPr="00F25E60">
        <w:rPr>
          <w:rFonts w:cs="Arial"/>
          <w:szCs w:val="20"/>
        </w:rPr>
        <w:t xml:space="preserve"> Kruszywa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F25E60">
        <w:rPr>
          <w:rFonts w:cs="Arial"/>
          <w:szCs w:val="20"/>
        </w:rPr>
        <w:t>Proctora</w:t>
      </w:r>
      <w:proofErr w:type="spellEnd"/>
      <w:r w:rsidRPr="00F25E60">
        <w:rPr>
          <w:rFonts w:cs="Arial"/>
          <w:szCs w:val="20"/>
        </w:rPr>
        <w:t xml:space="preserve">, przekraczającymi ± 8%. Uziarnienie kruszywa należy sprawdzać na sitach przewidzianych do kontroli uziarnienia wg PN-EN 13285 i niniejszej </w:t>
      </w:r>
      <w:r w:rsidR="00C968CE">
        <w:rPr>
          <w:rFonts w:cs="Arial"/>
          <w:szCs w:val="20"/>
        </w:rPr>
        <w:t>S</w:t>
      </w:r>
      <w:r w:rsidRPr="00F25E60">
        <w:rPr>
          <w:rFonts w:cs="Arial"/>
          <w:szCs w:val="20"/>
        </w:rPr>
        <w:t xml:space="preserve">ST. O zakwalifikowaniu kruszywa do kruszyw słabych decyduje największa różnica wartości przesiewów na jednym z sit kontrolnych. </w:t>
      </w:r>
    </w:p>
    <w:p w14:paraId="7686BC86" w14:textId="77777777" w:rsidR="00F25E60" w:rsidRPr="00F25E60" w:rsidRDefault="00F25E60" w:rsidP="00F25E60">
      <w:pPr>
        <w:pStyle w:val="Bezodstpw"/>
        <w:spacing w:before="120"/>
        <w:rPr>
          <w:rFonts w:cs="Arial"/>
          <w:szCs w:val="20"/>
        </w:rPr>
      </w:pPr>
      <w:r w:rsidRPr="00F25E60">
        <w:rPr>
          <w:rFonts w:cs="Arial"/>
          <w:b/>
          <w:szCs w:val="20"/>
        </w:rPr>
        <w:t>1.4.16.</w:t>
      </w:r>
      <w:r w:rsidRPr="00F25E60">
        <w:rPr>
          <w:rFonts w:cs="Arial"/>
          <w:szCs w:val="20"/>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14:paraId="29FB538C" w14:textId="77777777" w:rsidR="00F25E60" w:rsidRPr="00F25E60" w:rsidRDefault="00F25E60" w:rsidP="00F25E60">
      <w:pPr>
        <w:pStyle w:val="Bezodstpw"/>
        <w:rPr>
          <w:rFonts w:cs="Arial"/>
          <w:szCs w:val="20"/>
        </w:rPr>
      </w:pPr>
      <w:r w:rsidRPr="00F25E60">
        <w:rPr>
          <w:rFonts w:cs="Arial"/>
          <w:szCs w:val="20"/>
        </w:rPr>
        <w:t>W przypadku wzmacniania, konstrukcję istniejącej nawierzchni drogi uważa się za podbudowę.</w:t>
      </w:r>
    </w:p>
    <w:p w14:paraId="29C0E6DF" w14:textId="77777777" w:rsidR="00F25E60" w:rsidRPr="00F25E60" w:rsidRDefault="00F25E60" w:rsidP="00F25E60">
      <w:pPr>
        <w:pStyle w:val="Bezodstpw"/>
        <w:spacing w:before="120"/>
        <w:rPr>
          <w:rFonts w:cs="Arial"/>
          <w:szCs w:val="20"/>
        </w:rPr>
      </w:pPr>
      <w:r w:rsidRPr="00F25E60">
        <w:rPr>
          <w:rFonts w:cs="Arial"/>
          <w:b/>
          <w:szCs w:val="20"/>
        </w:rPr>
        <w:t>1.4.17.</w:t>
      </w:r>
      <w:r w:rsidRPr="00F25E60">
        <w:rPr>
          <w:rFonts w:cs="Arial"/>
          <w:szCs w:val="20"/>
        </w:rPr>
        <w:t xml:space="preserve"> Podbudowa pomocnicza – warstwa zapewniająca przenoszenie obciążeń z warstwy podbudowy zasadniczej na warstwę podłoża. Podbudowa pomocnicza może składać się z kilku warstw o różnych właściwościach.</w:t>
      </w:r>
    </w:p>
    <w:p w14:paraId="6865B7A6" w14:textId="77777777" w:rsidR="00F25E60" w:rsidRPr="00F25E60" w:rsidRDefault="00F25E60" w:rsidP="00F25E60">
      <w:pPr>
        <w:pStyle w:val="Bezodstpw"/>
        <w:spacing w:before="120" w:after="120"/>
        <w:rPr>
          <w:rFonts w:cs="Arial"/>
          <w:szCs w:val="20"/>
        </w:rPr>
      </w:pPr>
      <w:r w:rsidRPr="00F25E60">
        <w:rPr>
          <w:rFonts w:cs="Arial"/>
          <w:b/>
          <w:szCs w:val="20"/>
        </w:rPr>
        <w:t>1.4.18.</w:t>
      </w:r>
      <w:r w:rsidRPr="00F25E60">
        <w:rPr>
          <w:rFonts w:cs="Arial"/>
          <w:szCs w:val="20"/>
        </w:rPr>
        <w:t xml:space="preserve"> Symbole i skróty dodatkowe</w:t>
      </w:r>
    </w:p>
    <w:p w14:paraId="214355D1" w14:textId="77777777" w:rsidR="00F25E60" w:rsidRPr="00F25E60" w:rsidRDefault="00F25E60" w:rsidP="00F25E60">
      <w:pPr>
        <w:pStyle w:val="Bezodstpw"/>
        <w:rPr>
          <w:rFonts w:cs="Arial"/>
          <w:szCs w:val="20"/>
        </w:rPr>
      </w:pPr>
      <w:r w:rsidRPr="00F25E60">
        <w:rPr>
          <w:rFonts w:cs="Arial"/>
          <w:szCs w:val="20"/>
        </w:rPr>
        <w:t>% m/m   procent masy,</w:t>
      </w:r>
    </w:p>
    <w:p w14:paraId="2F3FE5BB" w14:textId="77777777" w:rsidR="00F25E60" w:rsidRPr="00F25E60" w:rsidRDefault="00F25E60" w:rsidP="00F25E60">
      <w:pPr>
        <w:pStyle w:val="Bezodstpw"/>
        <w:rPr>
          <w:rFonts w:cs="Arial"/>
          <w:szCs w:val="20"/>
        </w:rPr>
      </w:pPr>
      <w:r w:rsidRPr="00F25E60">
        <w:rPr>
          <w:rFonts w:cs="Arial"/>
          <w:szCs w:val="20"/>
        </w:rPr>
        <w:t>NR         brak konieczności badania danej cechy,</w:t>
      </w:r>
    </w:p>
    <w:p w14:paraId="415CF041" w14:textId="77777777" w:rsidR="00F25E60" w:rsidRPr="00F25E60" w:rsidRDefault="00F25E60" w:rsidP="00F25E60">
      <w:pPr>
        <w:pStyle w:val="Bezodstpw"/>
        <w:rPr>
          <w:rFonts w:cs="Arial"/>
          <w:szCs w:val="20"/>
        </w:rPr>
      </w:pPr>
      <w:r w:rsidRPr="00F25E60">
        <w:rPr>
          <w:rFonts w:cs="Arial"/>
          <w:szCs w:val="20"/>
        </w:rPr>
        <w:t>CRB       kalifornijski wskaźnik nośności, %</w:t>
      </w:r>
    </w:p>
    <w:p w14:paraId="2579C5BB" w14:textId="77777777" w:rsidR="00F25E60" w:rsidRPr="00F25E60" w:rsidRDefault="00F25E60" w:rsidP="00F25E60">
      <w:pPr>
        <w:pStyle w:val="Bezodstpw"/>
        <w:ind w:left="840" w:hanging="840"/>
        <w:rPr>
          <w:rFonts w:cs="Arial"/>
          <w:szCs w:val="20"/>
        </w:rPr>
      </w:pPr>
      <w:r w:rsidRPr="00F25E60">
        <w:rPr>
          <w:rFonts w:cs="Arial"/>
          <w:szCs w:val="20"/>
        </w:rPr>
        <w:t>SDV   obszar  uziarnienia,  w  którym  powinna  się mieścić  krzywa  uziarnienia mieszanki (S)  deklarowana przez dostawcę/producenta,</w:t>
      </w:r>
    </w:p>
    <w:p w14:paraId="4BA361C9" w14:textId="77777777" w:rsidR="00F25E60" w:rsidRPr="00F25E60" w:rsidRDefault="00F25E60" w:rsidP="00F25E60">
      <w:pPr>
        <w:pStyle w:val="Bezodstpw"/>
        <w:rPr>
          <w:rFonts w:cs="Arial"/>
          <w:szCs w:val="20"/>
        </w:rPr>
      </w:pPr>
      <w:r w:rsidRPr="00F25E60">
        <w:rPr>
          <w:rFonts w:cs="Arial"/>
          <w:szCs w:val="20"/>
        </w:rPr>
        <w:t>k            współczynnik filtracji, oznaczony wg ISO/TS 17892-11:2004 [23],</w:t>
      </w:r>
    </w:p>
    <w:p w14:paraId="55EB4777" w14:textId="77777777" w:rsidR="00F25E60" w:rsidRPr="00F25E60" w:rsidRDefault="00F25E60" w:rsidP="00F25E60">
      <w:pPr>
        <w:pStyle w:val="Bezodstpw"/>
        <w:tabs>
          <w:tab w:val="left" w:pos="840"/>
        </w:tabs>
        <w:ind w:left="840" w:hanging="840"/>
        <w:rPr>
          <w:rFonts w:cs="Arial"/>
          <w:szCs w:val="20"/>
        </w:rPr>
      </w:pPr>
      <w:r w:rsidRPr="00F25E60">
        <w:rPr>
          <w:rFonts w:cs="Arial"/>
          <w:szCs w:val="20"/>
        </w:rPr>
        <w:t>D</w:t>
      </w:r>
      <w:r w:rsidRPr="00F25E60">
        <w:rPr>
          <w:rFonts w:cs="Arial"/>
          <w:szCs w:val="20"/>
          <w:vertAlign w:val="subscript"/>
        </w:rPr>
        <w:t>15</w:t>
      </w:r>
      <w:r w:rsidRPr="00F25E60">
        <w:rPr>
          <w:rFonts w:cs="Arial"/>
          <w:szCs w:val="20"/>
        </w:rPr>
        <w:t xml:space="preserve">    </w:t>
      </w:r>
      <w:r w:rsidRPr="00F25E60">
        <w:rPr>
          <w:rFonts w:cs="Arial"/>
          <w:szCs w:val="20"/>
        </w:rPr>
        <w:tab/>
        <w:t>wymiar boku oczka sita w mm, przez które przechodzi 15% (m/m) ziaren mieszanki, z której wykonano warstwę podłoża lub nawierzchni,</w:t>
      </w:r>
    </w:p>
    <w:p w14:paraId="3E218C34" w14:textId="77777777" w:rsidR="00F25E60" w:rsidRPr="00F25E60" w:rsidRDefault="00F25E60" w:rsidP="00F25E60">
      <w:pPr>
        <w:pStyle w:val="Bezodstpw"/>
        <w:ind w:left="840" w:hanging="840"/>
        <w:rPr>
          <w:rFonts w:cs="Arial"/>
          <w:szCs w:val="20"/>
        </w:rPr>
      </w:pPr>
      <w:r w:rsidRPr="00F25E60">
        <w:rPr>
          <w:rFonts w:cs="Arial"/>
          <w:szCs w:val="20"/>
        </w:rPr>
        <w:t>d</w:t>
      </w:r>
      <w:r w:rsidRPr="00F25E60">
        <w:rPr>
          <w:rFonts w:cs="Arial"/>
          <w:szCs w:val="20"/>
          <w:vertAlign w:val="subscript"/>
        </w:rPr>
        <w:t>85</w:t>
      </w:r>
      <w:r w:rsidRPr="00F25E60">
        <w:rPr>
          <w:rFonts w:cs="Arial"/>
          <w:szCs w:val="20"/>
        </w:rPr>
        <w:t xml:space="preserve">       wymiar boku oczka sita w mm, przez które przechodzi 85% (m/m) ziaren gruntu podłoża,</w:t>
      </w:r>
    </w:p>
    <w:p w14:paraId="280C76EA" w14:textId="77777777" w:rsidR="00F25E60" w:rsidRPr="00F25E60" w:rsidRDefault="00F25E60" w:rsidP="00F25E60">
      <w:pPr>
        <w:pStyle w:val="Bezodstpw"/>
        <w:ind w:left="840" w:hanging="840"/>
        <w:rPr>
          <w:rFonts w:cs="Arial"/>
          <w:szCs w:val="20"/>
        </w:rPr>
      </w:pPr>
      <w:r w:rsidRPr="00F25E60">
        <w:rPr>
          <w:rFonts w:cs="Arial"/>
          <w:szCs w:val="20"/>
        </w:rPr>
        <w:t>d</w:t>
      </w:r>
      <w:r w:rsidRPr="00F25E60">
        <w:rPr>
          <w:rFonts w:cs="Arial"/>
          <w:szCs w:val="20"/>
          <w:vertAlign w:val="subscript"/>
        </w:rPr>
        <w:t>50</w:t>
      </w:r>
      <w:r w:rsidRPr="00F25E60">
        <w:rPr>
          <w:rFonts w:cs="Arial"/>
          <w:szCs w:val="20"/>
        </w:rPr>
        <w:t xml:space="preserve">       wymiar boku oczka sita w mm, przez które przechodzi 50% (m/m) ziaren gruntu podłoża,</w:t>
      </w:r>
    </w:p>
    <w:p w14:paraId="013AC88D" w14:textId="77777777" w:rsidR="00F25E60" w:rsidRPr="00F25E60" w:rsidRDefault="00F25E60" w:rsidP="00F25E60">
      <w:pPr>
        <w:pStyle w:val="Bezodstpw"/>
        <w:ind w:left="840" w:hanging="840"/>
        <w:rPr>
          <w:rFonts w:cs="Arial"/>
          <w:szCs w:val="20"/>
        </w:rPr>
      </w:pPr>
      <w:r w:rsidRPr="00F25E60">
        <w:rPr>
          <w:rFonts w:cs="Arial"/>
          <w:szCs w:val="20"/>
        </w:rPr>
        <w:t>O</w:t>
      </w:r>
      <w:r w:rsidRPr="00F25E60">
        <w:rPr>
          <w:rFonts w:cs="Arial"/>
          <w:szCs w:val="20"/>
          <w:vertAlign w:val="subscript"/>
        </w:rPr>
        <w:t>90</w:t>
      </w:r>
      <w:r w:rsidRPr="00F25E60">
        <w:rPr>
          <w:rFonts w:cs="Arial"/>
          <w:szCs w:val="20"/>
        </w:rPr>
        <w:t xml:space="preserve">        umowna  średnica porów geowłókniny lub </w:t>
      </w:r>
      <w:proofErr w:type="spellStart"/>
      <w:r w:rsidRPr="00F25E60">
        <w:rPr>
          <w:rFonts w:cs="Arial"/>
          <w:szCs w:val="20"/>
        </w:rPr>
        <w:t>geotkaniny</w:t>
      </w:r>
      <w:proofErr w:type="spellEnd"/>
      <w:r w:rsidRPr="00F25E60">
        <w:rPr>
          <w:rFonts w:cs="Arial"/>
          <w:szCs w:val="20"/>
        </w:rPr>
        <w:t>,  odpowiadająca wymiarom frakcji gruntu (podłoża), zatrzymującego się na geowłókninie/</w:t>
      </w:r>
      <w:proofErr w:type="spellStart"/>
      <w:r w:rsidRPr="00F25E60">
        <w:rPr>
          <w:rFonts w:cs="Arial"/>
          <w:szCs w:val="20"/>
        </w:rPr>
        <w:t>geotkaninie</w:t>
      </w:r>
      <w:proofErr w:type="spellEnd"/>
      <w:r w:rsidRPr="00F25E60">
        <w:rPr>
          <w:rFonts w:cs="Arial"/>
          <w:szCs w:val="20"/>
        </w:rPr>
        <w:t xml:space="preserve"> w ilości 90% (m/m); wartość parametru O</w:t>
      </w:r>
      <w:r w:rsidRPr="00F25E60">
        <w:rPr>
          <w:rFonts w:cs="Arial"/>
          <w:szCs w:val="20"/>
          <w:vertAlign w:val="subscript"/>
        </w:rPr>
        <w:t>90</w:t>
      </w:r>
      <w:r w:rsidRPr="00F25E60">
        <w:rPr>
          <w:rFonts w:cs="Arial"/>
          <w:szCs w:val="20"/>
        </w:rPr>
        <w:t xml:space="preserve"> powinna być podawana przez producenta geowłókniny,</w:t>
      </w:r>
    </w:p>
    <w:p w14:paraId="472C7F05" w14:textId="77777777" w:rsidR="00F25E60" w:rsidRPr="00F25E60" w:rsidRDefault="00F25E60" w:rsidP="00F25E60">
      <w:pPr>
        <w:pStyle w:val="Bezodstpw"/>
        <w:ind w:left="840" w:hanging="840"/>
        <w:rPr>
          <w:rFonts w:cs="Arial"/>
          <w:szCs w:val="20"/>
        </w:rPr>
      </w:pPr>
      <w:r w:rsidRPr="00F25E60">
        <w:rPr>
          <w:rFonts w:cs="Arial"/>
          <w:szCs w:val="20"/>
        </w:rPr>
        <w:t>ZKP</w:t>
      </w:r>
      <w:r w:rsidRPr="00F25E60">
        <w:rPr>
          <w:rFonts w:cs="Arial"/>
          <w:szCs w:val="20"/>
        </w:rPr>
        <w:tab/>
        <w:t>zakładowa kontrola produkcji.</w:t>
      </w:r>
    </w:p>
    <w:p w14:paraId="1111CCB2" w14:textId="77777777" w:rsidR="00F25E60" w:rsidRPr="00F25E60" w:rsidRDefault="00F25E60" w:rsidP="00F25E60">
      <w:pPr>
        <w:pStyle w:val="StylIwony"/>
        <w:spacing w:after="0"/>
        <w:rPr>
          <w:rFonts w:ascii="Arial" w:hAnsi="Arial" w:cs="Arial"/>
          <w:sz w:val="20"/>
        </w:rPr>
      </w:pPr>
      <w:r w:rsidRPr="00F25E60">
        <w:rPr>
          <w:rFonts w:ascii="Arial" w:hAnsi="Arial" w:cs="Arial"/>
          <w:b/>
          <w:sz w:val="20"/>
        </w:rPr>
        <w:lastRenderedPageBreak/>
        <w:t xml:space="preserve">1.4.19. </w:t>
      </w:r>
      <w:r w:rsidRPr="00F25E60">
        <w:rPr>
          <w:rFonts w:ascii="Arial" w:hAnsi="Arial" w:cs="Arial"/>
          <w:sz w:val="20"/>
        </w:rPr>
        <w:t>Pozostałe określenia podstawowe są zgodne z obowiązującymi, odpowiednimi polskimi normami i z definicjami podanymi w OST D-M-00.00.00 „Wymagania ogólne” [1], pkt 1.4.</w:t>
      </w:r>
    </w:p>
    <w:p w14:paraId="72E67A7D" w14:textId="77777777" w:rsidR="00F25E60" w:rsidRPr="00F25E60" w:rsidRDefault="00F25E60" w:rsidP="00F25E60">
      <w:pPr>
        <w:pStyle w:val="Nagwek2"/>
        <w:spacing w:line="240" w:lineRule="auto"/>
        <w:rPr>
          <w:rFonts w:cs="Arial"/>
          <w:szCs w:val="20"/>
        </w:rPr>
      </w:pPr>
      <w:r w:rsidRPr="00F25E60">
        <w:rPr>
          <w:rFonts w:cs="Arial"/>
          <w:szCs w:val="20"/>
        </w:rPr>
        <w:t>1.5. Ogólne wymagania dotyczące robót</w:t>
      </w:r>
    </w:p>
    <w:p w14:paraId="0EF60599" w14:textId="337A83B5" w:rsidR="00F25E60" w:rsidRPr="00F25E60" w:rsidRDefault="00F25E60" w:rsidP="00F25E60">
      <w:pPr>
        <w:pStyle w:val="StylIwony"/>
        <w:spacing w:before="0" w:after="0"/>
        <w:rPr>
          <w:rFonts w:ascii="Arial" w:hAnsi="Arial" w:cs="Arial"/>
          <w:sz w:val="20"/>
        </w:rPr>
      </w:pPr>
      <w:r w:rsidRPr="00F25E60">
        <w:rPr>
          <w:rFonts w:ascii="Arial" w:hAnsi="Arial" w:cs="Arial"/>
          <w:b/>
          <w:sz w:val="20"/>
        </w:rPr>
        <w:tab/>
      </w:r>
      <w:r w:rsidRPr="00F25E60">
        <w:rPr>
          <w:rFonts w:ascii="Arial" w:hAnsi="Arial" w:cs="Arial"/>
          <w:sz w:val="20"/>
        </w:rPr>
        <w:t xml:space="preserve">Ogólne wymagania dotyczące robót podano w </w:t>
      </w:r>
      <w:r w:rsidR="00C968CE">
        <w:rPr>
          <w:rFonts w:ascii="Arial" w:hAnsi="Arial" w:cs="Arial"/>
          <w:sz w:val="20"/>
        </w:rPr>
        <w:t>S</w:t>
      </w:r>
      <w:r w:rsidRPr="00F25E60">
        <w:rPr>
          <w:rFonts w:ascii="Arial" w:hAnsi="Arial" w:cs="Arial"/>
          <w:sz w:val="20"/>
        </w:rPr>
        <w:t>ST D-M-00.00.00 „Wymagania ogólne” [1], pkt 1.5.</w:t>
      </w:r>
    </w:p>
    <w:p w14:paraId="0F417F8C" w14:textId="77777777" w:rsidR="00F25E60" w:rsidRPr="00F25E60" w:rsidRDefault="00F25E60" w:rsidP="00F25E60">
      <w:pPr>
        <w:pStyle w:val="Nagwek1"/>
        <w:spacing w:line="240" w:lineRule="auto"/>
        <w:rPr>
          <w:rFonts w:cs="Arial"/>
          <w:szCs w:val="20"/>
        </w:rPr>
      </w:pPr>
      <w:bookmarkStart w:id="904" w:name="_Toc348096807"/>
      <w:r w:rsidRPr="00F25E60">
        <w:rPr>
          <w:rFonts w:cs="Arial"/>
          <w:szCs w:val="20"/>
        </w:rPr>
        <w:t>2. Materiały</w:t>
      </w:r>
      <w:bookmarkEnd w:id="904"/>
      <w:r w:rsidRPr="00F25E60">
        <w:rPr>
          <w:rFonts w:cs="Arial"/>
          <w:szCs w:val="20"/>
        </w:rPr>
        <w:t xml:space="preserve"> </w:t>
      </w:r>
    </w:p>
    <w:p w14:paraId="5EC6E3D7" w14:textId="77777777" w:rsidR="00F25E60" w:rsidRPr="00F25E60" w:rsidRDefault="00F25E60" w:rsidP="00F25E60">
      <w:pPr>
        <w:pStyle w:val="Nagwek2"/>
        <w:spacing w:line="240" w:lineRule="auto"/>
        <w:rPr>
          <w:rFonts w:cs="Arial"/>
          <w:szCs w:val="20"/>
        </w:rPr>
      </w:pPr>
      <w:r w:rsidRPr="00F25E60">
        <w:rPr>
          <w:rFonts w:cs="Arial"/>
          <w:szCs w:val="20"/>
        </w:rPr>
        <w:t>2.1. Ogólne wymagania dotyczące materiałów</w:t>
      </w:r>
    </w:p>
    <w:p w14:paraId="0F1FA1F9" w14:textId="77777777" w:rsidR="00F25E60" w:rsidRPr="00F25E60" w:rsidRDefault="00F25E60" w:rsidP="00F25E60">
      <w:pPr>
        <w:pStyle w:val="StylIwony"/>
        <w:spacing w:before="0" w:after="0"/>
        <w:rPr>
          <w:rFonts w:ascii="Arial" w:hAnsi="Arial" w:cs="Arial"/>
          <w:sz w:val="20"/>
        </w:rPr>
      </w:pPr>
      <w:r w:rsidRPr="00F25E60">
        <w:rPr>
          <w:rFonts w:ascii="Arial" w:hAnsi="Arial" w:cs="Arial"/>
          <w:b/>
          <w:sz w:val="20"/>
        </w:rPr>
        <w:tab/>
      </w:r>
      <w:r w:rsidRPr="00F25E60">
        <w:rPr>
          <w:rFonts w:ascii="Arial" w:hAnsi="Arial" w:cs="Arial"/>
          <w:sz w:val="20"/>
        </w:rPr>
        <w:t>Ogólne wymagania dotyczące materiałów, ich pozyskiwania i składowania, podano w OST D-M-00.00.00 „Wymagania ogólne” [1], pkt 2.</w:t>
      </w:r>
    </w:p>
    <w:p w14:paraId="4B959264" w14:textId="77777777" w:rsidR="00F25E60" w:rsidRPr="00F25E60" w:rsidRDefault="00F25E60" w:rsidP="00F25E60">
      <w:pPr>
        <w:pStyle w:val="Nagwek2"/>
        <w:spacing w:line="240" w:lineRule="auto"/>
        <w:rPr>
          <w:rFonts w:cs="Arial"/>
          <w:szCs w:val="20"/>
        </w:rPr>
      </w:pPr>
      <w:r w:rsidRPr="00F25E60">
        <w:rPr>
          <w:rFonts w:cs="Arial"/>
          <w:szCs w:val="20"/>
        </w:rPr>
        <w:t>2.2. Materiały do wykonania robót</w:t>
      </w:r>
    </w:p>
    <w:p w14:paraId="441DE45D" w14:textId="77777777" w:rsidR="00F25E60" w:rsidRPr="00F25E60" w:rsidRDefault="00F25E60" w:rsidP="00F25E60">
      <w:pPr>
        <w:spacing w:after="120" w:line="240" w:lineRule="auto"/>
        <w:rPr>
          <w:rFonts w:cs="Arial"/>
          <w:szCs w:val="20"/>
        </w:rPr>
      </w:pPr>
      <w:r w:rsidRPr="00F25E60">
        <w:rPr>
          <w:rFonts w:cs="Arial"/>
          <w:b/>
          <w:szCs w:val="20"/>
        </w:rPr>
        <w:t xml:space="preserve">2.2.1. </w:t>
      </w:r>
      <w:r w:rsidRPr="00F25E60">
        <w:rPr>
          <w:rFonts w:cs="Arial"/>
          <w:szCs w:val="20"/>
        </w:rPr>
        <w:t xml:space="preserve"> Zgodność materiałów z dokumentacją projektową </w:t>
      </w:r>
    </w:p>
    <w:p w14:paraId="49CE9C0D" w14:textId="77777777" w:rsidR="00F25E60" w:rsidRPr="00F25E60" w:rsidRDefault="00F25E60" w:rsidP="00F25E60">
      <w:pPr>
        <w:spacing w:after="120" w:line="240" w:lineRule="auto"/>
        <w:rPr>
          <w:rFonts w:cs="Arial"/>
          <w:szCs w:val="20"/>
        </w:rPr>
      </w:pPr>
      <w:r w:rsidRPr="00F25E60">
        <w:rPr>
          <w:rFonts w:cs="Arial"/>
          <w:szCs w:val="20"/>
        </w:rPr>
        <w:tab/>
        <w:t>Materiały do wykonania robót powinny być zgodne z ustaleniami dokumentacji projektowej lub ST.</w:t>
      </w:r>
    </w:p>
    <w:p w14:paraId="16457784" w14:textId="77777777" w:rsidR="00F25E60" w:rsidRPr="00F25E60" w:rsidRDefault="00F25E60" w:rsidP="00F25E60">
      <w:pPr>
        <w:spacing w:after="120" w:line="240" w:lineRule="auto"/>
        <w:rPr>
          <w:rFonts w:cs="Arial"/>
          <w:szCs w:val="20"/>
        </w:rPr>
      </w:pPr>
      <w:r w:rsidRPr="00F25E60">
        <w:rPr>
          <w:rFonts w:cs="Arial"/>
          <w:b/>
          <w:szCs w:val="20"/>
        </w:rPr>
        <w:t xml:space="preserve">2.2.2. </w:t>
      </w:r>
      <w:r w:rsidRPr="00F25E60">
        <w:rPr>
          <w:rFonts w:cs="Arial"/>
          <w:szCs w:val="20"/>
        </w:rPr>
        <w:t>Materiały wchodzące w skład mieszanki</w:t>
      </w:r>
    </w:p>
    <w:p w14:paraId="0206BFCD" w14:textId="77777777" w:rsidR="00F25E60" w:rsidRPr="00F25E60" w:rsidRDefault="00F25E60" w:rsidP="00F25E60">
      <w:pPr>
        <w:pStyle w:val="Bezodstpw"/>
        <w:rPr>
          <w:rFonts w:cs="Arial"/>
          <w:szCs w:val="20"/>
        </w:rPr>
      </w:pPr>
      <w:r w:rsidRPr="00F25E60">
        <w:rPr>
          <w:rFonts w:cs="Arial"/>
          <w:szCs w:val="20"/>
        </w:rPr>
        <w:tab/>
        <w:t>Materiałami stosowanymi do wytwarzania mieszanek z kruszywa niezwiązanego są:</w:t>
      </w:r>
    </w:p>
    <w:p w14:paraId="57F8BB77" w14:textId="77777777" w:rsidR="00F25E60" w:rsidRPr="00F25E60" w:rsidRDefault="00F25E60" w:rsidP="00CF1E7D">
      <w:pPr>
        <w:pStyle w:val="Bezodstpw"/>
        <w:numPr>
          <w:ilvl w:val="0"/>
          <w:numId w:val="98"/>
        </w:numPr>
        <w:jc w:val="both"/>
        <w:rPr>
          <w:rFonts w:cs="Arial"/>
          <w:szCs w:val="20"/>
        </w:rPr>
      </w:pPr>
      <w:r w:rsidRPr="00F25E60">
        <w:rPr>
          <w:rFonts w:cs="Arial"/>
          <w:szCs w:val="20"/>
        </w:rPr>
        <w:t>kruszywo,</w:t>
      </w:r>
    </w:p>
    <w:p w14:paraId="3FC1FC19" w14:textId="17B85CE5" w:rsidR="00F25E60" w:rsidRPr="00C968CE" w:rsidRDefault="00F25E60" w:rsidP="00CF1E7D">
      <w:pPr>
        <w:pStyle w:val="Bezodstpw"/>
        <w:numPr>
          <w:ilvl w:val="0"/>
          <w:numId w:val="98"/>
        </w:numPr>
        <w:jc w:val="both"/>
        <w:rPr>
          <w:rFonts w:cs="Arial"/>
          <w:szCs w:val="20"/>
        </w:rPr>
      </w:pPr>
      <w:r w:rsidRPr="00F25E60">
        <w:rPr>
          <w:rFonts w:cs="Arial"/>
          <w:szCs w:val="20"/>
        </w:rPr>
        <w:t>woda do zraszania kruszywa.</w:t>
      </w:r>
    </w:p>
    <w:p w14:paraId="0FF121ED" w14:textId="77777777" w:rsidR="00F25E60" w:rsidRPr="00F25E60" w:rsidRDefault="00F25E60" w:rsidP="00F25E60">
      <w:pPr>
        <w:pStyle w:val="Bezodstpw"/>
        <w:spacing w:before="120" w:after="120"/>
        <w:rPr>
          <w:rFonts w:cs="Arial"/>
          <w:szCs w:val="20"/>
        </w:rPr>
      </w:pPr>
      <w:r w:rsidRPr="00F25E60">
        <w:rPr>
          <w:rFonts w:cs="Arial"/>
          <w:b/>
          <w:szCs w:val="20"/>
        </w:rPr>
        <w:t>2.2.3</w:t>
      </w:r>
      <w:r w:rsidRPr="00F25E60">
        <w:rPr>
          <w:rFonts w:cs="Arial"/>
          <w:szCs w:val="20"/>
        </w:rPr>
        <w:t>. Kruszywa</w:t>
      </w:r>
    </w:p>
    <w:p w14:paraId="30AF4895" w14:textId="77777777" w:rsidR="00F25E60" w:rsidRPr="00F25E60" w:rsidRDefault="00F25E60" w:rsidP="00F25E60">
      <w:pPr>
        <w:tabs>
          <w:tab w:val="left" w:pos="600"/>
        </w:tabs>
        <w:spacing w:line="240" w:lineRule="auto"/>
        <w:rPr>
          <w:rFonts w:cs="Arial"/>
          <w:szCs w:val="20"/>
        </w:rPr>
      </w:pPr>
      <w:r w:rsidRPr="00F25E60">
        <w:rPr>
          <w:rFonts w:cs="Arial"/>
          <w:szCs w:val="20"/>
        </w:rPr>
        <w:tab/>
        <w:t>Do mieszanek można stosować następujące rodzaje kruszyw:</w:t>
      </w:r>
    </w:p>
    <w:p w14:paraId="4F803A8B" w14:textId="77777777" w:rsidR="00F25E60" w:rsidRPr="00F25E60" w:rsidRDefault="00F25E60" w:rsidP="00CF1E7D">
      <w:pPr>
        <w:numPr>
          <w:ilvl w:val="0"/>
          <w:numId w:val="99"/>
        </w:numPr>
        <w:overflowPunct w:val="0"/>
        <w:autoSpaceDE w:val="0"/>
        <w:autoSpaceDN w:val="0"/>
        <w:adjustRightInd w:val="0"/>
        <w:spacing w:line="240" w:lineRule="auto"/>
        <w:jc w:val="both"/>
        <w:textAlignment w:val="baseline"/>
        <w:rPr>
          <w:rFonts w:cs="Arial"/>
          <w:szCs w:val="20"/>
        </w:rPr>
      </w:pPr>
      <w:r w:rsidRPr="00F25E60">
        <w:rPr>
          <w:rFonts w:cs="Arial"/>
          <w:szCs w:val="20"/>
        </w:rPr>
        <w:t>kruszywo naturalne lub sztuczne,</w:t>
      </w:r>
    </w:p>
    <w:p w14:paraId="0552CC1A" w14:textId="77777777" w:rsidR="00F25E60" w:rsidRPr="00F25E60" w:rsidRDefault="00F25E60" w:rsidP="00CF1E7D">
      <w:pPr>
        <w:numPr>
          <w:ilvl w:val="0"/>
          <w:numId w:val="99"/>
        </w:numPr>
        <w:overflowPunct w:val="0"/>
        <w:autoSpaceDE w:val="0"/>
        <w:autoSpaceDN w:val="0"/>
        <w:adjustRightInd w:val="0"/>
        <w:spacing w:line="240" w:lineRule="auto"/>
        <w:jc w:val="both"/>
        <w:textAlignment w:val="baseline"/>
        <w:rPr>
          <w:rFonts w:cs="Arial"/>
          <w:szCs w:val="20"/>
        </w:rPr>
      </w:pPr>
      <w:r w:rsidRPr="00F25E60">
        <w:rPr>
          <w:rFonts w:cs="Arial"/>
          <w:szCs w:val="20"/>
        </w:rPr>
        <w:t>kruszywo z recyklingu,</w:t>
      </w:r>
    </w:p>
    <w:p w14:paraId="546CC09C" w14:textId="77777777" w:rsidR="00F25E60" w:rsidRPr="00F25E60" w:rsidRDefault="00F25E60" w:rsidP="00CF1E7D">
      <w:pPr>
        <w:numPr>
          <w:ilvl w:val="0"/>
          <w:numId w:val="99"/>
        </w:numPr>
        <w:overflowPunct w:val="0"/>
        <w:autoSpaceDE w:val="0"/>
        <w:autoSpaceDN w:val="0"/>
        <w:adjustRightInd w:val="0"/>
        <w:spacing w:line="240" w:lineRule="auto"/>
        <w:jc w:val="both"/>
        <w:textAlignment w:val="baseline"/>
        <w:rPr>
          <w:rFonts w:cs="Arial"/>
          <w:szCs w:val="20"/>
        </w:rPr>
      </w:pPr>
      <w:r w:rsidRPr="00F25E60">
        <w:rPr>
          <w:rFonts w:cs="Arial"/>
          <w:szCs w:val="20"/>
        </w:rPr>
        <w:t>połączenie kruszyw wymienionych w punktach a) i b) z określeniem proporcji kruszyw z a) i b) z dokładnością ± 5% m/m.</w:t>
      </w:r>
    </w:p>
    <w:p w14:paraId="6B25FF3B" w14:textId="77777777" w:rsidR="00F25E60" w:rsidRPr="00F25E60" w:rsidRDefault="00F25E60" w:rsidP="00F25E60">
      <w:pPr>
        <w:spacing w:line="240" w:lineRule="auto"/>
        <w:ind w:firstLine="600"/>
        <w:rPr>
          <w:rFonts w:cs="Arial"/>
          <w:szCs w:val="20"/>
        </w:rPr>
      </w:pPr>
      <w:r w:rsidRPr="00F25E60">
        <w:rPr>
          <w:rFonts w:cs="Arial"/>
          <w:szCs w:val="20"/>
        </w:rPr>
        <w:t>Wymagania wobec kruszywa do warstwy podłoża ulepszonego przedstawia tablica 1.</w:t>
      </w:r>
    </w:p>
    <w:p w14:paraId="2BBD5D1E" w14:textId="77777777" w:rsidR="00F25E60" w:rsidRPr="00F25E60" w:rsidRDefault="00F25E60" w:rsidP="00F25E60">
      <w:pPr>
        <w:spacing w:line="240" w:lineRule="auto"/>
        <w:ind w:firstLine="600"/>
        <w:rPr>
          <w:rFonts w:cs="Arial"/>
          <w:szCs w:val="20"/>
        </w:rPr>
      </w:pPr>
      <w:r w:rsidRPr="00F25E60">
        <w:rPr>
          <w:rFonts w:cs="Arial"/>
          <w:szCs w:val="20"/>
        </w:rPr>
        <w:t xml:space="preserve">Mieszanki o górnym wymiarze ziaren (D) większym niż </w:t>
      </w:r>
      <w:smartTag w:uri="urn:schemas-microsoft-com:office:smarttags" w:element="metricconverter">
        <w:smartTagPr>
          <w:attr w:name="ProductID" w:val="80 mm"/>
        </w:smartTagPr>
        <w:r w:rsidRPr="00F25E60">
          <w:rPr>
            <w:rFonts w:cs="Arial"/>
            <w:szCs w:val="20"/>
          </w:rPr>
          <w:t>80 mm</w:t>
        </w:r>
      </w:smartTag>
      <w:r w:rsidRPr="00F25E60">
        <w:rPr>
          <w:rFonts w:cs="Arial"/>
          <w:szCs w:val="20"/>
        </w:rPr>
        <w:t xml:space="preserve"> nie są objęte normą PN-EN 13285 [20] i niniejszą OST.</w:t>
      </w:r>
    </w:p>
    <w:p w14:paraId="1AAA03EB" w14:textId="77777777" w:rsidR="00F25E60" w:rsidRPr="00F25E60" w:rsidRDefault="00F25E60" w:rsidP="00F25E60">
      <w:pPr>
        <w:pStyle w:val="Bezodstpw"/>
        <w:spacing w:before="120" w:after="120"/>
        <w:ind w:left="1200" w:hanging="1200"/>
        <w:rPr>
          <w:rFonts w:cs="Arial"/>
          <w:szCs w:val="20"/>
        </w:rPr>
      </w:pPr>
      <w:r w:rsidRPr="00F25E60">
        <w:rPr>
          <w:rFonts w:cs="Arial"/>
          <w:szCs w:val="20"/>
        </w:rPr>
        <w:t xml:space="preserve">Tablica 1. Wymagania według WT-4 [24] i PN-EN 13242 [19] wobec kruszyw do mieszanek niezwiązanych w warstwie podbudowy pomocniczej </w:t>
      </w:r>
    </w:p>
    <w:p w14:paraId="076514CF" w14:textId="77777777" w:rsidR="00F25E60" w:rsidRPr="00F25E60" w:rsidRDefault="00F25E60" w:rsidP="00F25E60">
      <w:pPr>
        <w:pStyle w:val="Bezodstpw"/>
        <w:rPr>
          <w:rFonts w:cs="Arial"/>
          <w:szCs w:val="20"/>
        </w:rPr>
      </w:pPr>
      <w:r w:rsidRPr="00F25E60">
        <w:rPr>
          <w:rFonts w:cs="Arial"/>
          <w:szCs w:val="20"/>
        </w:rPr>
        <w:t xml:space="preserve">Skróty użyte w tablicy: Kat. – kategoria właściwości,  </w:t>
      </w:r>
      <w:proofErr w:type="spellStart"/>
      <w:r w:rsidRPr="00F25E60">
        <w:rPr>
          <w:rFonts w:cs="Arial"/>
          <w:szCs w:val="20"/>
        </w:rPr>
        <w:t>Dekl</w:t>
      </w:r>
      <w:proofErr w:type="spellEnd"/>
      <w:r w:rsidRPr="00F25E60">
        <w:rPr>
          <w:rFonts w:cs="Arial"/>
          <w:szCs w:val="20"/>
        </w:rPr>
        <w:t xml:space="preserve"> – Deklarowana, </w:t>
      </w:r>
      <w:proofErr w:type="spellStart"/>
      <w:r w:rsidRPr="00F25E60">
        <w:rPr>
          <w:rFonts w:cs="Arial"/>
          <w:szCs w:val="20"/>
        </w:rPr>
        <w:t>wsk</w:t>
      </w:r>
      <w:proofErr w:type="spellEnd"/>
      <w:r w:rsidRPr="00F25E60">
        <w:rPr>
          <w:rFonts w:cs="Arial"/>
          <w:szCs w:val="20"/>
        </w:rPr>
        <w:t xml:space="preserve">. – wskaźnik, </w:t>
      </w:r>
      <w:proofErr w:type="spellStart"/>
      <w:r w:rsidRPr="00F25E60">
        <w:rPr>
          <w:rFonts w:cs="Arial"/>
          <w:szCs w:val="20"/>
        </w:rPr>
        <w:t>wsp</w:t>
      </w:r>
      <w:proofErr w:type="spellEnd"/>
      <w:r w:rsidRPr="00F25E60">
        <w:rPr>
          <w:rFonts w:cs="Arial"/>
          <w:szCs w:val="20"/>
        </w:rPr>
        <w:t xml:space="preserve">. – współczynnik, </w:t>
      </w:r>
      <w:proofErr w:type="spellStart"/>
      <w:r w:rsidRPr="00F25E60">
        <w:rPr>
          <w:rFonts w:cs="Arial"/>
          <w:szCs w:val="20"/>
        </w:rPr>
        <w:t>roz</w:t>
      </w:r>
      <w:proofErr w:type="spellEnd"/>
      <w:r w:rsidRPr="00F25E60">
        <w:rPr>
          <w:rFonts w:cs="Arial"/>
          <w:szCs w:val="20"/>
        </w:rPr>
        <w:t>. -rozdział</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F25E60" w:rsidRPr="00F25E60" w14:paraId="7CC930C0" w14:textId="77777777" w:rsidTr="007B6855">
        <w:tc>
          <w:tcPr>
            <w:tcW w:w="3085" w:type="dxa"/>
            <w:vMerge w:val="restart"/>
            <w:vAlign w:val="center"/>
          </w:tcPr>
          <w:p w14:paraId="4BDBF2C9" w14:textId="77777777" w:rsidR="00F25E60" w:rsidRPr="00F25E60" w:rsidRDefault="00F25E60" w:rsidP="00F25E60">
            <w:pPr>
              <w:pStyle w:val="Bezodstpw"/>
              <w:jc w:val="center"/>
              <w:rPr>
                <w:rFonts w:cs="Arial"/>
                <w:szCs w:val="20"/>
              </w:rPr>
            </w:pPr>
            <w:r w:rsidRPr="00F25E60">
              <w:rPr>
                <w:rFonts w:cs="Arial"/>
                <w:szCs w:val="20"/>
              </w:rPr>
              <w:t>Właściwość</w:t>
            </w:r>
          </w:p>
          <w:p w14:paraId="4FFDDB97" w14:textId="77777777" w:rsidR="00F25E60" w:rsidRPr="00F25E60" w:rsidRDefault="00F25E60" w:rsidP="00F25E60">
            <w:pPr>
              <w:pStyle w:val="Bezodstpw"/>
              <w:jc w:val="center"/>
              <w:rPr>
                <w:rFonts w:cs="Arial"/>
                <w:szCs w:val="20"/>
              </w:rPr>
            </w:pPr>
            <w:r w:rsidRPr="00F25E60">
              <w:rPr>
                <w:rFonts w:cs="Arial"/>
                <w:szCs w:val="20"/>
              </w:rPr>
              <w:t>kruszywa</w:t>
            </w:r>
          </w:p>
        </w:tc>
        <w:tc>
          <w:tcPr>
            <w:tcW w:w="992" w:type="dxa"/>
            <w:vMerge w:val="restart"/>
            <w:vAlign w:val="center"/>
          </w:tcPr>
          <w:p w14:paraId="58DE1023" w14:textId="77777777" w:rsidR="00F25E60" w:rsidRPr="00F25E60" w:rsidRDefault="00F25E60" w:rsidP="00F25E60">
            <w:pPr>
              <w:pStyle w:val="Bezodstpw"/>
              <w:jc w:val="center"/>
              <w:rPr>
                <w:rFonts w:cs="Arial"/>
                <w:szCs w:val="20"/>
              </w:rPr>
            </w:pPr>
            <w:r w:rsidRPr="00F25E60">
              <w:rPr>
                <w:rFonts w:cs="Arial"/>
                <w:szCs w:val="20"/>
              </w:rPr>
              <w:t>Metoda</w:t>
            </w:r>
          </w:p>
          <w:p w14:paraId="5A1DF836" w14:textId="77777777" w:rsidR="00F25E60" w:rsidRPr="00F25E60" w:rsidRDefault="00F25E60" w:rsidP="00F25E60">
            <w:pPr>
              <w:pStyle w:val="Bezodstpw"/>
              <w:jc w:val="center"/>
              <w:rPr>
                <w:rFonts w:cs="Arial"/>
                <w:szCs w:val="20"/>
              </w:rPr>
            </w:pPr>
            <w:r w:rsidRPr="00F25E60">
              <w:rPr>
                <w:rFonts w:cs="Arial"/>
                <w:szCs w:val="20"/>
              </w:rPr>
              <w:t>badania</w:t>
            </w:r>
          </w:p>
          <w:p w14:paraId="4AC8263A" w14:textId="77777777" w:rsidR="00F25E60" w:rsidRPr="00F25E60" w:rsidRDefault="00F25E60" w:rsidP="00F25E60">
            <w:pPr>
              <w:pStyle w:val="Bezodstpw"/>
              <w:jc w:val="center"/>
              <w:rPr>
                <w:rFonts w:cs="Arial"/>
                <w:szCs w:val="20"/>
              </w:rPr>
            </w:pPr>
            <w:r w:rsidRPr="00F25E60">
              <w:rPr>
                <w:rFonts w:cs="Arial"/>
                <w:szCs w:val="20"/>
              </w:rPr>
              <w:t>wg</w:t>
            </w:r>
          </w:p>
        </w:tc>
        <w:tc>
          <w:tcPr>
            <w:tcW w:w="4820" w:type="dxa"/>
            <w:gridSpan w:val="2"/>
          </w:tcPr>
          <w:p w14:paraId="7B6F6D83" w14:textId="77777777" w:rsidR="00F25E60" w:rsidRPr="00F25E60" w:rsidRDefault="00F25E60" w:rsidP="00F25E60">
            <w:pPr>
              <w:pStyle w:val="Bezodstpw"/>
              <w:jc w:val="center"/>
              <w:rPr>
                <w:rFonts w:cs="Arial"/>
                <w:szCs w:val="20"/>
              </w:rPr>
            </w:pPr>
            <w:r w:rsidRPr="00F25E60">
              <w:rPr>
                <w:rFonts w:cs="Arial"/>
                <w:szCs w:val="20"/>
              </w:rPr>
              <w:t>Wymagania wobec kruszywa do mieszanek niezwiązanych, przeznaczonych do zastosowania w warstwie podbudowy pomocniczej pod nawierzchnią drogi obciążonej ruchem  kategorii KR1 ÷ KR6</w:t>
            </w:r>
          </w:p>
        </w:tc>
      </w:tr>
      <w:tr w:rsidR="00F25E60" w:rsidRPr="00F25E60" w14:paraId="3D4B2A43" w14:textId="77777777" w:rsidTr="007B6855">
        <w:trPr>
          <w:trHeight w:val="476"/>
        </w:trPr>
        <w:tc>
          <w:tcPr>
            <w:tcW w:w="3085" w:type="dxa"/>
            <w:vMerge/>
          </w:tcPr>
          <w:p w14:paraId="4D6020D2" w14:textId="77777777" w:rsidR="00F25E60" w:rsidRPr="00F25E60" w:rsidRDefault="00F25E60" w:rsidP="00F25E60">
            <w:pPr>
              <w:pStyle w:val="Bezodstpw"/>
              <w:rPr>
                <w:rFonts w:cs="Arial"/>
                <w:szCs w:val="20"/>
              </w:rPr>
            </w:pPr>
          </w:p>
        </w:tc>
        <w:tc>
          <w:tcPr>
            <w:tcW w:w="992" w:type="dxa"/>
            <w:vMerge/>
          </w:tcPr>
          <w:p w14:paraId="7BD807DB" w14:textId="77777777" w:rsidR="00F25E60" w:rsidRPr="00F25E60" w:rsidRDefault="00F25E60" w:rsidP="00F25E60">
            <w:pPr>
              <w:pStyle w:val="Bezodstpw"/>
              <w:rPr>
                <w:rFonts w:cs="Arial"/>
                <w:szCs w:val="20"/>
              </w:rPr>
            </w:pPr>
          </w:p>
        </w:tc>
        <w:tc>
          <w:tcPr>
            <w:tcW w:w="851" w:type="dxa"/>
            <w:vAlign w:val="center"/>
          </w:tcPr>
          <w:p w14:paraId="29B24828" w14:textId="77777777" w:rsidR="00F25E60" w:rsidRPr="00F25E60" w:rsidRDefault="00F25E60" w:rsidP="00F25E60">
            <w:pPr>
              <w:pStyle w:val="Bezodstpw"/>
              <w:jc w:val="center"/>
              <w:rPr>
                <w:rFonts w:cs="Arial"/>
                <w:szCs w:val="20"/>
              </w:rPr>
            </w:pPr>
            <w:r w:rsidRPr="00F25E60">
              <w:rPr>
                <w:rFonts w:cs="Arial"/>
                <w:szCs w:val="20"/>
              </w:rPr>
              <w:t>Punkt</w:t>
            </w:r>
          </w:p>
          <w:p w14:paraId="3786FA14" w14:textId="77777777" w:rsidR="00F25E60" w:rsidRPr="00F25E60" w:rsidRDefault="00F25E60" w:rsidP="00F25E60">
            <w:pPr>
              <w:pStyle w:val="Bezodstpw"/>
              <w:jc w:val="center"/>
              <w:rPr>
                <w:rFonts w:cs="Arial"/>
                <w:szCs w:val="20"/>
              </w:rPr>
            </w:pPr>
            <w:r w:rsidRPr="00F25E60">
              <w:rPr>
                <w:rFonts w:cs="Arial"/>
                <w:szCs w:val="20"/>
              </w:rPr>
              <w:t>PN-EN</w:t>
            </w:r>
          </w:p>
          <w:p w14:paraId="5034990C" w14:textId="77777777" w:rsidR="00F25E60" w:rsidRPr="00F25E60" w:rsidRDefault="00F25E60" w:rsidP="00F25E60">
            <w:pPr>
              <w:pStyle w:val="Bezodstpw"/>
              <w:jc w:val="center"/>
              <w:rPr>
                <w:rFonts w:cs="Arial"/>
                <w:szCs w:val="20"/>
              </w:rPr>
            </w:pPr>
            <w:r w:rsidRPr="00F25E60">
              <w:rPr>
                <w:rFonts w:cs="Arial"/>
                <w:szCs w:val="20"/>
              </w:rPr>
              <w:t>13242</w:t>
            </w:r>
          </w:p>
        </w:tc>
        <w:tc>
          <w:tcPr>
            <w:tcW w:w="3969" w:type="dxa"/>
            <w:vAlign w:val="center"/>
          </w:tcPr>
          <w:p w14:paraId="0CE03BA7" w14:textId="77777777" w:rsidR="00F25E60" w:rsidRPr="00F25E60" w:rsidRDefault="00F25E60" w:rsidP="00F25E60">
            <w:pPr>
              <w:pStyle w:val="Bezodstpw"/>
              <w:jc w:val="center"/>
              <w:rPr>
                <w:rFonts w:cs="Arial"/>
                <w:szCs w:val="20"/>
              </w:rPr>
            </w:pPr>
            <w:r w:rsidRPr="00F25E60">
              <w:rPr>
                <w:rFonts w:cs="Arial"/>
                <w:szCs w:val="20"/>
              </w:rPr>
              <w:t>Wymagania</w:t>
            </w:r>
          </w:p>
          <w:p w14:paraId="115D246D" w14:textId="77777777" w:rsidR="00F25E60" w:rsidRPr="00F25E60" w:rsidRDefault="00F25E60" w:rsidP="00F25E60">
            <w:pPr>
              <w:pStyle w:val="Bezodstpw"/>
              <w:jc w:val="center"/>
              <w:rPr>
                <w:rFonts w:cs="Arial"/>
                <w:szCs w:val="20"/>
              </w:rPr>
            </w:pPr>
          </w:p>
        </w:tc>
      </w:tr>
      <w:tr w:rsidR="00F25E60" w:rsidRPr="00F25E60" w14:paraId="0CEB6A4A" w14:textId="77777777" w:rsidTr="007B6855">
        <w:tc>
          <w:tcPr>
            <w:tcW w:w="3085" w:type="dxa"/>
          </w:tcPr>
          <w:p w14:paraId="07A11CD1" w14:textId="77777777" w:rsidR="00F25E60" w:rsidRPr="00F25E60" w:rsidRDefault="00F25E60" w:rsidP="00F25E60">
            <w:pPr>
              <w:pStyle w:val="Bezodstpw"/>
              <w:rPr>
                <w:rFonts w:cs="Arial"/>
                <w:szCs w:val="20"/>
              </w:rPr>
            </w:pPr>
            <w:r w:rsidRPr="00F25E60">
              <w:rPr>
                <w:rFonts w:cs="Arial"/>
                <w:szCs w:val="20"/>
              </w:rPr>
              <w:t>Zestaw sit #</w:t>
            </w:r>
          </w:p>
        </w:tc>
        <w:tc>
          <w:tcPr>
            <w:tcW w:w="992" w:type="dxa"/>
          </w:tcPr>
          <w:p w14:paraId="4ADB348C" w14:textId="77777777" w:rsidR="00F25E60" w:rsidRPr="00F25E60" w:rsidRDefault="00F25E60" w:rsidP="00F25E60">
            <w:pPr>
              <w:pStyle w:val="Bezodstpw"/>
              <w:jc w:val="center"/>
              <w:rPr>
                <w:rFonts w:cs="Arial"/>
                <w:szCs w:val="20"/>
              </w:rPr>
            </w:pPr>
            <w:r w:rsidRPr="00F25E60">
              <w:rPr>
                <w:rFonts w:cs="Arial"/>
                <w:szCs w:val="20"/>
              </w:rPr>
              <w:t>-</w:t>
            </w:r>
          </w:p>
        </w:tc>
        <w:tc>
          <w:tcPr>
            <w:tcW w:w="851" w:type="dxa"/>
          </w:tcPr>
          <w:p w14:paraId="567BC8A8" w14:textId="77777777" w:rsidR="00F25E60" w:rsidRPr="00F25E60" w:rsidRDefault="00F25E60" w:rsidP="00F25E60">
            <w:pPr>
              <w:pStyle w:val="Bezodstpw"/>
              <w:rPr>
                <w:rFonts w:cs="Arial"/>
                <w:szCs w:val="20"/>
              </w:rPr>
            </w:pPr>
            <w:r w:rsidRPr="00F25E60">
              <w:rPr>
                <w:rFonts w:cs="Arial"/>
                <w:szCs w:val="20"/>
              </w:rPr>
              <w:t>4.1-4.2</w:t>
            </w:r>
          </w:p>
        </w:tc>
        <w:tc>
          <w:tcPr>
            <w:tcW w:w="3969" w:type="dxa"/>
          </w:tcPr>
          <w:p w14:paraId="65CDC127" w14:textId="77777777" w:rsidR="00F25E60" w:rsidRPr="00F25E60" w:rsidRDefault="00F25E60" w:rsidP="00F25E60">
            <w:pPr>
              <w:pStyle w:val="Bezodstpw"/>
              <w:rPr>
                <w:rFonts w:cs="Arial"/>
                <w:szCs w:val="20"/>
              </w:rPr>
            </w:pPr>
            <w:r w:rsidRPr="00F25E60">
              <w:rPr>
                <w:rFonts w:cs="Arial"/>
                <w:szCs w:val="20"/>
              </w:rPr>
              <w:t xml:space="preserve">0,063; 0,5; 1; 2; 4; 5,6; 8; 11,2; 16; 22,4; 31,5; 45; 63 i </w:t>
            </w:r>
            <w:smartTag w:uri="urn:schemas-microsoft-com:office:smarttags" w:element="metricconverter">
              <w:smartTagPr>
                <w:attr w:name="ProductID" w:val="90 mm"/>
              </w:smartTagPr>
              <w:r w:rsidRPr="00F25E60">
                <w:rPr>
                  <w:rFonts w:cs="Arial"/>
                  <w:szCs w:val="20"/>
                </w:rPr>
                <w:t>90 mm</w:t>
              </w:r>
            </w:smartTag>
            <w:r w:rsidRPr="00F25E60">
              <w:rPr>
                <w:rFonts w:cs="Arial"/>
                <w:szCs w:val="20"/>
              </w:rPr>
              <w:t xml:space="preserve"> (zestaw podstawowy plus zestaw 1) </w:t>
            </w:r>
          </w:p>
          <w:p w14:paraId="2177D321" w14:textId="77777777" w:rsidR="00F25E60" w:rsidRPr="00F25E60" w:rsidRDefault="00F25E60" w:rsidP="00F25E60">
            <w:pPr>
              <w:pStyle w:val="Bezodstpw"/>
              <w:rPr>
                <w:rFonts w:cs="Arial"/>
                <w:szCs w:val="20"/>
              </w:rPr>
            </w:pPr>
            <w:r w:rsidRPr="00F25E60">
              <w:rPr>
                <w:rFonts w:cs="Arial"/>
                <w:szCs w:val="20"/>
              </w:rPr>
              <w:t xml:space="preserve"> Wszystkie frakcje dozwolone</w:t>
            </w:r>
          </w:p>
        </w:tc>
      </w:tr>
      <w:tr w:rsidR="00F25E60" w:rsidRPr="00F25E60" w14:paraId="69DAB50C" w14:textId="77777777" w:rsidTr="007B6855">
        <w:tc>
          <w:tcPr>
            <w:tcW w:w="3085" w:type="dxa"/>
          </w:tcPr>
          <w:p w14:paraId="3E594F6E" w14:textId="77777777" w:rsidR="00F25E60" w:rsidRPr="00F25E60" w:rsidRDefault="00F25E60" w:rsidP="00F25E60">
            <w:pPr>
              <w:pStyle w:val="Bezodstpw"/>
              <w:rPr>
                <w:rFonts w:cs="Arial"/>
                <w:szCs w:val="20"/>
              </w:rPr>
            </w:pPr>
            <w:r w:rsidRPr="00F25E60">
              <w:rPr>
                <w:rFonts w:cs="Arial"/>
                <w:szCs w:val="20"/>
              </w:rPr>
              <w:t>Uziarnienie</w:t>
            </w:r>
          </w:p>
        </w:tc>
        <w:tc>
          <w:tcPr>
            <w:tcW w:w="992" w:type="dxa"/>
          </w:tcPr>
          <w:p w14:paraId="034911CC" w14:textId="77777777" w:rsidR="00F25E60" w:rsidRPr="00F25E60" w:rsidRDefault="00F25E60" w:rsidP="00F25E60">
            <w:pPr>
              <w:pStyle w:val="Bezodstpw"/>
              <w:rPr>
                <w:rFonts w:cs="Arial"/>
                <w:szCs w:val="20"/>
              </w:rPr>
            </w:pPr>
            <w:r w:rsidRPr="00F25E60">
              <w:rPr>
                <w:rFonts w:cs="Arial"/>
                <w:szCs w:val="20"/>
              </w:rPr>
              <w:t>PN-EN</w:t>
            </w:r>
          </w:p>
          <w:p w14:paraId="253C62A1" w14:textId="77777777" w:rsidR="00F25E60" w:rsidRPr="00F25E60" w:rsidRDefault="00F25E60" w:rsidP="00F25E60">
            <w:pPr>
              <w:pStyle w:val="Bezodstpw"/>
              <w:rPr>
                <w:rFonts w:cs="Arial"/>
                <w:szCs w:val="20"/>
              </w:rPr>
            </w:pPr>
            <w:r w:rsidRPr="00F25E60">
              <w:rPr>
                <w:rFonts w:cs="Arial"/>
                <w:szCs w:val="20"/>
              </w:rPr>
              <w:t>933-1[8]</w:t>
            </w:r>
          </w:p>
          <w:p w14:paraId="18A071B7" w14:textId="77777777" w:rsidR="00F25E60" w:rsidRPr="00F25E60" w:rsidRDefault="00F25E60" w:rsidP="00F25E60">
            <w:pPr>
              <w:pStyle w:val="Bezodstpw"/>
              <w:rPr>
                <w:rFonts w:cs="Arial"/>
                <w:szCs w:val="20"/>
              </w:rPr>
            </w:pPr>
          </w:p>
        </w:tc>
        <w:tc>
          <w:tcPr>
            <w:tcW w:w="851" w:type="dxa"/>
          </w:tcPr>
          <w:p w14:paraId="5E373EF0" w14:textId="77777777" w:rsidR="00F25E60" w:rsidRPr="00F25E60" w:rsidRDefault="00F25E60" w:rsidP="00F25E60">
            <w:pPr>
              <w:pStyle w:val="Bezodstpw"/>
              <w:rPr>
                <w:rFonts w:cs="Arial"/>
                <w:szCs w:val="20"/>
              </w:rPr>
            </w:pPr>
            <w:r w:rsidRPr="00F25E60">
              <w:rPr>
                <w:rFonts w:cs="Arial"/>
                <w:szCs w:val="20"/>
              </w:rPr>
              <w:t>4.3.1</w:t>
            </w:r>
          </w:p>
        </w:tc>
        <w:tc>
          <w:tcPr>
            <w:tcW w:w="3969" w:type="dxa"/>
          </w:tcPr>
          <w:p w14:paraId="087665A4" w14:textId="77777777" w:rsidR="00F25E60" w:rsidRPr="00F25E60" w:rsidRDefault="00F25E60" w:rsidP="00F25E60">
            <w:pPr>
              <w:pStyle w:val="Bezodstpw"/>
              <w:rPr>
                <w:rFonts w:cs="Arial"/>
                <w:szCs w:val="20"/>
              </w:rPr>
            </w:pPr>
            <w:r w:rsidRPr="00F25E60">
              <w:rPr>
                <w:rFonts w:cs="Arial"/>
                <w:szCs w:val="20"/>
              </w:rPr>
              <w:t>Kruszywo grube: kat. G</w:t>
            </w:r>
            <w:r w:rsidRPr="00F25E60">
              <w:rPr>
                <w:rFonts w:cs="Arial"/>
                <w:szCs w:val="20"/>
                <w:vertAlign w:val="subscript"/>
              </w:rPr>
              <w:t>C</w:t>
            </w:r>
            <w:r w:rsidRPr="00F25E60">
              <w:rPr>
                <w:rFonts w:cs="Arial"/>
                <w:szCs w:val="20"/>
              </w:rPr>
              <w:t>85/15,   kruszywo drobne: kat. G</w:t>
            </w:r>
            <w:r w:rsidRPr="00F25E60">
              <w:rPr>
                <w:rFonts w:cs="Arial"/>
                <w:szCs w:val="20"/>
                <w:vertAlign w:val="subscript"/>
              </w:rPr>
              <w:t>F</w:t>
            </w:r>
            <w:r w:rsidRPr="00F25E60">
              <w:rPr>
                <w:rFonts w:cs="Arial"/>
                <w:szCs w:val="20"/>
              </w:rPr>
              <w:t>85,   kruszywo o ciągłym uziarnieniu: kat. G</w:t>
            </w:r>
            <w:r w:rsidRPr="00F25E60">
              <w:rPr>
                <w:rFonts w:cs="Arial"/>
                <w:szCs w:val="20"/>
                <w:vertAlign w:val="subscript"/>
              </w:rPr>
              <w:t>A</w:t>
            </w:r>
            <w:r w:rsidRPr="00F25E60">
              <w:rPr>
                <w:rFonts w:cs="Arial"/>
                <w:szCs w:val="20"/>
              </w:rPr>
              <w:t xml:space="preserve">85.   </w:t>
            </w:r>
          </w:p>
          <w:p w14:paraId="4125FFFF" w14:textId="77777777" w:rsidR="00F25E60" w:rsidRPr="00F25E60" w:rsidRDefault="00F25E60" w:rsidP="00F25E60">
            <w:pPr>
              <w:pStyle w:val="Bezodstpw"/>
              <w:rPr>
                <w:rFonts w:cs="Arial"/>
                <w:szCs w:val="20"/>
              </w:rPr>
            </w:pPr>
            <w:r w:rsidRPr="00F25E60">
              <w:rPr>
                <w:rFonts w:cs="Arial"/>
                <w:szCs w:val="20"/>
              </w:rPr>
              <w:t>Uziarnienie mieszanek kruszywa wg rysunków 1÷3</w:t>
            </w:r>
          </w:p>
        </w:tc>
      </w:tr>
      <w:tr w:rsidR="00F25E60" w:rsidRPr="00F25E60" w14:paraId="330D6DE8" w14:textId="77777777" w:rsidTr="007B6855">
        <w:trPr>
          <w:trHeight w:val="433"/>
        </w:trPr>
        <w:tc>
          <w:tcPr>
            <w:tcW w:w="3085" w:type="dxa"/>
          </w:tcPr>
          <w:p w14:paraId="06607E48" w14:textId="77777777" w:rsidR="00F25E60" w:rsidRPr="00F25E60" w:rsidRDefault="00F25E60" w:rsidP="00F25E60">
            <w:pPr>
              <w:pStyle w:val="Bezodstpw"/>
              <w:rPr>
                <w:rFonts w:cs="Arial"/>
                <w:szCs w:val="20"/>
              </w:rPr>
            </w:pPr>
            <w:r w:rsidRPr="00F25E60">
              <w:rPr>
                <w:rFonts w:cs="Arial"/>
                <w:szCs w:val="20"/>
              </w:rPr>
              <w:t>Ogólne granice i tolerancje uziarnienia kruszywa grubego na sitach pośrednich</w:t>
            </w:r>
          </w:p>
          <w:p w14:paraId="3ED9395E" w14:textId="77777777" w:rsidR="00F25E60" w:rsidRPr="00F25E60" w:rsidRDefault="00F25E60" w:rsidP="00F25E60">
            <w:pPr>
              <w:pStyle w:val="Bezodstpw"/>
              <w:rPr>
                <w:rFonts w:cs="Arial"/>
                <w:szCs w:val="20"/>
              </w:rPr>
            </w:pPr>
          </w:p>
        </w:tc>
        <w:tc>
          <w:tcPr>
            <w:tcW w:w="992" w:type="dxa"/>
          </w:tcPr>
          <w:p w14:paraId="2E7AA13E" w14:textId="77777777" w:rsidR="00F25E60" w:rsidRPr="00F25E60" w:rsidRDefault="00F25E60" w:rsidP="00F25E60">
            <w:pPr>
              <w:pStyle w:val="Bezodstpw"/>
              <w:rPr>
                <w:rFonts w:cs="Arial"/>
                <w:szCs w:val="20"/>
              </w:rPr>
            </w:pPr>
            <w:r w:rsidRPr="00F25E60">
              <w:rPr>
                <w:rFonts w:cs="Arial"/>
                <w:szCs w:val="20"/>
              </w:rPr>
              <w:t>PN-EN</w:t>
            </w:r>
          </w:p>
          <w:p w14:paraId="3188960D" w14:textId="77777777" w:rsidR="00F25E60" w:rsidRPr="00F25E60" w:rsidRDefault="00F25E60" w:rsidP="00F25E60">
            <w:pPr>
              <w:pStyle w:val="Bezodstpw"/>
              <w:rPr>
                <w:rFonts w:cs="Arial"/>
                <w:szCs w:val="20"/>
              </w:rPr>
            </w:pPr>
            <w:r w:rsidRPr="00F25E60">
              <w:rPr>
                <w:rFonts w:cs="Arial"/>
                <w:szCs w:val="20"/>
              </w:rPr>
              <w:t>933-1 [8]</w:t>
            </w:r>
          </w:p>
          <w:p w14:paraId="5FF131FC" w14:textId="77777777" w:rsidR="00F25E60" w:rsidRPr="00F25E60" w:rsidRDefault="00F25E60" w:rsidP="00F25E60">
            <w:pPr>
              <w:pStyle w:val="Bezodstpw"/>
              <w:rPr>
                <w:rFonts w:cs="Arial"/>
                <w:szCs w:val="20"/>
              </w:rPr>
            </w:pPr>
          </w:p>
        </w:tc>
        <w:tc>
          <w:tcPr>
            <w:tcW w:w="851" w:type="dxa"/>
          </w:tcPr>
          <w:p w14:paraId="43177267" w14:textId="77777777" w:rsidR="00F25E60" w:rsidRPr="00F25E60" w:rsidRDefault="00F25E60" w:rsidP="00F25E60">
            <w:pPr>
              <w:pStyle w:val="Bezodstpw"/>
              <w:rPr>
                <w:rFonts w:cs="Arial"/>
                <w:szCs w:val="20"/>
              </w:rPr>
            </w:pPr>
            <w:r w:rsidRPr="00F25E60">
              <w:rPr>
                <w:rFonts w:cs="Arial"/>
                <w:szCs w:val="20"/>
              </w:rPr>
              <w:t>4.3.2</w:t>
            </w:r>
          </w:p>
        </w:tc>
        <w:tc>
          <w:tcPr>
            <w:tcW w:w="3969" w:type="dxa"/>
          </w:tcPr>
          <w:p w14:paraId="758CBBCC" w14:textId="77777777" w:rsidR="00F25E60" w:rsidRPr="00F25E60" w:rsidRDefault="00F25E60" w:rsidP="00F25E60">
            <w:pPr>
              <w:pStyle w:val="Bezodstpw"/>
              <w:rPr>
                <w:rFonts w:cs="Arial"/>
                <w:szCs w:val="20"/>
              </w:rPr>
            </w:pPr>
            <w:r w:rsidRPr="00F25E60">
              <w:rPr>
                <w:rFonts w:cs="Arial"/>
                <w:szCs w:val="20"/>
              </w:rPr>
              <w:t>Kat. GT</w:t>
            </w:r>
            <w:r w:rsidRPr="00F25E60">
              <w:rPr>
                <w:rFonts w:cs="Arial"/>
                <w:szCs w:val="20"/>
                <w:vertAlign w:val="subscript"/>
              </w:rPr>
              <w:t>C</w:t>
            </w:r>
            <w:r w:rsidRPr="00F25E60">
              <w:rPr>
                <w:rFonts w:cs="Arial"/>
                <w:szCs w:val="20"/>
              </w:rPr>
              <w:t>NR (tj. brak wymagania)</w:t>
            </w:r>
          </w:p>
        </w:tc>
      </w:tr>
      <w:tr w:rsidR="00F25E60" w:rsidRPr="00F25E60" w14:paraId="3C1785E3" w14:textId="77777777" w:rsidTr="007B6855">
        <w:tc>
          <w:tcPr>
            <w:tcW w:w="3085" w:type="dxa"/>
          </w:tcPr>
          <w:p w14:paraId="253E2D3B" w14:textId="77777777" w:rsidR="00F25E60" w:rsidRPr="00F25E60" w:rsidRDefault="00F25E60" w:rsidP="00F25E60">
            <w:pPr>
              <w:pStyle w:val="Bezodstpw"/>
              <w:rPr>
                <w:rFonts w:cs="Arial"/>
                <w:szCs w:val="20"/>
              </w:rPr>
            </w:pPr>
            <w:r w:rsidRPr="00F25E60">
              <w:rPr>
                <w:rFonts w:cs="Arial"/>
                <w:szCs w:val="20"/>
              </w:rPr>
              <w:t>Tolerancje typowego uziarnienia kruszywa drobnego i kruszywa o ciągłym uziarnieniu</w:t>
            </w:r>
            <w:r w:rsidRPr="00F25E60">
              <w:rPr>
                <w:rFonts w:cs="Arial"/>
                <w:szCs w:val="20"/>
              </w:rPr>
              <w:br/>
            </w:r>
          </w:p>
        </w:tc>
        <w:tc>
          <w:tcPr>
            <w:tcW w:w="992" w:type="dxa"/>
          </w:tcPr>
          <w:p w14:paraId="5D5A0301" w14:textId="77777777" w:rsidR="00F25E60" w:rsidRPr="00F25E60" w:rsidRDefault="00F25E60" w:rsidP="00F25E60">
            <w:pPr>
              <w:pStyle w:val="Bezodstpw"/>
              <w:rPr>
                <w:rFonts w:cs="Arial"/>
                <w:szCs w:val="20"/>
              </w:rPr>
            </w:pPr>
            <w:r w:rsidRPr="00F25E60">
              <w:rPr>
                <w:rFonts w:cs="Arial"/>
                <w:szCs w:val="20"/>
              </w:rPr>
              <w:t>PN-EN</w:t>
            </w:r>
          </w:p>
          <w:p w14:paraId="61321DA5" w14:textId="77777777" w:rsidR="00F25E60" w:rsidRPr="00F25E60" w:rsidRDefault="00F25E60" w:rsidP="00F25E60">
            <w:pPr>
              <w:pStyle w:val="Bezodstpw"/>
              <w:rPr>
                <w:rFonts w:cs="Arial"/>
                <w:szCs w:val="20"/>
              </w:rPr>
            </w:pPr>
            <w:r w:rsidRPr="00F25E60">
              <w:rPr>
                <w:rFonts w:cs="Arial"/>
                <w:szCs w:val="20"/>
              </w:rPr>
              <w:t>933-1 [8]</w:t>
            </w:r>
          </w:p>
          <w:p w14:paraId="5AA82C70" w14:textId="77777777" w:rsidR="00F25E60" w:rsidRPr="00F25E60" w:rsidRDefault="00F25E60" w:rsidP="00F25E60">
            <w:pPr>
              <w:pStyle w:val="Bezodstpw"/>
              <w:rPr>
                <w:rFonts w:cs="Arial"/>
                <w:szCs w:val="20"/>
              </w:rPr>
            </w:pPr>
          </w:p>
        </w:tc>
        <w:tc>
          <w:tcPr>
            <w:tcW w:w="851" w:type="dxa"/>
          </w:tcPr>
          <w:p w14:paraId="00BDBB4E" w14:textId="77777777" w:rsidR="00F25E60" w:rsidRPr="00F25E60" w:rsidRDefault="00F25E60" w:rsidP="00F25E60">
            <w:pPr>
              <w:pStyle w:val="Bezodstpw"/>
              <w:rPr>
                <w:rFonts w:cs="Arial"/>
                <w:szCs w:val="20"/>
              </w:rPr>
            </w:pPr>
            <w:r w:rsidRPr="00F25E60">
              <w:rPr>
                <w:rFonts w:cs="Arial"/>
                <w:szCs w:val="20"/>
              </w:rPr>
              <w:t>4.3.3</w:t>
            </w:r>
          </w:p>
        </w:tc>
        <w:tc>
          <w:tcPr>
            <w:tcW w:w="3969" w:type="dxa"/>
          </w:tcPr>
          <w:p w14:paraId="09C7410F" w14:textId="77777777" w:rsidR="00F25E60" w:rsidRPr="00F25E60" w:rsidRDefault="00F25E60" w:rsidP="00F25E60">
            <w:pPr>
              <w:pStyle w:val="Bezodstpw"/>
              <w:rPr>
                <w:rFonts w:cs="Arial"/>
                <w:szCs w:val="20"/>
              </w:rPr>
            </w:pPr>
            <w:r w:rsidRPr="00F25E60">
              <w:rPr>
                <w:rFonts w:cs="Arial"/>
                <w:szCs w:val="20"/>
              </w:rPr>
              <w:t>Kruszywo drobne: kat. GT</w:t>
            </w:r>
            <w:r w:rsidRPr="00F25E60">
              <w:rPr>
                <w:rFonts w:cs="Arial"/>
                <w:szCs w:val="20"/>
                <w:vertAlign w:val="subscript"/>
              </w:rPr>
              <w:t>F</w:t>
            </w:r>
            <w:r w:rsidRPr="00F25E60">
              <w:rPr>
                <w:rFonts w:cs="Arial"/>
                <w:szCs w:val="20"/>
              </w:rPr>
              <w:t>NR (tj. brak wymagania), kruszywo o ciągłym uziarnieniu: kat. GT</w:t>
            </w:r>
            <w:r w:rsidRPr="00F25E60">
              <w:rPr>
                <w:rFonts w:cs="Arial"/>
                <w:szCs w:val="20"/>
                <w:vertAlign w:val="subscript"/>
              </w:rPr>
              <w:t>A</w:t>
            </w:r>
            <w:r w:rsidRPr="00F25E60">
              <w:rPr>
                <w:rFonts w:cs="Arial"/>
                <w:szCs w:val="20"/>
              </w:rPr>
              <w:t>NR (tj. brak wymagania)</w:t>
            </w:r>
          </w:p>
        </w:tc>
      </w:tr>
      <w:tr w:rsidR="00F25E60" w:rsidRPr="00F25E60" w14:paraId="50EE648D" w14:textId="77777777" w:rsidTr="007B6855">
        <w:trPr>
          <w:trHeight w:val="671"/>
        </w:trPr>
        <w:tc>
          <w:tcPr>
            <w:tcW w:w="3085" w:type="dxa"/>
          </w:tcPr>
          <w:p w14:paraId="6D782599" w14:textId="77777777" w:rsidR="00F25E60" w:rsidRPr="00F25E60" w:rsidRDefault="00F25E60" w:rsidP="00F25E60">
            <w:pPr>
              <w:pStyle w:val="Bezodstpw"/>
              <w:rPr>
                <w:rFonts w:cs="Arial"/>
                <w:szCs w:val="20"/>
              </w:rPr>
            </w:pPr>
            <w:r w:rsidRPr="00F25E60">
              <w:rPr>
                <w:rFonts w:cs="Arial"/>
                <w:szCs w:val="20"/>
              </w:rPr>
              <w:t>Kształt kruszywa grubego – maksymalne wartości wskaź</w:t>
            </w:r>
            <w:r w:rsidRPr="00F25E60">
              <w:rPr>
                <w:rFonts w:cs="Arial"/>
                <w:szCs w:val="20"/>
              </w:rPr>
              <w:softHyphen/>
              <w:t>nika płaskości</w:t>
            </w:r>
          </w:p>
        </w:tc>
        <w:tc>
          <w:tcPr>
            <w:tcW w:w="992" w:type="dxa"/>
          </w:tcPr>
          <w:p w14:paraId="354755B8" w14:textId="77777777" w:rsidR="00F25E60" w:rsidRPr="00F25E60" w:rsidRDefault="00F25E60" w:rsidP="00F25E60">
            <w:pPr>
              <w:pStyle w:val="Bezodstpw"/>
              <w:rPr>
                <w:rFonts w:cs="Arial"/>
                <w:szCs w:val="20"/>
              </w:rPr>
            </w:pPr>
            <w:r w:rsidRPr="00F25E60">
              <w:rPr>
                <w:rFonts w:cs="Arial"/>
                <w:szCs w:val="20"/>
              </w:rPr>
              <w:t>PN-EN</w:t>
            </w:r>
          </w:p>
          <w:p w14:paraId="0CB0467E" w14:textId="77777777" w:rsidR="00F25E60" w:rsidRPr="00F25E60" w:rsidRDefault="00F25E60" w:rsidP="00F25E60">
            <w:pPr>
              <w:pStyle w:val="Bezodstpw"/>
              <w:rPr>
                <w:rFonts w:cs="Arial"/>
                <w:szCs w:val="20"/>
                <w:vertAlign w:val="superscript"/>
              </w:rPr>
            </w:pPr>
            <w:r w:rsidRPr="00F25E60">
              <w:rPr>
                <w:rFonts w:cs="Arial"/>
                <w:szCs w:val="20"/>
              </w:rPr>
              <w:t>933-3  [9]</w:t>
            </w:r>
          </w:p>
        </w:tc>
        <w:tc>
          <w:tcPr>
            <w:tcW w:w="851" w:type="dxa"/>
          </w:tcPr>
          <w:p w14:paraId="618D10A9" w14:textId="77777777" w:rsidR="00F25E60" w:rsidRPr="00F25E60" w:rsidRDefault="00F25E60" w:rsidP="00F25E60">
            <w:pPr>
              <w:pStyle w:val="Bezodstpw"/>
              <w:rPr>
                <w:rFonts w:cs="Arial"/>
                <w:szCs w:val="20"/>
              </w:rPr>
            </w:pPr>
            <w:r w:rsidRPr="00F25E60">
              <w:rPr>
                <w:rFonts w:cs="Arial"/>
                <w:szCs w:val="20"/>
              </w:rPr>
              <w:t>4.4</w:t>
            </w:r>
          </w:p>
        </w:tc>
        <w:tc>
          <w:tcPr>
            <w:tcW w:w="3969" w:type="dxa"/>
          </w:tcPr>
          <w:p w14:paraId="7BC508C5" w14:textId="77777777" w:rsidR="00F25E60" w:rsidRPr="00F25E60" w:rsidRDefault="00F25E60" w:rsidP="00F25E60">
            <w:pPr>
              <w:pStyle w:val="Bezodstpw"/>
              <w:rPr>
                <w:rFonts w:cs="Arial"/>
                <w:szCs w:val="20"/>
              </w:rPr>
            </w:pPr>
            <w:r w:rsidRPr="00F25E60">
              <w:rPr>
                <w:rFonts w:cs="Arial"/>
                <w:szCs w:val="20"/>
              </w:rPr>
              <w:t>Kat. FI</w:t>
            </w:r>
            <w:r w:rsidRPr="00F25E60">
              <w:rPr>
                <w:rFonts w:cs="Arial"/>
                <w:szCs w:val="20"/>
                <w:vertAlign w:val="subscript"/>
              </w:rPr>
              <w:t xml:space="preserve">NR </w:t>
            </w:r>
            <w:r w:rsidRPr="00F25E60">
              <w:rPr>
                <w:rFonts w:cs="Arial"/>
                <w:szCs w:val="20"/>
              </w:rPr>
              <w:t>(tj. brak wymaga</w:t>
            </w:r>
            <w:r w:rsidRPr="00F25E60">
              <w:rPr>
                <w:rFonts w:cs="Arial"/>
                <w:szCs w:val="20"/>
              </w:rPr>
              <w:softHyphen/>
              <w:t xml:space="preserve">nia) </w:t>
            </w:r>
          </w:p>
        </w:tc>
      </w:tr>
      <w:tr w:rsidR="00F25E60" w:rsidRPr="00F25E60" w14:paraId="2CAC7D7D" w14:textId="77777777" w:rsidTr="007B6855">
        <w:tc>
          <w:tcPr>
            <w:tcW w:w="3085" w:type="dxa"/>
          </w:tcPr>
          <w:p w14:paraId="64946025" w14:textId="77777777" w:rsidR="00F25E60" w:rsidRPr="00F25E60" w:rsidRDefault="00F25E60" w:rsidP="00F25E60">
            <w:pPr>
              <w:pStyle w:val="Bezodstpw"/>
              <w:rPr>
                <w:rFonts w:cs="Arial"/>
                <w:szCs w:val="20"/>
              </w:rPr>
            </w:pPr>
            <w:r w:rsidRPr="00F25E60">
              <w:rPr>
                <w:rFonts w:cs="Arial"/>
                <w:szCs w:val="20"/>
              </w:rPr>
              <w:t>Kształt kruszywa grubego – maksymalne wartości wskaźnika kształtu</w:t>
            </w:r>
          </w:p>
        </w:tc>
        <w:tc>
          <w:tcPr>
            <w:tcW w:w="992" w:type="dxa"/>
          </w:tcPr>
          <w:p w14:paraId="2B394D00" w14:textId="77777777" w:rsidR="00F25E60" w:rsidRPr="00F25E60" w:rsidRDefault="00F25E60" w:rsidP="00F25E60">
            <w:pPr>
              <w:pStyle w:val="Bezodstpw"/>
              <w:rPr>
                <w:rFonts w:cs="Arial"/>
                <w:szCs w:val="20"/>
              </w:rPr>
            </w:pPr>
            <w:r w:rsidRPr="00F25E60">
              <w:rPr>
                <w:rFonts w:cs="Arial"/>
                <w:szCs w:val="20"/>
              </w:rPr>
              <w:t>PN-EN</w:t>
            </w:r>
          </w:p>
          <w:p w14:paraId="504BBF82" w14:textId="77777777" w:rsidR="00F25E60" w:rsidRPr="00F25E60" w:rsidRDefault="00F25E60" w:rsidP="00F25E60">
            <w:pPr>
              <w:pStyle w:val="Bezodstpw"/>
              <w:rPr>
                <w:rFonts w:cs="Arial"/>
                <w:szCs w:val="20"/>
              </w:rPr>
            </w:pPr>
            <w:r w:rsidRPr="00F25E60">
              <w:rPr>
                <w:rFonts w:cs="Arial"/>
                <w:szCs w:val="20"/>
              </w:rPr>
              <w:t>933-4  [10]</w:t>
            </w:r>
          </w:p>
        </w:tc>
        <w:tc>
          <w:tcPr>
            <w:tcW w:w="851" w:type="dxa"/>
          </w:tcPr>
          <w:p w14:paraId="04FEB526" w14:textId="77777777" w:rsidR="00F25E60" w:rsidRPr="00F25E60" w:rsidRDefault="00F25E60" w:rsidP="00F25E60">
            <w:pPr>
              <w:pStyle w:val="Bezodstpw"/>
              <w:rPr>
                <w:rFonts w:cs="Arial"/>
                <w:szCs w:val="20"/>
              </w:rPr>
            </w:pPr>
            <w:r w:rsidRPr="00F25E60">
              <w:rPr>
                <w:rFonts w:cs="Arial"/>
                <w:szCs w:val="20"/>
              </w:rPr>
              <w:t>4.4</w:t>
            </w:r>
          </w:p>
        </w:tc>
        <w:tc>
          <w:tcPr>
            <w:tcW w:w="3969" w:type="dxa"/>
          </w:tcPr>
          <w:p w14:paraId="3A781AE4" w14:textId="77777777" w:rsidR="00F25E60" w:rsidRPr="00F25E60" w:rsidRDefault="00F25E60" w:rsidP="00F25E60">
            <w:pPr>
              <w:pStyle w:val="Bezodstpw"/>
              <w:rPr>
                <w:rFonts w:cs="Arial"/>
                <w:szCs w:val="20"/>
              </w:rPr>
            </w:pPr>
            <w:r w:rsidRPr="00F25E60">
              <w:rPr>
                <w:rFonts w:cs="Arial"/>
                <w:szCs w:val="20"/>
              </w:rPr>
              <w:t>Kat. SI</w:t>
            </w:r>
            <w:r w:rsidRPr="00F25E60">
              <w:rPr>
                <w:rFonts w:cs="Arial"/>
                <w:szCs w:val="20"/>
                <w:vertAlign w:val="subscript"/>
              </w:rPr>
              <w:t xml:space="preserve">NR </w:t>
            </w:r>
            <w:r w:rsidRPr="00F25E60">
              <w:rPr>
                <w:rFonts w:cs="Arial"/>
                <w:szCs w:val="20"/>
              </w:rPr>
              <w:t>(tj. brak wymaga</w:t>
            </w:r>
            <w:r w:rsidRPr="00F25E60">
              <w:rPr>
                <w:rFonts w:cs="Arial"/>
                <w:szCs w:val="20"/>
              </w:rPr>
              <w:softHyphen/>
              <w:t>nia)</w:t>
            </w:r>
          </w:p>
        </w:tc>
      </w:tr>
      <w:tr w:rsidR="00F25E60" w:rsidRPr="00F25E60" w14:paraId="54529CBE" w14:textId="77777777" w:rsidTr="007B6855">
        <w:tc>
          <w:tcPr>
            <w:tcW w:w="3085" w:type="dxa"/>
          </w:tcPr>
          <w:p w14:paraId="7056E406" w14:textId="77777777" w:rsidR="00F25E60" w:rsidRPr="00F25E60" w:rsidRDefault="00F25E60" w:rsidP="00F25E60">
            <w:pPr>
              <w:pStyle w:val="Bezodstpw"/>
              <w:rPr>
                <w:rFonts w:cs="Arial"/>
                <w:szCs w:val="20"/>
              </w:rPr>
            </w:pPr>
            <w:r w:rsidRPr="00F25E60">
              <w:rPr>
                <w:rFonts w:cs="Arial"/>
                <w:szCs w:val="20"/>
              </w:rPr>
              <w:t xml:space="preserve">Kategorie procentowych </w:t>
            </w:r>
            <w:r w:rsidRPr="00F25E60">
              <w:rPr>
                <w:rFonts w:cs="Arial"/>
                <w:szCs w:val="20"/>
              </w:rPr>
              <w:lastRenderedPageBreak/>
              <w:t xml:space="preserve">zawartości ziaren o powierzchni </w:t>
            </w:r>
            <w:proofErr w:type="spellStart"/>
            <w:r w:rsidRPr="00F25E60">
              <w:rPr>
                <w:rFonts w:cs="Arial"/>
                <w:szCs w:val="20"/>
              </w:rPr>
              <w:t>przekruszonej</w:t>
            </w:r>
            <w:proofErr w:type="spellEnd"/>
            <w:r w:rsidRPr="00F25E60">
              <w:rPr>
                <w:rFonts w:cs="Arial"/>
                <w:szCs w:val="20"/>
              </w:rPr>
              <w:t xml:space="preserve"> lub łamanych oraz ziaren całkowicie za</w:t>
            </w:r>
            <w:r w:rsidRPr="00F25E60">
              <w:rPr>
                <w:rFonts w:cs="Arial"/>
                <w:szCs w:val="20"/>
              </w:rPr>
              <w:softHyphen/>
              <w:t>okrąglonych w kruszywie grubym</w:t>
            </w:r>
          </w:p>
        </w:tc>
        <w:tc>
          <w:tcPr>
            <w:tcW w:w="992" w:type="dxa"/>
          </w:tcPr>
          <w:p w14:paraId="50769C2F" w14:textId="77777777" w:rsidR="00F25E60" w:rsidRPr="00F25E60" w:rsidRDefault="00F25E60" w:rsidP="00F25E60">
            <w:pPr>
              <w:pStyle w:val="Bezodstpw"/>
              <w:rPr>
                <w:rFonts w:cs="Arial"/>
                <w:szCs w:val="20"/>
              </w:rPr>
            </w:pPr>
            <w:r w:rsidRPr="00F25E60">
              <w:rPr>
                <w:rFonts w:cs="Arial"/>
                <w:szCs w:val="20"/>
              </w:rPr>
              <w:lastRenderedPageBreak/>
              <w:t>PN-EN</w:t>
            </w:r>
          </w:p>
          <w:p w14:paraId="7152A764" w14:textId="77777777" w:rsidR="00F25E60" w:rsidRPr="00F25E60" w:rsidRDefault="00F25E60" w:rsidP="00F25E60">
            <w:pPr>
              <w:pStyle w:val="Bezodstpw"/>
              <w:rPr>
                <w:rFonts w:cs="Arial"/>
                <w:szCs w:val="20"/>
              </w:rPr>
            </w:pPr>
            <w:r w:rsidRPr="00F25E60">
              <w:rPr>
                <w:rFonts w:cs="Arial"/>
                <w:szCs w:val="20"/>
              </w:rPr>
              <w:lastRenderedPageBreak/>
              <w:t>933-5 [11]</w:t>
            </w:r>
          </w:p>
        </w:tc>
        <w:tc>
          <w:tcPr>
            <w:tcW w:w="851" w:type="dxa"/>
          </w:tcPr>
          <w:p w14:paraId="0AEC8BE3" w14:textId="77777777" w:rsidR="00F25E60" w:rsidRPr="00F25E60" w:rsidRDefault="00F25E60" w:rsidP="00F25E60">
            <w:pPr>
              <w:pStyle w:val="Bezodstpw"/>
              <w:rPr>
                <w:rFonts w:cs="Arial"/>
                <w:szCs w:val="20"/>
              </w:rPr>
            </w:pPr>
            <w:r w:rsidRPr="00F25E60">
              <w:rPr>
                <w:rFonts w:cs="Arial"/>
                <w:szCs w:val="20"/>
              </w:rPr>
              <w:lastRenderedPageBreak/>
              <w:t>4.5</w:t>
            </w:r>
          </w:p>
        </w:tc>
        <w:tc>
          <w:tcPr>
            <w:tcW w:w="3969" w:type="dxa"/>
          </w:tcPr>
          <w:p w14:paraId="2FBF2DF3" w14:textId="77777777" w:rsidR="00F25E60" w:rsidRPr="00F25E60" w:rsidRDefault="00F25E60" w:rsidP="00F25E60">
            <w:pPr>
              <w:pStyle w:val="Bezodstpw"/>
              <w:rPr>
                <w:rFonts w:cs="Arial"/>
                <w:szCs w:val="20"/>
              </w:rPr>
            </w:pPr>
            <w:r w:rsidRPr="00F25E60">
              <w:rPr>
                <w:rFonts w:cs="Arial"/>
                <w:szCs w:val="20"/>
              </w:rPr>
              <w:t>Kat. C</w:t>
            </w:r>
            <w:r w:rsidRPr="00F25E60">
              <w:rPr>
                <w:rFonts w:cs="Arial"/>
                <w:szCs w:val="20"/>
                <w:vertAlign w:val="subscript"/>
              </w:rPr>
              <w:t>NR</w:t>
            </w:r>
            <w:r w:rsidRPr="00F25E60">
              <w:rPr>
                <w:rFonts w:cs="Arial"/>
                <w:szCs w:val="20"/>
              </w:rPr>
              <w:t xml:space="preserve"> (tj. brak wymagania)</w:t>
            </w:r>
          </w:p>
        </w:tc>
      </w:tr>
      <w:tr w:rsidR="00F25E60" w:rsidRPr="00F25E60" w14:paraId="5D8A6A69" w14:textId="77777777" w:rsidTr="007B6855">
        <w:tc>
          <w:tcPr>
            <w:tcW w:w="3085" w:type="dxa"/>
          </w:tcPr>
          <w:p w14:paraId="0053FA39" w14:textId="77777777" w:rsidR="00F25E60" w:rsidRPr="00F25E60" w:rsidRDefault="00F25E60" w:rsidP="00F25E60">
            <w:pPr>
              <w:pStyle w:val="Bezodstpw"/>
              <w:rPr>
                <w:rFonts w:cs="Arial"/>
                <w:szCs w:val="20"/>
                <w:vertAlign w:val="superscript"/>
              </w:rPr>
            </w:pPr>
            <w:r w:rsidRPr="00F25E60">
              <w:rPr>
                <w:rFonts w:cs="Arial"/>
                <w:szCs w:val="20"/>
              </w:rPr>
              <w:t>Zawartość pyłów w kruszywie grubym</w:t>
            </w:r>
            <w:r w:rsidRPr="00F25E60">
              <w:rPr>
                <w:rFonts w:cs="Arial"/>
                <w:szCs w:val="20"/>
                <w:vertAlign w:val="superscript"/>
              </w:rPr>
              <w:t>*)</w:t>
            </w:r>
          </w:p>
        </w:tc>
        <w:tc>
          <w:tcPr>
            <w:tcW w:w="992" w:type="dxa"/>
          </w:tcPr>
          <w:p w14:paraId="30B2FDFA" w14:textId="77777777" w:rsidR="00F25E60" w:rsidRPr="00F25E60" w:rsidRDefault="00F25E60" w:rsidP="00F25E60">
            <w:pPr>
              <w:pStyle w:val="Bezodstpw"/>
              <w:rPr>
                <w:rFonts w:cs="Arial"/>
                <w:szCs w:val="20"/>
              </w:rPr>
            </w:pPr>
            <w:r w:rsidRPr="00F25E60">
              <w:rPr>
                <w:rFonts w:cs="Arial"/>
                <w:szCs w:val="20"/>
              </w:rPr>
              <w:t>PN-EN</w:t>
            </w:r>
          </w:p>
          <w:p w14:paraId="5DC62C2C" w14:textId="77777777" w:rsidR="00F25E60" w:rsidRPr="00F25E60" w:rsidRDefault="00F25E60" w:rsidP="00F25E60">
            <w:pPr>
              <w:pStyle w:val="Bezodstpw"/>
              <w:rPr>
                <w:rFonts w:cs="Arial"/>
                <w:szCs w:val="20"/>
              </w:rPr>
            </w:pPr>
            <w:r w:rsidRPr="00F25E60">
              <w:rPr>
                <w:rFonts w:cs="Arial"/>
                <w:szCs w:val="20"/>
              </w:rPr>
              <w:t>933-1 [8]</w:t>
            </w:r>
          </w:p>
        </w:tc>
        <w:tc>
          <w:tcPr>
            <w:tcW w:w="851" w:type="dxa"/>
          </w:tcPr>
          <w:p w14:paraId="16997FBC" w14:textId="77777777" w:rsidR="00F25E60" w:rsidRPr="00F25E60" w:rsidRDefault="00F25E60" w:rsidP="00F25E60">
            <w:pPr>
              <w:pStyle w:val="Bezodstpw"/>
              <w:rPr>
                <w:rFonts w:cs="Arial"/>
                <w:szCs w:val="20"/>
              </w:rPr>
            </w:pPr>
            <w:r w:rsidRPr="00F25E60">
              <w:rPr>
                <w:rFonts w:cs="Arial"/>
                <w:szCs w:val="20"/>
              </w:rPr>
              <w:t>4.6</w:t>
            </w:r>
          </w:p>
        </w:tc>
        <w:tc>
          <w:tcPr>
            <w:tcW w:w="3969" w:type="dxa"/>
          </w:tcPr>
          <w:p w14:paraId="19C60A6B" w14:textId="77777777" w:rsidR="00F25E60" w:rsidRPr="00F25E60" w:rsidRDefault="00F25E60" w:rsidP="00F25E60">
            <w:pPr>
              <w:pStyle w:val="Bezodstpw"/>
              <w:rPr>
                <w:rFonts w:cs="Arial"/>
                <w:szCs w:val="20"/>
              </w:rPr>
            </w:pPr>
            <w:r w:rsidRPr="00F25E60">
              <w:rPr>
                <w:rFonts w:cs="Arial"/>
                <w:szCs w:val="20"/>
              </w:rPr>
              <w:t xml:space="preserve">Kat. </w:t>
            </w:r>
            <w:proofErr w:type="spellStart"/>
            <w:r w:rsidRPr="00F25E60">
              <w:rPr>
                <w:rFonts w:cs="Arial"/>
                <w:szCs w:val="20"/>
              </w:rPr>
              <w:t>f</w:t>
            </w:r>
            <w:r w:rsidRPr="00F25E60">
              <w:rPr>
                <w:rFonts w:cs="Arial"/>
                <w:szCs w:val="20"/>
                <w:vertAlign w:val="subscript"/>
              </w:rPr>
              <w:t>Dekl</w:t>
            </w:r>
            <w:proofErr w:type="spellEnd"/>
            <w:r w:rsidRPr="00F25E60">
              <w:rPr>
                <w:rFonts w:cs="Arial"/>
                <w:szCs w:val="20"/>
              </w:rPr>
              <w:t xml:space="preserve">  (tj. masa frakcji przechodzącej przez sito </w:t>
            </w:r>
            <w:smartTag w:uri="urn:schemas-microsoft-com:office:smarttags" w:element="metricconverter">
              <w:smartTagPr>
                <w:attr w:name="ProductID" w:val="0,063 mm"/>
              </w:smartTagPr>
              <w:r w:rsidRPr="00F25E60">
                <w:rPr>
                  <w:rFonts w:cs="Arial"/>
                  <w:szCs w:val="20"/>
                </w:rPr>
                <w:t>0,063 mm</w:t>
              </w:r>
            </w:smartTag>
            <w:r w:rsidRPr="00F25E60">
              <w:rPr>
                <w:rFonts w:cs="Arial"/>
                <w:szCs w:val="20"/>
              </w:rPr>
              <w:t xml:space="preserve"> jest &gt; 4)</w:t>
            </w:r>
          </w:p>
        </w:tc>
      </w:tr>
      <w:tr w:rsidR="00F25E60" w:rsidRPr="00F25E60" w14:paraId="018ED1B3" w14:textId="77777777" w:rsidTr="007B6855">
        <w:tc>
          <w:tcPr>
            <w:tcW w:w="3085" w:type="dxa"/>
          </w:tcPr>
          <w:p w14:paraId="2221192F" w14:textId="77777777" w:rsidR="00F25E60" w:rsidRPr="00F25E60" w:rsidRDefault="00F25E60" w:rsidP="00F25E60">
            <w:pPr>
              <w:pStyle w:val="Bezodstpw"/>
              <w:rPr>
                <w:rFonts w:cs="Arial"/>
                <w:szCs w:val="20"/>
                <w:vertAlign w:val="superscript"/>
              </w:rPr>
            </w:pPr>
            <w:r w:rsidRPr="00F25E60">
              <w:rPr>
                <w:rFonts w:cs="Arial"/>
                <w:szCs w:val="20"/>
              </w:rPr>
              <w:t>Zawartość pyłów</w:t>
            </w:r>
            <w:r w:rsidRPr="00F25E60">
              <w:rPr>
                <w:rFonts w:cs="Arial"/>
                <w:szCs w:val="20"/>
                <w:vertAlign w:val="superscript"/>
              </w:rPr>
              <w:t xml:space="preserve">  </w:t>
            </w:r>
            <w:r w:rsidRPr="00F25E60">
              <w:rPr>
                <w:rFonts w:cs="Arial"/>
                <w:szCs w:val="20"/>
              </w:rPr>
              <w:t xml:space="preserve"> w  kruszywie drob</w:t>
            </w:r>
            <w:r w:rsidRPr="00F25E60">
              <w:rPr>
                <w:rFonts w:cs="Arial"/>
                <w:szCs w:val="20"/>
              </w:rPr>
              <w:softHyphen/>
              <w:t>nym</w:t>
            </w:r>
            <w:r w:rsidRPr="00F25E60">
              <w:rPr>
                <w:rFonts w:cs="Arial"/>
                <w:szCs w:val="20"/>
                <w:vertAlign w:val="superscript"/>
              </w:rPr>
              <w:t>*)</w:t>
            </w:r>
          </w:p>
        </w:tc>
        <w:tc>
          <w:tcPr>
            <w:tcW w:w="992" w:type="dxa"/>
          </w:tcPr>
          <w:p w14:paraId="6ACFEE26" w14:textId="77777777" w:rsidR="00F25E60" w:rsidRPr="00F25E60" w:rsidRDefault="00F25E60" w:rsidP="00F25E60">
            <w:pPr>
              <w:pStyle w:val="Bezodstpw"/>
              <w:rPr>
                <w:rFonts w:cs="Arial"/>
                <w:szCs w:val="20"/>
              </w:rPr>
            </w:pPr>
            <w:r w:rsidRPr="00F25E60">
              <w:rPr>
                <w:rFonts w:cs="Arial"/>
                <w:szCs w:val="20"/>
              </w:rPr>
              <w:t xml:space="preserve">PN-EN   </w:t>
            </w:r>
          </w:p>
          <w:p w14:paraId="45F00BFC" w14:textId="77777777" w:rsidR="00F25E60" w:rsidRPr="00F25E60" w:rsidRDefault="00F25E60" w:rsidP="00F25E60">
            <w:pPr>
              <w:pStyle w:val="Bezodstpw"/>
              <w:rPr>
                <w:rFonts w:cs="Arial"/>
                <w:szCs w:val="20"/>
              </w:rPr>
            </w:pPr>
            <w:r w:rsidRPr="00F25E60">
              <w:rPr>
                <w:rFonts w:cs="Arial"/>
                <w:szCs w:val="20"/>
              </w:rPr>
              <w:t xml:space="preserve">933-1 [8] </w:t>
            </w:r>
          </w:p>
        </w:tc>
        <w:tc>
          <w:tcPr>
            <w:tcW w:w="851" w:type="dxa"/>
          </w:tcPr>
          <w:p w14:paraId="250896D8" w14:textId="77777777" w:rsidR="00F25E60" w:rsidRPr="00F25E60" w:rsidRDefault="00F25E60" w:rsidP="00F25E60">
            <w:pPr>
              <w:pStyle w:val="Bezodstpw"/>
              <w:rPr>
                <w:rFonts w:cs="Arial"/>
                <w:szCs w:val="20"/>
              </w:rPr>
            </w:pPr>
            <w:r w:rsidRPr="00F25E60">
              <w:rPr>
                <w:rFonts w:cs="Arial"/>
                <w:szCs w:val="20"/>
              </w:rPr>
              <w:t>4.6</w:t>
            </w:r>
          </w:p>
        </w:tc>
        <w:tc>
          <w:tcPr>
            <w:tcW w:w="3969" w:type="dxa"/>
          </w:tcPr>
          <w:p w14:paraId="558F9D35" w14:textId="77777777" w:rsidR="00F25E60" w:rsidRPr="00F25E60" w:rsidRDefault="00F25E60" w:rsidP="00F25E60">
            <w:pPr>
              <w:pStyle w:val="Bezodstpw"/>
              <w:rPr>
                <w:rFonts w:cs="Arial"/>
                <w:szCs w:val="20"/>
              </w:rPr>
            </w:pPr>
            <w:r w:rsidRPr="00F25E60">
              <w:rPr>
                <w:rFonts w:cs="Arial"/>
                <w:szCs w:val="20"/>
              </w:rPr>
              <w:t xml:space="preserve">Kat. </w:t>
            </w:r>
            <w:proofErr w:type="spellStart"/>
            <w:r w:rsidRPr="00F25E60">
              <w:rPr>
                <w:rFonts w:cs="Arial"/>
                <w:szCs w:val="20"/>
              </w:rPr>
              <w:t>f</w:t>
            </w:r>
            <w:r w:rsidRPr="00F25E60">
              <w:rPr>
                <w:rFonts w:cs="Arial"/>
                <w:szCs w:val="20"/>
                <w:vertAlign w:val="subscript"/>
              </w:rPr>
              <w:t>Dekl</w:t>
            </w:r>
            <w:proofErr w:type="spellEnd"/>
            <w:r w:rsidRPr="00F25E60">
              <w:rPr>
                <w:rFonts w:cs="Arial"/>
                <w:szCs w:val="20"/>
              </w:rPr>
              <w:t xml:space="preserve">  (tj. masa frakcji przechodzącej przez sito </w:t>
            </w:r>
            <w:smartTag w:uri="urn:schemas-microsoft-com:office:smarttags" w:element="metricconverter">
              <w:smartTagPr>
                <w:attr w:name="ProductID" w:val="0,063 mm"/>
              </w:smartTagPr>
              <w:r w:rsidRPr="00F25E60">
                <w:rPr>
                  <w:rFonts w:cs="Arial"/>
                  <w:szCs w:val="20"/>
                </w:rPr>
                <w:t>0,063 mm</w:t>
              </w:r>
            </w:smartTag>
            <w:r w:rsidRPr="00F25E60">
              <w:rPr>
                <w:rFonts w:cs="Arial"/>
                <w:szCs w:val="20"/>
              </w:rPr>
              <w:t xml:space="preserve"> jest &gt; 22)</w:t>
            </w:r>
          </w:p>
        </w:tc>
      </w:tr>
      <w:tr w:rsidR="00F25E60" w:rsidRPr="00F25E60" w14:paraId="4DF7BB6F" w14:textId="77777777" w:rsidTr="007B6855">
        <w:tc>
          <w:tcPr>
            <w:tcW w:w="3085" w:type="dxa"/>
          </w:tcPr>
          <w:p w14:paraId="5F0F7287" w14:textId="77777777" w:rsidR="00F25E60" w:rsidRPr="00F25E60" w:rsidRDefault="00F25E60" w:rsidP="00F25E60">
            <w:pPr>
              <w:pStyle w:val="Bezodstpw"/>
              <w:rPr>
                <w:rFonts w:cs="Arial"/>
                <w:szCs w:val="20"/>
              </w:rPr>
            </w:pPr>
            <w:r w:rsidRPr="00F25E60">
              <w:rPr>
                <w:rFonts w:cs="Arial"/>
                <w:szCs w:val="20"/>
              </w:rPr>
              <w:t>Jakość pyłów</w:t>
            </w:r>
          </w:p>
        </w:tc>
        <w:tc>
          <w:tcPr>
            <w:tcW w:w="992" w:type="dxa"/>
          </w:tcPr>
          <w:p w14:paraId="6EA98F37" w14:textId="77777777" w:rsidR="00F25E60" w:rsidRPr="00F25E60" w:rsidRDefault="00F25E60" w:rsidP="00F25E60">
            <w:pPr>
              <w:pStyle w:val="Bezodstpw"/>
              <w:jc w:val="center"/>
              <w:rPr>
                <w:rFonts w:cs="Arial"/>
                <w:szCs w:val="20"/>
              </w:rPr>
            </w:pPr>
            <w:r w:rsidRPr="00F25E60">
              <w:rPr>
                <w:rFonts w:cs="Arial"/>
                <w:szCs w:val="20"/>
              </w:rPr>
              <w:t>-</w:t>
            </w:r>
          </w:p>
        </w:tc>
        <w:tc>
          <w:tcPr>
            <w:tcW w:w="851" w:type="dxa"/>
          </w:tcPr>
          <w:p w14:paraId="79E8250B" w14:textId="77777777" w:rsidR="00F25E60" w:rsidRPr="00F25E60" w:rsidRDefault="00F25E60" w:rsidP="00F25E60">
            <w:pPr>
              <w:pStyle w:val="Bezodstpw"/>
              <w:rPr>
                <w:rFonts w:cs="Arial"/>
                <w:szCs w:val="20"/>
              </w:rPr>
            </w:pPr>
            <w:r w:rsidRPr="00F25E60">
              <w:rPr>
                <w:rFonts w:cs="Arial"/>
                <w:szCs w:val="20"/>
              </w:rPr>
              <w:t>4.7</w:t>
            </w:r>
          </w:p>
        </w:tc>
        <w:tc>
          <w:tcPr>
            <w:tcW w:w="3969" w:type="dxa"/>
          </w:tcPr>
          <w:p w14:paraId="59E1FEC5" w14:textId="77777777" w:rsidR="00F25E60" w:rsidRPr="00F25E60" w:rsidRDefault="00F25E60" w:rsidP="00F25E60">
            <w:pPr>
              <w:pStyle w:val="Bezodstpw"/>
              <w:rPr>
                <w:rFonts w:cs="Arial"/>
                <w:szCs w:val="20"/>
              </w:rPr>
            </w:pPr>
            <w:r w:rsidRPr="00F25E60">
              <w:rPr>
                <w:rFonts w:cs="Arial"/>
                <w:szCs w:val="20"/>
              </w:rPr>
              <w:t>Właściwość niebadana na pojedynczych frakcjach, a tylko w mieszankach wg wymagań dla mieszanek</w:t>
            </w:r>
          </w:p>
        </w:tc>
      </w:tr>
      <w:tr w:rsidR="00F25E60" w:rsidRPr="00F25E60" w14:paraId="04D03099" w14:textId="77777777" w:rsidTr="007B6855">
        <w:tc>
          <w:tcPr>
            <w:tcW w:w="3085" w:type="dxa"/>
          </w:tcPr>
          <w:p w14:paraId="33DE726F" w14:textId="77777777" w:rsidR="00F25E60" w:rsidRPr="00F25E60" w:rsidRDefault="00F25E60" w:rsidP="00F25E60">
            <w:pPr>
              <w:pStyle w:val="Bezodstpw"/>
              <w:rPr>
                <w:rFonts w:cs="Arial"/>
                <w:szCs w:val="20"/>
              </w:rPr>
            </w:pPr>
            <w:r w:rsidRPr="00F25E60">
              <w:rPr>
                <w:rFonts w:cs="Arial"/>
                <w:szCs w:val="20"/>
              </w:rPr>
              <w:t>Odporność na rozdrabnianie kruszywa grubego</w:t>
            </w:r>
          </w:p>
        </w:tc>
        <w:tc>
          <w:tcPr>
            <w:tcW w:w="992" w:type="dxa"/>
          </w:tcPr>
          <w:p w14:paraId="77D8CF62" w14:textId="77777777" w:rsidR="00F25E60" w:rsidRPr="00F25E60" w:rsidRDefault="00F25E60" w:rsidP="00F25E60">
            <w:pPr>
              <w:pStyle w:val="Bezodstpw"/>
              <w:rPr>
                <w:rFonts w:cs="Arial"/>
                <w:szCs w:val="20"/>
              </w:rPr>
            </w:pPr>
            <w:r w:rsidRPr="00F25E60">
              <w:rPr>
                <w:rFonts w:cs="Arial"/>
                <w:szCs w:val="20"/>
              </w:rPr>
              <w:t xml:space="preserve">PN-EN </w:t>
            </w:r>
          </w:p>
          <w:p w14:paraId="5398D23E" w14:textId="77777777" w:rsidR="00F25E60" w:rsidRPr="00F25E60" w:rsidRDefault="00F25E60" w:rsidP="00F25E60">
            <w:pPr>
              <w:pStyle w:val="Bezodstpw"/>
              <w:rPr>
                <w:rFonts w:cs="Arial"/>
                <w:szCs w:val="20"/>
              </w:rPr>
            </w:pPr>
            <w:r w:rsidRPr="00F25E60">
              <w:rPr>
                <w:rFonts w:cs="Arial"/>
                <w:szCs w:val="20"/>
              </w:rPr>
              <w:t xml:space="preserve">1097-2 [13] </w:t>
            </w:r>
          </w:p>
        </w:tc>
        <w:tc>
          <w:tcPr>
            <w:tcW w:w="851" w:type="dxa"/>
          </w:tcPr>
          <w:p w14:paraId="28C6873E" w14:textId="77777777" w:rsidR="00F25E60" w:rsidRPr="00F25E60" w:rsidRDefault="00F25E60" w:rsidP="00F25E60">
            <w:pPr>
              <w:pStyle w:val="Bezodstpw"/>
              <w:rPr>
                <w:rFonts w:cs="Arial"/>
                <w:szCs w:val="20"/>
              </w:rPr>
            </w:pPr>
            <w:r w:rsidRPr="00F25E60">
              <w:rPr>
                <w:rFonts w:cs="Arial"/>
                <w:szCs w:val="20"/>
              </w:rPr>
              <w:t>5.2</w:t>
            </w:r>
          </w:p>
        </w:tc>
        <w:tc>
          <w:tcPr>
            <w:tcW w:w="3969" w:type="dxa"/>
          </w:tcPr>
          <w:p w14:paraId="633F0C85" w14:textId="77777777" w:rsidR="00F25E60" w:rsidRPr="00F25E60" w:rsidRDefault="00F25E60" w:rsidP="00F25E60">
            <w:pPr>
              <w:pStyle w:val="Bezodstpw"/>
              <w:rPr>
                <w:rFonts w:cs="Arial"/>
                <w:szCs w:val="20"/>
              </w:rPr>
            </w:pPr>
            <w:r w:rsidRPr="00F25E60">
              <w:rPr>
                <w:rFonts w:cs="Arial"/>
                <w:szCs w:val="20"/>
              </w:rPr>
              <w:t>Kat. LA</w:t>
            </w:r>
            <w:r w:rsidRPr="00F25E60">
              <w:rPr>
                <w:rFonts w:cs="Arial"/>
                <w:szCs w:val="20"/>
                <w:vertAlign w:val="subscript"/>
              </w:rPr>
              <w:t>50</w:t>
            </w:r>
            <w:r w:rsidRPr="00F25E60">
              <w:rPr>
                <w:rFonts w:cs="Arial"/>
                <w:szCs w:val="20"/>
              </w:rPr>
              <w:t xml:space="preserve"> (tj. maksymalna wartość współczynnika Los Angeles ≤ 50)</w:t>
            </w:r>
          </w:p>
        </w:tc>
      </w:tr>
      <w:tr w:rsidR="00F25E60" w:rsidRPr="00F25E60" w14:paraId="39C3A9CB" w14:textId="77777777" w:rsidTr="007B6855">
        <w:tc>
          <w:tcPr>
            <w:tcW w:w="3085" w:type="dxa"/>
          </w:tcPr>
          <w:p w14:paraId="41E50EBC" w14:textId="77777777" w:rsidR="00F25E60" w:rsidRPr="00F25E60" w:rsidRDefault="00F25E60" w:rsidP="00F25E60">
            <w:pPr>
              <w:pStyle w:val="Bezodstpw"/>
              <w:rPr>
                <w:rFonts w:cs="Arial"/>
                <w:szCs w:val="20"/>
              </w:rPr>
            </w:pPr>
            <w:r w:rsidRPr="00F25E60">
              <w:rPr>
                <w:rFonts w:cs="Arial"/>
                <w:szCs w:val="20"/>
              </w:rPr>
              <w:t>Odporność na ścieranie kruszywa grubego</w:t>
            </w:r>
          </w:p>
        </w:tc>
        <w:tc>
          <w:tcPr>
            <w:tcW w:w="992" w:type="dxa"/>
          </w:tcPr>
          <w:p w14:paraId="0B732222" w14:textId="77777777" w:rsidR="00F25E60" w:rsidRPr="00F25E60" w:rsidRDefault="00F25E60" w:rsidP="00F25E60">
            <w:pPr>
              <w:pStyle w:val="Bezodstpw"/>
              <w:rPr>
                <w:rFonts w:cs="Arial"/>
                <w:szCs w:val="20"/>
              </w:rPr>
            </w:pPr>
            <w:r w:rsidRPr="00F25E60">
              <w:rPr>
                <w:rFonts w:cs="Arial"/>
                <w:szCs w:val="20"/>
              </w:rPr>
              <w:t xml:space="preserve">PN-EN  </w:t>
            </w:r>
          </w:p>
          <w:p w14:paraId="5AF1320A" w14:textId="77777777" w:rsidR="00F25E60" w:rsidRPr="00F25E60" w:rsidRDefault="00F25E60" w:rsidP="00F25E60">
            <w:pPr>
              <w:pStyle w:val="Bezodstpw"/>
              <w:rPr>
                <w:rFonts w:cs="Arial"/>
                <w:szCs w:val="20"/>
              </w:rPr>
            </w:pPr>
            <w:r w:rsidRPr="00F25E60">
              <w:rPr>
                <w:rFonts w:cs="Arial"/>
                <w:szCs w:val="20"/>
              </w:rPr>
              <w:t xml:space="preserve">1097-1 [12] </w:t>
            </w:r>
          </w:p>
        </w:tc>
        <w:tc>
          <w:tcPr>
            <w:tcW w:w="851" w:type="dxa"/>
          </w:tcPr>
          <w:p w14:paraId="7219929B" w14:textId="77777777" w:rsidR="00F25E60" w:rsidRPr="00F25E60" w:rsidRDefault="00F25E60" w:rsidP="00F25E60">
            <w:pPr>
              <w:pStyle w:val="Bezodstpw"/>
              <w:rPr>
                <w:rFonts w:cs="Arial"/>
                <w:szCs w:val="20"/>
              </w:rPr>
            </w:pPr>
            <w:r w:rsidRPr="00F25E60">
              <w:rPr>
                <w:rFonts w:cs="Arial"/>
                <w:szCs w:val="20"/>
              </w:rPr>
              <w:t>5.3</w:t>
            </w:r>
          </w:p>
        </w:tc>
        <w:tc>
          <w:tcPr>
            <w:tcW w:w="3969" w:type="dxa"/>
          </w:tcPr>
          <w:p w14:paraId="5A1A3081" w14:textId="77777777" w:rsidR="00F25E60" w:rsidRPr="00F25E60" w:rsidRDefault="00F25E60" w:rsidP="00F25E60">
            <w:pPr>
              <w:pStyle w:val="Bezodstpw"/>
              <w:rPr>
                <w:rFonts w:cs="Arial"/>
                <w:szCs w:val="20"/>
              </w:rPr>
            </w:pPr>
            <w:r w:rsidRPr="00F25E60">
              <w:rPr>
                <w:rFonts w:cs="Arial"/>
                <w:szCs w:val="20"/>
              </w:rPr>
              <w:t xml:space="preserve">Kat. </w:t>
            </w:r>
            <w:proofErr w:type="spellStart"/>
            <w:r w:rsidRPr="00F25E60">
              <w:rPr>
                <w:rFonts w:cs="Arial"/>
                <w:szCs w:val="20"/>
              </w:rPr>
              <w:t>M</w:t>
            </w:r>
            <w:r w:rsidRPr="00F25E60">
              <w:rPr>
                <w:rFonts w:cs="Arial"/>
                <w:szCs w:val="20"/>
                <w:vertAlign w:val="subscript"/>
              </w:rPr>
              <w:t>DE</w:t>
            </w:r>
            <w:r w:rsidRPr="00F25E60">
              <w:rPr>
                <w:rFonts w:cs="Arial"/>
                <w:szCs w:val="20"/>
              </w:rPr>
              <w:t>Deklarowana</w:t>
            </w:r>
            <w:proofErr w:type="spellEnd"/>
            <w:r w:rsidRPr="00F25E60">
              <w:rPr>
                <w:rFonts w:cs="Arial"/>
                <w:szCs w:val="20"/>
              </w:rPr>
              <w:t xml:space="preserve"> (tj. współczynnik mikro-</w:t>
            </w:r>
            <w:proofErr w:type="spellStart"/>
            <w:r w:rsidRPr="00F25E60">
              <w:rPr>
                <w:rFonts w:cs="Arial"/>
                <w:szCs w:val="20"/>
              </w:rPr>
              <w:t>Devala</w:t>
            </w:r>
            <w:proofErr w:type="spellEnd"/>
            <w:r w:rsidRPr="00F25E60">
              <w:rPr>
                <w:rFonts w:cs="Arial"/>
                <w:szCs w:val="20"/>
              </w:rPr>
              <w:t xml:space="preserve"> &gt;50))</w:t>
            </w:r>
          </w:p>
        </w:tc>
      </w:tr>
      <w:tr w:rsidR="00F25E60" w:rsidRPr="00F25E60" w14:paraId="6D78BFDF" w14:textId="77777777" w:rsidTr="007B6855">
        <w:tc>
          <w:tcPr>
            <w:tcW w:w="3085" w:type="dxa"/>
          </w:tcPr>
          <w:p w14:paraId="22559DED" w14:textId="77777777" w:rsidR="00F25E60" w:rsidRPr="00F25E60" w:rsidRDefault="00F25E60" w:rsidP="00F25E60">
            <w:pPr>
              <w:pStyle w:val="Bezodstpw"/>
              <w:rPr>
                <w:rFonts w:cs="Arial"/>
                <w:szCs w:val="20"/>
              </w:rPr>
            </w:pPr>
            <w:r w:rsidRPr="00F25E60">
              <w:rPr>
                <w:rFonts w:cs="Arial"/>
                <w:szCs w:val="20"/>
              </w:rPr>
              <w:t>Gęstość ziaren</w:t>
            </w:r>
          </w:p>
        </w:tc>
        <w:tc>
          <w:tcPr>
            <w:tcW w:w="992" w:type="dxa"/>
          </w:tcPr>
          <w:p w14:paraId="49984405" w14:textId="77777777" w:rsidR="00F25E60" w:rsidRPr="00F25E60" w:rsidRDefault="00F25E60" w:rsidP="00F25E60">
            <w:pPr>
              <w:pStyle w:val="Bezodstpw"/>
              <w:rPr>
                <w:rFonts w:cs="Arial"/>
                <w:szCs w:val="20"/>
              </w:rPr>
            </w:pPr>
            <w:r w:rsidRPr="00F25E60">
              <w:rPr>
                <w:rFonts w:cs="Arial"/>
                <w:szCs w:val="20"/>
              </w:rPr>
              <w:t xml:space="preserve">PN-EN 1097-6, </w:t>
            </w:r>
            <w:proofErr w:type="spellStart"/>
            <w:r w:rsidRPr="00F25E60">
              <w:rPr>
                <w:rFonts w:cs="Arial"/>
                <w:szCs w:val="20"/>
              </w:rPr>
              <w:t>roz</w:t>
            </w:r>
            <w:proofErr w:type="spellEnd"/>
            <w:r w:rsidRPr="00F25E60">
              <w:rPr>
                <w:rFonts w:cs="Arial"/>
                <w:szCs w:val="20"/>
              </w:rPr>
              <w:t>. 7, 8 i 9  [14]</w:t>
            </w:r>
          </w:p>
        </w:tc>
        <w:tc>
          <w:tcPr>
            <w:tcW w:w="851" w:type="dxa"/>
          </w:tcPr>
          <w:p w14:paraId="7176531F" w14:textId="77777777" w:rsidR="00F25E60" w:rsidRPr="00F25E60" w:rsidRDefault="00F25E60" w:rsidP="00F25E60">
            <w:pPr>
              <w:pStyle w:val="Bezodstpw"/>
              <w:rPr>
                <w:rFonts w:cs="Arial"/>
                <w:szCs w:val="20"/>
              </w:rPr>
            </w:pPr>
            <w:r w:rsidRPr="00F25E60">
              <w:rPr>
                <w:rFonts w:cs="Arial"/>
                <w:szCs w:val="20"/>
              </w:rPr>
              <w:t>5.4</w:t>
            </w:r>
          </w:p>
        </w:tc>
        <w:tc>
          <w:tcPr>
            <w:tcW w:w="3969" w:type="dxa"/>
          </w:tcPr>
          <w:p w14:paraId="635FCE43" w14:textId="77777777" w:rsidR="00F25E60" w:rsidRPr="00F25E60" w:rsidRDefault="00F25E60" w:rsidP="00F25E60">
            <w:pPr>
              <w:pStyle w:val="Bezodstpw"/>
              <w:rPr>
                <w:rFonts w:cs="Arial"/>
                <w:szCs w:val="20"/>
              </w:rPr>
            </w:pPr>
            <w:r w:rsidRPr="00F25E60">
              <w:rPr>
                <w:rFonts w:cs="Arial"/>
                <w:szCs w:val="20"/>
              </w:rPr>
              <w:t>Deklarowana</w:t>
            </w:r>
          </w:p>
        </w:tc>
      </w:tr>
      <w:tr w:rsidR="00F25E60" w:rsidRPr="00F25E60" w14:paraId="6B58218D" w14:textId="77777777" w:rsidTr="007B6855">
        <w:tc>
          <w:tcPr>
            <w:tcW w:w="3085" w:type="dxa"/>
          </w:tcPr>
          <w:p w14:paraId="4C65BE8E" w14:textId="77777777" w:rsidR="00F25E60" w:rsidRPr="00F25E60" w:rsidRDefault="00F25E60" w:rsidP="00F25E60">
            <w:pPr>
              <w:pStyle w:val="Bezodstpw"/>
              <w:rPr>
                <w:rFonts w:cs="Arial"/>
                <w:szCs w:val="20"/>
              </w:rPr>
            </w:pPr>
            <w:r w:rsidRPr="00F25E60">
              <w:rPr>
                <w:rFonts w:cs="Arial"/>
                <w:szCs w:val="20"/>
              </w:rPr>
              <w:t>Nasiąkliwość</w:t>
            </w:r>
          </w:p>
        </w:tc>
        <w:tc>
          <w:tcPr>
            <w:tcW w:w="992" w:type="dxa"/>
          </w:tcPr>
          <w:p w14:paraId="764C20D4" w14:textId="77777777" w:rsidR="00F25E60" w:rsidRPr="00F25E60" w:rsidRDefault="00F25E60" w:rsidP="00F25E60">
            <w:pPr>
              <w:pStyle w:val="Bezodstpw"/>
              <w:rPr>
                <w:rFonts w:cs="Arial"/>
                <w:szCs w:val="20"/>
              </w:rPr>
            </w:pPr>
            <w:r w:rsidRPr="00F25E60">
              <w:rPr>
                <w:rFonts w:cs="Arial"/>
                <w:szCs w:val="20"/>
              </w:rPr>
              <w:t xml:space="preserve">PN-EN 1097-6, </w:t>
            </w:r>
            <w:proofErr w:type="spellStart"/>
            <w:r w:rsidRPr="00F25E60">
              <w:rPr>
                <w:rFonts w:cs="Arial"/>
                <w:szCs w:val="20"/>
              </w:rPr>
              <w:t>roz</w:t>
            </w:r>
            <w:proofErr w:type="spellEnd"/>
            <w:r w:rsidRPr="00F25E60">
              <w:rPr>
                <w:rFonts w:cs="Arial"/>
                <w:szCs w:val="20"/>
              </w:rPr>
              <w:t xml:space="preserve">. 7, 8 i 9 [14] </w:t>
            </w:r>
          </w:p>
        </w:tc>
        <w:tc>
          <w:tcPr>
            <w:tcW w:w="851" w:type="dxa"/>
          </w:tcPr>
          <w:p w14:paraId="61945DA6" w14:textId="77777777" w:rsidR="00F25E60" w:rsidRPr="00F25E60" w:rsidRDefault="00F25E60" w:rsidP="00F25E60">
            <w:pPr>
              <w:pStyle w:val="Bezodstpw"/>
              <w:rPr>
                <w:rFonts w:cs="Arial"/>
                <w:szCs w:val="20"/>
              </w:rPr>
            </w:pPr>
            <w:r w:rsidRPr="00F25E60">
              <w:rPr>
                <w:rFonts w:cs="Arial"/>
                <w:szCs w:val="20"/>
              </w:rPr>
              <w:t>5.5 i</w:t>
            </w:r>
          </w:p>
          <w:p w14:paraId="13D9943B" w14:textId="77777777" w:rsidR="00F25E60" w:rsidRPr="00F25E60" w:rsidRDefault="00F25E60" w:rsidP="00F25E60">
            <w:pPr>
              <w:pStyle w:val="Bezodstpw"/>
              <w:rPr>
                <w:rFonts w:cs="Arial"/>
                <w:szCs w:val="20"/>
              </w:rPr>
            </w:pPr>
            <w:r w:rsidRPr="00F25E60">
              <w:rPr>
                <w:rFonts w:cs="Arial"/>
                <w:szCs w:val="20"/>
              </w:rPr>
              <w:t>7.3.2</w:t>
            </w:r>
          </w:p>
        </w:tc>
        <w:tc>
          <w:tcPr>
            <w:tcW w:w="3969" w:type="dxa"/>
          </w:tcPr>
          <w:p w14:paraId="1D1856A1" w14:textId="77777777" w:rsidR="00F25E60" w:rsidRPr="00F25E60" w:rsidRDefault="00F25E60" w:rsidP="00F25E60">
            <w:pPr>
              <w:pStyle w:val="Bezodstpw"/>
              <w:rPr>
                <w:rFonts w:cs="Arial"/>
                <w:szCs w:val="20"/>
              </w:rPr>
            </w:pPr>
            <w:r w:rsidRPr="00F25E60">
              <w:rPr>
                <w:rFonts w:cs="Arial"/>
                <w:szCs w:val="20"/>
              </w:rPr>
              <w:t xml:space="preserve">Kat. </w:t>
            </w:r>
            <w:proofErr w:type="spellStart"/>
            <w:r w:rsidRPr="00F25E60">
              <w:rPr>
                <w:rFonts w:cs="Arial"/>
                <w:szCs w:val="20"/>
              </w:rPr>
              <w:t>W</w:t>
            </w:r>
            <w:r w:rsidRPr="00F25E60">
              <w:rPr>
                <w:rFonts w:cs="Arial"/>
                <w:szCs w:val="20"/>
                <w:vertAlign w:val="subscript"/>
              </w:rPr>
              <w:t>cm</w:t>
            </w:r>
            <w:r w:rsidRPr="00F25E60">
              <w:rPr>
                <w:rFonts w:cs="Arial"/>
                <w:szCs w:val="20"/>
              </w:rPr>
              <w:t>NR</w:t>
            </w:r>
            <w:proofErr w:type="spellEnd"/>
            <w:r w:rsidRPr="00F25E60">
              <w:rPr>
                <w:rFonts w:cs="Arial"/>
                <w:szCs w:val="20"/>
              </w:rPr>
              <w:t xml:space="preserve"> (tj. brak wymagania)</w:t>
            </w:r>
          </w:p>
          <w:p w14:paraId="49C024FF" w14:textId="77777777" w:rsidR="00F25E60" w:rsidRPr="00F25E60" w:rsidRDefault="00F25E60" w:rsidP="00F25E60">
            <w:pPr>
              <w:pStyle w:val="Bezodstpw"/>
              <w:rPr>
                <w:rFonts w:cs="Arial"/>
                <w:szCs w:val="20"/>
              </w:rPr>
            </w:pPr>
            <w:r w:rsidRPr="00F25E60">
              <w:rPr>
                <w:rFonts w:cs="Arial"/>
                <w:szCs w:val="20"/>
              </w:rPr>
              <w:t>kat. WA</w:t>
            </w:r>
            <w:r w:rsidRPr="00F25E60">
              <w:rPr>
                <w:rFonts w:cs="Arial"/>
                <w:szCs w:val="20"/>
                <w:vertAlign w:val="subscript"/>
              </w:rPr>
              <w:t>24</w:t>
            </w:r>
            <w:r w:rsidRPr="00F25E60">
              <w:rPr>
                <w:rFonts w:cs="Arial"/>
                <w:szCs w:val="20"/>
              </w:rPr>
              <w:t>2</w:t>
            </w:r>
            <w:r w:rsidRPr="00F25E60">
              <w:rPr>
                <w:rFonts w:cs="Arial"/>
                <w:szCs w:val="20"/>
                <w:vertAlign w:val="superscript"/>
              </w:rPr>
              <w:t xml:space="preserve">**) </w:t>
            </w:r>
            <w:r w:rsidRPr="00F25E60">
              <w:rPr>
                <w:rFonts w:cs="Arial"/>
                <w:szCs w:val="20"/>
              </w:rPr>
              <w:t xml:space="preserve"> (tj. maksymalna wartość nasiąkliwości  </w:t>
            </w:r>
            <w:r w:rsidRPr="00F25E60">
              <w:rPr>
                <w:rFonts w:cs="Arial"/>
                <w:szCs w:val="20"/>
              </w:rPr>
              <w:br/>
              <w:t>≤ 2% masy)</w:t>
            </w:r>
          </w:p>
        </w:tc>
      </w:tr>
      <w:tr w:rsidR="00F25E60" w:rsidRPr="00F25E60" w14:paraId="02085CBB" w14:textId="77777777" w:rsidTr="007B6855">
        <w:tc>
          <w:tcPr>
            <w:tcW w:w="3085" w:type="dxa"/>
          </w:tcPr>
          <w:p w14:paraId="2F0C130A" w14:textId="77777777" w:rsidR="00F25E60" w:rsidRPr="00F25E60" w:rsidRDefault="00F25E60" w:rsidP="00F25E60">
            <w:pPr>
              <w:pStyle w:val="Bezodstpw"/>
              <w:rPr>
                <w:rFonts w:cs="Arial"/>
                <w:szCs w:val="20"/>
              </w:rPr>
            </w:pPr>
            <w:r w:rsidRPr="00F25E60">
              <w:rPr>
                <w:rFonts w:cs="Arial"/>
                <w:szCs w:val="20"/>
              </w:rPr>
              <w:t>Siarczany rozpuszczalne w kwasie</w:t>
            </w:r>
          </w:p>
        </w:tc>
        <w:tc>
          <w:tcPr>
            <w:tcW w:w="992" w:type="dxa"/>
          </w:tcPr>
          <w:p w14:paraId="7D432100" w14:textId="77777777" w:rsidR="00F25E60" w:rsidRPr="00F25E60" w:rsidRDefault="00F25E60" w:rsidP="00F25E60">
            <w:pPr>
              <w:pStyle w:val="Bezodstpw"/>
              <w:rPr>
                <w:rFonts w:cs="Arial"/>
                <w:szCs w:val="20"/>
              </w:rPr>
            </w:pPr>
            <w:r w:rsidRPr="00F25E60">
              <w:rPr>
                <w:rFonts w:cs="Arial"/>
                <w:szCs w:val="20"/>
              </w:rPr>
              <w:t>PN-EN</w:t>
            </w:r>
          </w:p>
          <w:p w14:paraId="1355E9F3" w14:textId="77777777" w:rsidR="00F25E60" w:rsidRPr="00F25E60" w:rsidRDefault="00F25E60" w:rsidP="00F25E60">
            <w:pPr>
              <w:pStyle w:val="Bezodstpw"/>
              <w:rPr>
                <w:rFonts w:cs="Arial"/>
                <w:szCs w:val="20"/>
              </w:rPr>
            </w:pPr>
            <w:r w:rsidRPr="00F25E60">
              <w:rPr>
                <w:rFonts w:cs="Arial"/>
                <w:szCs w:val="20"/>
              </w:rPr>
              <w:t xml:space="preserve">1744-1 [17] </w:t>
            </w:r>
          </w:p>
        </w:tc>
        <w:tc>
          <w:tcPr>
            <w:tcW w:w="851" w:type="dxa"/>
          </w:tcPr>
          <w:p w14:paraId="61FCC6F3" w14:textId="77777777" w:rsidR="00F25E60" w:rsidRPr="00F25E60" w:rsidRDefault="00F25E60" w:rsidP="00F25E60">
            <w:pPr>
              <w:pStyle w:val="Bezodstpw"/>
              <w:rPr>
                <w:rFonts w:cs="Arial"/>
                <w:szCs w:val="20"/>
              </w:rPr>
            </w:pPr>
            <w:r w:rsidRPr="00F25E60">
              <w:rPr>
                <w:rFonts w:cs="Arial"/>
                <w:szCs w:val="20"/>
              </w:rPr>
              <w:t>6.2</w:t>
            </w:r>
          </w:p>
        </w:tc>
        <w:tc>
          <w:tcPr>
            <w:tcW w:w="3969" w:type="dxa"/>
          </w:tcPr>
          <w:p w14:paraId="3969308B" w14:textId="77777777" w:rsidR="00F25E60" w:rsidRPr="00F25E60" w:rsidRDefault="00F25E60" w:rsidP="00F25E60">
            <w:pPr>
              <w:pStyle w:val="Bezodstpw"/>
              <w:rPr>
                <w:rFonts w:cs="Arial"/>
                <w:szCs w:val="20"/>
              </w:rPr>
            </w:pPr>
            <w:r w:rsidRPr="00F25E60">
              <w:rPr>
                <w:rFonts w:cs="Arial"/>
                <w:szCs w:val="20"/>
              </w:rPr>
              <w:t>Kat. AS</w:t>
            </w:r>
            <w:r w:rsidRPr="00F25E60">
              <w:rPr>
                <w:rFonts w:cs="Arial"/>
                <w:szCs w:val="20"/>
                <w:vertAlign w:val="subscript"/>
              </w:rPr>
              <w:t xml:space="preserve">NR   </w:t>
            </w:r>
            <w:r w:rsidRPr="00F25E60">
              <w:rPr>
                <w:rFonts w:cs="Arial"/>
                <w:szCs w:val="20"/>
              </w:rPr>
              <w:t>(tj. brak wymagania)</w:t>
            </w:r>
          </w:p>
          <w:p w14:paraId="13781D4A" w14:textId="77777777" w:rsidR="00F25E60" w:rsidRPr="00F25E60" w:rsidRDefault="00F25E60" w:rsidP="00F25E60">
            <w:pPr>
              <w:pStyle w:val="Bezodstpw"/>
              <w:rPr>
                <w:rFonts w:cs="Arial"/>
                <w:szCs w:val="20"/>
              </w:rPr>
            </w:pPr>
          </w:p>
        </w:tc>
      </w:tr>
      <w:tr w:rsidR="00F25E60" w:rsidRPr="00F25E60" w14:paraId="4ED004CA" w14:textId="77777777" w:rsidTr="007B6855">
        <w:tc>
          <w:tcPr>
            <w:tcW w:w="3085" w:type="dxa"/>
          </w:tcPr>
          <w:p w14:paraId="15DA11EE" w14:textId="77777777" w:rsidR="00F25E60" w:rsidRPr="00F25E60" w:rsidRDefault="00F25E60" w:rsidP="00F25E60">
            <w:pPr>
              <w:pStyle w:val="Bezodstpw"/>
              <w:rPr>
                <w:rFonts w:cs="Arial"/>
                <w:szCs w:val="20"/>
              </w:rPr>
            </w:pPr>
            <w:r w:rsidRPr="00F25E60">
              <w:rPr>
                <w:rFonts w:cs="Arial"/>
                <w:szCs w:val="20"/>
              </w:rPr>
              <w:t>Całkowita zawartość siarki</w:t>
            </w:r>
          </w:p>
        </w:tc>
        <w:tc>
          <w:tcPr>
            <w:tcW w:w="992" w:type="dxa"/>
          </w:tcPr>
          <w:p w14:paraId="69EEA071" w14:textId="77777777" w:rsidR="00F25E60" w:rsidRPr="00F25E60" w:rsidRDefault="00F25E60" w:rsidP="00F25E60">
            <w:pPr>
              <w:pStyle w:val="Bezodstpw"/>
              <w:rPr>
                <w:rFonts w:cs="Arial"/>
                <w:szCs w:val="20"/>
              </w:rPr>
            </w:pPr>
            <w:r w:rsidRPr="00F25E60">
              <w:rPr>
                <w:rFonts w:cs="Arial"/>
                <w:szCs w:val="20"/>
              </w:rPr>
              <w:t xml:space="preserve">PN-EN </w:t>
            </w:r>
          </w:p>
          <w:p w14:paraId="028DFCC0" w14:textId="77777777" w:rsidR="00F25E60" w:rsidRPr="00F25E60" w:rsidRDefault="00F25E60" w:rsidP="00F25E60">
            <w:pPr>
              <w:pStyle w:val="Bezodstpw"/>
              <w:rPr>
                <w:rFonts w:cs="Arial"/>
                <w:szCs w:val="20"/>
              </w:rPr>
            </w:pPr>
            <w:r w:rsidRPr="00F25E60">
              <w:rPr>
                <w:rFonts w:cs="Arial"/>
                <w:szCs w:val="20"/>
              </w:rPr>
              <w:t xml:space="preserve">1744-1 [17] </w:t>
            </w:r>
          </w:p>
        </w:tc>
        <w:tc>
          <w:tcPr>
            <w:tcW w:w="851" w:type="dxa"/>
          </w:tcPr>
          <w:p w14:paraId="1C26023B" w14:textId="77777777" w:rsidR="00F25E60" w:rsidRPr="00F25E60" w:rsidRDefault="00F25E60" w:rsidP="00F25E60">
            <w:pPr>
              <w:pStyle w:val="Bezodstpw"/>
              <w:rPr>
                <w:rFonts w:cs="Arial"/>
                <w:szCs w:val="20"/>
              </w:rPr>
            </w:pPr>
            <w:r w:rsidRPr="00F25E60">
              <w:rPr>
                <w:rFonts w:cs="Arial"/>
                <w:szCs w:val="20"/>
              </w:rPr>
              <w:t>6.3</w:t>
            </w:r>
          </w:p>
        </w:tc>
        <w:tc>
          <w:tcPr>
            <w:tcW w:w="3969" w:type="dxa"/>
          </w:tcPr>
          <w:p w14:paraId="793058EA" w14:textId="77777777" w:rsidR="00F25E60" w:rsidRPr="00F25E60" w:rsidRDefault="00F25E60" w:rsidP="00F25E60">
            <w:pPr>
              <w:pStyle w:val="Bezodstpw"/>
              <w:rPr>
                <w:rFonts w:cs="Arial"/>
                <w:szCs w:val="20"/>
              </w:rPr>
            </w:pPr>
            <w:r w:rsidRPr="00F25E60">
              <w:rPr>
                <w:rFonts w:cs="Arial"/>
                <w:szCs w:val="20"/>
              </w:rPr>
              <w:t>Kat. S</w:t>
            </w:r>
            <w:r w:rsidRPr="00F25E60">
              <w:rPr>
                <w:rFonts w:cs="Arial"/>
                <w:szCs w:val="20"/>
                <w:vertAlign w:val="subscript"/>
              </w:rPr>
              <w:t>NR</w:t>
            </w:r>
            <w:r w:rsidRPr="00F25E60">
              <w:rPr>
                <w:rFonts w:cs="Arial"/>
                <w:szCs w:val="20"/>
              </w:rPr>
              <w:t xml:space="preserve"> (tj. brak wymagania)</w:t>
            </w:r>
          </w:p>
        </w:tc>
      </w:tr>
      <w:tr w:rsidR="00F25E60" w:rsidRPr="00F25E60" w14:paraId="63DAB884" w14:textId="77777777" w:rsidTr="007B6855">
        <w:tc>
          <w:tcPr>
            <w:tcW w:w="3085" w:type="dxa"/>
          </w:tcPr>
          <w:p w14:paraId="1D5495EC" w14:textId="77777777" w:rsidR="00F25E60" w:rsidRPr="00F25E60" w:rsidRDefault="00F25E60" w:rsidP="00F25E60">
            <w:pPr>
              <w:pStyle w:val="Bezodstpw"/>
              <w:rPr>
                <w:rFonts w:cs="Arial"/>
                <w:szCs w:val="20"/>
              </w:rPr>
            </w:pPr>
            <w:r w:rsidRPr="00F25E60">
              <w:rPr>
                <w:rFonts w:cs="Arial"/>
                <w:szCs w:val="20"/>
              </w:rPr>
              <w:t>Stałość objętości żużla stalowniczego</w:t>
            </w:r>
            <w:r w:rsidRPr="00F25E60">
              <w:rPr>
                <w:rFonts w:cs="Arial"/>
                <w:szCs w:val="20"/>
              </w:rPr>
              <w:br/>
            </w:r>
          </w:p>
        </w:tc>
        <w:tc>
          <w:tcPr>
            <w:tcW w:w="992" w:type="dxa"/>
          </w:tcPr>
          <w:p w14:paraId="51083EB9" w14:textId="77777777" w:rsidR="00F25E60" w:rsidRPr="00F25E60" w:rsidRDefault="00F25E60" w:rsidP="00F25E60">
            <w:pPr>
              <w:pStyle w:val="Bezodstpw"/>
              <w:rPr>
                <w:rFonts w:cs="Arial"/>
                <w:szCs w:val="20"/>
              </w:rPr>
            </w:pPr>
            <w:r w:rsidRPr="00F25E60">
              <w:rPr>
                <w:rFonts w:cs="Arial"/>
                <w:szCs w:val="20"/>
              </w:rPr>
              <w:t xml:space="preserve">PN-EN 1744-1, </w:t>
            </w:r>
            <w:proofErr w:type="spellStart"/>
            <w:r w:rsidRPr="00F25E60">
              <w:rPr>
                <w:rFonts w:cs="Arial"/>
                <w:szCs w:val="20"/>
              </w:rPr>
              <w:t>roz</w:t>
            </w:r>
            <w:proofErr w:type="spellEnd"/>
            <w:r w:rsidRPr="00F25E60">
              <w:rPr>
                <w:rFonts w:cs="Arial"/>
                <w:szCs w:val="20"/>
              </w:rPr>
              <w:t xml:space="preserve">. 19.3 [17]  </w:t>
            </w:r>
          </w:p>
        </w:tc>
        <w:tc>
          <w:tcPr>
            <w:tcW w:w="851" w:type="dxa"/>
          </w:tcPr>
          <w:p w14:paraId="445B1DB1" w14:textId="77777777" w:rsidR="00F25E60" w:rsidRPr="00F25E60" w:rsidRDefault="00F25E60" w:rsidP="00F25E60">
            <w:pPr>
              <w:pStyle w:val="Bezodstpw"/>
              <w:rPr>
                <w:rFonts w:cs="Arial"/>
                <w:szCs w:val="20"/>
              </w:rPr>
            </w:pPr>
            <w:r w:rsidRPr="00F25E60">
              <w:rPr>
                <w:rFonts w:cs="Arial"/>
                <w:szCs w:val="20"/>
              </w:rPr>
              <w:t>6.4.2.1</w:t>
            </w:r>
          </w:p>
        </w:tc>
        <w:tc>
          <w:tcPr>
            <w:tcW w:w="3969" w:type="dxa"/>
          </w:tcPr>
          <w:p w14:paraId="768EEB03" w14:textId="77777777" w:rsidR="00F25E60" w:rsidRPr="00F25E60" w:rsidRDefault="00F25E60" w:rsidP="00F25E60">
            <w:pPr>
              <w:pStyle w:val="Bezodstpw"/>
              <w:rPr>
                <w:rFonts w:cs="Arial"/>
                <w:szCs w:val="20"/>
              </w:rPr>
            </w:pPr>
            <w:r w:rsidRPr="00F25E60">
              <w:rPr>
                <w:rFonts w:cs="Arial"/>
                <w:szCs w:val="20"/>
              </w:rPr>
              <w:t>Kat. V</w:t>
            </w:r>
            <w:r w:rsidRPr="00F25E60">
              <w:rPr>
                <w:rFonts w:cs="Arial"/>
                <w:szCs w:val="20"/>
                <w:vertAlign w:val="subscript"/>
              </w:rPr>
              <w:t>5</w:t>
            </w:r>
            <w:r w:rsidRPr="00F25E60">
              <w:rPr>
                <w:rFonts w:cs="Arial"/>
                <w:szCs w:val="20"/>
              </w:rPr>
              <w:t xml:space="preserve"> (tj. pęcznienie ≤ 5 % objętości). Dotyczy żużla z klasycznego pieca tlenowego i elektrycznego pieca łukowego</w:t>
            </w:r>
          </w:p>
        </w:tc>
      </w:tr>
      <w:tr w:rsidR="00F25E60" w:rsidRPr="00F25E60" w14:paraId="389387DD" w14:textId="77777777" w:rsidTr="007B6855">
        <w:tc>
          <w:tcPr>
            <w:tcW w:w="3085" w:type="dxa"/>
          </w:tcPr>
          <w:p w14:paraId="58E5857B" w14:textId="77777777" w:rsidR="00F25E60" w:rsidRPr="00F25E60" w:rsidRDefault="00F25E60" w:rsidP="00F25E60">
            <w:pPr>
              <w:pStyle w:val="Bezodstpw"/>
              <w:rPr>
                <w:rFonts w:cs="Arial"/>
                <w:szCs w:val="20"/>
              </w:rPr>
            </w:pPr>
            <w:r w:rsidRPr="00F25E60">
              <w:rPr>
                <w:rFonts w:cs="Arial"/>
                <w:szCs w:val="20"/>
              </w:rPr>
              <w:t>Rozpad krzemianowy w żużlu wielko- piecowym kawałkowym</w:t>
            </w:r>
          </w:p>
        </w:tc>
        <w:tc>
          <w:tcPr>
            <w:tcW w:w="992" w:type="dxa"/>
          </w:tcPr>
          <w:p w14:paraId="783E9E3D" w14:textId="77777777" w:rsidR="00F25E60" w:rsidRPr="00F25E60" w:rsidRDefault="00F25E60" w:rsidP="00F25E60">
            <w:pPr>
              <w:pStyle w:val="Bezodstpw"/>
              <w:rPr>
                <w:rFonts w:cs="Arial"/>
                <w:szCs w:val="20"/>
              </w:rPr>
            </w:pPr>
            <w:r w:rsidRPr="00F25E60">
              <w:rPr>
                <w:rFonts w:cs="Arial"/>
                <w:szCs w:val="20"/>
              </w:rPr>
              <w:t xml:space="preserve">PN-EN 1744-1, p. 19.1 [17]  </w:t>
            </w:r>
          </w:p>
        </w:tc>
        <w:tc>
          <w:tcPr>
            <w:tcW w:w="851" w:type="dxa"/>
          </w:tcPr>
          <w:p w14:paraId="15499335" w14:textId="77777777" w:rsidR="00F25E60" w:rsidRPr="00F25E60" w:rsidRDefault="00F25E60" w:rsidP="00F25E60">
            <w:pPr>
              <w:pStyle w:val="Bezodstpw"/>
              <w:rPr>
                <w:rFonts w:cs="Arial"/>
                <w:szCs w:val="20"/>
              </w:rPr>
            </w:pPr>
            <w:r w:rsidRPr="00F25E60">
              <w:rPr>
                <w:rFonts w:cs="Arial"/>
                <w:szCs w:val="20"/>
              </w:rPr>
              <w:t>6.4.2.2</w:t>
            </w:r>
          </w:p>
        </w:tc>
        <w:tc>
          <w:tcPr>
            <w:tcW w:w="3969" w:type="dxa"/>
          </w:tcPr>
          <w:p w14:paraId="42A11446" w14:textId="77777777" w:rsidR="00F25E60" w:rsidRPr="00F25E60" w:rsidRDefault="00F25E60" w:rsidP="00F25E60">
            <w:pPr>
              <w:pStyle w:val="Bezodstpw"/>
              <w:rPr>
                <w:rFonts w:cs="Arial"/>
                <w:szCs w:val="20"/>
              </w:rPr>
            </w:pPr>
            <w:r w:rsidRPr="00F25E60">
              <w:rPr>
                <w:rFonts w:cs="Arial"/>
                <w:szCs w:val="20"/>
              </w:rPr>
              <w:t>Brak rozpadu</w:t>
            </w:r>
          </w:p>
        </w:tc>
      </w:tr>
      <w:tr w:rsidR="00F25E60" w:rsidRPr="00F25E60" w14:paraId="7279AF1D" w14:textId="77777777" w:rsidTr="007B6855">
        <w:tc>
          <w:tcPr>
            <w:tcW w:w="3085" w:type="dxa"/>
          </w:tcPr>
          <w:p w14:paraId="0ECFF93D" w14:textId="77777777" w:rsidR="00F25E60" w:rsidRPr="00F25E60" w:rsidRDefault="00F25E60" w:rsidP="00F25E60">
            <w:pPr>
              <w:pStyle w:val="Bezodstpw"/>
              <w:rPr>
                <w:rFonts w:cs="Arial"/>
                <w:szCs w:val="20"/>
              </w:rPr>
            </w:pPr>
            <w:r w:rsidRPr="00F25E60">
              <w:rPr>
                <w:rFonts w:cs="Arial"/>
                <w:szCs w:val="20"/>
              </w:rPr>
              <w:t xml:space="preserve">Rozpad żelazawy w żużlu </w:t>
            </w:r>
            <w:proofErr w:type="spellStart"/>
            <w:r w:rsidRPr="00F25E60">
              <w:rPr>
                <w:rFonts w:cs="Arial"/>
                <w:szCs w:val="20"/>
              </w:rPr>
              <w:t>wielkopieco</w:t>
            </w:r>
            <w:proofErr w:type="spellEnd"/>
            <w:r w:rsidRPr="00F25E60">
              <w:rPr>
                <w:rFonts w:cs="Arial"/>
                <w:szCs w:val="20"/>
              </w:rPr>
              <w:t xml:space="preserve">- </w:t>
            </w:r>
            <w:proofErr w:type="spellStart"/>
            <w:r w:rsidRPr="00F25E60">
              <w:rPr>
                <w:rFonts w:cs="Arial"/>
                <w:szCs w:val="20"/>
              </w:rPr>
              <w:t>wym</w:t>
            </w:r>
            <w:proofErr w:type="spellEnd"/>
            <w:r w:rsidRPr="00F25E60">
              <w:rPr>
                <w:rFonts w:cs="Arial"/>
                <w:szCs w:val="20"/>
              </w:rPr>
              <w:t xml:space="preserve"> kawałkowym</w:t>
            </w:r>
          </w:p>
        </w:tc>
        <w:tc>
          <w:tcPr>
            <w:tcW w:w="992" w:type="dxa"/>
          </w:tcPr>
          <w:p w14:paraId="5B99455E" w14:textId="77777777" w:rsidR="00F25E60" w:rsidRPr="00F25E60" w:rsidRDefault="00F25E60" w:rsidP="00F25E60">
            <w:pPr>
              <w:pStyle w:val="Bezodstpw"/>
              <w:rPr>
                <w:rFonts w:cs="Arial"/>
                <w:szCs w:val="20"/>
              </w:rPr>
            </w:pPr>
            <w:r w:rsidRPr="00F25E60">
              <w:rPr>
                <w:rFonts w:cs="Arial"/>
                <w:szCs w:val="20"/>
              </w:rPr>
              <w:t xml:space="preserve">PN-EN 1744-1, p.19.2[17] </w:t>
            </w:r>
          </w:p>
        </w:tc>
        <w:tc>
          <w:tcPr>
            <w:tcW w:w="851" w:type="dxa"/>
          </w:tcPr>
          <w:p w14:paraId="2207076F" w14:textId="77777777" w:rsidR="00F25E60" w:rsidRPr="00F25E60" w:rsidRDefault="00F25E60" w:rsidP="00F25E60">
            <w:pPr>
              <w:pStyle w:val="Bezodstpw"/>
              <w:rPr>
                <w:rFonts w:cs="Arial"/>
                <w:szCs w:val="20"/>
              </w:rPr>
            </w:pPr>
            <w:r w:rsidRPr="00F25E60">
              <w:rPr>
                <w:rFonts w:cs="Arial"/>
                <w:szCs w:val="20"/>
              </w:rPr>
              <w:t>6.4.2.3</w:t>
            </w:r>
          </w:p>
        </w:tc>
        <w:tc>
          <w:tcPr>
            <w:tcW w:w="3969" w:type="dxa"/>
          </w:tcPr>
          <w:p w14:paraId="02B4F077" w14:textId="77777777" w:rsidR="00F25E60" w:rsidRPr="00F25E60" w:rsidRDefault="00F25E60" w:rsidP="00F25E60">
            <w:pPr>
              <w:pStyle w:val="Bezodstpw"/>
              <w:rPr>
                <w:rFonts w:cs="Arial"/>
                <w:szCs w:val="20"/>
              </w:rPr>
            </w:pPr>
            <w:r w:rsidRPr="00F25E60">
              <w:rPr>
                <w:rFonts w:cs="Arial"/>
                <w:szCs w:val="20"/>
              </w:rPr>
              <w:t>Brak rozpadu</w:t>
            </w:r>
          </w:p>
        </w:tc>
      </w:tr>
      <w:tr w:rsidR="00F25E60" w:rsidRPr="00F25E60" w14:paraId="0065EB01" w14:textId="77777777" w:rsidTr="007B6855">
        <w:tc>
          <w:tcPr>
            <w:tcW w:w="3085" w:type="dxa"/>
          </w:tcPr>
          <w:p w14:paraId="413FD9FB" w14:textId="77777777" w:rsidR="00F25E60" w:rsidRPr="00F25E60" w:rsidRDefault="00F25E60" w:rsidP="00F25E60">
            <w:pPr>
              <w:pStyle w:val="Bezodstpw"/>
              <w:rPr>
                <w:rFonts w:cs="Arial"/>
                <w:szCs w:val="20"/>
              </w:rPr>
            </w:pPr>
            <w:r w:rsidRPr="00F25E60">
              <w:rPr>
                <w:rFonts w:cs="Arial"/>
                <w:szCs w:val="20"/>
              </w:rPr>
              <w:t>Składniki rozpuszczalne w wodzie</w:t>
            </w:r>
          </w:p>
        </w:tc>
        <w:tc>
          <w:tcPr>
            <w:tcW w:w="992" w:type="dxa"/>
          </w:tcPr>
          <w:p w14:paraId="499A590F" w14:textId="77777777" w:rsidR="00F25E60" w:rsidRPr="00F25E60" w:rsidRDefault="00F25E60" w:rsidP="00F25E60">
            <w:pPr>
              <w:pStyle w:val="Bezodstpw"/>
              <w:rPr>
                <w:rFonts w:cs="Arial"/>
                <w:szCs w:val="20"/>
              </w:rPr>
            </w:pPr>
            <w:r w:rsidRPr="00F25E60">
              <w:rPr>
                <w:rFonts w:cs="Arial"/>
                <w:szCs w:val="20"/>
              </w:rPr>
              <w:t>PN-EN 1744-3 [18]</w:t>
            </w:r>
          </w:p>
        </w:tc>
        <w:tc>
          <w:tcPr>
            <w:tcW w:w="851" w:type="dxa"/>
          </w:tcPr>
          <w:p w14:paraId="41577D59" w14:textId="77777777" w:rsidR="00F25E60" w:rsidRPr="00F25E60" w:rsidRDefault="00F25E60" w:rsidP="00F25E60">
            <w:pPr>
              <w:pStyle w:val="Bezodstpw"/>
              <w:rPr>
                <w:rFonts w:cs="Arial"/>
                <w:szCs w:val="20"/>
              </w:rPr>
            </w:pPr>
            <w:r w:rsidRPr="00F25E60">
              <w:rPr>
                <w:rFonts w:cs="Arial"/>
                <w:szCs w:val="20"/>
              </w:rPr>
              <w:t>6.4.3</w:t>
            </w:r>
          </w:p>
        </w:tc>
        <w:tc>
          <w:tcPr>
            <w:tcW w:w="3969" w:type="dxa"/>
          </w:tcPr>
          <w:p w14:paraId="5470A48F" w14:textId="77777777" w:rsidR="00F25E60" w:rsidRPr="00F25E60" w:rsidRDefault="00F25E60" w:rsidP="00F25E60">
            <w:pPr>
              <w:pStyle w:val="Bezodstpw"/>
              <w:rPr>
                <w:rFonts w:cs="Arial"/>
                <w:szCs w:val="20"/>
              </w:rPr>
            </w:pPr>
            <w:r w:rsidRPr="00F25E60">
              <w:rPr>
                <w:rFonts w:cs="Arial"/>
                <w:szCs w:val="20"/>
              </w:rPr>
              <w:t>Brak substancji szkodliwych w stosunku do środowiska wg odrębnych przepisów</w:t>
            </w:r>
          </w:p>
        </w:tc>
      </w:tr>
      <w:tr w:rsidR="00F25E60" w:rsidRPr="00F25E60" w14:paraId="54434007" w14:textId="77777777" w:rsidTr="007B6855">
        <w:tc>
          <w:tcPr>
            <w:tcW w:w="3085" w:type="dxa"/>
          </w:tcPr>
          <w:p w14:paraId="60F52BCD" w14:textId="77777777" w:rsidR="00F25E60" w:rsidRPr="00F25E60" w:rsidRDefault="00F25E60" w:rsidP="00F25E60">
            <w:pPr>
              <w:pStyle w:val="Bezodstpw"/>
              <w:rPr>
                <w:rFonts w:cs="Arial"/>
                <w:szCs w:val="20"/>
              </w:rPr>
            </w:pPr>
            <w:r w:rsidRPr="00F25E60">
              <w:rPr>
                <w:rFonts w:cs="Arial"/>
                <w:szCs w:val="20"/>
              </w:rPr>
              <w:t>Zanieczyszczenia</w:t>
            </w:r>
          </w:p>
        </w:tc>
        <w:tc>
          <w:tcPr>
            <w:tcW w:w="992" w:type="dxa"/>
          </w:tcPr>
          <w:p w14:paraId="389E3848" w14:textId="77777777" w:rsidR="00F25E60" w:rsidRPr="00F25E60" w:rsidRDefault="00F25E60" w:rsidP="00F25E60">
            <w:pPr>
              <w:pStyle w:val="Bezodstpw"/>
              <w:jc w:val="center"/>
              <w:rPr>
                <w:rFonts w:cs="Arial"/>
                <w:szCs w:val="20"/>
              </w:rPr>
            </w:pPr>
            <w:r w:rsidRPr="00F25E60">
              <w:rPr>
                <w:rFonts w:cs="Arial"/>
                <w:szCs w:val="20"/>
              </w:rPr>
              <w:t>-</w:t>
            </w:r>
          </w:p>
        </w:tc>
        <w:tc>
          <w:tcPr>
            <w:tcW w:w="851" w:type="dxa"/>
          </w:tcPr>
          <w:p w14:paraId="28E1FE18" w14:textId="77777777" w:rsidR="00F25E60" w:rsidRPr="00F25E60" w:rsidRDefault="00F25E60" w:rsidP="00F25E60">
            <w:pPr>
              <w:pStyle w:val="Bezodstpw"/>
              <w:rPr>
                <w:rFonts w:cs="Arial"/>
                <w:szCs w:val="20"/>
              </w:rPr>
            </w:pPr>
            <w:r w:rsidRPr="00F25E60">
              <w:rPr>
                <w:rFonts w:cs="Arial"/>
                <w:szCs w:val="20"/>
              </w:rPr>
              <w:t>6.4.4</w:t>
            </w:r>
          </w:p>
        </w:tc>
        <w:tc>
          <w:tcPr>
            <w:tcW w:w="3969" w:type="dxa"/>
          </w:tcPr>
          <w:p w14:paraId="00DDB3B1" w14:textId="77777777" w:rsidR="00F25E60" w:rsidRPr="00F25E60" w:rsidRDefault="00F25E60" w:rsidP="00F25E60">
            <w:pPr>
              <w:pStyle w:val="Bezodstpw"/>
              <w:rPr>
                <w:rFonts w:cs="Arial"/>
                <w:szCs w:val="20"/>
              </w:rPr>
            </w:pPr>
            <w:r w:rsidRPr="00F25E60">
              <w:rPr>
                <w:rFonts w:cs="Arial"/>
                <w:szCs w:val="20"/>
              </w:rPr>
              <w:t>Brak ciał obcych takich jak drewno, szkło i plastik, mogących pogorszyć wyrób końcowy</w:t>
            </w:r>
          </w:p>
        </w:tc>
      </w:tr>
      <w:tr w:rsidR="00F25E60" w:rsidRPr="00F25E60" w14:paraId="76106331" w14:textId="77777777" w:rsidTr="007B6855">
        <w:tc>
          <w:tcPr>
            <w:tcW w:w="3085" w:type="dxa"/>
          </w:tcPr>
          <w:p w14:paraId="32FC2543" w14:textId="77777777" w:rsidR="00F25E60" w:rsidRPr="00F25E60" w:rsidRDefault="00F25E60" w:rsidP="00F25E60">
            <w:pPr>
              <w:pStyle w:val="Bezodstpw"/>
              <w:rPr>
                <w:rFonts w:cs="Arial"/>
                <w:szCs w:val="20"/>
              </w:rPr>
            </w:pPr>
            <w:r w:rsidRPr="00F25E60">
              <w:rPr>
                <w:rFonts w:cs="Arial"/>
                <w:szCs w:val="20"/>
              </w:rPr>
              <w:t>Zgorzel słoneczna bazaltu</w:t>
            </w:r>
          </w:p>
        </w:tc>
        <w:tc>
          <w:tcPr>
            <w:tcW w:w="992" w:type="dxa"/>
          </w:tcPr>
          <w:p w14:paraId="0E2E3CAE" w14:textId="77777777" w:rsidR="00F25E60" w:rsidRPr="00F25E60" w:rsidRDefault="00F25E60" w:rsidP="00F25E60">
            <w:pPr>
              <w:pStyle w:val="Bezodstpw"/>
              <w:rPr>
                <w:rFonts w:cs="Arial"/>
                <w:szCs w:val="20"/>
              </w:rPr>
            </w:pPr>
            <w:r w:rsidRPr="00F25E60">
              <w:rPr>
                <w:rFonts w:cs="Arial"/>
                <w:szCs w:val="20"/>
              </w:rPr>
              <w:t>PN-EN 1367-3[16]  i PN-EN 1097-2 [13]</w:t>
            </w:r>
          </w:p>
        </w:tc>
        <w:tc>
          <w:tcPr>
            <w:tcW w:w="851" w:type="dxa"/>
          </w:tcPr>
          <w:p w14:paraId="1EDAA1AD" w14:textId="77777777" w:rsidR="00F25E60" w:rsidRPr="00F25E60" w:rsidRDefault="00F25E60" w:rsidP="00F25E60">
            <w:pPr>
              <w:pStyle w:val="Bezodstpw"/>
              <w:rPr>
                <w:rFonts w:cs="Arial"/>
                <w:szCs w:val="20"/>
              </w:rPr>
            </w:pPr>
            <w:r w:rsidRPr="00F25E60">
              <w:rPr>
                <w:rFonts w:cs="Arial"/>
                <w:szCs w:val="20"/>
              </w:rPr>
              <w:t>7.2</w:t>
            </w:r>
          </w:p>
        </w:tc>
        <w:tc>
          <w:tcPr>
            <w:tcW w:w="3969" w:type="dxa"/>
          </w:tcPr>
          <w:p w14:paraId="447921BF" w14:textId="77777777" w:rsidR="00F25E60" w:rsidRPr="00F25E60" w:rsidRDefault="00F25E60" w:rsidP="00F25E60">
            <w:pPr>
              <w:pStyle w:val="Bezodstpw"/>
              <w:rPr>
                <w:rFonts w:cs="Arial"/>
                <w:szCs w:val="20"/>
              </w:rPr>
            </w:pPr>
            <w:r w:rsidRPr="00F25E60">
              <w:rPr>
                <w:rFonts w:cs="Arial"/>
                <w:szCs w:val="20"/>
              </w:rPr>
              <w:t>Kat. SB</w:t>
            </w:r>
            <w:r w:rsidRPr="00F25E60">
              <w:rPr>
                <w:rFonts w:cs="Arial"/>
                <w:szCs w:val="20"/>
                <w:vertAlign w:val="subscript"/>
              </w:rPr>
              <w:t xml:space="preserve">LA </w:t>
            </w:r>
            <w:r w:rsidRPr="00F25E60">
              <w:rPr>
                <w:rFonts w:cs="Arial"/>
                <w:szCs w:val="20"/>
              </w:rPr>
              <w:t>(tj. wzrost współczynnika Los Angeles po gotowaniu ≤ 8%)</w:t>
            </w:r>
          </w:p>
        </w:tc>
      </w:tr>
      <w:tr w:rsidR="00F25E60" w:rsidRPr="00F25E60" w14:paraId="6FA8085A" w14:textId="77777777" w:rsidTr="007B6855">
        <w:tc>
          <w:tcPr>
            <w:tcW w:w="3085" w:type="dxa"/>
          </w:tcPr>
          <w:p w14:paraId="6DBA4197" w14:textId="77777777" w:rsidR="00F25E60" w:rsidRPr="00F25E60" w:rsidRDefault="00F25E60" w:rsidP="00F25E60">
            <w:pPr>
              <w:pStyle w:val="Bezodstpw"/>
              <w:rPr>
                <w:rFonts w:cs="Arial"/>
                <w:szCs w:val="20"/>
              </w:rPr>
            </w:pPr>
            <w:r w:rsidRPr="00F25E60">
              <w:rPr>
                <w:rFonts w:cs="Arial"/>
                <w:szCs w:val="20"/>
              </w:rPr>
              <w:t>Mrozoodporność na frakcji kruszy-</w:t>
            </w:r>
            <w:r w:rsidRPr="00F25E60">
              <w:rPr>
                <w:rFonts w:cs="Arial"/>
                <w:szCs w:val="20"/>
              </w:rPr>
              <w:br/>
            </w:r>
            <w:proofErr w:type="spellStart"/>
            <w:r w:rsidRPr="00F25E60">
              <w:rPr>
                <w:rFonts w:cs="Arial"/>
                <w:szCs w:val="20"/>
              </w:rPr>
              <w:t>wa</w:t>
            </w:r>
            <w:proofErr w:type="spellEnd"/>
            <w:r w:rsidRPr="00F25E60">
              <w:rPr>
                <w:rFonts w:cs="Arial"/>
                <w:szCs w:val="20"/>
              </w:rPr>
              <w:t xml:space="preserve">  8/16 mm  </w:t>
            </w:r>
          </w:p>
        </w:tc>
        <w:tc>
          <w:tcPr>
            <w:tcW w:w="992" w:type="dxa"/>
          </w:tcPr>
          <w:p w14:paraId="1D732230" w14:textId="77777777" w:rsidR="00F25E60" w:rsidRPr="00F25E60" w:rsidRDefault="00F25E60" w:rsidP="00F25E60">
            <w:pPr>
              <w:pStyle w:val="Bezodstpw"/>
              <w:rPr>
                <w:rFonts w:cs="Arial"/>
                <w:szCs w:val="20"/>
              </w:rPr>
            </w:pPr>
            <w:r w:rsidRPr="00F25E60">
              <w:rPr>
                <w:rFonts w:cs="Arial"/>
                <w:szCs w:val="20"/>
              </w:rPr>
              <w:t>PN-EN 1367-1 [15]</w:t>
            </w:r>
          </w:p>
        </w:tc>
        <w:tc>
          <w:tcPr>
            <w:tcW w:w="851" w:type="dxa"/>
          </w:tcPr>
          <w:p w14:paraId="64F3474E" w14:textId="77777777" w:rsidR="00F25E60" w:rsidRPr="00F25E60" w:rsidRDefault="00F25E60" w:rsidP="00F25E60">
            <w:pPr>
              <w:pStyle w:val="Bezodstpw"/>
              <w:rPr>
                <w:rFonts w:cs="Arial"/>
                <w:szCs w:val="20"/>
              </w:rPr>
            </w:pPr>
            <w:r w:rsidRPr="00F25E60">
              <w:rPr>
                <w:rFonts w:cs="Arial"/>
                <w:szCs w:val="20"/>
              </w:rPr>
              <w:t>7.3.3</w:t>
            </w:r>
          </w:p>
        </w:tc>
        <w:tc>
          <w:tcPr>
            <w:tcW w:w="3969" w:type="dxa"/>
          </w:tcPr>
          <w:p w14:paraId="64035A31" w14:textId="77777777" w:rsidR="00F25E60" w:rsidRPr="00F25E60" w:rsidRDefault="00F25E60" w:rsidP="00F25E60">
            <w:pPr>
              <w:pStyle w:val="Bezodstpw"/>
              <w:rPr>
                <w:rFonts w:cs="Arial"/>
                <w:szCs w:val="20"/>
              </w:rPr>
            </w:pPr>
            <w:r w:rsidRPr="00F25E60">
              <w:rPr>
                <w:rFonts w:cs="Arial"/>
                <w:szCs w:val="20"/>
              </w:rPr>
              <w:t>Skały magmowe i przeobrażone: kat. F</w:t>
            </w:r>
            <w:r w:rsidRPr="00F25E60">
              <w:rPr>
                <w:rFonts w:cs="Arial"/>
                <w:szCs w:val="20"/>
                <w:vertAlign w:val="subscript"/>
              </w:rPr>
              <w:t>4</w:t>
            </w:r>
            <w:r w:rsidRPr="00F25E60">
              <w:rPr>
                <w:rFonts w:cs="Arial"/>
                <w:szCs w:val="20"/>
              </w:rPr>
              <w:t xml:space="preserve"> (tj. zamrażanie-rozmrażanie ≤ 4% masy), skały osadowe: kat. F</w:t>
            </w:r>
            <w:r w:rsidRPr="00F25E60">
              <w:rPr>
                <w:rFonts w:cs="Arial"/>
                <w:szCs w:val="20"/>
                <w:vertAlign w:val="subscript"/>
              </w:rPr>
              <w:t>10</w:t>
            </w:r>
            <w:r w:rsidRPr="00F25E60">
              <w:rPr>
                <w:rFonts w:cs="Arial"/>
                <w:szCs w:val="20"/>
              </w:rPr>
              <w:t>, kruszywa z recyklingu: kat. F</w:t>
            </w:r>
            <w:r w:rsidRPr="00F25E60">
              <w:rPr>
                <w:rFonts w:cs="Arial"/>
                <w:szCs w:val="20"/>
                <w:vertAlign w:val="subscript"/>
              </w:rPr>
              <w:t>10</w:t>
            </w:r>
            <w:r w:rsidRPr="00F25E60">
              <w:rPr>
                <w:rFonts w:cs="Arial"/>
                <w:szCs w:val="20"/>
              </w:rPr>
              <w:t xml:space="preserve"> (F</w:t>
            </w:r>
            <w:r w:rsidRPr="00F25E60">
              <w:rPr>
                <w:rFonts w:cs="Arial"/>
                <w:szCs w:val="20"/>
                <w:vertAlign w:val="subscript"/>
              </w:rPr>
              <w:t>25</w:t>
            </w:r>
            <w:r w:rsidRPr="00F25E60">
              <w:rPr>
                <w:rFonts w:cs="Arial"/>
                <w:szCs w:val="20"/>
              </w:rPr>
              <w:t>***)</w:t>
            </w:r>
          </w:p>
        </w:tc>
      </w:tr>
      <w:tr w:rsidR="00F25E60" w:rsidRPr="00F25E60" w14:paraId="782A33FC" w14:textId="77777777" w:rsidTr="007B6855">
        <w:tc>
          <w:tcPr>
            <w:tcW w:w="3085" w:type="dxa"/>
          </w:tcPr>
          <w:p w14:paraId="1C555CE2" w14:textId="77777777" w:rsidR="00F25E60" w:rsidRPr="00F25E60" w:rsidRDefault="00F25E60" w:rsidP="00F25E60">
            <w:pPr>
              <w:pStyle w:val="Bezodstpw"/>
              <w:rPr>
                <w:rFonts w:cs="Arial"/>
                <w:szCs w:val="20"/>
              </w:rPr>
            </w:pPr>
            <w:r w:rsidRPr="00F25E60">
              <w:rPr>
                <w:rFonts w:cs="Arial"/>
                <w:szCs w:val="20"/>
              </w:rPr>
              <w:lastRenderedPageBreak/>
              <w:t>Skład materiałowy</w:t>
            </w:r>
          </w:p>
        </w:tc>
        <w:tc>
          <w:tcPr>
            <w:tcW w:w="992" w:type="dxa"/>
          </w:tcPr>
          <w:p w14:paraId="11D90B11" w14:textId="77777777" w:rsidR="00F25E60" w:rsidRPr="00F25E60" w:rsidRDefault="00F25E60" w:rsidP="00F25E60">
            <w:pPr>
              <w:pStyle w:val="Bezodstpw"/>
              <w:jc w:val="center"/>
              <w:rPr>
                <w:rFonts w:cs="Arial"/>
                <w:szCs w:val="20"/>
              </w:rPr>
            </w:pPr>
            <w:r w:rsidRPr="00F25E60">
              <w:rPr>
                <w:rFonts w:cs="Arial"/>
                <w:szCs w:val="20"/>
              </w:rPr>
              <w:t>-</w:t>
            </w:r>
          </w:p>
        </w:tc>
        <w:tc>
          <w:tcPr>
            <w:tcW w:w="851" w:type="dxa"/>
          </w:tcPr>
          <w:p w14:paraId="4E8A5129" w14:textId="77777777" w:rsidR="00F25E60" w:rsidRPr="00F25E60" w:rsidRDefault="00F25E60" w:rsidP="00F25E60">
            <w:pPr>
              <w:pStyle w:val="Bezodstpw"/>
              <w:rPr>
                <w:rFonts w:cs="Arial"/>
                <w:szCs w:val="20"/>
              </w:rPr>
            </w:pPr>
            <w:r w:rsidRPr="00F25E60">
              <w:rPr>
                <w:rFonts w:cs="Arial"/>
                <w:szCs w:val="20"/>
              </w:rPr>
              <w:t>Zał. C</w:t>
            </w:r>
          </w:p>
        </w:tc>
        <w:tc>
          <w:tcPr>
            <w:tcW w:w="3969" w:type="dxa"/>
          </w:tcPr>
          <w:p w14:paraId="2B585E66" w14:textId="77777777" w:rsidR="00F25E60" w:rsidRPr="00F25E60" w:rsidRDefault="00F25E60" w:rsidP="00F25E60">
            <w:pPr>
              <w:pStyle w:val="Bezodstpw"/>
              <w:rPr>
                <w:rFonts w:cs="Arial"/>
                <w:szCs w:val="20"/>
              </w:rPr>
            </w:pPr>
            <w:r w:rsidRPr="00F25E60">
              <w:rPr>
                <w:rFonts w:cs="Arial"/>
                <w:szCs w:val="20"/>
              </w:rPr>
              <w:t>Deklarowany</w:t>
            </w:r>
          </w:p>
        </w:tc>
      </w:tr>
    </w:tbl>
    <w:p w14:paraId="06194EF3" w14:textId="77777777" w:rsidR="00F25E60" w:rsidRPr="00F25E60" w:rsidRDefault="00F25E60" w:rsidP="00F25E60">
      <w:pPr>
        <w:spacing w:line="240" w:lineRule="auto"/>
        <w:rPr>
          <w:rFonts w:cs="Arial"/>
          <w:szCs w:val="20"/>
        </w:rPr>
      </w:pPr>
    </w:p>
    <w:p w14:paraId="13F67242" w14:textId="77777777" w:rsidR="00F25E60" w:rsidRPr="00F25E60" w:rsidRDefault="00F25E60" w:rsidP="00F25E60">
      <w:pPr>
        <w:spacing w:line="240" w:lineRule="auto"/>
        <w:rPr>
          <w:rFonts w:cs="Arial"/>
          <w:szCs w:val="20"/>
        </w:rPr>
      </w:pPr>
    </w:p>
    <w:p w14:paraId="708A075E" w14:textId="77777777" w:rsidR="00F25E60" w:rsidRPr="00F25E60" w:rsidRDefault="00F25E60" w:rsidP="00F25E60">
      <w:pPr>
        <w:spacing w:line="240" w:lineRule="auto"/>
        <w:rPr>
          <w:rFonts w:cs="Arial"/>
          <w:szCs w:val="20"/>
        </w:rPr>
      </w:pPr>
    </w:p>
    <w:p w14:paraId="7A49A698" w14:textId="77777777" w:rsidR="00F25E60" w:rsidRPr="00F25E60" w:rsidRDefault="00F25E60" w:rsidP="00F25E60">
      <w:pPr>
        <w:spacing w:line="240" w:lineRule="auto"/>
        <w:rPr>
          <w:rFonts w:cs="Arial"/>
          <w:szCs w:val="20"/>
        </w:rPr>
      </w:pPr>
    </w:p>
    <w:p w14:paraId="76890263" w14:textId="77777777" w:rsidR="00F25E60" w:rsidRPr="00F25E60" w:rsidRDefault="00F25E60" w:rsidP="00F25E60">
      <w:pPr>
        <w:spacing w:line="240" w:lineRule="auto"/>
        <w:rPr>
          <w:rFonts w:cs="Arial"/>
          <w:szCs w:val="20"/>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F25E60" w:rsidRPr="00F25E60" w14:paraId="255782D4" w14:textId="77777777" w:rsidTr="007B6855">
        <w:tc>
          <w:tcPr>
            <w:tcW w:w="3085" w:type="dxa"/>
          </w:tcPr>
          <w:p w14:paraId="012D82D6" w14:textId="77777777" w:rsidR="00F25E60" w:rsidRPr="00F25E60" w:rsidRDefault="00F25E60" w:rsidP="00F25E60">
            <w:pPr>
              <w:pStyle w:val="Bezodstpw"/>
              <w:rPr>
                <w:rFonts w:cs="Arial"/>
                <w:szCs w:val="20"/>
              </w:rPr>
            </w:pPr>
            <w:r w:rsidRPr="00F25E60">
              <w:rPr>
                <w:rFonts w:cs="Arial"/>
                <w:szCs w:val="20"/>
              </w:rPr>
              <w:t>Istotne cechy środowiskowe</w:t>
            </w:r>
          </w:p>
        </w:tc>
        <w:tc>
          <w:tcPr>
            <w:tcW w:w="992" w:type="dxa"/>
          </w:tcPr>
          <w:p w14:paraId="4A00EA63" w14:textId="77777777" w:rsidR="00F25E60" w:rsidRPr="00F25E60" w:rsidRDefault="00F25E60" w:rsidP="00F25E60">
            <w:pPr>
              <w:pStyle w:val="Bezodstpw"/>
              <w:jc w:val="center"/>
              <w:rPr>
                <w:rFonts w:cs="Arial"/>
                <w:szCs w:val="20"/>
              </w:rPr>
            </w:pPr>
            <w:r w:rsidRPr="00F25E60">
              <w:rPr>
                <w:rFonts w:cs="Arial"/>
                <w:szCs w:val="20"/>
              </w:rPr>
              <w:t>-</w:t>
            </w:r>
          </w:p>
        </w:tc>
        <w:tc>
          <w:tcPr>
            <w:tcW w:w="851" w:type="dxa"/>
          </w:tcPr>
          <w:p w14:paraId="202CBCF9" w14:textId="77777777" w:rsidR="00F25E60" w:rsidRPr="00F25E60" w:rsidRDefault="00F25E60" w:rsidP="00F25E60">
            <w:pPr>
              <w:pStyle w:val="Bezodstpw"/>
              <w:rPr>
                <w:rFonts w:cs="Arial"/>
                <w:szCs w:val="20"/>
              </w:rPr>
            </w:pPr>
            <w:r w:rsidRPr="00F25E60">
              <w:rPr>
                <w:rFonts w:cs="Arial"/>
                <w:szCs w:val="20"/>
              </w:rPr>
              <w:t>Zał. C</w:t>
            </w:r>
          </w:p>
          <w:p w14:paraId="6F5A55B3" w14:textId="77777777" w:rsidR="00F25E60" w:rsidRPr="00F25E60" w:rsidRDefault="00F25E60" w:rsidP="00F25E60">
            <w:pPr>
              <w:pStyle w:val="Bezodstpw"/>
              <w:rPr>
                <w:rFonts w:cs="Arial"/>
                <w:szCs w:val="20"/>
              </w:rPr>
            </w:pPr>
            <w:r w:rsidRPr="00F25E60">
              <w:rPr>
                <w:rFonts w:cs="Arial"/>
                <w:szCs w:val="20"/>
              </w:rPr>
              <w:t>pkt</w:t>
            </w:r>
          </w:p>
          <w:p w14:paraId="7796AB89" w14:textId="77777777" w:rsidR="00F25E60" w:rsidRPr="00F25E60" w:rsidRDefault="00F25E60" w:rsidP="00F25E60">
            <w:pPr>
              <w:pStyle w:val="Bezodstpw"/>
              <w:rPr>
                <w:rFonts w:cs="Arial"/>
                <w:szCs w:val="20"/>
              </w:rPr>
            </w:pPr>
            <w:r w:rsidRPr="00F25E60">
              <w:rPr>
                <w:rFonts w:cs="Arial"/>
                <w:szCs w:val="20"/>
              </w:rPr>
              <w:t>C.3.4</w:t>
            </w:r>
          </w:p>
        </w:tc>
        <w:tc>
          <w:tcPr>
            <w:tcW w:w="3969" w:type="dxa"/>
          </w:tcPr>
          <w:p w14:paraId="6A3F9C2E" w14:textId="77777777" w:rsidR="00F25E60" w:rsidRPr="00F25E60" w:rsidRDefault="00F25E60" w:rsidP="00F25E60">
            <w:pPr>
              <w:pStyle w:val="Bezodstpw"/>
              <w:rPr>
                <w:rFonts w:cs="Arial"/>
                <w:szCs w:val="20"/>
              </w:rPr>
            </w:pPr>
            <w:r w:rsidRPr="00F25E60">
              <w:rPr>
                <w:rFonts w:cs="Arial"/>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F25E60" w:rsidRPr="00F25E60" w14:paraId="7C419A5D" w14:textId="77777777" w:rsidTr="007B6855">
        <w:tc>
          <w:tcPr>
            <w:tcW w:w="8897" w:type="dxa"/>
            <w:gridSpan w:val="4"/>
          </w:tcPr>
          <w:p w14:paraId="2942CAFF" w14:textId="77777777" w:rsidR="00F25E60" w:rsidRPr="00F25E60" w:rsidRDefault="00F25E60" w:rsidP="00F25E60">
            <w:pPr>
              <w:pStyle w:val="Bezodstpw"/>
              <w:rPr>
                <w:rFonts w:cs="Arial"/>
                <w:szCs w:val="20"/>
              </w:rPr>
            </w:pPr>
            <w:r w:rsidRPr="00F25E60">
              <w:rPr>
                <w:rFonts w:cs="Arial"/>
                <w:szCs w:val="20"/>
              </w:rPr>
              <w:t>*)       Łączna zawartość pyłów w mieszance powinna się mieścić w wybranych krzywych granicznych</w:t>
            </w:r>
          </w:p>
          <w:p w14:paraId="02725329" w14:textId="77777777" w:rsidR="00F25E60" w:rsidRPr="00F25E60" w:rsidRDefault="00F25E60" w:rsidP="00F25E60">
            <w:pPr>
              <w:pStyle w:val="Bezodstpw"/>
              <w:rPr>
                <w:rFonts w:cs="Arial"/>
                <w:szCs w:val="20"/>
              </w:rPr>
            </w:pPr>
            <w:r w:rsidRPr="00F25E60">
              <w:rPr>
                <w:rFonts w:cs="Arial"/>
                <w:szCs w:val="20"/>
              </w:rPr>
              <w:t>**)    W przypadku, gdy wymaganie nie jest spełnione , należy sprawdzić mrozoodporność</w:t>
            </w:r>
          </w:p>
          <w:p w14:paraId="76ECFA0C" w14:textId="77777777" w:rsidR="00F25E60" w:rsidRPr="00F25E60" w:rsidRDefault="00F25E60" w:rsidP="00F25E60">
            <w:pPr>
              <w:pStyle w:val="Bezodstpw"/>
              <w:rPr>
                <w:rFonts w:cs="Arial"/>
                <w:szCs w:val="20"/>
              </w:rPr>
            </w:pPr>
            <w:r w:rsidRPr="00F25E60">
              <w:rPr>
                <w:rFonts w:cs="Arial"/>
                <w:szCs w:val="20"/>
              </w:rPr>
              <w:t>***)  Pod warunkiem, gdy zawartość w mieszance nie przekracza 50% m/m</w:t>
            </w:r>
          </w:p>
        </w:tc>
      </w:tr>
    </w:tbl>
    <w:p w14:paraId="7BCBEA3A" w14:textId="77777777" w:rsidR="00F25E60" w:rsidRPr="00F25E60" w:rsidRDefault="00F25E60" w:rsidP="00F25E60">
      <w:pPr>
        <w:spacing w:line="240" w:lineRule="auto"/>
        <w:rPr>
          <w:rFonts w:cs="Arial"/>
          <w:szCs w:val="20"/>
        </w:rPr>
      </w:pPr>
    </w:p>
    <w:p w14:paraId="58E5AA6E" w14:textId="77777777" w:rsidR="00F25E60" w:rsidRPr="00F25E60" w:rsidRDefault="00F25E60" w:rsidP="00F25E60">
      <w:pPr>
        <w:pStyle w:val="Bezodstpw"/>
        <w:spacing w:after="120"/>
        <w:rPr>
          <w:rFonts w:cs="Arial"/>
          <w:szCs w:val="20"/>
        </w:rPr>
      </w:pPr>
      <w:r w:rsidRPr="00F25E60">
        <w:rPr>
          <w:rFonts w:cs="Arial"/>
          <w:b/>
          <w:szCs w:val="20"/>
        </w:rPr>
        <w:t xml:space="preserve">2.2.4. </w:t>
      </w:r>
      <w:r w:rsidRPr="00F25E60">
        <w:rPr>
          <w:rFonts w:cs="Arial"/>
          <w:szCs w:val="20"/>
        </w:rPr>
        <w:t>Woda do zraszania kruszywa</w:t>
      </w:r>
    </w:p>
    <w:p w14:paraId="7DC8256F" w14:textId="77777777" w:rsidR="00F25E60" w:rsidRPr="00F25E60" w:rsidRDefault="00F25E60" w:rsidP="00F25E60">
      <w:pPr>
        <w:pStyle w:val="Bezodstpw"/>
        <w:rPr>
          <w:rFonts w:cs="Arial"/>
          <w:szCs w:val="20"/>
        </w:rPr>
      </w:pPr>
      <w:r w:rsidRPr="00F25E60">
        <w:rPr>
          <w:rFonts w:cs="Arial"/>
          <w:szCs w:val="20"/>
        </w:rPr>
        <w:tab/>
        <w:t>Do zraszania kruszywa należy stosować wodę nie zawierającą składników wpływających szkodliwie na mieszankę kruszywa, ale umożliwiającą właściwe zagęszczenie mieszanki niezwiązanej.</w:t>
      </w:r>
    </w:p>
    <w:p w14:paraId="02510D9C" w14:textId="77777777" w:rsidR="00F25E60" w:rsidRPr="00F25E60" w:rsidRDefault="00F25E60" w:rsidP="00F25E60">
      <w:pPr>
        <w:pStyle w:val="Nagwek1"/>
        <w:spacing w:line="240" w:lineRule="auto"/>
        <w:rPr>
          <w:rFonts w:cs="Arial"/>
          <w:szCs w:val="20"/>
        </w:rPr>
      </w:pPr>
      <w:bookmarkStart w:id="905" w:name="_Toc348096808"/>
      <w:r w:rsidRPr="00F25E60">
        <w:rPr>
          <w:rFonts w:cs="Arial"/>
          <w:szCs w:val="20"/>
        </w:rPr>
        <w:t>3. Sprzęt</w:t>
      </w:r>
      <w:bookmarkEnd w:id="905"/>
    </w:p>
    <w:p w14:paraId="7A83DDEE" w14:textId="77777777" w:rsidR="00F25E60" w:rsidRPr="00F25E60" w:rsidRDefault="00F25E60" w:rsidP="00F25E60">
      <w:pPr>
        <w:pStyle w:val="Nagwek2"/>
        <w:numPr>
          <w:ilvl w:val="12"/>
          <w:numId w:val="0"/>
        </w:numPr>
        <w:spacing w:line="240" w:lineRule="auto"/>
        <w:rPr>
          <w:rFonts w:cs="Arial"/>
          <w:szCs w:val="20"/>
        </w:rPr>
      </w:pPr>
      <w:r w:rsidRPr="00F25E60">
        <w:rPr>
          <w:rFonts w:cs="Arial"/>
          <w:szCs w:val="20"/>
        </w:rPr>
        <w:t>3.1. Ogólne wymagania dotyczące sprzętu</w:t>
      </w:r>
    </w:p>
    <w:p w14:paraId="2FE5DF83" w14:textId="77777777" w:rsidR="00F25E60" w:rsidRPr="00F25E60" w:rsidRDefault="00F25E60" w:rsidP="00F25E60">
      <w:pPr>
        <w:numPr>
          <w:ilvl w:val="12"/>
          <w:numId w:val="0"/>
        </w:numPr>
        <w:spacing w:line="240" w:lineRule="auto"/>
        <w:rPr>
          <w:rFonts w:cs="Arial"/>
          <w:szCs w:val="20"/>
        </w:rPr>
      </w:pPr>
      <w:r w:rsidRPr="00F25E60">
        <w:rPr>
          <w:rFonts w:cs="Arial"/>
          <w:szCs w:val="20"/>
        </w:rPr>
        <w:tab/>
        <w:t>Ogólne wymagania dotyczące sprzętu podano w OST  D-M-00.00.00 „Wymagania ogólne” [1], pkt 3.</w:t>
      </w:r>
    </w:p>
    <w:p w14:paraId="20BC6C4C" w14:textId="77777777" w:rsidR="00F25E60" w:rsidRPr="00F25E60" w:rsidRDefault="00F25E60" w:rsidP="00F25E60">
      <w:pPr>
        <w:pStyle w:val="Nagwek2"/>
        <w:spacing w:line="240" w:lineRule="auto"/>
        <w:rPr>
          <w:rFonts w:cs="Arial"/>
          <w:szCs w:val="20"/>
        </w:rPr>
      </w:pPr>
      <w:r w:rsidRPr="00F25E60">
        <w:rPr>
          <w:rFonts w:cs="Arial"/>
          <w:szCs w:val="20"/>
        </w:rPr>
        <w:t>3.2. Sprzęt stosowany do wykonania robót</w:t>
      </w:r>
    </w:p>
    <w:p w14:paraId="779372ED" w14:textId="77777777" w:rsidR="00F25E60" w:rsidRPr="00F25E60" w:rsidRDefault="00F25E60" w:rsidP="00F25E60">
      <w:pPr>
        <w:spacing w:line="240" w:lineRule="auto"/>
        <w:rPr>
          <w:rFonts w:cs="Arial"/>
          <w:szCs w:val="20"/>
        </w:rPr>
      </w:pPr>
      <w:r w:rsidRPr="00F25E60">
        <w:rPr>
          <w:rFonts w:cs="Arial"/>
          <w:szCs w:val="20"/>
        </w:rPr>
        <w:tab/>
        <w:t>Przy wykonywaniu robót Wykonawca w zależności od potrzeb, powinien wykazać się możliwością korzystania ze sprzętu dostosowanego do przyjętej metody robót, jak:</w:t>
      </w:r>
    </w:p>
    <w:p w14:paraId="6EACEDB3" w14:textId="77777777" w:rsidR="00F25E60" w:rsidRPr="00F25E60" w:rsidRDefault="00F25E60" w:rsidP="00CF1E7D">
      <w:pPr>
        <w:numPr>
          <w:ilvl w:val="0"/>
          <w:numId w:val="100"/>
        </w:numPr>
        <w:overflowPunct w:val="0"/>
        <w:autoSpaceDE w:val="0"/>
        <w:autoSpaceDN w:val="0"/>
        <w:adjustRightInd w:val="0"/>
        <w:spacing w:line="240" w:lineRule="auto"/>
        <w:jc w:val="both"/>
        <w:textAlignment w:val="baseline"/>
        <w:rPr>
          <w:rFonts w:cs="Arial"/>
          <w:szCs w:val="20"/>
        </w:rPr>
      </w:pPr>
      <w:r w:rsidRPr="00F25E60">
        <w:rPr>
          <w:rFonts w:cs="Arial"/>
          <w:szCs w:val="20"/>
        </w:rPr>
        <w:t>mieszarki do wytwarzania mieszanki kruszywa, wyposażone w urządzenia dozujące wodę, które powinny zapewnić wytworzenie jednorodnej mieszanki o wilgotności optymalnej,</w:t>
      </w:r>
    </w:p>
    <w:p w14:paraId="7B27D2C0" w14:textId="77777777" w:rsidR="00F25E60" w:rsidRPr="00F25E60" w:rsidRDefault="00F25E60" w:rsidP="00CF1E7D">
      <w:pPr>
        <w:numPr>
          <w:ilvl w:val="0"/>
          <w:numId w:val="100"/>
        </w:numPr>
        <w:overflowPunct w:val="0"/>
        <w:autoSpaceDE w:val="0"/>
        <w:autoSpaceDN w:val="0"/>
        <w:adjustRightInd w:val="0"/>
        <w:spacing w:line="240" w:lineRule="auto"/>
        <w:jc w:val="both"/>
        <w:textAlignment w:val="baseline"/>
        <w:rPr>
          <w:rFonts w:cs="Arial"/>
          <w:szCs w:val="20"/>
        </w:rPr>
      </w:pPr>
      <w:r w:rsidRPr="00F25E60">
        <w:rPr>
          <w:rFonts w:cs="Arial"/>
          <w:szCs w:val="20"/>
        </w:rPr>
        <w:t>układarki lub równiarki do rozkładania mieszanki kruszywa niezwiązanego,</w:t>
      </w:r>
    </w:p>
    <w:p w14:paraId="41CD1127" w14:textId="77777777" w:rsidR="00F25E60" w:rsidRPr="00F25E60" w:rsidRDefault="00F25E60" w:rsidP="00CF1E7D">
      <w:pPr>
        <w:numPr>
          <w:ilvl w:val="0"/>
          <w:numId w:val="100"/>
        </w:numPr>
        <w:overflowPunct w:val="0"/>
        <w:autoSpaceDE w:val="0"/>
        <w:autoSpaceDN w:val="0"/>
        <w:adjustRightInd w:val="0"/>
        <w:spacing w:line="240" w:lineRule="auto"/>
        <w:jc w:val="both"/>
        <w:textAlignment w:val="baseline"/>
        <w:rPr>
          <w:rFonts w:cs="Arial"/>
          <w:szCs w:val="20"/>
        </w:rPr>
      </w:pPr>
      <w:r w:rsidRPr="00F25E60">
        <w:rPr>
          <w:rFonts w:cs="Arial"/>
          <w:szCs w:val="20"/>
        </w:rPr>
        <w:t>walce ogumione i stalowe wibracyjne lub statyczne do zagęszczania mieszanki,</w:t>
      </w:r>
    </w:p>
    <w:p w14:paraId="7317D351" w14:textId="77777777" w:rsidR="00F25E60" w:rsidRPr="00F25E60" w:rsidRDefault="00F25E60" w:rsidP="00CF1E7D">
      <w:pPr>
        <w:numPr>
          <w:ilvl w:val="0"/>
          <w:numId w:val="100"/>
        </w:numPr>
        <w:overflowPunct w:val="0"/>
        <w:autoSpaceDE w:val="0"/>
        <w:autoSpaceDN w:val="0"/>
        <w:adjustRightInd w:val="0"/>
        <w:spacing w:line="240" w:lineRule="auto"/>
        <w:jc w:val="both"/>
        <w:textAlignment w:val="baseline"/>
        <w:rPr>
          <w:rFonts w:cs="Arial"/>
          <w:szCs w:val="20"/>
        </w:rPr>
      </w:pPr>
      <w:r w:rsidRPr="00F25E60">
        <w:rPr>
          <w:rFonts w:cs="Arial"/>
          <w:szCs w:val="20"/>
        </w:rPr>
        <w:t>zagęszczarki płytowe, ubijaki mechaniczne lub małe walce wibracyjne, do stosowania w miejscach trudno dostępnych.</w:t>
      </w:r>
    </w:p>
    <w:p w14:paraId="7412B592" w14:textId="77777777" w:rsidR="00F25E60" w:rsidRPr="00F25E60" w:rsidRDefault="00F25E60" w:rsidP="00F25E60">
      <w:pPr>
        <w:spacing w:line="240" w:lineRule="auto"/>
        <w:ind w:firstLine="709"/>
        <w:rPr>
          <w:rFonts w:cs="Arial"/>
          <w:szCs w:val="20"/>
        </w:rPr>
      </w:pPr>
      <w:r w:rsidRPr="00F25E60">
        <w:rPr>
          <w:rFonts w:cs="Arial"/>
          <w:szCs w:val="20"/>
        </w:rPr>
        <w:t>Sprzęt powinien odpowiadać wymaganiom określonym w dokumentacji projektowej, ST, instrukcjach producentów lub propozycji Wykonawcy i powinien być zaakceptowany przez Inżyniera.</w:t>
      </w:r>
    </w:p>
    <w:p w14:paraId="0CCC98A7" w14:textId="77777777" w:rsidR="00F25E60" w:rsidRPr="00F25E60" w:rsidRDefault="00F25E60" w:rsidP="00F25E60">
      <w:pPr>
        <w:pStyle w:val="Nagwek1"/>
        <w:spacing w:line="240" w:lineRule="auto"/>
        <w:rPr>
          <w:rFonts w:cs="Arial"/>
          <w:szCs w:val="20"/>
        </w:rPr>
      </w:pPr>
      <w:bookmarkStart w:id="906" w:name="_Toc348096809"/>
      <w:r w:rsidRPr="00F25E60">
        <w:rPr>
          <w:rFonts w:cs="Arial"/>
          <w:szCs w:val="20"/>
        </w:rPr>
        <w:t>4. Transport</w:t>
      </w:r>
      <w:bookmarkEnd w:id="906"/>
    </w:p>
    <w:p w14:paraId="200906D4" w14:textId="77777777" w:rsidR="00F25E60" w:rsidRPr="00F25E60" w:rsidRDefault="00F25E60" w:rsidP="00F25E60">
      <w:pPr>
        <w:pStyle w:val="Nagwek2"/>
        <w:spacing w:line="240" w:lineRule="auto"/>
        <w:rPr>
          <w:rFonts w:cs="Arial"/>
          <w:szCs w:val="20"/>
        </w:rPr>
      </w:pPr>
      <w:r w:rsidRPr="00F25E60">
        <w:rPr>
          <w:rFonts w:cs="Arial"/>
          <w:szCs w:val="20"/>
        </w:rPr>
        <w:t xml:space="preserve">4.1. Ogólne wymagania dotyczące transportu </w:t>
      </w:r>
    </w:p>
    <w:p w14:paraId="1557A36C" w14:textId="77777777" w:rsidR="00F25E60" w:rsidRPr="00F25E60" w:rsidRDefault="00F25E60" w:rsidP="00F25E60">
      <w:pPr>
        <w:tabs>
          <w:tab w:val="left" w:pos="284"/>
          <w:tab w:val="right" w:leader="dot" w:pos="8505"/>
        </w:tabs>
        <w:spacing w:line="240" w:lineRule="auto"/>
        <w:rPr>
          <w:rFonts w:cs="Arial"/>
          <w:szCs w:val="20"/>
        </w:rPr>
      </w:pPr>
      <w:r w:rsidRPr="00F25E60">
        <w:rPr>
          <w:rFonts w:cs="Arial"/>
          <w:szCs w:val="20"/>
        </w:rPr>
        <w:tab/>
        <w:t xml:space="preserve">     Ogólne wymagania dotyczące transportu podano w OST D-M-00.00.00 „Wymagania ogólne” [1],  pkt 4.</w:t>
      </w:r>
    </w:p>
    <w:p w14:paraId="5E2526BF" w14:textId="77777777" w:rsidR="00F25E60" w:rsidRPr="00F25E60" w:rsidRDefault="00F25E60" w:rsidP="00F25E60">
      <w:pPr>
        <w:pStyle w:val="Nagwek2"/>
        <w:spacing w:line="240" w:lineRule="auto"/>
        <w:rPr>
          <w:rFonts w:cs="Arial"/>
          <w:szCs w:val="20"/>
        </w:rPr>
      </w:pPr>
      <w:r w:rsidRPr="00F25E60">
        <w:rPr>
          <w:rFonts w:cs="Arial"/>
          <w:szCs w:val="20"/>
        </w:rPr>
        <w:t>4.2. Transport materiałów</w:t>
      </w:r>
    </w:p>
    <w:p w14:paraId="524C5649" w14:textId="77777777" w:rsidR="00F25E60" w:rsidRPr="00F25E60" w:rsidRDefault="00F25E60" w:rsidP="00F25E60">
      <w:pPr>
        <w:spacing w:line="240" w:lineRule="auto"/>
        <w:rPr>
          <w:rFonts w:cs="Arial"/>
          <w:szCs w:val="20"/>
        </w:rPr>
      </w:pPr>
      <w:r w:rsidRPr="00F25E60">
        <w:rPr>
          <w:rFonts w:cs="Arial"/>
          <w:szCs w:val="20"/>
        </w:rPr>
        <w:tab/>
        <w:t>Materiały sypkie (kruszywa) można przewozić dowolnymi środkami transportu, w warunkach zabezpieczających je przed  zanieczyszczeniem, zmieszaniem z innymi materiałami i nadmiernym zawilgoceniem.</w:t>
      </w:r>
    </w:p>
    <w:p w14:paraId="559713BF" w14:textId="77777777" w:rsidR="00F25E60" w:rsidRPr="00F25E60" w:rsidRDefault="00F25E60" w:rsidP="00F25E60">
      <w:pPr>
        <w:spacing w:line="240" w:lineRule="auto"/>
        <w:rPr>
          <w:rFonts w:cs="Arial"/>
          <w:szCs w:val="20"/>
        </w:rPr>
      </w:pPr>
      <w:r w:rsidRPr="00F25E60">
        <w:rPr>
          <w:rFonts w:cs="Arial"/>
          <w:szCs w:val="20"/>
        </w:rPr>
        <w:tab/>
        <w:t>Woda może być dostarczana wodociągiem lub przewoźnymi zbiornikami wody.</w:t>
      </w:r>
    </w:p>
    <w:p w14:paraId="1FDD6F70" w14:textId="77777777" w:rsidR="00F25E60" w:rsidRPr="00F25E60" w:rsidRDefault="00F25E60" w:rsidP="00F25E60">
      <w:pPr>
        <w:pStyle w:val="Nagwek1"/>
        <w:spacing w:line="240" w:lineRule="auto"/>
        <w:rPr>
          <w:rFonts w:cs="Arial"/>
          <w:szCs w:val="20"/>
        </w:rPr>
      </w:pPr>
      <w:bookmarkStart w:id="907" w:name="_Toc348096810"/>
      <w:r w:rsidRPr="00F25E60">
        <w:rPr>
          <w:rFonts w:cs="Arial"/>
          <w:szCs w:val="20"/>
        </w:rPr>
        <w:t>5. Wykonanie robót</w:t>
      </w:r>
      <w:bookmarkEnd w:id="907"/>
    </w:p>
    <w:p w14:paraId="0D08E87E" w14:textId="77777777" w:rsidR="00F25E60" w:rsidRPr="00F25E60" w:rsidRDefault="00F25E60" w:rsidP="00F25E60">
      <w:pPr>
        <w:pStyle w:val="Nagwek2"/>
        <w:spacing w:line="240" w:lineRule="auto"/>
        <w:rPr>
          <w:rFonts w:cs="Arial"/>
          <w:szCs w:val="20"/>
        </w:rPr>
      </w:pPr>
      <w:r w:rsidRPr="00F25E60">
        <w:rPr>
          <w:rFonts w:cs="Arial"/>
          <w:szCs w:val="20"/>
        </w:rPr>
        <w:t>5.1. Ogólne zasady wykonania robót</w:t>
      </w:r>
    </w:p>
    <w:p w14:paraId="29CBE438" w14:textId="77777777" w:rsidR="00F25E60" w:rsidRPr="00F25E60" w:rsidRDefault="00F25E60" w:rsidP="00F25E60">
      <w:pPr>
        <w:tabs>
          <w:tab w:val="left" w:pos="0"/>
          <w:tab w:val="left" w:pos="567"/>
          <w:tab w:val="left" w:pos="851"/>
          <w:tab w:val="right" w:leader="dot" w:pos="8505"/>
        </w:tabs>
        <w:spacing w:line="240" w:lineRule="auto"/>
        <w:rPr>
          <w:rFonts w:cs="Arial"/>
          <w:szCs w:val="20"/>
        </w:rPr>
      </w:pPr>
      <w:r w:rsidRPr="00F25E60">
        <w:rPr>
          <w:rFonts w:cs="Arial"/>
          <w:szCs w:val="20"/>
        </w:rPr>
        <w:tab/>
        <w:t xml:space="preserve">     Ogólne zasady wykonania robót podano w OST D-M-00.00.00 „Wymagania ogólne” [1], pkt 5.</w:t>
      </w:r>
    </w:p>
    <w:p w14:paraId="0DFF05E6" w14:textId="77777777" w:rsidR="00F25E60" w:rsidRPr="00F25E60" w:rsidRDefault="00F25E60" w:rsidP="00F25E60">
      <w:pPr>
        <w:pStyle w:val="Nagwek2"/>
        <w:spacing w:line="240" w:lineRule="auto"/>
        <w:rPr>
          <w:rFonts w:cs="Arial"/>
          <w:szCs w:val="20"/>
        </w:rPr>
      </w:pPr>
      <w:r w:rsidRPr="00F25E60">
        <w:rPr>
          <w:rFonts w:cs="Arial"/>
          <w:szCs w:val="20"/>
        </w:rPr>
        <w:t>5.2. Zasady wykonywania robót</w:t>
      </w:r>
    </w:p>
    <w:p w14:paraId="0B91FBF6" w14:textId="77777777" w:rsidR="00F25E60" w:rsidRPr="00F25E60" w:rsidRDefault="00F25E60" w:rsidP="00F25E60">
      <w:pPr>
        <w:spacing w:line="240" w:lineRule="auto"/>
        <w:ind w:firstLine="709"/>
        <w:rPr>
          <w:rFonts w:cs="Arial"/>
          <w:szCs w:val="20"/>
        </w:rPr>
      </w:pPr>
      <w:r w:rsidRPr="00F25E60">
        <w:rPr>
          <w:rFonts w:cs="Arial"/>
          <w:szCs w:val="20"/>
        </w:rPr>
        <w:t>Sposób wykonania robót powinien być zgodny z dokumentacją projektową i ST. W przypadku braku wystarczających danych można korzystać z ustaleń podanych w niniejszej specyfikacji oraz z informacji podanych w załącznikach.</w:t>
      </w:r>
    </w:p>
    <w:p w14:paraId="7A7BB0B4" w14:textId="77777777" w:rsidR="00F25E60" w:rsidRPr="00F25E60" w:rsidRDefault="00F25E60" w:rsidP="00F25E60">
      <w:pPr>
        <w:spacing w:line="240" w:lineRule="auto"/>
        <w:rPr>
          <w:rFonts w:cs="Arial"/>
          <w:szCs w:val="20"/>
        </w:rPr>
      </w:pPr>
      <w:r w:rsidRPr="00F25E60">
        <w:rPr>
          <w:rFonts w:cs="Arial"/>
          <w:szCs w:val="20"/>
        </w:rPr>
        <w:tab/>
        <w:t>Podstawowe czynności przy wykonaniu robót obejmują:</w:t>
      </w:r>
    </w:p>
    <w:p w14:paraId="7636ED43" w14:textId="77777777" w:rsidR="00F25E60" w:rsidRPr="00F25E60" w:rsidRDefault="00F25E60" w:rsidP="00F25E60">
      <w:pPr>
        <w:numPr>
          <w:ilvl w:val="0"/>
          <w:numId w:val="79"/>
        </w:numPr>
        <w:overflowPunct w:val="0"/>
        <w:autoSpaceDE w:val="0"/>
        <w:autoSpaceDN w:val="0"/>
        <w:adjustRightInd w:val="0"/>
        <w:spacing w:line="240" w:lineRule="auto"/>
        <w:jc w:val="both"/>
        <w:textAlignment w:val="baseline"/>
        <w:rPr>
          <w:rFonts w:cs="Arial"/>
          <w:szCs w:val="20"/>
        </w:rPr>
      </w:pPr>
      <w:r w:rsidRPr="00F25E60">
        <w:rPr>
          <w:rFonts w:cs="Arial"/>
          <w:szCs w:val="20"/>
        </w:rPr>
        <w:t xml:space="preserve">roboty przygotowawcze, </w:t>
      </w:r>
    </w:p>
    <w:p w14:paraId="3439178E" w14:textId="77777777" w:rsidR="00F25E60" w:rsidRPr="00F25E60" w:rsidRDefault="00F25E60" w:rsidP="00F25E60">
      <w:pPr>
        <w:numPr>
          <w:ilvl w:val="0"/>
          <w:numId w:val="79"/>
        </w:numPr>
        <w:overflowPunct w:val="0"/>
        <w:autoSpaceDE w:val="0"/>
        <w:autoSpaceDN w:val="0"/>
        <w:adjustRightInd w:val="0"/>
        <w:spacing w:line="240" w:lineRule="auto"/>
        <w:jc w:val="both"/>
        <w:textAlignment w:val="baseline"/>
        <w:rPr>
          <w:rFonts w:cs="Arial"/>
          <w:szCs w:val="20"/>
        </w:rPr>
      </w:pPr>
      <w:r w:rsidRPr="00F25E60">
        <w:rPr>
          <w:rFonts w:cs="Arial"/>
          <w:szCs w:val="20"/>
        </w:rPr>
        <w:t>projektowanie mieszanki,</w:t>
      </w:r>
    </w:p>
    <w:p w14:paraId="0D4971F0" w14:textId="77777777" w:rsidR="00F25E60" w:rsidRPr="00F25E60" w:rsidRDefault="00F25E60" w:rsidP="00F25E60">
      <w:pPr>
        <w:numPr>
          <w:ilvl w:val="0"/>
          <w:numId w:val="79"/>
        </w:numPr>
        <w:overflowPunct w:val="0"/>
        <w:autoSpaceDE w:val="0"/>
        <w:autoSpaceDN w:val="0"/>
        <w:adjustRightInd w:val="0"/>
        <w:spacing w:line="240" w:lineRule="auto"/>
        <w:jc w:val="both"/>
        <w:textAlignment w:val="baseline"/>
        <w:rPr>
          <w:rFonts w:cs="Arial"/>
          <w:szCs w:val="20"/>
        </w:rPr>
      </w:pPr>
      <w:r w:rsidRPr="00F25E60">
        <w:rPr>
          <w:rFonts w:cs="Arial"/>
          <w:szCs w:val="20"/>
        </w:rPr>
        <w:t>odcinek próbny,</w:t>
      </w:r>
    </w:p>
    <w:p w14:paraId="55A4C560" w14:textId="77777777" w:rsidR="00F25E60" w:rsidRPr="00F25E60" w:rsidRDefault="00F25E60" w:rsidP="00F25E60">
      <w:pPr>
        <w:numPr>
          <w:ilvl w:val="0"/>
          <w:numId w:val="79"/>
        </w:numPr>
        <w:overflowPunct w:val="0"/>
        <w:autoSpaceDE w:val="0"/>
        <w:autoSpaceDN w:val="0"/>
        <w:adjustRightInd w:val="0"/>
        <w:spacing w:line="240" w:lineRule="auto"/>
        <w:jc w:val="both"/>
        <w:textAlignment w:val="baseline"/>
        <w:rPr>
          <w:rFonts w:cs="Arial"/>
          <w:szCs w:val="20"/>
        </w:rPr>
      </w:pPr>
      <w:r w:rsidRPr="00F25E60">
        <w:rPr>
          <w:rFonts w:cs="Arial"/>
          <w:szCs w:val="20"/>
        </w:rPr>
        <w:t>wbudowanie mieszanki,</w:t>
      </w:r>
    </w:p>
    <w:p w14:paraId="2D34CEC4" w14:textId="77777777" w:rsidR="00F25E60" w:rsidRPr="00F25E60" w:rsidRDefault="00F25E60" w:rsidP="00F25E60">
      <w:pPr>
        <w:numPr>
          <w:ilvl w:val="0"/>
          <w:numId w:val="79"/>
        </w:numPr>
        <w:overflowPunct w:val="0"/>
        <w:autoSpaceDE w:val="0"/>
        <w:autoSpaceDN w:val="0"/>
        <w:adjustRightInd w:val="0"/>
        <w:spacing w:line="240" w:lineRule="auto"/>
        <w:jc w:val="both"/>
        <w:textAlignment w:val="baseline"/>
        <w:rPr>
          <w:rFonts w:cs="Arial"/>
          <w:szCs w:val="20"/>
        </w:rPr>
      </w:pPr>
      <w:r w:rsidRPr="00F25E60">
        <w:rPr>
          <w:rFonts w:cs="Arial"/>
          <w:szCs w:val="20"/>
        </w:rPr>
        <w:t>roboty wykończeniowe.</w:t>
      </w:r>
    </w:p>
    <w:p w14:paraId="5DECF557" w14:textId="77777777" w:rsidR="00F25E60" w:rsidRPr="00F25E60" w:rsidRDefault="00F25E60" w:rsidP="00F25E60">
      <w:pPr>
        <w:pStyle w:val="Nagwek2"/>
        <w:spacing w:line="240" w:lineRule="auto"/>
        <w:rPr>
          <w:rFonts w:cs="Arial"/>
          <w:szCs w:val="20"/>
        </w:rPr>
      </w:pPr>
      <w:r w:rsidRPr="00F25E60">
        <w:rPr>
          <w:rFonts w:cs="Arial"/>
          <w:szCs w:val="20"/>
        </w:rPr>
        <w:t>5.3. Roboty przygotowawcze</w:t>
      </w:r>
    </w:p>
    <w:p w14:paraId="668CF706" w14:textId="77777777" w:rsidR="00F25E60" w:rsidRPr="00F25E60" w:rsidRDefault="00F25E60" w:rsidP="00F25E60">
      <w:pPr>
        <w:spacing w:line="240" w:lineRule="auto"/>
        <w:rPr>
          <w:rFonts w:cs="Arial"/>
          <w:szCs w:val="20"/>
        </w:rPr>
      </w:pPr>
      <w:r w:rsidRPr="00F25E60">
        <w:rPr>
          <w:rFonts w:cs="Arial"/>
          <w:szCs w:val="20"/>
        </w:rPr>
        <w:tab/>
        <w:t>Przed przystąpieniem do robót należy, na podstawie dokumentacji projektowej,  ST lub wskazań Inżyniera:</w:t>
      </w:r>
    </w:p>
    <w:p w14:paraId="48ED9B03" w14:textId="77777777" w:rsidR="00F25E60" w:rsidRPr="00F25E60" w:rsidRDefault="00F25E60" w:rsidP="00F25E60">
      <w:pPr>
        <w:numPr>
          <w:ilvl w:val="0"/>
          <w:numId w:val="80"/>
        </w:numPr>
        <w:overflowPunct w:val="0"/>
        <w:autoSpaceDE w:val="0"/>
        <w:autoSpaceDN w:val="0"/>
        <w:adjustRightInd w:val="0"/>
        <w:spacing w:line="240" w:lineRule="auto"/>
        <w:jc w:val="both"/>
        <w:textAlignment w:val="baseline"/>
        <w:rPr>
          <w:rFonts w:cs="Arial"/>
          <w:szCs w:val="20"/>
        </w:rPr>
      </w:pPr>
      <w:r w:rsidRPr="00F25E60">
        <w:rPr>
          <w:rFonts w:cs="Arial"/>
          <w:szCs w:val="20"/>
        </w:rPr>
        <w:t>ustalić lokalizację robót,</w:t>
      </w:r>
    </w:p>
    <w:p w14:paraId="5E60A944" w14:textId="77777777" w:rsidR="00F25E60" w:rsidRPr="00F25E60" w:rsidRDefault="00F25E60" w:rsidP="00F25E60">
      <w:pPr>
        <w:numPr>
          <w:ilvl w:val="0"/>
          <w:numId w:val="80"/>
        </w:numPr>
        <w:overflowPunct w:val="0"/>
        <w:autoSpaceDE w:val="0"/>
        <w:autoSpaceDN w:val="0"/>
        <w:adjustRightInd w:val="0"/>
        <w:spacing w:line="240" w:lineRule="auto"/>
        <w:jc w:val="both"/>
        <w:textAlignment w:val="baseline"/>
        <w:rPr>
          <w:rFonts w:cs="Arial"/>
          <w:szCs w:val="20"/>
        </w:rPr>
      </w:pPr>
      <w:r w:rsidRPr="00F25E60">
        <w:rPr>
          <w:rFonts w:cs="Arial"/>
          <w:szCs w:val="20"/>
        </w:rPr>
        <w:t>przeprowadzić obliczenia i pomiary niezbędne do szczegółowego wytyczenia robót oraz ustalenia danych wysokościowych,</w:t>
      </w:r>
    </w:p>
    <w:p w14:paraId="3D4A741D" w14:textId="77777777" w:rsidR="00F25E60" w:rsidRPr="00F25E60" w:rsidRDefault="00F25E60" w:rsidP="00F25E60">
      <w:pPr>
        <w:numPr>
          <w:ilvl w:val="0"/>
          <w:numId w:val="80"/>
        </w:numPr>
        <w:overflowPunct w:val="0"/>
        <w:autoSpaceDE w:val="0"/>
        <w:autoSpaceDN w:val="0"/>
        <w:adjustRightInd w:val="0"/>
        <w:spacing w:line="240" w:lineRule="auto"/>
        <w:jc w:val="both"/>
        <w:textAlignment w:val="baseline"/>
        <w:rPr>
          <w:rFonts w:cs="Arial"/>
          <w:szCs w:val="20"/>
        </w:rPr>
      </w:pPr>
      <w:r w:rsidRPr="00F25E60">
        <w:rPr>
          <w:rFonts w:cs="Arial"/>
          <w:szCs w:val="20"/>
        </w:rPr>
        <w:t>usunąć przeszkody utrudniające wykonanie robót,</w:t>
      </w:r>
    </w:p>
    <w:p w14:paraId="6C555147" w14:textId="77777777" w:rsidR="00F25E60" w:rsidRPr="00F25E60" w:rsidRDefault="00F25E60" w:rsidP="00F25E60">
      <w:pPr>
        <w:numPr>
          <w:ilvl w:val="0"/>
          <w:numId w:val="80"/>
        </w:numPr>
        <w:overflowPunct w:val="0"/>
        <w:autoSpaceDE w:val="0"/>
        <w:autoSpaceDN w:val="0"/>
        <w:adjustRightInd w:val="0"/>
        <w:spacing w:line="240" w:lineRule="auto"/>
        <w:jc w:val="both"/>
        <w:textAlignment w:val="baseline"/>
        <w:rPr>
          <w:rFonts w:cs="Arial"/>
          <w:szCs w:val="20"/>
        </w:rPr>
      </w:pPr>
      <w:r w:rsidRPr="00F25E60">
        <w:rPr>
          <w:rFonts w:cs="Arial"/>
          <w:szCs w:val="20"/>
        </w:rPr>
        <w:t>wprowadzić oznakowanie drogi na okres robót,</w:t>
      </w:r>
    </w:p>
    <w:p w14:paraId="201BFB58" w14:textId="77777777" w:rsidR="00F25E60" w:rsidRPr="00F25E60" w:rsidRDefault="00F25E60" w:rsidP="00F25E60">
      <w:pPr>
        <w:numPr>
          <w:ilvl w:val="0"/>
          <w:numId w:val="80"/>
        </w:numPr>
        <w:overflowPunct w:val="0"/>
        <w:autoSpaceDE w:val="0"/>
        <w:autoSpaceDN w:val="0"/>
        <w:adjustRightInd w:val="0"/>
        <w:spacing w:line="240" w:lineRule="auto"/>
        <w:jc w:val="both"/>
        <w:textAlignment w:val="baseline"/>
        <w:rPr>
          <w:rFonts w:cs="Arial"/>
          <w:szCs w:val="20"/>
        </w:rPr>
      </w:pPr>
      <w:r w:rsidRPr="00F25E60">
        <w:rPr>
          <w:rFonts w:cs="Arial"/>
          <w:szCs w:val="20"/>
        </w:rPr>
        <w:lastRenderedPageBreak/>
        <w:t>zgromadzić materiały i sprzęt potrzebne do rozpoczęcia robót.</w:t>
      </w:r>
    </w:p>
    <w:p w14:paraId="6C861DD5" w14:textId="69FE57FE" w:rsidR="00F25E60" w:rsidRPr="00F25E60" w:rsidRDefault="00F25E60" w:rsidP="00F25E60">
      <w:pPr>
        <w:spacing w:line="240" w:lineRule="auto"/>
        <w:ind w:firstLine="709"/>
        <w:rPr>
          <w:rFonts w:cs="Arial"/>
          <w:szCs w:val="20"/>
        </w:rPr>
      </w:pPr>
      <w:r w:rsidRPr="00F25E60">
        <w:rPr>
          <w:rFonts w:cs="Arial"/>
          <w:szCs w:val="20"/>
        </w:rPr>
        <w:t xml:space="preserve">Można dodatkowo korzystać z </w:t>
      </w:r>
      <w:r w:rsidR="00C968CE">
        <w:rPr>
          <w:rFonts w:cs="Arial"/>
          <w:szCs w:val="20"/>
        </w:rPr>
        <w:t>S</w:t>
      </w:r>
      <w:r w:rsidRPr="00F25E60">
        <w:rPr>
          <w:rFonts w:cs="Arial"/>
          <w:szCs w:val="20"/>
        </w:rPr>
        <w:t xml:space="preserve">ST D-01.00.00 [2] przy robotach przygotowawczych oraz z OST D-02.00.00 [3] przy występowaniu robót ziemnych. </w:t>
      </w:r>
    </w:p>
    <w:p w14:paraId="70335D6D" w14:textId="77777777" w:rsidR="00F25E60" w:rsidRPr="00F25E60" w:rsidRDefault="00F25E60" w:rsidP="00F25E60">
      <w:pPr>
        <w:pStyle w:val="Nagwek2"/>
        <w:spacing w:line="240" w:lineRule="auto"/>
        <w:rPr>
          <w:rFonts w:cs="Arial"/>
          <w:szCs w:val="20"/>
        </w:rPr>
      </w:pPr>
      <w:r w:rsidRPr="00F25E60">
        <w:rPr>
          <w:rFonts w:cs="Arial"/>
          <w:szCs w:val="20"/>
        </w:rPr>
        <w:t>5.4. Projektowanie mieszanki kruszywa niezwiązanego</w:t>
      </w:r>
    </w:p>
    <w:p w14:paraId="7D9411E9" w14:textId="77777777" w:rsidR="00F25E60" w:rsidRPr="00F25E60" w:rsidRDefault="00F25E60" w:rsidP="00F25E60">
      <w:pPr>
        <w:spacing w:after="120" w:line="240" w:lineRule="auto"/>
        <w:rPr>
          <w:rFonts w:cs="Arial"/>
          <w:szCs w:val="20"/>
        </w:rPr>
      </w:pPr>
      <w:r w:rsidRPr="00F25E60">
        <w:rPr>
          <w:rFonts w:cs="Arial"/>
          <w:b/>
          <w:szCs w:val="20"/>
        </w:rPr>
        <w:t xml:space="preserve">5.4.1. </w:t>
      </w:r>
      <w:r w:rsidRPr="00F25E60">
        <w:rPr>
          <w:rFonts w:cs="Arial"/>
          <w:szCs w:val="20"/>
        </w:rPr>
        <w:t xml:space="preserve">Postanowienia ogólne </w:t>
      </w:r>
    </w:p>
    <w:p w14:paraId="34800677" w14:textId="77777777" w:rsidR="00F25E60" w:rsidRPr="00F25E60" w:rsidRDefault="00F25E60" w:rsidP="00F25E60">
      <w:pPr>
        <w:spacing w:line="240" w:lineRule="auto"/>
        <w:ind w:firstLine="709"/>
        <w:rPr>
          <w:rFonts w:cs="Arial"/>
          <w:szCs w:val="20"/>
        </w:rPr>
      </w:pPr>
      <w:r w:rsidRPr="00F25E60">
        <w:rPr>
          <w:rFonts w:cs="Arial"/>
          <w:szCs w:val="20"/>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2E84CF95" w14:textId="77777777" w:rsidR="00F25E60" w:rsidRPr="00F25E60" w:rsidRDefault="00F25E60" w:rsidP="00F25E60">
      <w:pPr>
        <w:spacing w:line="240" w:lineRule="auto"/>
        <w:rPr>
          <w:rFonts w:cs="Arial"/>
          <w:szCs w:val="20"/>
        </w:rPr>
      </w:pPr>
      <w:r w:rsidRPr="00F25E60">
        <w:rPr>
          <w:rFonts w:cs="Arial"/>
          <w:szCs w:val="20"/>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pomocniczej.</w:t>
      </w:r>
    </w:p>
    <w:p w14:paraId="381C647E" w14:textId="77777777" w:rsidR="00F25E60" w:rsidRPr="00F25E60" w:rsidRDefault="00F25E60" w:rsidP="00F25E60">
      <w:pPr>
        <w:spacing w:line="240" w:lineRule="auto"/>
        <w:rPr>
          <w:rFonts w:cs="Arial"/>
          <w:szCs w:val="20"/>
        </w:rPr>
      </w:pPr>
      <w:r w:rsidRPr="00F25E60">
        <w:rPr>
          <w:rFonts w:cs="Arial"/>
          <w:szCs w:val="20"/>
        </w:rPr>
        <w:tab/>
        <w:t>Skład mieszanki projektuje się zgodnie z wymaganiami wobec mieszanek niezwiązanych do podbudowy pomocniczej, określonych w tablicy 4. Wartości graniczne i tolerancje zawierają rozrzut wynikający z pobierania i dzielenia próbki, przedział ufności (precyzja w porównywalnych warunkach) oraz nierównomierności warunków wykonawczych.</w:t>
      </w:r>
    </w:p>
    <w:p w14:paraId="3447F5B0" w14:textId="77777777" w:rsidR="00F25E60" w:rsidRPr="00F25E60" w:rsidRDefault="00F25E60" w:rsidP="00F25E60">
      <w:pPr>
        <w:spacing w:line="240" w:lineRule="auto"/>
        <w:rPr>
          <w:rFonts w:cs="Arial"/>
          <w:szCs w:val="20"/>
        </w:rPr>
      </w:pPr>
      <w:r w:rsidRPr="00F25E60">
        <w:rPr>
          <w:rFonts w:cs="Arial"/>
          <w:szCs w:val="20"/>
        </w:rPr>
        <w:tab/>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47A93874" w14:textId="77777777" w:rsidR="00F25E60" w:rsidRPr="00F25E60" w:rsidRDefault="00F25E60" w:rsidP="00F25E60">
      <w:pPr>
        <w:spacing w:line="240" w:lineRule="auto"/>
        <w:rPr>
          <w:rFonts w:cs="Arial"/>
          <w:szCs w:val="20"/>
        </w:rPr>
      </w:pPr>
      <w:r w:rsidRPr="00F25E60">
        <w:rPr>
          <w:rFonts w:cs="Arial"/>
          <w:szCs w:val="20"/>
        </w:rPr>
        <w:tab/>
        <w:t>Przy projektowaniu mieszanek kruszyw z recyklingu można ustalać skład  mieszanek, wzorując się na przykładach podanych w załączniku 1.</w:t>
      </w:r>
    </w:p>
    <w:p w14:paraId="41E799F9" w14:textId="77777777" w:rsidR="00F25E60" w:rsidRPr="00F25E60" w:rsidRDefault="00F25E60" w:rsidP="00F25E60">
      <w:pPr>
        <w:spacing w:before="120" w:after="120" w:line="240" w:lineRule="auto"/>
        <w:rPr>
          <w:rFonts w:cs="Arial"/>
          <w:szCs w:val="20"/>
        </w:rPr>
      </w:pPr>
      <w:r w:rsidRPr="00F25E60">
        <w:rPr>
          <w:rFonts w:cs="Arial"/>
          <w:b/>
          <w:szCs w:val="20"/>
        </w:rPr>
        <w:t xml:space="preserve">5.4.2. </w:t>
      </w:r>
      <w:r w:rsidRPr="00F25E60">
        <w:rPr>
          <w:rFonts w:cs="Arial"/>
          <w:szCs w:val="20"/>
        </w:rPr>
        <w:t>Wymagania wobec mieszanek</w:t>
      </w:r>
    </w:p>
    <w:p w14:paraId="6D0ACB82" w14:textId="77777777" w:rsidR="00F25E60" w:rsidRPr="00F25E60" w:rsidRDefault="00F25E60" w:rsidP="00F25E60">
      <w:pPr>
        <w:spacing w:line="240" w:lineRule="auto"/>
        <w:rPr>
          <w:rFonts w:cs="Arial"/>
          <w:szCs w:val="20"/>
        </w:rPr>
      </w:pPr>
      <w:r w:rsidRPr="00F25E60">
        <w:rPr>
          <w:rFonts w:cs="Arial"/>
          <w:szCs w:val="20"/>
        </w:rPr>
        <w:tab/>
        <w:t>W warstwach podbudowy pomocniczej można stosować następujące mieszanki kruszyw:</w:t>
      </w:r>
    </w:p>
    <w:p w14:paraId="522E2333" w14:textId="77777777" w:rsidR="00F25E60" w:rsidRPr="00F25E60" w:rsidRDefault="00F25E60" w:rsidP="00CF1E7D">
      <w:pPr>
        <w:pStyle w:val="Bezodstpw"/>
        <w:numPr>
          <w:ilvl w:val="0"/>
          <w:numId w:val="101"/>
        </w:numPr>
        <w:tabs>
          <w:tab w:val="clear" w:pos="720"/>
          <w:tab w:val="num" w:pos="480"/>
        </w:tabs>
        <w:ind w:left="480" w:hanging="480"/>
        <w:jc w:val="both"/>
        <w:rPr>
          <w:rFonts w:cs="Arial"/>
          <w:szCs w:val="20"/>
        </w:rPr>
      </w:pPr>
      <w:r w:rsidRPr="00F25E60">
        <w:rPr>
          <w:rFonts w:cs="Arial"/>
          <w:szCs w:val="20"/>
        </w:rPr>
        <w:t>0/31,5 mm,</w:t>
      </w:r>
    </w:p>
    <w:p w14:paraId="4F0947CC" w14:textId="77777777" w:rsidR="00F25E60" w:rsidRPr="00F25E60" w:rsidRDefault="00F25E60" w:rsidP="00CF1E7D">
      <w:pPr>
        <w:pStyle w:val="Bezodstpw"/>
        <w:numPr>
          <w:ilvl w:val="0"/>
          <w:numId w:val="101"/>
        </w:numPr>
        <w:tabs>
          <w:tab w:val="clear" w:pos="720"/>
          <w:tab w:val="num" w:pos="480"/>
        </w:tabs>
        <w:ind w:left="480" w:hanging="480"/>
        <w:jc w:val="both"/>
        <w:rPr>
          <w:rFonts w:cs="Arial"/>
          <w:szCs w:val="20"/>
        </w:rPr>
      </w:pPr>
      <w:r w:rsidRPr="00F25E60">
        <w:rPr>
          <w:rFonts w:cs="Arial"/>
          <w:szCs w:val="20"/>
        </w:rPr>
        <w:t>0/45 mm,</w:t>
      </w:r>
    </w:p>
    <w:p w14:paraId="32144902" w14:textId="77777777" w:rsidR="00F25E60" w:rsidRPr="00F25E60" w:rsidRDefault="00F25E60" w:rsidP="00CF1E7D">
      <w:pPr>
        <w:pStyle w:val="Bezodstpw"/>
        <w:numPr>
          <w:ilvl w:val="0"/>
          <w:numId w:val="101"/>
        </w:numPr>
        <w:tabs>
          <w:tab w:val="clear" w:pos="720"/>
          <w:tab w:val="num" w:pos="480"/>
        </w:tabs>
        <w:ind w:left="480" w:hanging="480"/>
        <w:jc w:val="both"/>
        <w:rPr>
          <w:rFonts w:cs="Arial"/>
          <w:szCs w:val="20"/>
        </w:rPr>
      </w:pPr>
      <w:r w:rsidRPr="00F25E60">
        <w:rPr>
          <w:rFonts w:cs="Arial"/>
          <w:szCs w:val="20"/>
        </w:rPr>
        <w:t>0/63 mm.</w:t>
      </w:r>
    </w:p>
    <w:p w14:paraId="4F419AC8" w14:textId="77777777" w:rsidR="00F25E60" w:rsidRPr="00F25E60" w:rsidRDefault="00F25E60" w:rsidP="00F25E60">
      <w:pPr>
        <w:pStyle w:val="Bezodstpw"/>
        <w:tabs>
          <w:tab w:val="num" w:pos="480"/>
        </w:tabs>
        <w:rPr>
          <w:rFonts w:cs="Arial"/>
          <w:szCs w:val="20"/>
        </w:rPr>
      </w:pPr>
      <w:r w:rsidRPr="00F25E60">
        <w:rPr>
          <w:rFonts w:cs="Arial"/>
          <w:szCs w:val="20"/>
        </w:rPr>
        <w:tab/>
      </w:r>
      <w:r w:rsidRPr="00F25E60">
        <w:rPr>
          <w:rFonts w:cs="Arial"/>
          <w:szCs w:val="20"/>
        </w:rPr>
        <w:tab/>
        <w:t xml:space="preserve">Wymagania wobec mieszanek przeznaczonych do podbudowy pomocniczej, podane w tablicy 4, odnośnie wrażliwości na mróz warstw z mieszanek kruszyw, dotyczą badania materiału po pięciokrotnym zagęszczeniu w aparacie </w:t>
      </w:r>
      <w:proofErr w:type="spellStart"/>
      <w:r w:rsidRPr="00F25E60">
        <w:rPr>
          <w:rFonts w:cs="Arial"/>
          <w:szCs w:val="20"/>
        </w:rPr>
        <w:t>Proctora</w:t>
      </w:r>
      <w:proofErr w:type="spellEnd"/>
      <w:r w:rsidRPr="00F25E60">
        <w:rPr>
          <w:rFonts w:cs="Arial"/>
          <w:szCs w:val="20"/>
        </w:rPr>
        <w:t xml:space="preserve"> według PN-EN 13286-2 [21].</w:t>
      </w:r>
    </w:p>
    <w:p w14:paraId="22DBC852" w14:textId="77777777" w:rsidR="00F25E60" w:rsidRPr="00F25E60" w:rsidRDefault="00F25E60" w:rsidP="00F25E60">
      <w:pPr>
        <w:pStyle w:val="Bezodstpw"/>
        <w:ind w:firstLine="709"/>
        <w:rPr>
          <w:rFonts w:cs="Arial"/>
          <w:szCs w:val="20"/>
        </w:rPr>
      </w:pPr>
      <w:r w:rsidRPr="00F25E60">
        <w:rPr>
          <w:rFonts w:cs="Arial"/>
          <w:szCs w:val="20"/>
        </w:rPr>
        <w:t xml:space="preserve">Zawartość pyłów w mieszankach kruszyw do warstwy podbudowy pomocniczej, określana wg PN-EN 933-1 [8], powinna być zgodna z wymaganiami tablicy 4. W przypadku słabych kruszyw, zawartość pyłów w mieszance kruszyw należy również badać i deklarować, po pięciokrotnym zagęszczeniu metodą </w:t>
      </w:r>
      <w:proofErr w:type="spellStart"/>
      <w:r w:rsidRPr="00F25E60">
        <w:rPr>
          <w:rFonts w:cs="Arial"/>
          <w:szCs w:val="20"/>
        </w:rPr>
        <w:t>Proctora</w:t>
      </w:r>
      <w:proofErr w:type="spellEnd"/>
      <w:r w:rsidRPr="00F25E60">
        <w:rPr>
          <w:rFonts w:cs="Arial"/>
          <w:szCs w:val="20"/>
        </w:rPr>
        <w:t xml:space="preserve">. Zawartość pyłów w takiej mieszance po pięciokrotnym zagęszczeniu metodą </w:t>
      </w:r>
      <w:proofErr w:type="spellStart"/>
      <w:r w:rsidRPr="00F25E60">
        <w:rPr>
          <w:rFonts w:cs="Arial"/>
          <w:szCs w:val="20"/>
        </w:rPr>
        <w:t>Proctora</w:t>
      </w:r>
      <w:proofErr w:type="spellEnd"/>
      <w:r w:rsidRPr="00F25E60">
        <w:rPr>
          <w:rFonts w:cs="Arial"/>
          <w:szCs w:val="20"/>
        </w:rPr>
        <w:t xml:space="preserve"> powinna również spełniać wymagania podane w tablicy 4. Nie określa się wymagania wobec minimalnej zawartości pyłów &lt; </w:t>
      </w:r>
      <w:smartTag w:uri="urn:schemas-microsoft-com:office:smarttags" w:element="metricconverter">
        <w:smartTagPr>
          <w:attr w:name="ProductID" w:val="0,063 mm"/>
        </w:smartTagPr>
        <w:r w:rsidRPr="00F25E60">
          <w:rPr>
            <w:rFonts w:cs="Arial"/>
            <w:szCs w:val="20"/>
          </w:rPr>
          <w:t>0,063 mm</w:t>
        </w:r>
      </w:smartTag>
      <w:r w:rsidRPr="00F25E60">
        <w:rPr>
          <w:rFonts w:cs="Arial"/>
          <w:szCs w:val="20"/>
        </w:rPr>
        <w:t xml:space="preserve"> w mieszankach kruszyw do warstwy podbudowy pomocniczej.</w:t>
      </w:r>
    </w:p>
    <w:p w14:paraId="64A0A736" w14:textId="77777777" w:rsidR="00F25E60" w:rsidRPr="00F25E60" w:rsidRDefault="00F25E60" w:rsidP="00F25E60">
      <w:pPr>
        <w:pStyle w:val="Bezodstpw"/>
        <w:ind w:firstLine="709"/>
        <w:rPr>
          <w:rFonts w:cs="Arial"/>
          <w:szCs w:val="20"/>
        </w:rPr>
      </w:pPr>
      <w:r w:rsidRPr="00F25E60">
        <w:rPr>
          <w:rFonts w:cs="Arial"/>
          <w:szCs w:val="20"/>
        </w:rPr>
        <w:t xml:space="preserve">Zawartość nadziarna w mieszankach kruszyw, określana według PN-EN 933-1 [8] powinna spełniać wymagania podane w tablicy 4. W przypadku słabych kruszyw decyduje zawartość nadziarna w mieszance kruszyw po pięciokrotnym zagęszczeniu metodą </w:t>
      </w:r>
      <w:proofErr w:type="spellStart"/>
      <w:r w:rsidRPr="00F25E60">
        <w:rPr>
          <w:rFonts w:cs="Arial"/>
          <w:szCs w:val="20"/>
        </w:rPr>
        <w:t>Proctora</w:t>
      </w:r>
      <w:proofErr w:type="spellEnd"/>
      <w:r w:rsidRPr="00F25E60">
        <w:rPr>
          <w:rFonts w:cs="Arial"/>
          <w:szCs w:val="20"/>
        </w:rPr>
        <w:t>.</w:t>
      </w:r>
    </w:p>
    <w:p w14:paraId="023BB004" w14:textId="77777777" w:rsidR="00F25E60" w:rsidRPr="00F25E60" w:rsidRDefault="00F25E60" w:rsidP="00F25E60">
      <w:pPr>
        <w:pStyle w:val="Bezodstpw"/>
        <w:ind w:firstLine="709"/>
        <w:rPr>
          <w:rFonts w:cs="Arial"/>
          <w:szCs w:val="20"/>
        </w:rPr>
      </w:pPr>
      <w:r w:rsidRPr="00F25E60">
        <w:rPr>
          <w:rFonts w:cs="Arial"/>
          <w:szCs w:val="20"/>
        </w:rPr>
        <w:t xml:space="preserve">Uziarnienie mieszanek kruszyw o wymiarach ziaren D od 0 do </w:t>
      </w:r>
      <w:smartTag w:uri="urn:schemas-microsoft-com:office:smarttags" w:element="metricconverter">
        <w:smartTagPr>
          <w:attr w:name="ProductID" w:val="63 mm"/>
        </w:smartTagPr>
        <w:r w:rsidRPr="00F25E60">
          <w:rPr>
            <w:rFonts w:cs="Arial"/>
            <w:szCs w:val="20"/>
          </w:rPr>
          <w:t>63 mm</w:t>
        </w:r>
      </w:smartTag>
      <w:r w:rsidRPr="00F25E60">
        <w:rPr>
          <w:rFonts w:cs="Arial"/>
          <w:szCs w:val="20"/>
        </w:rPr>
        <w:t xml:space="preserve"> należy określić według PN-EN 933-1 [8]. Krzywe uziarnienia mieszanki kruszyw do podbudowy pomocniczej powinny zawierać się w obszarze między krzywymi granicznymi uziarnienia przedstawionymi na rysunkach 1÷3, odpowiednio dla każdego rodzaju mieszanki. Na rysunkach 1÷3 pokazano również (liniami przerywanymi SDV) obszar uziarnienia, w którym powinna się mieścić krzywa uziarnienia mieszanki (S) deklarowana przez dostawcę/producenta. W przypadku słabych kruszyw uziarnienie mieszanki kruszyw należy również badać i deklarować, po pięciokrotnym zagęszczeniu metodą </w:t>
      </w:r>
      <w:proofErr w:type="spellStart"/>
      <w:r w:rsidRPr="00F25E60">
        <w:rPr>
          <w:rFonts w:cs="Arial"/>
          <w:szCs w:val="20"/>
        </w:rPr>
        <w:t>Proctora</w:t>
      </w:r>
      <w:proofErr w:type="spellEnd"/>
      <w:r w:rsidRPr="00F25E60">
        <w:rPr>
          <w:rFonts w:cs="Arial"/>
          <w:szCs w:val="20"/>
        </w:rPr>
        <w:t xml:space="preserve">. Kryterium przydatności takiej mieszanki, pod względem uziarnienia, jest spełnione, jeżeli uziarnienie mieszanki po pięciokrotnym zagęszczeniu metodą </w:t>
      </w:r>
      <w:proofErr w:type="spellStart"/>
      <w:r w:rsidRPr="00F25E60">
        <w:rPr>
          <w:rFonts w:cs="Arial"/>
          <w:szCs w:val="20"/>
        </w:rPr>
        <w:t>Proctora</w:t>
      </w:r>
      <w:proofErr w:type="spellEnd"/>
      <w:r w:rsidRPr="00F25E60">
        <w:rPr>
          <w:rFonts w:cs="Arial"/>
          <w:szCs w:val="20"/>
        </w:rPr>
        <w:t xml:space="preserve"> mieści się w krzywych granicznych podanych na odpowiednich rysunkach 1÷3.  </w:t>
      </w:r>
    </w:p>
    <w:p w14:paraId="46DC446C" w14:textId="77777777" w:rsidR="00F25E60" w:rsidRPr="00F25E60" w:rsidRDefault="00F25E60" w:rsidP="00F25E60">
      <w:pPr>
        <w:pStyle w:val="Bezodstpw"/>
        <w:ind w:firstLine="709"/>
        <w:rPr>
          <w:rFonts w:cs="Arial"/>
          <w:szCs w:val="20"/>
        </w:rPr>
      </w:pPr>
    </w:p>
    <w:p w14:paraId="0B39BB35" w14:textId="3FAF19C0" w:rsidR="00F25E60" w:rsidRPr="00F25E60" w:rsidRDefault="00F25E60" w:rsidP="00F25E60">
      <w:pPr>
        <w:spacing w:line="240" w:lineRule="auto"/>
        <w:rPr>
          <w:rFonts w:cs="Arial"/>
          <w:szCs w:val="20"/>
        </w:rPr>
      </w:pPr>
      <w:r w:rsidRPr="00F25E60">
        <w:rPr>
          <w:rFonts w:cs="Arial"/>
          <w:noProof/>
          <w:szCs w:val="20"/>
        </w:rPr>
        <w:drawing>
          <wp:inline distT="0" distB="0" distL="0" distR="0" wp14:anchorId="741CAB07" wp14:editId="63B55C9F">
            <wp:extent cx="5571490" cy="2466975"/>
            <wp:effectExtent l="0" t="0" r="0" b="9525"/>
            <wp:docPr id="90" name="Obraz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71490" cy="2466975"/>
                    </a:xfrm>
                    <a:prstGeom prst="rect">
                      <a:avLst/>
                    </a:prstGeom>
                    <a:noFill/>
                    <a:ln>
                      <a:noFill/>
                    </a:ln>
                  </pic:spPr>
                </pic:pic>
              </a:graphicData>
            </a:graphic>
          </wp:inline>
        </w:drawing>
      </w:r>
    </w:p>
    <w:p w14:paraId="40CF8DD0" w14:textId="77777777" w:rsidR="00F25E60" w:rsidRPr="00F25E60" w:rsidRDefault="00F25E60" w:rsidP="00F25E60">
      <w:pPr>
        <w:spacing w:line="240" w:lineRule="auto"/>
        <w:rPr>
          <w:rFonts w:cs="Arial"/>
          <w:szCs w:val="20"/>
        </w:rPr>
      </w:pPr>
    </w:p>
    <w:p w14:paraId="758028D2" w14:textId="77777777" w:rsidR="00F25E60" w:rsidRPr="00F25E60" w:rsidRDefault="00F25E60" w:rsidP="00F25E60">
      <w:pPr>
        <w:spacing w:line="240" w:lineRule="auto"/>
        <w:ind w:left="840" w:hanging="840"/>
        <w:rPr>
          <w:rFonts w:cs="Arial"/>
          <w:szCs w:val="20"/>
        </w:rPr>
      </w:pPr>
      <w:r w:rsidRPr="00F25E60">
        <w:rPr>
          <w:rFonts w:cs="Arial"/>
          <w:szCs w:val="20"/>
        </w:rPr>
        <w:lastRenderedPageBreak/>
        <w:t>Rys. 1. Krzywe graniczne uziarnienia mieszanki kruszywa niezwiązanego 0/31,5 mm do warstw podbudowy pomocniczej</w:t>
      </w:r>
    </w:p>
    <w:p w14:paraId="50AAEC56" w14:textId="77777777" w:rsidR="00F25E60" w:rsidRPr="00F25E60" w:rsidRDefault="00F25E60" w:rsidP="00F25E60">
      <w:pPr>
        <w:spacing w:line="240" w:lineRule="auto"/>
        <w:ind w:left="840" w:hanging="840"/>
        <w:rPr>
          <w:rFonts w:cs="Arial"/>
          <w:szCs w:val="20"/>
        </w:rPr>
      </w:pPr>
    </w:p>
    <w:p w14:paraId="48397662" w14:textId="77777777" w:rsidR="00F25E60" w:rsidRPr="00F25E60" w:rsidRDefault="00F25E60" w:rsidP="00F25E60">
      <w:pPr>
        <w:spacing w:line="240" w:lineRule="auto"/>
        <w:ind w:left="840" w:hanging="840"/>
        <w:rPr>
          <w:rFonts w:cs="Arial"/>
          <w:szCs w:val="20"/>
        </w:rPr>
      </w:pPr>
    </w:p>
    <w:p w14:paraId="5F7F70F4" w14:textId="41D6F167" w:rsidR="00F25E60" w:rsidRPr="00F25E60" w:rsidRDefault="00F25E60" w:rsidP="00F25E60">
      <w:pPr>
        <w:spacing w:line="240" w:lineRule="auto"/>
        <w:rPr>
          <w:rFonts w:cs="Arial"/>
          <w:szCs w:val="20"/>
        </w:rPr>
      </w:pPr>
      <w:r w:rsidRPr="00F25E60">
        <w:rPr>
          <w:rFonts w:cs="Arial"/>
          <w:noProof/>
          <w:szCs w:val="20"/>
        </w:rPr>
        <w:drawing>
          <wp:inline distT="0" distB="0" distL="0" distR="0" wp14:anchorId="0ADA1472" wp14:editId="7CC23778">
            <wp:extent cx="5582285" cy="2487930"/>
            <wp:effectExtent l="0" t="0" r="0" b="7620"/>
            <wp:docPr id="89" name="Obraz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82285" cy="2487930"/>
                    </a:xfrm>
                    <a:prstGeom prst="rect">
                      <a:avLst/>
                    </a:prstGeom>
                    <a:noFill/>
                    <a:ln>
                      <a:noFill/>
                    </a:ln>
                  </pic:spPr>
                </pic:pic>
              </a:graphicData>
            </a:graphic>
          </wp:inline>
        </w:drawing>
      </w:r>
    </w:p>
    <w:p w14:paraId="371D3B4D" w14:textId="77777777" w:rsidR="00F25E60" w:rsidRPr="00F25E60" w:rsidRDefault="00F25E60" w:rsidP="00F25E60">
      <w:pPr>
        <w:spacing w:line="240" w:lineRule="auto"/>
        <w:rPr>
          <w:rFonts w:cs="Arial"/>
          <w:szCs w:val="20"/>
        </w:rPr>
      </w:pPr>
    </w:p>
    <w:p w14:paraId="7778B9B5" w14:textId="77777777" w:rsidR="00F25E60" w:rsidRPr="00F25E60" w:rsidRDefault="00F25E60" w:rsidP="00F25E60">
      <w:pPr>
        <w:spacing w:line="240" w:lineRule="auto"/>
        <w:ind w:left="840" w:hanging="840"/>
        <w:rPr>
          <w:rFonts w:cs="Arial"/>
          <w:szCs w:val="20"/>
        </w:rPr>
      </w:pPr>
      <w:r w:rsidRPr="00F25E60">
        <w:rPr>
          <w:rFonts w:cs="Arial"/>
          <w:szCs w:val="20"/>
        </w:rPr>
        <w:t>Rys. 2. Krzywe graniczne uziarnienia mieszanki kruszywa niezwiązanego 0/45 mm do warstw podbudowy pomocniczej</w:t>
      </w:r>
    </w:p>
    <w:p w14:paraId="6D79528E" w14:textId="77777777" w:rsidR="00F25E60" w:rsidRPr="00F25E60" w:rsidRDefault="00F25E60" w:rsidP="00F25E60">
      <w:pPr>
        <w:spacing w:line="240" w:lineRule="auto"/>
        <w:rPr>
          <w:rFonts w:cs="Arial"/>
          <w:szCs w:val="20"/>
        </w:rPr>
      </w:pPr>
    </w:p>
    <w:p w14:paraId="626110E3" w14:textId="5CBB6F51" w:rsidR="00F25E60" w:rsidRPr="00F25E60" w:rsidRDefault="00F25E60" w:rsidP="00F25E60">
      <w:pPr>
        <w:pStyle w:val="Nagwek1"/>
        <w:spacing w:line="240" w:lineRule="auto"/>
        <w:rPr>
          <w:rFonts w:cs="Arial"/>
          <w:szCs w:val="20"/>
        </w:rPr>
      </w:pPr>
      <w:r w:rsidRPr="00F25E60">
        <w:rPr>
          <w:rFonts w:cs="Arial"/>
          <w:noProof/>
          <w:szCs w:val="20"/>
        </w:rPr>
        <w:drawing>
          <wp:inline distT="0" distB="0" distL="0" distR="0" wp14:anchorId="6B4F1847" wp14:editId="7B8FF51E">
            <wp:extent cx="5560695" cy="2445385"/>
            <wp:effectExtent l="0" t="0" r="1905" b="0"/>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60695" cy="2445385"/>
                    </a:xfrm>
                    <a:prstGeom prst="rect">
                      <a:avLst/>
                    </a:prstGeom>
                    <a:noFill/>
                    <a:ln>
                      <a:noFill/>
                    </a:ln>
                  </pic:spPr>
                </pic:pic>
              </a:graphicData>
            </a:graphic>
          </wp:inline>
        </w:drawing>
      </w:r>
    </w:p>
    <w:p w14:paraId="40D1C5AF" w14:textId="77777777" w:rsidR="00F25E60" w:rsidRPr="00F25E60" w:rsidRDefault="00F25E60" w:rsidP="00F25E60">
      <w:pPr>
        <w:spacing w:line="240" w:lineRule="auto"/>
        <w:ind w:left="840" w:hanging="840"/>
        <w:rPr>
          <w:rFonts w:cs="Arial"/>
          <w:szCs w:val="20"/>
        </w:rPr>
      </w:pPr>
      <w:r w:rsidRPr="00F25E60">
        <w:rPr>
          <w:rFonts w:cs="Arial"/>
          <w:szCs w:val="20"/>
        </w:rPr>
        <w:t>Rys. 3. Krzywe graniczne uziarnienia mieszanki kruszywa niezwiązanego 0/63 mm do warstw podbudowy pomocniczej</w:t>
      </w:r>
    </w:p>
    <w:p w14:paraId="4A998FA8" w14:textId="77777777" w:rsidR="00F25E60" w:rsidRPr="00F25E60" w:rsidRDefault="00F25E60" w:rsidP="00F25E60">
      <w:pPr>
        <w:spacing w:line="240" w:lineRule="auto"/>
        <w:rPr>
          <w:rFonts w:cs="Arial"/>
          <w:szCs w:val="20"/>
        </w:rPr>
      </w:pPr>
      <w:r w:rsidRPr="00F25E60">
        <w:rPr>
          <w:rFonts w:cs="Arial"/>
          <w:szCs w:val="20"/>
        </w:rPr>
        <w:tab/>
      </w:r>
    </w:p>
    <w:p w14:paraId="00290C02" w14:textId="77777777" w:rsidR="00F25E60" w:rsidRPr="00F25E60" w:rsidRDefault="00F25E60" w:rsidP="00F25E60">
      <w:pPr>
        <w:spacing w:line="240" w:lineRule="auto"/>
        <w:ind w:firstLine="709"/>
        <w:rPr>
          <w:rFonts w:cs="Arial"/>
          <w:szCs w:val="20"/>
        </w:rPr>
      </w:pPr>
      <w:r w:rsidRPr="00F25E60">
        <w:rPr>
          <w:rFonts w:cs="Arial"/>
          <w:szCs w:val="20"/>
        </w:rPr>
        <w:t>Oprócz wymagań podanych na rysunkach od 1 do 3, wymaga się aby 90% uziarnień mieszanek zbadanych w ramach ZKP w okresie 6 miesięcy spełniało wymagania kategorii podanych w tablicach 2 i 3, aby zapewnić jednorodność i ciągłość uziarnienia mieszanek.</w:t>
      </w:r>
    </w:p>
    <w:p w14:paraId="41BE5263" w14:textId="77777777" w:rsidR="00F25E60" w:rsidRPr="00F25E60" w:rsidRDefault="00F25E60" w:rsidP="00F25E60">
      <w:pPr>
        <w:spacing w:before="120" w:after="120" w:line="240" w:lineRule="auto"/>
        <w:rPr>
          <w:rFonts w:cs="Arial"/>
          <w:szCs w:val="20"/>
        </w:rPr>
      </w:pPr>
      <w:r w:rsidRPr="00F25E60">
        <w:rPr>
          <w:rFonts w:cs="Arial"/>
          <w:szCs w:val="20"/>
        </w:rPr>
        <w:t xml:space="preserve">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w:t>
      </w:r>
      <w:proofErr w:type="spellStart"/>
      <w:r w:rsidRPr="00F25E60">
        <w:rPr>
          <w:rFonts w:cs="Arial"/>
          <w:szCs w:val="20"/>
        </w:rPr>
        <w:t>Proctora</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754"/>
      </w:tblGrid>
      <w:tr w:rsidR="00F25E60" w:rsidRPr="00F25E60" w14:paraId="34D7B6D2" w14:textId="77777777" w:rsidTr="007B6855">
        <w:tc>
          <w:tcPr>
            <w:tcW w:w="1463" w:type="dxa"/>
            <w:vMerge w:val="restart"/>
            <w:tcBorders>
              <w:bottom w:val="double" w:sz="4" w:space="0" w:color="auto"/>
            </w:tcBorders>
          </w:tcPr>
          <w:p w14:paraId="3D6B7982" w14:textId="77777777" w:rsidR="00F25E60" w:rsidRPr="00F25E60" w:rsidRDefault="00F25E60" w:rsidP="00F25E60">
            <w:pPr>
              <w:spacing w:line="240" w:lineRule="auto"/>
              <w:jc w:val="center"/>
              <w:rPr>
                <w:rFonts w:cs="Arial"/>
                <w:szCs w:val="20"/>
              </w:rPr>
            </w:pPr>
            <w:r w:rsidRPr="00F25E60">
              <w:rPr>
                <w:rFonts w:cs="Arial"/>
                <w:szCs w:val="20"/>
              </w:rPr>
              <w:t>Mieszanka niezwiązana, mm</w:t>
            </w:r>
          </w:p>
        </w:tc>
        <w:tc>
          <w:tcPr>
            <w:tcW w:w="7540" w:type="dxa"/>
            <w:gridSpan w:val="10"/>
            <w:tcBorders>
              <w:bottom w:val="single" w:sz="4" w:space="0" w:color="auto"/>
            </w:tcBorders>
          </w:tcPr>
          <w:p w14:paraId="5F213469" w14:textId="77777777" w:rsidR="00F25E60" w:rsidRPr="00F25E60" w:rsidRDefault="00F25E60" w:rsidP="00F25E60">
            <w:pPr>
              <w:spacing w:line="240" w:lineRule="auto"/>
              <w:jc w:val="center"/>
              <w:rPr>
                <w:rFonts w:cs="Arial"/>
                <w:szCs w:val="20"/>
              </w:rPr>
            </w:pPr>
            <w:r w:rsidRPr="00F25E60">
              <w:rPr>
                <w:rFonts w:cs="Arial"/>
                <w:szCs w:val="20"/>
              </w:rPr>
              <w:t>Porównanie z deklarowaną przez producenta wartością (S)</w:t>
            </w:r>
          </w:p>
          <w:p w14:paraId="17E4853A" w14:textId="77777777" w:rsidR="00F25E60" w:rsidRPr="00F25E60" w:rsidRDefault="00F25E60" w:rsidP="00F25E60">
            <w:pPr>
              <w:spacing w:line="240" w:lineRule="auto"/>
              <w:jc w:val="center"/>
              <w:rPr>
                <w:rFonts w:cs="Arial"/>
                <w:szCs w:val="20"/>
              </w:rPr>
            </w:pPr>
            <w:r w:rsidRPr="00F25E60">
              <w:rPr>
                <w:rFonts w:cs="Arial"/>
                <w:szCs w:val="20"/>
              </w:rPr>
              <w:t>Tolerancje przesiewu przez sito (mm), % (m/m)</w:t>
            </w:r>
          </w:p>
        </w:tc>
      </w:tr>
      <w:tr w:rsidR="00F25E60" w:rsidRPr="00F25E60" w14:paraId="1334FCC7" w14:textId="77777777" w:rsidTr="007B6855">
        <w:tc>
          <w:tcPr>
            <w:tcW w:w="1463" w:type="dxa"/>
            <w:vMerge/>
            <w:tcBorders>
              <w:bottom w:val="double" w:sz="4" w:space="0" w:color="auto"/>
            </w:tcBorders>
          </w:tcPr>
          <w:p w14:paraId="528D6B55" w14:textId="77777777" w:rsidR="00F25E60" w:rsidRPr="00F25E60" w:rsidRDefault="00F25E60" w:rsidP="00F25E60">
            <w:pPr>
              <w:spacing w:line="240" w:lineRule="auto"/>
              <w:jc w:val="center"/>
              <w:rPr>
                <w:rFonts w:cs="Arial"/>
                <w:szCs w:val="20"/>
              </w:rPr>
            </w:pPr>
          </w:p>
        </w:tc>
        <w:tc>
          <w:tcPr>
            <w:tcW w:w="754" w:type="dxa"/>
            <w:tcBorders>
              <w:bottom w:val="double" w:sz="4" w:space="0" w:color="auto"/>
            </w:tcBorders>
            <w:shd w:val="clear" w:color="auto" w:fill="auto"/>
          </w:tcPr>
          <w:p w14:paraId="165B7BF1" w14:textId="77777777" w:rsidR="00F25E60" w:rsidRPr="00F25E60" w:rsidRDefault="00F25E60" w:rsidP="00F25E60">
            <w:pPr>
              <w:spacing w:line="240" w:lineRule="auto"/>
              <w:jc w:val="center"/>
              <w:rPr>
                <w:rFonts w:cs="Arial"/>
                <w:szCs w:val="20"/>
              </w:rPr>
            </w:pPr>
            <w:r w:rsidRPr="00F25E60">
              <w:rPr>
                <w:rFonts w:cs="Arial"/>
                <w:szCs w:val="20"/>
              </w:rPr>
              <w:t>0,5</w:t>
            </w:r>
          </w:p>
        </w:tc>
        <w:tc>
          <w:tcPr>
            <w:tcW w:w="754" w:type="dxa"/>
            <w:tcBorders>
              <w:bottom w:val="double" w:sz="4" w:space="0" w:color="auto"/>
            </w:tcBorders>
            <w:shd w:val="clear" w:color="auto" w:fill="auto"/>
          </w:tcPr>
          <w:p w14:paraId="4EAE7AC8" w14:textId="77777777" w:rsidR="00F25E60" w:rsidRPr="00F25E60" w:rsidRDefault="00F25E60" w:rsidP="00F25E60">
            <w:pPr>
              <w:spacing w:line="240" w:lineRule="auto"/>
              <w:jc w:val="center"/>
              <w:rPr>
                <w:rFonts w:cs="Arial"/>
                <w:szCs w:val="20"/>
              </w:rPr>
            </w:pPr>
            <w:r w:rsidRPr="00F25E60">
              <w:rPr>
                <w:rFonts w:cs="Arial"/>
                <w:szCs w:val="20"/>
              </w:rPr>
              <w:t>1</w:t>
            </w:r>
          </w:p>
        </w:tc>
        <w:tc>
          <w:tcPr>
            <w:tcW w:w="754" w:type="dxa"/>
            <w:tcBorders>
              <w:bottom w:val="double" w:sz="4" w:space="0" w:color="auto"/>
            </w:tcBorders>
            <w:shd w:val="clear" w:color="auto" w:fill="auto"/>
          </w:tcPr>
          <w:p w14:paraId="16A92745" w14:textId="77777777" w:rsidR="00F25E60" w:rsidRPr="00F25E60" w:rsidRDefault="00F25E60" w:rsidP="00F25E60">
            <w:pPr>
              <w:spacing w:line="240" w:lineRule="auto"/>
              <w:jc w:val="center"/>
              <w:rPr>
                <w:rFonts w:cs="Arial"/>
                <w:szCs w:val="20"/>
              </w:rPr>
            </w:pPr>
            <w:r w:rsidRPr="00F25E60">
              <w:rPr>
                <w:rFonts w:cs="Arial"/>
                <w:szCs w:val="20"/>
              </w:rPr>
              <w:t>2</w:t>
            </w:r>
          </w:p>
        </w:tc>
        <w:tc>
          <w:tcPr>
            <w:tcW w:w="754" w:type="dxa"/>
            <w:tcBorders>
              <w:bottom w:val="double" w:sz="4" w:space="0" w:color="auto"/>
            </w:tcBorders>
            <w:shd w:val="clear" w:color="auto" w:fill="auto"/>
          </w:tcPr>
          <w:p w14:paraId="72544905" w14:textId="77777777" w:rsidR="00F25E60" w:rsidRPr="00F25E60" w:rsidRDefault="00F25E60" w:rsidP="00F25E60">
            <w:pPr>
              <w:spacing w:line="240" w:lineRule="auto"/>
              <w:jc w:val="center"/>
              <w:rPr>
                <w:rFonts w:cs="Arial"/>
                <w:szCs w:val="20"/>
              </w:rPr>
            </w:pPr>
            <w:r w:rsidRPr="00F25E60">
              <w:rPr>
                <w:rFonts w:cs="Arial"/>
                <w:szCs w:val="20"/>
              </w:rPr>
              <w:t>4</w:t>
            </w:r>
          </w:p>
        </w:tc>
        <w:tc>
          <w:tcPr>
            <w:tcW w:w="754" w:type="dxa"/>
            <w:tcBorders>
              <w:bottom w:val="double" w:sz="4" w:space="0" w:color="auto"/>
            </w:tcBorders>
            <w:shd w:val="clear" w:color="auto" w:fill="auto"/>
          </w:tcPr>
          <w:p w14:paraId="2682458C" w14:textId="77777777" w:rsidR="00F25E60" w:rsidRPr="00F25E60" w:rsidRDefault="00F25E60" w:rsidP="00F25E60">
            <w:pPr>
              <w:spacing w:line="240" w:lineRule="auto"/>
              <w:jc w:val="center"/>
              <w:rPr>
                <w:rFonts w:cs="Arial"/>
                <w:szCs w:val="20"/>
              </w:rPr>
            </w:pPr>
            <w:r w:rsidRPr="00F25E60">
              <w:rPr>
                <w:rFonts w:cs="Arial"/>
                <w:szCs w:val="20"/>
              </w:rPr>
              <w:t>5,6</w:t>
            </w:r>
          </w:p>
        </w:tc>
        <w:tc>
          <w:tcPr>
            <w:tcW w:w="754" w:type="dxa"/>
            <w:tcBorders>
              <w:bottom w:val="double" w:sz="4" w:space="0" w:color="auto"/>
            </w:tcBorders>
            <w:shd w:val="clear" w:color="auto" w:fill="auto"/>
          </w:tcPr>
          <w:p w14:paraId="6EB2C1BB" w14:textId="77777777" w:rsidR="00F25E60" w:rsidRPr="00F25E60" w:rsidRDefault="00F25E60" w:rsidP="00F25E60">
            <w:pPr>
              <w:spacing w:line="240" w:lineRule="auto"/>
              <w:jc w:val="center"/>
              <w:rPr>
                <w:rFonts w:cs="Arial"/>
                <w:szCs w:val="20"/>
              </w:rPr>
            </w:pPr>
            <w:r w:rsidRPr="00F25E60">
              <w:rPr>
                <w:rFonts w:cs="Arial"/>
                <w:szCs w:val="20"/>
              </w:rPr>
              <w:t>8</w:t>
            </w:r>
          </w:p>
        </w:tc>
        <w:tc>
          <w:tcPr>
            <w:tcW w:w="754" w:type="dxa"/>
            <w:tcBorders>
              <w:bottom w:val="double" w:sz="4" w:space="0" w:color="auto"/>
            </w:tcBorders>
            <w:shd w:val="clear" w:color="auto" w:fill="auto"/>
          </w:tcPr>
          <w:p w14:paraId="5ABF13C6" w14:textId="77777777" w:rsidR="00F25E60" w:rsidRPr="00F25E60" w:rsidRDefault="00F25E60" w:rsidP="00F25E60">
            <w:pPr>
              <w:spacing w:line="240" w:lineRule="auto"/>
              <w:jc w:val="center"/>
              <w:rPr>
                <w:rFonts w:cs="Arial"/>
                <w:szCs w:val="20"/>
              </w:rPr>
            </w:pPr>
            <w:r w:rsidRPr="00F25E60">
              <w:rPr>
                <w:rFonts w:cs="Arial"/>
                <w:szCs w:val="20"/>
              </w:rPr>
              <w:t>11,2</w:t>
            </w:r>
          </w:p>
        </w:tc>
        <w:tc>
          <w:tcPr>
            <w:tcW w:w="754" w:type="dxa"/>
            <w:tcBorders>
              <w:bottom w:val="double" w:sz="4" w:space="0" w:color="auto"/>
            </w:tcBorders>
            <w:shd w:val="clear" w:color="auto" w:fill="auto"/>
          </w:tcPr>
          <w:p w14:paraId="6F66820C" w14:textId="77777777" w:rsidR="00F25E60" w:rsidRPr="00F25E60" w:rsidRDefault="00F25E60" w:rsidP="00F25E60">
            <w:pPr>
              <w:spacing w:line="240" w:lineRule="auto"/>
              <w:jc w:val="center"/>
              <w:rPr>
                <w:rFonts w:cs="Arial"/>
                <w:szCs w:val="20"/>
              </w:rPr>
            </w:pPr>
            <w:r w:rsidRPr="00F25E60">
              <w:rPr>
                <w:rFonts w:cs="Arial"/>
                <w:szCs w:val="20"/>
              </w:rPr>
              <w:t>16</w:t>
            </w:r>
          </w:p>
        </w:tc>
        <w:tc>
          <w:tcPr>
            <w:tcW w:w="754" w:type="dxa"/>
            <w:tcBorders>
              <w:bottom w:val="double" w:sz="4" w:space="0" w:color="auto"/>
            </w:tcBorders>
            <w:shd w:val="clear" w:color="auto" w:fill="auto"/>
          </w:tcPr>
          <w:p w14:paraId="4A97EE82" w14:textId="77777777" w:rsidR="00F25E60" w:rsidRPr="00F25E60" w:rsidRDefault="00F25E60" w:rsidP="00F25E60">
            <w:pPr>
              <w:spacing w:line="240" w:lineRule="auto"/>
              <w:jc w:val="center"/>
              <w:rPr>
                <w:rFonts w:cs="Arial"/>
                <w:szCs w:val="20"/>
              </w:rPr>
            </w:pPr>
            <w:r w:rsidRPr="00F25E60">
              <w:rPr>
                <w:rFonts w:cs="Arial"/>
                <w:szCs w:val="20"/>
              </w:rPr>
              <w:t>22,4</w:t>
            </w:r>
          </w:p>
        </w:tc>
        <w:tc>
          <w:tcPr>
            <w:tcW w:w="754" w:type="dxa"/>
            <w:tcBorders>
              <w:bottom w:val="double" w:sz="4" w:space="0" w:color="auto"/>
            </w:tcBorders>
            <w:shd w:val="clear" w:color="auto" w:fill="auto"/>
          </w:tcPr>
          <w:p w14:paraId="41A5DDA6" w14:textId="77777777" w:rsidR="00F25E60" w:rsidRPr="00F25E60" w:rsidRDefault="00F25E60" w:rsidP="00F25E60">
            <w:pPr>
              <w:spacing w:line="240" w:lineRule="auto"/>
              <w:jc w:val="center"/>
              <w:rPr>
                <w:rFonts w:cs="Arial"/>
                <w:szCs w:val="20"/>
              </w:rPr>
            </w:pPr>
            <w:r w:rsidRPr="00F25E60">
              <w:rPr>
                <w:rFonts w:cs="Arial"/>
                <w:szCs w:val="20"/>
              </w:rPr>
              <w:t>31,5</w:t>
            </w:r>
          </w:p>
        </w:tc>
      </w:tr>
      <w:tr w:rsidR="00F25E60" w:rsidRPr="00F25E60" w14:paraId="7CE21DB0" w14:textId="77777777" w:rsidTr="007B6855">
        <w:tc>
          <w:tcPr>
            <w:tcW w:w="1463" w:type="dxa"/>
            <w:tcBorders>
              <w:top w:val="double" w:sz="4" w:space="0" w:color="auto"/>
            </w:tcBorders>
          </w:tcPr>
          <w:p w14:paraId="72D21F1A" w14:textId="77777777" w:rsidR="00F25E60" w:rsidRPr="00F25E60" w:rsidRDefault="00F25E60" w:rsidP="00F25E60">
            <w:pPr>
              <w:spacing w:line="240" w:lineRule="auto"/>
              <w:jc w:val="center"/>
              <w:rPr>
                <w:rFonts w:cs="Arial"/>
                <w:szCs w:val="20"/>
              </w:rPr>
            </w:pPr>
            <w:r w:rsidRPr="00F25E60">
              <w:rPr>
                <w:rFonts w:cs="Arial"/>
                <w:szCs w:val="20"/>
              </w:rPr>
              <w:t>0/31,5</w:t>
            </w:r>
          </w:p>
        </w:tc>
        <w:tc>
          <w:tcPr>
            <w:tcW w:w="754" w:type="dxa"/>
            <w:tcBorders>
              <w:top w:val="double" w:sz="4" w:space="0" w:color="auto"/>
            </w:tcBorders>
            <w:shd w:val="clear" w:color="auto" w:fill="auto"/>
          </w:tcPr>
          <w:p w14:paraId="02002D39" w14:textId="77777777" w:rsidR="00F25E60" w:rsidRPr="00F25E60" w:rsidRDefault="00F25E60" w:rsidP="00F25E60">
            <w:pPr>
              <w:spacing w:line="240" w:lineRule="auto"/>
              <w:jc w:val="center"/>
              <w:rPr>
                <w:rFonts w:cs="Arial"/>
                <w:szCs w:val="20"/>
              </w:rPr>
            </w:pPr>
            <w:r w:rsidRPr="00F25E60">
              <w:rPr>
                <w:rFonts w:cs="Arial"/>
                <w:szCs w:val="20"/>
              </w:rPr>
              <w:t>± 5</w:t>
            </w:r>
          </w:p>
        </w:tc>
        <w:tc>
          <w:tcPr>
            <w:tcW w:w="754" w:type="dxa"/>
            <w:tcBorders>
              <w:top w:val="double" w:sz="4" w:space="0" w:color="auto"/>
            </w:tcBorders>
            <w:shd w:val="clear" w:color="auto" w:fill="auto"/>
          </w:tcPr>
          <w:p w14:paraId="5BD39216" w14:textId="77777777" w:rsidR="00F25E60" w:rsidRPr="00F25E60" w:rsidRDefault="00F25E60" w:rsidP="00F25E60">
            <w:pPr>
              <w:spacing w:line="240" w:lineRule="auto"/>
              <w:jc w:val="center"/>
              <w:rPr>
                <w:rFonts w:cs="Arial"/>
                <w:szCs w:val="20"/>
              </w:rPr>
            </w:pPr>
            <w:r w:rsidRPr="00F25E60">
              <w:rPr>
                <w:rFonts w:cs="Arial"/>
                <w:szCs w:val="20"/>
              </w:rPr>
              <w:t>± 5</w:t>
            </w:r>
          </w:p>
        </w:tc>
        <w:tc>
          <w:tcPr>
            <w:tcW w:w="754" w:type="dxa"/>
            <w:tcBorders>
              <w:top w:val="double" w:sz="4" w:space="0" w:color="auto"/>
            </w:tcBorders>
            <w:shd w:val="clear" w:color="auto" w:fill="auto"/>
          </w:tcPr>
          <w:p w14:paraId="5E98408B" w14:textId="77777777" w:rsidR="00F25E60" w:rsidRPr="00F25E60" w:rsidRDefault="00F25E60" w:rsidP="00F25E60">
            <w:pPr>
              <w:spacing w:line="240" w:lineRule="auto"/>
              <w:jc w:val="center"/>
              <w:rPr>
                <w:rFonts w:cs="Arial"/>
                <w:szCs w:val="20"/>
              </w:rPr>
            </w:pPr>
            <w:r w:rsidRPr="00F25E60">
              <w:rPr>
                <w:rFonts w:cs="Arial"/>
                <w:szCs w:val="20"/>
              </w:rPr>
              <w:t>± 7</w:t>
            </w:r>
          </w:p>
        </w:tc>
        <w:tc>
          <w:tcPr>
            <w:tcW w:w="754" w:type="dxa"/>
            <w:tcBorders>
              <w:top w:val="double" w:sz="4" w:space="0" w:color="auto"/>
            </w:tcBorders>
            <w:shd w:val="clear" w:color="auto" w:fill="auto"/>
          </w:tcPr>
          <w:p w14:paraId="11F0EA38" w14:textId="77777777" w:rsidR="00F25E60" w:rsidRPr="00F25E60" w:rsidRDefault="00F25E60" w:rsidP="00F25E60">
            <w:pPr>
              <w:spacing w:line="240" w:lineRule="auto"/>
              <w:jc w:val="center"/>
              <w:rPr>
                <w:rFonts w:cs="Arial"/>
                <w:szCs w:val="20"/>
              </w:rPr>
            </w:pPr>
            <w:r w:rsidRPr="00F25E60">
              <w:rPr>
                <w:rFonts w:cs="Arial"/>
                <w:szCs w:val="20"/>
              </w:rPr>
              <w:t>± 8</w:t>
            </w:r>
          </w:p>
        </w:tc>
        <w:tc>
          <w:tcPr>
            <w:tcW w:w="754" w:type="dxa"/>
            <w:tcBorders>
              <w:top w:val="double" w:sz="4" w:space="0" w:color="auto"/>
            </w:tcBorders>
            <w:shd w:val="clear" w:color="auto" w:fill="auto"/>
          </w:tcPr>
          <w:p w14:paraId="62561206" w14:textId="77777777" w:rsidR="00F25E60" w:rsidRPr="00F25E60" w:rsidRDefault="00F25E60" w:rsidP="00F25E60">
            <w:pPr>
              <w:spacing w:line="240" w:lineRule="auto"/>
              <w:jc w:val="center"/>
              <w:rPr>
                <w:rFonts w:cs="Arial"/>
                <w:szCs w:val="20"/>
              </w:rPr>
            </w:pPr>
            <w:r w:rsidRPr="00F25E60">
              <w:rPr>
                <w:rFonts w:cs="Arial"/>
                <w:szCs w:val="20"/>
              </w:rPr>
              <w:t>-</w:t>
            </w:r>
          </w:p>
        </w:tc>
        <w:tc>
          <w:tcPr>
            <w:tcW w:w="754" w:type="dxa"/>
            <w:tcBorders>
              <w:top w:val="double" w:sz="4" w:space="0" w:color="auto"/>
            </w:tcBorders>
            <w:shd w:val="clear" w:color="auto" w:fill="auto"/>
          </w:tcPr>
          <w:p w14:paraId="1AFE6C6A" w14:textId="77777777" w:rsidR="00F25E60" w:rsidRPr="00F25E60" w:rsidRDefault="00F25E60" w:rsidP="00F25E60">
            <w:pPr>
              <w:spacing w:line="240" w:lineRule="auto"/>
              <w:jc w:val="center"/>
              <w:rPr>
                <w:rFonts w:cs="Arial"/>
                <w:szCs w:val="20"/>
              </w:rPr>
            </w:pPr>
            <w:r w:rsidRPr="00F25E60">
              <w:rPr>
                <w:rFonts w:cs="Arial"/>
                <w:szCs w:val="20"/>
              </w:rPr>
              <w:t>± 8</w:t>
            </w:r>
          </w:p>
        </w:tc>
        <w:tc>
          <w:tcPr>
            <w:tcW w:w="754" w:type="dxa"/>
            <w:tcBorders>
              <w:top w:val="double" w:sz="4" w:space="0" w:color="auto"/>
            </w:tcBorders>
            <w:shd w:val="clear" w:color="auto" w:fill="auto"/>
          </w:tcPr>
          <w:p w14:paraId="2D91D821" w14:textId="77777777" w:rsidR="00F25E60" w:rsidRPr="00F25E60" w:rsidRDefault="00F25E60" w:rsidP="00F25E60">
            <w:pPr>
              <w:spacing w:line="240" w:lineRule="auto"/>
              <w:jc w:val="center"/>
              <w:rPr>
                <w:rFonts w:cs="Arial"/>
                <w:szCs w:val="20"/>
              </w:rPr>
            </w:pPr>
            <w:r w:rsidRPr="00F25E60">
              <w:rPr>
                <w:rFonts w:cs="Arial"/>
                <w:szCs w:val="20"/>
              </w:rPr>
              <w:t>-</w:t>
            </w:r>
          </w:p>
        </w:tc>
        <w:tc>
          <w:tcPr>
            <w:tcW w:w="754" w:type="dxa"/>
            <w:tcBorders>
              <w:top w:val="double" w:sz="4" w:space="0" w:color="auto"/>
            </w:tcBorders>
            <w:shd w:val="clear" w:color="auto" w:fill="auto"/>
          </w:tcPr>
          <w:p w14:paraId="4F1D379D" w14:textId="77777777" w:rsidR="00F25E60" w:rsidRPr="00F25E60" w:rsidRDefault="00F25E60" w:rsidP="00F25E60">
            <w:pPr>
              <w:spacing w:line="240" w:lineRule="auto"/>
              <w:jc w:val="center"/>
              <w:rPr>
                <w:rFonts w:cs="Arial"/>
                <w:szCs w:val="20"/>
              </w:rPr>
            </w:pPr>
            <w:r w:rsidRPr="00F25E60">
              <w:rPr>
                <w:rFonts w:cs="Arial"/>
                <w:szCs w:val="20"/>
              </w:rPr>
              <w:t>± 8</w:t>
            </w:r>
          </w:p>
        </w:tc>
        <w:tc>
          <w:tcPr>
            <w:tcW w:w="754" w:type="dxa"/>
            <w:tcBorders>
              <w:top w:val="double" w:sz="4" w:space="0" w:color="auto"/>
            </w:tcBorders>
            <w:shd w:val="clear" w:color="auto" w:fill="auto"/>
          </w:tcPr>
          <w:p w14:paraId="2EEB62C5" w14:textId="77777777" w:rsidR="00F25E60" w:rsidRPr="00F25E60" w:rsidRDefault="00F25E60" w:rsidP="00F25E60">
            <w:pPr>
              <w:spacing w:line="240" w:lineRule="auto"/>
              <w:jc w:val="center"/>
              <w:rPr>
                <w:rFonts w:cs="Arial"/>
                <w:szCs w:val="20"/>
              </w:rPr>
            </w:pPr>
          </w:p>
        </w:tc>
        <w:tc>
          <w:tcPr>
            <w:tcW w:w="754" w:type="dxa"/>
            <w:tcBorders>
              <w:top w:val="double" w:sz="4" w:space="0" w:color="auto"/>
            </w:tcBorders>
            <w:shd w:val="clear" w:color="auto" w:fill="auto"/>
          </w:tcPr>
          <w:p w14:paraId="1738E627" w14:textId="77777777" w:rsidR="00F25E60" w:rsidRPr="00F25E60" w:rsidRDefault="00F25E60" w:rsidP="00F25E60">
            <w:pPr>
              <w:spacing w:line="240" w:lineRule="auto"/>
              <w:jc w:val="center"/>
              <w:rPr>
                <w:rFonts w:cs="Arial"/>
                <w:szCs w:val="20"/>
              </w:rPr>
            </w:pPr>
          </w:p>
        </w:tc>
      </w:tr>
      <w:tr w:rsidR="00F25E60" w:rsidRPr="00F25E60" w14:paraId="0332A98E" w14:textId="77777777" w:rsidTr="007B6855">
        <w:tc>
          <w:tcPr>
            <w:tcW w:w="1463" w:type="dxa"/>
          </w:tcPr>
          <w:p w14:paraId="0999D9A2" w14:textId="77777777" w:rsidR="00F25E60" w:rsidRPr="00F25E60" w:rsidRDefault="00F25E60" w:rsidP="00F25E60">
            <w:pPr>
              <w:spacing w:line="240" w:lineRule="auto"/>
              <w:jc w:val="center"/>
              <w:rPr>
                <w:rFonts w:cs="Arial"/>
                <w:szCs w:val="20"/>
              </w:rPr>
            </w:pPr>
            <w:r w:rsidRPr="00F25E60">
              <w:rPr>
                <w:rFonts w:cs="Arial"/>
                <w:szCs w:val="20"/>
              </w:rPr>
              <w:t>0/45</w:t>
            </w:r>
          </w:p>
        </w:tc>
        <w:tc>
          <w:tcPr>
            <w:tcW w:w="754" w:type="dxa"/>
            <w:shd w:val="clear" w:color="auto" w:fill="auto"/>
          </w:tcPr>
          <w:p w14:paraId="6E3ED685" w14:textId="77777777" w:rsidR="00F25E60" w:rsidRPr="00F25E60" w:rsidRDefault="00F25E60" w:rsidP="00F25E60">
            <w:pPr>
              <w:spacing w:line="240" w:lineRule="auto"/>
              <w:jc w:val="center"/>
              <w:rPr>
                <w:rFonts w:cs="Arial"/>
                <w:szCs w:val="20"/>
              </w:rPr>
            </w:pPr>
            <w:r w:rsidRPr="00F25E60">
              <w:rPr>
                <w:rFonts w:cs="Arial"/>
                <w:szCs w:val="20"/>
              </w:rPr>
              <w:t>± 5</w:t>
            </w:r>
          </w:p>
        </w:tc>
        <w:tc>
          <w:tcPr>
            <w:tcW w:w="754" w:type="dxa"/>
            <w:shd w:val="clear" w:color="auto" w:fill="auto"/>
          </w:tcPr>
          <w:p w14:paraId="7BB88EC5" w14:textId="77777777" w:rsidR="00F25E60" w:rsidRPr="00F25E60" w:rsidRDefault="00F25E60" w:rsidP="00F25E60">
            <w:pPr>
              <w:spacing w:line="240" w:lineRule="auto"/>
              <w:jc w:val="center"/>
              <w:rPr>
                <w:rFonts w:cs="Arial"/>
                <w:szCs w:val="20"/>
              </w:rPr>
            </w:pPr>
            <w:r w:rsidRPr="00F25E60">
              <w:rPr>
                <w:rFonts w:cs="Arial"/>
                <w:szCs w:val="20"/>
              </w:rPr>
              <w:t>± 5</w:t>
            </w:r>
          </w:p>
        </w:tc>
        <w:tc>
          <w:tcPr>
            <w:tcW w:w="754" w:type="dxa"/>
            <w:shd w:val="clear" w:color="auto" w:fill="auto"/>
          </w:tcPr>
          <w:p w14:paraId="724A0F7A" w14:textId="77777777" w:rsidR="00F25E60" w:rsidRPr="00F25E60" w:rsidRDefault="00F25E60" w:rsidP="00F25E60">
            <w:pPr>
              <w:spacing w:line="240" w:lineRule="auto"/>
              <w:jc w:val="center"/>
              <w:rPr>
                <w:rFonts w:cs="Arial"/>
                <w:szCs w:val="20"/>
              </w:rPr>
            </w:pPr>
            <w:r w:rsidRPr="00F25E60">
              <w:rPr>
                <w:rFonts w:cs="Arial"/>
                <w:szCs w:val="20"/>
              </w:rPr>
              <w:t>± 7</w:t>
            </w:r>
          </w:p>
        </w:tc>
        <w:tc>
          <w:tcPr>
            <w:tcW w:w="754" w:type="dxa"/>
            <w:shd w:val="clear" w:color="auto" w:fill="auto"/>
          </w:tcPr>
          <w:p w14:paraId="1E40BB86" w14:textId="77777777" w:rsidR="00F25E60" w:rsidRPr="00F25E60" w:rsidRDefault="00F25E60" w:rsidP="00F25E60">
            <w:pPr>
              <w:spacing w:line="240" w:lineRule="auto"/>
              <w:jc w:val="center"/>
              <w:rPr>
                <w:rFonts w:cs="Arial"/>
                <w:szCs w:val="20"/>
              </w:rPr>
            </w:pPr>
            <w:r w:rsidRPr="00F25E60">
              <w:rPr>
                <w:rFonts w:cs="Arial"/>
                <w:szCs w:val="20"/>
              </w:rPr>
              <w:t>-</w:t>
            </w:r>
          </w:p>
        </w:tc>
        <w:tc>
          <w:tcPr>
            <w:tcW w:w="754" w:type="dxa"/>
            <w:shd w:val="clear" w:color="auto" w:fill="auto"/>
          </w:tcPr>
          <w:p w14:paraId="3466D56D" w14:textId="77777777" w:rsidR="00F25E60" w:rsidRPr="00F25E60" w:rsidRDefault="00F25E60" w:rsidP="00F25E60">
            <w:pPr>
              <w:spacing w:line="240" w:lineRule="auto"/>
              <w:jc w:val="center"/>
              <w:rPr>
                <w:rFonts w:cs="Arial"/>
                <w:szCs w:val="20"/>
              </w:rPr>
            </w:pPr>
            <w:r w:rsidRPr="00F25E60">
              <w:rPr>
                <w:rFonts w:cs="Arial"/>
                <w:szCs w:val="20"/>
              </w:rPr>
              <w:t>± 8</w:t>
            </w:r>
          </w:p>
        </w:tc>
        <w:tc>
          <w:tcPr>
            <w:tcW w:w="754" w:type="dxa"/>
            <w:shd w:val="clear" w:color="auto" w:fill="auto"/>
          </w:tcPr>
          <w:p w14:paraId="681696F4" w14:textId="77777777" w:rsidR="00F25E60" w:rsidRPr="00F25E60" w:rsidRDefault="00F25E60" w:rsidP="00F25E60">
            <w:pPr>
              <w:spacing w:line="240" w:lineRule="auto"/>
              <w:jc w:val="center"/>
              <w:rPr>
                <w:rFonts w:cs="Arial"/>
                <w:szCs w:val="20"/>
              </w:rPr>
            </w:pPr>
            <w:r w:rsidRPr="00F25E60">
              <w:rPr>
                <w:rFonts w:cs="Arial"/>
                <w:szCs w:val="20"/>
              </w:rPr>
              <w:t>-</w:t>
            </w:r>
          </w:p>
        </w:tc>
        <w:tc>
          <w:tcPr>
            <w:tcW w:w="754" w:type="dxa"/>
            <w:shd w:val="clear" w:color="auto" w:fill="auto"/>
          </w:tcPr>
          <w:p w14:paraId="45A9FF1C" w14:textId="77777777" w:rsidR="00F25E60" w:rsidRPr="00F25E60" w:rsidRDefault="00F25E60" w:rsidP="00F25E60">
            <w:pPr>
              <w:spacing w:line="240" w:lineRule="auto"/>
              <w:jc w:val="center"/>
              <w:rPr>
                <w:rFonts w:cs="Arial"/>
                <w:szCs w:val="20"/>
              </w:rPr>
            </w:pPr>
            <w:r w:rsidRPr="00F25E60">
              <w:rPr>
                <w:rFonts w:cs="Arial"/>
                <w:szCs w:val="20"/>
              </w:rPr>
              <w:t>± 8</w:t>
            </w:r>
          </w:p>
        </w:tc>
        <w:tc>
          <w:tcPr>
            <w:tcW w:w="754" w:type="dxa"/>
            <w:shd w:val="clear" w:color="auto" w:fill="auto"/>
          </w:tcPr>
          <w:p w14:paraId="25ACA14D" w14:textId="77777777" w:rsidR="00F25E60" w:rsidRPr="00F25E60" w:rsidRDefault="00F25E60" w:rsidP="00F25E60">
            <w:pPr>
              <w:spacing w:line="240" w:lineRule="auto"/>
              <w:jc w:val="center"/>
              <w:rPr>
                <w:rFonts w:cs="Arial"/>
                <w:szCs w:val="20"/>
              </w:rPr>
            </w:pPr>
            <w:r w:rsidRPr="00F25E60">
              <w:rPr>
                <w:rFonts w:cs="Arial"/>
                <w:szCs w:val="20"/>
              </w:rPr>
              <w:t>-</w:t>
            </w:r>
          </w:p>
        </w:tc>
        <w:tc>
          <w:tcPr>
            <w:tcW w:w="754" w:type="dxa"/>
            <w:shd w:val="clear" w:color="auto" w:fill="auto"/>
          </w:tcPr>
          <w:p w14:paraId="6AB4CF6D" w14:textId="77777777" w:rsidR="00F25E60" w:rsidRPr="00F25E60" w:rsidRDefault="00F25E60" w:rsidP="00F25E60">
            <w:pPr>
              <w:spacing w:line="240" w:lineRule="auto"/>
              <w:jc w:val="center"/>
              <w:rPr>
                <w:rFonts w:cs="Arial"/>
                <w:szCs w:val="20"/>
              </w:rPr>
            </w:pPr>
            <w:r w:rsidRPr="00F25E60">
              <w:rPr>
                <w:rFonts w:cs="Arial"/>
                <w:szCs w:val="20"/>
              </w:rPr>
              <w:t>± 8</w:t>
            </w:r>
          </w:p>
        </w:tc>
        <w:tc>
          <w:tcPr>
            <w:tcW w:w="754" w:type="dxa"/>
            <w:shd w:val="clear" w:color="auto" w:fill="auto"/>
          </w:tcPr>
          <w:p w14:paraId="35867B3D" w14:textId="77777777" w:rsidR="00F25E60" w:rsidRPr="00F25E60" w:rsidRDefault="00F25E60" w:rsidP="00F25E60">
            <w:pPr>
              <w:spacing w:line="240" w:lineRule="auto"/>
              <w:jc w:val="center"/>
              <w:rPr>
                <w:rFonts w:cs="Arial"/>
                <w:szCs w:val="20"/>
              </w:rPr>
            </w:pPr>
          </w:p>
        </w:tc>
      </w:tr>
      <w:tr w:rsidR="00F25E60" w:rsidRPr="00F25E60" w14:paraId="58A08ECE" w14:textId="77777777" w:rsidTr="007B6855">
        <w:tc>
          <w:tcPr>
            <w:tcW w:w="1463" w:type="dxa"/>
          </w:tcPr>
          <w:p w14:paraId="499F709F" w14:textId="77777777" w:rsidR="00F25E60" w:rsidRPr="00F25E60" w:rsidRDefault="00F25E60" w:rsidP="00F25E60">
            <w:pPr>
              <w:spacing w:line="240" w:lineRule="auto"/>
              <w:jc w:val="center"/>
              <w:rPr>
                <w:rFonts w:cs="Arial"/>
                <w:szCs w:val="20"/>
              </w:rPr>
            </w:pPr>
            <w:r w:rsidRPr="00F25E60">
              <w:rPr>
                <w:rFonts w:cs="Arial"/>
                <w:szCs w:val="20"/>
              </w:rPr>
              <w:t>0/63</w:t>
            </w:r>
          </w:p>
        </w:tc>
        <w:tc>
          <w:tcPr>
            <w:tcW w:w="754" w:type="dxa"/>
            <w:shd w:val="clear" w:color="auto" w:fill="auto"/>
          </w:tcPr>
          <w:p w14:paraId="04B05AE9" w14:textId="77777777" w:rsidR="00F25E60" w:rsidRPr="00F25E60" w:rsidRDefault="00F25E60" w:rsidP="00F25E60">
            <w:pPr>
              <w:spacing w:line="240" w:lineRule="auto"/>
              <w:jc w:val="center"/>
              <w:rPr>
                <w:rFonts w:cs="Arial"/>
                <w:szCs w:val="20"/>
              </w:rPr>
            </w:pPr>
            <w:r w:rsidRPr="00F25E60">
              <w:rPr>
                <w:rFonts w:cs="Arial"/>
                <w:szCs w:val="20"/>
              </w:rPr>
              <w:t>-</w:t>
            </w:r>
          </w:p>
        </w:tc>
        <w:tc>
          <w:tcPr>
            <w:tcW w:w="754" w:type="dxa"/>
            <w:shd w:val="clear" w:color="auto" w:fill="auto"/>
          </w:tcPr>
          <w:p w14:paraId="7C9C4A46" w14:textId="77777777" w:rsidR="00F25E60" w:rsidRPr="00F25E60" w:rsidRDefault="00F25E60" w:rsidP="00F25E60">
            <w:pPr>
              <w:spacing w:line="240" w:lineRule="auto"/>
              <w:jc w:val="center"/>
              <w:rPr>
                <w:rFonts w:cs="Arial"/>
                <w:szCs w:val="20"/>
              </w:rPr>
            </w:pPr>
            <w:r w:rsidRPr="00F25E60">
              <w:rPr>
                <w:rFonts w:cs="Arial"/>
                <w:szCs w:val="20"/>
              </w:rPr>
              <w:t>± 5</w:t>
            </w:r>
          </w:p>
        </w:tc>
        <w:tc>
          <w:tcPr>
            <w:tcW w:w="754" w:type="dxa"/>
            <w:shd w:val="clear" w:color="auto" w:fill="auto"/>
          </w:tcPr>
          <w:p w14:paraId="12DA5106" w14:textId="77777777" w:rsidR="00F25E60" w:rsidRPr="00F25E60" w:rsidRDefault="00F25E60" w:rsidP="00F25E60">
            <w:pPr>
              <w:spacing w:line="240" w:lineRule="auto"/>
              <w:jc w:val="center"/>
              <w:rPr>
                <w:rFonts w:cs="Arial"/>
                <w:szCs w:val="20"/>
              </w:rPr>
            </w:pPr>
            <w:r w:rsidRPr="00F25E60">
              <w:rPr>
                <w:rFonts w:cs="Arial"/>
                <w:szCs w:val="20"/>
              </w:rPr>
              <w:t>± 5</w:t>
            </w:r>
          </w:p>
        </w:tc>
        <w:tc>
          <w:tcPr>
            <w:tcW w:w="754" w:type="dxa"/>
            <w:shd w:val="clear" w:color="auto" w:fill="auto"/>
          </w:tcPr>
          <w:p w14:paraId="5C6314BE" w14:textId="77777777" w:rsidR="00F25E60" w:rsidRPr="00F25E60" w:rsidRDefault="00F25E60" w:rsidP="00F25E60">
            <w:pPr>
              <w:spacing w:line="240" w:lineRule="auto"/>
              <w:jc w:val="center"/>
              <w:rPr>
                <w:rFonts w:cs="Arial"/>
                <w:szCs w:val="20"/>
              </w:rPr>
            </w:pPr>
            <w:r w:rsidRPr="00F25E60">
              <w:rPr>
                <w:rFonts w:cs="Arial"/>
                <w:szCs w:val="20"/>
              </w:rPr>
              <w:t>± 7</w:t>
            </w:r>
          </w:p>
        </w:tc>
        <w:tc>
          <w:tcPr>
            <w:tcW w:w="754" w:type="dxa"/>
            <w:shd w:val="clear" w:color="auto" w:fill="auto"/>
          </w:tcPr>
          <w:p w14:paraId="601F9463" w14:textId="77777777" w:rsidR="00F25E60" w:rsidRPr="00F25E60" w:rsidRDefault="00F25E60" w:rsidP="00F25E60">
            <w:pPr>
              <w:spacing w:line="240" w:lineRule="auto"/>
              <w:jc w:val="center"/>
              <w:rPr>
                <w:rFonts w:cs="Arial"/>
                <w:szCs w:val="20"/>
              </w:rPr>
            </w:pPr>
            <w:r w:rsidRPr="00F25E60">
              <w:rPr>
                <w:rFonts w:cs="Arial"/>
                <w:szCs w:val="20"/>
              </w:rPr>
              <w:t>-</w:t>
            </w:r>
          </w:p>
        </w:tc>
        <w:tc>
          <w:tcPr>
            <w:tcW w:w="754" w:type="dxa"/>
            <w:shd w:val="clear" w:color="auto" w:fill="auto"/>
          </w:tcPr>
          <w:p w14:paraId="368C923A" w14:textId="77777777" w:rsidR="00F25E60" w:rsidRPr="00F25E60" w:rsidRDefault="00F25E60" w:rsidP="00F25E60">
            <w:pPr>
              <w:spacing w:line="240" w:lineRule="auto"/>
              <w:jc w:val="center"/>
              <w:rPr>
                <w:rFonts w:cs="Arial"/>
                <w:szCs w:val="20"/>
              </w:rPr>
            </w:pPr>
            <w:r w:rsidRPr="00F25E60">
              <w:rPr>
                <w:rFonts w:cs="Arial"/>
                <w:szCs w:val="20"/>
              </w:rPr>
              <w:t>± 8</w:t>
            </w:r>
          </w:p>
        </w:tc>
        <w:tc>
          <w:tcPr>
            <w:tcW w:w="754" w:type="dxa"/>
            <w:shd w:val="clear" w:color="auto" w:fill="auto"/>
          </w:tcPr>
          <w:p w14:paraId="49D28300" w14:textId="77777777" w:rsidR="00F25E60" w:rsidRPr="00F25E60" w:rsidRDefault="00F25E60" w:rsidP="00F25E60">
            <w:pPr>
              <w:spacing w:line="240" w:lineRule="auto"/>
              <w:jc w:val="center"/>
              <w:rPr>
                <w:rFonts w:cs="Arial"/>
                <w:szCs w:val="20"/>
              </w:rPr>
            </w:pPr>
            <w:r w:rsidRPr="00F25E60">
              <w:rPr>
                <w:rFonts w:cs="Arial"/>
                <w:szCs w:val="20"/>
              </w:rPr>
              <w:t>-</w:t>
            </w:r>
          </w:p>
        </w:tc>
        <w:tc>
          <w:tcPr>
            <w:tcW w:w="754" w:type="dxa"/>
            <w:shd w:val="clear" w:color="auto" w:fill="auto"/>
          </w:tcPr>
          <w:p w14:paraId="2BF87F3A" w14:textId="77777777" w:rsidR="00F25E60" w:rsidRPr="00F25E60" w:rsidRDefault="00F25E60" w:rsidP="00F25E60">
            <w:pPr>
              <w:spacing w:line="240" w:lineRule="auto"/>
              <w:jc w:val="center"/>
              <w:rPr>
                <w:rFonts w:cs="Arial"/>
                <w:szCs w:val="20"/>
              </w:rPr>
            </w:pPr>
            <w:r w:rsidRPr="00F25E60">
              <w:rPr>
                <w:rFonts w:cs="Arial"/>
                <w:szCs w:val="20"/>
              </w:rPr>
              <w:t>± 8</w:t>
            </w:r>
          </w:p>
        </w:tc>
        <w:tc>
          <w:tcPr>
            <w:tcW w:w="754" w:type="dxa"/>
            <w:shd w:val="clear" w:color="auto" w:fill="auto"/>
          </w:tcPr>
          <w:p w14:paraId="7735A0F2" w14:textId="77777777" w:rsidR="00F25E60" w:rsidRPr="00F25E60" w:rsidRDefault="00F25E60" w:rsidP="00F25E60">
            <w:pPr>
              <w:spacing w:line="240" w:lineRule="auto"/>
              <w:jc w:val="center"/>
              <w:rPr>
                <w:rFonts w:cs="Arial"/>
                <w:szCs w:val="20"/>
              </w:rPr>
            </w:pPr>
            <w:r w:rsidRPr="00F25E60">
              <w:rPr>
                <w:rFonts w:cs="Arial"/>
                <w:szCs w:val="20"/>
              </w:rPr>
              <w:t>-</w:t>
            </w:r>
          </w:p>
        </w:tc>
        <w:tc>
          <w:tcPr>
            <w:tcW w:w="754" w:type="dxa"/>
            <w:shd w:val="clear" w:color="auto" w:fill="auto"/>
          </w:tcPr>
          <w:p w14:paraId="5F6C4BB0" w14:textId="77777777" w:rsidR="00F25E60" w:rsidRPr="00F25E60" w:rsidRDefault="00F25E60" w:rsidP="00F25E60">
            <w:pPr>
              <w:spacing w:line="240" w:lineRule="auto"/>
              <w:jc w:val="center"/>
              <w:rPr>
                <w:rFonts w:cs="Arial"/>
                <w:szCs w:val="20"/>
              </w:rPr>
            </w:pPr>
            <w:r w:rsidRPr="00F25E60">
              <w:rPr>
                <w:rFonts w:cs="Arial"/>
                <w:szCs w:val="20"/>
              </w:rPr>
              <w:t>± 8</w:t>
            </w:r>
          </w:p>
        </w:tc>
      </w:tr>
    </w:tbl>
    <w:p w14:paraId="229355F2" w14:textId="77777777" w:rsidR="00F25E60" w:rsidRPr="00F25E60" w:rsidRDefault="00F25E60" w:rsidP="00F25E60">
      <w:pPr>
        <w:spacing w:line="240" w:lineRule="auto"/>
        <w:rPr>
          <w:rFonts w:cs="Arial"/>
          <w:szCs w:val="20"/>
        </w:rPr>
      </w:pPr>
    </w:p>
    <w:p w14:paraId="0954E7FB" w14:textId="77777777" w:rsidR="00F25E60" w:rsidRPr="00F25E60" w:rsidRDefault="00F25E60" w:rsidP="00F25E60">
      <w:pPr>
        <w:spacing w:line="240" w:lineRule="auto"/>
        <w:rPr>
          <w:rFonts w:cs="Arial"/>
          <w:szCs w:val="20"/>
        </w:rPr>
      </w:pPr>
      <w:r w:rsidRPr="00F25E60">
        <w:rPr>
          <w:rFonts w:cs="Arial"/>
          <w:szCs w:val="20"/>
        </w:rPr>
        <w:tab/>
        <w:t>Krzywa uziarnienia (S) deklarowana przez producenta mieszanek powinna nie tylko mieścić się w odpowiednich krzywych uziarnienia (rys. 1÷3) ograniczonych przerywanymi liniami (SDV) z uwzględnieniem dopuszczalnych tolerancji podanych w tablicy 2, ale powinna spełniać także wymagania ciągłości uziarnienia zawarte w tablicy 3.</w:t>
      </w:r>
    </w:p>
    <w:p w14:paraId="19542B1A" w14:textId="77777777" w:rsidR="00F25E60" w:rsidRPr="00F25E60" w:rsidRDefault="00F25E60" w:rsidP="00F25E60">
      <w:pPr>
        <w:spacing w:before="120" w:after="120" w:line="240" w:lineRule="auto"/>
        <w:ind w:left="1202" w:hanging="1202"/>
        <w:rPr>
          <w:rFonts w:cs="Arial"/>
          <w:szCs w:val="20"/>
        </w:rPr>
      </w:pPr>
    </w:p>
    <w:p w14:paraId="4D0650A6" w14:textId="77777777" w:rsidR="00F25E60" w:rsidRPr="00F25E60" w:rsidRDefault="00F25E60" w:rsidP="00F25E60">
      <w:pPr>
        <w:spacing w:before="120" w:after="120" w:line="240" w:lineRule="auto"/>
        <w:ind w:left="1202" w:hanging="1202"/>
        <w:rPr>
          <w:rFonts w:cs="Arial"/>
          <w:szCs w:val="20"/>
        </w:rPr>
      </w:pPr>
    </w:p>
    <w:p w14:paraId="0650BFBC" w14:textId="77777777" w:rsidR="00F25E60" w:rsidRPr="00F25E60" w:rsidRDefault="00F25E60" w:rsidP="00F25E60">
      <w:pPr>
        <w:spacing w:before="120" w:after="120" w:line="240" w:lineRule="auto"/>
        <w:ind w:left="1202" w:hanging="1202"/>
        <w:rPr>
          <w:rFonts w:cs="Arial"/>
          <w:szCs w:val="20"/>
        </w:rPr>
      </w:pPr>
    </w:p>
    <w:p w14:paraId="62D83116" w14:textId="77777777" w:rsidR="00F25E60" w:rsidRPr="00F25E60" w:rsidRDefault="00F25E60" w:rsidP="00F25E60">
      <w:pPr>
        <w:spacing w:before="120" w:after="120" w:line="240" w:lineRule="auto"/>
        <w:ind w:left="1202" w:hanging="1202"/>
        <w:rPr>
          <w:rFonts w:cs="Arial"/>
          <w:szCs w:val="20"/>
        </w:rPr>
      </w:pPr>
    </w:p>
    <w:p w14:paraId="1AE01620" w14:textId="77777777" w:rsidR="00F25E60" w:rsidRPr="00F25E60" w:rsidRDefault="00F25E60" w:rsidP="00F25E60">
      <w:pPr>
        <w:spacing w:before="120" w:after="120" w:line="240" w:lineRule="auto"/>
        <w:ind w:left="1202" w:hanging="1202"/>
        <w:rPr>
          <w:rFonts w:cs="Arial"/>
          <w:szCs w:val="20"/>
        </w:rPr>
      </w:pPr>
    </w:p>
    <w:p w14:paraId="21BD8A24" w14:textId="77777777" w:rsidR="00F25E60" w:rsidRPr="00F25E60" w:rsidRDefault="00F25E60" w:rsidP="00F25E60">
      <w:pPr>
        <w:spacing w:before="120" w:after="120" w:line="240" w:lineRule="auto"/>
        <w:ind w:left="1202" w:hanging="1202"/>
        <w:rPr>
          <w:rFonts w:cs="Arial"/>
          <w:szCs w:val="20"/>
        </w:rPr>
      </w:pPr>
      <w:r w:rsidRPr="00F25E60">
        <w:rPr>
          <w:rFonts w:cs="Arial"/>
          <w:szCs w:val="20"/>
        </w:rPr>
        <w:t>Tablica 3. Wymagania wobec ciągłości uziarnienia na sitach kontrolnych – różnice w przesiewach podczas badań kontrolnych produkowanych mieszanek</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3"/>
        <w:gridCol w:w="594"/>
        <w:gridCol w:w="594"/>
        <w:gridCol w:w="594"/>
        <w:gridCol w:w="594"/>
        <w:gridCol w:w="594"/>
        <w:gridCol w:w="594"/>
        <w:gridCol w:w="594"/>
        <w:gridCol w:w="594"/>
        <w:gridCol w:w="594"/>
        <w:gridCol w:w="594"/>
        <w:gridCol w:w="594"/>
        <w:gridCol w:w="594"/>
        <w:gridCol w:w="594"/>
        <w:gridCol w:w="594"/>
        <w:gridCol w:w="594"/>
        <w:gridCol w:w="594"/>
      </w:tblGrid>
      <w:tr w:rsidR="00F25E60" w:rsidRPr="00F25E60" w14:paraId="0AF22901" w14:textId="77777777" w:rsidTr="007B6855">
        <w:tc>
          <w:tcPr>
            <w:tcW w:w="703" w:type="dxa"/>
            <w:vMerge w:val="restart"/>
          </w:tcPr>
          <w:p w14:paraId="7F69499C" w14:textId="77777777" w:rsidR="00F25E60" w:rsidRPr="00F25E60" w:rsidRDefault="00F25E60" w:rsidP="00F25E60">
            <w:pPr>
              <w:spacing w:line="240" w:lineRule="auto"/>
              <w:jc w:val="center"/>
              <w:rPr>
                <w:rFonts w:cs="Arial"/>
                <w:szCs w:val="20"/>
              </w:rPr>
            </w:pPr>
            <w:r w:rsidRPr="00F25E60">
              <w:rPr>
                <w:rFonts w:cs="Arial"/>
                <w:szCs w:val="20"/>
              </w:rPr>
              <w:t>Mie-</w:t>
            </w:r>
            <w:proofErr w:type="spellStart"/>
            <w:r w:rsidRPr="00F25E60">
              <w:rPr>
                <w:rFonts w:cs="Arial"/>
                <w:szCs w:val="20"/>
              </w:rPr>
              <w:t>szan</w:t>
            </w:r>
            <w:proofErr w:type="spellEnd"/>
            <w:r w:rsidRPr="00F25E60">
              <w:rPr>
                <w:rFonts w:cs="Arial"/>
                <w:szCs w:val="20"/>
              </w:rPr>
              <w:t>-ka, mm</w:t>
            </w:r>
          </w:p>
        </w:tc>
        <w:tc>
          <w:tcPr>
            <w:tcW w:w="8285" w:type="dxa"/>
            <w:gridSpan w:val="16"/>
          </w:tcPr>
          <w:p w14:paraId="0539F144" w14:textId="77777777" w:rsidR="00F25E60" w:rsidRPr="00F25E60" w:rsidRDefault="00F25E60" w:rsidP="00F25E60">
            <w:pPr>
              <w:spacing w:line="240" w:lineRule="auto"/>
              <w:jc w:val="center"/>
              <w:rPr>
                <w:rFonts w:cs="Arial"/>
                <w:szCs w:val="20"/>
              </w:rPr>
            </w:pPr>
            <w:r w:rsidRPr="00F25E60">
              <w:rPr>
                <w:rFonts w:cs="Arial"/>
                <w:szCs w:val="20"/>
              </w:rPr>
              <w:t>Minimalna i maksymalna zawartość frakcji w mieszankach;</w:t>
            </w:r>
          </w:p>
          <w:p w14:paraId="1AE98078" w14:textId="77777777" w:rsidR="00F25E60" w:rsidRPr="00F25E60" w:rsidRDefault="00F25E60" w:rsidP="00F25E60">
            <w:pPr>
              <w:spacing w:line="240" w:lineRule="auto"/>
              <w:jc w:val="center"/>
              <w:rPr>
                <w:rFonts w:cs="Arial"/>
                <w:szCs w:val="20"/>
              </w:rPr>
            </w:pPr>
            <w:r w:rsidRPr="00F25E60">
              <w:rPr>
                <w:rFonts w:cs="Arial"/>
                <w:szCs w:val="20"/>
              </w:rPr>
              <w:t>[różnice przesiewów w % (m/m) przez sito (mm)]</w:t>
            </w:r>
          </w:p>
        </w:tc>
      </w:tr>
      <w:tr w:rsidR="00F25E60" w:rsidRPr="00F25E60" w14:paraId="64888227" w14:textId="77777777" w:rsidTr="007B6855">
        <w:tc>
          <w:tcPr>
            <w:tcW w:w="703" w:type="dxa"/>
            <w:vMerge/>
          </w:tcPr>
          <w:p w14:paraId="071BC1B1" w14:textId="77777777" w:rsidR="00F25E60" w:rsidRPr="00F25E60" w:rsidRDefault="00F25E60" w:rsidP="00F25E60">
            <w:pPr>
              <w:spacing w:line="240" w:lineRule="auto"/>
              <w:jc w:val="center"/>
              <w:rPr>
                <w:rFonts w:cs="Arial"/>
                <w:szCs w:val="20"/>
              </w:rPr>
            </w:pPr>
          </w:p>
        </w:tc>
        <w:tc>
          <w:tcPr>
            <w:tcW w:w="997" w:type="dxa"/>
            <w:gridSpan w:val="2"/>
            <w:tcBorders>
              <w:bottom w:val="single" w:sz="4" w:space="0" w:color="auto"/>
            </w:tcBorders>
          </w:tcPr>
          <w:p w14:paraId="4EE24ADD" w14:textId="77777777" w:rsidR="00F25E60" w:rsidRPr="00F25E60" w:rsidRDefault="00F25E60" w:rsidP="00F25E60">
            <w:pPr>
              <w:spacing w:line="240" w:lineRule="auto"/>
              <w:jc w:val="center"/>
              <w:rPr>
                <w:rFonts w:cs="Arial"/>
                <w:szCs w:val="20"/>
              </w:rPr>
            </w:pPr>
            <w:r w:rsidRPr="00F25E60">
              <w:rPr>
                <w:rFonts w:cs="Arial"/>
                <w:szCs w:val="20"/>
              </w:rPr>
              <w:t>1/2</w:t>
            </w:r>
          </w:p>
        </w:tc>
        <w:tc>
          <w:tcPr>
            <w:tcW w:w="1030" w:type="dxa"/>
            <w:gridSpan w:val="2"/>
            <w:tcBorders>
              <w:bottom w:val="single" w:sz="4" w:space="0" w:color="auto"/>
            </w:tcBorders>
          </w:tcPr>
          <w:p w14:paraId="5A5ED687" w14:textId="77777777" w:rsidR="00F25E60" w:rsidRPr="00F25E60" w:rsidRDefault="00F25E60" w:rsidP="00F25E60">
            <w:pPr>
              <w:spacing w:line="240" w:lineRule="auto"/>
              <w:jc w:val="center"/>
              <w:rPr>
                <w:rFonts w:cs="Arial"/>
                <w:szCs w:val="20"/>
              </w:rPr>
            </w:pPr>
            <w:r w:rsidRPr="00F25E60">
              <w:rPr>
                <w:rFonts w:cs="Arial"/>
                <w:szCs w:val="20"/>
              </w:rPr>
              <w:t>2/4</w:t>
            </w:r>
          </w:p>
        </w:tc>
        <w:tc>
          <w:tcPr>
            <w:tcW w:w="997" w:type="dxa"/>
            <w:gridSpan w:val="2"/>
            <w:tcBorders>
              <w:bottom w:val="single" w:sz="4" w:space="0" w:color="auto"/>
            </w:tcBorders>
          </w:tcPr>
          <w:p w14:paraId="0358D582" w14:textId="77777777" w:rsidR="00F25E60" w:rsidRPr="00F25E60" w:rsidRDefault="00F25E60" w:rsidP="00F25E60">
            <w:pPr>
              <w:spacing w:line="240" w:lineRule="auto"/>
              <w:jc w:val="center"/>
              <w:rPr>
                <w:rFonts w:cs="Arial"/>
                <w:szCs w:val="20"/>
              </w:rPr>
            </w:pPr>
            <w:r w:rsidRPr="00F25E60">
              <w:rPr>
                <w:rFonts w:cs="Arial"/>
                <w:szCs w:val="20"/>
              </w:rPr>
              <w:t>2/5,6</w:t>
            </w:r>
          </w:p>
        </w:tc>
        <w:tc>
          <w:tcPr>
            <w:tcW w:w="997" w:type="dxa"/>
            <w:gridSpan w:val="2"/>
            <w:tcBorders>
              <w:bottom w:val="single" w:sz="4" w:space="0" w:color="auto"/>
            </w:tcBorders>
          </w:tcPr>
          <w:p w14:paraId="02039540" w14:textId="77777777" w:rsidR="00F25E60" w:rsidRPr="00F25E60" w:rsidRDefault="00F25E60" w:rsidP="00F25E60">
            <w:pPr>
              <w:spacing w:line="240" w:lineRule="auto"/>
              <w:jc w:val="center"/>
              <w:rPr>
                <w:rFonts w:cs="Arial"/>
                <w:szCs w:val="20"/>
              </w:rPr>
            </w:pPr>
            <w:r w:rsidRPr="00F25E60">
              <w:rPr>
                <w:rFonts w:cs="Arial"/>
                <w:szCs w:val="20"/>
              </w:rPr>
              <w:t>4/8</w:t>
            </w:r>
          </w:p>
        </w:tc>
        <w:tc>
          <w:tcPr>
            <w:tcW w:w="1071" w:type="dxa"/>
            <w:gridSpan w:val="2"/>
            <w:tcBorders>
              <w:bottom w:val="single" w:sz="4" w:space="0" w:color="auto"/>
            </w:tcBorders>
          </w:tcPr>
          <w:p w14:paraId="5E81747E" w14:textId="77777777" w:rsidR="00F25E60" w:rsidRPr="00F25E60" w:rsidRDefault="00F25E60" w:rsidP="00F25E60">
            <w:pPr>
              <w:spacing w:line="240" w:lineRule="auto"/>
              <w:jc w:val="center"/>
              <w:rPr>
                <w:rFonts w:cs="Arial"/>
                <w:szCs w:val="20"/>
              </w:rPr>
            </w:pPr>
            <w:r w:rsidRPr="00F25E60">
              <w:rPr>
                <w:rFonts w:cs="Arial"/>
                <w:szCs w:val="20"/>
              </w:rPr>
              <w:t>5,6/11,2</w:t>
            </w:r>
          </w:p>
        </w:tc>
        <w:tc>
          <w:tcPr>
            <w:tcW w:w="1071" w:type="dxa"/>
            <w:gridSpan w:val="2"/>
            <w:tcBorders>
              <w:bottom w:val="single" w:sz="4" w:space="0" w:color="auto"/>
            </w:tcBorders>
          </w:tcPr>
          <w:p w14:paraId="275EE11D" w14:textId="77777777" w:rsidR="00F25E60" w:rsidRPr="00F25E60" w:rsidRDefault="00F25E60" w:rsidP="00F25E60">
            <w:pPr>
              <w:spacing w:line="240" w:lineRule="auto"/>
              <w:jc w:val="center"/>
              <w:rPr>
                <w:rFonts w:cs="Arial"/>
                <w:szCs w:val="20"/>
              </w:rPr>
            </w:pPr>
            <w:r w:rsidRPr="00F25E60">
              <w:rPr>
                <w:rFonts w:cs="Arial"/>
                <w:szCs w:val="20"/>
              </w:rPr>
              <w:t>8/16</w:t>
            </w:r>
          </w:p>
        </w:tc>
        <w:tc>
          <w:tcPr>
            <w:tcW w:w="1123" w:type="dxa"/>
            <w:gridSpan w:val="2"/>
            <w:tcBorders>
              <w:bottom w:val="single" w:sz="4" w:space="0" w:color="auto"/>
            </w:tcBorders>
          </w:tcPr>
          <w:p w14:paraId="7DEEF01F" w14:textId="77777777" w:rsidR="00F25E60" w:rsidRPr="00F25E60" w:rsidRDefault="00F25E60" w:rsidP="00F25E60">
            <w:pPr>
              <w:spacing w:line="240" w:lineRule="auto"/>
              <w:jc w:val="center"/>
              <w:rPr>
                <w:rFonts w:cs="Arial"/>
                <w:szCs w:val="20"/>
              </w:rPr>
            </w:pPr>
            <w:r w:rsidRPr="00F25E60">
              <w:rPr>
                <w:rFonts w:cs="Arial"/>
                <w:szCs w:val="20"/>
              </w:rPr>
              <w:t>11,2/22,4</w:t>
            </w:r>
          </w:p>
        </w:tc>
        <w:tc>
          <w:tcPr>
            <w:tcW w:w="999" w:type="dxa"/>
            <w:gridSpan w:val="2"/>
            <w:tcBorders>
              <w:bottom w:val="single" w:sz="4" w:space="0" w:color="auto"/>
            </w:tcBorders>
          </w:tcPr>
          <w:p w14:paraId="527EC641" w14:textId="77777777" w:rsidR="00F25E60" w:rsidRPr="00F25E60" w:rsidRDefault="00F25E60" w:rsidP="00F25E60">
            <w:pPr>
              <w:spacing w:line="240" w:lineRule="auto"/>
              <w:jc w:val="center"/>
              <w:rPr>
                <w:rFonts w:cs="Arial"/>
                <w:szCs w:val="20"/>
              </w:rPr>
            </w:pPr>
            <w:r w:rsidRPr="00F25E60">
              <w:rPr>
                <w:rFonts w:cs="Arial"/>
                <w:szCs w:val="20"/>
              </w:rPr>
              <w:t>16/31,5</w:t>
            </w:r>
          </w:p>
        </w:tc>
      </w:tr>
      <w:tr w:rsidR="00F25E60" w:rsidRPr="00F25E60" w14:paraId="76F2C976" w14:textId="77777777" w:rsidTr="007B6855">
        <w:tc>
          <w:tcPr>
            <w:tcW w:w="703" w:type="dxa"/>
            <w:vMerge/>
            <w:tcBorders>
              <w:bottom w:val="double" w:sz="4" w:space="0" w:color="auto"/>
            </w:tcBorders>
          </w:tcPr>
          <w:p w14:paraId="63F60A80" w14:textId="77777777" w:rsidR="00F25E60" w:rsidRPr="00F25E60" w:rsidRDefault="00F25E60" w:rsidP="00F25E60">
            <w:pPr>
              <w:spacing w:line="240" w:lineRule="auto"/>
              <w:jc w:val="center"/>
              <w:rPr>
                <w:rFonts w:cs="Arial"/>
                <w:szCs w:val="20"/>
              </w:rPr>
            </w:pPr>
          </w:p>
        </w:tc>
        <w:tc>
          <w:tcPr>
            <w:tcW w:w="505" w:type="dxa"/>
            <w:tcBorders>
              <w:bottom w:val="double" w:sz="4" w:space="0" w:color="auto"/>
            </w:tcBorders>
            <w:shd w:val="clear" w:color="auto" w:fill="auto"/>
          </w:tcPr>
          <w:p w14:paraId="70FDC5C3" w14:textId="77777777" w:rsidR="00F25E60" w:rsidRPr="00F25E60" w:rsidRDefault="00F25E60" w:rsidP="00F25E60">
            <w:pPr>
              <w:spacing w:line="240" w:lineRule="auto"/>
              <w:jc w:val="center"/>
              <w:rPr>
                <w:rFonts w:cs="Arial"/>
                <w:szCs w:val="20"/>
              </w:rPr>
            </w:pPr>
            <w:r w:rsidRPr="00F25E60">
              <w:rPr>
                <w:rFonts w:cs="Arial"/>
                <w:szCs w:val="20"/>
              </w:rPr>
              <w:t>min.</w:t>
            </w:r>
          </w:p>
        </w:tc>
        <w:tc>
          <w:tcPr>
            <w:tcW w:w="492" w:type="dxa"/>
            <w:tcBorders>
              <w:bottom w:val="double" w:sz="4" w:space="0" w:color="auto"/>
            </w:tcBorders>
            <w:shd w:val="clear" w:color="auto" w:fill="auto"/>
          </w:tcPr>
          <w:p w14:paraId="5298ADF1" w14:textId="77777777" w:rsidR="00F25E60" w:rsidRPr="00F25E60" w:rsidRDefault="00F25E60" w:rsidP="00F25E60">
            <w:pPr>
              <w:spacing w:line="240" w:lineRule="auto"/>
              <w:jc w:val="center"/>
              <w:rPr>
                <w:rFonts w:cs="Arial"/>
                <w:szCs w:val="20"/>
              </w:rPr>
            </w:pPr>
            <w:r w:rsidRPr="00F25E60">
              <w:rPr>
                <w:rFonts w:cs="Arial"/>
                <w:szCs w:val="20"/>
              </w:rPr>
              <w:t>max</w:t>
            </w:r>
          </w:p>
        </w:tc>
        <w:tc>
          <w:tcPr>
            <w:tcW w:w="521" w:type="dxa"/>
            <w:tcBorders>
              <w:bottom w:val="double" w:sz="4" w:space="0" w:color="auto"/>
            </w:tcBorders>
            <w:shd w:val="clear" w:color="auto" w:fill="auto"/>
          </w:tcPr>
          <w:p w14:paraId="4655EA2A" w14:textId="77777777" w:rsidR="00F25E60" w:rsidRPr="00F25E60" w:rsidRDefault="00F25E60" w:rsidP="00F25E60">
            <w:pPr>
              <w:spacing w:line="240" w:lineRule="auto"/>
              <w:jc w:val="center"/>
              <w:rPr>
                <w:rFonts w:cs="Arial"/>
                <w:szCs w:val="20"/>
              </w:rPr>
            </w:pPr>
            <w:r w:rsidRPr="00F25E60">
              <w:rPr>
                <w:rFonts w:cs="Arial"/>
                <w:szCs w:val="20"/>
              </w:rPr>
              <w:t>min.</w:t>
            </w:r>
          </w:p>
        </w:tc>
        <w:tc>
          <w:tcPr>
            <w:tcW w:w="509" w:type="dxa"/>
            <w:tcBorders>
              <w:bottom w:val="double" w:sz="4" w:space="0" w:color="auto"/>
            </w:tcBorders>
            <w:shd w:val="clear" w:color="auto" w:fill="auto"/>
          </w:tcPr>
          <w:p w14:paraId="69053182" w14:textId="77777777" w:rsidR="00F25E60" w:rsidRPr="00F25E60" w:rsidRDefault="00F25E60" w:rsidP="00F25E60">
            <w:pPr>
              <w:spacing w:line="240" w:lineRule="auto"/>
              <w:jc w:val="center"/>
              <w:rPr>
                <w:rFonts w:cs="Arial"/>
                <w:szCs w:val="20"/>
              </w:rPr>
            </w:pPr>
            <w:r w:rsidRPr="00F25E60">
              <w:rPr>
                <w:rFonts w:cs="Arial"/>
                <w:szCs w:val="20"/>
              </w:rPr>
              <w:t>max</w:t>
            </w:r>
          </w:p>
        </w:tc>
        <w:tc>
          <w:tcPr>
            <w:tcW w:w="505" w:type="dxa"/>
            <w:tcBorders>
              <w:bottom w:val="double" w:sz="4" w:space="0" w:color="auto"/>
            </w:tcBorders>
            <w:shd w:val="clear" w:color="auto" w:fill="auto"/>
          </w:tcPr>
          <w:p w14:paraId="074949C8" w14:textId="77777777" w:rsidR="00F25E60" w:rsidRPr="00F25E60" w:rsidRDefault="00F25E60" w:rsidP="00F25E60">
            <w:pPr>
              <w:spacing w:line="240" w:lineRule="auto"/>
              <w:jc w:val="center"/>
              <w:rPr>
                <w:rFonts w:cs="Arial"/>
                <w:szCs w:val="20"/>
              </w:rPr>
            </w:pPr>
            <w:r w:rsidRPr="00F25E60">
              <w:rPr>
                <w:rFonts w:cs="Arial"/>
                <w:szCs w:val="20"/>
              </w:rPr>
              <w:t>min.</w:t>
            </w:r>
          </w:p>
        </w:tc>
        <w:tc>
          <w:tcPr>
            <w:tcW w:w="492" w:type="dxa"/>
            <w:tcBorders>
              <w:bottom w:val="double" w:sz="4" w:space="0" w:color="auto"/>
            </w:tcBorders>
            <w:shd w:val="clear" w:color="auto" w:fill="auto"/>
          </w:tcPr>
          <w:p w14:paraId="21A0334F" w14:textId="77777777" w:rsidR="00F25E60" w:rsidRPr="00F25E60" w:rsidRDefault="00F25E60" w:rsidP="00F25E60">
            <w:pPr>
              <w:spacing w:line="240" w:lineRule="auto"/>
              <w:jc w:val="center"/>
              <w:rPr>
                <w:rFonts w:cs="Arial"/>
                <w:szCs w:val="20"/>
              </w:rPr>
            </w:pPr>
            <w:r w:rsidRPr="00F25E60">
              <w:rPr>
                <w:rFonts w:cs="Arial"/>
                <w:szCs w:val="20"/>
              </w:rPr>
              <w:t>max</w:t>
            </w:r>
          </w:p>
        </w:tc>
        <w:tc>
          <w:tcPr>
            <w:tcW w:w="505" w:type="dxa"/>
            <w:tcBorders>
              <w:bottom w:val="double" w:sz="4" w:space="0" w:color="auto"/>
            </w:tcBorders>
            <w:shd w:val="clear" w:color="auto" w:fill="auto"/>
          </w:tcPr>
          <w:p w14:paraId="19DD1347" w14:textId="77777777" w:rsidR="00F25E60" w:rsidRPr="00F25E60" w:rsidRDefault="00F25E60" w:rsidP="00F25E60">
            <w:pPr>
              <w:spacing w:line="240" w:lineRule="auto"/>
              <w:jc w:val="center"/>
              <w:rPr>
                <w:rFonts w:cs="Arial"/>
                <w:szCs w:val="20"/>
              </w:rPr>
            </w:pPr>
            <w:r w:rsidRPr="00F25E60">
              <w:rPr>
                <w:rFonts w:cs="Arial"/>
                <w:szCs w:val="20"/>
              </w:rPr>
              <w:t>min.</w:t>
            </w:r>
          </w:p>
        </w:tc>
        <w:tc>
          <w:tcPr>
            <w:tcW w:w="492" w:type="dxa"/>
            <w:tcBorders>
              <w:bottom w:val="double" w:sz="4" w:space="0" w:color="auto"/>
            </w:tcBorders>
            <w:shd w:val="clear" w:color="auto" w:fill="auto"/>
          </w:tcPr>
          <w:p w14:paraId="51393966" w14:textId="77777777" w:rsidR="00F25E60" w:rsidRPr="00F25E60" w:rsidRDefault="00F25E60" w:rsidP="00F25E60">
            <w:pPr>
              <w:spacing w:line="240" w:lineRule="auto"/>
              <w:jc w:val="center"/>
              <w:rPr>
                <w:rFonts w:cs="Arial"/>
                <w:szCs w:val="20"/>
              </w:rPr>
            </w:pPr>
            <w:r w:rsidRPr="00F25E60">
              <w:rPr>
                <w:rFonts w:cs="Arial"/>
                <w:szCs w:val="20"/>
              </w:rPr>
              <w:t>max</w:t>
            </w:r>
          </w:p>
        </w:tc>
        <w:tc>
          <w:tcPr>
            <w:tcW w:w="505" w:type="dxa"/>
            <w:tcBorders>
              <w:bottom w:val="double" w:sz="4" w:space="0" w:color="auto"/>
            </w:tcBorders>
            <w:shd w:val="clear" w:color="auto" w:fill="auto"/>
          </w:tcPr>
          <w:p w14:paraId="1B5BD726" w14:textId="77777777" w:rsidR="00F25E60" w:rsidRPr="00F25E60" w:rsidRDefault="00F25E60" w:rsidP="00F25E60">
            <w:pPr>
              <w:spacing w:line="240" w:lineRule="auto"/>
              <w:jc w:val="center"/>
              <w:rPr>
                <w:rFonts w:cs="Arial"/>
                <w:szCs w:val="20"/>
              </w:rPr>
            </w:pPr>
            <w:r w:rsidRPr="00F25E60">
              <w:rPr>
                <w:rFonts w:cs="Arial"/>
                <w:szCs w:val="20"/>
              </w:rPr>
              <w:t>min.</w:t>
            </w:r>
          </w:p>
        </w:tc>
        <w:tc>
          <w:tcPr>
            <w:tcW w:w="566" w:type="dxa"/>
            <w:tcBorders>
              <w:bottom w:val="double" w:sz="4" w:space="0" w:color="auto"/>
            </w:tcBorders>
            <w:shd w:val="clear" w:color="auto" w:fill="auto"/>
          </w:tcPr>
          <w:p w14:paraId="2D597F28" w14:textId="77777777" w:rsidR="00F25E60" w:rsidRPr="00F25E60" w:rsidRDefault="00F25E60" w:rsidP="00F25E60">
            <w:pPr>
              <w:spacing w:line="240" w:lineRule="auto"/>
              <w:jc w:val="center"/>
              <w:rPr>
                <w:rFonts w:cs="Arial"/>
                <w:szCs w:val="20"/>
              </w:rPr>
            </w:pPr>
            <w:r w:rsidRPr="00F25E60">
              <w:rPr>
                <w:rFonts w:cs="Arial"/>
                <w:szCs w:val="20"/>
              </w:rPr>
              <w:t>max</w:t>
            </w:r>
          </w:p>
        </w:tc>
        <w:tc>
          <w:tcPr>
            <w:tcW w:w="505" w:type="dxa"/>
            <w:tcBorders>
              <w:bottom w:val="double" w:sz="4" w:space="0" w:color="auto"/>
            </w:tcBorders>
            <w:shd w:val="clear" w:color="auto" w:fill="auto"/>
          </w:tcPr>
          <w:p w14:paraId="5D6FFDC4" w14:textId="77777777" w:rsidR="00F25E60" w:rsidRPr="00F25E60" w:rsidRDefault="00F25E60" w:rsidP="00F25E60">
            <w:pPr>
              <w:spacing w:line="240" w:lineRule="auto"/>
              <w:jc w:val="center"/>
              <w:rPr>
                <w:rFonts w:cs="Arial"/>
                <w:szCs w:val="20"/>
              </w:rPr>
            </w:pPr>
            <w:r w:rsidRPr="00F25E60">
              <w:rPr>
                <w:rFonts w:cs="Arial"/>
                <w:szCs w:val="20"/>
              </w:rPr>
              <w:t>min.</w:t>
            </w:r>
          </w:p>
        </w:tc>
        <w:tc>
          <w:tcPr>
            <w:tcW w:w="566" w:type="dxa"/>
            <w:tcBorders>
              <w:bottom w:val="double" w:sz="4" w:space="0" w:color="auto"/>
            </w:tcBorders>
            <w:shd w:val="clear" w:color="auto" w:fill="auto"/>
          </w:tcPr>
          <w:p w14:paraId="2C67390C" w14:textId="77777777" w:rsidR="00F25E60" w:rsidRPr="00F25E60" w:rsidRDefault="00F25E60" w:rsidP="00F25E60">
            <w:pPr>
              <w:spacing w:line="240" w:lineRule="auto"/>
              <w:jc w:val="center"/>
              <w:rPr>
                <w:rFonts w:cs="Arial"/>
                <w:szCs w:val="20"/>
              </w:rPr>
            </w:pPr>
            <w:r w:rsidRPr="00F25E60">
              <w:rPr>
                <w:rFonts w:cs="Arial"/>
                <w:szCs w:val="20"/>
              </w:rPr>
              <w:t>max</w:t>
            </w:r>
          </w:p>
        </w:tc>
        <w:tc>
          <w:tcPr>
            <w:tcW w:w="545" w:type="dxa"/>
            <w:tcBorders>
              <w:bottom w:val="double" w:sz="4" w:space="0" w:color="auto"/>
            </w:tcBorders>
            <w:shd w:val="clear" w:color="auto" w:fill="auto"/>
          </w:tcPr>
          <w:p w14:paraId="0F0449F8" w14:textId="77777777" w:rsidR="00F25E60" w:rsidRPr="00F25E60" w:rsidRDefault="00F25E60" w:rsidP="00F25E60">
            <w:pPr>
              <w:spacing w:line="240" w:lineRule="auto"/>
              <w:jc w:val="center"/>
              <w:rPr>
                <w:rFonts w:cs="Arial"/>
                <w:szCs w:val="20"/>
              </w:rPr>
            </w:pPr>
            <w:r w:rsidRPr="00F25E60">
              <w:rPr>
                <w:rFonts w:cs="Arial"/>
                <w:szCs w:val="20"/>
              </w:rPr>
              <w:t>min.</w:t>
            </w:r>
          </w:p>
        </w:tc>
        <w:tc>
          <w:tcPr>
            <w:tcW w:w="578" w:type="dxa"/>
            <w:tcBorders>
              <w:bottom w:val="double" w:sz="4" w:space="0" w:color="auto"/>
            </w:tcBorders>
            <w:shd w:val="clear" w:color="auto" w:fill="auto"/>
          </w:tcPr>
          <w:p w14:paraId="329662F2" w14:textId="77777777" w:rsidR="00F25E60" w:rsidRPr="00F25E60" w:rsidRDefault="00F25E60" w:rsidP="00F25E60">
            <w:pPr>
              <w:spacing w:line="240" w:lineRule="auto"/>
              <w:jc w:val="center"/>
              <w:rPr>
                <w:rFonts w:cs="Arial"/>
                <w:szCs w:val="20"/>
              </w:rPr>
            </w:pPr>
            <w:r w:rsidRPr="00F25E60">
              <w:rPr>
                <w:rFonts w:cs="Arial"/>
                <w:szCs w:val="20"/>
              </w:rPr>
              <w:t>max</w:t>
            </w:r>
          </w:p>
        </w:tc>
        <w:tc>
          <w:tcPr>
            <w:tcW w:w="507" w:type="dxa"/>
            <w:tcBorders>
              <w:bottom w:val="double" w:sz="4" w:space="0" w:color="auto"/>
            </w:tcBorders>
            <w:shd w:val="clear" w:color="auto" w:fill="auto"/>
          </w:tcPr>
          <w:p w14:paraId="4E5EAC10" w14:textId="77777777" w:rsidR="00F25E60" w:rsidRPr="00F25E60" w:rsidRDefault="00F25E60" w:rsidP="00F25E60">
            <w:pPr>
              <w:spacing w:line="240" w:lineRule="auto"/>
              <w:jc w:val="center"/>
              <w:rPr>
                <w:rFonts w:cs="Arial"/>
                <w:szCs w:val="20"/>
              </w:rPr>
            </w:pPr>
            <w:r w:rsidRPr="00F25E60">
              <w:rPr>
                <w:rFonts w:cs="Arial"/>
                <w:szCs w:val="20"/>
              </w:rPr>
              <w:t>min.</w:t>
            </w:r>
          </w:p>
        </w:tc>
        <w:tc>
          <w:tcPr>
            <w:tcW w:w="492" w:type="dxa"/>
            <w:tcBorders>
              <w:bottom w:val="double" w:sz="4" w:space="0" w:color="auto"/>
            </w:tcBorders>
            <w:shd w:val="clear" w:color="auto" w:fill="auto"/>
          </w:tcPr>
          <w:p w14:paraId="20FBCCF6" w14:textId="77777777" w:rsidR="00F25E60" w:rsidRPr="00F25E60" w:rsidRDefault="00F25E60" w:rsidP="00F25E60">
            <w:pPr>
              <w:spacing w:line="240" w:lineRule="auto"/>
              <w:jc w:val="center"/>
              <w:rPr>
                <w:rFonts w:cs="Arial"/>
                <w:szCs w:val="20"/>
              </w:rPr>
            </w:pPr>
            <w:r w:rsidRPr="00F25E60">
              <w:rPr>
                <w:rFonts w:cs="Arial"/>
                <w:szCs w:val="20"/>
              </w:rPr>
              <w:t>max</w:t>
            </w:r>
          </w:p>
        </w:tc>
      </w:tr>
      <w:tr w:rsidR="00F25E60" w:rsidRPr="00F25E60" w14:paraId="78C9401D" w14:textId="77777777" w:rsidTr="007B6855">
        <w:tc>
          <w:tcPr>
            <w:tcW w:w="703" w:type="dxa"/>
            <w:tcBorders>
              <w:top w:val="double" w:sz="4" w:space="0" w:color="auto"/>
            </w:tcBorders>
          </w:tcPr>
          <w:p w14:paraId="5B27BABD" w14:textId="77777777" w:rsidR="00F25E60" w:rsidRPr="00F25E60" w:rsidRDefault="00F25E60" w:rsidP="00F25E60">
            <w:pPr>
              <w:spacing w:line="240" w:lineRule="auto"/>
              <w:jc w:val="center"/>
              <w:rPr>
                <w:rFonts w:cs="Arial"/>
                <w:szCs w:val="20"/>
              </w:rPr>
            </w:pPr>
            <w:r w:rsidRPr="00F25E60">
              <w:rPr>
                <w:rFonts w:cs="Arial"/>
                <w:szCs w:val="20"/>
              </w:rPr>
              <w:t>0/31,5</w:t>
            </w:r>
          </w:p>
        </w:tc>
        <w:tc>
          <w:tcPr>
            <w:tcW w:w="505" w:type="dxa"/>
            <w:tcBorders>
              <w:top w:val="double" w:sz="4" w:space="0" w:color="auto"/>
            </w:tcBorders>
            <w:shd w:val="clear" w:color="auto" w:fill="auto"/>
          </w:tcPr>
          <w:p w14:paraId="1E33BCB4" w14:textId="77777777" w:rsidR="00F25E60" w:rsidRPr="00F25E60" w:rsidRDefault="00F25E60" w:rsidP="00F25E60">
            <w:pPr>
              <w:spacing w:line="240" w:lineRule="auto"/>
              <w:jc w:val="center"/>
              <w:rPr>
                <w:rFonts w:cs="Arial"/>
                <w:szCs w:val="20"/>
              </w:rPr>
            </w:pPr>
            <w:r w:rsidRPr="00F25E60">
              <w:rPr>
                <w:rFonts w:cs="Arial"/>
                <w:szCs w:val="20"/>
              </w:rPr>
              <w:t>4</w:t>
            </w:r>
          </w:p>
        </w:tc>
        <w:tc>
          <w:tcPr>
            <w:tcW w:w="492" w:type="dxa"/>
            <w:tcBorders>
              <w:top w:val="double" w:sz="4" w:space="0" w:color="auto"/>
            </w:tcBorders>
            <w:shd w:val="clear" w:color="auto" w:fill="auto"/>
          </w:tcPr>
          <w:p w14:paraId="41DB0947" w14:textId="77777777" w:rsidR="00F25E60" w:rsidRPr="00F25E60" w:rsidRDefault="00F25E60" w:rsidP="00F25E60">
            <w:pPr>
              <w:spacing w:line="240" w:lineRule="auto"/>
              <w:jc w:val="center"/>
              <w:rPr>
                <w:rFonts w:cs="Arial"/>
                <w:szCs w:val="20"/>
              </w:rPr>
            </w:pPr>
            <w:r w:rsidRPr="00F25E60">
              <w:rPr>
                <w:rFonts w:cs="Arial"/>
                <w:szCs w:val="20"/>
              </w:rPr>
              <w:t>15</w:t>
            </w:r>
          </w:p>
        </w:tc>
        <w:tc>
          <w:tcPr>
            <w:tcW w:w="521" w:type="dxa"/>
            <w:tcBorders>
              <w:top w:val="double" w:sz="4" w:space="0" w:color="auto"/>
            </w:tcBorders>
            <w:shd w:val="clear" w:color="auto" w:fill="auto"/>
          </w:tcPr>
          <w:p w14:paraId="0AFFB200" w14:textId="77777777" w:rsidR="00F25E60" w:rsidRPr="00F25E60" w:rsidRDefault="00F25E60" w:rsidP="00F25E60">
            <w:pPr>
              <w:spacing w:line="240" w:lineRule="auto"/>
              <w:jc w:val="center"/>
              <w:rPr>
                <w:rFonts w:cs="Arial"/>
                <w:szCs w:val="20"/>
              </w:rPr>
            </w:pPr>
            <w:r w:rsidRPr="00F25E60">
              <w:rPr>
                <w:rFonts w:cs="Arial"/>
                <w:szCs w:val="20"/>
              </w:rPr>
              <w:t>7</w:t>
            </w:r>
          </w:p>
        </w:tc>
        <w:tc>
          <w:tcPr>
            <w:tcW w:w="509" w:type="dxa"/>
            <w:tcBorders>
              <w:top w:val="double" w:sz="4" w:space="0" w:color="auto"/>
            </w:tcBorders>
            <w:shd w:val="clear" w:color="auto" w:fill="auto"/>
          </w:tcPr>
          <w:p w14:paraId="0E5C6F3D" w14:textId="77777777" w:rsidR="00F25E60" w:rsidRPr="00F25E60" w:rsidRDefault="00F25E60" w:rsidP="00F25E60">
            <w:pPr>
              <w:spacing w:line="240" w:lineRule="auto"/>
              <w:jc w:val="center"/>
              <w:rPr>
                <w:rFonts w:cs="Arial"/>
                <w:szCs w:val="20"/>
              </w:rPr>
            </w:pPr>
            <w:r w:rsidRPr="00F25E60">
              <w:rPr>
                <w:rFonts w:cs="Arial"/>
                <w:szCs w:val="20"/>
              </w:rPr>
              <w:t>20</w:t>
            </w:r>
          </w:p>
        </w:tc>
        <w:tc>
          <w:tcPr>
            <w:tcW w:w="505" w:type="dxa"/>
            <w:tcBorders>
              <w:top w:val="double" w:sz="4" w:space="0" w:color="auto"/>
            </w:tcBorders>
            <w:shd w:val="clear" w:color="auto" w:fill="auto"/>
          </w:tcPr>
          <w:p w14:paraId="0B242458" w14:textId="77777777" w:rsidR="00F25E60" w:rsidRPr="00F25E60" w:rsidRDefault="00F25E60" w:rsidP="00F25E60">
            <w:pPr>
              <w:spacing w:line="240" w:lineRule="auto"/>
              <w:jc w:val="center"/>
              <w:rPr>
                <w:rFonts w:cs="Arial"/>
                <w:szCs w:val="20"/>
              </w:rPr>
            </w:pPr>
            <w:r w:rsidRPr="00F25E60">
              <w:rPr>
                <w:rFonts w:cs="Arial"/>
                <w:szCs w:val="20"/>
              </w:rPr>
              <w:t>-</w:t>
            </w:r>
          </w:p>
        </w:tc>
        <w:tc>
          <w:tcPr>
            <w:tcW w:w="492" w:type="dxa"/>
            <w:tcBorders>
              <w:top w:val="double" w:sz="4" w:space="0" w:color="auto"/>
            </w:tcBorders>
            <w:shd w:val="clear" w:color="auto" w:fill="auto"/>
          </w:tcPr>
          <w:p w14:paraId="04930BC1" w14:textId="77777777" w:rsidR="00F25E60" w:rsidRPr="00F25E60" w:rsidRDefault="00F25E60" w:rsidP="00F25E60">
            <w:pPr>
              <w:spacing w:line="240" w:lineRule="auto"/>
              <w:jc w:val="center"/>
              <w:rPr>
                <w:rFonts w:cs="Arial"/>
                <w:szCs w:val="20"/>
              </w:rPr>
            </w:pPr>
            <w:r w:rsidRPr="00F25E60">
              <w:rPr>
                <w:rFonts w:cs="Arial"/>
                <w:szCs w:val="20"/>
              </w:rPr>
              <w:t>-</w:t>
            </w:r>
          </w:p>
        </w:tc>
        <w:tc>
          <w:tcPr>
            <w:tcW w:w="505" w:type="dxa"/>
            <w:tcBorders>
              <w:top w:val="double" w:sz="4" w:space="0" w:color="auto"/>
            </w:tcBorders>
            <w:shd w:val="clear" w:color="auto" w:fill="auto"/>
          </w:tcPr>
          <w:p w14:paraId="18369F0B" w14:textId="77777777" w:rsidR="00F25E60" w:rsidRPr="00F25E60" w:rsidRDefault="00F25E60" w:rsidP="00F25E60">
            <w:pPr>
              <w:spacing w:line="240" w:lineRule="auto"/>
              <w:jc w:val="center"/>
              <w:rPr>
                <w:rFonts w:cs="Arial"/>
                <w:szCs w:val="20"/>
              </w:rPr>
            </w:pPr>
            <w:r w:rsidRPr="00F25E60">
              <w:rPr>
                <w:rFonts w:cs="Arial"/>
                <w:szCs w:val="20"/>
              </w:rPr>
              <w:t>10</w:t>
            </w:r>
          </w:p>
        </w:tc>
        <w:tc>
          <w:tcPr>
            <w:tcW w:w="492" w:type="dxa"/>
            <w:tcBorders>
              <w:top w:val="double" w:sz="4" w:space="0" w:color="auto"/>
            </w:tcBorders>
            <w:shd w:val="clear" w:color="auto" w:fill="auto"/>
          </w:tcPr>
          <w:p w14:paraId="028017C1" w14:textId="77777777" w:rsidR="00F25E60" w:rsidRPr="00F25E60" w:rsidRDefault="00F25E60" w:rsidP="00F25E60">
            <w:pPr>
              <w:spacing w:line="240" w:lineRule="auto"/>
              <w:jc w:val="center"/>
              <w:rPr>
                <w:rFonts w:cs="Arial"/>
                <w:szCs w:val="20"/>
              </w:rPr>
            </w:pPr>
            <w:r w:rsidRPr="00F25E60">
              <w:rPr>
                <w:rFonts w:cs="Arial"/>
                <w:szCs w:val="20"/>
              </w:rPr>
              <w:t>25</w:t>
            </w:r>
          </w:p>
        </w:tc>
        <w:tc>
          <w:tcPr>
            <w:tcW w:w="505" w:type="dxa"/>
            <w:tcBorders>
              <w:top w:val="double" w:sz="4" w:space="0" w:color="auto"/>
            </w:tcBorders>
            <w:shd w:val="clear" w:color="auto" w:fill="auto"/>
          </w:tcPr>
          <w:p w14:paraId="071C07C8" w14:textId="77777777" w:rsidR="00F25E60" w:rsidRPr="00F25E60" w:rsidRDefault="00F25E60" w:rsidP="00F25E60">
            <w:pPr>
              <w:spacing w:line="240" w:lineRule="auto"/>
              <w:jc w:val="center"/>
              <w:rPr>
                <w:rFonts w:cs="Arial"/>
                <w:szCs w:val="20"/>
              </w:rPr>
            </w:pPr>
            <w:r w:rsidRPr="00F25E60">
              <w:rPr>
                <w:rFonts w:cs="Arial"/>
                <w:szCs w:val="20"/>
              </w:rPr>
              <w:t>-</w:t>
            </w:r>
          </w:p>
        </w:tc>
        <w:tc>
          <w:tcPr>
            <w:tcW w:w="566" w:type="dxa"/>
            <w:tcBorders>
              <w:top w:val="double" w:sz="4" w:space="0" w:color="auto"/>
            </w:tcBorders>
            <w:shd w:val="clear" w:color="auto" w:fill="auto"/>
          </w:tcPr>
          <w:p w14:paraId="59632DC4" w14:textId="77777777" w:rsidR="00F25E60" w:rsidRPr="00F25E60" w:rsidRDefault="00F25E60" w:rsidP="00F25E60">
            <w:pPr>
              <w:spacing w:line="240" w:lineRule="auto"/>
              <w:jc w:val="center"/>
              <w:rPr>
                <w:rFonts w:cs="Arial"/>
                <w:szCs w:val="20"/>
              </w:rPr>
            </w:pPr>
            <w:r w:rsidRPr="00F25E60">
              <w:rPr>
                <w:rFonts w:cs="Arial"/>
                <w:szCs w:val="20"/>
              </w:rPr>
              <w:t>-</w:t>
            </w:r>
          </w:p>
        </w:tc>
        <w:tc>
          <w:tcPr>
            <w:tcW w:w="505" w:type="dxa"/>
            <w:tcBorders>
              <w:top w:val="double" w:sz="4" w:space="0" w:color="auto"/>
            </w:tcBorders>
            <w:shd w:val="clear" w:color="auto" w:fill="auto"/>
          </w:tcPr>
          <w:p w14:paraId="4CDFAC2F" w14:textId="77777777" w:rsidR="00F25E60" w:rsidRPr="00F25E60" w:rsidRDefault="00F25E60" w:rsidP="00F25E60">
            <w:pPr>
              <w:spacing w:line="240" w:lineRule="auto"/>
              <w:jc w:val="center"/>
              <w:rPr>
                <w:rFonts w:cs="Arial"/>
                <w:szCs w:val="20"/>
              </w:rPr>
            </w:pPr>
            <w:r w:rsidRPr="00F25E60">
              <w:rPr>
                <w:rFonts w:cs="Arial"/>
                <w:szCs w:val="20"/>
              </w:rPr>
              <w:t>10</w:t>
            </w:r>
          </w:p>
        </w:tc>
        <w:tc>
          <w:tcPr>
            <w:tcW w:w="566" w:type="dxa"/>
            <w:tcBorders>
              <w:top w:val="double" w:sz="4" w:space="0" w:color="auto"/>
            </w:tcBorders>
            <w:shd w:val="clear" w:color="auto" w:fill="auto"/>
          </w:tcPr>
          <w:p w14:paraId="3BDD5886" w14:textId="77777777" w:rsidR="00F25E60" w:rsidRPr="00F25E60" w:rsidRDefault="00F25E60" w:rsidP="00F25E60">
            <w:pPr>
              <w:spacing w:line="240" w:lineRule="auto"/>
              <w:jc w:val="center"/>
              <w:rPr>
                <w:rFonts w:cs="Arial"/>
                <w:szCs w:val="20"/>
              </w:rPr>
            </w:pPr>
            <w:r w:rsidRPr="00F25E60">
              <w:rPr>
                <w:rFonts w:cs="Arial"/>
                <w:szCs w:val="20"/>
              </w:rPr>
              <w:t>25</w:t>
            </w:r>
          </w:p>
        </w:tc>
        <w:tc>
          <w:tcPr>
            <w:tcW w:w="545" w:type="dxa"/>
            <w:tcBorders>
              <w:top w:val="double" w:sz="4" w:space="0" w:color="auto"/>
            </w:tcBorders>
            <w:shd w:val="clear" w:color="auto" w:fill="auto"/>
          </w:tcPr>
          <w:p w14:paraId="3599D12A" w14:textId="77777777" w:rsidR="00F25E60" w:rsidRPr="00F25E60" w:rsidRDefault="00F25E60" w:rsidP="00F25E60">
            <w:pPr>
              <w:spacing w:line="240" w:lineRule="auto"/>
              <w:jc w:val="center"/>
              <w:rPr>
                <w:rFonts w:cs="Arial"/>
                <w:szCs w:val="20"/>
              </w:rPr>
            </w:pPr>
            <w:r w:rsidRPr="00F25E60">
              <w:rPr>
                <w:rFonts w:cs="Arial"/>
                <w:szCs w:val="20"/>
              </w:rPr>
              <w:t>-</w:t>
            </w:r>
          </w:p>
        </w:tc>
        <w:tc>
          <w:tcPr>
            <w:tcW w:w="578" w:type="dxa"/>
            <w:tcBorders>
              <w:top w:val="double" w:sz="4" w:space="0" w:color="auto"/>
            </w:tcBorders>
            <w:shd w:val="clear" w:color="auto" w:fill="auto"/>
          </w:tcPr>
          <w:p w14:paraId="68FA12D8" w14:textId="77777777" w:rsidR="00F25E60" w:rsidRPr="00F25E60" w:rsidRDefault="00F25E60" w:rsidP="00F25E60">
            <w:pPr>
              <w:spacing w:line="240" w:lineRule="auto"/>
              <w:jc w:val="center"/>
              <w:rPr>
                <w:rFonts w:cs="Arial"/>
                <w:szCs w:val="20"/>
              </w:rPr>
            </w:pPr>
            <w:r w:rsidRPr="00F25E60">
              <w:rPr>
                <w:rFonts w:cs="Arial"/>
                <w:szCs w:val="20"/>
              </w:rPr>
              <w:t>-</w:t>
            </w:r>
          </w:p>
        </w:tc>
        <w:tc>
          <w:tcPr>
            <w:tcW w:w="507" w:type="dxa"/>
            <w:tcBorders>
              <w:top w:val="double" w:sz="4" w:space="0" w:color="auto"/>
            </w:tcBorders>
            <w:shd w:val="clear" w:color="auto" w:fill="auto"/>
          </w:tcPr>
          <w:p w14:paraId="5CB1D976" w14:textId="77777777" w:rsidR="00F25E60" w:rsidRPr="00F25E60" w:rsidRDefault="00F25E60" w:rsidP="00F25E60">
            <w:pPr>
              <w:spacing w:line="240" w:lineRule="auto"/>
              <w:jc w:val="center"/>
              <w:rPr>
                <w:rFonts w:cs="Arial"/>
                <w:szCs w:val="20"/>
              </w:rPr>
            </w:pPr>
            <w:r w:rsidRPr="00F25E60">
              <w:rPr>
                <w:rFonts w:cs="Arial"/>
                <w:szCs w:val="20"/>
              </w:rPr>
              <w:t>-</w:t>
            </w:r>
          </w:p>
        </w:tc>
        <w:tc>
          <w:tcPr>
            <w:tcW w:w="492" w:type="dxa"/>
            <w:tcBorders>
              <w:top w:val="double" w:sz="4" w:space="0" w:color="auto"/>
            </w:tcBorders>
            <w:shd w:val="clear" w:color="auto" w:fill="auto"/>
          </w:tcPr>
          <w:p w14:paraId="2DF05A69" w14:textId="77777777" w:rsidR="00F25E60" w:rsidRPr="00F25E60" w:rsidRDefault="00F25E60" w:rsidP="00F25E60">
            <w:pPr>
              <w:spacing w:line="240" w:lineRule="auto"/>
              <w:jc w:val="center"/>
              <w:rPr>
                <w:rFonts w:cs="Arial"/>
                <w:szCs w:val="20"/>
              </w:rPr>
            </w:pPr>
            <w:r w:rsidRPr="00F25E60">
              <w:rPr>
                <w:rFonts w:cs="Arial"/>
                <w:szCs w:val="20"/>
              </w:rPr>
              <w:t>-</w:t>
            </w:r>
          </w:p>
        </w:tc>
      </w:tr>
      <w:tr w:rsidR="00F25E60" w:rsidRPr="00F25E60" w14:paraId="2A6E4F3C" w14:textId="77777777" w:rsidTr="007B6855">
        <w:tc>
          <w:tcPr>
            <w:tcW w:w="703" w:type="dxa"/>
          </w:tcPr>
          <w:p w14:paraId="5BAD8DCC" w14:textId="77777777" w:rsidR="00F25E60" w:rsidRPr="00F25E60" w:rsidRDefault="00F25E60" w:rsidP="00F25E60">
            <w:pPr>
              <w:spacing w:line="240" w:lineRule="auto"/>
              <w:jc w:val="center"/>
              <w:rPr>
                <w:rFonts w:cs="Arial"/>
                <w:szCs w:val="20"/>
              </w:rPr>
            </w:pPr>
            <w:r w:rsidRPr="00F25E60">
              <w:rPr>
                <w:rFonts w:cs="Arial"/>
                <w:szCs w:val="20"/>
              </w:rPr>
              <w:t>0/45</w:t>
            </w:r>
          </w:p>
        </w:tc>
        <w:tc>
          <w:tcPr>
            <w:tcW w:w="505" w:type="dxa"/>
            <w:shd w:val="clear" w:color="auto" w:fill="auto"/>
          </w:tcPr>
          <w:p w14:paraId="2C25AF4A" w14:textId="77777777" w:rsidR="00F25E60" w:rsidRPr="00F25E60" w:rsidRDefault="00F25E60" w:rsidP="00F25E60">
            <w:pPr>
              <w:spacing w:line="240" w:lineRule="auto"/>
              <w:jc w:val="center"/>
              <w:rPr>
                <w:rFonts w:cs="Arial"/>
                <w:szCs w:val="20"/>
              </w:rPr>
            </w:pPr>
            <w:r w:rsidRPr="00F25E60">
              <w:rPr>
                <w:rFonts w:cs="Arial"/>
                <w:szCs w:val="20"/>
              </w:rPr>
              <w:t>4</w:t>
            </w:r>
          </w:p>
        </w:tc>
        <w:tc>
          <w:tcPr>
            <w:tcW w:w="492" w:type="dxa"/>
            <w:shd w:val="clear" w:color="auto" w:fill="auto"/>
          </w:tcPr>
          <w:p w14:paraId="3CC27E1A" w14:textId="77777777" w:rsidR="00F25E60" w:rsidRPr="00F25E60" w:rsidRDefault="00F25E60" w:rsidP="00F25E60">
            <w:pPr>
              <w:spacing w:line="240" w:lineRule="auto"/>
              <w:jc w:val="center"/>
              <w:rPr>
                <w:rFonts w:cs="Arial"/>
                <w:szCs w:val="20"/>
              </w:rPr>
            </w:pPr>
            <w:r w:rsidRPr="00F25E60">
              <w:rPr>
                <w:rFonts w:cs="Arial"/>
                <w:szCs w:val="20"/>
              </w:rPr>
              <w:t>15</w:t>
            </w:r>
          </w:p>
        </w:tc>
        <w:tc>
          <w:tcPr>
            <w:tcW w:w="521" w:type="dxa"/>
            <w:shd w:val="clear" w:color="auto" w:fill="auto"/>
          </w:tcPr>
          <w:p w14:paraId="0C6C8B95" w14:textId="77777777" w:rsidR="00F25E60" w:rsidRPr="00F25E60" w:rsidRDefault="00F25E60" w:rsidP="00F25E60">
            <w:pPr>
              <w:spacing w:line="240" w:lineRule="auto"/>
              <w:jc w:val="center"/>
              <w:rPr>
                <w:rFonts w:cs="Arial"/>
                <w:szCs w:val="20"/>
              </w:rPr>
            </w:pPr>
            <w:r w:rsidRPr="00F25E60">
              <w:rPr>
                <w:rFonts w:cs="Arial"/>
                <w:szCs w:val="20"/>
              </w:rPr>
              <w:t>-</w:t>
            </w:r>
          </w:p>
        </w:tc>
        <w:tc>
          <w:tcPr>
            <w:tcW w:w="509" w:type="dxa"/>
            <w:shd w:val="clear" w:color="auto" w:fill="auto"/>
          </w:tcPr>
          <w:p w14:paraId="3B338854" w14:textId="77777777" w:rsidR="00F25E60" w:rsidRPr="00F25E60" w:rsidRDefault="00F25E60" w:rsidP="00F25E60">
            <w:pPr>
              <w:spacing w:line="240" w:lineRule="auto"/>
              <w:jc w:val="center"/>
              <w:rPr>
                <w:rFonts w:cs="Arial"/>
                <w:szCs w:val="20"/>
              </w:rPr>
            </w:pPr>
            <w:r w:rsidRPr="00F25E60">
              <w:rPr>
                <w:rFonts w:cs="Arial"/>
                <w:szCs w:val="20"/>
              </w:rPr>
              <w:t>-</w:t>
            </w:r>
          </w:p>
        </w:tc>
        <w:tc>
          <w:tcPr>
            <w:tcW w:w="505" w:type="dxa"/>
            <w:shd w:val="clear" w:color="auto" w:fill="auto"/>
          </w:tcPr>
          <w:p w14:paraId="4301D702" w14:textId="77777777" w:rsidR="00F25E60" w:rsidRPr="00F25E60" w:rsidRDefault="00F25E60" w:rsidP="00F25E60">
            <w:pPr>
              <w:spacing w:line="240" w:lineRule="auto"/>
              <w:jc w:val="center"/>
              <w:rPr>
                <w:rFonts w:cs="Arial"/>
                <w:szCs w:val="20"/>
              </w:rPr>
            </w:pPr>
            <w:r w:rsidRPr="00F25E60">
              <w:rPr>
                <w:rFonts w:cs="Arial"/>
                <w:szCs w:val="20"/>
              </w:rPr>
              <w:t>7</w:t>
            </w:r>
          </w:p>
        </w:tc>
        <w:tc>
          <w:tcPr>
            <w:tcW w:w="492" w:type="dxa"/>
            <w:shd w:val="clear" w:color="auto" w:fill="auto"/>
          </w:tcPr>
          <w:p w14:paraId="38A22F0F" w14:textId="77777777" w:rsidR="00F25E60" w:rsidRPr="00F25E60" w:rsidRDefault="00F25E60" w:rsidP="00F25E60">
            <w:pPr>
              <w:spacing w:line="240" w:lineRule="auto"/>
              <w:jc w:val="center"/>
              <w:rPr>
                <w:rFonts w:cs="Arial"/>
                <w:szCs w:val="20"/>
              </w:rPr>
            </w:pPr>
            <w:r w:rsidRPr="00F25E60">
              <w:rPr>
                <w:rFonts w:cs="Arial"/>
                <w:szCs w:val="20"/>
              </w:rPr>
              <w:t>20</w:t>
            </w:r>
          </w:p>
        </w:tc>
        <w:tc>
          <w:tcPr>
            <w:tcW w:w="505" w:type="dxa"/>
            <w:shd w:val="clear" w:color="auto" w:fill="auto"/>
          </w:tcPr>
          <w:p w14:paraId="40F4294B" w14:textId="77777777" w:rsidR="00F25E60" w:rsidRPr="00F25E60" w:rsidRDefault="00F25E60" w:rsidP="00F25E60">
            <w:pPr>
              <w:spacing w:line="240" w:lineRule="auto"/>
              <w:jc w:val="center"/>
              <w:rPr>
                <w:rFonts w:cs="Arial"/>
                <w:szCs w:val="20"/>
              </w:rPr>
            </w:pPr>
            <w:r w:rsidRPr="00F25E60">
              <w:rPr>
                <w:rFonts w:cs="Arial"/>
                <w:szCs w:val="20"/>
              </w:rPr>
              <w:t>-</w:t>
            </w:r>
          </w:p>
        </w:tc>
        <w:tc>
          <w:tcPr>
            <w:tcW w:w="492" w:type="dxa"/>
            <w:shd w:val="clear" w:color="auto" w:fill="auto"/>
          </w:tcPr>
          <w:p w14:paraId="71E0E9BA" w14:textId="77777777" w:rsidR="00F25E60" w:rsidRPr="00F25E60" w:rsidRDefault="00F25E60" w:rsidP="00F25E60">
            <w:pPr>
              <w:spacing w:line="240" w:lineRule="auto"/>
              <w:jc w:val="center"/>
              <w:rPr>
                <w:rFonts w:cs="Arial"/>
                <w:szCs w:val="20"/>
              </w:rPr>
            </w:pPr>
            <w:r w:rsidRPr="00F25E60">
              <w:rPr>
                <w:rFonts w:cs="Arial"/>
                <w:szCs w:val="20"/>
              </w:rPr>
              <w:t>-</w:t>
            </w:r>
          </w:p>
        </w:tc>
        <w:tc>
          <w:tcPr>
            <w:tcW w:w="505" w:type="dxa"/>
            <w:shd w:val="clear" w:color="auto" w:fill="auto"/>
          </w:tcPr>
          <w:p w14:paraId="5C736959" w14:textId="77777777" w:rsidR="00F25E60" w:rsidRPr="00F25E60" w:rsidRDefault="00F25E60" w:rsidP="00F25E60">
            <w:pPr>
              <w:spacing w:line="240" w:lineRule="auto"/>
              <w:jc w:val="center"/>
              <w:rPr>
                <w:rFonts w:cs="Arial"/>
                <w:szCs w:val="20"/>
              </w:rPr>
            </w:pPr>
            <w:r w:rsidRPr="00F25E60">
              <w:rPr>
                <w:rFonts w:cs="Arial"/>
                <w:szCs w:val="20"/>
              </w:rPr>
              <w:t>10</w:t>
            </w:r>
          </w:p>
        </w:tc>
        <w:tc>
          <w:tcPr>
            <w:tcW w:w="566" w:type="dxa"/>
            <w:shd w:val="clear" w:color="auto" w:fill="auto"/>
          </w:tcPr>
          <w:p w14:paraId="529D6102" w14:textId="77777777" w:rsidR="00F25E60" w:rsidRPr="00F25E60" w:rsidRDefault="00F25E60" w:rsidP="00F25E60">
            <w:pPr>
              <w:spacing w:line="240" w:lineRule="auto"/>
              <w:jc w:val="center"/>
              <w:rPr>
                <w:rFonts w:cs="Arial"/>
                <w:szCs w:val="20"/>
              </w:rPr>
            </w:pPr>
            <w:r w:rsidRPr="00F25E60">
              <w:rPr>
                <w:rFonts w:cs="Arial"/>
                <w:szCs w:val="20"/>
              </w:rPr>
              <w:t>25</w:t>
            </w:r>
          </w:p>
        </w:tc>
        <w:tc>
          <w:tcPr>
            <w:tcW w:w="505" w:type="dxa"/>
            <w:shd w:val="clear" w:color="auto" w:fill="auto"/>
          </w:tcPr>
          <w:p w14:paraId="7A9F7638" w14:textId="77777777" w:rsidR="00F25E60" w:rsidRPr="00F25E60" w:rsidRDefault="00F25E60" w:rsidP="00F25E60">
            <w:pPr>
              <w:spacing w:line="240" w:lineRule="auto"/>
              <w:jc w:val="center"/>
              <w:rPr>
                <w:rFonts w:cs="Arial"/>
                <w:szCs w:val="20"/>
              </w:rPr>
            </w:pPr>
            <w:r w:rsidRPr="00F25E60">
              <w:rPr>
                <w:rFonts w:cs="Arial"/>
                <w:szCs w:val="20"/>
              </w:rPr>
              <w:t>-</w:t>
            </w:r>
          </w:p>
        </w:tc>
        <w:tc>
          <w:tcPr>
            <w:tcW w:w="566" w:type="dxa"/>
            <w:shd w:val="clear" w:color="auto" w:fill="auto"/>
          </w:tcPr>
          <w:p w14:paraId="52874325" w14:textId="77777777" w:rsidR="00F25E60" w:rsidRPr="00F25E60" w:rsidRDefault="00F25E60" w:rsidP="00F25E60">
            <w:pPr>
              <w:spacing w:line="240" w:lineRule="auto"/>
              <w:jc w:val="center"/>
              <w:rPr>
                <w:rFonts w:cs="Arial"/>
                <w:szCs w:val="20"/>
              </w:rPr>
            </w:pPr>
            <w:r w:rsidRPr="00F25E60">
              <w:rPr>
                <w:rFonts w:cs="Arial"/>
                <w:szCs w:val="20"/>
              </w:rPr>
              <w:t>-</w:t>
            </w:r>
          </w:p>
        </w:tc>
        <w:tc>
          <w:tcPr>
            <w:tcW w:w="545" w:type="dxa"/>
            <w:shd w:val="clear" w:color="auto" w:fill="auto"/>
          </w:tcPr>
          <w:p w14:paraId="2A27C593" w14:textId="77777777" w:rsidR="00F25E60" w:rsidRPr="00F25E60" w:rsidRDefault="00F25E60" w:rsidP="00F25E60">
            <w:pPr>
              <w:spacing w:line="240" w:lineRule="auto"/>
              <w:jc w:val="center"/>
              <w:rPr>
                <w:rFonts w:cs="Arial"/>
                <w:szCs w:val="20"/>
              </w:rPr>
            </w:pPr>
            <w:r w:rsidRPr="00F25E60">
              <w:rPr>
                <w:rFonts w:cs="Arial"/>
                <w:szCs w:val="20"/>
              </w:rPr>
              <w:t>10</w:t>
            </w:r>
          </w:p>
        </w:tc>
        <w:tc>
          <w:tcPr>
            <w:tcW w:w="578" w:type="dxa"/>
            <w:shd w:val="clear" w:color="auto" w:fill="auto"/>
          </w:tcPr>
          <w:p w14:paraId="52D357CA" w14:textId="77777777" w:rsidR="00F25E60" w:rsidRPr="00F25E60" w:rsidRDefault="00F25E60" w:rsidP="00F25E60">
            <w:pPr>
              <w:spacing w:line="240" w:lineRule="auto"/>
              <w:jc w:val="center"/>
              <w:rPr>
                <w:rFonts w:cs="Arial"/>
                <w:szCs w:val="20"/>
              </w:rPr>
            </w:pPr>
            <w:r w:rsidRPr="00F25E60">
              <w:rPr>
                <w:rFonts w:cs="Arial"/>
                <w:szCs w:val="20"/>
              </w:rPr>
              <w:t>25</w:t>
            </w:r>
          </w:p>
        </w:tc>
        <w:tc>
          <w:tcPr>
            <w:tcW w:w="507" w:type="dxa"/>
            <w:shd w:val="clear" w:color="auto" w:fill="auto"/>
          </w:tcPr>
          <w:p w14:paraId="10DBD3DA" w14:textId="77777777" w:rsidR="00F25E60" w:rsidRPr="00F25E60" w:rsidRDefault="00F25E60" w:rsidP="00F25E60">
            <w:pPr>
              <w:spacing w:line="240" w:lineRule="auto"/>
              <w:jc w:val="center"/>
              <w:rPr>
                <w:rFonts w:cs="Arial"/>
                <w:szCs w:val="20"/>
              </w:rPr>
            </w:pPr>
            <w:r w:rsidRPr="00F25E60">
              <w:rPr>
                <w:rFonts w:cs="Arial"/>
                <w:szCs w:val="20"/>
              </w:rPr>
              <w:t>-</w:t>
            </w:r>
          </w:p>
        </w:tc>
        <w:tc>
          <w:tcPr>
            <w:tcW w:w="492" w:type="dxa"/>
            <w:shd w:val="clear" w:color="auto" w:fill="auto"/>
          </w:tcPr>
          <w:p w14:paraId="5C5B0226" w14:textId="77777777" w:rsidR="00F25E60" w:rsidRPr="00F25E60" w:rsidRDefault="00F25E60" w:rsidP="00F25E60">
            <w:pPr>
              <w:spacing w:line="240" w:lineRule="auto"/>
              <w:jc w:val="center"/>
              <w:rPr>
                <w:rFonts w:cs="Arial"/>
                <w:szCs w:val="20"/>
              </w:rPr>
            </w:pPr>
            <w:r w:rsidRPr="00F25E60">
              <w:rPr>
                <w:rFonts w:cs="Arial"/>
                <w:szCs w:val="20"/>
              </w:rPr>
              <w:t>-</w:t>
            </w:r>
          </w:p>
        </w:tc>
      </w:tr>
      <w:tr w:rsidR="00F25E60" w:rsidRPr="00F25E60" w14:paraId="19800B11" w14:textId="77777777" w:rsidTr="007B6855">
        <w:tc>
          <w:tcPr>
            <w:tcW w:w="703" w:type="dxa"/>
          </w:tcPr>
          <w:p w14:paraId="64E28C0F" w14:textId="77777777" w:rsidR="00F25E60" w:rsidRPr="00F25E60" w:rsidRDefault="00F25E60" w:rsidP="00F25E60">
            <w:pPr>
              <w:spacing w:line="240" w:lineRule="auto"/>
              <w:jc w:val="center"/>
              <w:rPr>
                <w:rFonts w:cs="Arial"/>
                <w:szCs w:val="20"/>
              </w:rPr>
            </w:pPr>
            <w:r w:rsidRPr="00F25E60">
              <w:rPr>
                <w:rFonts w:cs="Arial"/>
                <w:szCs w:val="20"/>
              </w:rPr>
              <w:t>0/63</w:t>
            </w:r>
          </w:p>
        </w:tc>
        <w:tc>
          <w:tcPr>
            <w:tcW w:w="505" w:type="dxa"/>
            <w:shd w:val="clear" w:color="auto" w:fill="auto"/>
          </w:tcPr>
          <w:p w14:paraId="6223FE6D" w14:textId="77777777" w:rsidR="00F25E60" w:rsidRPr="00F25E60" w:rsidRDefault="00F25E60" w:rsidP="00F25E60">
            <w:pPr>
              <w:spacing w:line="240" w:lineRule="auto"/>
              <w:jc w:val="center"/>
              <w:rPr>
                <w:rFonts w:cs="Arial"/>
                <w:szCs w:val="20"/>
              </w:rPr>
            </w:pPr>
            <w:r w:rsidRPr="00F25E60">
              <w:rPr>
                <w:rFonts w:cs="Arial"/>
                <w:szCs w:val="20"/>
              </w:rPr>
              <w:t>-</w:t>
            </w:r>
          </w:p>
        </w:tc>
        <w:tc>
          <w:tcPr>
            <w:tcW w:w="492" w:type="dxa"/>
            <w:shd w:val="clear" w:color="auto" w:fill="auto"/>
          </w:tcPr>
          <w:p w14:paraId="19E499C8" w14:textId="77777777" w:rsidR="00F25E60" w:rsidRPr="00F25E60" w:rsidRDefault="00F25E60" w:rsidP="00F25E60">
            <w:pPr>
              <w:spacing w:line="240" w:lineRule="auto"/>
              <w:jc w:val="center"/>
              <w:rPr>
                <w:rFonts w:cs="Arial"/>
                <w:szCs w:val="20"/>
              </w:rPr>
            </w:pPr>
            <w:r w:rsidRPr="00F25E60">
              <w:rPr>
                <w:rFonts w:cs="Arial"/>
                <w:szCs w:val="20"/>
              </w:rPr>
              <w:t>-</w:t>
            </w:r>
          </w:p>
        </w:tc>
        <w:tc>
          <w:tcPr>
            <w:tcW w:w="521" w:type="dxa"/>
            <w:shd w:val="clear" w:color="auto" w:fill="auto"/>
          </w:tcPr>
          <w:p w14:paraId="71EC3CA2" w14:textId="77777777" w:rsidR="00F25E60" w:rsidRPr="00F25E60" w:rsidRDefault="00F25E60" w:rsidP="00F25E60">
            <w:pPr>
              <w:spacing w:line="240" w:lineRule="auto"/>
              <w:jc w:val="center"/>
              <w:rPr>
                <w:rFonts w:cs="Arial"/>
                <w:szCs w:val="20"/>
              </w:rPr>
            </w:pPr>
            <w:r w:rsidRPr="00F25E60">
              <w:rPr>
                <w:rFonts w:cs="Arial"/>
                <w:szCs w:val="20"/>
              </w:rPr>
              <w:t>4</w:t>
            </w:r>
          </w:p>
        </w:tc>
        <w:tc>
          <w:tcPr>
            <w:tcW w:w="509" w:type="dxa"/>
            <w:shd w:val="clear" w:color="auto" w:fill="auto"/>
          </w:tcPr>
          <w:p w14:paraId="0EDF0EC9" w14:textId="77777777" w:rsidR="00F25E60" w:rsidRPr="00F25E60" w:rsidRDefault="00F25E60" w:rsidP="00F25E60">
            <w:pPr>
              <w:spacing w:line="240" w:lineRule="auto"/>
              <w:jc w:val="center"/>
              <w:rPr>
                <w:rFonts w:cs="Arial"/>
                <w:szCs w:val="20"/>
              </w:rPr>
            </w:pPr>
            <w:r w:rsidRPr="00F25E60">
              <w:rPr>
                <w:rFonts w:cs="Arial"/>
                <w:szCs w:val="20"/>
              </w:rPr>
              <w:t>15</w:t>
            </w:r>
          </w:p>
        </w:tc>
        <w:tc>
          <w:tcPr>
            <w:tcW w:w="505" w:type="dxa"/>
            <w:shd w:val="clear" w:color="auto" w:fill="auto"/>
          </w:tcPr>
          <w:p w14:paraId="1E46F948" w14:textId="77777777" w:rsidR="00F25E60" w:rsidRPr="00F25E60" w:rsidRDefault="00F25E60" w:rsidP="00F25E60">
            <w:pPr>
              <w:spacing w:line="240" w:lineRule="auto"/>
              <w:jc w:val="center"/>
              <w:rPr>
                <w:rFonts w:cs="Arial"/>
                <w:szCs w:val="20"/>
              </w:rPr>
            </w:pPr>
            <w:r w:rsidRPr="00F25E60">
              <w:rPr>
                <w:rFonts w:cs="Arial"/>
                <w:szCs w:val="20"/>
              </w:rPr>
              <w:t>-</w:t>
            </w:r>
          </w:p>
        </w:tc>
        <w:tc>
          <w:tcPr>
            <w:tcW w:w="492" w:type="dxa"/>
            <w:shd w:val="clear" w:color="auto" w:fill="auto"/>
          </w:tcPr>
          <w:p w14:paraId="23D604D7" w14:textId="77777777" w:rsidR="00F25E60" w:rsidRPr="00F25E60" w:rsidRDefault="00F25E60" w:rsidP="00F25E60">
            <w:pPr>
              <w:spacing w:line="240" w:lineRule="auto"/>
              <w:jc w:val="center"/>
              <w:rPr>
                <w:rFonts w:cs="Arial"/>
                <w:szCs w:val="20"/>
              </w:rPr>
            </w:pPr>
            <w:r w:rsidRPr="00F25E60">
              <w:rPr>
                <w:rFonts w:cs="Arial"/>
                <w:szCs w:val="20"/>
              </w:rPr>
              <w:t>-</w:t>
            </w:r>
          </w:p>
        </w:tc>
        <w:tc>
          <w:tcPr>
            <w:tcW w:w="505" w:type="dxa"/>
            <w:shd w:val="clear" w:color="auto" w:fill="auto"/>
          </w:tcPr>
          <w:p w14:paraId="64848318" w14:textId="77777777" w:rsidR="00F25E60" w:rsidRPr="00F25E60" w:rsidRDefault="00F25E60" w:rsidP="00F25E60">
            <w:pPr>
              <w:spacing w:line="240" w:lineRule="auto"/>
              <w:jc w:val="center"/>
              <w:rPr>
                <w:rFonts w:cs="Arial"/>
                <w:szCs w:val="20"/>
              </w:rPr>
            </w:pPr>
            <w:r w:rsidRPr="00F25E60">
              <w:rPr>
                <w:rFonts w:cs="Arial"/>
                <w:szCs w:val="20"/>
              </w:rPr>
              <w:t>7</w:t>
            </w:r>
          </w:p>
        </w:tc>
        <w:tc>
          <w:tcPr>
            <w:tcW w:w="492" w:type="dxa"/>
            <w:shd w:val="clear" w:color="auto" w:fill="auto"/>
          </w:tcPr>
          <w:p w14:paraId="4AA62B80" w14:textId="77777777" w:rsidR="00F25E60" w:rsidRPr="00F25E60" w:rsidRDefault="00F25E60" w:rsidP="00F25E60">
            <w:pPr>
              <w:spacing w:line="240" w:lineRule="auto"/>
              <w:jc w:val="center"/>
              <w:rPr>
                <w:rFonts w:cs="Arial"/>
                <w:szCs w:val="20"/>
              </w:rPr>
            </w:pPr>
            <w:r w:rsidRPr="00F25E60">
              <w:rPr>
                <w:rFonts w:cs="Arial"/>
                <w:szCs w:val="20"/>
              </w:rPr>
              <w:t>20</w:t>
            </w:r>
          </w:p>
        </w:tc>
        <w:tc>
          <w:tcPr>
            <w:tcW w:w="505" w:type="dxa"/>
            <w:shd w:val="clear" w:color="auto" w:fill="auto"/>
          </w:tcPr>
          <w:p w14:paraId="63DFAA09" w14:textId="77777777" w:rsidR="00F25E60" w:rsidRPr="00F25E60" w:rsidRDefault="00F25E60" w:rsidP="00F25E60">
            <w:pPr>
              <w:spacing w:line="240" w:lineRule="auto"/>
              <w:jc w:val="center"/>
              <w:rPr>
                <w:rFonts w:cs="Arial"/>
                <w:szCs w:val="20"/>
              </w:rPr>
            </w:pPr>
            <w:r w:rsidRPr="00F25E60">
              <w:rPr>
                <w:rFonts w:cs="Arial"/>
                <w:szCs w:val="20"/>
              </w:rPr>
              <w:t>-</w:t>
            </w:r>
          </w:p>
        </w:tc>
        <w:tc>
          <w:tcPr>
            <w:tcW w:w="566" w:type="dxa"/>
            <w:shd w:val="clear" w:color="auto" w:fill="auto"/>
          </w:tcPr>
          <w:p w14:paraId="168B01A0" w14:textId="77777777" w:rsidR="00F25E60" w:rsidRPr="00F25E60" w:rsidRDefault="00F25E60" w:rsidP="00F25E60">
            <w:pPr>
              <w:spacing w:line="240" w:lineRule="auto"/>
              <w:jc w:val="center"/>
              <w:rPr>
                <w:rFonts w:cs="Arial"/>
                <w:szCs w:val="20"/>
              </w:rPr>
            </w:pPr>
            <w:r w:rsidRPr="00F25E60">
              <w:rPr>
                <w:rFonts w:cs="Arial"/>
                <w:szCs w:val="20"/>
              </w:rPr>
              <w:t>-</w:t>
            </w:r>
          </w:p>
        </w:tc>
        <w:tc>
          <w:tcPr>
            <w:tcW w:w="505" w:type="dxa"/>
            <w:shd w:val="clear" w:color="auto" w:fill="auto"/>
          </w:tcPr>
          <w:p w14:paraId="6DCA0F3E" w14:textId="77777777" w:rsidR="00F25E60" w:rsidRPr="00F25E60" w:rsidRDefault="00F25E60" w:rsidP="00F25E60">
            <w:pPr>
              <w:spacing w:line="240" w:lineRule="auto"/>
              <w:jc w:val="center"/>
              <w:rPr>
                <w:rFonts w:cs="Arial"/>
                <w:szCs w:val="20"/>
              </w:rPr>
            </w:pPr>
            <w:r w:rsidRPr="00F25E60">
              <w:rPr>
                <w:rFonts w:cs="Arial"/>
                <w:szCs w:val="20"/>
              </w:rPr>
              <w:t>10</w:t>
            </w:r>
          </w:p>
        </w:tc>
        <w:tc>
          <w:tcPr>
            <w:tcW w:w="566" w:type="dxa"/>
            <w:shd w:val="clear" w:color="auto" w:fill="auto"/>
          </w:tcPr>
          <w:p w14:paraId="7BB7BF98" w14:textId="77777777" w:rsidR="00F25E60" w:rsidRPr="00F25E60" w:rsidRDefault="00F25E60" w:rsidP="00F25E60">
            <w:pPr>
              <w:spacing w:line="240" w:lineRule="auto"/>
              <w:jc w:val="center"/>
              <w:rPr>
                <w:rFonts w:cs="Arial"/>
                <w:szCs w:val="20"/>
              </w:rPr>
            </w:pPr>
            <w:r w:rsidRPr="00F25E60">
              <w:rPr>
                <w:rFonts w:cs="Arial"/>
                <w:szCs w:val="20"/>
              </w:rPr>
              <w:t>25</w:t>
            </w:r>
          </w:p>
        </w:tc>
        <w:tc>
          <w:tcPr>
            <w:tcW w:w="545" w:type="dxa"/>
            <w:shd w:val="clear" w:color="auto" w:fill="auto"/>
          </w:tcPr>
          <w:p w14:paraId="533E3702" w14:textId="77777777" w:rsidR="00F25E60" w:rsidRPr="00F25E60" w:rsidRDefault="00F25E60" w:rsidP="00F25E60">
            <w:pPr>
              <w:spacing w:line="240" w:lineRule="auto"/>
              <w:jc w:val="center"/>
              <w:rPr>
                <w:rFonts w:cs="Arial"/>
                <w:szCs w:val="20"/>
              </w:rPr>
            </w:pPr>
            <w:r w:rsidRPr="00F25E60">
              <w:rPr>
                <w:rFonts w:cs="Arial"/>
                <w:szCs w:val="20"/>
              </w:rPr>
              <w:t>-</w:t>
            </w:r>
          </w:p>
        </w:tc>
        <w:tc>
          <w:tcPr>
            <w:tcW w:w="578" w:type="dxa"/>
            <w:shd w:val="clear" w:color="auto" w:fill="auto"/>
          </w:tcPr>
          <w:p w14:paraId="14D12D42" w14:textId="77777777" w:rsidR="00F25E60" w:rsidRPr="00F25E60" w:rsidRDefault="00F25E60" w:rsidP="00F25E60">
            <w:pPr>
              <w:spacing w:line="240" w:lineRule="auto"/>
              <w:jc w:val="center"/>
              <w:rPr>
                <w:rFonts w:cs="Arial"/>
                <w:szCs w:val="20"/>
              </w:rPr>
            </w:pPr>
            <w:r w:rsidRPr="00F25E60">
              <w:rPr>
                <w:rFonts w:cs="Arial"/>
                <w:szCs w:val="20"/>
              </w:rPr>
              <w:t>-</w:t>
            </w:r>
          </w:p>
        </w:tc>
        <w:tc>
          <w:tcPr>
            <w:tcW w:w="507" w:type="dxa"/>
            <w:shd w:val="clear" w:color="auto" w:fill="auto"/>
          </w:tcPr>
          <w:p w14:paraId="37C1F52C" w14:textId="77777777" w:rsidR="00F25E60" w:rsidRPr="00F25E60" w:rsidRDefault="00F25E60" w:rsidP="00F25E60">
            <w:pPr>
              <w:spacing w:line="240" w:lineRule="auto"/>
              <w:jc w:val="center"/>
              <w:rPr>
                <w:rFonts w:cs="Arial"/>
                <w:szCs w:val="20"/>
              </w:rPr>
            </w:pPr>
            <w:r w:rsidRPr="00F25E60">
              <w:rPr>
                <w:rFonts w:cs="Arial"/>
                <w:szCs w:val="20"/>
              </w:rPr>
              <w:t>10</w:t>
            </w:r>
          </w:p>
        </w:tc>
        <w:tc>
          <w:tcPr>
            <w:tcW w:w="492" w:type="dxa"/>
            <w:shd w:val="clear" w:color="auto" w:fill="auto"/>
          </w:tcPr>
          <w:p w14:paraId="26E77BAB" w14:textId="77777777" w:rsidR="00F25E60" w:rsidRPr="00F25E60" w:rsidRDefault="00F25E60" w:rsidP="00F25E60">
            <w:pPr>
              <w:spacing w:line="240" w:lineRule="auto"/>
              <w:jc w:val="center"/>
              <w:rPr>
                <w:rFonts w:cs="Arial"/>
                <w:szCs w:val="20"/>
              </w:rPr>
            </w:pPr>
            <w:r w:rsidRPr="00F25E60">
              <w:rPr>
                <w:rFonts w:cs="Arial"/>
                <w:szCs w:val="20"/>
              </w:rPr>
              <w:t>25</w:t>
            </w:r>
          </w:p>
        </w:tc>
      </w:tr>
    </w:tbl>
    <w:p w14:paraId="60354AA3" w14:textId="77777777" w:rsidR="00F25E60" w:rsidRPr="00F25E60" w:rsidRDefault="00F25E60" w:rsidP="00F25E60">
      <w:pPr>
        <w:spacing w:line="240" w:lineRule="auto"/>
        <w:ind w:left="840" w:hanging="840"/>
        <w:rPr>
          <w:rFonts w:cs="Arial"/>
          <w:szCs w:val="20"/>
        </w:rPr>
      </w:pPr>
      <w:r w:rsidRPr="00F25E60">
        <w:rPr>
          <w:rFonts w:cs="Arial"/>
          <w:szCs w:val="20"/>
        </w:rPr>
        <w:tab/>
      </w:r>
    </w:p>
    <w:p w14:paraId="777D49A5" w14:textId="77777777" w:rsidR="00F25E60" w:rsidRPr="00F25E60" w:rsidRDefault="00F25E60" w:rsidP="00F25E60">
      <w:pPr>
        <w:spacing w:line="240" w:lineRule="auto"/>
        <w:ind w:hanging="840"/>
        <w:rPr>
          <w:rFonts w:cs="Arial"/>
          <w:szCs w:val="20"/>
        </w:rPr>
      </w:pPr>
      <w:r w:rsidRPr="00F25E60">
        <w:rPr>
          <w:rFonts w:cs="Arial"/>
          <w:szCs w:val="20"/>
        </w:rPr>
        <w:tab/>
      </w:r>
      <w:r w:rsidRPr="00F25E60">
        <w:rPr>
          <w:rFonts w:cs="Arial"/>
          <w:szCs w:val="20"/>
        </w:rPr>
        <w:tab/>
        <w:t xml:space="preserve">Mieszanki kruszyw stosowane do warstw podbudów pomocniczych powinny spełniać wymagania wg tablicy 4. Wymagania wobec mieszanek przeznaczonych do warstw podbudowy pomocniczej odnośnie wrażliwości na mróz (wskaźnik SE), dotyczą badania materiału po pięciokrotnym zagęszczeniu metoda </w:t>
      </w:r>
      <w:proofErr w:type="spellStart"/>
      <w:r w:rsidRPr="00F25E60">
        <w:rPr>
          <w:rFonts w:cs="Arial"/>
          <w:szCs w:val="20"/>
        </w:rPr>
        <w:t>Proctora</w:t>
      </w:r>
      <w:proofErr w:type="spellEnd"/>
      <w:r w:rsidRPr="00F25E60">
        <w:rPr>
          <w:rFonts w:cs="Arial"/>
          <w:szCs w:val="20"/>
        </w:rPr>
        <w:t xml:space="preserve"> według PN-EN 13286-2 [21]. Nie stawia się wymagań wobec wodoprzepuszczalności zagęszczonej mieszanki niezwiązanej do podbudowy pomocniczej, o ile szczegółowe rozwiązania konstrukcyjne nie przewidują tego.</w:t>
      </w:r>
    </w:p>
    <w:p w14:paraId="1C7F3781" w14:textId="77777777" w:rsidR="00F25E60" w:rsidRPr="00F25E60" w:rsidRDefault="00F25E60" w:rsidP="00F25E60">
      <w:pPr>
        <w:spacing w:line="240" w:lineRule="auto"/>
        <w:rPr>
          <w:rFonts w:cs="Arial"/>
          <w:szCs w:val="20"/>
        </w:rPr>
      </w:pPr>
      <w:r w:rsidRPr="00F25E60">
        <w:rPr>
          <w:rFonts w:cs="Arial"/>
          <w:szCs w:val="20"/>
        </w:rPr>
        <w:tab/>
        <w:t>Zawartość wody w mieszankach kruszyw i gruntach powinna odpowiadać wymaganej zawartości wody w trakcie wbudowywania i zagęszczania określonej według  PN-EN 13286-2 [21], w granicach podanych w tablicy 4.</w:t>
      </w:r>
    </w:p>
    <w:p w14:paraId="57810D61" w14:textId="77777777" w:rsidR="00F25E60" w:rsidRPr="00F25E60" w:rsidRDefault="00F25E60" w:rsidP="00F25E60">
      <w:pPr>
        <w:spacing w:line="240" w:lineRule="auto"/>
        <w:rPr>
          <w:rFonts w:cs="Arial"/>
          <w:szCs w:val="20"/>
        </w:rPr>
      </w:pPr>
      <w:r w:rsidRPr="00F25E60">
        <w:rPr>
          <w:rFonts w:cs="Arial"/>
          <w:szCs w:val="20"/>
        </w:rPr>
        <w:tab/>
        <w:t xml:space="preserve">Badanie CBR mieszanek do podbudowy pomocniczej należy wykonać na mieszance zagęszczonej do wskaźnika zagęszczenia </w:t>
      </w:r>
      <w:proofErr w:type="spellStart"/>
      <w:r w:rsidRPr="00F25E60">
        <w:rPr>
          <w:rFonts w:cs="Arial"/>
          <w:szCs w:val="20"/>
        </w:rPr>
        <w:t>Is</w:t>
      </w:r>
      <w:proofErr w:type="spellEnd"/>
      <w:r w:rsidRPr="00F25E60">
        <w:rPr>
          <w:rFonts w:cs="Arial"/>
          <w:szCs w:val="20"/>
        </w:rPr>
        <w:t xml:space="preserve"> = 1,0 i po 96 godzinach przechowywania jej w wodzie. CBR należy oznaczyć wg PN-EN 13286-47 [22], a wymaganie przyjąć wg tablicy 4.</w:t>
      </w:r>
    </w:p>
    <w:p w14:paraId="0CEB20F3" w14:textId="77777777" w:rsidR="00F25E60" w:rsidRPr="00F25E60" w:rsidRDefault="00F25E60" w:rsidP="00F25E60">
      <w:pPr>
        <w:pStyle w:val="Nagwek2"/>
        <w:spacing w:line="240" w:lineRule="auto"/>
        <w:rPr>
          <w:rFonts w:cs="Arial"/>
          <w:szCs w:val="20"/>
        </w:rPr>
      </w:pPr>
      <w:r w:rsidRPr="00F25E60">
        <w:rPr>
          <w:rFonts w:cs="Arial"/>
          <w:szCs w:val="20"/>
        </w:rPr>
        <w:t>Istotne cechy środowiskowe</w:t>
      </w:r>
    </w:p>
    <w:p w14:paraId="335BD488" w14:textId="77777777" w:rsidR="00F25E60" w:rsidRPr="00F25E60" w:rsidRDefault="00F25E60" w:rsidP="00F25E60">
      <w:pPr>
        <w:spacing w:line="240" w:lineRule="auto"/>
        <w:rPr>
          <w:rFonts w:cs="Arial"/>
          <w:szCs w:val="20"/>
        </w:rPr>
      </w:pPr>
      <w:r w:rsidRPr="00F25E60">
        <w:rPr>
          <w:rFonts w:cs="Arial"/>
          <w:szCs w:val="20"/>
        </w:rPr>
        <w:tab/>
        <w:t xml:space="preserve">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 </w:t>
      </w:r>
    </w:p>
    <w:p w14:paraId="64F53F78" w14:textId="77777777" w:rsidR="00F25E60" w:rsidRPr="00F25E60" w:rsidRDefault="00F25E60" w:rsidP="00F25E60">
      <w:pPr>
        <w:spacing w:before="120" w:after="120" w:line="240" w:lineRule="auto"/>
        <w:rPr>
          <w:rFonts w:cs="Arial"/>
          <w:szCs w:val="20"/>
        </w:rPr>
      </w:pPr>
      <w:r w:rsidRPr="00F25E60">
        <w:rPr>
          <w:rFonts w:cs="Arial"/>
          <w:szCs w:val="20"/>
        </w:rPr>
        <w:t>Wymagania wobec mieszanek</w:t>
      </w:r>
    </w:p>
    <w:p w14:paraId="2F90C52C" w14:textId="77777777" w:rsidR="00F25E60" w:rsidRPr="00F25E60" w:rsidRDefault="00F25E60" w:rsidP="00F25E60">
      <w:pPr>
        <w:spacing w:line="240" w:lineRule="auto"/>
        <w:rPr>
          <w:rFonts w:cs="Arial"/>
          <w:szCs w:val="20"/>
        </w:rPr>
      </w:pPr>
      <w:r w:rsidRPr="00F25E60">
        <w:rPr>
          <w:rFonts w:cs="Arial"/>
          <w:szCs w:val="20"/>
        </w:rPr>
        <w:tab/>
        <w:t>W tablicy 4 przedstawia się zbiorcze zestawienie wymagań wobec mieszanek kruszywa niezwiązanego w warstwie podbudowy pomocniczej.</w:t>
      </w:r>
    </w:p>
    <w:p w14:paraId="30F403DD" w14:textId="77777777" w:rsidR="00F25E60" w:rsidRPr="00F25E60" w:rsidRDefault="00F25E60" w:rsidP="00F25E60">
      <w:pPr>
        <w:spacing w:line="240" w:lineRule="auto"/>
        <w:rPr>
          <w:rFonts w:cs="Arial"/>
          <w:szCs w:val="20"/>
        </w:rPr>
      </w:pPr>
    </w:p>
    <w:p w14:paraId="1C4513B3" w14:textId="77777777" w:rsidR="00F25E60" w:rsidRPr="00F25E60" w:rsidRDefault="00F25E60" w:rsidP="00F25E60">
      <w:pPr>
        <w:pStyle w:val="Bezodstpw"/>
        <w:spacing w:after="120"/>
        <w:ind w:left="1321" w:hanging="1321"/>
        <w:rPr>
          <w:rFonts w:cs="Arial"/>
          <w:szCs w:val="20"/>
        </w:rPr>
      </w:pPr>
      <w:r w:rsidRPr="00F25E60">
        <w:rPr>
          <w:rFonts w:cs="Arial"/>
          <w:szCs w:val="20"/>
        </w:rPr>
        <w:t>Tablica 4. Wymagania wobec  mieszanek kruszywa niezwiązanego w warstwie podbudowy pomocniczej</w:t>
      </w:r>
    </w:p>
    <w:p w14:paraId="21116869" w14:textId="77777777" w:rsidR="00F25E60" w:rsidRPr="00F25E60" w:rsidRDefault="00F25E60" w:rsidP="00F25E60">
      <w:pPr>
        <w:pStyle w:val="Bezodstpw"/>
        <w:rPr>
          <w:rFonts w:cs="Arial"/>
          <w:szCs w:val="20"/>
        </w:rPr>
      </w:pPr>
      <w:r w:rsidRPr="00F25E60">
        <w:rPr>
          <w:rFonts w:cs="Arial"/>
          <w:szCs w:val="20"/>
        </w:rPr>
        <w:t xml:space="preserve">Skróty użyte w tablicy: Kat. – kategoria właściwości,   </w:t>
      </w:r>
      <w:proofErr w:type="spellStart"/>
      <w:r w:rsidRPr="00F25E60">
        <w:rPr>
          <w:rFonts w:cs="Arial"/>
          <w:szCs w:val="20"/>
        </w:rPr>
        <w:t>wsk</w:t>
      </w:r>
      <w:proofErr w:type="spellEnd"/>
      <w:r w:rsidRPr="00F25E60">
        <w:rPr>
          <w:rFonts w:cs="Arial"/>
          <w:szCs w:val="20"/>
        </w:rPr>
        <w:t xml:space="preserve">. – wskaźnik, </w:t>
      </w:r>
      <w:proofErr w:type="spellStart"/>
      <w:r w:rsidRPr="00F25E60">
        <w:rPr>
          <w:rFonts w:cs="Arial"/>
          <w:szCs w:val="20"/>
        </w:rPr>
        <w:t>wsp</w:t>
      </w:r>
      <w:proofErr w:type="spellEnd"/>
      <w:r w:rsidRPr="00F25E60">
        <w:rPr>
          <w:rFonts w:cs="Arial"/>
          <w:szCs w:val="20"/>
        </w:rPr>
        <w:t>. – współczynnik</w:t>
      </w:r>
    </w:p>
    <w:p w14:paraId="33DF4855" w14:textId="77777777" w:rsidR="00F25E60" w:rsidRPr="00F25E60" w:rsidRDefault="00F25E60" w:rsidP="00F25E60">
      <w:pPr>
        <w:pStyle w:val="Bezodstpw"/>
        <w:rPr>
          <w:rFonts w:cs="Arial"/>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709"/>
        <w:gridCol w:w="5103"/>
      </w:tblGrid>
      <w:tr w:rsidR="00F25E60" w:rsidRPr="00F25E60" w14:paraId="3A6D4BCB" w14:textId="77777777" w:rsidTr="007B6855">
        <w:tc>
          <w:tcPr>
            <w:tcW w:w="3085" w:type="dxa"/>
            <w:vMerge w:val="restart"/>
            <w:vAlign w:val="center"/>
          </w:tcPr>
          <w:p w14:paraId="17E6A399" w14:textId="77777777" w:rsidR="00F25E60" w:rsidRPr="00F25E60" w:rsidRDefault="00F25E60" w:rsidP="00F25E60">
            <w:pPr>
              <w:pStyle w:val="Bezodstpw"/>
              <w:jc w:val="center"/>
              <w:rPr>
                <w:rFonts w:cs="Arial"/>
                <w:szCs w:val="20"/>
              </w:rPr>
            </w:pPr>
            <w:r w:rsidRPr="00F25E60">
              <w:rPr>
                <w:rFonts w:cs="Arial"/>
                <w:szCs w:val="20"/>
              </w:rPr>
              <w:t>Właściwość</w:t>
            </w:r>
          </w:p>
          <w:p w14:paraId="061ED956" w14:textId="77777777" w:rsidR="00F25E60" w:rsidRPr="00F25E60" w:rsidRDefault="00F25E60" w:rsidP="00F25E60">
            <w:pPr>
              <w:pStyle w:val="Bezodstpw"/>
              <w:jc w:val="center"/>
              <w:rPr>
                <w:rFonts w:cs="Arial"/>
                <w:szCs w:val="20"/>
              </w:rPr>
            </w:pPr>
            <w:r w:rsidRPr="00F25E60">
              <w:rPr>
                <w:rFonts w:cs="Arial"/>
                <w:szCs w:val="20"/>
              </w:rPr>
              <w:t>kruszywa</w:t>
            </w:r>
          </w:p>
        </w:tc>
        <w:tc>
          <w:tcPr>
            <w:tcW w:w="5812" w:type="dxa"/>
            <w:gridSpan w:val="2"/>
          </w:tcPr>
          <w:p w14:paraId="688466EC" w14:textId="77777777" w:rsidR="00F25E60" w:rsidRPr="00F25E60" w:rsidRDefault="00F25E60" w:rsidP="00F25E60">
            <w:pPr>
              <w:pStyle w:val="Bezodstpw"/>
              <w:jc w:val="center"/>
              <w:rPr>
                <w:rFonts w:cs="Arial"/>
                <w:szCs w:val="20"/>
              </w:rPr>
            </w:pPr>
            <w:r w:rsidRPr="00F25E60">
              <w:rPr>
                <w:rFonts w:cs="Arial"/>
                <w:szCs w:val="20"/>
              </w:rPr>
              <w:t>Wymagania wobec  mieszanek kruszywa niezwiązanego w warstwie podbudowy pomocniczej pod nawierzchnią drogi obciążonej ruchem  kategorii KR1 ÷ KR6</w:t>
            </w:r>
          </w:p>
        </w:tc>
      </w:tr>
      <w:tr w:rsidR="00F25E60" w:rsidRPr="00F25E60" w14:paraId="07F45016" w14:textId="77777777" w:rsidTr="007B6855">
        <w:trPr>
          <w:trHeight w:val="476"/>
        </w:trPr>
        <w:tc>
          <w:tcPr>
            <w:tcW w:w="3085" w:type="dxa"/>
            <w:vMerge/>
          </w:tcPr>
          <w:p w14:paraId="0E017F58" w14:textId="77777777" w:rsidR="00F25E60" w:rsidRPr="00F25E60" w:rsidRDefault="00F25E60" w:rsidP="00F25E60">
            <w:pPr>
              <w:pStyle w:val="Bezodstpw"/>
              <w:rPr>
                <w:rFonts w:cs="Arial"/>
                <w:szCs w:val="20"/>
              </w:rPr>
            </w:pPr>
          </w:p>
        </w:tc>
        <w:tc>
          <w:tcPr>
            <w:tcW w:w="709" w:type="dxa"/>
            <w:vAlign w:val="center"/>
          </w:tcPr>
          <w:p w14:paraId="6A7F0937" w14:textId="77777777" w:rsidR="00F25E60" w:rsidRPr="00F25E60" w:rsidRDefault="00F25E60" w:rsidP="00F25E60">
            <w:pPr>
              <w:pStyle w:val="Bezodstpw"/>
              <w:jc w:val="center"/>
              <w:rPr>
                <w:rFonts w:cs="Arial"/>
                <w:szCs w:val="20"/>
              </w:rPr>
            </w:pPr>
            <w:r w:rsidRPr="00F25E60">
              <w:rPr>
                <w:rFonts w:cs="Arial"/>
                <w:szCs w:val="20"/>
              </w:rPr>
              <w:t>Punkt</w:t>
            </w:r>
          </w:p>
          <w:p w14:paraId="2691704D" w14:textId="77777777" w:rsidR="00F25E60" w:rsidRPr="00F25E60" w:rsidRDefault="00F25E60" w:rsidP="00F25E60">
            <w:pPr>
              <w:pStyle w:val="Bezodstpw"/>
              <w:jc w:val="center"/>
              <w:rPr>
                <w:rFonts w:cs="Arial"/>
                <w:szCs w:val="20"/>
              </w:rPr>
            </w:pPr>
            <w:r w:rsidRPr="00F25E60">
              <w:rPr>
                <w:rFonts w:cs="Arial"/>
                <w:szCs w:val="20"/>
              </w:rPr>
              <w:t>PN-EN</w:t>
            </w:r>
          </w:p>
          <w:p w14:paraId="348E1456" w14:textId="77777777" w:rsidR="00F25E60" w:rsidRPr="00F25E60" w:rsidRDefault="00F25E60" w:rsidP="00F25E60">
            <w:pPr>
              <w:pStyle w:val="Bezodstpw"/>
              <w:jc w:val="center"/>
              <w:rPr>
                <w:rFonts w:cs="Arial"/>
                <w:szCs w:val="20"/>
              </w:rPr>
            </w:pPr>
            <w:r w:rsidRPr="00F25E60">
              <w:rPr>
                <w:rFonts w:cs="Arial"/>
                <w:szCs w:val="20"/>
              </w:rPr>
              <w:t>13285</w:t>
            </w:r>
          </w:p>
        </w:tc>
        <w:tc>
          <w:tcPr>
            <w:tcW w:w="5103" w:type="dxa"/>
            <w:vAlign w:val="center"/>
          </w:tcPr>
          <w:p w14:paraId="49AF0354" w14:textId="77777777" w:rsidR="00F25E60" w:rsidRPr="00F25E60" w:rsidRDefault="00F25E60" w:rsidP="00F25E60">
            <w:pPr>
              <w:pStyle w:val="Bezodstpw"/>
              <w:jc w:val="center"/>
              <w:rPr>
                <w:rFonts w:cs="Arial"/>
                <w:szCs w:val="20"/>
              </w:rPr>
            </w:pPr>
            <w:r w:rsidRPr="00F25E60">
              <w:rPr>
                <w:rFonts w:cs="Arial"/>
                <w:szCs w:val="20"/>
              </w:rPr>
              <w:t>Wymagania</w:t>
            </w:r>
          </w:p>
          <w:p w14:paraId="5A1F906B" w14:textId="77777777" w:rsidR="00F25E60" w:rsidRPr="00F25E60" w:rsidRDefault="00F25E60" w:rsidP="00F25E60">
            <w:pPr>
              <w:pStyle w:val="Bezodstpw"/>
              <w:jc w:val="center"/>
              <w:rPr>
                <w:rFonts w:cs="Arial"/>
                <w:szCs w:val="20"/>
              </w:rPr>
            </w:pPr>
          </w:p>
        </w:tc>
      </w:tr>
      <w:tr w:rsidR="00F25E60" w:rsidRPr="00F25E60" w14:paraId="4722B7EE" w14:textId="77777777" w:rsidTr="007B6855">
        <w:tc>
          <w:tcPr>
            <w:tcW w:w="3085" w:type="dxa"/>
          </w:tcPr>
          <w:p w14:paraId="42B10F18" w14:textId="77777777" w:rsidR="00F25E60" w:rsidRPr="00F25E60" w:rsidRDefault="00F25E60" w:rsidP="00F25E60">
            <w:pPr>
              <w:pStyle w:val="Bezodstpw"/>
              <w:rPr>
                <w:rFonts w:cs="Arial"/>
                <w:szCs w:val="20"/>
              </w:rPr>
            </w:pPr>
            <w:r w:rsidRPr="00F25E60">
              <w:rPr>
                <w:rFonts w:cs="Arial"/>
                <w:szCs w:val="20"/>
              </w:rPr>
              <w:t>Uziarnienie mieszanek</w:t>
            </w:r>
          </w:p>
        </w:tc>
        <w:tc>
          <w:tcPr>
            <w:tcW w:w="709" w:type="dxa"/>
          </w:tcPr>
          <w:p w14:paraId="1D9CE0EA" w14:textId="77777777" w:rsidR="00F25E60" w:rsidRPr="00F25E60" w:rsidRDefault="00F25E60" w:rsidP="00F25E60">
            <w:pPr>
              <w:pStyle w:val="Bezodstpw"/>
              <w:rPr>
                <w:rFonts w:cs="Arial"/>
                <w:szCs w:val="20"/>
              </w:rPr>
            </w:pPr>
            <w:r w:rsidRPr="00F25E60">
              <w:rPr>
                <w:rFonts w:cs="Arial"/>
                <w:szCs w:val="20"/>
              </w:rPr>
              <w:t>4.3.1</w:t>
            </w:r>
          </w:p>
        </w:tc>
        <w:tc>
          <w:tcPr>
            <w:tcW w:w="5103" w:type="dxa"/>
          </w:tcPr>
          <w:p w14:paraId="266D38A4" w14:textId="77777777" w:rsidR="00F25E60" w:rsidRPr="00F25E60" w:rsidRDefault="00F25E60" w:rsidP="00F25E60">
            <w:pPr>
              <w:pStyle w:val="Bezodstpw"/>
              <w:rPr>
                <w:rFonts w:cs="Arial"/>
                <w:szCs w:val="20"/>
              </w:rPr>
            </w:pPr>
            <w:r w:rsidRPr="00F25E60">
              <w:rPr>
                <w:rFonts w:cs="Arial"/>
                <w:szCs w:val="20"/>
              </w:rPr>
              <w:t xml:space="preserve"> 0/31,5; 0/45; 0/63 mm</w:t>
            </w:r>
          </w:p>
        </w:tc>
      </w:tr>
      <w:tr w:rsidR="00F25E60" w:rsidRPr="00F25E60" w14:paraId="335A41E8" w14:textId="77777777" w:rsidTr="007B6855">
        <w:trPr>
          <w:trHeight w:val="433"/>
        </w:trPr>
        <w:tc>
          <w:tcPr>
            <w:tcW w:w="3085" w:type="dxa"/>
          </w:tcPr>
          <w:p w14:paraId="19F702D3" w14:textId="77777777" w:rsidR="00F25E60" w:rsidRPr="00F25E60" w:rsidRDefault="00F25E60" w:rsidP="00F25E60">
            <w:pPr>
              <w:pStyle w:val="Bezodstpw"/>
              <w:rPr>
                <w:rFonts w:cs="Arial"/>
                <w:szCs w:val="20"/>
              </w:rPr>
            </w:pPr>
            <w:r w:rsidRPr="00F25E60">
              <w:rPr>
                <w:rFonts w:cs="Arial"/>
                <w:szCs w:val="20"/>
              </w:rPr>
              <w:t>Maksymalna zawartość pyłów:</w:t>
            </w:r>
          </w:p>
          <w:p w14:paraId="34341891" w14:textId="77777777" w:rsidR="00F25E60" w:rsidRPr="00F25E60" w:rsidRDefault="00F25E60" w:rsidP="00F25E60">
            <w:pPr>
              <w:pStyle w:val="Bezodstpw"/>
              <w:rPr>
                <w:rFonts w:cs="Arial"/>
                <w:szCs w:val="20"/>
              </w:rPr>
            </w:pPr>
            <w:proofErr w:type="spellStart"/>
            <w:r w:rsidRPr="00F25E60">
              <w:rPr>
                <w:rFonts w:cs="Arial"/>
                <w:szCs w:val="20"/>
              </w:rPr>
              <w:t>Kat.UF</w:t>
            </w:r>
            <w:proofErr w:type="spellEnd"/>
          </w:p>
        </w:tc>
        <w:tc>
          <w:tcPr>
            <w:tcW w:w="709" w:type="dxa"/>
          </w:tcPr>
          <w:p w14:paraId="4D9F4A31" w14:textId="77777777" w:rsidR="00F25E60" w:rsidRPr="00F25E60" w:rsidRDefault="00F25E60" w:rsidP="00F25E60">
            <w:pPr>
              <w:pStyle w:val="Bezodstpw"/>
              <w:rPr>
                <w:rFonts w:cs="Arial"/>
                <w:szCs w:val="20"/>
              </w:rPr>
            </w:pPr>
            <w:r w:rsidRPr="00F25E60">
              <w:rPr>
                <w:rFonts w:cs="Arial"/>
                <w:szCs w:val="20"/>
              </w:rPr>
              <w:t>4.3.2</w:t>
            </w:r>
          </w:p>
        </w:tc>
        <w:tc>
          <w:tcPr>
            <w:tcW w:w="5103" w:type="dxa"/>
          </w:tcPr>
          <w:p w14:paraId="72EE19A2" w14:textId="77777777" w:rsidR="00F25E60" w:rsidRPr="00F25E60" w:rsidRDefault="00F25E60" w:rsidP="00F25E60">
            <w:pPr>
              <w:pStyle w:val="Bezodstpw"/>
              <w:rPr>
                <w:rFonts w:cs="Arial"/>
                <w:szCs w:val="20"/>
              </w:rPr>
            </w:pPr>
            <w:r w:rsidRPr="00F25E60">
              <w:rPr>
                <w:rFonts w:cs="Arial"/>
                <w:szCs w:val="20"/>
              </w:rPr>
              <w:t>Kat. UF</w:t>
            </w:r>
            <w:r w:rsidRPr="00F25E60">
              <w:rPr>
                <w:rFonts w:cs="Arial"/>
                <w:szCs w:val="20"/>
                <w:vertAlign w:val="subscript"/>
              </w:rPr>
              <w:t>12</w:t>
            </w:r>
            <w:r w:rsidRPr="00F25E60">
              <w:rPr>
                <w:rFonts w:cs="Arial"/>
                <w:szCs w:val="20"/>
              </w:rPr>
              <w:t xml:space="preserve">  (tj. masa frakcji przechodzącej przez sito </w:t>
            </w:r>
            <w:smartTag w:uri="urn:schemas-microsoft-com:office:smarttags" w:element="metricconverter">
              <w:smartTagPr>
                <w:attr w:name="ProductID" w:val="0,063 mm"/>
              </w:smartTagPr>
              <w:r w:rsidRPr="00F25E60">
                <w:rPr>
                  <w:rFonts w:cs="Arial"/>
                  <w:szCs w:val="20"/>
                </w:rPr>
                <w:t>0,063 mm</w:t>
              </w:r>
            </w:smartTag>
            <w:r w:rsidRPr="00F25E60">
              <w:rPr>
                <w:rFonts w:cs="Arial"/>
                <w:szCs w:val="20"/>
              </w:rPr>
              <w:t xml:space="preserve"> powinna być ≤ 12%)</w:t>
            </w:r>
          </w:p>
        </w:tc>
      </w:tr>
      <w:tr w:rsidR="00F25E60" w:rsidRPr="00F25E60" w14:paraId="3CFCCE3A" w14:textId="77777777" w:rsidTr="007B6855">
        <w:tc>
          <w:tcPr>
            <w:tcW w:w="3085" w:type="dxa"/>
          </w:tcPr>
          <w:p w14:paraId="289F240B" w14:textId="77777777" w:rsidR="00F25E60" w:rsidRPr="00F25E60" w:rsidRDefault="00F25E60" w:rsidP="00F25E60">
            <w:pPr>
              <w:pStyle w:val="Bezodstpw"/>
              <w:rPr>
                <w:rFonts w:cs="Arial"/>
                <w:szCs w:val="20"/>
              </w:rPr>
            </w:pPr>
            <w:r w:rsidRPr="00F25E60">
              <w:rPr>
                <w:rFonts w:cs="Arial"/>
                <w:szCs w:val="20"/>
              </w:rPr>
              <w:t>Minimalna zawartość pyłów:</w:t>
            </w:r>
          </w:p>
          <w:p w14:paraId="7C368DC3" w14:textId="77777777" w:rsidR="00F25E60" w:rsidRPr="00F25E60" w:rsidRDefault="00F25E60" w:rsidP="00F25E60">
            <w:pPr>
              <w:pStyle w:val="Bezodstpw"/>
              <w:rPr>
                <w:rFonts w:cs="Arial"/>
                <w:szCs w:val="20"/>
              </w:rPr>
            </w:pPr>
            <w:r w:rsidRPr="00F25E60">
              <w:rPr>
                <w:rFonts w:cs="Arial"/>
                <w:szCs w:val="20"/>
              </w:rPr>
              <w:t xml:space="preserve">Kat. LF </w:t>
            </w:r>
          </w:p>
        </w:tc>
        <w:tc>
          <w:tcPr>
            <w:tcW w:w="709" w:type="dxa"/>
          </w:tcPr>
          <w:p w14:paraId="53E974E3" w14:textId="77777777" w:rsidR="00F25E60" w:rsidRPr="00F25E60" w:rsidRDefault="00F25E60" w:rsidP="00F25E60">
            <w:pPr>
              <w:pStyle w:val="Bezodstpw"/>
              <w:rPr>
                <w:rFonts w:cs="Arial"/>
                <w:szCs w:val="20"/>
              </w:rPr>
            </w:pPr>
            <w:r w:rsidRPr="00F25E60">
              <w:rPr>
                <w:rFonts w:cs="Arial"/>
                <w:szCs w:val="20"/>
              </w:rPr>
              <w:t>4.3.2</w:t>
            </w:r>
          </w:p>
        </w:tc>
        <w:tc>
          <w:tcPr>
            <w:tcW w:w="5103" w:type="dxa"/>
          </w:tcPr>
          <w:p w14:paraId="3E361CD4" w14:textId="77777777" w:rsidR="00F25E60" w:rsidRPr="00F25E60" w:rsidRDefault="00F25E60" w:rsidP="00F25E60">
            <w:pPr>
              <w:pStyle w:val="Bezodstpw"/>
              <w:rPr>
                <w:rFonts w:cs="Arial"/>
                <w:szCs w:val="20"/>
              </w:rPr>
            </w:pPr>
            <w:r w:rsidRPr="00F25E60">
              <w:rPr>
                <w:rFonts w:cs="Arial"/>
                <w:szCs w:val="20"/>
              </w:rPr>
              <w:t>Kat. LF</w:t>
            </w:r>
            <w:r w:rsidRPr="00F25E60">
              <w:rPr>
                <w:rFonts w:cs="Arial"/>
                <w:szCs w:val="20"/>
                <w:vertAlign w:val="subscript"/>
              </w:rPr>
              <w:t xml:space="preserve">NR  </w:t>
            </w:r>
            <w:r w:rsidRPr="00F25E60">
              <w:rPr>
                <w:rFonts w:cs="Arial"/>
                <w:szCs w:val="20"/>
              </w:rPr>
              <w:t>(tj. brak wymagań)</w:t>
            </w:r>
          </w:p>
        </w:tc>
      </w:tr>
      <w:tr w:rsidR="00F25E60" w:rsidRPr="00F25E60" w14:paraId="2E30588B" w14:textId="77777777" w:rsidTr="007B6855">
        <w:trPr>
          <w:trHeight w:val="671"/>
        </w:trPr>
        <w:tc>
          <w:tcPr>
            <w:tcW w:w="3085" w:type="dxa"/>
          </w:tcPr>
          <w:p w14:paraId="49805F69" w14:textId="77777777" w:rsidR="00F25E60" w:rsidRPr="00F25E60" w:rsidRDefault="00F25E60" w:rsidP="00F25E60">
            <w:pPr>
              <w:pStyle w:val="Bezodstpw"/>
              <w:rPr>
                <w:rFonts w:cs="Arial"/>
                <w:szCs w:val="20"/>
              </w:rPr>
            </w:pPr>
            <w:r w:rsidRPr="00F25E60">
              <w:rPr>
                <w:rFonts w:cs="Arial"/>
                <w:szCs w:val="20"/>
              </w:rPr>
              <w:t>Zawartość nadziarna:</w:t>
            </w:r>
          </w:p>
          <w:p w14:paraId="5CD91EE7" w14:textId="77777777" w:rsidR="00F25E60" w:rsidRPr="00F25E60" w:rsidRDefault="00F25E60" w:rsidP="00F25E60">
            <w:pPr>
              <w:pStyle w:val="Bezodstpw"/>
              <w:rPr>
                <w:rFonts w:cs="Arial"/>
                <w:szCs w:val="20"/>
              </w:rPr>
            </w:pPr>
            <w:proofErr w:type="spellStart"/>
            <w:r w:rsidRPr="00F25E60">
              <w:rPr>
                <w:rFonts w:cs="Arial"/>
                <w:szCs w:val="20"/>
              </w:rPr>
              <w:t>Kat.OC</w:t>
            </w:r>
            <w:proofErr w:type="spellEnd"/>
          </w:p>
        </w:tc>
        <w:tc>
          <w:tcPr>
            <w:tcW w:w="709" w:type="dxa"/>
          </w:tcPr>
          <w:p w14:paraId="10836301" w14:textId="77777777" w:rsidR="00F25E60" w:rsidRPr="00F25E60" w:rsidRDefault="00F25E60" w:rsidP="00F25E60">
            <w:pPr>
              <w:pStyle w:val="Bezodstpw"/>
              <w:rPr>
                <w:rFonts w:cs="Arial"/>
                <w:szCs w:val="20"/>
              </w:rPr>
            </w:pPr>
            <w:r w:rsidRPr="00F25E60">
              <w:rPr>
                <w:rFonts w:cs="Arial"/>
                <w:szCs w:val="20"/>
              </w:rPr>
              <w:t>4.3.3</w:t>
            </w:r>
          </w:p>
        </w:tc>
        <w:tc>
          <w:tcPr>
            <w:tcW w:w="5103" w:type="dxa"/>
          </w:tcPr>
          <w:p w14:paraId="1B79E419" w14:textId="77777777" w:rsidR="00F25E60" w:rsidRPr="00F25E60" w:rsidRDefault="00F25E60" w:rsidP="00F25E60">
            <w:pPr>
              <w:pStyle w:val="Bezodstpw"/>
              <w:rPr>
                <w:rFonts w:cs="Arial"/>
                <w:szCs w:val="20"/>
              </w:rPr>
            </w:pPr>
            <w:r w:rsidRPr="00F25E60">
              <w:rPr>
                <w:rFonts w:cs="Arial"/>
                <w:szCs w:val="20"/>
              </w:rPr>
              <w:t>Kat. OC</w:t>
            </w:r>
            <w:r w:rsidRPr="00F25E60">
              <w:rPr>
                <w:rFonts w:cs="Arial"/>
                <w:szCs w:val="20"/>
                <w:vertAlign w:val="subscript"/>
              </w:rPr>
              <w:t>90</w:t>
            </w:r>
            <w:r w:rsidRPr="00F25E60">
              <w:rPr>
                <w:rFonts w:cs="Arial"/>
                <w:szCs w:val="20"/>
              </w:rPr>
              <w:t xml:space="preserve"> (tj. procent przechodzącej masy przez sito 1,4D</w:t>
            </w:r>
            <w:r w:rsidRPr="00F25E60">
              <w:rPr>
                <w:rFonts w:cs="Arial"/>
                <w:szCs w:val="20"/>
                <w:vertAlign w:val="superscript"/>
              </w:rPr>
              <w:t>*)</w:t>
            </w:r>
            <w:r w:rsidRPr="00F25E60">
              <w:rPr>
                <w:rFonts w:cs="Arial"/>
                <w:szCs w:val="20"/>
              </w:rPr>
              <w:t xml:space="preserve"> powinien wynosić 100%, a przechodzącej przez sito D</w:t>
            </w:r>
            <w:r w:rsidRPr="00F25E60">
              <w:rPr>
                <w:rFonts w:cs="Arial"/>
                <w:szCs w:val="20"/>
                <w:vertAlign w:val="superscript"/>
              </w:rPr>
              <w:t>**)</w:t>
            </w:r>
            <w:r w:rsidRPr="00F25E60">
              <w:rPr>
                <w:rFonts w:cs="Arial"/>
                <w:szCs w:val="20"/>
              </w:rPr>
              <w:t xml:space="preserve"> powinien wynosić 90-99%)</w:t>
            </w:r>
          </w:p>
        </w:tc>
      </w:tr>
      <w:tr w:rsidR="00F25E60" w:rsidRPr="00F25E60" w14:paraId="7A4B5B00" w14:textId="77777777" w:rsidTr="007B6855">
        <w:tc>
          <w:tcPr>
            <w:tcW w:w="3085" w:type="dxa"/>
          </w:tcPr>
          <w:p w14:paraId="0FC18E96" w14:textId="77777777" w:rsidR="00F25E60" w:rsidRPr="00F25E60" w:rsidRDefault="00F25E60" w:rsidP="00F25E60">
            <w:pPr>
              <w:pStyle w:val="Bezodstpw"/>
              <w:rPr>
                <w:rFonts w:cs="Arial"/>
                <w:szCs w:val="20"/>
              </w:rPr>
            </w:pPr>
            <w:r w:rsidRPr="00F25E60">
              <w:rPr>
                <w:rFonts w:cs="Arial"/>
                <w:szCs w:val="20"/>
              </w:rPr>
              <w:t>Wymagania wobec uziarnienia</w:t>
            </w:r>
          </w:p>
        </w:tc>
        <w:tc>
          <w:tcPr>
            <w:tcW w:w="709" w:type="dxa"/>
          </w:tcPr>
          <w:p w14:paraId="0F87CBEA" w14:textId="77777777" w:rsidR="00F25E60" w:rsidRPr="00F25E60" w:rsidRDefault="00F25E60" w:rsidP="00F25E60">
            <w:pPr>
              <w:pStyle w:val="Bezodstpw"/>
              <w:rPr>
                <w:rFonts w:cs="Arial"/>
                <w:szCs w:val="20"/>
              </w:rPr>
            </w:pPr>
            <w:r w:rsidRPr="00F25E60">
              <w:rPr>
                <w:rFonts w:cs="Arial"/>
                <w:szCs w:val="20"/>
              </w:rPr>
              <w:t>4.4.1</w:t>
            </w:r>
          </w:p>
        </w:tc>
        <w:tc>
          <w:tcPr>
            <w:tcW w:w="5103" w:type="dxa"/>
          </w:tcPr>
          <w:p w14:paraId="67A6850E" w14:textId="77777777" w:rsidR="00F25E60" w:rsidRPr="00F25E60" w:rsidRDefault="00F25E60" w:rsidP="00F25E60">
            <w:pPr>
              <w:pStyle w:val="Bezodstpw"/>
              <w:rPr>
                <w:rFonts w:cs="Arial"/>
                <w:szCs w:val="20"/>
              </w:rPr>
            </w:pPr>
            <w:r w:rsidRPr="00F25E60">
              <w:rPr>
                <w:rFonts w:cs="Arial"/>
                <w:szCs w:val="20"/>
              </w:rPr>
              <w:t>Krzywe graniczne uziarnienia według rys. 1÷3</w:t>
            </w:r>
          </w:p>
        </w:tc>
      </w:tr>
      <w:tr w:rsidR="00F25E60" w:rsidRPr="00F25E60" w14:paraId="424B0F9E" w14:textId="77777777" w:rsidTr="007B6855">
        <w:tc>
          <w:tcPr>
            <w:tcW w:w="3085" w:type="dxa"/>
          </w:tcPr>
          <w:p w14:paraId="37EF04F0" w14:textId="77777777" w:rsidR="00F25E60" w:rsidRPr="00F25E60" w:rsidRDefault="00F25E60" w:rsidP="00F25E60">
            <w:pPr>
              <w:pStyle w:val="Bezodstpw"/>
              <w:rPr>
                <w:rFonts w:cs="Arial"/>
                <w:szCs w:val="20"/>
              </w:rPr>
            </w:pPr>
            <w:r w:rsidRPr="00F25E60">
              <w:rPr>
                <w:rFonts w:cs="Arial"/>
                <w:szCs w:val="20"/>
              </w:rPr>
              <w:t xml:space="preserve">Wymagania wobec jednorodności uziarnienia poszczególnych partii – porównanie z deklarowaną </w:t>
            </w:r>
            <w:r w:rsidRPr="00F25E60">
              <w:rPr>
                <w:rFonts w:cs="Arial"/>
                <w:szCs w:val="20"/>
              </w:rPr>
              <w:lastRenderedPageBreak/>
              <w:t>przez producenta wartością (S)</w:t>
            </w:r>
          </w:p>
        </w:tc>
        <w:tc>
          <w:tcPr>
            <w:tcW w:w="709" w:type="dxa"/>
          </w:tcPr>
          <w:p w14:paraId="679D416E" w14:textId="77777777" w:rsidR="00F25E60" w:rsidRPr="00F25E60" w:rsidRDefault="00F25E60" w:rsidP="00F25E60">
            <w:pPr>
              <w:pStyle w:val="Bezodstpw"/>
              <w:rPr>
                <w:rFonts w:cs="Arial"/>
                <w:szCs w:val="20"/>
              </w:rPr>
            </w:pPr>
            <w:r w:rsidRPr="00F25E60">
              <w:rPr>
                <w:rFonts w:cs="Arial"/>
                <w:szCs w:val="20"/>
              </w:rPr>
              <w:lastRenderedPageBreak/>
              <w:t>4.4.2</w:t>
            </w:r>
          </w:p>
        </w:tc>
        <w:tc>
          <w:tcPr>
            <w:tcW w:w="5103" w:type="dxa"/>
          </w:tcPr>
          <w:p w14:paraId="16E3F56D" w14:textId="77777777" w:rsidR="00F25E60" w:rsidRPr="00F25E60" w:rsidRDefault="00F25E60" w:rsidP="00F25E60">
            <w:pPr>
              <w:pStyle w:val="Bezodstpw"/>
              <w:rPr>
                <w:rFonts w:cs="Arial"/>
                <w:szCs w:val="20"/>
              </w:rPr>
            </w:pPr>
            <w:r w:rsidRPr="00F25E60">
              <w:rPr>
                <w:rFonts w:cs="Arial"/>
                <w:szCs w:val="20"/>
              </w:rPr>
              <w:t>Wg tab. 2</w:t>
            </w:r>
          </w:p>
        </w:tc>
      </w:tr>
      <w:tr w:rsidR="00F25E60" w:rsidRPr="00F25E60" w14:paraId="6F036E83" w14:textId="77777777" w:rsidTr="007B6855">
        <w:tc>
          <w:tcPr>
            <w:tcW w:w="3085" w:type="dxa"/>
          </w:tcPr>
          <w:p w14:paraId="54A30301" w14:textId="77777777" w:rsidR="00F25E60" w:rsidRPr="00F25E60" w:rsidRDefault="00F25E60" w:rsidP="00F25E60">
            <w:pPr>
              <w:pStyle w:val="Bezodstpw"/>
              <w:rPr>
                <w:rFonts w:cs="Arial"/>
                <w:szCs w:val="20"/>
              </w:rPr>
            </w:pPr>
            <w:r w:rsidRPr="00F25E60">
              <w:rPr>
                <w:rFonts w:cs="Arial"/>
                <w:szCs w:val="20"/>
              </w:rPr>
              <w:t>Wymagania wobec jednorodności uziarnienia na sitach kontrolnych – różnice w przesiewach</w:t>
            </w:r>
          </w:p>
        </w:tc>
        <w:tc>
          <w:tcPr>
            <w:tcW w:w="709" w:type="dxa"/>
          </w:tcPr>
          <w:p w14:paraId="0CB718B4" w14:textId="77777777" w:rsidR="00F25E60" w:rsidRPr="00F25E60" w:rsidRDefault="00F25E60" w:rsidP="00F25E60">
            <w:pPr>
              <w:pStyle w:val="Bezodstpw"/>
              <w:rPr>
                <w:rFonts w:cs="Arial"/>
                <w:szCs w:val="20"/>
              </w:rPr>
            </w:pPr>
            <w:r w:rsidRPr="00F25E60">
              <w:rPr>
                <w:rFonts w:cs="Arial"/>
                <w:szCs w:val="20"/>
              </w:rPr>
              <w:t>4.4.2</w:t>
            </w:r>
          </w:p>
        </w:tc>
        <w:tc>
          <w:tcPr>
            <w:tcW w:w="5103" w:type="dxa"/>
          </w:tcPr>
          <w:p w14:paraId="673B74F9" w14:textId="77777777" w:rsidR="00F25E60" w:rsidRPr="00F25E60" w:rsidRDefault="00F25E60" w:rsidP="00F25E60">
            <w:pPr>
              <w:pStyle w:val="Bezodstpw"/>
              <w:rPr>
                <w:rFonts w:cs="Arial"/>
                <w:szCs w:val="20"/>
              </w:rPr>
            </w:pPr>
            <w:r w:rsidRPr="00F25E60">
              <w:rPr>
                <w:rFonts w:cs="Arial"/>
                <w:szCs w:val="20"/>
              </w:rPr>
              <w:t>Wg tab. 3</w:t>
            </w:r>
          </w:p>
        </w:tc>
      </w:tr>
      <w:tr w:rsidR="00F25E60" w:rsidRPr="00F25E60" w14:paraId="48346F49" w14:textId="77777777" w:rsidTr="007B6855">
        <w:tc>
          <w:tcPr>
            <w:tcW w:w="3085" w:type="dxa"/>
          </w:tcPr>
          <w:p w14:paraId="71B393AB" w14:textId="77777777" w:rsidR="00F25E60" w:rsidRPr="00F25E60" w:rsidRDefault="00F25E60" w:rsidP="00F25E60">
            <w:pPr>
              <w:pStyle w:val="Bezodstpw"/>
              <w:rPr>
                <w:rFonts w:cs="Arial"/>
                <w:szCs w:val="20"/>
              </w:rPr>
            </w:pPr>
            <w:r w:rsidRPr="00F25E60">
              <w:rPr>
                <w:rFonts w:cs="Arial"/>
                <w:szCs w:val="20"/>
              </w:rPr>
              <w:t>Wrażliwość na mróz; wskaźnik piaskowy SE</w:t>
            </w:r>
            <w:r w:rsidRPr="00F25E60">
              <w:rPr>
                <w:rFonts w:cs="Arial"/>
                <w:szCs w:val="20"/>
                <w:vertAlign w:val="superscript"/>
              </w:rPr>
              <w:t>***)</w:t>
            </w:r>
            <w:r w:rsidRPr="00F25E60">
              <w:rPr>
                <w:rFonts w:cs="Arial"/>
                <w:szCs w:val="20"/>
              </w:rPr>
              <w:t>, co najmniej</w:t>
            </w:r>
          </w:p>
        </w:tc>
        <w:tc>
          <w:tcPr>
            <w:tcW w:w="709" w:type="dxa"/>
          </w:tcPr>
          <w:p w14:paraId="1134FF89" w14:textId="77777777" w:rsidR="00F25E60" w:rsidRPr="00F25E60" w:rsidRDefault="00F25E60" w:rsidP="00F25E60">
            <w:pPr>
              <w:pStyle w:val="Bezodstpw"/>
              <w:rPr>
                <w:rFonts w:cs="Arial"/>
                <w:szCs w:val="20"/>
              </w:rPr>
            </w:pPr>
            <w:r w:rsidRPr="00F25E60">
              <w:rPr>
                <w:rFonts w:cs="Arial"/>
                <w:szCs w:val="20"/>
              </w:rPr>
              <w:t>4.5</w:t>
            </w:r>
          </w:p>
        </w:tc>
        <w:tc>
          <w:tcPr>
            <w:tcW w:w="5103" w:type="dxa"/>
          </w:tcPr>
          <w:p w14:paraId="393BDA5A" w14:textId="77777777" w:rsidR="00F25E60" w:rsidRPr="00F25E60" w:rsidRDefault="00F25E60" w:rsidP="00F25E60">
            <w:pPr>
              <w:pStyle w:val="Bezodstpw"/>
              <w:rPr>
                <w:rFonts w:cs="Arial"/>
                <w:szCs w:val="20"/>
              </w:rPr>
            </w:pPr>
            <w:r w:rsidRPr="00F25E60">
              <w:rPr>
                <w:rFonts w:cs="Arial"/>
                <w:szCs w:val="20"/>
              </w:rPr>
              <w:t>40</w:t>
            </w:r>
          </w:p>
        </w:tc>
      </w:tr>
      <w:tr w:rsidR="00F25E60" w:rsidRPr="00F25E60" w14:paraId="2A0B6232" w14:textId="77777777" w:rsidTr="007B6855">
        <w:tc>
          <w:tcPr>
            <w:tcW w:w="3085" w:type="dxa"/>
          </w:tcPr>
          <w:p w14:paraId="1E9E0D07" w14:textId="77777777" w:rsidR="00F25E60" w:rsidRPr="00F25E60" w:rsidRDefault="00F25E60" w:rsidP="00F25E60">
            <w:pPr>
              <w:pStyle w:val="Bezodstpw"/>
              <w:rPr>
                <w:rFonts w:cs="Arial"/>
                <w:szCs w:val="20"/>
              </w:rPr>
            </w:pPr>
            <w:r w:rsidRPr="00F25E60">
              <w:rPr>
                <w:rFonts w:cs="Arial"/>
                <w:szCs w:val="20"/>
              </w:rPr>
              <w:t>Odporność na rozdrabnianie (dotyczy frakcji 10/14 mm odsianej z mieszanki) wg PN-EN 1097-1 [12], kat. nie wyższa niż</w:t>
            </w:r>
          </w:p>
        </w:tc>
        <w:tc>
          <w:tcPr>
            <w:tcW w:w="709" w:type="dxa"/>
          </w:tcPr>
          <w:p w14:paraId="3066804A" w14:textId="77777777" w:rsidR="00F25E60" w:rsidRPr="00F25E60" w:rsidRDefault="00F25E60" w:rsidP="00F25E60">
            <w:pPr>
              <w:pStyle w:val="Bezodstpw"/>
              <w:rPr>
                <w:rFonts w:cs="Arial"/>
                <w:szCs w:val="20"/>
              </w:rPr>
            </w:pPr>
          </w:p>
        </w:tc>
        <w:tc>
          <w:tcPr>
            <w:tcW w:w="5103" w:type="dxa"/>
          </w:tcPr>
          <w:p w14:paraId="675459F1" w14:textId="77777777" w:rsidR="00F25E60" w:rsidRPr="00F25E60" w:rsidRDefault="00F25E60" w:rsidP="00F25E60">
            <w:pPr>
              <w:pStyle w:val="Bezodstpw"/>
              <w:rPr>
                <w:rFonts w:cs="Arial"/>
                <w:szCs w:val="20"/>
              </w:rPr>
            </w:pPr>
            <w:r w:rsidRPr="00F25E60">
              <w:rPr>
                <w:rFonts w:cs="Arial"/>
                <w:szCs w:val="20"/>
              </w:rPr>
              <w:t>Kat. LA</w:t>
            </w:r>
            <w:r w:rsidRPr="00F25E60">
              <w:rPr>
                <w:rFonts w:cs="Arial"/>
                <w:szCs w:val="20"/>
                <w:vertAlign w:val="subscript"/>
              </w:rPr>
              <w:t>40</w:t>
            </w:r>
            <w:r w:rsidRPr="00F25E60">
              <w:rPr>
                <w:rFonts w:cs="Arial"/>
                <w:szCs w:val="20"/>
              </w:rPr>
              <w:t xml:space="preserve">  (tj. współczynnik Los Angeles ≤ 40)</w:t>
            </w:r>
          </w:p>
        </w:tc>
      </w:tr>
      <w:tr w:rsidR="00F25E60" w:rsidRPr="00F25E60" w14:paraId="269EB8CB" w14:textId="77777777" w:rsidTr="007B6855">
        <w:tc>
          <w:tcPr>
            <w:tcW w:w="3085" w:type="dxa"/>
          </w:tcPr>
          <w:p w14:paraId="11C2E45F" w14:textId="77777777" w:rsidR="00F25E60" w:rsidRPr="00F25E60" w:rsidRDefault="00F25E60" w:rsidP="00F25E60">
            <w:pPr>
              <w:pStyle w:val="Bezodstpw"/>
              <w:rPr>
                <w:rFonts w:cs="Arial"/>
                <w:szCs w:val="20"/>
                <w:vertAlign w:val="subscript"/>
              </w:rPr>
            </w:pPr>
            <w:r w:rsidRPr="00F25E60">
              <w:rPr>
                <w:rFonts w:cs="Arial"/>
                <w:szCs w:val="20"/>
              </w:rPr>
              <w:t>Odporność na ścieranie (dotyczy frakcji 10/14 mm odsianej z mieszanki) wg PN-EN 1097-1 [12], kat. M</w:t>
            </w:r>
            <w:r w:rsidRPr="00F25E60">
              <w:rPr>
                <w:rFonts w:cs="Arial"/>
                <w:szCs w:val="20"/>
                <w:vertAlign w:val="subscript"/>
              </w:rPr>
              <w:t>DE</w:t>
            </w:r>
          </w:p>
        </w:tc>
        <w:tc>
          <w:tcPr>
            <w:tcW w:w="709" w:type="dxa"/>
          </w:tcPr>
          <w:p w14:paraId="7CBFB992" w14:textId="77777777" w:rsidR="00F25E60" w:rsidRPr="00F25E60" w:rsidRDefault="00F25E60" w:rsidP="00F25E60">
            <w:pPr>
              <w:pStyle w:val="Bezodstpw"/>
              <w:rPr>
                <w:rFonts w:cs="Arial"/>
                <w:szCs w:val="20"/>
              </w:rPr>
            </w:pPr>
          </w:p>
        </w:tc>
        <w:tc>
          <w:tcPr>
            <w:tcW w:w="5103" w:type="dxa"/>
          </w:tcPr>
          <w:p w14:paraId="623F048E" w14:textId="77777777" w:rsidR="00F25E60" w:rsidRPr="00F25E60" w:rsidRDefault="00F25E60" w:rsidP="00F25E60">
            <w:pPr>
              <w:pStyle w:val="Bezodstpw"/>
              <w:rPr>
                <w:rFonts w:cs="Arial"/>
                <w:szCs w:val="20"/>
              </w:rPr>
            </w:pPr>
            <w:r w:rsidRPr="00F25E60">
              <w:rPr>
                <w:rFonts w:cs="Arial"/>
                <w:szCs w:val="20"/>
              </w:rPr>
              <w:t>Deklarowana</w:t>
            </w:r>
          </w:p>
        </w:tc>
      </w:tr>
      <w:tr w:rsidR="00F25E60" w:rsidRPr="00F25E60" w14:paraId="4A983DDA" w14:textId="77777777" w:rsidTr="007B6855">
        <w:tc>
          <w:tcPr>
            <w:tcW w:w="3085" w:type="dxa"/>
          </w:tcPr>
          <w:p w14:paraId="32240B3B" w14:textId="77777777" w:rsidR="00F25E60" w:rsidRPr="00F25E60" w:rsidRDefault="00F25E60" w:rsidP="00F25E60">
            <w:pPr>
              <w:pStyle w:val="Bezodstpw"/>
              <w:rPr>
                <w:rFonts w:cs="Arial"/>
                <w:szCs w:val="20"/>
              </w:rPr>
            </w:pPr>
            <w:r w:rsidRPr="00F25E60">
              <w:rPr>
                <w:rFonts w:cs="Arial"/>
                <w:szCs w:val="20"/>
              </w:rPr>
              <w:t>Mrozoodporność (dotyczy frakcji kruszywa 8/16 mm odsianej z mieszanki) wg PN-EN 1367-1 [15]</w:t>
            </w:r>
          </w:p>
        </w:tc>
        <w:tc>
          <w:tcPr>
            <w:tcW w:w="709" w:type="dxa"/>
          </w:tcPr>
          <w:p w14:paraId="2BCF94DA" w14:textId="77777777" w:rsidR="00F25E60" w:rsidRPr="00F25E60" w:rsidRDefault="00F25E60" w:rsidP="00F25E60">
            <w:pPr>
              <w:pStyle w:val="Bezodstpw"/>
              <w:rPr>
                <w:rFonts w:cs="Arial"/>
                <w:szCs w:val="20"/>
              </w:rPr>
            </w:pPr>
          </w:p>
        </w:tc>
        <w:tc>
          <w:tcPr>
            <w:tcW w:w="5103" w:type="dxa"/>
          </w:tcPr>
          <w:p w14:paraId="558E2E6F" w14:textId="77777777" w:rsidR="00F25E60" w:rsidRPr="00F25E60" w:rsidRDefault="00F25E60" w:rsidP="00F25E60">
            <w:pPr>
              <w:pStyle w:val="Bezodstpw"/>
              <w:rPr>
                <w:rFonts w:cs="Arial"/>
                <w:szCs w:val="20"/>
              </w:rPr>
            </w:pPr>
            <w:r w:rsidRPr="00F25E60">
              <w:rPr>
                <w:rFonts w:cs="Arial"/>
                <w:szCs w:val="20"/>
              </w:rPr>
              <w:t>Kat. F7  (tj. zamrażanie-rozmrażanie, procent masy ≤ 7)</w:t>
            </w:r>
          </w:p>
        </w:tc>
      </w:tr>
      <w:tr w:rsidR="00F25E60" w:rsidRPr="00F25E60" w14:paraId="1707668E" w14:textId="77777777" w:rsidTr="007B6855">
        <w:tc>
          <w:tcPr>
            <w:tcW w:w="3085" w:type="dxa"/>
          </w:tcPr>
          <w:p w14:paraId="4D89B2C1" w14:textId="77777777" w:rsidR="00F25E60" w:rsidRPr="00F25E60" w:rsidRDefault="00F25E60" w:rsidP="00F25E60">
            <w:pPr>
              <w:pStyle w:val="Bezodstpw"/>
              <w:rPr>
                <w:rFonts w:cs="Arial"/>
                <w:szCs w:val="20"/>
              </w:rPr>
            </w:pPr>
            <w:r w:rsidRPr="00F25E60">
              <w:rPr>
                <w:rFonts w:cs="Arial"/>
                <w:szCs w:val="20"/>
              </w:rPr>
              <w:t>Wartość CBR po zagęszczeniu do wskaźnika zagęszczenia I</w:t>
            </w:r>
            <w:r w:rsidRPr="00F25E60">
              <w:rPr>
                <w:rFonts w:cs="Arial"/>
                <w:szCs w:val="20"/>
                <w:vertAlign w:val="subscript"/>
              </w:rPr>
              <w:t>S</w:t>
            </w:r>
            <w:r w:rsidRPr="00F25E60">
              <w:rPr>
                <w:rFonts w:cs="Arial"/>
                <w:szCs w:val="20"/>
              </w:rPr>
              <w:t>=1,0 i moczeniu w wodzie 96 h, co najmniej</w:t>
            </w:r>
          </w:p>
        </w:tc>
        <w:tc>
          <w:tcPr>
            <w:tcW w:w="709" w:type="dxa"/>
          </w:tcPr>
          <w:p w14:paraId="369B78CB" w14:textId="77777777" w:rsidR="00F25E60" w:rsidRPr="00F25E60" w:rsidRDefault="00F25E60" w:rsidP="00F25E60">
            <w:pPr>
              <w:pStyle w:val="Bezodstpw"/>
              <w:rPr>
                <w:rFonts w:cs="Arial"/>
                <w:szCs w:val="20"/>
              </w:rPr>
            </w:pPr>
          </w:p>
        </w:tc>
        <w:tc>
          <w:tcPr>
            <w:tcW w:w="5103" w:type="dxa"/>
          </w:tcPr>
          <w:p w14:paraId="0575E60E" w14:textId="77777777" w:rsidR="00F25E60" w:rsidRPr="00F25E60" w:rsidRDefault="00F25E60" w:rsidP="00F25E60">
            <w:pPr>
              <w:pStyle w:val="Bezodstpw"/>
              <w:rPr>
                <w:rFonts w:cs="Arial"/>
                <w:szCs w:val="20"/>
              </w:rPr>
            </w:pPr>
            <w:r w:rsidRPr="00F25E60">
              <w:rPr>
                <w:rFonts w:cs="Arial"/>
                <w:szCs w:val="20"/>
              </w:rPr>
              <w:t xml:space="preserve"> ≥ 60</w:t>
            </w:r>
          </w:p>
        </w:tc>
      </w:tr>
      <w:tr w:rsidR="00F25E60" w:rsidRPr="00F25E60" w14:paraId="214BC94D" w14:textId="77777777" w:rsidTr="007B6855">
        <w:tc>
          <w:tcPr>
            <w:tcW w:w="3085" w:type="dxa"/>
          </w:tcPr>
          <w:p w14:paraId="11F6034C" w14:textId="77777777" w:rsidR="00F25E60" w:rsidRPr="00F25E60" w:rsidRDefault="00F25E60" w:rsidP="00F25E60">
            <w:pPr>
              <w:pStyle w:val="Bezodstpw"/>
              <w:rPr>
                <w:rFonts w:cs="Arial"/>
                <w:szCs w:val="20"/>
              </w:rPr>
            </w:pPr>
            <w:r w:rsidRPr="00F25E60">
              <w:rPr>
                <w:rFonts w:cs="Arial"/>
                <w:szCs w:val="20"/>
              </w:rPr>
              <w:t xml:space="preserve">Wodoprzepuszczalność mieszanki w warstwie odsączającej po zagęszczeniu metodą </w:t>
            </w:r>
            <w:proofErr w:type="spellStart"/>
            <w:r w:rsidRPr="00F25E60">
              <w:rPr>
                <w:rFonts w:cs="Arial"/>
                <w:szCs w:val="20"/>
              </w:rPr>
              <w:t>Proctora</w:t>
            </w:r>
            <w:proofErr w:type="spellEnd"/>
            <w:r w:rsidRPr="00F25E60">
              <w:rPr>
                <w:rFonts w:cs="Arial"/>
                <w:szCs w:val="20"/>
              </w:rPr>
              <w:t xml:space="preserve"> do wskaźnika zagęszczenia I</w:t>
            </w:r>
            <w:r w:rsidRPr="00F25E60">
              <w:rPr>
                <w:rFonts w:cs="Arial"/>
                <w:szCs w:val="20"/>
                <w:vertAlign w:val="subscript"/>
              </w:rPr>
              <w:t>S</w:t>
            </w:r>
            <w:r w:rsidRPr="00F25E60">
              <w:rPr>
                <w:rFonts w:cs="Arial"/>
                <w:szCs w:val="20"/>
              </w:rPr>
              <w:t xml:space="preserve">=1,0; </w:t>
            </w:r>
            <w:proofErr w:type="spellStart"/>
            <w:r w:rsidRPr="00F25E60">
              <w:rPr>
                <w:rFonts w:cs="Arial"/>
                <w:szCs w:val="20"/>
              </w:rPr>
              <w:t>wsp</w:t>
            </w:r>
            <w:proofErr w:type="spellEnd"/>
            <w:r w:rsidRPr="00F25E60">
              <w:rPr>
                <w:rFonts w:cs="Arial"/>
                <w:szCs w:val="20"/>
              </w:rPr>
              <w:t>. filtracji ”k”, co najmniej cm/s</w:t>
            </w:r>
          </w:p>
        </w:tc>
        <w:tc>
          <w:tcPr>
            <w:tcW w:w="709" w:type="dxa"/>
          </w:tcPr>
          <w:p w14:paraId="25E92672" w14:textId="77777777" w:rsidR="00F25E60" w:rsidRPr="00F25E60" w:rsidRDefault="00F25E60" w:rsidP="00F25E60">
            <w:pPr>
              <w:pStyle w:val="Bezodstpw"/>
              <w:rPr>
                <w:rFonts w:cs="Arial"/>
                <w:szCs w:val="20"/>
              </w:rPr>
            </w:pPr>
            <w:r w:rsidRPr="00F25E60">
              <w:rPr>
                <w:rFonts w:cs="Arial"/>
                <w:szCs w:val="20"/>
              </w:rPr>
              <w:t>4.5</w:t>
            </w:r>
          </w:p>
        </w:tc>
        <w:tc>
          <w:tcPr>
            <w:tcW w:w="5103" w:type="dxa"/>
          </w:tcPr>
          <w:p w14:paraId="7C74A0DA" w14:textId="77777777" w:rsidR="00F25E60" w:rsidRPr="00F25E60" w:rsidRDefault="00F25E60" w:rsidP="00F25E60">
            <w:pPr>
              <w:pStyle w:val="Bezodstpw"/>
              <w:rPr>
                <w:rFonts w:cs="Arial"/>
                <w:szCs w:val="20"/>
              </w:rPr>
            </w:pPr>
            <w:r w:rsidRPr="00F25E60">
              <w:rPr>
                <w:rFonts w:cs="Arial"/>
                <w:szCs w:val="20"/>
              </w:rPr>
              <w:t>Brak wymagań</w:t>
            </w:r>
          </w:p>
        </w:tc>
      </w:tr>
      <w:tr w:rsidR="00F25E60" w:rsidRPr="00F25E60" w14:paraId="4785E895" w14:textId="77777777" w:rsidTr="007B6855">
        <w:tc>
          <w:tcPr>
            <w:tcW w:w="3085" w:type="dxa"/>
          </w:tcPr>
          <w:p w14:paraId="73765D6B" w14:textId="77777777" w:rsidR="00F25E60" w:rsidRPr="00F25E60" w:rsidRDefault="00F25E60" w:rsidP="00F25E60">
            <w:pPr>
              <w:pStyle w:val="Bezodstpw"/>
              <w:rPr>
                <w:rFonts w:cs="Arial"/>
                <w:szCs w:val="20"/>
              </w:rPr>
            </w:pPr>
            <w:r w:rsidRPr="00F25E60">
              <w:rPr>
                <w:rFonts w:cs="Arial"/>
                <w:szCs w:val="20"/>
              </w:rPr>
              <w:t xml:space="preserve">Zawartość wody w mieszance zagęszczanej; % (m/m) wilgotności optymalnej wg metody </w:t>
            </w:r>
            <w:proofErr w:type="spellStart"/>
            <w:r w:rsidRPr="00F25E60">
              <w:rPr>
                <w:rFonts w:cs="Arial"/>
                <w:szCs w:val="20"/>
              </w:rPr>
              <w:t>Proctora</w:t>
            </w:r>
            <w:proofErr w:type="spellEnd"/>
          </w:p>
        </w:tc>
        <w:tc>
          <w:tcPr>
            <w:tcW w:w="709" w:type="dxa"/>
          </w:tcPr>
          <w:p w14:paraId="1EEAD8E5" w14:textId="77777777" w:rsidR="00F25E60" w:rsidRPr="00F25E60" w:rsidRDefault="00F25E60" w:rsidP="00F25E60">
            <w:pPr>
              <w:pStyle w:val="Bezodstpw"/>
              <w:rPr>
                <w:rFonts w:cs="Arial"/>
                <w:szCs w:val="20"/>
              </w:rPr>
            </w:pPr>
          </w:p>
        </w:tc>
        <w:tc>
          <w:tcPr>
            <w:tcW w:w="5103" w:type="dxa"/>
          </w:tcPr>
          <w:p w14:paraId="328F88F5" w14:textId="77777777" w:rsidR="00F25E60" w:rsidRPr="00F25E60" w:rsidRDefault="00F25E60" w:rsidP="00F25E60">
            <w:pPr>
              <w:pStyle w:val="Bezodstpw"/>
              <w:rPr>
                <w:rFonts w:cs="Arial"/>
                <w:szCs w:val="20"/>
              </w:rPr>
            </w:pPr>
            <w:r w:rsidRPr="00F25E60">
              <w:rPr>
                <w:rFonts w:cs="Arial"/>
                <w:szCs w:val="20"/>
              </w:rPr>
              <w:t>80-100</w:t>
            </w:r>
          </w:p>
        </w:tc>
      </w:tr>
    </w:tbl>
    <w:p w14:paraId="77388434" w14:textId="77777777" w:rsidR="00F25E60" w:rsidRPr="00F25E60" w:rsidRDefault="00F25E60" w:rsidP="00F25E60">
      <w:pPr>
        <w:spacing w:line="240" w:lineRule="auto"/>
        <w:rPr>
          <w:rFonts w:cs="Arial"/>
          <w:szCs w:val="20"/>
        </w:rPr>
      </w:pPr>
    </w:p>
    <w:p w14:paraId="4E34A431" w14:textId="77777777" w:rsidR="00F25E60" w:rsidRPr="00F25E60" w:rsidRDefault="00F25E60" w:rsidP="00F25E60">
      <w:pPr>
        <w:spacing w:line="240" w:lineRule="auto"/>
        <w:rPr>
          <w:rFonts w:cs="Arial"/>
          <w:szCs w:val="20"/>
        </w:rPr>
      </w:pPr>
    </w:p>
    <w:p w14:paraId="548BDBD1" w14:textId="77777777" w:rsidR="00F25E60" w:rsidRPr="00F25E60" w:rsidRDefault="00F25E60" w:rsidP="00F25E60">
      <w:pPr>
        <w:spacing w:line="240" w:lineRule="auto"/>
        <w:rPr>
          <w:rFonts w:cs="Arial"/>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709"/>
        <w:gridCol w:w="5103"/>
      </w:tblGrid>
      <w:tr w:rsidR="00F25E60" w:rsidRPr="00F25E60" w14:paraId="736EAACF" w14:textId="77777777" w:rsidTr="007B6855">
        <w:tc>
          <w:tcPr>
            <w:tcW w:w="3085" w:type="dxa"/>
          </w:tcPr>
          <w:p w14:paraId="147CCFF9" w14:textId="77777777" w:rsidR="00F25E60" w:rsidRPr="00F25E60" w:rsidRDefault="00F25E60" w:rsidP="00F25E60">
            <w:pPr>
              <w:pStyle w:val="Bezodstpw"/>
              <w:rPr>
                <w:rFonts w:cs="Arial"/>
                <w:szCs w:val="20"/>
              </w:rPr>
            </w:pPr>
            <w:r w:rsidRPr="00F25E60">
              <w:rPr>
                <w:rFonts w:cs="Arial"/>
                <w:szCs w:val="20"/>
              </w:rPr>
              <w:t>Inne cechy środowiskowe</w:t>
            </w:r>
          </w:p>
        </w:tc>
        <w:tc>
          <w:tcPr>
            <w:tcW w:w="709" w:type="dxa"/>
          </w:tcPr>
          <w:p w14:paraId="13433E47" w14:textId="77777777" w:rsidR="00F25E60" w:rsidRPr="00F25E60" w:rsidRDefault="00F25E60" w:rsidP="00F25E60">
            <w:pPr>
              <w:pStyle w:val="Bezodstpw"/>
              <w:rPr>
                <w:rFonts w:cs="Arial"/>
                <w:szCs w:val="20"/>
              </w:rPr>
            </w:pPr>
            <w:r w:rsidRPr="00F25E60">
              <w:rPr>
                <w:rFonts w:cs="Arial"/>
                <w:szCs w:val="20"/>
              </w:rPr>
              <w:t>4.5</w:t>
            </w:r>
          </w:p>
        </w:tc>
        <w:tc>
          <w:tcPr>
            <w:tcW w:w="5103" w:type="dxa"/>
          </w:tcPr>
          <w:p w14:paraId="15B8F3D3" w14:textId="77777777" w:rsidR="00F25E60" w:rsidRPr="00F25E60" w:rsidRDefault="00F25E60" w:rsidP="00F25E60">
            <w:pPr>
              <w:pStyle w:val="Bezodstpw"/>
              <w:rPr>
                <w:rFonts w:cs="Arial"/>
                <w:szCs w:val="20"/>
              </w:rPr>
            </w:pPr>
            <w:r w:rsidRPr="00F25E60">
              <w:rPr>
                <w:rFonts w:cs="Arial"/>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779BBA23" w14:textId="77777777" w:rsidR="00F25E60" w:rsidRPr="00F25E60" w:rsidRDefault="00F25E60" w:rsidP="00F25E60">
      <w:pPr>
        <w:spacing w:line="240" w:lineRule="auto"/>
        <w:rPr>
          <w:rFonts w:cs="Arial"/>
          <w:szCs w:val="20"/>
        </w:rPr>
      </w:pPr>
      <w:r w:rsidRPr="00F25E60">
        <w:rPr>
          <w:rFonts w:cs="Arial"/>
          <w:szCs w:val="20"/>
          <w:vertAlign w:val="superscript"/>
        </w:rPr>
        <w:t>*)</w:t>
      </w:r>
      <w:r w:rsidRPr="00F25E60">
        <w:rPr>
          <w:rFonts w:cs="Arial"/>
          <w:szCs w:val="20"/>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F25E60">
          <w:rPr>
            <w:rFonts w:cs="Arial"/>
            <w:szCs w:val="20"/>
          </w:rPr>
          <w:t>125 mm</w:t>
        </w:r>
      </w:smartTag>
      <w:r w:rsidRPr="00F25E60">
        <w:rPr>
          <w:rFonts w:cs="Arial"/>
          <w:szCs w:val="20"/>
        </w:rPr>
        <w:t xml:space="preserve"> jako wartość nadziarna.</w:t>
      </w:r>
    </w:p>
    <w:p w14:paraId="2C40C322" w14:textId="77777777" w:rsidR="00F25E60" w:rsidRPr="00F25E60" w:rsidRDefault="00F25E60" w:rsidP="00F25E60">
      <w:pPr>
        <w:spacing w:line="240" w:lineRule="auto"/>
        <w:rPr>
          <w:rFonts w:cs="Arial"/>
          <w:szCs w:val="20"/>
        </w:rPr>
      </w:pPr>
      <w:r w:rsidRPr="00F25E60">
        <w:rPr>
          <w:rFonts w:cs="Arial"/>
          <w:szCs w:val="20"/>
          <w:vertAlign w:val="superscript"/>
        </w:rPr>
        <w:t>**)</w:t>
      </w:r>
      <w:r w:rsidRPr="00F25E60">
        <w:rPr>
          <w:rFonts w:cs="Arial"/>
          <w:szCs w:val="20"/>
        </w:rPr>
        <w:t xml:space="preserve"> Procentowa zawartość ziaren przechodzących przez sito D może być większa niż 99% masy, ale w takich przypadkach dostawca powinien zadeklarować typowe uziarnienie.</w:t>
      </w:r>
    </w:p>
    <w:p w14:paraId="4B8AB0EA" w14:textId="77777777" w:rsidR="00F25E60" w:rsidRPr="00F25E60" w:rsidRDefault="00F25E60" w:rsidP="00F25E60">
      <w:pPr>
        <w:spacing w:line="240" w:lineRule="auto"/>
        <w:rPr>
          <w:rFonts w:cs="Arial"/>
          <w:szCs w:val="20"/>
        </w:rPr>
      </w:pPr>
      <w:r w:rsidRPr="00F25E60">
        <w:rPr>
          <w:rFonts w:cs="Arial"/>
          <w:szCs w:val="20"/>
          <w:vertAlign w:val="superscript"/>
        </w:rPr>
        <w:t xml:space="preserve">***) </w:t>
      </w:r>
      <w:r w:rsidRPr="00F25E60">
        <w:rPr>
          <w:rFonts w:cs="Arial"/>
          <w:szCs w:val="20"/>
        </w:rPr>
        <w:t xml:space="preserve">Badanie wskaźnika piaskowego SE należy wykonać na mieszance po pięciokrotnym zagęszczeniu metodą </w:t>
      </w:r>
      <w:proofErr w:type="spellStart"/>
      <w:r w:rsidRPr="00F25E60">
        <w:rPr>
          <w:rFonts w:cs="Arial"/>
          <w:szCs w:val="20"/>
        </w:rPr>
        <w:t>Proctora</w:t>
      </w:r>
      <w:proofErr w:type="spellEnd"/>
      <w:r w:rsidRPr="00F25E60">
        <w:rPr>
          <w:rFonts w:cs="Arial"/>
          <w:szCs w:val="20"/>
        </w:rPr>
        <w:t xml:space="preserve"> wg PN-EN 13286-2 [21].</w:t>
      </w:r>
    </w:p>
    <w:p w14:paraId="22B1D860" w14:textId="77777777" w:rsidR="00F25E60" w:rsidRPr="00F25E60" w:rsidRDefault="00F25E60" w:rsidP="00F25E60">
      <w:pPr>
        <w:pStyle w:val="Nagwek2"/>
        <w:spacing w:line="240" w:lineRule="auto"/>
        <w:rPr>
          <w:rFonts w:cs="Arial"/>
          <w:szCs w:val="20"/>
        </w:rPr>
      </w:pPr>
      <w:r w:rsidRPr="00F25E60">
        <w:rPr>
          <w:rFonts w:cs="Arial"/>
          <w:szCs w:val="20"/>
        </w:rPr>
        <w:t>5.5. Odcinek próbny</w:t>
      </w:r>
    </w:p>
    <w:p w14:paraId="1BC6ACC6" w14:textId="77777777" w:rsidR="00F25E60" w:rsidRPr="00F25E60" w:rsidRDefault="00F25E60" w:rsidP="00F25E60">
      <w:pPr>
        <w:spacing w:line="240" w:lineRule="auto"/>
        <w:ind w:firstLine="709"/>
        <w:rPr>
          <w:rFonts w:cs="Arial"/>
          <w:szCs w:val="20"/>
        </w:rPr>
      </w:pPr>
      <w:r w:rsidRPr="00F25E60">
        <w:rPr>
          <w:rFonts w:cs="Arial"/>
          <w:szCs w:val="20"/>
        </w:rPr>
        <w:t xml:space="preserve">Jeżeli w ST przewidziano potrzebę wykonania odcinka próbnego, to przed rozpoczęciem robót, w terminie uzgodnionym z Inżynierem, Wykonawca powinien wykonać odcinek próbny w celu: </w:t>
      </w:r>
    </w:p>
    <w:p w14:paraId="2FDEEFDD" w14:textId="77777777" w:rsidR="00F25E60" w:rsidRPr="00F25E60" w:rsidRDefault="00F25E60" w:rsidP="00CF1E7D">
      <w:pPr>
        <w:numPr>
          <w:ilvl w:val="0"/>
          <w:numId w:val="102"/>
        </w:numPr>
        <w:tabs>
          <w:tab w:val="clear" w:pos="720"/>
          <w:tab w:val="num" w:pos="360"/>
        </w:tabs>
        <w:overflowPunct w:val="0"/>
        <w:autoSpaceDE w:val="0"/>
        <w:autoSpaceDN w:val="0"/>
        <w:adjustRightInd w:val="0"/>
        <w:spacing w:line="240" w:lineRule="auto"/>
        <w:ind w:left="360"/>
        <w:jc w:val="both"/>
        <w:textAlignment w:val="baseline"/>
        <w:rPr>
          <w:rFonts w:cs="Arial"/>
          <w:szCs w:val="20"/>
        </w:rPr>
      </w:pPr>
      <w:r w:rsidRPr="00F25E60">
        <w:rPr>
          <w:rFonts w:cs="Arial"/>
          <w:szCs w:val="20"/>
        </w:rPr>
        <w:t>stwierdzenia czy właściwy jest sprzęt budowlany do produkcji mieszanki oraz jej rozkładania i zagęszczania,</w:t>
      </w:r>
    </w:p>
    <w:p w14:paraId="16A4B326" w14:textId="77777777" w:rsidR="00F25E60" w:rsidRPr="00F25E60" w:rsidRDefault="00F25E60" w:rsidP="00CF1E7D">
      <w:pPr>
        <w:numPr>
          <w:ilvl w:val="0"/>
          <w:numId w:val="102"/>
        </w:numPr>
        <w:tabs>
          <w:tab w:val="clear" w:pos="720"/>
          <w:tab w:val="num" w:pos="360"/>
        </w:tabs>
        <w:overflowPunct w:val="0"/>
        <w:autoSpaceDE w:val="0"/>
        <w:autoSpaceDN w:val="0"/>
        <w:adjustRightInd w:val="0"/>
        <w:spacing w:line="240" w:lineRule="auto"/>
        <w:ind w:left="360"/>
        <w:jc w:val="both"/>
        <w:textAlignment w:val="baseline"/>
        <w:rPr>
          <w:rFonts w:cs="Arial"/>
          <w:szCs w:val="20"/>
        </w:rPr>
      </w:pPr>
      <w:r w:rsidRPr="00F25E60">
        <w:rPr>
          <w:rFonts w:cs="Arial"/>
          <w:szCs w:val="20"/>
        </w:rPr>
        <w:t>określenia grubości wykonywanej warstwy w stanie luźnym, koniecznej do uzyskania wymaganej grubości warstwy po zagęszczeniu,</w:t>
      </w:r>
    </w:p>
    <w:p w14:paraId="477985AE" w14:textId="77777777" w:rsidR="00F25E60" w:rsidRPr="00F25E60" w:rsidRDefault="00F25E60" w:rsidP="00CF1E7D">
      <w:pPr>
        <w:numPr>
          <w:ilvl w:val="0"/>
          <w:numId w:val="102"/>
        </w:numPr>
        <w:tabs>
          <w:tab w:val="clear" w:pos="720"/>
          <w:tab w:val="num" w:pos="360"/>
        </w:tabs>
        <w:overflowPunct w:val="0"/>
        <w:autoSpaceDE w:val="0"/>
        <w:autoSpaceDN w:val="0"/>
        <w:adjustRightInd w:val="0"/>
        <w:spacing w:line="240" w:lineRule="auto"/>
        <w:ind w:left="360"/>
        <w:jc w:val="both"/>
        <w:textAlignment w:val="baseline"/>
        <w:rPr>
          <w:rFonts w:cs="Arial"/>
          <w:szCs w:val="20"/>
        </w:rPr>
      </w:pPr>
      <w:r w:rsidRPr="00F25E60">
        <w:rPr>
          <w:rFonts w:cs="Arial"/>
          <w:szCs w:val="20"/>
        </w:rPr>
        <w:t>określenia liczby przejść sprzętu zagęszczającego, potrzebnej do uzyskania wymaganego wskaźnika zagęszczenia wykonywanej warstwy.</w:t>
      </w:r>
    </w:p>
    <w:p w14:paraId="1C0A4BFD" w14:textId="77777777" w:rsidR="00F25E60" w:rsidRPr="00F25E60" w:rsidRDefault="00F25E60" w:rsidP="00F25E60">
      <w:pPr>
        <w:spacing w:line="240" w:lineRule="auto"/>
        <w:ind w:firstLine="709"/>
        <w:rPr>
          <w:rFonts w:cs="Arial"/>
          <w:szCs w:val="20"/>
        </w:rPr>
      </w:pPr>
      <w:r w:rsidRPr="00F25E60">
        <w:rPr>
          <w:rFonts w:cs="Arial"/>
          <w:szCs w:val="20"/>
        </w:rPr>
        <w:t>Na odcinku próbnym Wykonawca powinien użyć takich materiałów oraz sprzętu do mieszania, rozkładania i zagęszczania, jakie będą stosowane do wykonania warstwy.</w:t>
      </w:r>
    </w:p>
    <w:p w14:paraId="5211F257" w14:textId="77777777" w:rsidR="00F25E60" w:rsidRPr="00F25E60" w:rsidRDefault="00F25E60" w:rsidP="00F25E60">
      <w:pPr>
        <w:spacing w:line="240" w:lineRule="auto"/>
        <w:ind w:firstLine="709"/>
        <w:rPr>
          <w:rFonts w:cs="Arial"/>
          <w:szCs w:val="20"/>
        </w:rPr>
      </w:pPr>
      <w:r w:rsidRPr="00F25E60">
        <w:rPr>
          <w:rFonts w:cs="Arial"/>
          <w:szCs w:val="20"/>
        </w:rPr>
        <w:t xml:space="preserve">Powierzchnia odcinka próbnego powinna wynosić od 400  do </w:t>
      </w:r>
      <w:smartTag w:uri="urn:schemas-microsoft-com:office:smarttags" w:element="metricconverter">
        <w:smartTagPr>
          <w:attr w:name="ProductID" w:val="800 m2"/>
        </w:smartTagPr>
        <w:r w:rsidRPr="00F25E60">
          <w:rPr>
            <w:rFonts w:cs="Arial"/>
            <w:szCs w:val="20"/>
          </w:rPr>
          <w:t>800 m</w:t>
        </w:r>
        <w:r w:rsidRPr="00F25E60">
          <w:rPr>
            <w:rFonts w:cs="Arial"/>
            <w:szCs w:val="20"/>
            <w:vertAlign w:val="superscript"/>
          </w:rPr>
          <w:t>2</w:t>
        </w:r>
      </w:smartTag>
      <w:r w:rsidRPr="00F25E60">
        <w:rPr>
          <w:rFonts w:cs="Arial"/>
          <w:szCs w:val="20"/>
        </w:rPr>
        <w:t>.</w:t>
      </w:r>
    </w:p>
    <w:p w14:paraId="158ACDBF" w14:textId="77777777" w:rsidR="00F25E60" w:rsidRPr="00F25E60" w:rsidRDefault="00F25E60" w:rsidP="00F25E60">
      <w:pPr>
        <w:spacing w:line="240" w:lineRule="auto"/>
        <w:ind w:firstLine="709"/>
        <w:rPr>
          <w:rFonts w:cs="Arial"/>
          <w:szCs w:val="20"/>
        </w:rPr>
      </w:pPr>
      <w:r w:rsidRPr="00F25E60">
        <w:rPr>
          <w:rFonts w:cs="Arial"/>
          <w:szCs w:val="20"/>
        </w:rPr>
        <w:t>Odcinek próbny powinien być zlokalizowany w miejscu wskazanym przez Inżyniera.</w:t>
      </w:r>
    </w:p>
    <w:p w14:paraId="0903DF93" w14:textId="77777777" w:rsidR="00F25E60" w:rsidRPr="00F25E60" w:rsidRDefault="00F25E60" w:rsidP="00F25E60">
      <w:pPr>
        <w:spacing w:line="240" w:lineRule="auto"/>
        <w:ind w:firstLine="709"/>
        <w:rPr>
          <w:rFonts w:cs="Arial"/>
          <w:szCs w:val="20"/>
        </w:rPr>
      </w:pPr>
      <w:r w:rsidRPr="00F25E60">
        <w:rPr>
          <w:rFonts w:cs="Arial"/>
          <w:szCs w:val="20"/>
        </w:rPr>
        <w:t>Wykonawca może przystąpić do wykonywania warstwy po zaakceptowaniu odcinka próbnego przez Inżyniera.</w:t>
      </w:r>
    </w:p>
    <w:p w14:paraId="74A4ACF1" w14:textId="77777777" w:rsidR="00F25E60" w:rsidRPr="00F25E60" w:rsidRDefault="00F25E60" w:rsidP="00F25E60">
      <w:pPr>
        <w:pStyle w:val="Nagwek2"/>
        <w:spacing w:line="240" w:lineRule="auto"/>
        <w:rPr>
          <w:rFonts w:cs="Arial"/>
          <w:szCs w:val="20"/>
        </w:rPr>
      </w:pPr>
      <w:r w:rsidRPr="00F25E60">
        <w:rPr>
          <w:rFonts w:cs="Arial"/>
          <w:szCs w:val="20"/>
        </w:rPr>
        <w:lastRenderedPageBreak/>
        <w:t>5.6. Przygotowanie podłoża pod podbudowę pomocniczą</w:t>
      </w:r>
    </w:p>
    <w:p w14:paraId="6C8B8FA3" w14:textId="77777777" w:rsidR="00F25E60" w:rsidRPr="00F25E60" w:rsidRDefault="00F25E60" w:rsidP="00F25E60">
      <w:pPr>
        <w:spacing w:line="240" w:lineRule="auto"/>
        <w:rPr>
          <w:rFonts w:cs="Arial"/>
          <w:szCs w:val="20"/>
        </w:rPr>
      </w:pPr>
      <w:r w:rsidRPr="00F25E60">
        <w:rPr>
          <w:rFonts w:cs="Arial"/>
          <w:b/>
          <w:szCs w:val="20"/>
        </w:rPr>
        <w:t xml:space="preserve">5.6.1. </w:t>
      </w:r>
      <w:r w:rsidRPr="00F25E60">
        <w:rPr>
          <w:rFonts w:cs="Arial"/>
          <w:szCs w:val="20"/>
        </w:rPr>
        <w:t>Rodzaje podłoża pod podbudową pomocniczą z kruszywa niezwiązanego</w:t>
      </w:r>
    </w:p>
    <w:p w14:paraId="4112443F" w14:textId="77777777" w:rsidR="00F25E60" w:rsidRPr="00F25E60" w:rsidRDefault="00F25E60" w:rsidP="00F25E60">
      <w:pPr>
        <w:spacing w:before="120" w:line="240" w:lineRule="auto"/>
        <w:rPr>
          <w:rFonts w:cs="Arial"/>
          <w:szCs w:val="20"/>
        </w:rPr>
      </w:pPr>
      <w:r w:rsidRPr="00F25E60">
        <w:rPr>
          <w:rFonts w:cs="Arial"/>
          <w:szCs w:val="20"/>
        </w:rPr>
        <w:tab/>
        <w:t>W zależności od ustaleń dokumentacji projektowej, podbudowę pomocniczą z kruszywa niezwiązanego można układać na:</w:t>
      </w:r>
    </w:p>
    <w:p w14:paraId="74D0EB3E" w14:textId="77777777" w:rsidR="00F25E60" w:rsidRPr="00F25E60" w:rsidRDefault="00F25E60" w:rsidP="00CF1E7D">
      <w:pPr>
        <w:numPr>
          <w:ilvl w:val="0"/>
          <w:numId w:val="103"/>
        </w:numPr>
        <w:overflowPunct w:val="0"/>
        <w:autoSpaceDE w:val="0"/>
        <w:autoSpaceDN w:val="0"/>
        <w:adjustRightInd w:val="0"/>
        <w:spacing w:line="240" w:lineRule="auto"/>
        <w:jc w:val="both"/>
        <w:textAlignment w:val="baseline"/>
        <w:rPr>
          <w:rFonts w:cs="Arial"/>
          <w:szCs w:val="20"/>
        </w:rPr>
      </w:pPr>
      <w:r w:rsidRPr="00F25E60">
        <w:rPr>
          <w:rFonts w:cs="Arial"/>
          <w:szCs w:val="20"/>
        </w:rPr>
        <w:t>podłożu gruntowym,</w:t>
      </w:r>
    </w:p>
    <w:p w14:paraId="0DDD98DF" w14:textId="77777777" w:rsidR="00F25E60" w:rsidRPr="00F25E60" w:rsidRDefault="00F25E60" w:rsidP="00CF1E7D">
      <w:pPr>
        <w:numPr>
          <w:ilvl w:val="0"/>
          <w:numId w:val="103"/>
        </w:numPr>
        <w:overflowPunct w:val="0"/>
        <w:autoSpaceDE w:val="0"/>
        <w:autoSpaceDN w:val="0"/>
        <w:adjustRightInd w:val="0"/>
        <w:spacing w:line="240" w:lineRule="auto"/>
        <w:jc w:val="both"/>
        <w:textAlignment w:val="baseline"/>
        <w:rPr>
          <w:rFonts w:cs="Arial"/>
          <w:szCs w:val="20"/>
        </w:rPr>
      </w:pPr>
      <w:r w:rsidRPr="00F25E60">
        <w:rPr>
          <w:rFonts w:cs="Arial"/>
          <w:szCs w:val="20"/>
        </w:rPr>
        <w:t>warstwie odsączającej,</w:t>
      </w:r>
    </w:p>
    <w:p w14:paraId="093E537E" w14:textId="77777777" w:rsidR="00F25E60" w:rsidRPr="00F25E60" w:rsidRDefault="00F25E60" w:rsidP="00CF1E7D">
      <w:pPr>
        <w:numPr>
          <w:ilvl w:val="0"/>
          <w:numId w:val="103"/>
        </w:numPr>
        <w:overflowPunct w:val="0"/>
        <w:autoSpaceDE w:val="0"/>
        <w:autoSpaceDN w:val="0"/>
        <w:adjustRightInd w:val="0"/>
        <w:spacing w:line="240" w:lineRule="auto"/>
        <w:jc w:val="both"/>
        <w:textAlignment w:val="baseline"/>
        <w:rPr>
          <w:rFonts w:cs="Arial"/>
          <w:szCs w:val="20"/>
        </w:rPr>
      </w:pPr>
      <w:r w:rsidRPr="00F25E60">
        <w:rPr>
          <w:rFonts w:cs="Arial"/>
          <w:szCs w:val="20"/>
        </w:rPr>
        <w:t>podłożu ulepszonym.</w:t>
      </w:r>
    </w:p>
    <w:p w14:paraId="3715D042" w14:textId="77777777" w:rsidR="00F25E60" w:rsidRPr="00F25E60" w:rsidRDefault="00F25E60" w:rsidP="00F25E60">
      <w:pPr>
        <w:spacing w:line="240" w:lineRule="auto"/>
        <w:ind w:left="-120" w:firstLine="120"/>
        <w:rPr>
          <w:rFonts w:cs="Arial"/>
          <w:szCs w:val="20"/>
        </w:rPr>
      </w:pPr>
      <w:r w:rsidRPr="00F25E60">
        <w:rPr>
          <w:rFonts w:cs="Arial"/>
          <w:szCs w:val="20"/>
        </w:rPr>
        <w:tab/>
        <w:t>W zależności od potrzeb może wystąpić jeszcze potrzeba wykonania warstwy odcinającej.</w:t>
      </w:r>
    </w:p>
    <w:p w14:paraId="5AE33264" w14:textId="77777777" w:rsidR="00F25E60" w:rsidRPr="00F25E60" w:rsidRDefault="00F25E60" w:rsidP="00F25E60">
      <w:pPr>
        <w:spacing w:before="120" w:after="120" w:line="240" w:lineRule="auto"/>
        <w:rPr>
          <w:rFonts w:cs="Arial"/>
          <w:szCs w:val="20"/>
        </w:rPr>
      </w:pPr>
      <w:r w:rsidRPr="00F25E60">
        <w:rPr>
          <w:rFonts w:cs="Arial"/>
          <w:b/>
          <w:szCs w:val="20"/>
        </w:rPr>
        <w:t xml:space="preserve">5.6.2.  </w:t>
      </w:r>
      <w:r w:rsidRPr="00F25E60">
        <w:rPr>
          <w:rFonts w:cs="Arial"/>
          <w:szCs w:val="20"/>
        </w:rPr>
        <w:t>Przygotowanie podłoża gruntowego</w:t>
      </w:r>
    </w:p>
    <w:p w14:paraId="59110BEE" w14:textId="2BE4501B" w:rsidR="00F25E60" w:rsidRPr="00F25E60" w:rsidRDefault="00F25E60" w:rsidP="00F25E60">
      <w:pPr>
        <w:spacing w:line="240" w:lineRule="auto"/>
        <w:rPr>
          <w:rFonts w:cs="Arial"/>
          <w:szCs w:val="20"/>
        </w:rPr>
      </w:pPr>
      <w:r w:rsidRPr="00F25E60">
        <w:rPr>
          <w:rFonts w:cs="Arial"/>
          <w:szCs w:val="20"/>
        </w:rPr>
        <w:tab/>
        <w:t xml:space="preserve">Jeśli dokumentacja projektowa przewiduje ułożenie podbudowy pomocniczej na podłożu gruntowym, to powinno ono spełniać wymagania określone w </w:t>
      </w:r>
      <w:r w:rsidR="00C968CE">
        <w:rPr>
          <w:rFonts w:cs="Arial"/>
          <w:szCs w:val="20"/>
        </w:rPr>
        <w:t>S</w:t>
      </w:r>
      <w:r w:rsidRPr="00F25E60">
        <w:rPr>
          <w:rFonts w:cs="Arial"/>
          <w:szCs w:val="20"/>
        </w:rPr>
        <w:t xml:space="preserve">ST D-04.01.01 „Koryto wraz z profilowaniem i zagęszczeniem podłoża” [4] i </w:t>
      </w:r>
      <w:r w:rsidR="00C968CE">
        <w:rPr>
          <w:rFonts w:cs="Arial"/>
          <w:szCs w:val="20"/>
        </w:rPr>
        <w:t>S</w:t>
      </w:r>
      <w:r w:rsidRPr="00F25E60">
        <w:rPr>
          <w:rFonts w:cs="Arial"/>
          <w:szCs w:val="20"/>
        </w:rPr>
        <w:t>ST D-02.00.00 „Roboty ziemne” [3]. Podłoże powinno być przygotowane zgodnie z wymaganiami określonymi w dokumentacji projektowej i ST.</w:t>
      </w:r>
    </w:p>
    <w:p w14:paraId="7E038EFC" w14:textId="77777777" w:rsidR="00F25E60" w:rsidRPr="00F25E60" w:rsidRDefault="00F25E60" w:rsidP="00F25E60">
      <w:pPr>
        <w:spacing w:line="240" w:lineRule="auto"/>
        <w:rPr>
          <w:rFonts w:cs="Arial"/>
          <w:szCs w:val="20"/>
        </w:rPr>
      </w:pPr>
      <w:r w:rsidRPr="00F25E60">
        <w:rPr>
          <w:rFonts w:cs="Arial"/>
          <w:szCs w:val="20"/>
        </w:rPr>
        <w:tab/>
        <w:t>Wykonawca powinien przystąpić do wykonania koryta oraz profilowania i zagęszczania podłoża gruntowego bezpośrednio przed rozpoczęciem robót związanych z wykonaniem warstw nawierzchni. Wcześniejsze przystąpienie do wykonania koryta oraz profilowania i zagęszczania podłoża jest możliwe za zgodą Inżyniera, w korzystnych warunkach atmosferycznych.</w:t>
      </w:r>
    </w:p>
    <w:p w14:paraId="69915E78" w14:textId="77777777" w:rsidR="00F25E60" w:rsidRPr="00F25E60" w:rsidRDefault="00F25E60" w:rsidP="00F25E60">
      <w:pPr>
        <w:spacing w:line="240" w:lineRule="auto"/>
        <w:rPr>
          <w:rFonts w:cs="Arial"/>
          <w:szCs w:val="20"/>
        </w:rPr>
      </w:pPr>
      <w:r w:rsidRPr="00F25E60">
        <w:rPr>
          <w:rFonts w:cs="Arial"/>
          <w:szCs w:val="20"/>
        </w:rPr>
        <w:tab/>
        <w:t>Rodzaj sprzętu należy dostosować do rodzaju gruntu, w którym prowadzone są roboty i do trudności jego odspojenia.</w:t>
      </w:r>
    </w:p>
    <w:p w14:paraId="08E2046E" w14:textId="77777777" w:rsidR="00F25E60" w:rsidRPr="00F25E60" w:rsidRDefault="00F25E60" w:rsidP="00F25E60">
      <w:pPr>
        <w:spacing w:line="240" w:lineRule="auto"/>
        <w:rPr>
          <w:rFonts w:cs="Arial"/>
          <w:szCs w:val="20"/>
        </w:rPr>
      </w:pPr>
      <w:r w:rsidRPr="00F25E60">
        <w:rPr>
          <w:rFonts w:cs="Arial"/>
          <w:szCs w:val="20"/>
        </w:rPr>
        <w:tab/>
        <w:t>Grunt odspojony w czasie wykonywania koryta powinien być wykorzystany zgodnie z ustaleniami dokumentacji projektowej i ST.</w:t>
      </w:r>
    </w:p>
    <w:p w14:paraId="61D0937A" w14:textId="77777777" w:rsidR="00F25E60" w:rsidRPr="00F25E60" w:rsidRDefault="00F25E60" w:rsidP="00F25E60">
      <w:pPr>
        <w:spacing w:line="240" w:lineRule="auto"/>
        <w:rPr>
          <w:rFonts w:cs="Arial"/>
          <w:szCs w:val="20"/>
        </w:rPr>
      </w:pPr>
      <w:r w:rsidRPr="00F25E60">
        <w:rPr>
          <w:rFonts w:cs="Arial"/>
          <w:szCs w:val="20"/>
        </w:rPr>
        <w:tab/>
        <w:t>W wykonanym korycie, po wyprofilowaniu i zagęszczeniu podłoża nie może odbywać się ruch budowlany, niezwiązany bezpośrednio z wykonaniem podbudowy.</w:t>
      </w:r>
    </w:p>
    <w:p w14:paraId="19B68CE9" w14:textId="77777777" w:rsidR="00F25E60" w:rsidRPr="00F25E60" w:rsidRDefault="00F25E60" w:rsidP="00F25E60">
      <w:pPr>
        <w:spacing w:line="240" w:lineRule="auto"/>
        <w:rPr>
          <w:rFonts w:cs="Arial"/>
          <w:szCs w:val="20"/>
        </w:rPr>
      </w:pPr>
      <w:r w:rsidRPr="00F25E60">
        <w:rPr>
          <w:rFonts w:cs="Arial"/>
          <w:szCs w:val="20"/>
        </w:rPr>
        <w:tab/>
        <w:t>Po wyprofilowaniu i zagęszczeniu podłoże (koryto) powinno być utrzymywane w dobrym stanie. Jeśli uległo ono nadmiernemu zawilgoceniu, to do układania podbudowy pomocniczej można przystąpić dopiero po jego naturalnym osuszeniu. Po osuszeniu podłoża Inżynier oceni jego stan i ewentualnie zaleci wykonanie niezbędnych napraw.</w:t>
      </w:r>
    </w:p>
    <w:p w14:paraId="0B48751B" w14:textId="77777777" w:rsidR="00F25E60" w:rsidRPr="00F25E60" w:rsidRDefault="00F25E60" w:rsidP="00F25E60">
      <w:pPr>
        <w:spacing w:line="240" w:lineRule="auto"/>
        <w:rPr>
          <w:rFonts w:cs="Arial"/>
          <w:szCs w:val="20"/>
        </w:rPr>
      </w:pPr>
      <w:r w:rsidRPr="00F25E60">
        <w:rPr>
          <w:rFonts w:cs="Arial"/>
          <w:szCs w:val="20"/>
        </w:rPr>
        <w:tab/>
        <w:t>Mieszanki niezwiązane przeznaczone do wykonania podbudowy pomocniczej powinny spełniać wymagania dotyczące nieprzenikania cząstek pomiędzy warstwą podbudowy oraz podłożem gruntowym, zgodnie z zależnością:</w:t>
      </w:r>
    </w:p>
    <w:p w14:paraId="75C13198" w14:textId="77777777" w:rsidR="00F25E60" w:rsidRPr="00F25E60" w:rsidRDefault="00F25E60" w:rsidP="00F25E60">
      <w:pPr>
        <w:spacing w:line="240" w:lineRule="auto"/>
        <w:rPr>
          <w:rFonts w:cs="Arial"/>
          <w:szCs w:val="20"/>
        </w:rPr>
      </w:pPr>
      <w:r w:rsidRPr="00F25E60">
        <w:rPr>
          <w:rFonts w:cs="Arial"/>
          <w:szCs w:val="20"/>
        </w:rPr>
        <w:tab/>
      </w:r>
      <w:r w:rsidRPr="00F25E60">
        <w:rPr>
          <w:rFonts w:cs="Arial"/>
          <w:szCs w:val="20"/>
        </w:rPr>
        <w:tab/>
      </w:r>
      <w:r w:rsidRPr="00F25E60">
        <w:rPr>
          <w:rFonts w:cs="Arial"/>
          <w:szCs w:val="20"/>
        </w:rPr>
        <w:tab/>
      </w:r>
      <w:r w:rsidRPr="00F25E60">
        <w:rPr>
          <w:rFonts w:cs="Arial"/>
          <w:szCs w:val="20"/>
        </w:rPr>
        <w:tab/>
        <w:t>D</w:t>
      </w:r>
      <w:r w:rsidRPr="00F25E60">
        <w:rPr>
          <w:rFonts w:cs="Arial"/>
          <w:szCs w:val="20"/>
          <w:vertAlign w:val="subscript"/>
        </w:rPr>
        <w:t>15</w:t>
      </w:r>
      <w:r w:rsidRPr="00F25E60">
        <w:rPr>
          <w:rFonts w:cs="Arial"/>
          <w:szCs w:val="20"/>
        </w:rPr>
        <w:t>/d</w:t>
      </w:r>
      <w:r w:rsidRPr="00F25E60">
        <w:rPr>
          <w:rFonts w:cs="Arial"/>
          <w:szCs w:val="20"/>
          <w:vertAlign w:val="subscript"/>
        </w:rPr>
        <w:t>85</w:t>
      </w:r>
      <w:r w:rsidRPr="00F25E60">
        <w:rPr>
          <w:rFonts w:cs="Arial"/>
          <w:szCs w:val="20"/>
        </w:rPr>
        <w:t xml:space="preserve"> ≤ 5</w:t>
      </w:r>
      <w:r w:rsidRPr="00F25E60">
        <w:rPr>
          <w:rFonts w:cs="Arial"/>
          <w:szCs w:val="20"/>
        </w:rPr>
        <w:tab/>
      </w:r>
      <w:r w:rsidRPr="00F25E60">
        <w:rPr>
          <w:rFonts w:cs="Arial"/>
          <w:szCs w:val="20"/>
        </w:rPr>
        <w:tab/>
      </w:r>
      <w:r w:rsidRPr="00F25E60">
        <w:rPr>
          <w:rFonts w:cs="Arial"/>
          <w:szCs w:val="20"/>
        </w:rPr>
        <w:tab/>
        <w:t>(1)</w:t>
      </w:r>
    </w:p>
    <w:p w14:paraId="0F989B8B" w14:textId="77777777" w:rsidR="00F25E60" w:rsidRPr="00F25E60" w:rsidRDefault="00F25E60" w:rsidP="00F25E60">
      <w:pPr>
        <w:spacing w:line="240" w:lineRule="auto"/>
        <w:rPr>
          <w:rFonts w:cs="Arial"/>
          <w:szCs w:val="20"/>
        </w:rPr>
      </w:pPr>
      <w:r w:rsidRPr="00F25E60">
        <w:rPr>
          <w:rFonts w:cs="Arial"/>
          <w:szCs w:val="20"/>
        </w:rPr>
        <w:t>w której:</w:t>
      </w:r>
    </w:p>
    <w:p w14:paraId="6C93D8C5" w14:textId="77777777" w:rsidR="00F25E60" w:rsidRPr="00F25E60" w:rsidRDefault="00F25E60" w:rsidP="00F25E60">
      <w:pPr>
        <w:spacing w:line="240" w:lineRule="auto"/>
        <w:ind w:left="600" w:hanging="600"/>
        <w:rPr>
          <w:rFonts w:cs="Arial"/>
          <w:szCs w:val="20"/>
        </w:rPr>
      </w:pPr>
      <w:r w:rsidRPr="00F25E60">
        <w:rPr>
          <w:rFonts w:cs="Arial"/>
          <w:szCs w:val="20"/>
        </w:rPr>
        <w:t>D</w:t>
      </w:r>
      <w:r w:rsidRPr="00F25E60">
        <w:rPr>
          <w:rFonts w:cs="Arial"/>
          <w:szCs w:val="20"/>
          <w:vertAlign w:val="subscript"/>
        </w:rPr>
        <w:t xml:space="preserve">15 </w:t>
      </w:r>
      <w:r w:rsidRPr="00F25E60">
        <w:rPr>
          <w:rFonts w:cs="Arial"/>
          <w:szCs w:val="20"/>
        </w:rPr>
        <w:t xml:space="preserve"> -</w:t>
      </w:r>
      <w:r w:rsidRPr="00F25E60">
        <w:rPr>
          <w:rFonts w:cs="Arial"/>
          <w:szCs w:val="20"/>
          <w:vertAlign w:val="subscript"/>
        </w:rPr>
        <w:t xml:space="preserve">  </w:t>
      </w:r>
      <w:r w:rsidRPr="00F25E60">
        <w:rPr>
          <w:rFonts w:cs="Arial"/>
          <w:szCs w:val="20"/>
        </w:rPr>
        <w:t>wymiar boku oczka sita w mm, przez które przechodzi 15% (m/m) ziaren mieszanki, z której jest wykonana warstwa podbudowy,</w:t>
      </w:r>
    </w:p>
    <w:p w14:paraId="7EEFDD06" w14:textId="77777777" w:rsidR="00F25E60" w:rsidRPr="00F25E60" w:rsidRDefault="00F25E60" w:rsidP="00F25E60">
      <w:pPr>
        <w:spacing w:after="120" w:line="240" w:lineRule="auto"/>
        <w:ind w:left="601" w:hanging="601"/>
        <w:rPr>
          <w:rFonts w:cs="Arial"/>
          <w:szCs w:val="20"/>
        </w:rPr>
      </w:pPr>
      <w:r w:rsidRPr="00F25E60">
        <w:rPr>
          <w:rFonts w:cs="Arial"/>
          <w:szCs w:val="20"/>
        </w:rPr>
        <w:t>D</w:t>
      </w:r>
      <w:r w:rsidRPr="00F25E60">
        <w:rPr>
          <w:rFonts w:cs="Arial"/>
          <w:szCs w:val="20"/>
          <w:vertAlign w:val="subscript"/>
        </w:rPr>
        <w:t>85</w:t>
      </w:r>
      <w:r w:rsidRPr="00F25E60">
        <w:rPr>
          <w:rFonts w:cs="Arial"/>
          <w:szCs w:val="20"/>
        </w:rPr>
        <w:t xml:space="preserve"> - wymiar boku oczka sita w mm, przez które przechodzi 85% (m/m) ziaren gruntu podłoża.</w:t>
      </w:r>
    </w:p>
    <w:p w14:paraId="52FF18E7" w14:textId="77777777" w:rsidR="00F25E60" w:rsidRPr="00F25E60" w:rsidRDefault="00F25E60" w:rsidP="00F25E60">
      <w:pPr>
        <w:spacing w:line="240" w:lineRule="auto"/>
        <w:rPr>
          <w:rFonts w:cs="Arial"/>
          <w:szCs w:val="20"/>
        </w:rPr>
      </w:pPr>
      <w:r w:rsidRPr="00F25E60">
        <w:rPr>
          <w:rFonts w:cs="Arial"/>
          <w:szCs w:val="20"/>
        </w:rPr>
        <w:tab/>
        <w:t>Jeżeli warunek (1) nie może być spełniony, to na podłożu gruntowym należy ułożyć warstwę odcinającą z drobnego kruszywa lub geowłókniny (</w:t>
      </w:r>
      <w:proofErr w:type="spellStart"/>
      <w:r w:rsidRPr="00F25E60">
        <w:rPr>
          <w:rFonts w:cs="Arial"/>
          <w:szCs w:val="20"/>
        </w:rPr>
        <w:t>geotkaniny</w:t>
      </w:r>
      <w:proofErr w:type="spellEnd"/>
      <w:r w:rsidRPr="00F25E60">
        <w:rPr>
          <w:rFonts w:cs="Arial"/>
          <w:szCs w:val="20"/>
        </w:rPr>
        <w:t>). Ochronne właściwości geowłókniny /</w:t>
      </w:r>
      <w:proofErr w:type="spellStart"/>
      <w:r w:rsidRPr="00F25E60">
        <w:rPr>
          <w:rFonts w:cs="Arial"/>
          <w:szCs w:val="20"/>
        </w:rPr>
        <w:t>geotkaniny</w:t>
      </w:r>
      <w:proofErr w:type="spellEnd"/>
      <w:r w:rsidRPr="00F25E60">
        <w:rPr>
          <w:rFonts w:cs="Arial"/>
          <w:szCs w:val="20"/>
        </w:rPr>
        <w:t xml:space="preserve"> przeciw przenikaniu drobnych ziaren gruntu podłoża, wyznacza się z warunku:</w:t>
      </w:r>
    </w:p>
    <w:p w14:paraId="1F6B3B26" w14:textId="77777777" w:rsidR="00F25E60" w:rsidRPr="00F25E60" w:rsidRDefault="00F25E60" w:rsidP="00F25E60">
      <w:pPr>
        <w:spacing w:line="240" w:lineRule="auto"/>
        <w:rPr>
          <w:rFonts w:cs="Arial"/>
          <w:szCs w:val="20"/>
        </w:rPr>
      </w:pPr>
      <w:r w:rsidRPr="00F25E60">
        <w:rPr>
          <w:rFonts w:cs="Arial"/>
          <w:szCs w:val="20"/>
        </w:rPr>
        <w:tab/>
      </w:r>
      <w:r w:rsidRPr="00F25E60">
        <w:rPr>
          <w:rFonts w:cs="Arial"/>
          <w:szCs w:val="20"/>
        </w:rPr>
        <w:tab/>
      </w:r>
      <w:r w:rsidRPr="00F25E60">
        <w:rPr>
          <w:rFonts w:cs="Arial"/>
          <w:szCs w:val="20"/>
        </w:rPr>
        <w:tab/>
      </w:r>
      <w:r w:rsidRPr="00F25E60">
        <w:rPr>
          <w:rFonts w:cs="Arial"/>
          <w:szCs w:val="20"/>
        </w:rPr>
        <w:tab/>
        <w:t>d</w:t>
      </w:r>
      <w:r w:rsidRPr="00F25E60">
        <w:rPr>
          <w:rFonts w:cs="Arial"/>
          <w:szCs w:val="20"/>
          <w:vertAlign w:val="subscript"/>
        </w:rPr>
        <w:t>50</w:t>
      </w:r>
      <w:r w:rsidRPr="00F25E60">
        <w:rPr>
          <w:rFonts w:cs="Arial"/>
          <w:szCs w:val="20"/>
        </w:rPr>
        <w:t xml:space="preserve"> / 0</w:t>
      </w:r>
      <w:r w:rsidRPr="00F25E60">
        <w:rPr>
          <w:rFonts w:cs="Arial"/>
          <w:szCs w:val="20"/>
          <w:vertAlign w:val="subscript"/>
        </w:rPr>
        <w:t>90</w:t>
      </w:r>
      <w:r w:rsidRPr="00F25E60">
        <w:rPr>
          <w:rFonts w:cs="Arial"/>
          <w:szCs w:val="20"/>
        </w:rPr>
        <w:t xml:space="preserve"> ≥ 1,2</w:t>
      </w:r>
      <w:r w:rsidRPr="00F25E60">
        <w:rPr>
          <w:rFonts w:cs="Arial"/>
          <w:szCs w:val="20"/>
        </w:rPr>
        <w:tab/>
      </w:r>
      <w:r w:rsidRPr="00F25E60">
        <w:rPr>
          <w:rFonts w:cs="Arial"/>
          <w:szCs w:val="20"/>
        </w:rPr>
        <w:tab/>
        <w:t>(2)</w:t>
      </w:r>
    </w:p>
    <w:p w14:paraId="6FC8E37D" w14:textId="77777777" w:rsidR="00F25E60" w:rsidRPr="00F25E60" w:rsidRDefault="00F25E60" w:rsidP="00F25E60">
      <w:pPr>
        <w:spacing w:line="240" w:lineRule="auto"/>
        <w:rPr>
          <w:rFonts w:cs="Arial"/>
          <w:szCs w:val="20"/>
        </w:rPr>
      </w:pPr>
      <w:r w:rsidRPr="00F25E60">
        <w:rPr>
          <w:rFonts w:cs="Arial"/>
          <w:szCs w:val="20"/>
        </w:rPr>
        <w:t>w której:</w:t>
      </w:r>
    </w:p>
    <w:p w14:paraId="08CC2594" w14:textId="77777777" w:rsidR="00F25E60" w:rsidRPr="00F25E60" w:rsidRDefault="00F25E60" w:rsidP="00F25E60">
      <w:pPr>
        <w:spacing w:line="240" w:lineRule="auto"/>
        <w:ind w:left="720" w:hanging="720"/>
        <w:rPr>
          <w:rFonts w:cs="Arial"/>
          <w:szCs w:val="20"/>
        </w:rPr>
      </w:pPr>
      <w:r w:rsidRPr="00F25E60">
        <w:rPr>
          <w:rFonts w:cs="Arial"/>
          <w:szCs w:val="20"/>
        </w:rPr>
        <w:t>d</w:t>
      </w:r>
      <w:r w:rsidRPr="00F25E60">
        <w:rPr>
          <w:rFonts w:cs="Arial"/>
          <w:szCs w:val="20"/>
          <w:vertAlign w:val="subscript"/>
        </w:rPr>
        <w:t xml:space="preserve">50 </w:t>
      </w:r>
      <w:r w:rsidRPr="00F25E60">
        <w:rPr>
          <w:rFonts w:cs="Arial"/>
          <w:szCs w:val="20"/>
        </w:rPr>
        <w:t xml:space="preserve"> -</w:t>
      </w:r>
      <w:r w:rsidRPr="00F25E60">
        <w:rPr>
          <w:rFonts w:cs="Arial"/>
          <w:szCs w:val="20"/>
          <w:vertAlign w:val="subscript"/>
        </w:rPr>
        <w:t xml:space="preserve">  </w:t>
      </w:r>
      <w:r w:rsidRPr="00F25E60">
        <w:rPr>
          <w:rFonts w:cs="Arial"/>
          <w:szCs w:val="20"/>
        </w:rPr>
        <w:t>wymiar boku oczka sita w mm, przez które przechodzi 50% (m/m) ziaren gruntu podłoża,</w:t>
      </w:r>
    </w:p>
    <w:p w14:paraId="1ACA594A" w14:textId="77777777" w:rsidR="00F25E60" w:rsidRPr="00F25E60" w:rsidRDefault="00F25E60" w:rsidP="00F25E60">
      <w:pPr>
        <w:spacing w:line="240" w:lineRule="auto"/>
        <w:ind w:left="720" w:hanging="720"/>
        <w:rPr>
          <w:rFonts w:cs="Arial"/>
          <w:szCs w:val="20"/>
        </w:rPr>
      </w:pPr>
      <w:r w:rsidRPr="00F25E60">
        <w:rPr>
          <w:rFonts w:cs="Arial"/>
          <w:szCs w:val="20"/>
        </w:rPr>
        <w:t>0</w:t>
      </w:r>
      <w:r w:rsidRPr="00F25E60">
        <w:rPr>
          <w:rFonts w:cs="Arial"/>
          <w:szCs w:val="20"/>
          <w:vertAlign w:val="subscript"/>
        </w:rPr>
        <w:t>90</w:t>
      </w:r>
      <w:r w:rsidRPr="00F25E60">
        <w:rPr>
          <w:rFonts w:cs="Arial"/>
          <w:szCs w:val="20"/>
        </w:rPr>
        <w:t xml:space="preserve">  - umowna średnica porów geowłókniny odpowiadająca wymiarom frakcji gruntu podłoża zatrzymującego się na geowłókninie w ilości 90% (m/m); wartość parametru 0</w:t>
      </w:r>
      <w:r w:rsidRPr="00F25E60">
        <w:rPr>
          <w:rFonts w:cs="Arial"/>
          <w:szCs w:val="20"/>
          <w:vertAlign w:val="subscript"/>
        </w:rPr>
        <w:t>90</w:t>
      </w:r>
      <w:r w:rsidRPr="00F25E60">
        <w:rPr>
          <w:rFonts w:cs="Arial"/>
          <w:szCs w:val="20"/>
        </w:rPr>
        <w:t xml:space="preserve"> powinna być podana przez producenta geowłókniny; masa powierzchniowa geowłókniny nie powinna być mniejsza od 200 g/m</w:t>
      </w:r>
      <w:r w:rsidRPr="00F25E60">
        <w:rPr>
          <w:rFonts w:cs="Arial"/>
          <w:szCs w:val="20"/>
          <w:vertAlign w:val="superscript"/>
        </w:rPr>
        <w:t>2</w:t>
      </w:r>
      <w:r w:rsidRPr="00F25E60">
        <w:rPr>
          <w:rFonts w:cs="Arial"/>
          <w:szCs w:val="20"/>
        </w:rPr>
        <w:t>.</w:t>
      </w:r>
    </w:p>
    <w:p w14:paraId="5FD01A09" w14:textId="77777777" w:rsidR="00F25E60" w:rsidRPr="00F25E60" w:rsidRDefault="00F25E60" w:rsidP="00F25E60">
      <w:pPr>
        <w:spacing w:before="120" w:line="240" w:lineRule="auto"/>
        <w:ind w:firstLine="709"/>
        <w:rPr>
          <w:rFonts w:cs="Arial"/>
          <w:szCs w:val="20"/>
        </w:rPr>
      </w:pPr>
      <w:r w:rsidRPr="00F25E60">
        <w:rPr>
          <w:rFonts w:cs="Arial"/>
          <w:szCs w:val="20"/>
        </w:rPr>
        <w:t>Warstwa odcinająca zabezpiecza przed przenikaniem drobnych cząstek podłoża gruntowego do warstwy położonej wyżej. Drobne cząstki powodują wymieszanie gruntu podłoża z warstwą kruszywa, uplastyczniając ją i wpływając na utratę jej nośności przy zawilgoceniu.</w:t>
      </w:r>
    </w:p>
    <w:p w14:paraId="4D83C746" w14:textId="02E67404" w:rsidR="00F25E60" w:rsidRPr="00F25E60" w:rsidRDefault="00F25E60" w:rsidP="00F25E60">
      <w:pPr>
        <w:spacing w:line="240" w:lineRule="auto"/>
        <w:ind w:firstLine="709"/>
        <w:rPr>
          <w:rFonts w:cs="Arial"/>
          <w:szCs w:val="20"/>
        </w:rPr>
      </w:pPr>
      <w:r w:rsidRPr="00F25E60">
        <w:rPr>
          <w:rFonts w:cs="Arial"/>
          <w:szCs w:val="20"/>
        </w:rPr>
        <w:t xml:space="preserve">Warstwa odcinająca może być wykonana jako warstwa z miału kamiennego, odsiewek, drobnego kruszywa itp. grubości np. 5÷10 cm, według </w:t>
      </w:r>
      <w:r w:rsidR="00C968CE">
        <w:rPr>
          <w:rFonts w:cs="Arial"/>
          <w:szCs w:val="20"/>
        </w:rPr>
        <w:t>S</w:t>
      </w:r>
      <w:r w:rsidRPr="00F25E60">
        <w:rPr>
          <w:rFonts w:cs="Arial"/>
          <w:szCs w:val="20"/>
        </w:rPr>
        <w:t>ST D-04.02.01 „Warstwy odsączające i odcinające” [5] lub z geowłókniny (</w:t>
      </w:r>
      <w:proofErr w:type="spellStart"/>
      <w:r w:rsidRPr="00F25E60">
        <w:rPr>
          <w:rFonts w:cs="Arial"/>
          <w:szCs w:val="20"/>
        </w:rPr>
        <w:t>geotkaniny</w:t>
      </w:r>
      <w:proofErr w:type="spellEnd"/>
      <w:r w:rsidRPr="00F25E60">
        <w:rPr>
          <w:rFonts w:cs="Arial"/>
          <w:szCs w:val="20"/>
        </w:rPr>
        <w:t>) według OST D-04.02.01a „Warstwa odcinająca z geowłókniny” [6].</w:t>
      </w:r>
    </w:p>
    <w:p w14:paraId="5380B9DF" w14:textId="77777777" w:rsidR="00F25E60" w:rsidRPr="00F25E60" w:rsidRDefault="00F25E60" w:rsidP="00F25E60">
      <w:pPr>
        <w:spacing w:line="240" w:lineRule="auto"/>
        <w:ind w:firstLine="709"/>
        <w:rPr>
          <w:rFonts w:cs="Arial"/>
          <w:szCs w:val="20"/>
        </w:rPr>
      </w:pPr>
      <w:r w:rsidRPr="00F25E60">
        <w:rPr>
          <w:rFonts w:cs="Arial"/>
          <w:szCs w:val="20"/>
        </w:rPr>
        <w:t>Jeżeli kruszywo przeznaczone do wykonania warstwy odcinającej nie jest wbudowane bezpośrednio po dostarczeniu na budowę i zachodzi potrzeba jego okresowego składowania, to Wykonawca robót powinien zabezpieczyć kruszywo przed zanieczyszczeniem i zmieszaniem z innymi materiałami. Podłoże w miejscu składowania powinno być równe, utwardzone i dobrze odwodnione. Geowłókniny przeznaczone do robót należy przechowywać w opakowaniach fabrycznych w pomieszczeniach czystych, suchych i wentylowanych.</w:t>
      </w:r>
    </w:p>
    <w:p w14:paraId="0C677A01" w14:textId="77777777" w:rsidR="00F25E60" w:rsidRPr="00F25E60" w:rsidRDefault="00F25E60" w:rsidP="00F25E60">
      <w:pPr>
        <w:spacing w:before="120" w:after="120" w:line="240" w:lineRule="auto"/>
        <w:ind w:left="720" w:hanging="720"/>
        <w:rPr>
          <w:rFonts w:cs="Arial"/>
          <w:szCs w:val="20"/>
        </w:rPr>
      </w:pPr>
      <w:r w:rsidRPr="00F25E60">
        <w:rPr>
          <w:rFonts w:cs="Arial"/>
          <w:b/>
          <w:szCs w:val="20"/>
        </w:rPr>
        <w:t xml:space="preserve">5.6.3. </w:t>
      </w:r>
      <w:r w:rsidRPr="00F25E60">
        <w:rPr>
          <w:rFonts w:cs="Arial"/>
          <w:szCs w:val="20"/>
        </w:rPr>
        <w:t>Wykonanie warstwy odsączającej</w:t>
      </w:r>
    </w:p>
    <w:p w14:paraId="78C0319B" w14:textId="77777777" w:rsidR="00F25E60" w:rsidRPr="00F25E60" w:rsidRDefault="00F25E60" w:rsidP="00F25E60">
      <w:pPr>
        <w:spacing w:line="240" w:lineRule="auto"/>
        <w:rPr>
          <w:rFonts w:cs="Arial"/>
          <w:szCs w:val="20"/>
        </w:rPr>
      </w:pPr>
      <w:r w:rsidRPr="00F25E60">
        <w:rPr>
          <w:rFonts w:cs="Arial"/>
          <w:b/>
          <w:szCs w:val="20"/>
        </w:rPr>
        <w:tab/>
      </w:r>
      <w:r w:rsidRPr="00F25E60">
        <w:rPr>
          <w:rFonts w:cs="Arial"/>
          <w:szCs w:val="20"/>
        </w:rPr>
        <w:t xml:space="preserve">Jeśli dokumentacja projektowa przewiduje warstwę odsączającą to należy wykonać ją zgodnie z podanymi ustaleniami. Warstwa odsączająca jest warstwą położoną pod podbudową pomocniczą, a w przypadku występującej warstwy odcinającej, ułożona jest bezpośrednio nad nią. </w:t>
      </w:r>
    </w:p>
    <w:p w14:paraId="003BFED3" w14:textId="77777777" w:rsidR="00F25E60" w:rsidRPr="00F25E60" w:rsidRDefault="00F25E60" w:rsidP="00F25E60">
      <w:pPr>
        <w:spacing w:line="240" w:lineRule="auto"/>
        <w:ind w:firstLine="709"/>
        <w:rPr>
          <w:rFonts w:cs="Arial"/>
          <w:szCs w:val="20"/>
        </w:rPr>
      </w:pPr>
      <w:r w:rsidRPr="00F25E60">
        <w:rPr>
          <w:rFonts w:cs="Arial"/>
          <w:szCs w:val="20"/>
        </w:rPr>
        <w:t xml:space="preserve">Warstwa odsączająca zapewnia odwodnienie konstrukcji nawierzchni i powinna charakteryzować się wodoprzepuszczalnością określoną współczynnikiem filtracji k ≥ 8 m/dobę (≥ 0,0093 cm/s). </w:t>
      </w:r>
    </w:p>
    <w:p w14:paraId="18AB8D57" w14:textId="2ACEFDFE" w:rsidR="00F25E60" w:rsidRPr="00F25E60" w:rsidRDefault="00F25E60" w:rsidP="00F25E60">
      <w:pPr>
        <w:spacing w:line="240" w:lineRule="auto"/>
        <w:rPr>
          <w:rFonts w:cs="Arial"/>
          <w:szCs w:val="20"/>
        </w:rPr>
      </w:pPr>
      <w:r w:rsidRPr="00F25E60">
        <w:rPr>
          <w:rFonts w:cs="Arial"/>
          <w:szCs w:val="20"/>
        </w:rPr>
        <w:tab/>
        <w:t xml:space="preserve">Warstwa odsączająca może być wykonana jako warstwa z piasku, żwiru, geowłókniny według </w:t>
      </w:r>
      <w:r w:rsidR="00C968CE">
        <w:rPr>
          <w:rFonts w:cs="Arial"/>
          <w:szCs w:val="20"/>
        </w:rPr>
        <w:t>S</w:t>
      </w:r>
      <w:r w:rsidRPr="00F25E60">
        <w:rPr>
          <w:rFonts w:cs="Arial"/>
          <w:szCs w:val="20"/>
        </w:rPr>
        <w:t>ST D-04.02.01 „Warstwy odsączające i odcinające” [5].</w:t>
      </w:r>
    </w:p>
    <w:p w14:paraId="085A0E4A" w14:textId="77777777" w:rsidR="00F25E60" w:rsidRPr="00F25E60" w:rsidRDefault="00F25E60" w:rsidP="00F25E60">
      <w:pPr>
        <w:spacing w:before="120" w:after="120" w:line="240" w:lineRule="auto"/>
        <w:rPr>
          <w:rFonts w:cs="Arial"/>
          <w:szCs w:val="20"/>
        </w:rPr>
      </w:pPr>
      <w:r w:rsidRPr="00F25E60">
        <w:rPr>
          <w:rFonts w:cs="Arial"/>
          <w:b/>
          <w:szCs w:val="20"/>
        </w:rPr>
        <w:lastRenderedPageBreak/>
        <w:t xml:space="preserve">5.6.4.  </w:t>
      </w:r>
      <w:r w:rsidRPr="00F25E60">
        <w:rPr>
          <w:rFonts w:cs="Arial"/>
          <w:szCs w:val="20"/>
        </w:rPr>
        <w:t>Ułożenie podbudowy pomocniczej na podłożu ulepszonym</w:t>
      </w:r>
    </w:p>
    <w:p w14:paraId="01E2D9E6" w14:textId="77777777" w:rsidR="00F25E60" w:rsidRPr="00F25E60" w:rsidRDefault="00F25E60" w:rsidP="00F25E60">
      <w:pPr>
        <w:spacing w:line="240" w:lineRule="auto"/>
        <w:rPr>
          <w:rFonts w:cs="Arial"/>
          <w:szCs w:val="20"/>
        </w:rPr>
      </w:pPr>
      <w:r w:rsidRPr="00F25E60">
        <w:rPr>
          <w:rFonts w:cs="Arial"/>
          <w:szCs w:val="20"/>
        </w:rPr>
        <w:tab/>
        <w:t>Jeśli podłoże gruntowe nie spełnia warunku nośności lub mrozoodporności, wówczas wykonuje się w górnej jego warstwie podłoże ulepszone, stanowiące warstwę lub zespół warstw leżących pod konstrukcją nawierzchni drogowej.</w:t>
      </w:r>
    </w:p>
    <w:p w14:paraId="76CE0E3F" w14:textId="76BD15E0" w:rsidR="00F25E60" w:rsidRPr="00F25E60" w:rsidRDefault="00F25E60" w:rsidP="00F25E60">
      <w:pPr>
        <w:spacing w:line="240" w:lineRule="auto"/>
        <w:rPr>
          <w:rFonts w:cs="Arial"/>
          <w:szCs w:val="20"/>
        </w:rPr>
      </w:pPr>
      <w:r w:rsidRPr="00F25E60">
        <w:rPr>
          <w:rFonts w:cs="Arial"/>
          <w:szCs w:val="20"/>
        </w:rPr>
        <w:tab/>
        <w:t xml:space="preserve">W przypadku wykonywania podbudowy pomocniczej z mieszanki kruszywa niezwiązanego, najkorzystniejszą konstrukcją podłoża ulepszonego jest również mieszanka kruszywa niezwiązanego. Wykonanie podłoża ulepszonego powinno odpowiadać wymaganiom zawartym w </w:t>
      </w:r>
      <w:r w:rsidR="00C968CE">
        <w:rPr>
          <w:rFonts w:cs="Arial"/>
          <w:szCs w:val="20"/>
        </w:rPr>
        <w:t>S</w:t>
      </w:r>
      <w:r w:rsidRPr="00F25E60">
        <w:rPr>
          <w:rFonts w:cs="Arial"/>
          <w:szCs w:val="20"/>
        </w:rPr>
        <w:t>ST D-04.04.00a „Podłoże ulepszone z mieszanki kruszywa niezwiązanego” [7]. Wszystkie niezbędne cechy geometryczne podłoża ulepszonego powinny być zgodne z ustaleniami dokumentacji projektowej.</w:t>
      </w:r>
    </w:p>
    <w:p w14:paraId="5A05740A" w14:textId="77777777" w:rsidR="00F25E60" w:rsidRPr="00F25E60" w:rsidRDefault="00F25E60" w:rsidP="00F25E60">
      <w:pPr>
        <w:pStyle w:val="Nagwek2"/>
        <w:spacing w:line="240" w:lineRule="auto"/>
        <w:rPr>
          <w:rFonts w:cs="Arial"/>
          <w:szCs w:val="20"/>
        </w:rPr>
      </w:pPr>
      <w:r w:rsidRPr="00F25E60">
        <w:rPr>
          <w:rFonts w:cs="Arial"/>
          <w:szCs w:val="20"/>
        </w:rPr>
        <w:t>5.7. Wytwarzanie mieszanki kruszywa na warstwę podbudowy pomocniczej</w:t>
      </w:r>
    </w:p>
    <w:p w14:paraId="1E418F02" w14:textId="77777777" w:rsidR="00F25E60" w:rsidRPr="00F25E60" w:rsidRDefault="00F25E60" w:rsidP="00F25E60">
      <w:pPr>
        <w:spacing w:line="240" w:lineRule="auto"/>
        <w:ind w:firstLine="709"/>
        <w:rPr>
          <w:rFonts w:cs="Arial"/>
          <w:szCs w:val="20"/>
        </w:rPr>
      </w:pPr>
      <w:r w:rsidRPr="00F25E60">
        <w:rPr>
          <w:rFonts w:cs="Arial"/>
          <w:szCs w:val="20"/>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5417FE5E" w14:textId="77777777" w:rsidR="00F25E60" w:rsidRPr="00F25E60" w:rsidRDefault="00F25E60" w:rsidP="00F25E60">
      <w:pPr>
        <w:spacing w:line="240" w:lineRule="auto"/>
        <w:rPr>
          <w:rFonts w:cs="Arial"/>
          <w:szCs w:val="20"/>
        </w:rPr>
      </w:pPr>
      <w:r w:rsidRPr="00F25E60">
        <w:rPr>
          <w:rFonts w:cs="Arial"/>
          <w:szCs w:val="20"/>
        </w:rPr>
        <w:tab/>
        <w:t>Ze względu na konieczność zapewnienia mieszance jednorodności nie zaleca się wytwarzania mieszanki przez mieszanie poszczególnych frakcji kruszywa na drodze.</w:t>
      </w:r>
    </w:p>
    <w:p w14:paraId="3786304B" w14:textId="77777777" w:rsidR="00F25E60" w:rsidRPr="00F25E60" w:rsidRDefault="00F25E60" w:rsidP="00F25E60">
      <w:pPr>
        <w:spacing w:line="240" w:lineRule="auto"/>
        <w:rPr>
          <w:rFonts w:cs="Arial"/>
          <w:szCs w:val="20"/>
        </w:rPr>
      </w:pPr>
      <w:r w:rsidRPr="00F25E60">
        <w:rPr>
          <w:rFonts w:cs="Arial"/>
          <w:szCs w:val="20"/>
        </w:rPr>
        <w:tab/>
        <w:t>Przy produkcji mieszanki kruszywa należy prowadzić zakładową kontrolę produkcji mieszanek niezwiązanych, zgodnie z  WT-4 [24] załącznik C, a przy dostarczaniu mieszanki przez producenta/dostawcę należy stosować się do zasad deklarowania w odniesieniu do zakresu uziarnienia podanych w WT-4 [24] załącznik B.</w:t>
      </w:r>
    </w:p>
    <w:p w14:paraId="31F78669" w14:textId="77777777" w:rsidR="00F25E60" w:rsidRPr="00F25E60" w:rsidRDefault="00F25E60" w:rsidP="00F25E60">
      <w:pPr>
        <w:pStyle w:val="Nagwek2"/>
        <w:spacing w:line="240" w:lineRule="auto"/>
        <w:rPr>
          <w:rFonts w:cs="Arial"/>
          <w:szCs w:val="20"/>
        </w:rPr>
      </w:pPr>
      <w:r w:rsidRPr="00F25E60">
        <w:rPr>
          <w:rFonts w:cs="Arial"/>
          <w:szCs w:val="20"/>
        </w:rPr>
        <w:t>5.8. Wbudowanie mieszanki kruszywa w warstwę podbudowy pomocniczej</w:t>
      </w:r>
    </w:p>
    <w:p w14:paraId="7FEC49D3" w14:textId="77777777" w:rsidR="00F25E60" w:rsidRPr="00F25E60" w:rsidRDefault="00F25E60" w:rsidP="00F25E60">
      <w:pPr>
        <w:spacing w:line="240" w:lineRule="auto"/>
        <w:rPr>
          <w:rFonts w:cs="Arial"/>
          <w:szCs w:val="20"/>
        </w:rPr>
      </w:pPr>
      <w:r w:rsidRPr="00F25E60">
        <w:rPr>
          <w:rFonts w:cs="Arial"/>
          <w:szCs w:val="20"/>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26D92222" w14:textId="77777777" w:rsidR="00F25E60" w:rsidRPr="00F25E60" w:rsidRDefault="00F25E60" w:rsidP="00F25E60">
      <w:pPr>
        <w:spacing w:line="240" w:lineRule="auto"/>
        <w:rPr>
          <w:rFonts w:cs="Arial"/>
          <w:szCs w:val="20"/>
        </w:rPr>
      </w:pPr>
      <w:r w:rsidRPr="00F25E60">
        <w:rPr>
          <w:rFonts w:cs="Arial"/>
          <w:szCs w:val="20"/>
        </w:rPr>
        <w:tab/>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F25E60">
          <w:rPr>
            <w:rFonts w:cs="Arial"/>
            <w:szCs w:val="20"/>
          </w:rPr>
          <w:t>20 cm</w:t>
        </w:r>
      </w:smartTag>
      <w:r w:rsidRPr="00F25E60">
        <w:rPr>
          <w:rFonts w:cs="Arial"/>
          <w:szCs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72FF3D34" w14:textId="77777777" w:rsidR="00F25E60" w:rsidRPr="00F25E60" w:rsidRDefault="00F25E60" w:rsidP="00F25E60">
      <w:pPr>
        <w:spacing w:line="240" w:lineRule="auto"/>
        <w:rPr>
          <w:rFonts w:cs="Arial"/>
          <w:szCs w:val="20"/>
        </w:rPr>
      </w:pPr>
      <w:r w:rsidRPr="00F25E60">
        <w:rPr>
          <w:rFonts w:cs="Arial"/>
          <w:szCs w:val="20"/>
        </w:rPr>
        <w:tab/>
        <w:t xml:space="preserve">Wilgotność mieszanki kruszywa podczas zagęszczania powinna odpowiadać wilgotności optymalnej, określonej według próby </w:t>
      </w:r>
      <w:proofErr w:type="spellStart"/>
      <w:r w:rsidRPr="00F25E60">
        <w:rPr>
          <w:rFonts w:cs="Arial"/>
          <w:szCs w:val="20"/>
        </w:rPr>
        <w:t>Proctora</w:t>
      </w:r>
      <w:proofErr w:type="spellEnd"/>
      <w:r w:rsidRPr="00F25E60">
        <w:rPr>
          <w:rFonts w:cs="Arial"/>
          <w:szCs w:val="20"/>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44DBDF56" w14:textId="77777777" w:rsidR="00F25E60" w:rsidRPr="00F25E60" w:rsidRDefault="00F25E60" w:rsidP="00F25E60">
      <w:pPr>
        <w:spacing w:line="240" w:lineRule="auto"/>
        <w:rPr>
          <w:rFonts w:cs="Arial"/>
          <w:szCs w:val="20"/>
        </w:rPr>
      </w:pPr>
      <w:r w:rsidRPr="00F25E60">
        <w:rPr>
          <w:rFonts w:cs="Arial"/>
          <w:szCs w:val="20"/>
        </w:rPr>
        <w:tab/>
        <w:t>Rozścieloną mieszankę kruszywa należy sprofilować równiarką lub ciężkim szablonem, do spadków poprzecznych i pochyleń podłużnych ustalonych w dokumentacji projektowej. W czasie profilowania należy wyrównać lokalne wgłębienia.</w:t>
      </w:r>
    </w:p>
    <w:p w14:paraId="4213D25D" w14:textId="77777777" w:rsidR="00F25E60" w:rsidRPr="00F25E60" w:rsidRDefault="00F25E60" w:rsidP="00F25E60">
      <w:pPr>
        <w:pStyle w:val="Nagwek2"/>
        <w:spacing w:line="240" w:lineRule="auto"/>
        <w:rPr>
          <w:rFonts w:cs="Arial"/>
          <w:szCs w:val="20"/>
        </w:rPr>
      </w:pPr>
      <w:r w:rsidRPr="00F25E60">
        <w:rPr>
          <w:rFonts w:cs="Arial"/>
          <w:szCs w:val="20"/>
        </w:rPr>
        <w:t>5.9. Zagęszczanie mieszanki kruszywa</w:t>
      </w:r>
    </w:p>
    <w:p w14:paraId="0D7A17C0" w14:textId="77777777" w:rsidR="00F25E60" w:rsidRPr="00F25E60" w:rsidRDefault="00F25E60" w:rsidP="00F25E60">
      <w:pPr>
        <w:spacing w:line="240" w:lineRule="auto"/>
        <w:rPr>
          <w:rFonts w:cs="Arial"/>
          <w:szCs w:val="20"/>
        </w:rPr>
      </w:pPr>
      <w:r w:rsidRPr="00F25E60">
        <w:rPr>
          <w:rFonts w:cs="Arial"/>
          <w:szCs w:val="20"/>
        </w:rPr>
        <w:tab/>
        <w:t>Po wyprofilowaniu mieszanki kruszywa należy rozpocząć jej zagęszczanie, które należy kontynuować aż do osiągnięcia wymaganego w ST wskaźnika zagęszczenia.</w:t>
      </w:r>
    </w:p>
    <w:p w14:paraId="1FEDCBB0" w14:textId="77777777" w:rsidR="00F25E60" w:rsidRPr="00F25E60" w:rsidRDefault="00F25E60" w:rsidP="00F25E60">
      <w:pPr>
        <w:spacing w:line="240" w:lineRule="auto"/>
        <w:rPr>
          <w:rFonts w:cs="Arial"/>
          <w:szCs w:val="20"/>
        </w:rPr>
      </w:pPr>
      <w:r w:rsidRPr="00F25E60">
        <w:rPr>
          <w:rFonts w:cs="Arial"/>
          <w:szCs w:val="20"/>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00ABD57D" w14:textId="77777777" w:rsidR="00F25E60" w:rsidRPr="00F25E60" w:rsidRDefault="00F25E60" w:rsidP="00F25E60">
      <w:pPr>
        <w:spacing w:line="240" w:lineRule="auto"/>
        <w:rPr>
          <w:rFonts w:cs="Arial"/>
          <w:szCs w:val="20"/>
        </w:rPr>
      </w:pPr>
      <w:r w:rsidRPr="00F25E60">
        <w:rPr>
          <w:rFonts w:cs="Arial"/>
          <w:szCs w:val="20"/>
        </w:rPr>
        <w:tab/>
        <w:t>Zagęszczenie powinno być równomierne na całej szerokości warstwy.</w:t>
      </w:r>
    </w:p>
    <w:p w14:paraId="5B29D8E0" w14:textId="77777777" w:rsidR="00F25E60" w:rsidRPr="00F25E60" w:rsidRDefault="00F25E60" w:rsidP="00F25E60">
      <w:pPr>
        <w:spacing w:line="240" w:lineRule="auto"/>
        <w:rPr>
          <w:rFonts w:cs="Arial"/>
          <w:szCs w:val="20"/>
        </w:rPr>
      </w:pPr>
      <w:r w:rsidRPr="00F25E60">
        <w:rPr>
          <w:rFonts w:cs="Arial"/>
          <w:szCs w:val="20"/>
        </w:rPr>
        <w:tab/>
        <w:t xml:space="preserve">Zaleca się, aby grubość zagęszczanej warstwy nie przekraczała przy walcach statycznych gładkich </w:t>
      </w:r>
      <w:smartTag w:uri="urn:schemas-microsoft-com:office:smarttags" w:element="metricconverter">
        <w:smartTagPr>
          <w:attr w:name="ProductID" w:val="15 cm"/>
        </w:smartTagPr>
        <w:r w:rsidRPr="00F25E60">
          <w:rPr>
            <w:rFonts w:cs="Arial"/>
            <w:szCs w:val="20"/>
          </w:rPr>
          <w:t>15 cm</w:t>
        </w:r>
      </w:smartTag>
      <w:r w:rsidRPr="00F25E60">
        <w:rPr>
          <w:rFonts w:cs="Arial"/>
          <w:szCs w:val="20"/>
        </w:rPr>
        <w:t xml:space="preserve">, a przy walcach ogumionych lub wibracyjnych </w:t>
      </w:r>
      <w:smartTag w:uri="urn:schemas-microsoft-com:office:smarttags" w:element="metricconverter">
        <w:smartTagPr>
          <w:attr w:name="ProductID" w:val="20 cm"/>
        </w:smartTagPr>
        <w:r w:rsidRPr="00F25E60">
          <w:rPr>
            <w:rFonts w:cs="Arial"/>
            <w:szCs w:val="20"/>
          </w:rPr>
          <w:t>20 cm</w:t>
        </w:r>
      </w:smartTag>
      <w:r w:rsidRPr="00F25E60">
        <w:rPr>
          <w:rFonts w:cs="Arial"/>
          <w:szCs w:val="20"/>
        </w:rPr>
        <w:t>.</w:t>
      </w:r>
    </w:p>
    <w:p w14:paraId="6F71F99E" w14:textId="77777777" w:rsidR="00F25E60" w:rsidRPr="00F25E60" w:rsidRDefault="00F25E60" w:rsidP="00F25E60">
      <w:pPr>
        <w:pStyle w:val="Nagwek2"/>
        <w:spacing w:line="240" w:lineRule="auto"/>
        <w:rPr>
          <w:rFonts w:cs="Arial"/>
          <w:szCs w:val="20"/>
        </w:rPr>
      </w:pPr>
      <w:r w:rsidRPr="00F25E60">
        <w:rPr>
          <w:rFonts w:cs="Arial"/>
          <w:szCs w:val="20"/>
        </w:rPr>
        <w:t>5.10. Utrzymanie wykonanej warstwy</w:t>
      </w:r>
    </w:p>
    <w:p w14:paraId="02820B74" w14:textId="77777777" w:rsidR="00F25E60" w:rsidRPr="00F25E60" w:rsidRDefault="00F25E60" w:rsidP="00F25E60">
      <w:pPr>
        <w:spacing w:line="240" w:lineRule="auto"/>
        <w:rPr>
          <w:rFonts w:cs="Arial"/>
          <w:szCs w:val="20"/>
        </w:rPr>
      </w:pPr>
      <w:r w:rsidRPr="00F25E60">
        <w:rPr>
          <w:rFonts w:cs="Arial"/>
          <w:szCs w:val="20"/>
        </w:rPr>
        <w:tab/>
        <w:t>Zagęszczona warstwa, przed ułożeniem następnej warstwy, powinna być utrzymywana w dobrym stanie. Jeżeli po wykonanej warstwie będzie się odbywał ruch budowlany, to Wykonawca jest obowiązany naprawić wszelkie uszkodzenia, spowodowane przez ten ruch.</w:t>
      </w:r>
    </w:p>
    <w:p w14:paraId="51FE07BA" w14:textId="77777777" w:rsidR="00F25E60" w:rsidRPr="00F25E60" w:rsidRDefault="00F25E60" w:rsidP="00F25E60">
      <w:pPr>
        <w:pStyle w:val="Nagwek2"/>
        <w:spacing w:line="240" w:lineRule="auto"/>
        <w:rPr>
          <w:rFonts w:cs="Arial"/>
          <w:szCs w:val="20"/>
        </w:rPr>
      </w:pPr>
      <w:r w:rsidRPr="00F25E60">
        <w:rPr>
          <w:rFonts w:cs="Arial"/>
          <w:szCs w:val="20"/>
        </w:rPr>
        <w:t>5.11. Roboty wykończeniowe</w:t>
      </w:r>
    </w:p>
    <w:p w14:paraId="197B5952" w14:textId="77777777" w:rsidR="00F25E60" w:rsidRPr="00F25E60" w:rsidRDefault="00F25E60" w:rsidP="00F25E60">
      <w:pPr>
        <w:spacing w:line="240" w:lineRule="auto"/>
        <w:ind w:firstLine="709"/>
        <w:rPr>
          <w:rFonts w:cs="Arial"/>
          <w:szCs w:val="20"/>
        </w:rPr>
      </w:pPr>
      <w:r w:rsidRPr="00F25E60">
        <w:rPr>
          <w:rFonts w:cs="Arial"/>
          <w:szCs w:val="20"/>
        </w:rPr>
        <w:t>Roboty wykończeniowe, zgodne z dokumentacją projektową, ST lub wskazaniami Inżyniera dotyczą prac związanych z dostosowaniem wykonanych  robót do istniejących warunków terenowych, takie jak:</w:t>
      </w:r>
    </w:p>
    <w:p w14:paraId="2C1E54BD" w14:textId="77777777" w:rsidR="00F25E60" w:rsidRPr="00F25E60" w:rsidRDefault="00F25E60" w:rsidP="00CF1E7D">
      <w:pPr>
        <w:numPr>
          <w:ilvl w:val="0"/>
          <w:numId w:val="105"/>
        </w:numPr>
        <w:tabs>
          <w:tab w:val="clear" w:pos="397"/>
          <w:tab w:val="num" w:pos="284"/>
        </w:tabs>
        <w:overflowPunct w:val="0"/>
        <w:autoSpaceDE w:val="0"/>
        <w:autoSpaceDN w:val="0"/>
        <w:adjustRightInd w:val="0"/>
        <w:spacing w:line="240" w:lineRule="auto"/>
        <w:ind w:left="284" w:hanging="284"/>
        <w:jc w:val="both"/>
        <w:textAlignment w:val="baseline"/>
        <w:rPr>
          <w:rFonts w:cs="Arial"/>
          <w:szCs w:val="20"/>
        </w:rPr>
      </w:pPr>
      <w:r w:rsidRPr="00F25E60">
        <w:rPr>
          <w:rFonts w:cs="Arial"/>
          <w:szCs w:val="20"/>
        </w:rPr>
        <w:t>odtworzenie przeszkód czasowo usuniętych,</w:t>
      </w:r>
    </w:p>
    <w:p w14:paraId="22A5A81C" w14:textId="77777777" w:rsidR="00F25E60" w:rsidRPr="00F25E60" w:rsidRDefault="00F25E60" w:rsidP="00CF1E7D">
      <w:pPr>
        <w:numPr>
          <w:ilvl w:val="0"/>
          <w:numId w:val="104"/>
        </w:numPr>
        <w:overflowPunct w:val="0"/>
        <w:autoSpaceDE w:val="0"/>
        <w:autoSpaceDN w:val="0"/>
        <w:adjustRightInd w:val="0"/>
        <w:spacing w:line="240" w:lineRule="auto"/>
        <w:jc w:val="both"/>
        <w:textAlignment w:val="baseline"/>
        <w:rPr>
          <w:rFonts w:cs="Arial"/>
          <w:szCs w:val="20"/>
        </w:rPr>
      </w:pPr>
      <w:r w:rsidRPr="00F25E60">
        <w:rPr>
          <w:rFonts w:cs="Arial"/>
          <w:szCs w:val="20"/>
        </w:rPr>
        <w:t>uzupełnienie zniszczonych w czasie robót istniejących elementów drogowych lub terenowych,</w:t>
      </w:r>
    </w:p>
    <w:p w14:paraId="482EFEA8"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roboty porządkujące otoczenie terenu robót,</w:t>
      </w:r>
    </w:p>
    <w:p w14:paraId="4DEC4D9E"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usunięcie oznakowania drogi wprowadzonego na okres robót.</w:t>
      </w:r>
    </w:p>
    <w:p w14:paraId="7D6A9763" w14:textId="77777777" w:rsidR="00F25E60" w:rsidRPr="00F25E60" w:rsidRDefault="00F25E60" w:rsidP="00F25E60">
      <w:pPr>
        <w:pStyle w:val="Nagwek1"/>
        <w:spacing w:line="240" w:lineRule="auto"/>
        <w:rPr>
          <w:rFonts w:cs="Arial"/>
          <w:szCs w:val="20"/>
        </w:rPr>
      </w:pPr>
      <w:bookmarkStart w:id="908" w:name="_Toc348096811"/>
      <w:r w:rsidRPr="00F25E60">
        <w:rPr>
          <w:rFonts w:cs="Arial"/>
          <w:szCs w:val="20"/>
        </w:rPr>
        <w:t>6. Kontrola jakości robót</w:t>
      </w:r>
      <w:bookmarkEnd w:id="908"/>
    </w:p>
    <w:p w14:paraId="7D3EADDE" w14:textId="77777777" w:rsidR="00F25E60" w:rsidRPr="00F25E60" w:rsidRDefault="00F25E60" w:rsidP="00F25E60">
      <w:pPr>
        <w:pStyle w:val="Nagwek2"/>
        <w:numPr>
          <w:ilvl w:val="12"/>
          <w:numId w:val="0"/>
        </w:numPr>
        <w:spacing w:line="240" w:lineRule="auto"/>
        <w:rPr>
          <w:rFonts w:cs="Arial"/>
          <w:szCs w:val="20"/>
        </w:rPr>
      </w:pPr>
      <w:r w:rsidRPr="00F25E60">
        <w:rPr>
          <w:rFonts w:cs="Arial"/>
          <w:szCs w:val="20"/>
        </w:rPr>
        <w:t>6.1. Ogólne zasady kontroli jakości robót</w:t>
      </w:r>
    </w:p>
    <w:p w14:paraId="68A1160E" w14:textId="597D2C93" w:rsidR="00F25E60" w:rsidRPr="00F25E60" w:rsidRDefault="00F25E60" w:rsidP="00F25E60">
      <w:pPr>
        <w:numPr>
          <w:ilvl w:val="12"/>
          <w:numId w:val="0"/>
        </w:numPr>
        <w:spacing w:line="240" w:lineRule="auto"/>
        <w:rPr>
          <w:rFonts w:cs="Arial"/>
          <w:szCs w:val="20"/>
        </w:rPr>
      </w:pPr>
      <w:r w:rsidRPr="00F25E60">
        <w:rPr>
          <w:rFonts w:cs="Arial"/>
          <w:szCs w:val="20"/>
        </w:rPr>
        <w:tab/>
        <w:t xml:space="preserve">Ogólne zasady kontroli jakości robót podano w </w:t>
      </w:r>
      <w:r w:rsidR="00C968CE">
        <w:rPr>
          <w:rFonts w:cs="Arial"/>
          <w:szCs w:val="20"/>
        </w:rPr>
        <w:t>S</w:t>
      </w:r>
      <w:r w:rsidRPr="00F25E60">
        <w:rPr>
          <w:rFonts w:cs="Arial"/>
          <w:szCs w:val="20"/>
        </w:rPr>
        <w:t>ST   D-M-00.00.00 „Wymagania ogólne” [1], pkt 6.</w:t>
      </w:r>
    </w:p>
    <w:p w14:paraId="06D81365" w14:textId="77777777" w:rsidR="00F25E60" w:rsidRPr="00F25E60" w:rsidRDefault="00F25E60" w:rsidP="00F25E60">
      <w:pPr>
        <w:pStyle w:val="Nagwek2"/>
        <w:numPr>
          <w:ilvl w:val="12"/>
          <w:numId w:val="0"/>
        </w:numPr>
        <w:spacing w:line="240" w:lineRule="auto"/>
        <w:rPr>
          <w:rFonts w:cs="Arial"/>
          <w:szCs w:val="20"/>
        </w:rPr>
      </w:pPr>
      <w:r w:rsidRPr="00F25E60">
        <w:rPr>
          <w:rFonts w:cs="Arial"/>
          <w:szCs w:val="20"/>
        </w:rPr>
        <w:t>6.2. Badania przed przystąpieniem do robót</w:t>
      </w:r>
    </w:p>
    <w:p w14:paraId="2A6CCA48" w14:textId="77777777" w:rsidR="00F25E60" w:rsidRPr="00F25E60" w:rsidRDefault="00F25E60" w:rsidP="00F25E60">
      <w:pPr>
        <w:numPr>
          <w:ilvl w:val="12"/>
          <w:numId w:val="0"/>
        </w:numPr>
        <w:spacing w:line="240" w:lineRule="auto"/>
        <w:rPr>
          <w:rFonts w:cs="Arial"/>
          <w:szCs w:val="20"/>
        </w:rPr>
      </w:pPr>
      <w:r w:rsidRPr="00F25E60">
        <w:rPr>
          <w:rFonts w:cs="Arial"/>
          <w:szCs w:val="20"/>
        </w:rPr>
        <w:tab/>
        <w:t>Przed przystąpieniem do robót Wykonawca powinien:</w:t>
      </w:r>
    </w:p>
    <w:p w14:paraId="2A98F5AA"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lastRenderedPageBreak/>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9153580" w14:textId="6BD5D23E"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 xml:space="preserve">wykonać badania kruszyw przeznaczonych do wykonania robót, obejmujące wszystkie właściwości określone w tablicy 1 niniejszej </w:t>
      </w:r>
      <w:r w:rsidR="00C968CE">
        <w:rPr>
          <w:rFonts w:cs="Arial"/>
          <w:szCs w:val="20"/>
        </w:rPr>
        <w:t>S</w:t>
      </w:r>
      <w:r w:rsidRPr="00F25E60">
        <w:rPr>
          <w:rFonts w:cs="Arial"/>
          <w:szCs w:val="20"/>
        </w:rPr>
        <w:t>ST.</w:t>
      </w:r>
    </w:p>
    <w:p w14:paraId="4DB258EC" w14:textId="77777777" w:rsidR="00F25E60" w:rsidRPr="00F25E60" w:rsidRDefault="00F25E60" w:rsidP="00F25E60">
      <w:pPr>
        <w:numPr>
          <w:ilvl w:val="12"/>
          <w:numId w:val="0"/>
        </w:numPr>
        <w:spacing w:line="240" w:lineRule="auto"/>
        <w:rPr>
          <w:rFonts w:cs="Arial"/>
          <w:szCs w:val="20"/>
        </w:rPr>
      </w:pPr>
      <w:r w:rsidRPr="00F25E60">
        <w:rPr>
          <w:rFonts w:cs="Arial"/>
          <w:szCs w:val="20"/>
        </w:rPr>
        <w:tab/>
        <w:t>Wszystkie dokumenty oraz wyniki badań Wykonawca przedstawia Inżynierowi do akceptacji.</w:t>
      </w:r>
    </w:p>
    <w:p w14:paraId="4E0A4561" w14:textId="77777777" w:rsidR="00F25E60" w:rsidRPr="00F25E60" w:rsidRDefault="00F25E60" w:rsidP="00F25E60">
      <w:pPr>
        <w:pStyle w:val="Nagwek2"/>
        <w:numPr>
          <w:ilvl w:val="12"/>
          <w:numId w:val="0"/>
        </w:numPr>
        <w:spacing w:line="240" w:lineRule="auto"/>
        <w:rPr>
          <w:rFonts w:cs="Arial"/>
          <w:szCs w:val="20"/>
        </w:rPr>
      </w:pPr>
      <w:r w:rsidRPr="00F25E60">
        <w:rPr>
          <w:rFonts w:cs="Arial"/>
          <w:szCs w:val="20"/>
        </w:rPr>
        <w:t>6.3. Badania w czasie robót</w:t>
      </w:r>
    </w:p>
    <w:p w14:paraId="7B146670" w14:textId="77777777" w:rsidR="00F25E60" w:rsidRPr="00F25E60" w:rsidRDefault="00F25E60" w:rsidP="00F25E60">
      <w:pPr>
        <w:numPr>
          <w:ilvl w:val="12"/>
          <w:numId w:val="0"/>
        </w:numPr>
        <w:spacing w:line="240" w:lineRule="auto"/>
        <w:rPr>
          <w:rFonts w:cs="Arial"/>
          <w:szCs w:val="20"/>
        </w:rPr>
      </w:pPr>
      <w:r w:rsidRPr="00F25E60">
        <w:rPr>
          <w:rFonts w:cs="Arial"/>
          <w:szCs w:val="20"/>
        </w:rPr>
        <w:tab/>
        <w:t xml:space="preserve">Częstotliwość oraz zakres badań i pomiarów, które należy wykonać w czasie robót podaje tablica 5. </w:t>
      </w:r>
    </w:p>
    <w:p w14:paraId="58AACC79" w14:textId="77777777" w:rsidR="00F25E60" w:rsidRPr="00F25E60" w:rsidRDefault="00F25E60" w:rsidP="00F25E60">
      <w:pPr>
        <w:numPr>
          <w:ilvl w:val="12"/>
          <w:numId w:val="0"/>
        </w:numPr>
        <w:spacing w:before="120" w:after="120" w:line="240" w:lineRule="auto"/>
        <w:rPr>
          <w:rFonts w:cs="Arial"/>
          <w:szCs w:val="20"/>
        </w:rPr>
      </w:pPr>
      <w:r w:rsidRPr="00F25E60">
        <w:rPr>
          <w:rFonts w:cs="Arial"/>
          <w:szCs w:val="20"/>
        </w:rPr>
        <w:t>Tablica 5.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F25E60" w:rsidRPr="00F25E60" w14:paraId="0CC8E1F6" w14:textId="77777777" w:rsidTr="007B6855">
        <w:tc>
          <w:tcPr>
            <w:tcW w:w="496" w:type="dxa"/>
            <w:tcBorders>
              <w:bottom w:val="single" w:sz="4" w:space="0" w:color="auto"/>
            </w:tcBorders>
          </w:tcPr>
          <w:p w14:paraId="2B732C7A" w14:textId="77777777" w:rsidR="00F25E60" w:rsidRPr="00F25E60" w:rsidRDefault="00F25E60" w:rsidP="00F25E60">
            <w:pPr>
              <w:numPr>
                <w:ilvl w:val="12"/>
                <w:numId w:val="0"/>
              </w:numPr>
              <w:spacing w:before="60" w:after="60" w:line="240" w:lineRule="auto"/>
              <w:jc w:val="center"/>
              <w:rPr>
                <w:rFonts w:cs="Arial"/>
                <w:szCs w:val="20"/>
              </w:rPr>
            </w:pPr>
            <w:r w:rsidRPr="00F25E60">
              <w:rPr>
                <w:rFonts w:cs="Arial"/>
                <w:szCs w:val="20"/>
              </w:rPr>
              <w:t>Lp.</w:t>
            </w:r>
          </w:p>
        </w:tc>
        <w:tc>
          <w:tcPr>
            <w:tcW w:w="3534" w:type="dxa"/>
            <w:tcBorders>
              <w:bottom w:val="single" w:sz="4" w:space="0" w:color="auto"/>
            </w:tcBorders>
          </w:tcPr>
          <w:p w14:paraId="7C7E1B15" w14:textId="77777777" w:rsidR="00F25E60" w:rsidRPr="00F25E60" w:rsidRDefault="00F25E60" w:rsidP="00F25E60">
            <w:pPr>
              <w:numPr>
                <w:ilvl w:val="12"/>
                <w:numId w:val="0"/>
              </w:numPr>
              <w:spacing w:before="60" w:after="60" w:line="240" w:lineRule="auto"/>
              <w:jc w:val="center"/>
              <w:rPr>
                <w:rFonts w:cs="Arial"/>
                <w:szCs w:val="20"/>
              </w:rPr>
            </w:pPr>
            <w:r w:rsidRPr="00F25E60">
              <w:rPr>
                <w:rFonts w:cs="Arial"/>
                <w:szCs w:val="20"/>
              </w:rPr>
              <w:t>Wyszczególnienie robót</w:t>
            </w:r>
          </w:p>
        </w:tc>
        <w:tc>
          <w:tcPr>
            <w:tcW w:w="2204" w:type="dxa"/>
            <w:tcBorders>
              <w:bottom w:val="single" w:sz="4" w:space="0" w:color="auto"/>
            </w:tcBorders>
          </w:tcPr>
          <w:p w14:paraId="0CE201DF" w14:textId="77777777" w:rsidR="00F25E60" w:rsidRPr="00F25E60" w:rsidRDefault="00F25E60" w:rsidP="00F25E60">
            <w:pPr>
              <w:numPr>
                <w:ilvl w:val="12"/>
                <w:numId w:val="0"/>
              </w:numPr>
              <w:spacing w:before="60" w:after="60" w:line="240" w:lineRule="auto"/>
              <w:jc w:val="center"/>
              <w:rPr>
                <w:rFonts w:cs="Arial"/>
                <w:szCs w:val="20"/>
              </w:rPr>
            </w:pPr>
            <w:r w:rsidRPr="00F25E60">
              <w:rPr>
                <w:rFonts w:cs="Arial"/>
                <w:szCs w:val="20"/>
              </w:rPr>
              <w:t>Częstotliwość badań</w:t>
            </w:r>
          </w:p>
        </w:tc>
        <w:tc>
          <w:tcPr>
            <w:tcW w:w="2693" w:type="dxa"/>
            <w:tcBorders>
              <w:bottom w:val="single" w:sz="4" w:space="0" w:color="auto"/>
            </w:tcBorders>
          </w:tcPr>
          <w:p w14:paraId="556E8A9F" w14:textId="77777777" w:rsidR="00F25E60" w:rsidRPr="00F25E60" w:rsidRDefault="00F25E60" w:rsidP="00F25E60">
            <w:pPr>
              <w:numPr>
                <w:ilvl w:val="12"/>
                <w:numId w:val="0"/>
              </w:numPr>
              <w:spacing w:before="60" w:after="60" w:line="240" w:lineRule="auto"/>
              <w:jc w:val="center"/>
              <w:rPr>
                <w:rFonts w:cs="Arial"/>
                <w:szCs w:val="20"/>
              </w:rPr>
            </w:pPr>
            <w:r w:rsidRPr="00F25E60">
              <w:rPr>
                <w:rFonts w:cs="Arial"/>
                <w:szCs w:val="20"/>
              </w:rPr>
              <w:t>Wartości dopuszczalne</w:t>
            </w:r>
          </w:p>
        </w:tc>
      </w:tr>
      <w:tr w:rsidR="00F25E60" w:rsidRPr="00F25E60" w14:paraId="71FA5420" w14:textId="77777777" w:rsidTr="007B6855">
        <w:tc>
          <w:tcPr>
            <w:tcW w:w="496" w:type="dxa"/>
            <w:tcBorders>
              <w:top w:val="single" w:sz="4" w:space="0" w:color="auto"/>
            </w:tcBorders>
            <w:vAlign w:val="center"/>
          </w:tcPr>
          <w:p w14:paraId="119158EF" w14:textId="77777777" w:rsidR="00F25E60" w:rsidRPr="00F25E60" w:rsidRDefault="00F25E60" w:rsidP="00F25E60">
            <w:pPr>
              <w:numPr>
                <w:ilvl w:val="12"/>
                <w:numId w:val="0"/>
              </w:numPr>
              <w:spacing w:line="240" w:lineRule="auto"/>
              <w:jc w:val="center"/>
              <w:rPr>
                <w:rFonts w:cs="Arial"/>
                <w:szCs w:val="20"/>
              </w:rPr>
            </w:pPr>
            <w:r w:rsidRPr="00F25E60">
              <w:rPr>
                <w:rFonts w:cs="Arial"/>
                <w:szCs w:val="20"/>
              </w:rPr>
              <w:t>1</w:t>
            </w:r>
          </w:p>
        </w:tc>
        <w:tc>
          <w:tcPr>
            <w:tcW w:w="3534" w:type="dxa"/>
            <w:tcBorders>
              <w:top w:val="single" w:sz="4" w:space="0" w:color="auto"/>
            </w:tcBorders>
            <w:vAlign w:val="center"/>
          </w:tcPr>
          <w:p w14:paraId="100D9601" w14:textId="77777777" w:rsidR="00F25E60" w:rsidRPr="00F25E60" w:rsidRDefault="00F25E60" w:rsidP="00F25E60">
            <w:pPr>
              <w:numPr>
                <w:ilvl w:val="12"/>
                <w:numId w:val="0"/>
              </w:numPr>
              <w:spacing w:line="240" w:lineRule="auto"/>
              <w:rPr>
                <w:rFonts w:cs="Arial"/>
                <w:szCs w:val="20"/>
              </w:rPr>
            </w:pPr>
            <w:r w:rsidRPr="00F25E60">
              <w:rPr>
                <w:rFonts w:cs="Arial"/>
                <w:szCs w:val="20"/>
              </w:rPr>
              <w:t>Lokalizacja i zgodność granic terenu robót z dokumentacją projektową</w:t>
            </w:r>
          </w:p>
        </w:tc>
        <w:tc>
          <w:tcPr>
            <w:tcW w:w="2204" w:type="dxa"/>
            <w:tcBorders>
              <w:top w:val="single" w:sz="4" w:space="0" w:color="auto"/>
            </w:tcBorders>
            <w:vAlign w:val="center"/>
          </w:tcPr>
          <w:p w14:paraId="74405B48" w14:textId="77777777" w:rsidR="00F25E60" w:rsidRPr="00F25E60" w:rsidRDefault="00F25E60" w:rsidP="00F25E60">
            <w:pPr>
              <w:numPr>
                <w:ilvl w:val="12"/>
                <w:numId w:val="0"/>
              </w:numPr>
              <w:spacing w:line="240" w:lineRule="auto"/>
              <w:jc w:val="center"/>
              <w:rPr>
                <w:rFonts w:cs="Arial"/>
                <w:szCs w:val="20"/>
              </w:rPr>
            </w:pPr>
            <w:r w:rsidRPr="00F25E60">
              <w:rPr>
                <w:rFonts w:cs="Arial"/>
                <w:szCs w:val="20"/>
              </w:rPr>
              <w:t>1 raz</w:t>
            </w:r>
          </w:p>
        </w:tc>
        <w:tc>
          <w:tcPr>
            <w:tcW w:w="2693" w:type="dxa"/>
            <w:tcBorders>
              <w:top w:val="single" w:sz="4" w:space="0" w:color="auto"/>
            </w:tcBorders>
            <w:vAlign w:val="center"/>
          </w:tcPr>
          <w:p w14:paraId="63FADED4" w14:textId="77777777" w:rsidR="00F25E60" w:rsidRPr="00F25E60" w:rsidRDefault="00F25E60" w:rsidP="00F25E60">
            <w:pPr>
              <w:numPr>
                <w:ilvl w:val="12"/>
                <w:numId w:val="0"/>
              </w:numPr>
              <w:spacing w:line="240" w:lineRule="auto"/>
              <w:jc w:val="center"/>
              <w:rPr>
                <w:rFonts w:cs="Arial"/>
                <w:szCs w:val="20"/>
              </w:rPr>
            </w:pPr>
            <w:r w:rsidRPr="00F25E60">
              <w:rPr>
                <w:rFonts w:cs="Arial"/>
                <w:szCs w:val="20"/>
              </w:rPr>
              <w:t xml:space="preserve">Wg </w:t>
            </w:r>
            <w:proofErr w:type="spellStart"/>
            <w:r w:rsidRPr="00F25E60">
              <w:rPr>
                <w:rFonts w:cs="Arial"/>
                <w:szCs w:val="20"/>
              </w:rPr>
              <w:t>pktu</w:t>
            </w:r>
            <w:proofErr w:type="spellEnd"/>
            <w:r w:rsidRPr="00F25E60">
              <w:rPr>
                <w:rFonts w:cs="Arial"/>
                <w:szCs w:val="20"/>
              </w:rPr>
              <w:t xml:space="preserve"> 5 </w:t>
            </w:r>
          </w:p>
          <w:p w14:paraId="2A4346A8" w14:textId="77777777" w:rsidR="00F25E60" w:rsidRPr="00F25E60" w:rsidRDefault="00F25E60" w:rsidP="00F25E60">
            <w:pPr>
              <w:numPr>
                <w:ilvl w:val="12"/>
                <w:numId w:val="0"/>
              </w:numPr>
              <w:spacing w:line="240" w:lineRule="auto"/>
              <w:jc w:val="center"/>
              <w:rPr>
                <w:rFonts w:cs="Arial"/>
                <w:szCs w:val="20"/>
              </w:rPr>
            </w:pPr>
            <w:r w:rsidRPr="00F25E60">
              <w:rPr>
                <w:rFonts w:cs="Arial"/>
                <w:szCs w:val="20"/>
              </w:rPr>
              <w:t xml:space="preserve">i dokumentacji projektowej </w:t>
            </w:r>
          </w:p>
        </w:tc>
      </w:tr>
      <w:tr w:rsidR="00F25E60" w:rsidRPr="00F25E60" w14:paraId="4B5C058B" w14:textId="77777777" w:rsidTr="007B6855">
        <w:tc>
          <w:tcPr>
            <w:tcW w:w="496" w:type="dxa"/>
            <w:vAlign w:val="center"/>
          </w:tcPr>
          <w:p w14:paraId="2B7A3933"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2</w:t>
            </w:r>
          </w:p>
        </w:tc>
        <w:tc>
          <w:tcPr>
            <w:tcW w:w="3534" w:type="dxa"/>
            <w:vAlign w:val="center"/>
          </w:tcPr>
          <w:p w14:paraId="0AF130D3"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Roboty przygotowawcze</w:t>
            </w:r>
          </w:p>
        </w:tc>
        <w:tc>
          <w:tcPr>
            <w:tcW w:w="2204" w:type="dxa"/>
            <w:vAlign w:val="center"/>
          </w:tcPr>
          <w:p w14:paraId="61EAB337"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Ocena ciągła</w:t>
            </w:r>
          </w:p>
        </w:tc>
        <w:tc>
          <w:tcPr>
            <w:tcW w:w="2693" w:type="dxa"/>
            <w:vAlign w:val="center"/>
          </w:tcPr>
          <w:p w14:paraId="03EA3766"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 xml:space="preserve">Wg </w:t>
            </w:r>
            <w:proofErr w:type="spellStart"/>
            <w:r w:rsidRPr="00F25E60">
              <w:rPr>
                <w:rFonts w:cs="Arial"/>
                <w:szCs w:val="20"/>
              </w:rPr>
              <w:t>pktu</w:t>
            </w:r>
            <w:proofErr w:type="spellEnd"/>
            <w:r w:rsidRPr="00F25E60">
              <w:rPr>
                <w:rFonts w:cs="Arial"/>
                <w:szCs w:val="20"/>
              </w:rPr>
              <w:t xml:space="preserve"> 5.3</w:t>
            </w:r>
          </w:p>
        </w:tc>
      </w:tr>
      <w:tr w:rsidR="00F25E60" w:rsidRPr="00F25E60" w14:paraId="546ADD90" w14:textId="77777777" w:rsidTr="007B6855">
        <w:tc>
          <w:tcPr>
            <w:tcW w:w="496" w:type="dxa"/>
            <w:vAlign w:val="center"/>
          </w:tcPr>
          <w:p w14:paraId="244D75E5"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3</w:t>
            </w:r>
          </w:p>
        </w:tc>
        <w:tc>
          <w:tcPr>
            <w:tcW w:w="3534" w:type="dxa"/>
            <w:vAlign w:val="center"/>
          </w:tcPr>
          <w:p w14:paraId="4AB0A835"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Właściwości kruszywa</w:t>
            </w:r>
          </w:p>
        </w:tc>
        <w:tc>
          <w:tcPr>
            <w:tcW w:w="2204" w:type="dxa"/>
            <w:vAlign w:val="center"/>
          </w:tcPr>
          <w:p w14:paraId="7631E72C"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Dla każdej partii kruszywa  i przy każdej zmianie kruszywa</w:t>
            </w:r>
          </w:p>
        </w:tc>
        <w:tc>
          <w:tcPr>
            <w:tcW w:w="2693" w:type="dxa"/>
            <w:vAlign w:val="center"/>
          </w:tcPr>
          <w:p w14:paraId="737E6EBA"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Wg tablicy 1</w:t>
            </w:r>
          </w:p>
        </w:tc>
      </w:tr>
      <w:tr w:rsidR="00F25E60" w:rsidRPr="00F25E60" w14:paraId="7C014AF2" w14:textId="77777777" w:rsidTr="007B6855">
        <w:tc>
          <w:tcPr>
            <w:tcW w:w="496" w:type="dxa"/>
            <w:vAlign w:val="center"/>
          </w:tcPr>
          <w:p w14:paraId="22C2D13B"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4</w:t>
            </w:r>
          </w:p>
        </w:tc>
        <w:tc>
          <w:tcPr>
            <w:tcW w:w="3534" w:type="dxa"/>
            <w:vAlign w:val="center"/>
          </w:tcPr>
          <w:p w14:paraId="26E177D6"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Uziarnienie mieszanki</w:t>
            </w:r>
          </w:p>
        </w:tc>
        <w:tc>
          <w:tcPr>
            <w:tcW w:w="2204" w:type="dxa"/>
            <w:vAlign w:val="center"/>
          </w:tcPr>
          <w:p w14:paraId="32BF1772"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 xml:space="preserve">2 razy na dziennej działce roboczej  </w:t>
            </w:r>
          </w:p>
        </w:tc>
        <w:tc>
          <w:tcPr>
            <w:tcW w:w="2693" w:type="dxa"/>
            <w:vAlign w:val="center"/>
          </w:tcPr>
          <w:p w14:paraId="67F34DEC"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Wg tablicy 4</w:t>
            </w:r>
          </w:p>
        </w:tc>
      </w:tr>
      <w:tr w:rsidR="00F25E60" w:rsidRPr="00F25E60" w14:paraId="74408090" w14:textId="77777777" w:rsidTr="007B6855">
        <w:tc>
          <w:tcPr>
            <w:tcW w:w="496" w:type="dxa"/>
            <w:vAlign w:val="center"/>
          </w:tcPr>
          <w:p w14:paraId="58A51B8D"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5</w:t>
            </w:r>
          </w:p>
        </w:tc>
        <w:tc>
          <w:tcPr>
            <w:tcW w:w="3534" w:type="dxa"/>
            <w:vAlign w:val="center"/>
          </w:tcPr>
          <w:p w14:paraId="511ED0F4"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Wilgotność mieszanki</w:t>
            </w:r>
          </w:p>
        </w:tc>
        <w:tc>
          <w:tcPr>
            <w:tcW w:w="2204" w:type="dxa"/>
            <w:vAlign w:val="center"/>
          </w:tcPr>
          <w:p w14:paraId="26430D97"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c>
          <w:tcPr>
            <w:tcW w:w="2693" w:type="dxa"/>
            <w:vAlign w:val="center"/>
          </w:tcPr>
          <w:p w14:paraId="756D1160"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r>
      <w:tr w:rsidR="00F25E60" w:rsidRPr="00F25E60" w14:paraId="6129FDD4" w14:textId="77777777" w:rsidTr="007B6855">
        <w:tc>
          <w:tcPr>
            <w:tcW w:w="496" w:type="dxa"/>
            <w:vAlign w:val="center"/>
          </w:tcPr>
          <w:p w14:paraId="69911BB5"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6</w:t>
            </w:r>
          </w:p>
        </w:tc>
        <w:tc>
          <w:tcPr>
            <w:tcW w:w="3534" w:type="dxa"/>
            <w:vAlign w:val="center"/>
          </w:tcPr>
          <w:p w14:paraId="7EE0D148"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Zawartość pyłów w mieszance</w:t>
            </w:r>
          </w:p>
        </w:tc>
        <w:tc>
          <w:tcPr>
            <w:tcW w:w="2204" w:type="dxa"/>
            <w:vAlign w:val="center"/>
          </w:tcPr>
          <w:p w14:paraId="11C9B1E4"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c>
          <w:tcPr>
            <w:tcW w:w="2693" w:type="dxa"/>
            <w:vAlign w:val="center"/>
          </w:tcPr>
          <w:p w14:paraId="01BA3FB0"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r>
      <w:tr w:rsidR="00F25E60" w:rsidRPr="00F25E60" w14:paraId="7C46FB1F" w14:textId="77777777" w:rsidTr="007B6855">
        <w:tc>
          <w:tcPr>
            <w:tcW w:w="496" w:type="dxa"/>
            <w:vAlign w:val="center"/>
          </w:tcPr>
          <w:p w14:paraId="22FBA561"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7</w:t>
            </w:r>
          </w:p>
        </w:tc>
        <w:tc>
          <w:tcPr>
            <w:tcW w:w="3534" w:type="dxa"/>
            <w:vAlign w:val="center"/>
          </w:tcPr>
          <w:p w14:paraId="2B045248"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Zawartość nadziarna w mieszance</w:t>
            </w:r>
          </w:p>
        </w:tc>
        <w:tc>
          <w:tcPr>
            <w:tcW w:w="2204" w:type="dxa"/>
            <w:vAlign w:val="center"/>
          </w:tcPr>
          <w:p w14:paraId="5FD5580A"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c>
          <w:tcPr>
            <w:tcW w:w="2693" w:type="dxa"/>
            <w:vAlign w:val="center"/>
          </w:tcPr>
          <w:p w14:paraId="169F6734"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r>
      <w:tr w:rsidR="00F25E60" w:rsidRPr="00F25E60" w14:paraId="043F4A23" w14:textId="77777777" w:rsidTr="007B6855">
        <w:tc>
          <w:tcPr>
            <w:tcW w:w="496" w:type="dxa"/>
            <w:vAlign w:val="center"/>
          </w:tcPr>
          <w:p w14:paraId="4A1CCE2B"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8</w:t>
            </w:r>
          </w:p>
        </w:tc>
        <w:tc>
          <w:tcPr>
            <w:tcW w:w="3534" w:type="dxa"/>
            <w:vAlign w:val="center"/>
          </w:tcPr>
          <w:p w14:paraId="4E1E35D7"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Wrażliwość mieszanki na mróz, wskaźnik piaskowy</w:t>
            </w:r>
          </w:p>
        </w:tc>
        <w:tc>
          <w:tcPr>
            <w:tcW w:w="2204" w:type="dxa"/>
            <w:vAlign w:val="center"/>
          </w:tcPr>
          <w:p w14:paraId="78045A5C"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c>
          <w:tcPr>
            <w:tcW w:w="2693" w:type="dxa"/>
            <w:vAlign w:val="center"/>
          </w:tcPr>
          <w:p w14:paraId="5A0B72C8"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r>
      <w:tr w:rsidR="00F25E60" w:rsidRPr="00F25E60" w14:paraId="1259CBA1" w14:textId="77777777" w:rsidTr="007B6855">
        <w:tc>
          <w:tcPr>
            <w:tcW w:w="496" w:type="dxa"/>
            <w:vAlign w:val="center"/>
          </w:tcPr>
          <w:p w14:paraId="0B0BCE46"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9</w:t>
            </w:r>
          </w:p>
        </w:tc>
        <w:tc>
          <w:tcPr>
            <w:tcW w:w="3534" w:type="dxa"/>
            <w:vAlign w:val="center"/>
          </w:tcPr>
          <w:p w14:paraId="5EF517B0"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Zawartość wody w mieszance</w:t>
            </w:r>
          </w:p>
        </w:tc>
        <w:tc>
          <w:tcPr>
            <w:tcW w:w="2204" w:type="dxa"/>
            <w:vAlign w:val="center"/>
          </w:tcPr>
          <w:p w14:paraId="7B9AA6FB"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c>
          <w:tcPr>
            <w:tcW w:w="2693" w:type="dxa"/>
            <w:vAlign w:val="center"/>
          </w:tcPr>
          <w:p w14:paraId="7704E889"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r>
      <w:tr w:rsidR="00F25E60" w:rsidRPr="00F25E60" w14:paraId="02F00953" w14:textId="77777777" w:rsidTr="007B6855">
        <w:tc>
          <w:tcPr>
            <w:tcW w:w="496" w:type="dxa"/>
            <w:vAlign w:val="center"/>
          </w:tcPr>
          <w:p w14:paraId="19E59CB5"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10</w:t>
            </w:r>
          </w:p>
        </w:tc>
        <w:tc>
          <w:tcPr>
            <w:tcW w:w="3534" w:type="dxa"/>
            <w:vAlign w:val="center"/>
          </w:tcPr>
          <w:p w14:paraId="18B98E98"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Wartość CBR po zagęszczeniu mieszanki</w:t>
            </w:r>
          </w:p>
        </w:tc>
        <w:tc>
          <w:tcPr>
            <w:tcW w:w="2204" w:type="dxa"/>
            <w:vAlign w:val="center"/>
          </w:tcPr>
          <w:p w14:paraId="21A01199" w14:textId="77777777" w:rsidR="00F25E60" w:rsidRPr="00F25E60" w:rsidRDefault="00F25E60" w:rsidP="00F25E60">
            <w:pPr>
              <w:numPr>
                <w:ilvl w:val="12"/>
                <w:numId w:val="0"/>
              </w:numPr>
              <w:spacing w:afterLines="20" w:after="48" w:line="240" w:lineRule="auto"/>
              <w:jc w:val="center"/>
              <w:rPr>
                <w:rFonts w:cs="Arial"/>
                <w:szCs w:val="20"/>
                <w:vertAlign w:val="superscript"/>
              </w:rPr>
            </w:pPr>
            <w:r w:rsidRPr="00F25E60">
              <w:rPr>
                <w:rFonts w:cs="Arial"/>
                <w:szCs w:val="20"/>
              </w:rPr>
              <w:t xml:space="preserve">10 próbek </w:t>
            </w:r>
            <w:r w:rsidRPr="00F25E60">
              <w:rPr>
                <w:rFonts w:cs="Arial"/>
                <w:szCs w:val="20"/>
              </w:rPr>
              <w:br/>
              <w:t xml:space="preserve">na </w:t>
            </w:r>
            <w:smartTag w:uri="urn:schemas-microsoft-com:office:smarttags" w:element="metricconverter">
              <w:smartTagPr>
                <w:attr w:name="ProductID" w:val="10ﾠ000 m2"/>
              </w:smartTagPr>
              <w:r w:rsidRPr="00F25E60">
                <w:rPr>
                  <w:rFonts w:cs="Arial"/>
                  <w:szCs w:val="20"/>
                </w:rPr>
                <w:t>10 000 m</w:t>
              </w:r>
              <w:r w:rsidRPr="00F25E60">
                <w:rPr>
                  <w:rFonts w:cs="Arial"/>
                  <w:szCs w:val="20"/>
                  <w:vertAlign w:val="superscript"/>
                </w:rPr>
                <w:t>2</w:t>
              </w:r>
            </w:smartTag>
          </w:p>
        </w:tc>
        <w:tc>
          <w:tcPr>
            <w:tcW w:w="2693" w:type="dxa"/>
            <w:vAlign w:val="center"/>
          </w:tcPr>
          <w:p w14:paraId="14CFCCC9"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r>
      <w:tr w:rsidR="00F25E60" w:rsidRPr="00F25E60" w14:paraId="1F659185" w14:textId="77777777" w:rsidTr="007B6855">
        <w:tc>
          <w:tcPr>
            <w:tcW w:w="496" w:type="dxa"/>
            <w:vAlign w:val="center"/>
          </w:tcPr>
          <w:p w14:paraId="4DA26182"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11</w:t>
            </w:r>
          </w:p>
        </w:tc>
        <w:tc>
          <w:tcPr>
            <w:tcW w:w="3534" w:type="dxa"/>
            <w:vAlign w:val="center"/>
          </w:tcPr>
          <w:p w14:paraId="6983A672"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Inne właściwości mieszanki</w:t>
            </w:r>
          </w:p>
        </w:tc>
        <w:tc>
          <w:tcPr>
            <w:tcW w:w="2204" w:type="dxa"/>
            <w:vAlign w:val="center"/>
          </w:tcPr>
          <w:p w14:paraId="7A955BAC"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Wg ustalenia Inżyniera</w:t>
            </w:r>
          </w:p>
        </w:tc>
        <w:tc>
          <w:tcPr>
            <w:tcW w:w="2693" w:type="dxa"/>
            <w:vAlign w:val="center"/>
          </w:tcPr>
          <w:p w14:paraId="4EEAC3C7"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r>
      <w:tr w:rsidR="00F25E60" w:rsidRPr="00F25E60" w14:paraId="0A718185" w14:textId="77777777" w:rsidTr="007B6855">
        <w:tc>
          <w:tcPr>
            <w:tcW w:w="496" w:type="dxa"/>
            <w:vAlign w:val="center"/>
          </w:tcPr>
          <w:p w14:paraId="168C6832"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12</w:t>
            </w:r>
          </w:p>
        </w:tc>
        <w:tc>
          <w:tcPr>
            <w:tcW w:w="3534" w:type="dxa"/>
            <w:vAlign w:val="center"/>
          </w:tcPr>
          <w:p w14:paraId="23860794"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Cechy środowiskowe</w:t>
            </w:r>
          </w:p>
        </w:tc>
        <w:tc>
          <w:tcPr>
            <w:tcW w:w="2204" w:type="dxa"/>
            <w:vAlign w:val="center"/>
          </w:tcPr>
          <w:p w14:paraId="67DD8231"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Wg ustalenia Inżyniera</w:t>
            </w:r>
          </w:p>
        </w:tc>
        <w:tc>
          <w:tcPr>
            <w:tcW w:w="2693" w:type="dxa"/>
            <w:vAlign w:val="center"/>
          </w:tcPr>
          <w:p w14:paraId="37D8924E"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Jw.</w:t>
            </w:r>
          </w:p>
        </w:tc>
      </w:tr>
      <w:tr w:rsidR="00F25E60" w:rsidRPr="00F25E60" w14:paraId="29721AF6" w14:textId="77777777" w:rsidTr="007B6855">
        <w:tc>
          <w:tcPr>
            <w:tcW w:w="496" w:type="dxa"/>
            <w:vAlign w:val="center"/>
          </w:tcPr>
          <w:p w14:paraId="3F829439"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13</w:t>
            </w:r>
          </w:p>
        </w:tc>
        <w:tc>
          <w:tcPr>
            <w:tcW w:w="3534" w:type="dxa"/>
            <w:vAlign w:val="center"/>
          </w:tcPr>
          <w:p w14:paraId="0F7D1E6F" w14:textId="77777777" w:rsidR="00F25E60" w:rsidRPr="00F25E60" w:rsidRDefault="00F25E60" w:rsidP="00F25E60">
            <w:pPr>
              <w:numPr>
                <w:ilvl w:val="12"/>
                <w:numId w:val="0"/>
              </w:numPr>
              <w:spacing w:afterLines="20" w:after="48" w:line="240" w:lineRule="auto"/>
              <w:rPr>
                <w:rFonts w:cs="Arial"/>
                <w:szCs w:val="20"/>
              </w:rPr>
            </w:pPr>
            <w:r w:rsidRPr="00F25E60">
              <w:rPr>
                <w:rFonts w:cs="Arial"/>
                <w:szCs w:val="20"/>
              </w:rPr>
              <w:t>Roboty wykończeniowe</w:t>
            </w:r>
          </w:p>
        </w:tc>
        <w:tc>
          <w:tcPr>
            <w:tcW w:w="2204" w:type="dxa"/>
            <w:vAlign w:val="center"/>
          </w:tcPr>
          <w:p w14:paraId="4E0545FD"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Ocena ciągła</w:t>
            </w:r>
          </w:p>
        </w:tc>
        <w:tc>
          <w:tcPr>
            <w:tcW w:w="2693" w:type="dxa"/>
            <w:vAlign w:val="center"/>
          </w:tcPr>
          <w:p w14:paraId="3B5AE78F" w14:textId="77777777" w:rsidR="00F25E60" w:rsidRPr="00F25E60" w:rsidRDefault="00F25E60" w:rsidP="00F25E60">
            <w:pPr>
              <w:numPr>
                <w:ilvl w:val="12"/>
                <w:numId w:val="0"/>
              </w:numPr>
              <w:spacing w:afterLines="20" w:after="48" w:line="240" w:lineRule="auto"/>
              <w:jc w:val="center"/>
              <w:rPr>
                <w:rFonts w:cs="Arial"/>
                <w:szCs w:val="20"/>
              </w:rPr>
            </w:pPr>
            <w:r w:rsidRPr="00F25E60">
              <w:rPr>
                <w:rFonts w:cs="Arial"/>
                <w:szCs w:val="20"/>
              </w:rPr>
              <w:t xml:space="preserve">Wg </w:t>
            </w:r>
            <w:proofErr w:type="spellStart"/>
            <w:r w:rsidRPr="00F25E60">
              <w:rPr>
                <w:rFonts w:cs="Arial"/>
                <w:szCs w:val="20"/>
              </w:rPr>
              <w:t>pktu</w:t>
            </w:r>
            <w:proofErr w:type="spellEnd"/>
            <w:r w:rsidRPr="00F25E60">
              <w:rPr>
                <w:rFonts w:cs="Arial"/>
                <w:szCs w:val="20"/>
              </w:rPr>
              <w:t xml:space="preserve"> 5.11</w:t>
            </w:r>
          </w:p>
        </w:tc>
      </w:tr>
    </w:tbl>
    <w:p w14:paraId="19812A2F" w14:textId="77777777" w:rsidR="00F25E60" w:rsidRPr="00F25E60" w:rsidRDefault="00F25E60" w:rsidP="00F25E60">
      <w:pPr>
        <w:pStyle w:val="Nagwek2"/>
        <w:spacing w:before="240" w:line="240" w:lineRule="auto"/>
        <w:rPr>
          <w:rFonts w:cs="Arial"/>
          <w:szCs w:val="20"/>
        </w:rPr>
      </w:pPr>
      <w:r w:rsidRPr="00F25E60">
        <w:rPr>
          <w:rFonts w:cs="Arial"/>
          <w:szCs w:val="20"/>
        </w:rPr>
        <w:t>6.4. Wymagania dotyczące cech geometrycznych podbudowy pomocniczej</w:t>
      </w:r>
    </w:p>
    <w:p w14:paraId="0B3C0640" w14:textId="77777777" w:rsidR="00F25E60" w:rsidRPr="00F25E60" w:rsidRDefault="00F25E60" w:rsidP="00F25E60">
      <w:pPr>
        <w:spacing w:line="240" w:lineRule="auto"/>
        <w:ind w:firstLine="709"/>
        <w:rPr>
          <w:rFonts w:cs="Arial"/>
          <w:szCs w:val="20"/>
        </w:rPr>
      </w:pPr>
      <w:r w:rsidRPr="00F25E60">
        <w:rPr>
          <w:rFonts w:cs="Arial"/>
          <w:szCs w:val="20"/>
        </w:rPr>
        <w:t>Częstotliwość oraz zakres badań i pomiarów dotyczących cech geometrycznych warstwy z mieszanki niezwiązanej podaje tablica 6.</w:t>
      </w:r>
    </w:p>
    <w:p w14:paraId="18C86912" w14:textId="77777777" w:rsidR="00F25E60" w:rsidRPr="00F25E60" w:rsidRDefault="00F25E60" w:rsidP="00F25E60">
      <w:pPr>
        <w:keepNext/>
        <w:spacing w:before="60" w:after="120" w:line="240" w:lineRule="auto"/>
        <w:rPr>
          <w:rFonts w:cs="Arial"/>
          <w:szCs w:val="20"/>
        </w:rPr>
      </w:pPr>
      <w:r w:rsidRPr="00F25E60">
        <w:rPr>
          <w:rFonts w:cs="Arial"/>
          <w:szCs w:val="20"/>
        </w:rPr>
        <w:t>Tablica 6.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F25E60" w:rsidRPr="00F25E60" w14:paraId="106CE7B4" w14:textId="77777777" w:rsidTr="007B6855">
        <w:tc>
          <w:tcPr>
            <w:tcW w:w="496" w:type="dxa"/>
            <w:tcBorders>
              <w:top w:val="single" w:sz="4" w:space="0" w:color="auto"/>
              <w:left w:val="single" w:sz="4" w:space="0" w:color="auto"/>
              <w:bottom w:val="single" w:sz="4" w:space="0" w:color="auto"/>
            </w:tcBorders>
          </w:tcPr>
          <w:p w14:paraId="5B738445" w14:textId="77777777" w:rsidR="00F25E60" w:rsidRPr="00F25E60" w:rsidRDefault="00F25E60" w:rsidP="00F25E60">
            <w:pPr>
              <w:spacing w:line="240" w:lineRule="auto"/>
              <w:jc w:val="center"/>
              <w:rPr>
                <w:rFonts w:cs="Arial"/>
                <w:szCs w:val="20"/>
              </w:rPr>
            </w:pPr>
          </w:p>
          <w:p w14:paraId="79A635C3" w14:textId="77777777" w:rsidR="00F25E60" w:rsidRPr="00F25E60" w:rsidRDefault="00F25E60" w:rsidP="00F25E60">
            <w:pPr>
              <w:spacing w:line="240" w:lineRule="auto"/>
              <w:jc w:val="center"/>
              <w:rPr>
                <w:rFonts w:cs="Arial"/>
                <w:szCs w:val="20"/>
              </w:rPr>
            </w:pPr>
            <w:r w:rsidRPr="00F25E60">
              <w:rPr>
                <w:rFonts w:cs="Arial"/>
                <w:szCs w:val="20"/>
              </w:rPr>
              <w:t>Lp.</w:t>
            </w:r>
          </w:p>
        </w:tc>
        <w:tc>
          <w:tcPr>
            <w:tcW w:w="3414" w:type="dxa"/>
            <w:tcBorders>
              <w:top w:val="single" w:sz="4" w:space="0" w:color="auto"/>
              <w:bottom w:val="single" w:sz="4" w:space="0" w:color="auto"/>
              <w:right w:val="single" w:sz="4" w:space="0" w:color="auto"/>
            </w:tcBorders>
          </w:tcPr>
          <w:p w14:paraId="78696CDA" w14:textId="77777777" w:rsidR="00F25E60" w:rsidRPr="00F25E60" w:rsidRDefault="00F25E60" w:rsidP="00F25E60">
            <w:pPr>
              <w:spacing w:before="120" w:line="240" w:lineRule="auto"/>
              <w:ind w:left="215" w:right="312"/>
              <w:jc w:val="center"/>
              <w:rPr>
                <w:rFonts w:cs="Arial"/>
                <w:szCs w:val="20"/>
              </w:rPr>
            </w:pPr>
            <w:r w:rsidRPr="00F25E60">
              <w:rPr>
                <w:rFonts w:cs="Arial"/>
                <w:szCs w:val="20"/>
              </w:rPr>
              <w:t>Wyszczególnienie badań i pomiarów</w:t>
            </w:r>
          </w:p>
        </w:tc>
        <w:tc>
          <w:tcPr>
            <w:tcW w:w="2280" w:type="dxa"/>
            <w:tcBorders>
              <w:left w:val="single" w:sz="4" w:space="0" w:color="auto"/>
            </w:tcBorders>
            <w:shd w:val="clear" w:color="auto" w:fill="auto"/>
          </w:tcPr>
          <w:p w14:paraId="7F81E080" w14:textId="77777777" w:rsidR="00F25E60" w:rsidRPr="00F25E60" w:rsidRDefault="00F25E60" w:rsidP="00F25E60">
            <w:pPr>
              <w:spacing w:line="240" w:lineRule="auto"/>
              <w:jc w:val="center"/>
              <w:rPr>
                <w:rFonts w:cs="Arial"/>
                <w:szCs w:val="20"/>
              </w:rPr>
            </w:pPr>
            <w:r w:rsidRPr="00F25E60">
              <w:rPr>
                <w:rFonts w:cs="Arial"/>
                <w:szCs w:val="20"/>
              </w:rPr>
              <w:t>Minimalna częstotliwość badań i pomiarów</w:t>
            </w:r>
          </w:p>
        </w:tc>
        <w:tc>
          <w:tcPr>
            <w:tcW w:w="2760" w:type="dxa"/>
            <w:shd w:val="clear" w:color="auto" w:fill="auto"/>
          </w:tcPr>
          <w:p w14:paraId="348E91B3" w14:textId="77777777" w:rsidR="00F25E60" w:rsidRPr="00F25E60" w:rsidRDefault="00F25E60" w:rsidP="00F25E60">
            <w:pPr>
              <w:spacing w:line="240" w:lineRule="auto"/>
              <w:jc w:val="center"/>
              <w:rPr>
                <w:rFonts w:cs="Arial"/>
                <w:szCs w:val="20"/>
              </w:rPr>
            </w:pPr>
          </w:p>
          <w:p w14:paraId="5C785BF7" w14:textId="77777777" w:rsidR="00F25E60" w:rsidRPr="00F25E60" w:rsidRDefault="00F25E60" w:rsidP="00F25E60">
            <w:pPr>
              <w:spacing w:line="240" w:lineRule="auto"/>
              <w:jc w:val="center"/>
              <w:rPr>
                <w:rFonts w:cs="Arial"/>
                <w:szCs w:val="20"/>
              </w:rPr>
            </w:pPr>
            <w:r w:rsidRPr="00F25E60">
              <w:rPr>
                <w:rFonts w:cs="Arial"/>
                <w:szCs w:val="20"/>
              </w:rPr>
              <w:t>Dopuszczalne odchyłki</w:t>
            </w:r>
          </w:p>
        </w:tc>
      </w:tr>
      <w:tr w:rsidR="00F25E60" w:rsidRPr="00F25E60" w14:paraId="0B333EB8" w14:textId="77777777" w:rsidTr="007B6855">
        <w:tc>
          <w:tcPr>
            <w:tcW w:w="496" w:type="dxa"/>
            <w:tcBorders>
              <w:top w:val="single" w:sz="4" w:space="0" w:color="auto"/>
            </w:tcBorders>
          </w:tcPr>
          <w:p w14:paraId="3D01971E" w14:textId="77777777" w:rsidR="00F25E60" w:rsidRPr="00F25E60" w:rsidRDefault="00F25E60" w:rsidP="00F25E60">
            <w:pPr>
              <w:spacing w:before="120" w:line="240" w:lineRule="auto"/>
              <w:jc w:val="center"/>
              <w:rPr>
                <w:rFonts w:cs="Arial"/>
                <w:szCs w:val="20"/>
              </w:rPr>
            </w:pPr>
            <w:r w:rsidRPr="00F25E60">
              <w:rPr>
                <w:rFonts w:cs="Arial"/>
                <w:szCs w:val="20"/>
              </w:rPr>
              <w:t>1</w:t>
            </w:r>
          </w:p>
        </w:tc>
        <w:tc>
          <w:tcPr>
            <w:tcW w:w="3414" w:type="dxa"/>
            <w:tcBorders>
              <w:top w:val="single" w:sz="4" w:space="0" w:color="auto"/>
            </w:tcBorders>
          </w:tcPr>
          <w:p w14:paraId="010F329E" w14:textId="77777777" w:rsidR="00F25E60" w:rsidRPr="00F25E60" w:rsidRDefault="00F25E60" w:rsidP="00F25E60">
            <w:pPr>
              <w:spacing w:before="120" w:line="240" w:lineRule="auto"/>
              <w:rPr>
                <w:rFonts w:cs="Arial"/>
                <w:szCs w:val="20"/>
              </w:rPr>
            </w:pPr>
            <w:r w:rsidRPr="00F25E60">
              <w:rPr>
                <w:rFonts w:cs="Arial"/>
                <w:szCs w:val="20"/>
              </w:rPr>
              <w:t>Szerokość warstwy</w:t>
            </w:r>
          </w:p>
        </w:tc>
        <w:tc>
          <w:tcPr>
            <w:tcW w:w="2280" w:type="dxa"/>
            <w:shd w:val="clear" w:color="auto" w:fill="auto"/>
          </w:tcPr>
          <w:p w14:paraId="3F158D46" w14:textId="77777777" w:rsidR="00F25E60" w:rsidRPr="00F25E60" w:rsidRDefault="00F25E60" w:rsidP="00F25E60">
            <w:pPr>
              <w:spacing w:before="120" w:line="240" w:lineRule="auto"/>
              <w:jc w:val="center"/>
              <w:rPr>
                <w:rFonts w:cs="Arial"/>
                <w:szCs w:val="20"/>
              </w:rPr>
            </w:pPr>
            <w:r w:rsidRPr="00F25E60">
              <w:rPr>
                <w:rFonts w:cs="Arial"/>
                <w:szCs w:val="20"/>
              </w:rPr>
              <w:t xml:space="preserve">10 razy na </w:t>
            </w:r>
            <w:smartTag w:uri="urn:schemas-microsoft-com:office:smarttags" w:element="metricconverter">
              <w:smartTagPr>
                <w:attr w:name="ProductID" w:val="1 km"/>
              </w:smartTagPr>
              <w:r w:rsidRPr="00F25E60">
                <w:rPr>
                  <w:rFonts w:cs="Arial"/>
                  <w:szCs w:val="20"/>
                </w:rPr>
                <w:t>1 km</w:t>
              </w:r>
            </w:smartTag>
          </w:p>
        </w:tc>
        <w:tc>
          <w:tcPr>
            <w:tcW w:w="2760" w:type="dxa"/>
            <w:shd w:val="clear" w:color="auto" w:fill="auto"/>
          </w:tcPr>
          <w:p w14:paraId="38D980E9" w14:textId="77777777" w:rsidR="00F25E60" w:rsidRPr="00F25E60" w:rsidRDefault="00F25E60" w:rsidP="00F25E60">
            <w:pPr>
              <w:spacing w:line="240" w:lineRule="auto"/>
              <w:jc w:val="center"/>
              <w:rPr>
                <w:rFonts w:cs="Arial"/>
                <w:szCs w:val="20"/>
              </w:rPr>
            </w:pPr>
            <w:r w:rsidRPr="00F25E60">
              <w:rPr>
                <w:rFonts w:cs="Arial"/>
                <w:szCs w:val="20"/>
              </w:rPr>
              <w:t>+</w:t>
            </w:r>
            <w:smartTag w:uri="urn:schemas-microsoft-com:office:smarttags" w:element="metricconverter">
              <w:smartTagPr>
                <w:attr w:name="ProductID" w:val="10 cm"/>
              </w:smartTagPr>
              <w:r w:rsidRPr="00F25E60">
                <w:rPr>
                  <w:rFonts w:cs="Arial"/>
                  <w:szCs w:val="20"/>
                </w:rPr>
                <w:t>10 cm</w:t>
              </w:r>
            </w:smartTag>
            <w:r w:rsidRPr="00F25E60">
              <w:rPr>
                <w:rFonts w:cs="Arial"/>
                <w:szCs w:val="20"/>
              </w:rPr>
              <w:t xml:space="preserve">, </w:t>
            </w:r>
            <w:smartTag w:uri="urn:schemas-microsoft-com:office:smarttags" w:element="metricconverter">
              <w:smartTagPr>
                <w:attr w:name="ProductID" w:val="-5 cm"/>
              </w:smartTagPr>
              <w:r w:rsidRPr="00F25E60">
                <w:rPr>
                  <w:rFonts w:cs="Arial"/>
                  <w:szCs w:val="20"/>
                </w:rPr>
                <w:t>-5 cm</w:t>
              </w:r>
            </w:smartTag>
            <w:r w:rsidRPr="00F25E60">
              <w:rPr>
                <w:rFonts w:cs="Arial"/>
                <w:szCs w:val="20"/>
              </w:rPr>
              <w:t xml:space="preserve"> (różnice od szerokości projektowej)</w:t>
            </w:r>
          </w:p>
        </w:tc>
      </w:tr>
      <w:tr w:rsidR="00F25E60" w:rsidRPr="00F25E60" w14:paraId="23A34C02" w14:textId="77777777" w:rsidTr="007B6855">
        <w:tc>
          <w:tcPr>
            <w:tcW w:w="496" w:type="dxa"/>
          </w:tcPr>
          <w:p w14:paraId="47F9C4AD" w14:textId="77777777" w:rsidR="00F25E60" w:rsidRPr="00F25E60" w:rsidRDefault="00F25E60" w:rsidP="00F25E60">
            <w:pPr>
              <w:spacing w:before="60" w:after="60" w:line="240" w:lineRule="auto"/>
              <w:jc w:val="center"/>
              <w:rPr>
                <w:rFonts w:cs="Arial"/>
                <w:szCs w:val="20"/>
              </w:rPr>
            </w:pPr>
            <w:r w:rsidRPr="00F25E60">
              <w:rPr>
                <w:rFonts w:cs="Arial"/>
                <w:szCs w:val="20"/>
              </w:rPr>
              <w:t>2</w:t>
            </w:r>
          </w:p>
        </w:tc>
        <w:tc>
          <w:tcPr>
            <w:tcW w:w="3414" w:type="dxa"/>
          </w:tcPr>
          <w:p w14:paraId="53FB04A7" w14:textId="77777777" w:rsidR="00F25E60" w:rsidRPr="00F25E60" w:rsidRDefault="00F25E60" w:rsidP="00F25E60">
            <w:pPr>
              <w:spacing w:before="60" w:after="60" w:line="240" w:lineRule="auto"/>
              <w:rPr>
                <w:rFonts w:cs="Arial"/>
                <w:szCs w:val="20"/>
              </w:rPr>
            </w:pPr>
            <w:r w:rsidRPr="00F25E60">
              <w:rPr>
                <w:rFonts w:cs="Arial"/>
                <w:szCs w:val="20"/>
              </w:rPr>
              <w:t>Równość podłużna</w:t>
            </w:r>
          </w:p>
        </w:tc>
        <w:tc>
          <w:tcPr>
            <w:tcW w:w="2280" w:type="dxa"/>
            <w:shd w:val="clear" w:color="auto" w:fill="auto"/>
          </w:tcPr>
          <w:p w14:paraId="5FEE5268" w14:textId="77777777" w:rsidR="00F25E60" w:rsidRPr="00F25E60" w:rsidRDefault="00F25E60" w:rsidP="00F25E60">
            <w:pPr>
              <w:spacing w:before="60" w:after="60" w:line="240" w:lineRule="auto"/>
              <w:jc w:val="center"/>
              <w:rPr>
                <w:rFonts w:cs="Arial"/>
                <w:szCs w:val="20"/>
              </w:rPr>
            </w:pPr>
            <w:r w:rsidRPr="00F25E60">
              <w:rPr>
                <w:rFonts w:cs="Arial"/>
                <w:szCs w:val="20"/>
              </w:rPr>
              <w:t>Wg [25]</w:t>
            </w:r>
          </w:p>
        </w:tc>
        <w:tc>
          <w:tcPr>
            <w:tcW w:w="2760" w:type="dxa"/>
            <w:shd w:val="clear" w:color="auto" w:fill="auto"/>
          </w:tcPr>
          <w:p w14:paraId="54DC5485" w14:textId="77777777" w:rsidR="00F25E60" w:rsidRPr="00F25E60" w:rsidRDefault="00F25E60" w:rsidP="00F25E60">
            <w:pPr>
              <w:spacing w:before="60" w:after="60" w:line="240" w:lineRule="auto"/>
              <w:jc w:val="center"/>
              <w:rPr>
                <w:rFonts w:cs="Arial"/>
                <w:szCs w:val="20"/>
              </w:rPr>
            </w:pPr>
            <w:r w:rsidRPr="00F25E60">
              <w:rPr>
                <w:rFonts w:cs="Arial"/>
                <w:szCs w:val="20"/>
              </w:rPr>
              <w:t>Wg [25]</w:t>
            </w:r>
          </w:p>
        </w:tc>
      </w:tr>
      <w:tr w:rsidR="00F25E60" w:rsidRPr="00F25E60" w14:paraId="21DA503A" w14:textId="77777777" w:rsidTr="007B6855">
        <w:tc>
          <w:tcPr>
            <w:tcW w:w="496" w:type="dxa"/>
          </w:tcPr>
          <w:p w14:paraId="4AA7AC76" w14:textId="77777777" w:rsidR="00F25E60" w:rsidRPr="00F25E60" w:rsidRDefault="00F25E60" w:rsidP="00F25E60">
            <w:pPr>
              <w:spacing w:before="60" w:after="60" w:line="240" w:lineRule="auto"/>
              <w:jc w:val="center"/>
              <w:rPr>
                <w:rFonts w:cs="Arial"/>
                <w:szCs w:val="20"/>
              </w:rPr>
            </w:pPr>
            <w:r w:rsidRPr="00F25E60">
              <w:rPr>
                <w:rFonts w:cs="Arial"/>
                <w:szCs w:val="20"/>
              </w:rPr>
              <w:t>3</w:t>
            </w:r>
          </w:p>
        </w:tc>
        <w:tc>
          <w:tcPr>
            <w:tcW w:w="3414" w:type="dxa"/>
          </w:tcPr>
          <w:p w14:paraId="1D900C80" w14:textId="77777777" w:rsidR="00F25E60" w:rsidRPr="00F25E60" w:rsidRDefault="00F25E60" w:rsidP="00F25E60">
            <w:pPr>
              <w:spacing w:before="60" w:after="60" w:line="240" w:lineRule="auto"/>
              <w:rPr>
                <w:rFonts w:cs="Arial"/>
                <w:szCs w:val="20"/>
              </w:rPr>
            </w:pPr>
            <w:r w:rsidRPr="00F25E60">
              <w:rPr>
                <w:rFonts w:cs="Arial"/>
                <w:szCs w:val="20"/>
              </w:rPr>
              <w:t>Równość poprzeczna</w:t>
            </w:r>
          </w:p>
        </w:tc>
        <w:tc>
          <w:tcPr>
            <w:tcW w:w="2280" w:type="dxa"/>
            <w:shd w:val="clear" w:color="auto" w:fill="auto"/>
          </w:tcPr>
          <w:p w14:paraId="3A3C57FA" w14:textId="77777777" w:rsidR="00F25E60" w:rsidRPr="00F25E60" w:rsidRDefault="00F25E60" w:rsidP="00F25E60">
            <w:pPr>
              <w:spacing w:before="60" w:after="60" w:line="240" w:lineRule="auto"/>
              <w:jc w:val="center"/>
              <w:rPr>
                <w:rFonts w:cs="Arial"/>
                <w:szCs w:val="20"/>
              </w:rPr>
            </w:pPr>
            <w:r w:rsidRPr="00F25E60">
              <w:rPr>
                <w:rFonts w:cs="Arial"/>
                <w:szCs w:val="20"/>
              </w:rPr>
              <w:t>Wg [25]</w:t>
            </w:r>
          </w:p>
        </w:tc>
        <w:tc>
          <w:tcPr>
            <w:tcW w:w="2760" w:type="dxa"/>
            <w:shd w:val="clear" w:color="auto" w:fill="auto"/>
          </w:tcPr>
          <w:p w14:paraId="3807E49E" w14:textId="77777777" w:rsidR="00F25E60" w:rsidRPr="00F25E60" w:rsidRDefault="00F25E60" w:rsidP="00F25E60">
            <w:pPr>
              <w:spacing w:before="60" w:after="60" w:line="240" w:lineRule="auto"/>
              <w:jc w:val="center"/>
              <w:rPr>
                <w:rFonts w:cs="Arial"/>
                <w:szCs w:val="20"/>
              </w:rPr>
            </w:pPr>
            <w:r w:rsidRPr="00F25E60">
              <w:rPr>
                <w:rFonts w:cs="Arial"/>
                <w:szCs w:val="20"/>
              </w:rPr>
              <w:t>Wg [25]</w:t>
            </w:r>
          </w:p>
        </w:tc>
      </w:tr>
      <w:tr w:rsidR="00F25E60" w:rsidRPr="00F25E60" w14:paraId="133C6940" w14:textId="77777777" w:rsidTr="007B6855">
        <w:tc>
          <w:tcPr>
            <w:tcW w:w="496" w:type="dxa"/>
          </w:tcPr>
          <w:p w14:paraId="4F4477D8" w14:textId="77777777" w:rsidR="00F25E60" w:rsidRPr="00F25E60" w:rsidRDefault="00F25E60" w:rsidP="00F25E60">
            <w:pPr>
              <w:spacing w:line="240" w:lineRule="auto"/>
              <w:jc w:val="center"/>
              <w:rPr>
                <w:rFonts w:cs="Arial"/>
                <w:szCs w:val="20"/>
              </w:rPr>
            </w:pPr>
          </w:p>
          <w:p w14:paraId="10B66AD8" w14:textId="77777777" w:rsidR="00F25E60" w:rsidRPr="00F25E60" w:rsidRDefault="00F25E60" w:rsidP="00F25E60">
            <w:pPr>
              <w:spacing w:line="240" w:lineRule="auto"/>
              <w:jc w:val="center"/>
              <w:rPr>
                <w:rFonts w:cs="Arial"/>
                <w:szCs w:val="20"/>
              </w:rPr>
            </w:pPr>
            <w:r w:rsidRPr="00F25E60">
              <w:rPr>
                <w:rFonts w:cs="Arial"/>
                <w:szCs w:val="20"/>
              </w:rPr>
              <w:t>4</w:t>
            </w:r>
          </w:p>
        </w:tc>
        <w:tc>
          <w:tcPr>
            <w:tcW w:w="3414" w:type="dxa"/>
          </w:tcPr>
          <w:p w14:paraId="412D9DFC" w14:textId="77777777" w:rsidR="00F25E60" w:rsidRPr="00F25E60" w:rsidRDefault="00F25E60" w:rsidP="00F25E60">
            <w:pPr>
              <w:spacing w:line="240" w:lineRule="auto"/>
              <w:rPr>
                <w:rFonts w:cs="Arial"/>
                <w:szCs w:val="20"/>
              </w:rPr>
            </w:pPr>
          </w:p>
          <w:p w14:paraId="0E12AB42" w14:textId="77777777" w:rsidR="00F25E60" w:rsidRPr="00F25E60" w:rsidRDefault="00F25E60" w:rsidP="00F25E60">
            <w:pPr>
              <w:spacing w:line="240" w:lineRule="auto"/>
              <w:rPr>
                <w:rFonts w:cs="Arial"/>
                <w:szCs w:val="20"/>
              </w:rPr>
            </w:pPr>
            <w:r w:rsidRPr="00F25E60">
              <w:rPr>
                <w:rFonts w:cs="Arial"/>
                <w:szCs w:val="20"/>
              </w:rPr>
              <w:t xml:space="preserve">Spadki poprzeczne </w:t>
            </w:r>
            <w:r w:rsidRPr="00F25E60">
              <w:rPr>
                <w:rFonts w:cs="Arial"/>
                <w:szCs w:val="20"/>
                <w:vertAlign w:val="superscript"/>
              </w:rPr>
              <w:t>*)</w:t>
            </w:r>
          </w:p>
        </w:tc>
        <w:tc>
          <w:tcPr>
            <w:tcW w:w="2280" w:type="dxa"/>
            <w:shd w:val="clear" w:color="auto" w:fill="auto"/>
          </w:tcPr>
          <w:p w14:paraId="7D40CD3A" w14:textId="77777777" w:rsidR="00F25E60" w:rsidRPr="00F25E60" w:rsidRDefault="00F25E60" w:rsidP="00F25E60">
            <w:pPr>
              <w:spacing w:line="240" w:lineRule="auto"/>
              <w:jc w:val="center"/>
              <w:rPr>
                <w:rFonts w:cs="Arial"/>
                <w:szCs w:val="20"/>
              </w:rPr>
            </w:pPr>
          </w:p>
          <w:p w14:paraId="3A0E2A80" w14:textId="77777777" w:rsidR="00F25E60" w:rsidRPr="00F25E60" w:rsidRDefault="00F25E60" w:rsidP="00F25E60">
            <w:pPr>
              <w:spacing w:line="240" w:lineRule="auto"/>
              <w:jc w:val="center"/>
              <w:rPr>
                <w:rFonts w:cs="Arial"/>
                <w:szCs w:val="20"/>
              </w:rPr>
            </w:pPr>
            <w:r w:rsidRPr="00F25E60">
              <w:rPr>
                <w:rFonts w:cs="Arial"/>
                <w:szCs w:val="20"/>
              </w:rPr>
              <w:t xml:space="preserve">10 razy na </w:t>
            </w:r>
            <w:smartTag w:uri="urn:schemas-microsoft-com:office:smarttags" w:element="metricconverter">
              <w:smartTagPr>
                <w:attr w:name="ProductID" w:val="1 km"/>
              </w:smartTagPr>
              <w:r w:rsidRPr="00F25E60">
                <w:rPr>
                  <w:rFonts w:cs="Arial"/>
                  <w:szCs w:val="20"/>
                </w:rPr>
                <w:t>1 km</w:t>
              </w:r>
            </w:smartTag>
          </w:p>
        </w:tc>
        <w:tc>
          <w:tcPr>
            <w:tcW w:w="2760" w:type="dxa"/>
            <w:shd w:val="clear" w:color="auto" w:fill="auto"/>
          </w:tcPr>
          <w:p w14:paraId="4C8130DD" w14:textId="77777777" w:rsidR="00F25E60" w:rsidRPr="00F25E60" w:rsidRDefault="00F25E60" w:rsidP="00F25E60">
            <w:pPr>
              <w:spacing w:line="240" w:lineRule="auto"/>
              <w:jc w:val="center"/>
              <w:rPr>
                <w:rFonts w:cs="Arial"/>
                <w:szCs w:val="20"/>
              </w:rPr>
            </w:pPr>
            <w:r w:rsidRPr="00F25E60">
              <w:rPr>
                <w:rFonts w:cs="Arial"/>
                <w:szCs w:val="20"/>
              </w:rPr>
              <w:t>± 0,5% (dopuszczalna tolerancja od spadków projektowych)</w:t>
            </w:r>
          </w:p>
        </w:tc>
      </w:tr>
      <w:tr w:rsidR="00F25E60" w:rsidRPr="00F25E60" w14:paraId="2C7DC661" w14:textId="77777777" w:rsidTr="007B6855">
        <w:tc>
          <w:tcPr>
            <w:tcW w:w="496" w:type="dxa"/>
          </w:tcPr>
          <w:p w14:paraId="0F9E835C" w14:textId="77777777" w:rsidR="00F25E60" w:rsidRPr="00F25E60" w:rsidRDefault="00F25E60" w:rsidP="00F25E60">
            <w:pPr>
              <w:spacing w:before="60" w:after="60" w:line="240" w:lineRule="auto"/>
              <w:jc w:val="center"/>
              <w:rPr>
                <w:rFonts w:cs="Arial"/>
                <w:szCs w:val="20"/>
              </w:rPr>
            </w:pPr>
            <w:r w:rsidRPr="00F25E60">
              <w:rPr>
                <w:rFonts w:cs="Arial"/>
                <w:szCs w:val="20"/>
              </w:rPr>
              <w:t>5</w:t>
            </w:r>
          </w:p>
        </w:tc>
        <w:tc>
          <w:tcPr>
            <w:tcW w:w="3414" w:type="dxa"/>
          </w:tcPr>
          <w:p w14:paraId="4F22225C" w14:textId="77777777" w:rsidR="00F25E60" w:rsidRPr="00F25E60" w:rsidRDefault="00F25E60" w:rsidP="00F25E60">
            <w:pPr>
              <w:spacing w:before="60" w:after="60" w:line="240" w:lineRule="auto"/>
              <w:rPr>
                <w:rFonts w:cs="Arial"/>
                <w:szCs w:val="20"/>
              </w:rPr>
            </w:pPr>
            <w:r w:rsidRPr="00F25E60">
              <w:rPr>
                <w:rFonts w:cs="Arial"/>
                <w:szCs w:val="20"/>
              </w:rPr>
              <w:t>Rzędne wysokościowe</w:t>
            </w:r>
          </w:p>
        </w:tc>
        <w:tc>
          <w:tcPr>
            <w:tcW w:w="2280" w:type="dxa"/>
            <w:shd w:val="clear" w:color="auto" w:fill="auto"/>
          </w:tcPr>
          <w:p w14:paraId="6B8CF744" w14:textId="77777777" w:rsidR="00F25E60" w:rsidRPr="00F25E60" w:rsidRDefault="00F25E60" w:rsidP="00F25E60">
            <w:pPr>
              <w:spacing w:before="60" w:after="60" w:line="240" w:lineRule="auto"/>
              <w:jc w:val="center"/>
              <w:rPr>
                <w:rFonts w:cs="Arial"/>
                <w:szCs w:val="20"/>
              </w:rPr>
            </w:pPr>
            <w:r w:rsidRPr="00F25E60">
              <w:rPr>
                <w:rFonts w:cs="Arial"/>
                <w:szCs w:val="20"/>
              </w:rPr>
              <w:t>Wg [25]</w:t>
            </w:r>
          </w:p>
        </w:tc>
        <w:tc>
          <w:tcPr>
            <w:tcW w:w="2760" w:type="dxa"/>
            <w:shd w:val="clear" w:color="auto" w:fill="auto"/>
          </w:tcPr>
          <w:p w14:paraId="19F6CF5C" w14:textId="77777777" w:rsidR="00F25E60" w:rsidRPr="00F25E60" w:rsidRDefault="00F25E60" w:rsidP="00F25E60">
            <w:pPr>
              <w:spacing w:before="60" w:after="60" w:line="240" w:lineRule="auto"/>
              <w:jc w:val="center"/>
              <w:rPr>
                <w:rFonts w:cs="Arial"/>
                <w:szCs w:val="20"/>
              </w:rPr>
            </w:pPr>
            <w:r w:rsidRPr="00F25E60">
              <w:rPr>
                <w:rFonts w:cs="Arial"/>
                <w:szCs w:val="20"/>
              </w:rPr>
              <w:t>Wg [25]</w:t>
            </w:r>
          </w:p>
        </w:tc>
      </w:tr>
      <w:tr w:rsidR="00F25E60" w:rsidRPr="00F25E60" w14:paraId="155586C3" w14:textId="77777777" w:rsidTr="007B6855">
        <w:tc>
          <w:tcPr>
            <w:tcW w:w="496" w:type="dxa"/>
          </w:tcPr>
          <w:p w14:paraId="7030356D" w14:textId="77777777" w:rsidR="00F25E60" w:rsidRPr="00F25E60" w:rsidRDefault="00F25E60" w:rsidP="00F25E60">
            <w:pPr>
              <w:spacing w:before="120" w:line="240" w:lineRule="auto"/>
              <w:jc w:val="center"/>
              <w:rPr>
                <w:rFonts w:cs="Arial"/>
                <w:szCs w:val="20"/>
              </w:rPr>
            </w:pPr>
            <w:r w:rsidRPr="00F25E60">
              <w:rPr>
                <w:rFonts w:cs="Arial"/>
                <w:szCs w:val="20"/>
              </w:rPr>
              <w:t>6</w:t>
            </w:r>
          </w:p>
        </w:tc>
        <w:tc>
          <w:tcPr>
            <w:tcW w:w="3414" w:type="dxa"/>
          </w:tcPr>
          <w:p w14:paraId="047E8DAA" w14:textId="77777777" w:rsidR="00F25E60" w:rsidRPr="00F25E60" w:rsidRDefault="00F25E60" w:rsidP="00F25E60">
            <w:pPr>
              <w:spacing w:before="120" w:line="240" w:lineRule="auto"/>
              <w:rPr>
                <w:rFonts w:cs="Arial"/>
                <w:szCs w:val="20"/>
              </w:rPr>
            </w:pPr>
            <w:r w:rsidRPr="00F25E60">
              <w:rPr>
                <w:rFonts w:cs="Arial"/>
                <w:szCs w:val="20"/>
              </w:rPr>
              <w:t xml:space="preserve">Ukształtowanie osi w planie </w:t>
            </w:r>
            <w:r w:rsidRPr="00F25E60">
              <w:rPr>
                <w:rFonts w:cs="Arial"/>
                <w:szCs w:val="20"/>
                <w:vertAlign w:val="superscript"/>
              </w:rPr>
              <w:t>*)</w:t>
            </w:r>
          </w:p>
        </w:tc>
        <w:tc>
          <w:tcPr>
            <w:tcW w:w="2280" w:type="dxa"/>
            <w:shd w:val="clear" w:color="auto" w:fill="auto"/>
          </w:tcPr>
          <w:p w14:paraId="060D5800" w14:textId="77777777" w:rsidR="00F25E60" w:rsidRPr="00F25E60" w:rsidRDefault="00F25E60" w:rsidP="00F25E60">
            <w:pPr>
              <w:spacing w:before="120" w:line="240" w:lineRule="auto"/>
              <w:jc w:val="center"/>
              <w:rPr>
                <w:rFonts w:cs="Arial"/>
                <w:szCs w:val="20"/>
              </w:rPr>
            </w:pPr>
            <w:r w:rsidRPr="00F25E60">
              <w:rPr>
                <w:rFonts w:cs="Arial"/>
                <w:szCs w:val="20"/>
              </w:rPr>
              <w:t xml:space="preserve">Co </w:t>
            </w:r>
            <w:smartTag w:uri="urn:schemas-microsoft-com:office:smarttags" w:element="metricconverter">
              <w:smartTagPr>
                <w:attr w:name="ProductID" w:val="100 m"/>
              </w:smartTagPr>
              <w:r w:rsidRPr="00F25E60">
                <w:rPr>
                  <w:rFonts w:cs="Arial"/>
                  <w:szCs w:val="20"/>
                </w:rPr>
                <w:t>100 m</w:t>
              </w:r>
            </w:smartTag>
          </w:p>
        </w:tc>
        <w:tc>
          <w:tcPr>
            <w:tcW w:w="2760" w:type="dxa"/>
            <w:shd w:val="clear" w:color="auto" w:fill="auto"/>
          </w:tcPr>
          <w:p w14:paraId="48F5B60A" w14:textId="77777777" w:rsidR="00F25E60" w:rsidRPr="00F25E60" w:rsidRDefault="00F25E60" w:rsidP="00F25E60">
            <w:pPr>
              <w:spacing w:line="240" w:lineRule="auto"/>
              <w:jc w:val="center"/>
              <w:rPr>
                <w:rFonts w:cs="Arial"/>
                <w:szCs w:val="20"/>
              </w:rPr>
            </w:pPr>
            <w:r w:rsidRPr="00F25E60">
              <w:rPr>
                <w:rFonts w:cs="Arial"/>
                <w:szCs w:val="20"/>
              </w:rPr>
              <w:t xml:space="preserve">Przesunięcie od osi projektowanej ± </w:t>
            </w:r>
            <w:smartTag w:uri="urn:schemas-microsoft-com:office:smarttags" w:element="metricconverter">
              <w:smartTagPr>
                <w:attr w:name="ProductID" w:val="5 cm"/>
              </w:smartTagPr>
              <w:r w:rsidRPr="00F25E60">
                <w:rPr>
                  <w:rFonts w:cs="Arial"/>
                  <w:szCs w:val="20"/>
                </w:rPr>
                <w:t>5 cm</w:t>
              </w:r>
            </w:smartTag>
          </w:p>
        </w:tc>
      </w:tr>
      <w:tr w:rsidR="00F25E60" w:rsidRPr="00F25E60" w14:paraId="0FB3FE27" w14:textId="77777777" w:rsidTr="007B6855">
        <w:tc>
          <w:tcPr>
            <w:tcW w:w="496" w:type="dxa"/>
          </w:tcPr>
          <w:p w14:paraId="0D1F9440" w14:textId="77777777" w:rsidR="00F25E60" w:rsidRPr="00F25E60" w:rsidRDefault="00F25E60" w:rsidP="00F25E60">
            <w:pPr>
              <w:spacing w:line="240" w:lineRule="auto"/>
              <w:jc w:val="center"/>
              <w:rPr>
                <w:rFonts w:cs="Arial"/>
                <w:szCs w:val="20"/>
              </w:rPr>
            </w:pPr>
          </w:p>
          <w:p w14:paraId="0F871194" w14:textId="77777777" w:rsidR="00F25E60" w:rsidRPr="00F25E60" w:rsidRDefault="00F25E60" w:rsidP="00F25E60">
            <w:pPr>
              <w:spacing w:line="240" w:lineRule="auto"/>
              <w:jc w:val="center"/>
              <w:rPr>
                <w:rFonts w:cs="Arial"/>
                <w:szCs w:val="20"/>
              </w:rPr>
            </w:pPr>
            <w:r w:rsidRPr="00F25E60">
              <w:rPr>
                <w:rFonts w:cs="Arial"/>
                <w:szCs w:val="20"/>
              </w:rPr>
              <w:t>7</w:t>
            </w:r>
          </w:p>
        </w:tc>
        <w:tc>
          <w:tcPr>
            <w:tcW w:w="3414" w:type="dxa"/>
          </w:tcPr>
          <w:p w14:paraId="4BBA0254" w14:textId="77777777" w:rsidR="00F25E60" w:rsidRPr="00F25E60" w:rsidRDefault="00F25E60" w:rsidP="00F25E60">
            <w:pPr>
              <w:spacing w:line="240" w:lineRule="auto"/>
              <w:rPr>
                <w:rFonts w:cs="Arial"/>
                <w:szCs w:val="20"/>
              </w:rPr>
            </w:pPr>
          </w:p>
          <w:p w14:paraId="39F826C2" w14:textId="77777777" w:rsidR="00F25E60" w:rsidRPr="00F25E60" w:rsidRDefault="00F25E60" w:rsidP="00F25E60">
            <w:pPr>
              <w:spacing w:line="240" w:lineRule="auto"/>
              <w:rPr>
                <w:rFonts w:cs="Arial"/>
                <w:szCs w:val="20"/>
              </w:rPr>
            </w:pPr>
            <w:r w:rsidRPr="00F25E60">
              <w:rPr>
                <w:rFonts w:cs="Arial"/>
                <w:szCs w:val="20"/>
              </w:rPr>
              <w:t>Grubość warstwy</w:t>
            </w:r>
          </w:p>
        </w:tc>
        <w:tc>
          <w:tcPr>
            <w:tcW w:w="2280" w:type="dxa"/>
            <w:shd w:val="clear" w:color="auto" w:fill="auto"/>
          </w:tcPr>
          <w:p w14:paraId="7FF3BCEF" w14:textId="77777777" w:rsidR="00F25E60" w:rsidRPr="00F25E60" w:rsidRDefault="00F25E60" w:rsidP="00F25E60">
            <w:pPr>
              <w:spacing w:line="240" w:lineRule="auto"/>
              <w:jc w:val="center"/>
              <w:rPr>
                <w:rFonts w:cs="Arial"/>
                <w:szCs w:val="20"/>
              </w:rPr>
            </w:pPr>
            <w:r w:rsidRPr="00F25E60">
              <w:rPr>
                <w:rFonts w:cs="Arial"/>
                <w:szCs w:val="20"/>
              </w:rPr>
              <w:t xml:space="preserve">w 3 punktach na działce roboczej, lecz nie rzadziej niż raz na </w:t>
            </w:r>
            <w:smartTag w:uri="urn:schemas-microsoft-com:office:smarttags" w:element="metricconverter">
              <w:smartTagPr>
                <w:attr w:name="ProductID" w:val="2000 m2"/>
              </w:smartTagPr>
              <w:r w:rsidRPr="00F25E60">
                <w:rPr>
                  <w:rFonts w:cs="Arial"/>
                  <w:szCs w:val="20"/>
                </w:rPr>
                <w:t>2000 m</w:t>
              </w:r>
              <w:r w:rsidRPr="00F25E60">
                <w:rPr>
                  <w:rFonts w:cs="Arial"/>
                  <w:szCs w:val="20"/>
                  <w:vertAlign w:val="superscript"/>
                </w:rPr>
                <w:t>2</w:t>
              </w:r>
            </w:smartTag>
          </w:p>
        </w:tc>
        <w:tc>
          <w:tcPr>
            <w:tcW w:w="2760" w:type="dxa"/>
            <w:shd w:val="clear" w:color="auto" w:fill="auto"/>
          </w:tcPr>
          <w:p w14:paraId="44A42292" w14:textId="77777777" w:rsidR="00F25E60" w:rsidRPr="00F25E60" w:rsidRDefault="00F25E60" w:rsidP="00F25E60">
            <w:pPr>
              <w:spacing w:line="240" w:lineRule="auto"/>
              <w:jc w:val="center"/>
              <w:rPr>
                <w:rFonts w:cs="Arial"/>
                <w:szCs w:val="20"/>
              </w:rPr>
            </w:pPr>
            <w:r w:rsidRPr="00F25E60">
              <w:rPr>
                <w:rFonts w:cs="Arial"/>
                <w:szCs w:val="20"/>
              </w:rPr>
              <w:t>Różnice od grubości projektowanej +10%,</w:t>
            </w:r>
            <w:r w:rsidRPr="00F25E60">
              <w:rPr>
                <w:rFonts w:cs="Arial"/>
                <w:szCs w:val="20"/>
              </w:rPr>
              <w:br/>
              <w:t>-15%</w:t>
            </w:r>
          </w:p>
          <w:p w14:paraId="67CF1DB8" w14:textId="77777777" w:rsidR="00F25E60" w:rsidRPr="00F25E60" w:rsidRDefault="00F25E60" w:rsidP="00F25E60">
            <w:pPr>
              <w:spacing w:line="240" w:lineRule="auto"/>
              <w:rPr>
                <w:rFonts w:cs="Arial"/>
                <w:szCs w:val="20"/>
              </w:rPr>
            </w:pPr>
          </w:p>
        </w:tc>
      </w:tr>
    </w:tbl>
    <w:p w14:paraId="0729DDA3" w14:textId="77777777" w:rsidR="00F25E60" w:rsidRPr="00F25E60" w:rsidRDefault="00F25E60" w:rsidP="00F25E60">
      <w:pPr>
        <w:spacing w:before="120" w:line="240" w:lineRule="auto"/>
        <w:rPr>
          <w:rFonts w:cs="Arial"/>
          <w:szCs w:val="20"/>
        </w:rPr>
      </w:pPr>
      <w:r w:rsidRPr="00F25E60">
        <w:rPr>
          <w:rFonts w:cs="Arial"/>
          <w:szCs w:val="20"/>
        </w:rPr>
        <w:t>*) Dodatkowe pomiary spadków poprzecznych i ukształtowania osi w planie należy wykonać w punktach głównych łuków poziomych.</w:t>
      </w:r>
    </w:p>
    <w:p w14:paraId="6C2863EB" w14:textId="77777777" w:rsidR="00F25E60" w:rsidRPr="00F25E60" w:rsidRDefault="00F25E60" w:rsidP="00F25E60">
      <w:pPr>
        <w:pStyle w:val="Nagwek1"/>
        <w:spacing w:line="240" w:lineRule="auto"/>
        <w:rPr>
          <w:rFonts w:cs="Arial"/>
          <w:szCs w:val="20"/>
        </w:rPr>
      </w:pPr>
      <w:bookmarkStart w:id="909" w:name="_Toc348096812"/>
      <w:r w:rsidRPr="00F25E60">
        <w:rPr>
          <w:rFonts w:cs="Arial"/>
          <w:szCs w:val="20"/>
        </w:rPr>
        <w:lastRenderedPageBreak/>
        <w:t>7. Obmiar robót</w:t>
      </w:r>
      <w:bookmarkEnd w:id="909"/>
    </w:p>
    <w:p w14:paraId="648E26EE" w14:textId="77777777" w:rsidR="00F25E60" w:rsidRPr="00F25E60" w:rsidRDefault="00F25E60" w:rsidP="00F25E60">
      <w:pPr>
        <w:pStyle w:val="Nagwek2"/>
        <w:numPr>
          <w:ilvl w:val="12"/>
          <w:numId w:val="0"/>
        </w:numPr>
        <w:spacing w:line="240" w:lineRule="auto"/>
        <w:rPr>
          <w:rFonts w:cs="Arial"/>
          <w:szCs w:val="20"/>
        </w:rPr>
      </w:pPr>
      <w:r w:rsidRPr="00F25E60">
        <w:rPr>
          <w:rFonts w:cs="Arial"/>
          <w:szCs w:val="20"/>
        </w:rPr>
        <w:t>7.1. Ogólne zasady obmiaru robót</w:t>
      </w:r>
    </w:p>
    <w:p w14:paraId="3C785C57" w14:textId="0B677841" w:rsidR="00F25E60" w:rsidRPr="00F25E60" w:rsidRDefault="00F25E60" w:rsidP="00F25E60">
      <w:pPr>
        <w:numPr>
          <w:ilvl w:val="12"/>
          <w:numId w:val="0"/>
        </w:numPr>
        <w:spacing w:line="240" w:lineRule="auto"/>
        <w:rPr>
          <w:rFonts w:cs="Arial"/>
          <w:szCs w:val="20"/>
        </w:rPr>
      </w:pPr>
      <w:r w:rsidRPr="00F25E60">
        <w:rPr>
          <w:rFonts w:cs="Arial"/>
          <w:szCs w:val="20"/>
        </w:rPr>
        <w:tab/>
        <w:t xml:space="preserve">Ogólne zasady obmiaru robót podano w </w:t>
      </w:r>
      <w:r w:rsidR="00C968CE">
        <w:rPr>
          <w:rFonts w:cs="Arial"/>
          <w:szCs w:val="20"/>
        </w:rPr>
        <w:t>S</w:t>
      </w:r>
      <w:r w:rsidRPr="00F25E60">
        <w:rPr>
          <w:rFonts w:cs="Arial"/>
          <w:szCs w:val="20"/>
        </w:rPr>
        <w:t>ST  D-M-00.00.00 „Wymagania ogólne” [1], pkt 7.</w:t>
      </w:r>
    </w:p>
    <w:p w14:paraId="707B5450" w14:textId="77777777" w:rsidR="00F25E60" w:rsidRPr="00F25E60" w:rsidRDefault="00F25E60" w:rsidP="00F25E60">
      <w:pPr>
        <w:pStyle w:val="Nagwek2"/>
        <w:numPr>
          <w:ilvl w:val="12"/>
          <w:numId w:val="0"/>
        </w:numPr>
        <w:spacing w:line="240" w:lineRule="auto"/>
        <w:rPr>
          <w:rFonts w:cs="Arial"/>
          <w:szCs w:val="20"/>
        </w:rPr>
      </w:pPr>
      <w:r w:rsidRPr="00F25E60">
        <w:rPr>
          <w:rFonts w:cs="Arial"/>
          <w:szCs w:val="20"/>
        </w:rPr>
        <w:t>7.2. Jednostka obmiarowa</w:t>
      </w:r>
    </w:p>
    <w:p w14:paraId="465E71AE" w14:textId="77777777" w:rsidR="00F25E60" w:rsidRPr="00F25E60" w:rsidRDefault="00F25E60" w:rsidP="00F25E60">
      <w:pPr>
        <w:spacing w:line="240" w:lineRule="auto"/>
        <w:rPr>
          <w:rFonts w:cs="Arial"/>
          <w:szCs w:val="20"/>
        </w:rPr>
      </w:pPr>
      <w:r w:rsidRPr="00F25E60">
        <w:rPr>
          <w:rFonts w:cs="Arial"/>
          <w:szCs w:val="20"/>
        </w:rPr>
        <w:tab/>
        <w:t>Jednostką obmiarową jest m</w:t>
      </w:r>
      <w:r w:rsidRPr="00F25E60">
        <w:rPr>
          <w:rFonts w:cs="Arial"/>
          <w:szCs w:val="20"/>
          <w:vertAlign w:val="superscript"/>
        </w:rPr>
        <w:t>2</w:t>
      </w:r>
      <w:r w:rsidRPr="00F25E60">
        <w:rPr>
          <w:rFonts w:cs="Arial"/>
          <w:szCs w:val="20"/>
        </w:rPr>
        <w:t xml:space="preserve"> (metr kwadratowy) wykonanej warstwy.</w:t>
      </w:r>
    </w:p>
    <w:p w14:paraId="303BFA5A" w14:textId="77777777" w:rsidR="00F25E60" w:rsidRPr="00F25E60" w:rsidRDefault="00F25E60" w:rsidP="00F25E60">
      <w:pPr>
        <w:pStyle w:val="Nagwek1"/>
        <w:spacing w:line="240" w:lineRule="auto"/>
        <w:rPr>
          <w:rFonts w:cs="Arial"/>
          <w:szCs w:val="20"/>
        </w:rPr>
      </w:pPr>
      <w:bookmarkStart w:id="910" w:name="_Toc348096813"/>
      <w:r w:rsidRPr="00F25E60">
        <w:rPr>
          <w:rFonts w:cs="Arial"/>
          <w:szCs w:val="20"/>
        </w:rPr>
        <w:t>8. Odbiór robót</w:t>
      </w:r>
      <w:bookmarkEnd w:id="910"/>
    </w:p>
    <w:p w14:paraId="080015E2" w14:textId="6ACEF7B8" w:rsidR="00F25E60" w:rsidRPr="00F25E60" w:rsidRDefault="00F25E60" w:rsidP="00F25E60">
      <w:pPr>
        <w:numPr>
          <w:ilvl w:val="12"/>
          <w:numId w:val="0"/>
        </w:numPr>
        <w:spacing w:line="240" w:lineRule="auto"/>
        <w:ind w:firstLine="709"/>
        <w:rPr>
          <w:rFonts w:cs="Arial"/>
          <w:szCs w:val="20"/>
        </w:rPr>
      </w:pPr>
      <w:r w:rsidRPr="00F25E60">
        <w:rPr>
          <w:rFonts w:cs="Arial"/>
          <w:szCs w:val="20"/>
        </w:rPr>
        <w:t xml:space="preserve">Ogólne zasady odbioru robót podano w </w:t>
      </w:r>
      <w:r w:rsidR="00C968CE">
        <w:rPr>
          <w:rFonts w:cs="Arial"/>
          <w:szCs w:val="20"/>
        </w:rPr>
        <w:t>S</w:t>
      </w:r>
      <w:r w:rsidRPr="00F25E60">
        <w:rPr>
          <w:rFonts w:cs="Arial"/>
          <w:szCs w:val="20"/>
        </w:rPr>
        <w:t xml:space="preserve">ST  D-M-00.00.00 „Wymagania ogólne” [1], pkt 8. </w:t>
      </w:r>
    </w:p>
    <w:p w14:paraId="065421A6" w14:textId="77777777" w:rsidR="00F25E60" w:rsidRPr="00F25E60" w:rsidRDefault="00F25E60" w:rsidP="00F25E60">
      <w:pPr>
        <w:numPr>
          <w:ilvl w:val="12"/>
          <w:numId w:val="0"/>
        </w:numPr>
        <w:spacing w:line="240" w:lineRule="auto"/>
        <w:rPr>
          <w:rFonts w:cs="Arial"/>
          <w:szCs w:val="20"/>
        </w:rPr>
      </w:pPr>
      <w:r w:rsidRPr="00F25E60">
        <w:rPr>
          <w:rFonts w:cs="Arial"/>
          <w:szCs w:val="20"/>
        </w:rPr>
        <w:tab/>
        <w:t>Roboty uznaje się za wykonane zgodnie z dokumentacją projektową, ST i wymaganiami Inżyniera, jeżeli wszystkie pomiary i badania z zachowaniem tolerancji według punktu 6 dały wyniki pozytywne.</w:t>
      </w:r>
    </w:p>
    <w:p w14:paraId="649B86AA" w14:textId="77777777" w:rsidR="00F25E60" w:rsidRPr="00F25E60" w:rsidRDefault="00F25E60" w:rsidP="00F25E60">
      <w:pPr>
        <w:pStyle w:val="Nagwek1"/>
        <w:spacing w:line="240" w:lineRule="auto"/>
        <w:rPr>
          <w:rFonts w:cs="Arial"/>
          <w:szCs w:val="20"/>
        </w:rPr>
      </w:pPr>
      <w:bookmarkStart w:id="911" w:name="_Toc348096814"/>
      <w:r w:rsidRPr="00F25E60">
        <w:rPr>
          <w:rFonts w:cs="Arial"/>
          <w:szCs w:val="20"/>
        </w:rPr>
        <w:t>9. Podstawa płatności</w:t>
      </w:r>
      <w:bookmarkEnd w:id="911"/>
    </w:p>
    <w:p w14:paraId="3D8A0BCA" w14:textId="77777777" w:rsidR="00F25E60" w:rsidRPr="00F25E60" w:rsidRDefault="00F25E60" w:rsidP="00F25E60">
      <w:pPr>
        <w:pStyle w:val="Nagwek2"/>
        <w:numPr>
          <w:ilvl w:val="12"/>
          <w:numId w:val="0"/>
        </w:numPr>
        <w:spacing w:line="240" w:lineRule="auto"/>
        <w:rPr>
          <w:rFonts w:cs="Arial"/>
          <w:szCs w:val="20"/>
        </w:rPr>
      </w:pPr>
      <w:r w:rsidRPr="00F25E60">
        <w:rPr>
          <w:rFonts w:cs="Arial"/>
          <w:szCs w:val="20"/>
        </w:rPr>
        <w:t>9.1. Ogólne ustalenia dotyczące podstawy płatności</w:t>
      </w:r>
    </w:p>
    <w:p w14:paraId="73F30AAA" w14:textId="280ECB8C" w:rsidR="00F25E60" w:rsidRPr="00F25E60" w:rsidRDefault="00F25E60" w:rsidP="00F25E60">
      <w:pPr>
        <w:numPr>
          <w:ilvl w:val="12"/>
          <w:numId w:val="0"/>
        </w:numPr>
        <w:spacing w:line="240" w:lineRule="auto"/>
        <w:rPr>
          <w:rFonts w:cs="Arial"/>
          <w:szCs w:val="20"/>
        </w:rPr>
      </w:pPr>
      <w:r w:rsidRPr="00F25E60">
        <w:rPr>
          <w:rFonts w:cs="Arial"/>
          <w:szCs w:val="20"/>
        </w:rPr>
        <w:tab/>
        <w:t xml:space="preserve">Ogólne ustalenia dotyczące podstawy płatności podano w </w:t>
      </w:r>
      <w:r w:rsidR="00C968CE">
        <w:rPr>
          <w:rFonts w:cs="Arial"/>
          <w:szCs w:val="20"/>
        </w:rPr>
        <w:t>S</w:t>
      </w:r>
      <w:r w:rsidRPr="00F25E60">
        <w:rPr>
          <w:rFonts w:cs="Arial"/>
          <w:szCs w:val="20"/>
        </w:rPr>
        <w:t>ST D-M-00.00.00 „Wymagania ogólne” [1], pkt 9.</w:t>
      </w:r>
    </w:p>
    <w:p w14:paraId="4DED0422" w14:textId="77777777" w:rsidR="00F25E60" w:rsidRPr="00F25E60" w:rsidRDefault="00F25E60" w:rsidP="00F25E60">
      <w:pPr>
        <w:pStyle w:val="Nagwek2"/>
        <w:numPr>
          <w:ilvl w:val="12"/>
          <w:numId w:val="0"/>
        </w:numPr>
        <w:spacing w:line="240" w:lineRule="auto"/>
        <w:rPr>
          <w:rFonts w:cs="Arial"/>
          <w:szCs w:val="20"/>
        </w:rPr>
      </w:pPr>
      <w:r w:rsidRPr="00F25E60">
        <w:rPr>
          <w:rFonts w:cs="Arial"/>
          <w:szCs w:val="20"/>
        </w:rPr>
        <w:t>9.2. Cena jednostki obmiarowej</w:t>
      </w:r>
    </w:p>
    <w:p w14:paraId="18C4673E" w14:textId="77777777" w:rsidR="00F25E60" w:rsidRPr="00F25E60" w:rsidRDefault="00F25E60" w:rsidP="00F25E60">
      <w:pPr>
        <w:numPr>
          <w:ilvl w:val="12"/>
          <w:numId w:val="0"/>
        </w:numPr>
        <w:spacing w:line="240" w:lineRule="auto"/>
        <w:rPr>
          <w:rFonts w:cs="Arial"/>
          <w:szCs w:val="20"/>
        </w:rPr>
      </w:pPr>
      <w:r w:rsidRPr="00F25E60">
        <w:rPr>
          <w:rFonts w:cs="Arial"/>
          <w:szCs w:val="20"/>
        </w:rPr>
        <w:tab/>
        <w:t>Cena wykonania  jednostki obmiarowej (</w:t>
      </w:r>
      <w:smartTag w:uri="urn:schemas-microsoft-com:office:smarttags" w:element="metricconverter">
        <w:smartTagPr>
          <w:attr w:name="ProductID" w:val="1 m2"/>
        </w:smartTagPr>
        <w:r w:rsidRPr="00F25E60">
          <w:rPr>
            <w:rFonts w:cs="Arial"/>
            <w:szCs w:val="20"/>
          </w:rPr>
          <w:t>1 m</w:t>
        </w:r>
        <w:r w:rsidRPr="00F25E60">
          <w:rPr>
            <w:rFonts w:cs="Arial"/>
            <w:szCs w:val="20"/>
            <w:vertAlign w:val="superscript"/>
          </w:rPr>
          <w:t>2</w:t>
        </w:r>
      </w:smartTag>
      <w:r w:rsidRPr="00F25E60">
        <w:rPr>
          <w:rFonts w:cs="Arial"/>
          <w:szCs w:val="20"/>
        </w:rPr>
        <w:t>) obejmuje:</w:t>
      </w:r>
    </w:p>
    <w:p w14:paraId="41B975AA"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prace pomiarowe i roboty przygotowawcze,</w:t>
      </w:r>
    </w:p>
    <w:p w14:paraId="02E3C0D2"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oznakowanie robót,</w:t>
      </w:r>
    </w:p>
    <w:p w14:paraId="7668E565"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dostarczenie materiałów i sprzętu,</w:t>
      </w:r>
    </w:p>
    <w:p w14:paraId="31353ADF"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przygotowanie mieszanki z kruszywa, zgodnie z receptą,</w:t>
      </w:r>
    </w:p>
    <w:p w14:paraId="62204C0F"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dostarczenie mieszanki na miejsce wbudowania,</w:t>
      </w:r>
    </w:p>
    <w:p w14:paraId="0C12CD7E"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rozłożenie mieszanki,</w:t>
      </w:r>
    </w:p>
    <w:p w14:paraId="48621FC8"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zagęszczenie mieszanki,</w:t>
      </w:r>
    </w:p>
    <w:p w14:paraId="776A20A8"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utrzymanie warstwy w czasie robót,</w:t>
      </w:r>
    </w:p>
    <w:p w14:paraId="3D73C78A"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przeprowadzenie wymaganych  pomiarów i badań,</w:t>
      </w:r>
    </w:p>
    <w:p w14:paraId="1DBAD260"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uporządkowanie terenu robót i jego otoczenia,</w:t>
      </w:r>
    </w:p>
    <w:p w14:paraId="23256D2A"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roboty wykończeniowe,</w:t>
      </w:r>
    </w:p>
    <w:p w14:paraId="6DD9B840"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b/>
          <w:szCs w:val="20"/>
        </w:rPr>
      </w:pPr>
      <w:r w:rsidRPr="00F25E60">
        <w:rPr>
          <w:rFonts w:cs="Arial"/>
          <w:szCs w:val="20"/>
        </w:rPr>
        <w:t>odwiezienie sprzętu.</w:t>
      </w:r>
    </w:p>
    <w:p w14:paraId="547E60D7" w14:textId="77777777" w:rsidR="00F25E60" w:rsidRPr="00F25E60" w:rsidRDefault="00F25E60" w:rsidP="00F25E60">
      <w:pPr>
        <w:spacing w:line="240" w:lineRule="auto"/>
        <w:ind w:firstLine="709"/>
        <w:rPr>
          <w:rFonts w:cs="Arial"/>
          <w:szCs w:val="20"/>
        </w:rPr>
      </w:pPr>
      <w:r w:rsidRPr="00F25E60">
        <w:rPr>
          <w:rFonts w:cs="Arial"/>
          <w:szCs w:val="20"/>
        </w:rPr>
        <w:t>Wszystkie roboty powinny być wykonane według wymagań dokumentacji projektowej, ST, specyfikacji technicznej i postanowień Inżyniera.</w:t>
      </w:r>
    </w:p>
    <w:p w14:paraId="0F560009" w14:textId="77777777" w:rsidR="00F25E60" w:rsidRPr="00F25E60" w:rsidRDefault="00F25E60" w:rsidP="00F25E60">
      <w:pPr>
        <w:pStyle w:val="Nagwek2"/>
        <w:spacing w:line="240" w:lineRule="auto"/>
        <w:rPr>
          <w:rFonts w:cs="Arial"/>
          <w:szCs w:val="20"/>
        </w:rPr>
      </w:pPr>
      <w:r w:rsidRPr="00F25E60">
        <w:rPr>
          <w:rFonts w:cs="Arial"/>
          <w:szCs w:val="20"/>
        </w:rPr>
        <w:t>9.3. Sposób rozliczenia robót tymczasowych i prac towarzyszących</w:t>
      </w:r>
    </w:p>
    <w:p w14:paraId="714C0A45" w14:textId="46F6CCA2" w:rsidR="00F25E60" w:rsidRPr="00F25E60" w:rsidRDefault="00F25E60" w:rsidP="00F25E60">
      <w:pPr>
        <w:spacing w:line="240" w:lineRule="auto"/>
        <w:rPr>
          <w:rFonts w:cs="Arial"/>
          <w:szCs w:val="20"/>
        </w:rPr>
      </w:pPr>
      <w:r w:rsidRPr="00F25E60">
        <w:rPr>
          <w:rFonts w:cs="Arial"/>
          <w:szCs w:val="20"/>
        </w:rPr>
        <w:tab/>
        <w:t xml:space="preserve">Cena wykonania robót określonych niniejszą </w:t>
      </w:r>
      <w:r w:rsidR="00C968CE">
        <w:rPr>
          <w:rFonts w:cs="Arial"/>
          <w:szCs w:val="20"/>
        </w:rPr>
        <w:t>S</w:t>
      </w:r>
      <w:r w:rsidRPr="00F25E60">
        <w:rPr>
          <w:rFonts w:cs="Arial"/>
          <w:szCs w:val="20"/>
        </w:rPr>
        <w:t>ST obejmuje:</w:t>
      </w:r>
    </w:p>
    <w:p w14:paraId="0D32F154"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roboty tymczasowe, które są potrzebne do wykonania robót podstawowych, ale nie są przekazywane Zamawiającemu i są usuwane po wykonaniu robót podstawowych,</w:t>
      </w:r>
    </w:p>
    <w:p w14:paraId="7660EB85" w14:textId="77777777" w:rsidR="00F25E60" w:rsidRPr="00F25E60" w:rsidRDefault="00F25E60" w:rsidP="00CF1E7D">
      <w:pPr>
        <w:numPr>
          <w:ilvl w:val="0"/>
          <w:numId w:val="260"/>
        </w:numPr>
        <w:overflowPunct w:val="0"/>
        <w:autoSpaceDE w:val="0"/>
        <w:autoSpaceDN w:val="0"/>
        <w:adjustRightInd w:val="0"/>
        <w:spacing w:line="240" w:lineRule="auto"/>
        <w:jc w:val="both"/>
        <w:textAlignment w:val="baseline"/>
        <w:rPr>
          <w:rFonts w:cs="Arial"/>
          <w:szCs w:val="20"/>
        </w:rPr>
      </w:pPr>
      <w:r w:rsidRPr="00F25E60">
        <w:rPr>
          <w:rFonts w:cs="Arial"/>
          <w:szCs w:val="20"/>
        </w:rPr>
        <w:t>prace towarzyszące, które są niezbędne do wykonania robót podstawowych, niezaliczane do robót tymczasowych, jak geodezyjne wytyczenie robót itd.</w:t>
      </w:r>
    </w:p>
    <w:p w14:paraId="7F383C82" w14:textId="77777777" w:rsidR="00F25E60" w:rsidRPr="00F25E60" w:rsidRDefault="00F25E60" w:rsidP="00F25E60">
      <w:pPr>
        <w:pStyle w:val="Nagwek1"/>
        <w:spacing w:line="240" w:lineRule="auto"/>
        <w:rPr>
          <w:rFonts w:cs="Arial"/>
          <w:szCs w:val="20"/>
        </w:rPr>
      </w:pPr>
      <w:bookmarkStart w:id="912" w:name="_Toc348096815"/>
      <w:r w:rsidRPr="00F25E60">
        <w:rPr>
          <w:rFonts w:cs="Arial"/>
          <w:szCs w:val="20"/>
        </w:rPr>
        <w:t>10. Przepisy związane</w:t>
      </w:r>
      <w:bookmarkEnd w:id="912"/>
    </w:p>
    <w:p w14:paraId="2B763659" w14:textId="5D2797FE" w:rsidR="00F25E60" w:rsidRPr="00F25E60" w:rsidRDefault="00F25E60" w:rsidP="00F25E60">
      <w:pPr>
        <w:pStyle w:val="Nagwek2"/>
        <w:spacing w:line="240" w:lineRule="auto"/>
        <w:rPr>
          <w:rFonts w:cs="Arial"/>
          <w:szCs w:val="20"/>
        </w:rPr>
      </w:pPr>
      <w:r w:rsidRPr="00F25E60">
        <w:rPr>
          <w:rFonts w:cs="Arial"/>
          <w:szCs w:val="20"/>
        </w:rPr>
        <w:t>10.1. Ogólne specyfikacje techniczne (</w:t>
      </w:r>
      <w:r w:rsidR="00C968CE">
        <w:rPr>
          <w:rFonts w:cs="Arial"/>
          <w:szCs w:val="20"/>
        </w:rPr>
        <w:t>S</w:t>
      </w:r>
      <w:r w:rsidRPr="00F25E60">
        <w:rPr>
          <w:rFonts w:cs="Arial"/>
          <w:szCs w:val="20"/>
        </w:rPr>
        <w:t>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F25E60" w:rsidRPr="00F25E60" w14:paraId="43742151" w14:textId="77777777" w:rsidTr="007B6855">
        <w:tc>
          <w:tcPr>
            <w:tcW w:w="637" w:type="dxa"/>
          </w:tcPr>
          <w:p w14:paraId="710FB631" w14:textId="77777777" w:rsidR="00F25E60" w:rsidRPr="00F25E60" w:rsidRDefault="00F25E60" w:rsidP="00F25E60">
            <w:pPr>
              <w:spacing w:line="240" w:lineRule="auto"/>
              <w:jc w:val="center"/>
              <w:rPr>
                <w:rFonts w:cs="Arial"/>
                <w:szCs w:val="20"/>
              </w:rPr>
            </w:pPr>
            <w:r w:rsidRPr="00F25E60">
              <w:rPr>
                <w:rFonts w:cs="Arial"/>
                <w:szCs w:val="20"/>
              </w:rPr>
              <w:t>1.</w:t>
            </w:r>
          </w:p>
        </w:tc>
        <w:tc>
          <w:tcPr>
            <w:tcW w:w="2073" w:type="dxa"/>
          </w:tcPr>
          <w:p w14:paraId="02CD690B" w14:textId="77777777" w:rsidR="00F25E60" w:rsidRPr="00F25E60" w:rsidRDefault="00F25E60" w:rsidP="00F25E60">
            <w:pPr>
              <w:spacing w:line="240" w:lineRule="auto"/>
              <w:rPr>
                <w:rFonts w:cs="Arial"/>
                <w:szCs w:val="20"/>
              </w:rPr>
            </w:pPr>
            <w:r w:rsidRPr="00F25E60">
              <w:rPr>
                <w:rFonts w:cs="Arial"/>
                <w:szCs w:val="20"/>
              </w:rPr>
              <w:t xml:space="preserve"> D-M-00.00.00</w:t>
            </w:r>
          </w:p>
        </w:tc>
        <w:tc>
          <w:tcPr>
            <w:tcW w:w="6492" w:type="dxa"/>
          </w:tcPr>
          <w:p w14:paraId="1D438C90" w14:textId="77777777" w:rsidR="00F25E60" w:rsidRPr="00F25E60" w:rsidRDefault="00F25E60" w:rsidP="00F25E60">
            <w:pPr>
              <w:spacing w:line="240" w:lineRule="auto"/>
              <w:rPr>
                <w:rFonts w:cs="Arial"/>
                <w:szCs w:val="20"/>
              </w:rPr>
            </w:pPr>
            <w:r w:rsidRPr="00F25E60">
              <w:rPr>
                <w:rFonts w:cs="Arial"/>
                <w:szCs w:val="20"/>
              </w:rPr>
              <w:t>Wymagania ogólne</w:t>
            </w:r>
          </w:p>
        </w:tc>
      </w:tr>
      <w:tr w:rsidR="00F25E60" w:rsidRPr="00F25E60" w14:paraId="549437D5" w14:textId="77777777" w:rsidTr="007B6855">
        <w:tc>
          <w:tcPr>
            <w:tcW w:w="637" w:type="dxa"/>
          </w:tcPr>
          <w:p w14:paraId="592F0953" w14:textId="77777777" w:rsidR="00F25E60" w:rsidRPr="00F25E60" w:rsidRDefault="00F25E60" w:rsidP="00F25E60">
            <w:pPr>
              <w:spacing w:line="240" w:lineRule="auto"/>
              <w:jc w:val="center"/>
              <w:rPr>
                <w:rFonts w:cs="Arial"/>
                <w:szCs w:val="20"/>
              </w:rPr>
            </w:pPr>
            <w:r w:rsidRPr="00F25E60">
              <w:rPr>
                <w:rFonts w:cs="Arial"/>
                <w:szCs w:val="20"/>
              </w:rPr>
              <w:t>2.</w:t>
            </w:r>
          </w:p>
        </w:tc>
        <w:tc>
          <w:tcPr>
            <w:tcW w:w="2073" w:type="dxa"/>
          </w:tcPr>
          <w:p w14:paraId="7C859A61" w14:textId="77777777" w:rsidR="00F25E60" w:rsidRPr="00F25E60" w:rsidRDefault="00F25E60" w:rsidP="00F25E60">
            <w:pPr>
              <w:spacing w:line="240" w:lineRule="auto"/>
              <w:rPr>
                <w:rFonts w:cs="Arial"/>
                <w:szCs w:val="20"/>
              </w:rPr>
            </w:pPr>
            <w:r w:rsidRPr="00F25E60">
              <w:rPr>
                <w:rFonts w:cs="Arial"/>
                <w:szCs w:val="20"/>
              </w:rPr>
              <w:t xml:space="preserve"> D-01.00.00</w:t>
            </w:r>
          </w:p>
        </w:tc>
        <w:tc>
          <w:tcPr>
            <w:tcW w:w="6492" w:type="dxa"/>
          </w:tcPr>
          <w:p w14:paraId="2C80644A" w14:textId="77777777" w:rsidR="00F25E60" w:rsidRPr="00F25E60" w:rsidRDefault="00F25E60" w:rsidP="00F25E60">
            <w:pPr>
              <w:spacing w:line="240" w:lineRule="auto"/>
              <w:rPr>
                <w:rFonts w:cs="Arial"/>
                <w:szCs w:val="20"/>
              </w:rPr>
            </w:pPr>
            <w:r w:rsidRPr="00F25E60">
              <w:rPr>
                <w:rFonts w:cs="Arial"/>
                <w:szCs w:val="20"/>
              </w:rPr>
              <w:t>Roboty przygotowawcze</w:t>
            </w:r>
          </w:p>
        </w:tc>
      </w:tr>
      <w:tr w:rsidR="00F25E60" w:rsidRPr="00F25E60" w14:paraId="2C962545" w14:textId="77777777" w:rsidTr="007B6855">
        <w:tc>
          <w:tcPr>
            <w:tcW w:w="637" w:type="dxa"/>
          </w:tcPr>
          <w:p w14:paraId="552ED51F" w14:textId="77777777" w:rsidR="00F25E60" w:rsidRPr="00F25E60" w:rsidRDefault="00F25E60" w:rsidP="00F25E60">
            <w:pPr>
              <w:spacing w:line="240" w:lineRule="auto"/>
              <w:jc w:val="center"/>
              <w:rPr>
                <w:rFonts w:cs="Arial"/>
                <w:szCs w:val="20"/>
              </w:rPr>
            </w:pPr>
            <w:r w:rsidRPr="00F25E60">
              <w:rPr>
                <w:rFonts w:cs="Arial"/>
                <w:szCs w:val="20"/>
              </w:rPr>
              <w:t>3.</w:t>
            </w:r>
          </w:p>
        </w:tc>
        <w:tc>
          <w:tcPr>
            <w:tcW w:w="2073" w:type="dxa"/>
          </w:tcPr>
          <w:p w14:paraId="00B2F1F0" w14:textId="77777777" w:rsidR="00F25E60" w:rsidRPr="00F25E60" w:rsidRDefault="00F25E60" w:rsidP="00F25E60">
            <w:pPr>
              <w:spacing w:line="240" w:lineRule="auto"/>
              <w:rPr>
                <w:rFonts w:cs="Arial"/>
                <w:szCs w:val="20"/>
              </w:rPr>
            </w:pPr>
            <w:r w:rsidRPr="00F25E60">
              <w:rPr>
                <w:rFonts w:cs="Arial"/>
                <w:szCs w:val="20"/>
              </w:rPr>
              <w:t xml:space="preserve"> D-02.00.00</w:t>
            </w:r>
          </w:p>
        </w:tc>
        <w:tc>
          <w:tcPr>
            <w:tcW w:w="6492" w:type="dxa"/>
          </w:tcPr>
          <w:p w14:paraId="6BF83856" w14:textId="77777777" w:rsidR="00F25E60" w:rsidRPr="00F25E60" w:rsidRDefault="00F25E60" w:rsidP="00F25E60">
            <w:pPr>
              <w:spacing w:line="240" w:lineRule="auto"/>
              <w:rPr>
                <w:rFonts w:cs="Arial"/>
                <w:szCs w:val="20"/>
              </w:rPr>
            </w:pPr>
            <w:r w:rsidRPr="00F25E60">
              <w:rPr>
                <w:rFonts w:cs="Arial"/>
                <w:szCs w:val="20"/>
              </w:rPr>
              <w:t>Roboty ziemne</w:t>
            </w:r>
          </w:p>
        </w:tc>
      </w:tr>
      <w:tr w:rsidR="00F25E60" w:rsidRPr="00F25E60" w14:paraId="25613EFA" w14:textId="77777777" w:rsidTr="007B6855">
        <w:tc>
          <w:tcPr>
            <w:tcW w:w="637" w:type="dxa"/>
          </w:tcPr>
          <w:p w14:paraId="172087FC" w14:textId="77777777" w:rsidR="00F25E60" w:rsidRPr="00F25E60" w:rsidRDefault="00F25E60" w:rsidP="00F25E60">
            <w:pPr>
              <w:spacing w:line="240" w:lineRule="auto"/>
              <w:jc w:val="center"/>
              <w:rPr>
                <w:rFonts w:cs="Arial"/>
                <w:szCs w:val="20"/>
              </w:rPr>
            </w:pPr>
            <w:r w:rsidRPr="00F25E60">
              <w:rPr>
                <w:rFonts w:cs="Arial"/>
                <w:szCs w:val="20"/>
              </w:rPr>
              <w:t>4.</w:t>
            </w:r>
          </w:p>
        </w:tc>
        <w:tc>
          <w:tcPr>
            <w:tcW w:w="2073" w:type="dxa"/>
          </w:tcPr>
          <w:p w14:paraId="560D7FB3" w14:textId="77777777" w:rsidR="00F25E60" w:rsidRPr="00F25E60" w:rsidRDefault="00F25E60" w:rsidP="00F25E60">
            <w:pPr>
              <w:spacing w:line="240" w:lineRule="auto"/>
              <w:rPr>
                <w:rFonts w:cs="Arial"/>
                <w:szCs w:val="20"/>
              </w:rPr>
            </w:pPr>
            <w:r w:rsidRPr="00F25E60">
              <w:rPr>
                <w:rFonts w:cs="Arial"/>
                <w:szCs w:val="20"/>
              </w:rPr>
              <w:t xml:space="preserve"> D-04.01.01</w:t>
            </w:r>
          </w:p>
        </w:tc>
        <w:tc>
          <w:tcPr>
            <w:tcW w:w="6492" w:type="dxa"/>
          </w:tcPr>
          <w:p w14:paraId="5EE8D5DC" w14:textId="77777777" w:rsidR="00F25E60" w:rsidRPr="00F25E60" w:rsidRDefault="00F25E60" w:rsidP="00F25E60">
            <w:pPr>
              <w:spacing w:line="240" w:lineRule="auto"/>
              <w:rPr>
                <w:rFonts w:cs="Arial"/>
                <w:szCs w:val="20"/>
              </w:rPr>
            </w:pPr>
            <w:r w:rsidRPr="00F25E60">
              <w:rPr>
                <w:rFonts w:cs="Arial"/>
                <w:szCs w:val="20"/>
              </w:rPr>
              <w:t>Koryto wraz z profilowaniem i zagęszczeniem podłoża (zawarte w OST D-04.01.01÷04.03.01 Dolne warstwy podbudów oraz oczyszczenie i skropienie)</w:t>
            </w:r>
          </w:p>
        </w:tc>
      </w:tr>
      <w:tr w:rsidR="00F25E60" w:rsidRPr="00F25E60" w14:paraId="7A64560A" w14:textId="77777777" w:rsidTr="007B6855">
        <w:tc>
          <w:tcPr>
            <w:tcW w:w="637" w:type="dxa"/>
          </w:tcPr>
          <w:p w14:paraId="1EB9BF6F" w14:textId="77777777" w:rsidR="00F25E60" w:rsidRPr="00F25E60" w:rsidRDefault="00F25E60" w:rsidP="00F25E60">
            <w:pPr>
              <w:spacing w:line="240" w:lineRule="auto"/>
              <w:jc w:val="center"/>
              <w:rPr>
                <w:rFonts w:cs="Arial"/>
                <w:szCs w:val="20"/>
              </w:rPr>
            </w:pPr>
            <w:r w:rsidRPr="00F25E60">
              <w:rPr>
                <w:rFonts w:cs="Arial"/>
                <w:szCs w:val="20"/>
              </w:rPr>
              <w:t>5.</w:t>
            </w:r>
          </w:p>
        </w:tc>
        <w:tc>
          <w:tcPr>
            <w:tcW w:w="2073" w:type="dxa"/>
          </w:tcPr>
          <w:p w14:paraId="56F1CB28" w14:textId="77777777" w:rsidR="00F25E60" w:rsidRPr="00F25E60" w:rsidRDefault="00F25E60" w:rsidP="00F25E60">
            <w:pPr>
              <w:spacing w:line="240" w:lineRule="auto"/>
              <w:rPr>
                <w:rFonts w:cs="Arial"/>
                <w:szCs w:val="20"/>
              </w:rPr>
            </w:pPr>
            <w:r w:rsidRPr="00F25E60">
              <w:rPr>
                <w:rFonts w:cs="Arial"/>
                <w:szCs w:val="20"/>
              </w:rPr>
              <w:t>D-04.02.01</w:t>
            </w:r>
          </w:p>
        </w:tc>
        <w:tc>
          <w:tcPr>
            <w:tcW w:w="6492" w:type="dxa"/>
          </w:tcPr>
          <w:p w14:paraId="150BA276" w14:textId="77777777" w:rsidR="00F25E60" w:rsidRPr="00F25E60" w:rsidRDefault="00F25E60" w:rsidP="00F25E60">
            <w:pPr>
              <w:spacing w:line="240" w:lineRule="auto"/>
              <w:rPr>
                <w:rFonts w:cs="Arial"/>
                <w:szCs w:val="20"/>
              </w:rPr>
            </w:pPr>
            <w:r w:rsidRPr="00F25E60">
              <w:rPr>
                <w:rFonts w:cs="Arial"/>
                <w:szCs w:val="20"/>
              </w:rPr>
              <w:t>Warstwy odsączające i odcinające  (zawarte w OST                      D-04.01.01÷04.03.01 Dolne warstwy podbudów oraz oczyszczenie i skropienie)</w:t>
            </w:r>
          </w:p>
        </w:tc>
      </w:tr>
      <w:tr w:rsidR="00F25E60" w:rsidRPr="00F25E60" w14:paraId="273AD3F2" w14:textId="77777777" w:rsidTr="007B6855">
        <w:tc>
          <w:tcPr>
            <w:tcW w:w="637" w:type="dxa"/>
          </w:tcPr>
          <w:p w14:paraId="7645C147" w14:textId="77777777" w:rsidR="00F25E60" w:rsidRPr="00F25E60" w:rsidRDefault="00F25E60" w:rsidP="00F25E60">
            <w:pPr>
              <w:spacing w:line="240" w:lineRule="auto"/>
              <w:jc w:val="center"/>
              <w:rPr>
                <w:rFonts w:cs="Arial"/>
                <w:szCs w:val="20"/>
              </w:rPr>
            </w:pPr>
            <w:r w:rsidRPr="00F25E60">
              <w:rPr>
                <w:rFonts w:cs="Arial"/>
                <w:szCs w:val="20"/>
              </w:rPr>
              <w:t>6.</w:t>
            </w:r>
          </w:p>
        </w:tc>
        <w:tc>
          <w:tcPr>
            <w:tcW w:w="2073" w:type="dxa"/>
          </w:tcPr>
          <w:p w14:paraId="6D14C68A" w14:textId="77777777" w:rsidR="00F25E60" w:rsidRPr="00F25E60" w:rsidRDefault="00F25E60" w:rsidP="00F25E60">
            <w:pPr>
              <w:spacing w:line="240" w:lineRule="auto"/>
              <w:rPr>
                <w:rFonts w:cs="Arial"/>
                <w:szCs w:val="20"/>
              </w:rPr>
            </w:pPr>
            <w:r w:rsidRPr="00F25E60">
              <w:rPr>
                <w:rFonts w:cs="Arial"/>
                <w:szCs w:val="20"/>
              </w:rPr>
              <w:t>D-04.02.01a</w:t>
            </w:r>
          </w:p>
        </w:tc>
        <w:tc>
          <w:tcPr>
            <w:tcW w:w="6492" w:type="dxa"/>
          </w:tcPr>
          <w:p w14:paraId="51117ED0" w14:textId="77777777" w:rsidR="00F25E60" w:rsidRPr="00F25E60" w:rsidRDefault="00F25E60" w:rsidP="00F25E60">
            <w:pPr>
              <w:spacing w:line="240" w:lineRule="auto"/>
              <w:rPr>
                <w:rFonts w:cs="Arial"/>
                <w:szCs w:val="20"/>
              </w:rPr>
            </w:pPr>
            <w:r w:rsidRPr="00F25E60">
              <w:rPr>
                <w:rFonts w:cs="Arial"/>
                <w:szCs w:val="20"/>
              </w:rPr>
              <w:t>Warstwa odcinająca z geowłókniny</w:t>
            </w:r>
          </w:p>
        </w:tc>
      </w:tr>
      <w:tr w:rsidR="00F25E60" w:rsidRPr="00F25E60" w14:paraId="0B2AB702" w14:textId="77777777" w:rsidTr="007B6855">
        <w:tc>
          <w:tcPr>
            <w:tcW w:w="637" w:type="dxa"/>
          </w:tcPr>
          <w:p w14:paraId="16E1B159" w14:textId="77777777" w:rsidR="00F25E60" w:rsidRPr="00F25E60" w:rsidRDefault="00F25E60" w:rsidP="00F25E60">
            <w:pPr>
              <w:spacing w:line="240" w:lineRule="auto"/>
              <w:jc w:val="center"/>
              <w:rPr>
                <w:rFonts w:cs="Arial"/>
                <w:szCs w:val="20"/>
              </w:rPr>
            </w:pPr>
            <w:r w:rsidRPr="00F25E60">
              <w:rPr>
                <w:rFonts w:cs="Arial"/>
                <w:szCs w:val="20"/>
              </w:rPr>
              <w:t>7.</w:t>
            </w:r>
          </w:p>
        </w:tc>
        <w:tc>
          <w:tcPr>
            <w:tcW w:w="2073" w:type="dxa"/>
          </w:tcPr>
          <w:p w14:paraId="6B5D7347" w14:textId="77777777" w:rsidR="00F25E60" w:rsidRPr="00F25E60" w:rsidRDefault="00F25E60" w:rsidP="00F25E60">
            <w:pPr>
              <w:spacing w:line="240" w:lineRule="auto"/>
              <w:rPr>
                <w:rFonts w:cs="Arial"/>
                <w:szCs w:val="20"/>
              </w:rPr>
            </w:pPr>
            <w:r w:rsidRPr="00F25E60">
              <w:rPr>
                <w:rFonts w:cs="Arial"/>
                <w:szCs w:val="20"/>
              </w:rPr>
              <w:t>D-04.04.00a</w:t>
            </w:r>
          </w:p>
        </w:tc>
        <w:tc>
          <w:tcPr>
            <w:tcW w:w="6492" w:type="dxa"/>
          </w:tcPr>
          <w:p w14:paraId="7B1C63B9" w14:textId="77777777" w:rsidR="00F25E60" w:rsidRPr="00F25E60" w:rsidRDefault="00F25E60" w:rsidP="00F25E60">
            <w:pPr>
              <w:spacing w:line="240" w:lineRule="auto"/>
              <w:rPr>
                <w:rFonts w:cs="Arial"/>
                <w:szCs w:val="20"/>
              </w:rPr>
            </w:pPr>
            <w:r w:rsidRPr="00F25E60">
              <w:rPr>
                <w:rFonts w:cs="Arial"/>
                <w:szCs w:val="20"/>
              </w:rPr>
              <w:t>Podłoże ulepszone z mieszanki kruszywa niezwiązanego</w:t>
            </w:r>
          </w:p>
        </w:tc>
      </w:tr>
    </w:tbl>
    <w:p w14:paraId="00BB7284" w14:textId="77777777" w:rsidR="00F25E60" w:rsidRPr="00F25E60" w:rsidRDefault="00F25E60" w:rsidP="00F25E60">
      <w:pPr>
        <w:pStyle w:val="Nagwek2"/>
        <w:spacing w:line="240" w:lineRule="auto"/>
        <w:rPr>
          <w:rFonts w:cs="Arial"/>
          <w:szCs w:val="20"/>
        </w:rPr>
      </w:pPr>
      <w:r w:rsidRPr="00F25E60">
        <w:rPr>
          <w:rFonts w:cs="Arial"/>
          <w:szCs w:val="20"/>
        </w:rPr>
        <w:t>10.2. Normy</w:t>
      </w:r>
    </w:p>
    <w:tbl>
      <w:tblPr>
        <w:tblW w:w="9228" w:type="dxa"/>
        <w:tblLook w:val="01E0" w:firstRow="1" w:lastRow="1" w:firstColumn="1" w:lastColumn="1" w:noHBand="0" w:noVBand="0"/>
      </w:tblPr>
      <w:tblGrid>
        <w:gridCol w:w="675"/>
        <w:gridCol w:w="2073"/>
        <w:gridCol w:w="6480"/>
      </w:tblGrid>
      <w:tr w:rsidR="00F25E60" w:rsidRPr="00F25E60" w14:paraId="094D7576" w14:textId="77777777" w:rsidTr="007B6855">
        <w:tc>
          <w:tcPr>
            <w:tcW w:w="675" w:type="dxa"/>
          </w:tcPr>
          <w:p w14:paraId="3224DA91" w14:textId="77777777" w:rsidR="00F25E60" w:rsidRPr="00F25E60" w:rsidRDefault="00F25E60" w:rsidP="00F25E60">
            <w:pPr>
              <w:spacing w:line="240" w:lineRule="auto"/>
              <w:jc w:val="center"/>
              <w:rPr>
                <w:rFonts w:cs="Arial"/>
                <w:szCs w:val="20"/>
              </w:rPr>
            </w:pPr>
            <w:r w:rsidRPr="00F25E60">
              <w:rPr>
                <w:rFonts w:cs="Arial"/>
                <w:szCs w:val="20"/>
              </w:rPr>
              <w:t>8.</w:t>
            </w:r>
          </w:p>
        </w:tc>
        <w:tc>
          <w:tcPr>
            <w:tcW w:w="2073" w:type="dxa"/>
          </w:tcPr>
          <w:p w14:paraId="4AE1B163" w14:textId="77777777" w:rsidR="00F25E60" w:rsidRPr="00F25E60" w:rsidRDefault="00F25E60" w:rsidP="00F25E60">
            <w:pPr>
              <w:spacing w:line="240" w:lineRule="auto"/>
              <w:rPr>
                <w:rFonts w:cs="Arial"/>
                <w:szCs w:val="20"/>
              </w:rPr>
            </w:pPr>
            <w:r w:rsidRPr="00F25E60">
              <w:rPr>
                <w:rFonts w:cs="Arial"/>
                <w:szCs w:val="20"/>
              </w:rPr>
              <w:t>PN-EN 933-1</w:t>
            </w:r>
          </w:p>
        </w:tc>
        <w:tc>
          <w:tcPr>
            <w:tcW w:w="6480" w:type="dxa"/>
          </w:tcPr>
          <w:p w14:paraId="4F5EF799" w14:textId="77777777" w:rsidR="00F25E60" w:rsidRPr="00F25E60" w:rsidRDefault="00F25E60" w:rsidP="00F25E60">
            <w:pPr>
              <w:spacing w:line="240" w:lineRule="auto"/>
              <w:rPr>
                <w:rFonts w:cs="Arial"/>
                <w:szCs w:val="20"/>
              </w:rPr>
            </w:pPr>
            <w:r w:rsidRPr="00F25E60">
              <w:rPr>
                <w:rFonts w:cs="Arial"/>
                <w:szCs w:val="20"/>
              </w:rPr>
              <w:t>Badania geometrycznych właściwości kruszyw – Oznaczanie składu ziarnowego – Metoda przesiewania</w:t>
            </w:r>
          </w:p>
        </w:tc>
      </w:tr>
      <w:tr w:rsidR="00F25E60" w:rsidRPr="00F25E60" w14:paraId="10E3B209" w14:textId="77777777" w:rsidTr="007B6855">
        <w:tc>
          <w:tcPr>
            <w:tcW w:w="675" w:type="dxa"/>
          </w:tcPr>
          <w:p w14:paraId="7B9FF147" w14:textId="77777777" w:rsidR="00F25E60" w:rsidRPr="00F25E60" w:rsidRDefault="00F25E60" w:rsidP="00F25E60">
            <w:pPr>
              <w:spacing w:line="240" w:lineRule="auto"/>
              <w:jc w:val="center"/>
              <w:rPr>
                <w:rFonts w:cs="Arial"/>
                <w:szCs w:val="20"/>
              </w:rPr>
            </w:pPr>
            <w:r w:rsidRPr="00F25E60">
              <w:rPr>
                <w:rFonts w:cs="Arial"/>
                <w:szCs w:val="20"/>
              </w:rPr>
              <w:t>9.</w:t>
            </w:r>
          </w:p>
        </w:tc>
        <w:tc>
          <w:tcPr>
            <w:tcW w:w="2073" w:type="dxa"/>
          </w:tcPr>
          <w:p w14:paraId="41F82096" w14:textId="77777777" w:rsidR="00F25E60" w:rsidRPr="00F25E60" w:rsidRDefault="00F25E60" w:rsidP="00F25E60">
            <w:pPr>
              <w:spacing w:line="240" w:lineRule="auto"/>
              <w:rPr>
                <w:rFonts w:cs="Arial"/>
                <w:szCs w:val="20"/>
              </w:rPr>
            </w:pPr>
            <w:r w:rsidRPr="00F25E60">
              <w:rPr>
                <w:rFonts w:cs="Arial"/>
                <w:szCs w:val="20"/>
              </w:rPr>
              <w:t>PN-EN 933-3</w:t>
            </w:r>
          </w:p>
        </w:tc>
        <w:tc>
          <w:tcPr>
            <w:tcW w:w="6480" w:type="dxa"/>
          </w:tcPr>
          <w:p w14:paraId="6706F4A1" w14:textId="77777777" w:rsidR="00F25E60" w:rsidRPr="00F25E60" w:rsidRDefault="00F25E60" w:rsidP="00F25E60">
            <w:pPr>
              <w:spacing w:line="240" w:lineRule="auto"/>
              <w:rPr>
                <w:rFonts w:cs="Arial"/>
                <w:szCs w:val="20"/>
              </w:rPr>
            </w:pPr>
            <w:r w:rsidRPr="00F25E60">
              <w:rPr>
                <w:rFonts w:cs="Arial"/>
                <w:szCs w:val="20"/>
              </w:rPr>
              <w:t>Badania geometrycznych właściwości kruszyw – Oznaczanie kształtu ziaren za pomocą wskaźnika płaskości</w:t>
            </w:r>
          </w:p>
        </w:tc>
      </w:tr>
      <w:tr w:rsidR="00F25E60" w:rsidRPr="00F25E60" w14:paraId="22999F53" w14:textId="77777777" w:rsidTr="007B6855">
        <w:tc>
          <w:tcPr>
            <w:tcW w:w="675" w:type="dxa"/>
          </w:tcPr>
          <w:p w14:paraId="0A31CC2E" w14:textId="77777777" w:rsidR="00F25E60" w:rsidRPr="00F25E60" w:rsidRDefault="00F25E60" w:rsidP="00F25E60">
            <w:pPr>
              <w:spacing w:line="240" w:lineRule="auto"/>
              <w:jc w:val="center"/>
              <w:rPr>
                <w:rFonts w:cs="Arial"/>
                <w:szCs w:val="20"/>
              </w:rPr>
            </w:pPr>
            <w:r w:rsidRPr="00F25E60">
              <w:rPr>
                <w:rFonts w:cs="Arial"/>
                <w:szCs w:val="20"/>
              </w:rPr>
              <w:t>10.</w:t>
            </w:r>
          </w:p>
        </w:tc>
        <w:tc>
          <w:tcPr>
            <w:tcW w:w="2073" w:type="dxa"/>
          </w:tcPr>
          <w:p w14:paraId="3372AA13" w14:textId="77777777" w:rsidR="00F25E60" w:rsidRPr="00F25E60" w:rsidRDefault="00F25E60" w:rsidP="00F25E60">
            <w:pPr>
              <w:spacing w:line="240" w:lineRule="auto"/>
              <w:rPr>
                <w:rFonts w:cs="Arial"/>
                <w:szCs w:val="20"/>
              </w:rPr>
            </w:pPr>
            <w:r w:rsidRPr="00F25E60">
              <w:rPr>
                <w:rFonts w:cs="Arial"/>
                <w:szCs w:val="20"/>
              </w:rPr>
              <w:t>PN-EN 933-4</w:t>
            </w:r>
          </w:p>
        </w:tc>
        <w:tc>
          <w:tcPr>
            <w:tcW w:w="6480" w:type="dxa"/>
          </w:tcPr>
          <w:p w14:paraId="50F35891" w14:textId="77777777" w:rsidR="00F25E60" w:rsidRPr="00F25E60" w:rsidRDefault="00F25E60" w:rsidP="00F25E60">
            <w:pPr>
              <w:spacing w:line="240" w:lineRule="auto"/>
              <w:rPr>
                <w:rFonts w:cs="Arial"/>
                <w:szCs w:val="20"/>
              </w:rPr>
            </w:pPr>
            <w:r w:rsidRPr="00F25E60">
              <w:rPr>
                <w:rFonts w:cs="Arial"/>
                <w:szCs w:val="20"/>
              </w:rPr>
              <w:t>Badania geometrycznych właściwości kruszyw – Oznaczanie kształtu ziaren – Wskaźnik kształtu</w:t>
            </w:r>
          </w:p>
        </w:tc>
      </w:tr>
      <w:tr w:rsidR="00F25E60" w:rsidRPr="00F25E60" w14:paraId="596C4C15" w14:textId="77777777" w:rsidTr="007B6855">
        <w:tc>
          <w:tcPr>
            <w:tcW w:w="675" w:type="dxa"/>
          </w:tcPr>
          <w:p w14:paraId="7A81F529" w14:textId="77777777" w:rsidR="00F25E60" w:rsidRPr="00F25E60" w:rsidRDefault="00F25E60" w:rsidP="00F25E60">
            <w:pPr>
              <w:spacing w:line="240" w:lineRule="auto"/>
              <w:jc w:val="center"/>
              <w:rPr>
                <w:rFonts w:cs="Arial"/>
                <w:szCs w:val="20"/>
              </w:rPr>
            </w:pPr>
            <w:r w:rsidRPr="00F25E60">
              <w:rPr>
                <w:rFonts w:cs="Arial"/>
                <w:szCs w:val="20"/>
              </w:rPr>
              <w:t>11.</w:t>
            </w:r>
          </w:p>
        </w:tc>
        <w:tc>
          <w:tcPr>
            <w:tcW w:w="2073" w:type="dxa"/>
          </w:tcPr>
          <w:p w14:paraId="66A72712" w14:textId="77777777" w:rsidR="00F25E60" w:rsidRPr="00F25E60" w:rsidRDefault="00F25E60" w:rsidP="00F25E60">
            <w:pPr>
              <w:spacing w:line="240" w:lineRule="auto"/>
              <w:rPr>
                <w:rFonts w:cs="Arial"/>
                <w:szCs w:val="20"/>
              </w:rPr>
            </w:pPr>
            <w:r w:rsidRPr="00F25E60">
              <w:rPr>
                <w:rFonts w:cs="Arial"/>
                <w:szCs w:val="20"/>
              </w:rPr>
              <w:t>PN-EN 933-5</w:t>
            </w:r>
          </w:p>
        </w:tc>
        <w:tc>
          <w:tcPr>
            <w:tcW w:w="6480" w:type="dxa"/>
          </w:tcPr>
          <w:p w14:paraId="3592BD13" w14:textId="77777777" w:rsidR="00F25E60" w:rsidRPr="00F25E60" w:rsidRDefault="00F25E60" w:rsidP="00F25E60">
            <w:pPr>
              <w:spacing w:line="240" w:lineRule="auto"/>
              <w:rPr>
                <w:rFonts w:cs="Arial"/>
                <w:szCs w:val="20"/>
              </w:rPr>
            </w:pPr>
            <w:r w:rsidRPr="00F25E60">
              <w:rPr>
                <w:rFonts w:cs="Arial"/>
                <w:szCs w:val="20"/>
              </w:rPr>
              <w:t xml:space="preserve">Badania geometrycznych właściwości kruszyw – Oznaczanie procentowej zawartości </w:t>
            </w:r>
            <w:proofErr w:type="spellStart"/>
            <w:r w:rsidRPr="00F25E60">
              <w:rPr>
                <w:rFonts w:cs="Arial"/>
                <w:szCs w:val="20"/>
              </w:rPr>
              <w:t>ziarn</w:t>
            </w:r>
            <w:proofErr w:type="spellEnd"/>
            <w:r w:rsidRPr="00F25E60">
              <w:rPr>
                <w:rFonts w:cs="Arial"/>
                <w:szCs w:val="20"/>
              </w:rPr>
              <w:t xml:space="preserve"> o powierzchniach powstałych w wyniku </w:t>
            </w:r>
            <w:proofErr w:type="spellStart"/>
            <w:r w:rsidRPr="00F25E60">
              <w:rPr>
                <w:rFonts w:cs="Arial"/>
                <w:szCs w:val="20"/>
              </w:rPr>
              <w:t>przekruszenia</w:t>
            </w:r>
            <w:proofErr w:type="spellEnd"/>
            <w:r w:rsidRPr="00F25E60">
              <w:rPr>
                <w:rFonts w:cs="Arial"/>
                <w:szCs w:val="20"/>
              </w:rPr>
              <w:t xml:space="preserve"> lub łamania kruszyw grubych</w:t>
            </w:r>
          </w:p>
        </w:tc>
      </w:tr>
      <w:tr w:rsidR="00F25E60" w:rsidRPr="00F25E60" w14:paraId="7824D2B1" w14:textId="77777777" w:rsidTr="007B6855">
        <w:tc>
          <w:tcPr>
            <w:tcW w:w="675" w:type="dxa"/>
          </w:tcPr>
          <w:p w14:paraId="2AAF94BA" w14:textId="77777777" w:rsidR="00F25E60" w:rsidRPr="00F25E60" w:rsidRDefault="00F25E60" w:rsidP="00F25E60">
            <w:pPr>
              <w:spacing w:line="240" w:lineRule="auto"/>
              <w:jc w:val="center"/>
              <w:rPr>
                <w:rFonts w:cs="Arial"/>
                <w:szCs w:val="20"/>
              </w:rPr>
            </w:pPr>
            <w:r w:rsidRPr="00F25E60">
              <w:rPr>
                <w:rFonts w:cs="Arial"/>
                <w:szCs w:val="20"/>
              </w:rPr>
              <w:t>12.</w:t>
            </w:r>
          </w:p>
        </w:tc>
        <w:tc>
          <w:tcPr>
            <w:tcW w:w="2073" w:type="dxa"/>
          </w:tcPr>
          <w:p w14:paraId="2CE967E8" w14:textId="77777777" w:rsidR="00F25E60" w:rsidRPr="00F25E60" w:rsidRDefault="00F25E60" w:rsidP="00F25E60">
            <w:pPr>
              <w:spacing w:line="240" w:lineRule="auto"/>
              <w:rPr>
                <w:rFonts w:cs="Arial"/>
                <w:szCs w:val="20"/>
              </w:rPr>
            </w:pPr>
            <w:r w:rsidRPr="00F25E60">
              <w:rPr>
                <w:rFonts w:cs="Arial"/>
                <w:szCs w:val="20"/>
              </w:rPr>
              <w:t>PN-EN 1097-1</w:t>
            </w:r>
          </w:p>
        </w:tc>
        <w:tc>
          <w:tcPr>
            <w:tcW w:w="6480" w:type="dxa"/>
          </w:tcPr>
          <w:p w14:paraId="1143FBF0" w14:textId="77777777" w:rsidR="00F25E60" w:rsidRPr="00F25E60" w:rsidRDefault="00F25E60" w:rsidP="00F25E60">
            <w:pPr>
              <w:spacing w:line="240" w:lineRule="auto"/>
              <w:rPr>
                <w:rFonts w:cs="Arial"/>
                <w:szCs w:val="20"/>
              </w:rPr>
            </w:pPr>
            <w:r w:rsidRPr="00F25E60">
              <w:rPr>
                <w:rFonts w:cs="Arial"/>
                <w:szCs w:val="20"/>
              </w:rPr>
              <w:t>Badania mechanicznych i fizycznych właściwości kruszyw – Oznaczanie odporności na ścieranie (mikro-</w:t>
            </w:r>
            <w:proofErr w:type="spellStart"/>
            <w:r w:rsidRPr="00F25E60">
              <w:rPr>
                <w:rFonts w:cs="Arial"/>
                <w:szCs w:val="20"/>
              </w:rPr>
              <w:t>Deval</w:t>
            </w:r>
            <w:proofErr w:type="spellEnd"/>
            <w:r w:rsidRPr="00F25E60">
              <w:rPr>
                <w:rFonts w:cs="Arial"/>
                <w:szCs w:val="20"/>
              </w:rPr>
              <w:t>)</w:t>
            </w:r>
          </w:p>
        </w:tc>
      </w:tr>
      <w:tr w:rsidR="00F25E60" w:rsidRPr="00F25E60" w14:paraId="0A159511" w14:textId="77777777" w:rsidTr="007B6855">
        <w:tc>
          <w:tcPr>
            <w:tcW w:w="675" w:type="dxa"/>
          </w:tcPr>
          <w:p w14:paraId="37B3CC75" w14:textId="77777777" w:rsidR="00F25E60" w:rsidRPr="00F25E60" w:rsidRDefault="00F25E60" w:rsidP="00F25E60">
            <w:pPr>
              <w:spacing w:line="240" w:lineRule="auto"/>
              <w:jc w:val="center"/>
              <w:rPr>
                <w:rFonts w:cs="Arial"/>
                <w:szCs w:val="20"/>
              </w:rPr>
            </w:pPr>
            <w:r w:rsidRPr="00F25E60">
              <w:rPr>
                <w:rFonts w:cs="Arial"/>
                <w:szCs w:val="20"/>
              </w:rPr>
              <w:t>13.</w:t>
            </w:r>
          </w:p>
        </w:tc>
        <w:tc>
          <w:tcPr>
            <w:tcW w:w="2073" w:type="dxa"/>
          </w:tcPr>
          <w:p w14:paraId="07B77D99" w14:textId="77777777" w:rsidR="00F25E60" w:rsidRPr="00F25E60" w:rsidRDefault="00F25E60" w:rsidP="00F25E60">
            <w:pPr>
              <w:spacing w:line="240" w:lineRule="auto"/>
              <w:rPr>
                <w:rFonts w:cs="Arial"/>
                <w:szCs w:val="20"/>
              </w:rPr>
            </w:pPr>
            <w:r w:rsidRPr="00F25E60">
              <w:rPr>
                <w:rFonts w:cs="Arial"/>
                <w:szCs w:val="20"/>
              </w:rPr>
              <w:t>PN-EN 1097-2</w:t>
            </w:r>
          </w:p>
        </w:tc>
        <w:tc>
          <w:tcPr>
            <w:tcW w:w="6480" w:type="dxa"/>
          </w:tcPr>
          <w:p w14:paraId="255A08F0" w14:textId="77777777" w:rsidR="00F25E60" w:rsidRPr="00F25E60" w:rsidRDefault="00F25E60" w:rsidP="00F25E60">
            <w:pPr>
              <w:spacing w:line="240" w:lineRule="auto"/>
              <w:rPr>
                <w:rFonts w:cs="Arial"/>
                <w:szCs w:val="20"/>
              </w:rPr>
            </w:pPr>
            <w:r w:rsidRPr="00F25E60">
              <w:rPr>
                <w:rFonts w:cs="Arial"/>
                <w:szCs w:val="20"/>
              </w:rPr>
              <w:t>Badania mechanicznych i fizycznych właściwości kruszyw – Metody oznaczania odporności na rozdrabnianie</w:t>
            </w:r>
          </w:p>
        </w:tc>
      </w:tr>
      <w:tr w:rsidR="00F25E60" w:rsidRPr="00F25E60" w14:paraId="78513D2A" w14:textId="77777777" w:rsidTr="007B6855">
        <w:tc>
          <w:tcPr>
            <w:tcW w:w="675" w:type="dxa"/>
          </w:tcPr>
          <w:p w14:paraId="7904514A" w14:textId="77777777" w:rsidR="00F25E60" w:rsidRPr="00F25E60" w:rsidRDefault="00F25E60" w:rsidP="00F25E60">
            <w:pPr>
              <w:spacing w:line="240" w:lineRule="auto"/>
              <w:jc w:val="center"/>
              <w:rPr>
                <w:rFonts w:cs="Arial"/>
                <w:szCs w:val="20"/>
              </w:rPr>
            </w:pPr>
            <w:r w:rsidRPr="00F25E60">
              <w:rPr>
                <w:rFonts w:cs="Arial"/>
                <w:szCs w:val="20"/>
              </w:rPr>
              <w:t>14.</w:t>
            </w:r>
          </w:p>
        </w:tc>
        <w:tc>
          <w:tcPr>
            <w:tcW w:w="2073" w:type="dxa"/>
          </w:tcPr>
          <w:p w14:paraId="35AF72DA" w14:textId="77777777" w:rsidR="00F25E60" w:rsidRPr="00F25E60" w:rsidRDefault="00F25E60" w:rsidP="00F25E60">
            <w:pPr>
              <w:spacing w:line="240" w:lineRule="auto"/>
              <w:rPr>
                <w:rFonts w:cs="Arial"/>
                <w:szCs w:val="20"/>
              </w:rPr>
            </w:pPr>
            <w:r w:rsidRPr="00F25E60">
              <w:rPr>
                <w:rFonts w:cs="Arial"/>
                <w:szCs w:val="20"/>
              </w:rPr>
              <w:t>PN-EN 1097-6</w:t>
            </w:r>
          </w:p>
        </w:tc>
        <w:tc>
          <w:tcPr>
            <w:tcW w:w="6480" w:type="dxa"/>
          </w:tcPr>
          <w:p w14:paraId="26D5EF7C" w14:textId="77777777" w:rsidR="00F25E60" w:rsidRPr="00F25E60" w:rsidRDefault="00F25E60" w:rsidP="00F25E60">
            <w:pPr>
              <w:spacing w:line="240" w:lineRule="auto"/>
              <w:rPr>
                <w:rFonts w:cs="Arial"/>
                <w:szCs w:val="20"/>
              </w:rPr>
            </w:pPr>
            <w:r w:rsidRPr="00F25E60">
              <w:rPr>
                <w:rFonts w:cs="Arial"/>
                <w:szCs w:val="20"/>
              </w:rPr>
              <w:t xml:space="preserve">Badania mechanicznych i fizycznych właściwości kruszyw – Część 6: Oznaczanie gęstości </w:t>
            </w:r>
            <w:proofErr w:type="spellStart"/>
            <w:r w:rsidRPr="00F25E60">
              <w:rPr>
                <w:rFonts w:cs="Arial"/>
                <w:szCs w:val="20"/>
              </w:rPr>
              <w:t>ziarn</w:t>
            </w:r>
            <w:proofErr w:type="spellEnd"/>
            <w:r w:rsidRPr="00F25E60">
              <w:rPr>
                <w:rFonts w:cs="Arial"/>
                <w:szCs w:val="20"/>
              </w:rPr>
              <w:t xml:space="preserve"> i nasiąkliwości</w:t>
            </w:r>
          </w:p>
        </w:tc>
      </w:tr>
      <w:tr w:rsidR="00F25E60" w:rsidRPr="00F25E60" w14:paraId="4EBED7AA" w14:textId="77777777" w:rsidTr="007B6855">
        <w:tc>
          <w:tcPr>
            <w:tcW w:w="675" w:type="dxa"/>
          </w:tcPr>
          <w:p w14:paraId="5FA45B48" w14:textId="77777777" w:rsidR="00F25E60" w:rsidRPr="00F25E60" w:rsidRDefault="00F25E60" w:rsidP="00F25E60">
            <w:pPr>
              <w:spacing w:line="240" w:lineRule="auto"/>
              <w:jc w:val="center"/>
              <w:rPr>
                <w:rFonts w:cs="Arial"/>
                <w:szCs w:val="20"/>
              </w:rPr>
            </w:pPr>
            <w:r w:rsidRPr="00F25E60">
              <w:rPr>
                <w:rFonts w:cs="Arial"/>
                <w:szCs w:val="20"/>
              </w:rPr>
              <w:lastRenderedPageBreak/>
              <w:t>15.</w:t>
            </w:r>
          </w:p>
        </w:tc>
        <w:tc>
          <w:tcPr>
            <w:tcW w:w="2073" w:type="dxa"/>
          </w:tcPr>
          <w:p w14:paraId="3F4ED011" w14:textId="77777777" w:rsidR="00F25E60" w:rsidRPr="00F25E60" w:rsidRDefault="00F25E60" w:rsidP="00F25E60">
            <w:pPr>
              <w:spacing w:line="240" w:lineRule="auto"/>
              <w:rPr>
                <w:rFonts w:cs="Arial"/>
                <w:szCs w:val="20"/>
              </w:rPr>
            </w:pPr>
            <w:r w:rsidRPr="00F25E60">
              <w:rPr>
                <w:rFonts w:cs="Arial"/>
                <w:szCs w:val="20"/>
              </w:rPr>
              <w:t>PN-EN 1367-1</w:t>
            </w:r>
          </w:p>
        </w:tc>
        <w:tc>
          <w:tcPr>
            <w:tcW w:w="6480" w:type="dxa"/>
          </w:tcPr>
          <w:p w14:paraId="4D910021" w14:textId="77777777" w:rsidR="00F25E60" w:rsidRPr="00F25E60" w:rsidRDefault="00F25E60" w:rsidP="00F25E60">
            <w:pPr>
              <w:spacing w:line="240" w:lineRule="auto"/>
              <w:rPr>
                <w:rFonts w:cs="Arial"/>
                <w:szCs w:val="20"/>
              </w:rPr>
            </w:pPr>
            <w:r w:rsidRPr="00F25E60">
              <w:rPr>
                <w:rFonts w:cs="Arial"/>
                <w:szCs w:val="20"/>
              </w:rPr>
              <w:t>Badania właściwości cieplnych i odporności kruszyw na działanie czynników atmosferycznych – Część 1: Oznaczanie mrozoodporności</w:t>
            </w:r>
          </w:p>
        </w:tc>
      </w:tr>
      <w:tr w:rsidR="00F25E60" w:rsidRPr="00F25E60" w14:paraId="09DFEF15" w14:textId="77777777" w:rsidTr="007B6855">
        <w:tc>
          <w:tcPr>
            <w:tcW w:w="675" w:type="dxa"/>
          </w:tcPr>
          <w:p w14:paraId="0A648142" w14:textId="77777777" w:rsidR="00F25E60" w:rsidRPr="00F25E60" w:rsidRDefault="00F25E60" w:rsidP="00F25E60">
            <w:pPr>
              <w:spacing w:line="240" w:lineRule="auto"/>
              <w:jc w:val="center"/>
              <w:rPr>
                <w:rFonts w:cs="Arial"/>
                <w:szCs w:val="20"/>
              </w:rPr>
            </w:pPr>
            <w:r w:rsidRPr="00F25E60">
              <w:rPr>
                <w:rFonts w:cs="Arial"/>
                <w:szCs w:val="20"/>
              </w:rPr>
              <w:t>16.</w:t>
            </w:r>
          </w:p>
        </w:tc>
        <w:tc>
          <w:tcPr>
            <w:tcW w:w="2073" w:type="dxa"/>
          </w:tcPr>
          <w:p w14:paraId="4CBF750D" w14:textId="77777777" w:rsidR="00F25E60" w:rsidRPr="00F25E60" w:rsidRDefault="00F25E60" w:rsidP="00F25E60">
            <w:pPr>
              <w:spacing w:line="240" w:lineRule="auto"/>
              <w:rPr>
                <w:rFonts w:cs="Arial"/>
                <w:szCs w:val="20"/>
              </w:rPr>
            </w:pPr>
            <w:r w:rsidRPr="00F25E60">
              <w:rPr>
                <w:rFonts w:cs="Arial"/>
                <w:szCs w:val="20"/>
              </w:rPr>
              <w:t>PN-EN 1367-3</w:t>
            </w:r>
          </w:p>
        </w:tc>
        <w:tc>
          <w:tcPr>
            <w:tcW w:w="6480" w:type="dxa"/>
          </w:tcPr>
          <w:p w14:paraId="67FA56C7" w14:textId="77777777" w:rsidR="00F25E60" w:rsidRPr="00F25E60" w:rsidRDefault="00F25E60" w:rsidP="00F25E60">
            <w:pPr>
              <w:spacing w:line="240" w:lineRule="auto"/>
              <w:rPr>
                <w:rFonts w:cs="Arial"/>
                <w:szCs w:val="20"/>
              </w:rPr>
            </w:pPr>
            <w:r w:rsidRPr="00F25E60">
              <w:rPr>
                <w:rFonts w:cs="Arial"/>
                <w:szCs w:val="20"/>
              </w:rPr>
              <w:t>Badania właściwości cieplnych i odporności kruszyw na działanie czynników atmosferycznych – Część 3: Badanie bazaltowej zgorzeli słonecznej metodą gotowania</w:t>
            </w:r>
          </w:p>
        </w:tc>
      </w:tr>
      <w:tr w:rsidR="00F25E60" w:rsidRPr="00F25E60" w14:paraId="021088AF" w14:textId="77777777" w:rsidTr="007B6855">
        <w:tc>
          <w:tcPr>
            <w:tcW w:w="675" w:type="dxa"/>
          </w:tcPr>
          <w:p w14:paraId="6EE3A37C" w14:textId="77777777" w:rsidR="00F25E60" w:rsidRPr="00F25E60" w:rsidRDefault="00F25E60" w:rsidP="00F25E60">
            <w:pPr>
              <w:spacing w:line="240" w:lineRule="auto"/>
              <w:jc w:val="center"/>
              <w:rPr>
                <w:rFonts w:cs="Arial"/>
                <w:szCs w:val="20"/>
              </w:rPr>
            </w:pPr>
            <w:r w:rsidRPr="00F25E60">
              <w:rPr>
                <w:rFonts w:cs="Arial"/>
                <w:szCs w:val="20"/>
              </w:rPr>
              <w:t>17.</w:t>
            </w:r>
          </w:p>
        </w:tc>
        <w:tc>
          <w:tcPr>
            <w:tcW w:w="2073" w:type="dxa"/>
          </w:tcPr>
          <w:p w14:paraId="2E03C85B" w14:textId="77777777" w:rsidR="00F25E60" w:rsidRPr="00F25E60" w:rsidRDefault="00F25E60" w:rsidP="00F25E60">
            <w:pPr>
              <w:spacing w:line="240" w:lineRule="auto"/>
              <w:rPr>
                <w:rFonts w:cs="Arial"/>
                <w:szCs w:val="20"/>
              </w:rPr>
            </w:pPr>
            <w:r w:rsidRPr="00F25E60">
              <w:rPr>
                <w:rFonts w:cs="Arial"/>
                <w:szCs w:val="20"/>
              </w:rPr>
              <w:t>PN-EN 1744-1</w:t>
            </w:r>
          </w:p>
        </w:tc>
        <w:tc>
          <w:tcPr>
            <w:tcW w:w="6480" w:type="dxa"/>
          </w:tcPr>
          <w:p w14:paraId="622A0BB8" w14:textId="77777777" w:rsidR="00F25E60" w:rsidRPr="00F25E60" w:rsidRDefault="00F25E60" w:rsidP="00F25E60">
            <w:pPr>
              <w:spacing w:line="240" w:lineRule="auto"/>
              <w:rPr>
                <w:rFonts w:cs="Arial"/>
                <w:szCs w:val="20"/>
              </w:rPr>
            </w:pPr>
            <w:r w:rsidRPr="00F25E60">
              <w:rPr>
                <w:rFonts w:cs="Arial"/>
                <w:szCs w:val="20"/>
              </w:rPr>
              <w:t>Badania chemicznych właściwości kruszyw – Analiza chemiczna</w:t>
            </w:r>
          </w:p>
        </w:tc>
      </w:tr>
      <w:tr w:rsidR="00F25E60" w:rsidRPr="00F25E60" w14:paraId="2907ADAB" w14:textId="77777777" w:rsidTr="007B6855">
        <w:tc>
          <w:tcPr>
            <w:tcW w:w="675" w:type="dxa"/>
          </w:tcPr>
          <w:p w14:paraId="4F585832" w14:textId="77777777" w:rsidR="00F25E60" w:rsidRPr="00F25E60" w:rsidRDefault="00F25E60" w:rsidP="00F25E60">
            <w:pPr>
              <w:spacing w:line="240" w:lineRule="auto"/>
              <w:jc w:val="center"/>
              <w:rPr>
                <w:rFonts w:cs="Arial"/>
                <w:szCs w:val="20"/>
              </w:rPr>
            </w:pPr>
            <w:r w:rsidRPr="00F25E60">
              <w:rPr>
                <w:rFonts w:cs="Arial"/>
                <w:szCs w:val="20"/>
              </w:rPr>
              <w:t>18.</w:t>
            </w:r>
          </w:p>
        </w:tc>
        <w:tc>
          <w:tcPr>
            <w:tcW w:w="2073" w:type="dxa"/>
          </w:tcPr>
          <w:p w14:paraId="0B3C5FF8" w14:textId="77777777" w:rsidR="00F25E60" w:rsidRPr="00F25E60" w:rsidRDefault="00F25E60" w:rsidP="00F25E60">
            <w:pPr>
              <w:spacing w:line="240" w:lineRule="auto"/>
              <w:rPr>
                <w:rFonts w:cs="Arial"/>
                <w:szCs w:val="20"/>
              </w:rPr>
            </w:pPr>
            <w:r w:rsidRPr="00F25E60">
              <w:rPr>
                <w:rFonts w:cs="Arial"/>
                <w:szCs w:val="20"/>
              </w:rPr>
              <w:t>PN-EN 1744-3</w:t>
            </w:r>
          </w:p>
        </w:tc>
        <w:tc>
          <w:tcPr>
            <w:tcW w:w="6480" w:type="dxa"/>
          </w:tcPr>
          <w:p w14:paraId="263A637E" w14:textId="77777777" w:rsidR="00F25E60" w:rsidRPr="00F25E60" w:rsidRDefault="00F25E60" w:rsidP="00F25E60">
            <w:pPr>
              <w:spacing w:line="240" w:lineRule="auto"/>
              <w:rPr>
                <w:rFonts w:cs="Arial"/>
                <w:szCs w:val="20"/>
              </w:rPr>
            </w:pPr>
            <w:r w:rsidRPr="00F25E60">
              <w:rPr>
                <w:rFonts w:cs="Arial"/>
                <w:szCs w:val="20"/>
              </w:rPr>
              <w:t>Badania chemicznych właściwości kruszyw – Część 3: Przygotowanie wyciągów przez wymywanie kruszyw</w:t>
            </w:r>
          </w:p>
        </w:tc>
      </w:tr>
      <w:tr w:rsidR="00F25E60" w:rsidRPr="00F25E60" w14:paraId="5D22C585" w14:textId="77777777" w:rsidTr="007B6855">
        <w:tc>
          <w:tcPr>
            <w:tcW w:w="675" w:type="dxa"/>
          </w:tcPr>
          <w:p w14:paraId="269E4B3F" w14:textId="77777777" w:rsidR="00F25E60" w:rsidRPr="00F25E60" w:rsidRDefault="00F25E60" w:rsidP="00F25E60">
            <w:pPr>
              <w:spacing w:line="240" w:lineRule="auto"/>
              <w:jc w:val="center"/>
              <w:rPr>
                <w:rFonts w:cs="Arial"/>
                <w:szCs w:val="20"/>
              </w:rPr>
            </w:pPr>
            <w:r w:rsidRPr="00F25E60">
              <w:rPr>
                <w:rFonts w:cs="Arial"/>
                <w:szCs w:val="20"/>
              </w:rPr>
              <w:t>19.</w:t>
            </w:r>
          </w:p>
        </w:tc>
        <w:tc>
          <w:tcPr>
            <w:tcW w:w="2073" w:type="dxa"/>
          </w:tcPr>
          <w:p w14:paraId="21B9665D" w14:textId="77777777" w:rsidR="00F25E60" w:rsidRPr="00F25E60" w:rsidRDefault="00F25E60" w:rsidP="00F25E60">
            <w:pPr>
              <w:spacing w:line="240" w:lineRule="auto"/>
              <w:rPr>
                <w:rFonts w:cs="Arial"/>
                <w:szCs w:val="20"/>
              </w:rPr>
            </w:pPr>
            <w:r w:rsidRPr="00F25E60">
              <w:rPr>
                <w:rFonts w:cs="Arial"/>
                <w:szCs w:val="20"/>
              </w:rPr>
              <w:t>PN-EN 13242</w:t>
            </w:r>
          </w:p>
        </w:tc>
        <w:tc>
          <w:tcPr>
            <w:tcW w:w="6480" w:type="dxa"/>
          </w:tcPr>
          <w:p w14:paraId="6098B348" w14:textId="77777777" w:rsidR="00F25E60" w:rsidRPr="00F25E60" w:rsidRDefault="00F25E60" w:rsidP="00F25E60">
            <w:pPr>
              <w:spacing w:line="240" w:lineRule="auto"/>
              <w:rPr>
                <w:rFonts w:cs="Arial"/>
                <w:szCs w:val="20"/>
              </w:rPr>
            </w:pPr>
            <w:r w:rsidRPr="00F25E60">
              <w:rPr>
                <w:rFonts w:cs="Arial"/>
                <w:szCs w:val="20"/>
              </w:rPr>
              <w:t>Kruszywa do niezwiązanych i związanych hydraulicznie materiałów stosowanych w obiektach budowlanych i budownictwie drogowym</w:t>
            </w:r>
          </w:p>
        </w:tc>
      </w:tr>
      <w:tr w:rsidR="00F25E60" w:rsidRPr="00F25E60" w14:paraId="0E385282" w14:textId="77777777" w:rsidTr="007B6855">
        <w:tc>
          <w:tcPr>
            <w:tcW w:w="675" w:type="dxa"/>
          </w:tcPr>
          <w:p w14:paraId="1A005C88" w14:textId="77777777" w:rsidR="00F25E60" w:rsidRPr="00F25E60" w:rsidRDefault="00F25E60" w:rsidP="00F25E60">
            <w:pPr>
              <w:spacing w:line="240" w:lineRule="auto"/>
              <w:jc w:val="center"/>
              <w:rPr>
                <w:rFonts w:cs="Arial"/>
                <w:szCs w:val="20"/>
              </w:rPr>
            </w:pPr>
            <w:r w:rsidRPr="00F25E60">
              <w:rPr>
                <w:rFonts w:cs="Arial"/>
                <w:szCs w:val="20"/>
              </w:rPr>
              <w:t>20.</w:t>
            </w:r>
          </w:p>
        </w:tc>
        <w:tc>
          <w:tcPr>
            <w:tcW w:w="2073" w:type="dxa"/>
          </w:tcPr>
          <w:p w14:paraId="1AEA7F63" w14:textId="77777777" w:rsidR="00F25E60" w:rsidRPr="00F25E60" w:rsidRDefault="00F25E60" w:rsidP="00F25E60">
            <w:pPr>
              <w:spacing w:line="240" w:lineRule="auto"/>
              <w:rPr>
                <w:rFonts w:cs="Arial"/>
                <w:szCs w:val="20"/>
              </w:rPr>
            </w:pPr>
            <w:r w:rsidRPr="00F25E60">
              <w:rPr>
                <w:rFonts w:cs="Arial"/>
                <w:szCs w:val="20"/>
              </w:rPr>
              <w:t>PN-EN 13285</w:t>
            </w:r>
          </w:p>
        </w:tc>
        <w:tc>
          <w:tcPr>
            <w:tcW w:w="6480" w:type="dxa"/>
          </w:tcPr>
          <w:p w14:paraId="3125B25C" w14:textId="77777777" w:rsidR="00F25E60" w:rsidRPr="00F25E60" w:rsidRDefault="00F25E60" w:rsidP="00F25E60">
            <w:pPr>
              <w:spacing w:line="240" w:lineRule="auto"/>
              <w:rPr>
                <w:rFonts w:cs="Arial"/>
                <w:szCs w:val="20"/>
              </w:rPr>
            </w:pPr>
            <w:r w:rsidRPr="00F25E60">
              <w:rPr>
                <w:rFonts w:cs="Arial"/>
                <w:szCs w:val="20"/>
              </w:rPr>
              <w:t xml:space="preserve">Mieszanki niezwiązane – Wymagania </w:t>
            </w:r>
          </w:p>
        </w:tc>
      </w:tr>
      <w:tr w:rsidR="00F25E60" w:rsidRPr="00F25E60" w14:paraId="453C3B3A" w14:textId="77777777" w:rsidTr="007B6855">
        <w:tc>
          <w:tcPr>
            <w:tcW w:w="675" w:type="dxa"/>
          </w:tcPr>
          <w:p w14:paraId="21C20BF6" w14:textId="77777777" w:rsidR="00F25E60" w:rsidRPr="00F25E60" w:rsidRDefault="00F25E60" w:rsidP="00F25E60">
            <w:pPr>
              <w:spacing w:line="240" w:lineRule="auto"/>
              <w:jc w:val="center"/>
              <w:rPr>
                <w:rFonts w:cs="Arial"/>
                <w:szCs w:val="20"/>
              </w:rPr>
            </w:pPr>
            <w:r w:rsidRPr="00F25E60">
              <w:rPr>
                <w:rFonts w:cs="Arial"/>
                <w:szCs w:val="20"/>
              </w:rPr>
              <w:t>21.</w:t>
            </w:r>
          </w:p>
        </w:tc>
        <w:tc>
          <w:tcPr>
            <w:tcW w:w="2073" w:type="dxa"/>
          </w:tcPr>
          <w:p w14:paraId="2C51A1D4" w14:textId="77777777" w:rsidR="00F25E60" w:rsidRPr="00F25E60" w:rsidRDefault="00F25E60" w:rsidP="00F25E60">
            <w:pPr>
              <w:spacing w:line="240" w:lineRule="auto"/>
              <w:rPr>
                <w:rFonts w:cs="Arial"/>
                <w:szCs w:val="20"/>
              </w:rPr>
            </w:pPr>
            <w:r w:rsidRPr="00F25E60">
              <w:rPr>
                <w:rFonts w:cs="Arial"/>
                <w:szCs w:val="20"/>
              </w:rPr>
              <w:t>PN-EN 13286-2</w:t>
            </w:r>
          </w:p>
        </w:tc>
        <w:tc>
          <w:tcPr>
            <w:tcW w:w="6480" w:type="dxa"/>
          </w:tcPr>
          <w:p w14:paraId="52BA041A" w14:textId="77777777" w:rsidR="00F25E60" w:rsidRPr="00F25E60" w:rsidRDefault="00F25E60" w:rsidP="00F25E60">
            <w:pPr>
              <w:spacing w:line="240" w:lineRule="auto"/>
              <w:rPr>
                <w:rFonts w:cs="Arial"/>
                <w:szCs w:val="20"/>
              </w:rPr>
            </w:pPr>
            <w:r w:rsidRPr="00F25E60">
              <w:rPr>
                <w:rFonts w:cs="Arial"/>
                <w:szCs w:val="20"/>
              </w:rPr>
              <w:t xml:space="preserve">Mieszanki niezwiązane i związane spoiwem hydraulicznym – Część 2: Metody określania gęstości i zawartości wody – Zagęszczanie metodą </w:t>
            </w:r>
            <w:proofErr w:type="spellStart"/>
            <w:r w:rsidRPr="00F25E60">
              <w:rPr>
                <w:rFonts w:cs="Arial"/>
                <w:szCs w:val="20"/>
              </w:rPr>
              <w:t>Proctora</w:t>
            </w:r>
            <w:proofErr w:type="spellEnd"/>
          </w:p>
        </w:tc>
      </w:tr>
      <w:tr w:rsidR="00F25E60" w:rsidRPr="00F25E60" w14:paraId="0355B990" w14:textId="77777777" w:rsidTr="007B6855">
        <w:tc>
          <w:tcPr>
            <w:tcW w:w="675" w:type="dxa"/>
          </w:tcPr>
          <w:p w14:paraId="32B8FB7C" w14:textId="77777777" w:rsidR="00F25E60" w:rsidRPr="00F25E60" w:rsidRDefault="00F25E60" w:rsidP="00F25E60">
            <w:pPr>
              <w:spacing w:line="240" w:lineRule="auto"/>
              <w:jc w:val="center"/>
              <w:rPr>
                <w:rFonts w:cs="Arial"/>
                <w:szCs w:val="20"/>
              </w:rPr>
            </w:pPr>
            <w:r w:rsidRPr="00F25E60">
              <w:rPr>
                <w:rFonts w:cs="Arial"/>
                <w:szCs w:val="20"/>
              </w:rPr>
              <w:t>22.</w:t>
            </w:r>
          </w:p>
        </w:tc>
        <w:tc>
          <w:tcPr>
            <w:tcW w:w="2073" w:type="dxa"/>
          </w:tcPr>
          <w:p w14:paraId="7D948E99" w14:textId="77777777" w:rsidR="00F25E60" w:rsidRPr="00F25E60" w:rsidRDefault="00F25E60" w:rsidP="00F25E60">
            <w:pPr>
              <w:spacing w:line="240" w:lineRule="auto"/>
              <w:rPr>
                <w:rFonts w:cs="Arial"/>
                <w:szCs w:val="20"/>
              </w:rPr>
            </w:pPr>
            <w:r w:rsidRPr="00F25E60">
              <w:rPr>
                <w:rFonts w:cs="Arial"/>
                <w:szCs w:val="20"/>
              </w:rPr>
              <w:t>PN-EN 13286-47</w:t>
            </w:r>
          </w:p>
        </w:tc>
        <w:tc>
          <w:tcPr>
            <w:tcW w:w="6480" w:type="dxa"/>
          </w:tcPr>
          <w:p w14:paraId="472F7985" w14:textId="77777777" w:rsidR="00F25E60" w:rsidRPr="00F25E60" w:rsidRDefault="00F25E60" w:rsidP="00F25E60">
            <w:pPr>
              <w:spacing w:line="240" w:lineRule="auto"/>
              <w:rPr>
                <w:rFonts w:cs="Arial"/>
                <w:szCs w:val="20"/>
              </w:rPr>
            </w:pPr>
            <w:r w:rsidRPr="00F25E60">
              <w:rPr>
                <w:rFonts w:cs="Arial"/>
                <w:szCs w:val="20"/>
              </w:rPr>
              <w:t>Mieszanki niezwiązane i związane spoiwem hydraulicznym – Część 47: Metody badań dla określenia nośności, kalifornijski wskaźnik nośności CBR, natychmiastowy wskaźnik nośności i pęcznienia liniowego</w:t>
            </w:r>
          </w:p>
        </w:tc>
      </w:tr>
      <w:tr w:rsidR="00F25E60" w:rsidRPr="00F25E60" w14:paraId="134672A5" w14:textId="77777777" w:rsidTr="007B6855">
        <w:tc>
          <w:tcPr>
            <w:tcW w:w="675" w:type="dxa"/>
          </w:tcPr>
          <w:p w14:paraId="0ABC7F6A" w14:textId="77777777" w:rsidR="00F25E60" w:rsidRPr="00F25E60" w:rsidRDefault="00F25E60" w:rsidP="00F25E60">
            <w:pPr>
              <w:spacing w:line="240" w:lineRule="auto"/>
              <w:jc w:val="center"/>
              <w:rPr>
                <w:rFonts w:cs="Arial"/>
                <w:szCs w:val="20"/>
              </w:rPr>
            </w:pPr>
            <w:r w:rsidRPr="00F25E60">
              <w:rPr>
                <w:rFonts w:cs="Arial"/>
                <w:szCs w:val="20"/>
              </w:rPr>
              <w:t>23.</w:t>
            </w:r>
          </w:p>
        </w:tc>
        <w:tc>
          <w:tcPr>
            <w:tcW w:w="2073" w:type="dxa"/>
          </w:tcPr>
          <w:p w14:paraId="7C70BE86" w14:textId="77777777" w:rsidR="00F25E60" w:rsidRPr="00F25E60" w:rsidRDefault="00F25E60" w:rsidP="00F25E60">
            <w:pPr>
              <w:spacing w:line="240" w:lineRule="auto"/>
              <w:rPr>
                <w:rFonts w:cs="Arial"/>
                <w:szCs w:val="20"/>
              </w:rPr>
            </w:pPr>
            <w:r w:rsidRPr="00F25E60">
              <w:rPr>
                <w:rFonts w:cs="Arial"/>
                <w:szCs w:val="20"/>
              </w:rPr>
              <w:t>ISO/TS 17892-11</w:t>
            </w:r>
          </w:p>
        </w:tc>
        <w:tc>
          <w:tcPr>
            <w:tcW w:w="6480" w:type="dxa"/>
          </w:tcPr>
          <w:p w14:paraId="0C4A23A7" w14:textId="77777777" w:rsidR="00F25E60" w:rsidRPr="00F25E60" w:rsidRDefault="00F25E60" w:rsidP="00F25E60">
            <w:pPr>
              <w:spacing w:line="240" w:lineRule="auto"/>
              <w:rPr>
                <w:rFonts w:cs="Arial"/>
                <w:szCs w:val="20"/>
              </w:rPr>
            </w:pPr>
            <w:r w:rsidRPr="00F25E60">
              <w:rPr>
                <w:rFonts w:cs="Arial"/>
                <w:szCs w:val="20"/>
              </w:rPr>
              <w:t>Badania geotechniczne – Badania laboratoryjne gruntów – Część 11: Oznaczanie filtracji przy stałym i obniżającym spadku hydraulicznym</w:t>
            </w:r>
          </w:p>
        </w:tc>
      </w:tr>
    </w:tbl>
    <w:p w14:paraId="10A8E788" w14:textId="77777777" w:rsidR="00F25E60" w:rsidRPr="00F25E60" w:rsidRDefault="00F25E60" w:rsidP="00F25E60">
      <w:pPr>
        <w:pStyle w:val="Nagwek2"/>
        <w:spacing w:line="240" w:lineRule="auto"/>
        <w:rPr>
          <w:rFonts w:cs="Arial"/>
          <w:szCs w:val="20"/>
        </w:rPr>
      </w:pPr>
      <w:r w:rsidRPr="00F25E60">
        <w:rPr>
          <w:rFonts w:cs="Arial"/>
          <w:szCs w:val="20"/>
        </w:rPr>
        <w:t>10.3. Inne dokumenty</w:t>
      </w:r>
    </w:p>
    <w:p w14:paraId="3AC6F9BD" w14:textId="77777777" w:rsidR="00F25E60" w:rsidRPr="00F25E60" w:rsidRDefault="00F25E60" w:rsidP="00CF1E7D">
      <w:pPr>
        <w:numPr>
          <w:ilvl w:val="0"/>
          <w:numId w:val="106"/>
        </w:numPr>
        <w:overflowPunct w:val="0"/>
        <w:autoSpaceDE w:val="0"/>
        <w:autoSpaceDN w:val="0"/>
        <w:adjustRightInd w:val="0"/>
        <w:spacing w:line="240" w:lineRule="auto"/>
        <w:jc w:val="both"/>
        <w:textAlignment w:val="baseline"/>
        <w:rPr>
          <w:rFonts w:cs="Arial"/>
          <w:szCs w:val="20"/>
        </w:rPr>
      </w:pPr>
      <w:r w:rsidRPr="00F25E60">
        <w:rPr>
          <w:rFonts w:cs="Arial"/>
          <w:szCs w:val="20"/>
        </w:rPr>
        <w:t>Mieszanki niezwiązane do dróg krajowych. WT-4 2010. Wymagania techniczne (zalecone do stosowania w specyfikacji technicznej na roboty budowlane na drogach krajowych wg zarządzenia nr 102 GDDKiA z dnia 19.11.2010 r.)</w:t>
      </w:r>
    </w:p>
    <w:p w14:paraId="7E679D60" w14:textId="77777777" w:rsidR="00F25E60" w:rsidRPr="00F25E60" w:rsidRDefault="00F25E60" w:rsidP="00CF1E7D">
      <w:pPr>
        <w:numPr>
          <w:ilvl w:val="0"/>
          <w:numId w:val="106"/>
        </w:numPr>
        <w:overflowPunct w:val="0"/>
        <w:autoSpaceDE w:val="0"/>
        <w:autoSpaceDN w:val="0"/>
        <w:adjustRightInd w:val="0"/>
        <w:spacing w:line="240" w:lineRule="auto"/>
        <w:jc w:val="both"/>
        <w:textAlignment w:val="baseline"/>
        <w:rPr>
          <w:rFonts w:cs="Arial"/>
          <w:szCs w:val="20"/>
        </w:rPr>
      </w:pPr>
      <w:r w:rsidRPr="00F25E60">
        <w:rPr>
          <w:rFonts w:cs="Arial"/>
          <w:szCs w:val="20"/>
        </w:rPr>
        <w:t>Rozporządzenie Ministra Transportu i Gospodarki Morskiej z dnia 2 marca 1999 r. w sprawie warunków technicznych, jakim powinny odpowiadać drogi publiczne i ich usytuowanie (Dz.U. nr 43, poz. 430)</w:t>
      </w:r>
    </w:p>
    <w:p w14:paraId="680D6448" w14:textId="77777777" w:rsidR="00F25E60" w:rsidRPr="00F25E60" w:rsidRDefault="00F25E60" w:rsidP="00CF1E7D">
      <w:pPr>
        <w:numPr>
          <w:ilvl w:val="0"/>
          <w:numId w:val="106"/>
        </w:numPr>
        <w:overflowPunct w:val="0"/>
        <w:autoSpaceDE w:val="0"/>
        <w:autoSpaceDN w:val="0"/>
        <w:adjustRightInd w:val="0"/>
        <w:spacing w:line="240" w:lineRule="auto"/>
        <w:jc w:val="both"/>
        <w:textAlignment w:val="baseline"/>
        <w:rPr>
          <w:rFonts w:cs="Arial"/>
          <w:szCs w:val="20"/>
        </w:rPr>
      </w:pPr>
      <w:r w:rsidRPr="00F25E60">
        <w:rPr>
          <w:rFonts w:cs="Arial"/>
          <w:szCs w:val="20"/>
        </w:rPr>
        <w:t>Katalog typowych konstrukcji nawierzchni podatnych i półsztywnych. Generalna Dyrekcja Dróg Publicznych – Instytut Badawczy Dróg i Mostów, Warszawa 1997</w:t>
      </w:r>
    </w:p>
    <w:p w14:paraId="64CD1A76" w14:textId="77777777" w:rsidR="00F25E60" w:rsidRPr="00F25E60" w:rsidRDefault="00F25E60" w:rsidP="00F25E60">
      <w:pPr>
        <w:spacing w:line="240" w:lineRule="auto"/>
        <w:rPr>
          <w:rFonts w:cs="Arial"/>
          <w:szCs w:val="20"/>
        </w:rPr>
      </w:pPr>
    </w:p>
    <w:p w14:paraId="2B7D07D2" w14:textId="77777777" w:rsidR="00F25E60" w:rsidRPr="00F25E60" w:rsidRDefault="00F25E60" w:rsidP="00F25E60">
      <w:pPr>
        <w:pStyle w:val="Nagwek1"/>
        <w:spacing w:line="240" w:lineRule="auto"/>
        <w:rPr>
          <w:rFonts w:cs="Arial"/>
          <w:szCs w:val="20"/>
        </w:rPr>
      </w:pPr>
      <w:bookmarkStart w:id="913" w:name="_Toc348096816"/>
      <w:r w:rsidRPr="00F25E60">
        <w:rPr>
          <w:rFonts w:cs="Arial"/>
          <w:szCs w:val="20"/>
        </w:rPr>
        <w:t>11. Załączniki</w:t>
      </w:r>
      <w:bookmarkEnd w:id="913"/>
    </w:p>
    <w:p w14:paraId="76A1CCCA" w14:textId="77777777" w:rsidR="00F25E60" w:rsidRPr="00F25E60" w:rsidRDefault="00F25E60" w:rsidP="00F25E60">
      <w:pPr>
        <w:spacing w:after="120" w:line="240" w:lineRule="auto"/>
        <w:jc w:val="right"/>
        <w:rPr>
          <w:rFonts w:cs="Arial"/>
          <w:b/>
          <w:szCs w:val="20"/>
        </w:rPr>
      </w:pPr>
      <w:r w:rsidRPr="00F25E60">
        <w:rPr>
          <w:rFonts w:cs="Arial"/>
          <w:b/>
          <w:szCs w:val="20"/>
        </w:rPr>
        <w:t>ZAŁĄCZNIK 1</w:t>
      </w:r>
    </w:p>
    <w:p w14:paraId="383A68DB" w14:textId="77777777" w:rsidR="00F25E60" w:rsidRPr="00F25E60" w:rsidRDefault="00F25E60" w:rsidP="00F25E60">
      <w:pPr>
        <w:spacing w:after="120" w:line="240" w:lineRule="auto"/>
        <w:jc w:val="center"/>
        <w:rPr>
          <w:rFonts w:cs="Arial"/>
          <w:b/>
          <w:szCs w:val="20"/>
        </w:rPr>
      </w:pPr>
      <w:r w:rsidRPr="00F25E60">
        <w:rPr>
          <w:rFonts w:cs="Arial"/>
          <w:b/>
          <w:szCs w:val="20"/>
        </w:rPr>
        <w:t>PRZYKŁADOWE  MIESZANKI  KRUSZYW  Z  RECYKLINGU [24]</w:t>
      </w:r>
    </w:p>
    <w:p w14:paraId="33D55C9F" w14:textId="77777777" w:rsidR="00F25E60" w:rsidRPr="00F25E60" w:rsidRDefault="00F25E60" w:rsidP="00CF1E7D">
      <w:pPr>
        <w:pStyle w:val="Nagwek2"/>
        <w:numPr>
          <w:ilvl w:val="1"/>
          <w:numId w:val="107"/>
        </w:numPr>
        <w:tabs>
          <w:tab w:val="clear" w:pos="420"/>
        </w:tabs>
        <w:spacing w:line="240" w:lineRule="auto"/>
        <w:ind w:left="283" w:hanging="283"/>
        <w:rPr>
          <w:rFonts w:cs="Arial"/>
          <w:szCs w:val="20"/>
        </w:rPr>
      </w:pPr>
      <w:r w:rsidRPr="00F25E60">
        <w:rPr>
          <w:rFonts w:cs="Arial"/>
          <w:szCs w:val="20"/>
        </w:rPr>
        <w:t>Rodzaje mieszanek kruszyw z recyklingu</w:t>
      </w:r>
    </w:p>
    <w:p w14:paraId="1B4F090B" w14:textId="77777777" w:rsidR="00F25E60" w:rsidRPr="00F25E60" w:rsidRDefault="00F25E60" w:rsidP="00F25E60">
      <w:pPr>
        <w:spacing w:line="240" w:lineRule="auto"/>
        <w:ind w:firstLine="709"/>
        <w:rPr>
          <w:rFonts w:cs="Arial"/>
          <w:szCs w:val="20"/>
        </w:rPr>
      </w:pPr>
      <w:r w:rsidRPr="00F25E60">
        <w:rPr>
          <w:rFonts w:cs="Arial"/>
          <w:szCs w:val="20"/>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421AB733" w14:textId="77777777" w:rsidR="00F25E60" w:rsidRPr="00F25E60" w:rsidRDefault="00F25E60" w:rsidP="00F25E60">
      <w:pPr>
        <w:spacing w:line="240" w:lineRule="auto"/>
        <w:ind w:firstLine="709"/>
        <w:rPr>
          <w:rFonts w:cs="Arial"/>
          <w:szCs w:val="20"/>
        </w:rPr>
      </w:pPr>
      <w:r w:rsidRPr="00F25E60">
        <w:rPr>
          <w:rFonts w:cs="Arial"/>
          <w:szCs w:val="20"/>
        </w:rPr>
        <w:t>Jako przykładowe podaje się następujące mieszanki kruszyw z recyklingu wraz z ich składami:</w:t>
      </w:r>
    </w:p>
    <w:p w14:paraId="15F2EEF4" w14:textId="77777777" w:rsidR="00F25E60" w:rsidRPr="00F25E60" w:rsidRDefault="00F25E60" w:rsidP="00CF1E7D">
      <w:pPr>
        <w:numPr>
          <w:ilvl w:val="0"/>
          <w:numId w:val="108"/>
        </w:numPr>
        <w:overflowPunct w:val="0"/>
        <w:autoSpaceDE w:val="0"/>
        <w:autoSpaceDN w:val="0"/>
        <w:adjustRightInd w:val="0"/>
        <w:spacing w:line="240" w:lineRule="auto"/>
        <w:jc w:val="both"/>
        <w:textAlignment w:val="baseline"/>
        <w:rPr>
          <w:rFonts w:cs="Arial"/>
          <w:szCs w:val="20"/>
        </w:rPr>
      </w:pPr>
      <w:r w:rsidRPr="00F25E60">
        <w:rPr>
          <w:rFonts w:cs="Arial"/>
          <w:szCs w:val="20"/>
        </w:rPr>
        <w:t xml:space="preserve">mieszanki z betonu </w:t>
      </w:r>
      <w:proofErr w:type="spellStart"/>
      <w:r w:rsidRPr="00F25E60">
        <w:rPr>
          <w:rFonts w:cs="Arial"/>
          <w:szCs w:val="20"/>
        </w:rPr>
        <w:t>przekruszonego</w:t>
      </w:r>
      <w:proofErr w:type="spellEnd"/>
      <w:r w:rsidRPr="00F25E60">
        <w:rPr>
          <w:rFonts w:cs="Arial"/>
          <w:szCs w:val="20"/>
        </w:rPr>
        <w:t>,</w:t>
      </w:r>
    </w:p>
    <w:p w14:paraId="23C5CECC" w14:textId="77777777" w:rsidR="00F25E60" w:rsidRPr="00F25E60" w:rsidRDefault="00F25E60" w:rsidP="00CF1E7D">
      <w:pPr>
        <w:numPr>
          <w:ilvl w:val="0"/>
          <w:numId w:val="108"/>
        </w:numPr>
        <w:overflowPunct w:val="0"/>
        <w:autoSpaceDE w:val="0"/>
        <w:autoSpaceDN w:val="0"/>
        <w:adjustRightInd w:val="0"/>
        <w:spacing w:line="240" w:lineRule="auto"/>
        <w:jc w:val="both"/>
        <w:textAlignment w:val="baseline"/>
        <w:rPr>
          <w:rFonts w:cs="Arial"/>
          <w:szCs w:val="20"/>
        </w:rPr>
      </w:pPr>
      <w:r w:rsidRPr="00F25E60">
        <w:rPr>
          <w:rFonts w:cs="Arial"/>
          <w:szCs w:val="20"/>
        </w:rPr>
        <w:t xml:space="preserve">mieszanki z </w:t>
      </w:r>
      <w:proofErr w:type="spellStart"/>
      <w:r w:rsidRPr="00F25E60">
        <w:rPr>
          <w:rFonts w:cs="Arial"/>
          <w:szCs w:val="20"/>
        </w:rPr>
        <w:t>przekruszonego</w:t>
      </w:r>
      <w:proofErr w:type="spellEnd"/>
      <w:r w:rsidRPr="00F25E60">
        <w:rPr>
          <w:rFonts w:cs="Arial"/>
          <w:szCs w:val="20"/>
        </w:rPr>
        <w:t xml:space="preserve"> muru,</w:t>
      </w:r>
    </w:p>
    <w:p w14:paraId="769B3EE0" w14:textId="77777777" w:rsidR="00F25E60" w:rsidRPr="00F25E60" w:rsidRDefault="00F25E60" w:rsidP="00CF1E7D">
      <w:pPr>
        <w:numPr>
          <w:ilvl w:val="0"/>
          <w:numId w:val="108"/>
        </w:numPr>
        <w:overflowPunct w:val="0"/>
        <w:autoSpaceDE w:val="0"/>
        <w:autoSpaceDN w:val="0"/>
        <w:adjustRightInd w:val="0"/>
        <w:spacing w:line="240" w:lineRule="auto"/>
        <w:jc w:val="both"/>
        <w:textAlignment w:val="baseline"/>
        <w:rPr>
          <w:rFonts w:cs="Arial"/>
          <w:szCs w:val="20"/>
        </w:rPr>
      </w:pPr>
      <w:r w:rsidRPr="00F25E60">
        <w:rPr>
          <w:rFonts w:cs="Arial"/>
          <w:szCs w:val="20"/>
        </w:rPr>
        <w:t xml:space="preserve">mieszanki z </w:t>
      </w:r>
      <w:proofErr w:type="spellStart"/>
      <w:r w:rsidRPr="00F25E60">
        <w:rPr>
          <w:rFonts w:cs="Arial"/>
          <w:szCs w:val="20"/>
        </w:rPr>
        <w:t>przekruszonego</w:t>
      </w:r>
      <w:proofErr w:type="spellEnd"/>
      <w:r w:rsidRPr="00F25E60">
        <w:rPr>
          <w:rFonts w:cs="Arial"/>
          <w:szCs w:val="20"/>
        </w:rPr>
        <w:t xml:space="preserve"> betonu i muru,</w:t>
      </w:r>
    </w:p>
    <w:p w14:paraId="3CC7FE41" w14:textId="77777777" w:rsidR="00F25E60" w:rsidRPr="00F25E60" w:rsidRDefault="00F25E60" w:rsidP="00CF1E7D">
      <w:pPr>
        <w:numPr>
          <w:ilvl w:val="0"/>
          <w:numId w:val="108"/>
        </w:numPr>
        <w:overflowPunct w:val="0"/>
        <w:autoSpaceDE w:val="0"/>
        <w:autoSpaceDN w:val="0"/>
        <w:adjustRightInd w:val="0"/>
        <w:spacing w:line="240" w:lineRule="auto"/>
        <w:jc w:val="both"/>
        <w:textAlignment w:val="baseline"/>
        <w:rPr>
          <w:rFonts w:cs="Arial"/>
          <w:szCs w:val="20"/>
        </w:rPr>
      </w:pPr>
      <w:r w:rsidRPr="00F25E60">
        <w:rPr>
          <w:rFonts w:cs="Arial"/>
          <w:szCs w:val="20"/>
        </w:rPr>
        <w:t xml:space="preserve">mieszanki z </w:t>
      </w:r>
      <w:proofErr w:type="spellStart"/>
      <w:r w:rsidRPr="00F25E60">
        <w:rPr>
          <w:rFonts w:cs="Arial"/>
          <w:szCs w:val="20"/>
        </w:rPr>
        <w:t>przekruszonych</w:t>
      </w:r>
      <w:proofErr w:type="spellEnd"/>
      <w:r w:rsidRPr="00F25E60">
        <w:rPr>
          <w:rFonts w:cs="Arial"/>
          <w:szCs w:val="20"/>
        </w:rPr>
        <w:t xml:space="preserve"> materiałów drogowych (w tym destruktu asfaltowego),</w:t>
      </w:r>
    </w:p>
    <w:p w14:paraId="5F71C639" w14:textId="77777777" w:rsidR="00F25E60" w:rsidRPr="00F25E60" w:rsidRDefault="00F25E60" w:rsidP="00CF1E7D">
      <w:pPr>
        <w:numPr>
          <w:ilvl w:val="0"/>
          <w:numId w:val="108"/>
        </w:numPr>
        <w:overflowPunct w:val="0"/>
        <w:autoSpaceDE w:val="0"/>
        <w:autoSpaceDN w:val="0"/>
        <w:adjustRightInd w:val="0"/>
        <w:spacing w:line="240" w:lineRule="auto"/>
        <w:jc w:val="both"/>
        <w:textAlignment w:val="baseline"/>
        <w:rPr>
          <w:rFonts w:cs="Arial"/>
          <w:szCs w:val="20"/>
        </w:rPr>
      </w:pPr>
      <w:r w:rsidRPr="00F25E60">
        <w:rPr>
          <w:rFonts w:cs="Arial"/>
          <w:szCs w:val="20"/>
        </w:rPr>
        <w:t>popiół powstały ze spalania odpadów komunalnych (w tym odpadów z gospodarstw domowych).</w:t>
      </w:r>
    </w:p>
    <w:p w14:paraId="2ACE64E8" w14:textId="77777777" w:rsidR="00F25E60" w:rsidRPr="00F25E60" w:rsidRDefault="00F25E60" w:rsidP="00F25E60">
      <w:pPr>
        <w:pStyle w:val="Nagwek2"/>
        <w:spacing w:line="240" w:lineRule="auto"/>
        <w:rPr>
          <w:rFonts w:cs="Arial"/>
          <w:szCs w:val="20"/>
        </w:rPr>
      </w:pPr>
      <w:r w:rsidRPr="00F25E60">
        <w:rPr>
          <w:rFonts w:cs="Arial"/>
          <w:szCs w:val="20"/>
        </w:rPr>
        <w:t>1.2. Metoda badania</w:t>
      </w:r>
    </w:p>
    <w:p w14:paraId="4B01D6D9" w14:textId="77777777" w:rsidR="00F25E60" w:rsidRPr="00F25E60" w:rsidRDefault="00F25E60" w:rsidP="00F25E60">
      <w:pPr>
        <w:spacing w:line="240" w:lineRule="auto"/>
        <w:rPr>
          <w:rFonts w:cs="Arial"/>
          <w:szCs w:val="20"/>
        </w:rPr>
      </w:pPr>
      <w:r w:rsidRPr="00F25E60">
        <w:rPr>
          <w:rFonts w:cs="Arial"/>
          <w:szCs w:val="20"/>
        </w:rPr>
        <w:tab/>
        <w:t>Masa próbki analitycznej niezbędna do wykonania oznaczenia składu mieszanki zależy od wymiaru największego ziarna w mieszance:</w:t>
      </w:r>
    </w:p>
    <w:p w14:paraId="209C1003" w14:textId="77777777" w:rsidR="00F25E60" w:rsidRPr="00F25E60" w:rsidRDefault="00F25E60" w:rsidP="00CF1E7D">
      <w:pPr>
        <w:numPr>
          <w:ilvl w:val="0"/>
          <w:numId w:val="109"/>
        </w:numPr>
        <w:overflowPunct w:val="0"/>
        <w:autoSpaceDE w:val="0"/>
        <w:autoSpaceDN w:val="0"/>
        <w:adjustRightInd w:val="0"/>
        <w:spacing w:line="240" w:lineRule="auto"/>
        <w:jc w:val="both"/>
        <w:textAlignment w:val="baseline"/>
        <w:rPr>
          <w:rFonts w:cs="Arial"/>
          <w:szCs w:val="20"/>
        </w:rPr>
      </w:pPr>
      <w:r w:rsidRPr="00F25E60">
        <w:rPr>
          <w:rFonts w:cs="Arial"/>
          <w:szCs w:val="20"/>
        </w:rPr>
        <w:t xml:space="preserve">przy D ≤ </w:t>
      </w:r>
      <w:smartTag w:uri="urn:schemas-microsoft-com:office:smarttags" w:element="metricconverter">
        <w:smartTagPr>
          <w:attr w:name="ProductID" w:val="32 mm"/>
        </w:smartTagPr>
        <w:r w:rsidRPr="00F25E60">
          <w:rPr>
            <w:rFonts w:cs="Arial"/>
            <w:szCs w:val="20"/>
          </w:rPr>
          <w:t>32 mm</w:t>
        </w:r>
      </w:smartTag>
      <w:r w:rsidRPr="00F25E60">
        <w:rPr>
          <w:rFonts w:cs="Arial"/>
          <w:szCs w:val="20"/>
        </w:rPr>
        <w:tab/>
        <w:t xml:space="preserve">masa próbki </w:t>
      </w:r>
      <w:smartTag w:uri="urn:schemas-microsoft-com:office:smarttags" w:element="metricconverter">
        <w:smartTagPr>
          <w:attr w:name="ProductID" w:val="4 000 g"/>
        </w:smartTagPr>
        <w:r w:rsidRPr="00F25E60">
          <w:rPr>
            <w:rFonts w:cs="Arial"/>
            <w:szCs w:val="20"/>
          </w:rPr>
          <w:t>4 000 g</w:t>
        </w:r>
      </w:smartTag>
      <w:r w:rsidRPr="00F25E60">
        <w:rPr>
          <w:rFonts w:cs="Arial"/>
          <w:szCs w:val="20"/>
        </w:rPr>
        <w:t>,</w:t>
      </w:r>
    </w:p>
    <w:p w14:paraId="1E1EFA04" w14:textId="77777777" w:rsidR="00F25E60" w:rsidRPr="00F25E60" w:rsidRDefault="00F25E60" w:rsidP="00CF1E7D">
      <w:pPr>
        <w:numPr>
          <w:ilvl w:val="0"/>
          <w:numId w:val="109"/>
        </w:numPr>
        <w:overflowPunct w:val="0"/>
        <w:autoSpaceDE w:val="0"/>
        <w:autoSpaceDN w:val="0"/>
        <w:adjustRightInd w:val="0"/>
        <w:spacing w:line="240" w:lineRule="auto"/>
        <w:jc w:val="both"/>
        <w:textAlignment w:val="baseline"/>
        <w:rPr>
          <w:rFonts w:cs="Arial"/>
          <w:szCs w:val="20"/>
        </w:rPr>
      </w:pPr>
      <w:r w:rsidRPr="00F25E60">
        <w:rPr>
          <w:rFonts w:cs="Arial"/>
          <w:szCs w:val="20"/>
        </w:rPr>
        <w:t xml:space="preserve">przy D &gt; </w:t>
      </w:r>
      <w:smartTag w:uri="urn:schemas-microsoft-com:office:smarttags" w:element="metricconverter">
        <w:smartTagPr>
          <w:attr w:name="ProductID" w:val="32 mm"/>
        </w:smartTagPr>
        <w:r w:rsidRPr="00F25E60">
          <w:rPr>
            <w:rFonts w:cs="Arial"/>
            <w:szCs w:val="20"/>
          </w:rPr>
          <w:t>32 mm</w:t>
        </w:r>
      </w:smartTag>
      <w:r w:rsidRPr="00F25E60">
        <w:rPr>
          <w:rFonts w:cs="Arial"/>
          <w:szCs w:val="20"/>
        </w:rPr>
        <w:tab/>
        <w:t xml:space="preserve">masa próbki </w:t>
      </w:r>
      <w:smartTag w:uri="urn:schemas-microsoft-com:office:smarttags" w:element="metricconverter">
        <w:smartTagPr>
          <w:attr w:name="ProductID" w:val="10 000 g"/>
        </w:smartTagPr>
        <w:r w:rsidRPr="00F25E60">
          <w:rPr>
            <w:rFonts w:cs="Arial"/>
            <w:szCs w:val="20"/>
          </w:rPr>
          <w:t>10 000 g</w:t>
        </w:r>
      </w:smartTag>
      <w:r w:rsidRPr="00F25E60">
        <w:rPr>
          <w:rFonts w:cs="Arial"/>
          <w:szCs w:val="20"/>
        </w:rPr>
        <w:t>.</w:t>
      </w:r>
    </w:p>
    <w:p w14:paraId="256A2467" w14:textId="77777777" w:rsidR="00F25E60" w:rsidRPr="00F25E60" w:rsidRDefault="00F25E60" w:rsidP="00F25E60">
      <w:pPr>
        <w:spacing w:line="240" w:lineRule="auto"/>
        <w:ind w:firstLine="709"/>
        <w:rPr>
          <w:rFonts w:cs="Arial"/>
          <w:szCs w:val="20"/>
        </w:rPr>
      </w:pPr>
      <w:r w:rsidRPr="00F25E60">
        <w:rPr>
          <w:rFonts w:cs="Arial"/>
          <w:szCs w:val="20"/>
        </w:rPr>
        <w:t xml:space="preserve">Zgodnie z PN-EN 933-1 [8] próbkę mieszanki należy przepłukać na sicie </w:t>
      </w:r>
      <w:smartTag w:uri="urn:schemas-microsoft-com:office:smarttags" w:element="metricconverter">
        <w:smartTagPr>
          <w:attr w:name="ProductID" w:val="8 mm"/>
        </w:smartTagPr>
        <w:r w:rsidRPr="00F25E60">
          <w:rPr>
            <w:rFonts w:cs="Arial"/>
            <w:szCs w:val="20"/>
          </w:rPr>
          <w:t>8 mm</w:t>
        </w:r>
      </w:smartTag>
      <w:r w:rsidRPr="00F25E60">
        <w:rPr>
          <w:rFonts w:cs="Arial"/>
          <w:szCs w:val="20"/>
        </w:rPr>
        <w:t>, przy czym sito nie może być przeładowane. Pozostałość na sicie jest suszona do masy stałej i podawana jako „M”.</w:t>
      </w:r>
    </w:p>
    <w:p w14:paraId="740338B0" w14:textId="77777777" w:rsidR="00F25E60" w:rsidRPr="00F25E60" w:rsidRDefault="00F25E60" w:rsidP="00F25E60">
      <w:pPr>
        <w:spacing w:line="240" w:lineRule="auto"/>
        <w:ind w:firstLine="709"/>
        <w:rPr>
          <w:rFonts w:cs="Arial"/>
          <w:szCs w:val="20"/>
        </w:rPr>
      </w:pPr>
      <w:r w:rsidRPr="00F25E60">
        <w:rPr>
          <w:rFonts w:cs="Arial"/>
          <w:szCs w:val="20"/>
        </w:rPr>
        <w:t>Wymyte i wysuszone ziarna są sortowane metodą wizualną w następujące grupy:</w:t>
      </w:r>
    </w:p>
    <w:p w14:paraId="3AA2BDC3" w14:textId="77777777" w:rsidR="00F25E60" w:rsidRPr="00F25E60" w:rsidRDefault="00F25E60" w:rsidP="00CF1E7D">
      <w:pPr>
        <w:numPr>
          <w:ilvl w:val="0"/>
          <w:numId w:val="278"/>
        </w:numPr>
        <w:overflowPunct w:val="0"/>
        <w:autoSpaceDE w:val="0"/>
        <w:autoSpaceDN w:val="0"/>
        <w:adjustRightInd w:val="0"/>
        <w:spacing w:line="240" w:lineRule="auto"/>
        <w:jc w:val="both"/>
        <w:textAlignment w:val="baseline"/>
        <w:rPr>
          <w:rFonts w:cs="Arial"/>
          <w:szCs w:val="20"/>
        </w:rPr>
      </w:pPr>
      <w:r w:rsidRPr="00F25E60">
        <w:rPr>
          <w:rFonts w:cs="Arial"/>
          <w:szCs w:val="20"/>
        </w:rPr>
        <w:t xml:space="preserve">kruszywa z </w:t>
      </w:r>
      <w:proofErr w:type="spellStart"/>
      <w:r w:rsidRPr="00F25E60">
        <w:rPr>
          <w:rFonts w:cs="Arial"/>
          <w:szCs w:val="20"/>
        </w:rPr>
        <w:t>przekruszonej</w:t>
      </w:r>
      <w:proofErr w:type="spellEnd"/>
      <w:r w:rsidRPr="00F25E60">
        <w:rPr>
          <w:rFonts w:cs="Arial"/>
          <w:szCs w:val="20"/>
        </w:rPr>
        <w:t xml:space="preserve"> skały,</w:t>
      </w:r>
    </w:p>
    <w:p w14:paraId="1056A534" w14:textId="77777777" w:rsidR="00F25E60" w:rsidRPr="00F25E60" w:rsidRDefault="00F25E60" w:rsidP="00CF1E7D">
      <w:pPr>
        <w:numPr>
          <w:ilvl w:val="0"/>
          <w:numId w:val="278"/>
        </w:numPr>
        <w:overflowPunct w:val="0"/>
        <w:autoSpaceDE w:val="0"/>
        <w:autoSpaceDN w:val="0"/>
        <w:adjustRightInd w:val="0"/>
        <w:spacing w:line="240" w:lineRule="auto"/>
        <w:jc w:val="both"/>
        <w:textAlignment w:val="baseline"/>
        <w:rPr>
          <w:rFonts w:cs="Arial"/>
          <w:szCs w:val="20"/>
        </w:rPr>
      </w:pPr>
      <w:r w:rsidRPr="00F25E60">
        <w:rPr>
          <w:rFonts w:cs="Arial"/>
          <w:szCs w:val="20"/>
        </w:rPr>
        <w:t>kruszywa ze żwiru,</w:t>
      </w:r>
    </w:p>
    <w:p w14:paraId="670C7AAE" w14:textId="77777777" w:rsidR="00F25E60" w:rsidRPr="00F25E60" w:rsidRDefault="00F25E60" w:rsidP="00CF1E7D">
      <w:pPr>
        <w:numPr>
          <w:ilvl w:val="0"/>
          <w:numId w:val="278"/>
        </w:numPr>
        <w:overflowPunct w:val="0"/>
        <w:autoSpaceDE w:val="0"/>
        <w:autoSpaceDN w:val="0"/>
        <w:adjustRightInd w:val="0"/>
        <w:spacing w:line="240" w:lineRule="auto"/>
        <w:jc w:val="both"/>
        <w:textAlignment w:val="baseline"/>
        <w:rPr>
          <w:rFonts w:cs="Arial"/>
          <w:szCs w:val="20"/>
        </w:rPr>
      </w:pPr>
      <w:r w:rsidRPr="00F25E60">
        <w:rPr>
          <w:rFonts w:cs="Arial"/>
          <w:szCs w:val="20"/>
        </w:rPr>
        <w:t>beton i inne hydraulicznie związane mieszanki,</w:t>
      </w:r>
    </w:p>
    <w:p w14:paraId="64CB474A" w14:textId="77777777" w:rsidR="00F25E60" w:rsidRPr="00F25E60" w:rsidRDefault="00F25E60" w:rsidP="00CF1E7D">
      <w:pPr>
        <w:numPr>
          <w:ilvl w:val="0"/>
          <w:numId w:val="278"/>
        </w:numPr>
        <w:overflowPunct w:val="0"/>
        <w:autoSpaceDE w:val="0"/>
        <w:autoSpaceDN w:val="0"/>
        <w:adjustRightInd w:val="0"/>
        <w:spacing w:line="240" w:lineRule="auto"/>
        <w:jc w:val="both"/>
        <w:textAlignment w:val="baseline"/>
        <w:rPr>
          <w:rFonts w:cs="Arial"/>
          <w:szCs w:val="20"/>
        </w:rPr>
      </w:pPr>
      <w:r w:rsidRPr="00F25E60">
        <w:rPr>
          <w:rFonts w:cs="Arial"/>
          <w:szCs w:val="20"/>
        </w:rPr>
        <w:t>żużel (łącznie z rodzajem żużla, jeżeli jest znany),</w:t>
      </w:r>
    </w:p>
    <w:p w14:paraId="657AD92B" w14:textId="77777777" w:rsidR="00F25E60" w:rsidRPr="00F25E60" w:rsidRDefault="00F25E60" w:rsidP="00CF1E7D">
      <w:pPr>
        <w:numPr>
          <w:ilvl w:val="0"/>
          <w:numId w:val="278"/>
        </w:numPr>
        <w:overflowPunct w:val="0"/>
        <w:autoSpaceDE w:val="0"/>
        <w:autoSpaceDN w:val="0"/>
        <w:adjustRightInd w:val="0"/>
        <w:spacing w:line="240" w:lineRule="auto"/>
        <w:jc w:val="both"/>
        <w:textAlignment w:val="baseline"/>
        <w:rPr>
          <w:rFonts w:cs="Arial"/>
          <w:szCs w:val="20"/>
        </w:rPr>
      </w:pPr>
      <w:r w:rsidRPr="00F25E60">
        <w:rPr>
          <w:rFonts w:cs="Arial"/>
          <w:szCs w:val="20"/>
        </w:rPr>
        <w:t>cegły, mury i bloki betonowe,</w:t>
      </w:r>
    </w:p>
    <w:p w14:paraId="34EA270E" w14:textId="77777777" w:rsidR="00F25E60" w:rsidRPr="00F25E60" w:rsidRDefault="00F25E60" w:rsidP="00CF1E7D">
      <w:pPr>
        <w:numPr>
          <w:ilvl w:val="0"/>
          <w:numId w:val="278"/>
        </w:numPr>
        <w:overflowPunct w:val="0"/>
        <w:autoSpaceDE w:val="0"/>
        <w:autoSpaceDN w:val="0"/>
        <w:adjustRightInd w:val="0"/>
        <w:spacing w:line="240" w:lineRule="auto"/>
        <w:jc w:val="both"/>
        <w:textAlignment w:val="baseline"/>
        <w:rPr>
          <w:rFonts w:cs="Arial"/>
          <w:szCs w:val="20"/>
        </w:rPr>
      </w:pPr>
      <w:r w:rsidRPr="00F25E60">
        <w:rPr>
          <w:rFonts w:cs="Arial"/>
          <w:szCs w:val="20"/>
        </w:rPr>
        <w:t>mur z cegły wapienno-piaskowej,</w:t>
      </w:r>
    </w:p>
    <w:p w14:paraId="15E91529" w14:textId="77777777" w:rsidR="00F25E60" w:rsidRPr="00F25E60" w:rsidRDefault="00F25E60" w:rsidP="00CF1E7D">
      <w:pPr>
        <w:numPr>
          <w:ilvl w:val="0"/>
          <w:numId w:val="278"/>
        </w:numPr>
        <w:overflowPunct w:val="0"/>
        <w:autoSpaceDE w:val="0"/>
        <w:autoSpaceDN w:val="0"/>
        <w:adjustRightInd w:val="0"/>
        <w:spacing w:line="240" w:lineRule="auto"/>
        <w:jc w:val="both"/>
        <w:textAlignment w:val="baseline"/>
        <w:rPr>
          <w:rFonts w:cs="Arial"/>
          <w:szCs w:val="20"/>
        </w:rPr>
      </w:pPr>
      <w:r w:rsidRPr="00F25E60">
        <w:rPr>
          <w:rFonts w:cs="Arial"/>
          <w:szCs w:val="20"/>
        </w:rPr>
        <w:t>kruszywa lekkie,</w:t>
      </w:r>
    </w:p>
    <w:p w14:paraId="29DD8DE7" w14:textId="77777777" w:rsidR="00F25E60" w:rsidRPr="00F25E60" w:rsidRDefault="00F25E60" w:rsidP="00CF1E7D">
      <w:pPr>
        <w:numPr>
          <w:ilvl w:val="0"/>
          <w:numId w:val="278"/>
        </w:numPr>
        <w:overflowPunct w:val="0"/>
        <w:autoSpaceDE w:val="0"/>
        <w:autoSpaceDN w:val="0"/>
        <w:adjustRightInd w:val="0"/>
        <w:spacing w:line="240" w:lineRule="auto"/>
        <w:jc w:val="both"/>
        <w:textAlignment w:val="baseline"/>
        <w:rPr>
          <w:rFonts w:cs="Arial"/>
          <w:szCs w:val="20"/>
        </w:rPr>
      </w:pPr>
      <w:r w:rsidRPr="00F25E60">
        <w:rPr>
          <w:rFonts w:cs="Arial"/>
          <w:szCs w:val="20"/>
        </w:rPr>
        <w:t>destrukt asfaltowy,</w:t>
      </w:r>
    </w:p>
    <w:p w14:paraId="33999FC0" w14:textId="77777777" w:rsidR="00F25E60" w:rsidRPr="00F25E60" w:rsidRDefault="00F25E60" w:rsidP="00CF1E7D">
      <w:pPr>
        <w:numPr>
          <w:ilvl w:val="0"/>
          <w:numId w:val="278"/>
        </w:numPr>
        <w:overflowPunct w:val="0"/>
        <w:autoSpaceDE w:val="0"/>
        <w:autoSpaceDN w:val="0"/>
        <w:adjustRightInd w:val="0"/>
        <w:spacing w:line="240" w:lineRule="auto"/>
        <w:jc w:val="both"/>
        <w:textAlignment w:val="baseline"/>
        <w:rPr>
          <w:rFonts w:cs="Arial"/>
          <w:szCs w:val="20"/>
        </w:rPr>
      </w:pPr>
      <w:r w:rsidRPr="00F25E60">
        <w:rPr>
          <w:rFonts w:cs="Arial"/>
          <w:szCs w:val="20"/>
        </w:rPr>
        <w:t>zanieczyszczenia organiczne – drewno, tworzywo sztuczne itp.</w:t>
      </w:r>
    </w:p>
    <w:p w14:paraId="27925182" w14:textId="77777777" w:rsidR="00F25E60" w:rsidRPr="00F25E60" w:rsidRDefault="00F25E60" w:rsidP="00F25E60">
      <w:pPr>
        <w:spacing w:line="240" w:lineRule="auto"/>
        <w:ind w:firstLine="709"/>
        <w:rPr>
          <w:rFonts w:cs="Arial"/>
          <w:szCs w:val="20"/>
        </w:rPr>
      </w:pPr>
      <w:r w:rsidRPr="00F25E60">
        <w:rPr>
          <w:rFonts w:cs="Arial"/>
          <w:szCs w:val="20"/>
        </w:rPr>
        <w:t>Należy określić masę m</w:t>
      </w:r>
      <w:r w:rsidRPr="00F25E60">
        <w:rPr>
          <w:rFonts w:cs="Arial"/>
          <w:szCs w:val="20"/>
          <w:vertAlign w:val="subscript"/>
        </w:rPr>
        <w:t xml:space="preserve">i  </w:t>
      </w:r>
      <w:r w:rsidRPr="00F25E60">
        <w:rPr>
          <w:rFonts w:cs="Arial"/>
          <w:szCs w:val="20"/>
        </w:rPr>
        <w:t>każdej wydzielonej grupy i obliczyć jej procentową zawartość w całej masie mieszanki M, według poniższego wzoru, oraz podać tę wartość:</w:t>
      </w:r>
    </w:p>
    <w:p w14:paraId="334DAA04" w14:textId="77777777" w:rsidR="00F25E60" w:rsidRPr="00F25E60" w:rsidRDefault="00F25E60" w:rsidP="00F25E60">
      <w:pPr>
        <w:spacing w:line="240" w:lineRule="auto"/>
        <w:rPr>
          <w:rFonts w:cs="Arial"/>
          <w:szCs w:val="20"/>
        </w:rPr>
      </w:pPr>
      <w:r w:rsidRPr="00F25E60">
        <w:rPr>
          <w:rFonts w:cs="Arial"/>
          <w:b/>
          <w:szCs w:val="20"/>
        </w:rPr>
        <w:tab/>
      </w:r>
      <w:r w:rsidRPr="00F25E60">
        <w:rPr>
          <w:rFonts w:cs="Arial"/>
          <w:b/>
          <w:szCs w:val="20"/>
        </w:rPr>
        <w:tab/>
      </w:r>
      <w:r w:rsidRPr="00F25E60">
        <w:rPr>
          <w:rFonts w:cs="Arial"/>
          <w:b/>
          <w:szCs w:val="20"/>
        </w:rPr>
        <w:tab/>
      </w:r>
      <w:r w:rsidRPr="00F25E60">
        <w:rPr>
          <w:rFonts w:cs="Arial"/>
          <w:b/>
          <w:szCs w:val="20"/>
        </w:rPr>
        <w:tab/>
      </w:r>
      <w:r w:rsidRPr="00F25E60">
        <w:rPr>
          <w:rFonts w:cs="Arial"/>
          <w:b/>
          <w:szCs w:val="20"/>
        </w:rPr>
        <w:tab/>
      </w:r>
      <w:r w:rsidRPr="00F25E60">
        <w:rPr>
          <w:rFonts w:cs="Arial"/>
          <w:szCs w:val="20"/>
        </w:rPr>
        <w:t>100  ×  m</w:t>
      </w:r>
      <w:r w:rsidRPr="00F25E60">
        <w:rPr>
          <w:rFonts w:cs="Arial"/>
          <w:szCs w:val="20"/>
          <w:vertAlign w:val="subscript"/>
        </w:rPr>
        <w:t xml:space="preserve">i </w:t>
      </w:r>
      <w:r w:rsidRPr="00F25E60">
        <w:rPr>
          <w:rFonts w:cs="Arial"/>
          <w:szCs w:val="20"/>
        </w:rPr>
        <w:t>/ M     [%(m/m)].</w:t>
      </w:r>
    </w:p>
    <w:p w14:paraId="4580215C" w14:textId="77777777" w:rsidR="00F25E60" w:rsidRPr="00F25E60" w:rsidRDefault="00F25E60" w:rsidP="00F25E60">
      <w:pPr>
        <w:pStyle w:val="Nagwek2"/>
        <w:spacing w:line="240" w:lineRule="auto"/>
        <w:rPr>
          <w:rFonts w:cs="Arial"/>
          <w:szCs w:val="20"/>
        </w:rPr>
      </w:pPr>
      <w:r w:rsidRPr="00F25E60">
        <w:rPr>
          <w:rFonts w:cs="Arial"/>
          <w:szCs w:val="20"/>
        </w:rPr>
        <w:lastRenderedPageBreak/>
        <w:t>1.3. Składy mieszanek kruszyw z recyklingu</w:t>
      </w:r>
    </w:p>
    <w:p w14:paraId="5F8CB251" w14:textId="77777777" w:rsidR="00F25E60" w:rsidRPr="00F25E60" w:rsidRDefault="00F25E60" w:rsidP="00F25E60">
      <w:pPr>
        <w:spacing w:line="240" w:lineRule="auto"/>
        <w:rPr>
          <w:rFonts w:cs="Arial"/>
          <w:szCs w:val="20"/>
        </w:rPr>
      </w:pPr>
      <w:r w:rsidRPr="00F25E60">
        <w:rPr>
          <w:rFonts w:cs="Arial"/>
          <w:szCs w:val="20"/>
        </w:rPr>
        <w:t>(Uwaga: Gęstość materiałów podana w tablicach jest gęstością ziaren suszonych w suszarce laboratoryjnej, ustalana wg PN-EN 1097-6 [14])</w:t>
      </w:r>
    </w:p>
    <w:p w14:paraId="33A1BCD8" w14:textId="77777777" w:rsidR="00F25E60" w:rsidRPr="00F25E60" w:rsidRDefault="00F25E60" w:rsidP="00F25E60">
      <w:pPr>
        <w:spacing w:line="240" w:lineRule="auto"/>
        <w:rPr>
          <w:rFonts w:cs="Arial"/>
          <w:szCs w:val="20"/>
        </w:rPr>
      </w:pPr>
    </w:p>
    <w:p w14:paraId="5ED68821" w14:textId="77777777" w:rsidR="00F25E60" w:rsidRPr="00F25E60" w:rsidRDefault="00F25E60" w:rsidP="00F25E60">
      <w:pPr>
        <w:spacing w:line="240" w:lineRule="auto"/>
        <w:rPr>
          <w:rFonts w:cs="Arial"/>
          <w:szCs w:val="20"/>
        </w:rPr>
      </w:pPr>
    </w:p>
    <w:p w14:paraId="673135C6" w14:textId="77777777" w:rsidR="00F25E60" w:rsidRPr="00F25E60" w:rsidRDefault="00F25E60" w:rsidP="00F25E60">
      <w:pPr>
        <w:spacing w:line="240" w:lineRule="auto"/>
        <w:rPr>
          <w:rFonts w:cs="Arial"/>
          <w:szCs w:val="20"/>
        </w:rPr>
      </w:pPr>
    </w:p>
    <w:p w14:paraId="65E8DA53" w14:textId="77777777" w:rsidR="00F25E60" w:rsidRPr="00F25E60" w:rsidRDefault="00F25E60" w:rsidP="00F25E60">
      <w:pPr>
        <w:spacing w:line="240" w:lineRule="auto"/>
        <w:rPr>
          <w:rFonts w:cs="Arial"/>
          <w:szCs w:val="20"/>
        </w:rPr>
      </w:pPr>
    </w:p>
    <w:p w14:paraId="310C837C" w14:textId="77777777" w:rsidR="00F25E60" w:rsidRPr="00F25E60" w:rsidRDefault="00F25E60" w:rsidP="00F25E60">
      <w:pPr>
        <w:spacing w:after="120" w:line="240" w:lineRule="auto"/>
        <w:rPr>
          <w:rFonts w:cs="Arial"/>
          <w:szCs w:val="20"/>
        </w:rPr>
      </w:pPr>
      <w:r w:rsidRPr="00F25E60">
        <w:rPr>
          <w:rFonts w:cs="Arial"/>
          <w:szCs w:val="20"/>
        </w:rPr>
        <w:t xml:space="preserve">Tablica 1.1. Mieszanki z betonu </w:t>
      </w:r>
      <w:proofErr w:type="spellStart"/>
      <w:r w:rsidRPr="00F25E60">
        <w:rPr>
          <w:rFonts w:cs="Arial"/>
          <w:szCs w:val="20"/>
        </w:rPr>
        <w:t>przekruszonego</w:t>
      </w:r>
      <w:proofErr w:type="spellEnd"/>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F25E60" w:rsidRPr="00F25E60" w14:paraId="70736BD6" w14:textId="77777777" w:rsidTr="007B6855">
        <w:tc>
          <w:tcPr>
            <w:tcW w:w="7184" w:type="dxa"/>
            <w:gridSpan w:val="2"/>
          </w:tcPr>
          <w:p w14:paraId="481D0403" w14:textId="77777777" w:rsidR="00F25E60" w:rsidRPr="00F25E60" w:rsidRDefault="00F25E60" w:rsidP="00F25E60">
            <w:pPr>
              <w:spacing w:before="120" w:line="240" w:lineRule="auto"/>
              <w:jc w:val="center"/>
              <w:rPr>
                <w:rFonts w:cs="Arial"/>
                <w:szCs w:val="20"/>
              </w:rPr>
            </w:pPr>
            <w:r w:rsidRPr="00F25E60">
              <w:rPr>
                <w:rFonts w:cs="Arial"/>
                <w:szCs w:val="20"/>
              </w:rPr>
              <w:t>Składniki</w:t>
            </w:r>
          </w:p>
        </w:tc>
        <w:tc>
          <w:tcPr>
            <w:tcW w:w="1684" w:type="dxa"/>
          </w:tcPr>
          <w:p w14:paraId="1C2FCA5F" w14:textId="77777777" w:rsidR="00F25E60" w:rsidRPr="00F25E60" w:rsidRDefault="00F25E60" w:rsidP="00F25E60">
            <w:pPr>
              <w:spacing w:line="240" w:lineRule="auto"/>
              <w:jc w:val="center"/>
              <w:rPr>
                <w:rFonts w:cs="Arial"/>
                <w:szCs w:val="20"/>
              </w:rPr>
            </w:pPr>
            <w:r w:rsidRPr="00F25E60">
              <w:rPr>
                <w:rFonts w:cs="Arial"/>
                <w:szCs w:val="20"/>
              </w:rPr>
              <w:t>Zawartość, [%(m/m)]</w:t>
            </w:r>
          </w:p>
        </w:tc>
      </w:tr>
      <w:tr w:rsidR="00F25E60" w:rsidRPr="00F25E60" w14:paraId="279FB198" w14:textId="77777777" w:rsidTr="007B6855">
        <w:tc>
          <w:tcPr>
            <w:tcW w:w="2748" w:type="dxa"/>
          </w:tcPr>
          <w:p w14:paraId="16FCDBF8" w14:textId="77777777" w:rsidR="00F25E60" w:rsidRPr="00F25E60" w:rsidRDefault="00F25E60" w:rsidP="00F25E60">
            <w:pPr>
              <w:spacing w:before="120" w:line="240" w:lineRule="auto"/>
              <w:rPr>
                <w:rFonts w:cs="Arial"/>
                <w:szCs w:val="20"/>
              </w:rPr>
            </w:pPr>
            <w:r w:rsidRPr="00F25E60">
              <w:rPr>
                <w:rFonts w:cs="Arial"/>
                <w:szCs w:val="20"/>
              </w:rPr>
              <w:t>Główne składniki</w:t>
            </w:r>
          </w:p>
        </w:tc>
        <w:tc>
          <w:tcPr>
            <w:tcW w:w="4436" w:type="dxa"/>
          </w:tcPr>
          <w:p w14:paraId="7D8F69DE" w14:textId="77777777" w:rsidR="00F25E60" w:rsidRPr="00F25E60" w:rsidRDefault="00F25E60" w:rsidP="00F25E60">
            <w:pPr>
              <w:spacing w:line="240" w:lineRule="auto"/>
              <w:rPr>
                <w:rFonts w:cs="Arial"/>
                <w:szCs w:val="20"/>
                <w:vertAlign w:val="superscript"/>
              </w:rPr>
            </w:pPr>
            <w:proofErr w:type="spellStart"/>
            <w:r w:rsidRPr="00F25E60">
              <w:rPr>
                <w:rFonts w:cs="Arial"/>
                <w:szCs w:val="20"/>
              </w:rPr>
              <w:t>Przekruszony</w:t>
            </w:r>
            <w:proofErr w:type="spellEnd"/>
            <w:r w:rsidRPr="00F25E60">
              <w:rPr>
                <w:rFonts w:cs="Arial"/>
                <w:szCs w:val="20"/>
              </w:rPr>
              <w:t xml:space="preserve"> beton (o gęstości &gt; 2,1 Mg/m</w:t>
            </w:r>
            <w:r w:rsidRPr="00F25E60">
              <w:rPr>
                <w:rFonts w:cs="Arial"/>
                <w:szCs w:val="20"/>
                <w:vertAlign w:val="superscript"/>
              </w:rPr>
              <w:t>3</w:t>
            </w:r>
            <w:r w:rsidRPr="00F25E60">
              <w:rPr>
                <w:rFonts w:cs="Arial"/>
                <w:szCs w:val="20"/>
              </w:rPr>
              <w:t>) i kruszywo (łącznie z żużlem)</w:t>
            </w:r>
          </w:p>
        </w:tc>
        <w:tc>
          <w:tcPr>
            <w:tcW w:w="1684" w:type="dxa"/>
          </w:tcPr>
          <w:p w14:paraId="01DD735F" w14:textId="77777777" w:rsidR="00F25E60" w:rsidRPr="00F25E60" w:rsidRDefault="00F25E60" w:rsidP="00F25E60">
            <w:pPr>
              <w:spacing w:before="120" w:line="240" w:lineRule="auto"/>
              <w:jc w:val="center"/>
              <w:rPr>
                <w:rFonts w:cs="Arial"/>
                <w:szCs w:val="20"/>
              </w:rPr>
            </w:pPr>
            <w:r w:rsidRPr="00F25E60">
              <w:rPr>
                <w:rFonts w:cs="Arial"/>
                <w:szCs w:val="20"/>
              </w:rPr>
              <w:t>≥ 90</w:t>
            </w:r>
          </w:p>
        </w:tc>
      </w:tr>
      <w:tr w:rsidR="00F25E60" w:rsidRPr="00F25E60" w14:paraId="33ACE81E" w14:textId="77777777" w:rsidTr="007B6855">
        <w:tc>
          <w:tcPr>
            <w:tcW w:w="2748" w:type="dxa"/>
            <w:vMerge w:val="restart"/>
          </w:tcPr>
          <w:p w14:paraId="346CE2E6" w14:textId="77777777" w:rsidR="00F25E60" w:rsidRPr="00F25E60" w:rsidRDefault="00F25E60" w:rsidP="00F25E60">
            <w:pPr>
              <w:spacing w:before="120" w:line="240" w:lineRule="auto"/>
              <w:rPr>
                <w:rFonts w:cs="Arial"/>
                <w:szCs w:val="20"/>
              </w:rPr>
            </w:pPr>
            <w:r w:rsidRPr="00F25E60">
              <w:rPr>
                <w:rFonts w:cs="Arial"/>
                <w:szCs w:val="20"/>
              </w:rPr>
              <w:t>Inne materiały ziarniste</w:t>
            </w:r>
          </w:p>
        </w:tc>
        <w:tc>
          <w:tcPr>
            <w:tcW w:w="4436" w:type="dxa"/>
          </w:tcPr>
          <w:p w14:paraId="50495165" w14:textId="77777777" w:rsidR="00F25E60" w:rsidRPr="00F25E60" w:rsidRDefault="00F25E60" w:rsidP="00F25E60">
            <w:pPr>
              <w:spacing w:line="240" w:lineRule="auto"/>
              <w:rPr>
                <w:rFonts w:cs="Arial"/>
                <w:szCs w:val="20"/>
              </w:rPr>
            </w:pPr>
            <w:proofErr w:type="spellStart"/>
            <w:r w:rsidRPr="00F25E60">
              <w:rPr>
                <w:rFonts w:cs="Arial"/>
                <w:szCs w:val="20"/>
              </w:rPr>
              <w:t>Przekruszony</w:t>
            </w:r>
            <w:proofErr w:type="spellEnd"/>
            <w:r w:rsidRPr="00F25E60">
              <w:rPr>
                <w:rFonts w:cs="Arial"/>
                <w:szCs w:val="20"/>
              </w:rPr>
              <w:t xml:space="preserve"> mur</w:t>
            </w:r>
          </w:p>
        </w:tc>
        <w:tc>
          <w:tcPr>
            <w:tcW w:w="1684" w:type="dxa"/>
          </w:tcPr>
          <w:p w14:paraId="27C4603E" w14:textId="77777777" w:rsidR="00F25E60" w:rsidRPr="00F25E60" w:rsidRDefault="00F25E60" w:rsidP="00F25E60">
            <w:pPr>
              <w:spacing w:line="240" w:lineRule="auto"/>
              <w:jc w:val="center"/>
              <w:rPr>
                <w:rFonts w:cs="Arial"/>
                <w:szCs w:val="20"/>
              </w:rPr>
            </w:pPr>
            <w:r w:rsidRPr="00F25E60">
              <w:rPr>
                <w:rFonts w:cs="Arial"/>
                <w:szCs w:val="20"/>
              </w:rPr>
              <w:t>≤ 10</w:t>
            </w:r>
          </w:p>
        </w:tc>
      </w:tr>
      <w:tr w:rsidR="00F25E60" w:rsidRPr="00F25E60" w14:paraId="1C991F84" w14:textId="77777777" w:rsidTr="007B6855">
        <w:tc>
          <w:tcPr>
            <w:tcW w:w="2748" w:type="dxa"/>
            <w:vMerge/>
          </w:tcPr>
          <w:p w14:paraId="0B518637" w14:textId="77777777" w:rsidR="00F25E60" w:rsidRPr="00F25E60" w:rsidRDefault="00F25E60" w:rsidP="00F25E60">
            <w:pPr>
              <w:spacing w:before="120" w:line="240" w:lineRule="auto"/>
              <w:rPr>
                <w:rFonts w:cs="Arial"/>
                <w:szCs w:val="20"/>
              </w:rPr>
            </w:pPr>
          </w:p>
        </w:tc>
        <w:tc>
          <w:tcPr>
            <w:tcW w:w="4436" w:type="dxa"/>
          </w:tcPr>
          <w:p w14:paraId="5196B21D" w14:textId="77777777" w:rsidR="00F25E60" w:rsidRPr="00F25E60" w:rsidRDefault="00F25E60" w:rsidP="00F25E60">
            <w:pPr>
              <w:spacing w:line="240" w:lineRule="auto"/>
              <w:rPr>
                <w:rFonts w:cs="Arial"/>
                <w:szCs w:val="20"/>
              </w:rPr>
            </w:pPr>
            <w:r w:rsidRPr="00F25E60">
              <w:rPr>
                <w:rFonts w:cs="Arial"/>
                <w:szCs w:val="20"/>
              </w:rPr>
              <w:t>Destrukt asfaltowy</w:t>
            </w:r>
          </w:p>
        </w:tc>
        <w:tc>
          <w:tcPr>
            <w:tcW w:w="1684" w:type="dxa"/>
          </w:tcPr>
          <w:p w14:paraId="1D3BDCFA" w14:textId="77777777" w:rsidR="00F25E60" w:rsidRPr="00F25E60" w:rsidRDefault="00F25E60" w:rsidP="00F25E60">
            <w:pPr>
              <w:spacing w:line="240" w:lineRule="auto"/>
              <w:jc w:val="center"/>
              <w:rPr>
                <w:rFonts w:cs="Arial"/>
                <w:szCs w:val="20"/>
              </w:rPr>
            </w:pPr>
            <w:r w:rsidRPr="00F25E60">
              <w:rPr>
                <w:rFonts w:cs="Arial"/>
                <w:szCs w:val="20"/>
              </w:rPr>
              <w:t>≤ 15</w:t>
            </w:r>
          </w:p>
        </w:tc>
      </w:tr>
      <w:tr w:rsidR="00F25E60" w:rsidRPr="00F25E60" w14:paraId="500F9121" w14:textId="77777777" w:rsidTr="007B6855">
        <w:tc>
          <w:tcPr>
            <w:tcW w:w="2748" w:type="dxa"/>
            <w:vMerge w:val="restart"/>
          </w:tcPr>
          <w:p w14:paraId="395AC360" w14:textId="77777777" w:rsidR="00F25E60" w:rsidRPr="00F25E60" w:rsidRDefault="00F25E60" w:rsidP="00F25E60">
            <w:pPr>
              <w:spacing w:before="120" w:line="240" w:lineRule="auto"/>
              <w:rPr>
                <w:rFonts w:cs="Arial"/>
                <w:szCs w:val="20"/>
              </w:rPr>
            </w:pPr>
            <w:r w:rsidRPr="00F25E60">
              <w:rPr>
                <w:rFonts w:cs="Arial"/>
                <w:szCs w:val="20"/>
              </w:rPr>
              <w:t>Zanieczyszczenia</w:t>
            </w:r>
          </w:p>
        </w:tc>
        <w:tc>
          <w:tcPr>
            <w:tcW w:w="4436" w:type="dxa"/>
          </w:tcPr>
          <w:p w14:paraId="6A060B18" w14:textId="77777777" w:rsidR="00F25E60" w:rsidRPr="00F25E60" w:rsidRDefault="00F25E60" w:rsidP="00F25E60">
            <w:pPr>
              <w:spacing w:line="240" w:lineRule="auto"/>
              <w:rPr>
                <w:rFonts w:cs="Arial"/>
                <w:szCs w:val="20"/>
              </w:rPr>
            </w:pPr>
            <w:r w:rsidRPr="00F25E60">
              <w:rPr>
                <w:rFonts w:cs="Arial"/>
                <w:szCs w:val="20"/>
              </w:rPr>
              <w:t>Składniki spoiste (łącznie z gliną)</w:t>
            </w:r>
          </w:p>
        </w:tc>
        <w:tc>
          <w:tcPr>
            <w:tcW w:w="1684" w:type="dxa"/>
          </w:tcPr>
          <w:p w14:paraId="04E49407" w14:textId="77777777" w:rsidR="00F25E60" w:rsidRPr="00F25E60" w:rsidRDefault="00F25E60" w:rsidP="00F25E60">
            <w:pPr>
              <w:spacing w:line="240" w:lineRule="auto"/>
              <w:jc w:val="center"/>
              <w:rPr>
                <w:rFonts w:cs="Arial"/>
                <w:szCs w:val="20"/>
              </w:rPr>
            </w:pPr>
            <w:r w:rsidRPr="00F25E60">
              <w:rPr>
                <w:rFonts w:cs="Arial"/>
                <w:szCs w:val="20"/>
              </w:rPr>
              <w:t>≤ 1</w:t>
            </w:r>
          </w:p>
        </w:tc>
      </w:tr>
      <w:tr w:rsidR="00F25E60" w:rsidRPr="00F25E60" w14:paraId="3E3061BE" w14:textId="77777777" w:rsidTr="007B6855">
        <w:tc>
          <w:tcPr>
            <w:tcW w:w="2748" w:type="dxa"/>
            <w:vMerge/>
          </w:tcPr>
          <w:p w14:paraId="003F8EDC" w14:textId="77777777" w:rsidR="00F25E60" w:rsidRPr="00F25E60" w:rsidRDefault="00F25E60" w:rsidP="00F25E60">
            <w:pPr>
              <w:spacing w:line="240" w:lineRule="auto"/>
              <w:rPr>
                <w:rFonts w:cs="Arial"/>
                <w:szCs w:val="20"/>
              </w:rPr>
            </w:pPr>
          </w:p>
        </w:tc>
        <w:tc>
          <w:tcPr>
            <w:tcW w:w="4436" w:type="dxa"/>
          </w:tcPr>
          <w:p w14:paraId="215848AB" w14:textId="77777777" w:rsidR="00F25E60" w:rsidRPr="00F25E60" w:rsidRDefault="00F25E60" w:rsidP="00F25E60">
            <w:pPr>
              <w:spacing w:line="240" w:lineRule="auto"/>
              <w:rPr>
                <w:rFonts w:cs="Arial"/>
                <w:szCs w:val="20"/>
              </w:rPr>
            </w:pPr>
            <w:r w:rsidRPr="00F25E60">
              <w:rPr>
                <w:rFonts w:cs="Arial"/>
                <w:szCs w:val="20"/>
              </w:rPr>
              <w:t>Składniki organiczne</w:t>
            </w:r>
          </w:p>
        </w:tc>
        <w:tc>
          <w:tcPr>
            <w:tcW w:w="1684" w:type="dxa"/>
          </w:tcPr>
          <w:p w14:paraId="52E88B2F" w14:textId="77777777" w:rsidR="00F25E60" w:rsidRPr="00F25E60" w:rsidRDefault="00F25E60" w:rsidP="00F25E60">
            <w:pPr>
              <w:spacing w:line="240" w:lineRule="auto"/>
              <w:jc w:val="center"/>
              <w:rPr>
                <w:rFonts w:cs="Arial"/>
                <w:szCs w:val="20"/>
              </w:rPr>
            </w:pPr>
            <w:r w:rsidRPr="00F25E60">
              <w:rPr>
                <w:rFonts w:cs="Arial"/>
                <w:szCs w:val="20"/>
              </w:rPr>
              <w:t>≤ 0,1</w:t>
            </w:r>
          </w:p>
        </w:tc>
      </w:tr>
    </w:tbl>
    <w:p w14:paraId="61227D6E" w14:textId="77777777" w:rsidR="00F25E60" w:rsidRPr="00F25E60" w:rsidRDefault="00F25E60" w:rsidP="00F25E60">
      <w:pPr>
        <w:spacing w:before="120" w:after="120" w:line="240" w:lineRule="auto"/>
        <w:rPr>
          <w:rFonts w:cs="Arial"/>
          <w:szCs w:val="20"/>
        </w:rPr>
      </w:pPr>
      <w:r w:rsidRPr="00F25E60">
        <w:rPr>
          <w:rFonts w:cs="Arial"/>
          <w:szCs w:val="20"/>
        </w:rPr>
        <w:t xml:space="preserve">Tablica 1.2. Mieszanki z </w:t>
      </w:r>
      <w:proofErr w:type="spellStart"/>
      <w:r w:rsidRPr="00F25E60">
        <w:rPr>
          <w:rFonts w:cs="Arial"/>
          <w:szCs w:val="20"/>
        </w:rPr>
        <w:t>przekruszonego</w:t>
      </w:r>
      <w:proofErr w:type="spellEnd"/>
      <w:r w:rsidRPr="00F25E60">
        <w:rPr>
          <w:rFonts w:cs="Arial"/>
          <w:szCs w:val="20"/>
        </w:rPr>
        <w:t xml:space="preserve">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F25E60" w:rsidRPr="00F25E60" w14:paraId="0010A10B" w14:textId="77777777" w:rsidTr="007B6855">
        <w:tc>
          <w:tcPr>
            <w:tcW w:w="7188" w:type="dxa"/>
            <w:gridSpan w:val="2"/>
          </w:tcPr>
          <w:p w14:paraId="0332C2C6" w14:textId="77777777" w:rsidR="00F25E60" w:rsidRPr="00F25E60" w:rsidRDefault="00F25E60" w:rsidP="00F25E60">
            <w:pPr>
              <w:spacing w:before="120" w:line="240" w:lineRule="auto"/>
              <w:jc w:val="center"/>
              <w:rPr>
                <w:rFonts w:cs="Arial"/>
                <w:szCs w:val="20"/>
              </w:rPr>
            </w:pPr>
            <w:r w:rsidRPr="00F25E60">
              <w:rPr>
                <w:rFonts w:cs="Arial"/>
                <w:szCs w:val="20"/>
              </w:rPr>
              <w:t>Składniki</w:t>
            </w:r>
          </w:p>
        </w:tc>
        <w:tc>
          <w:tcPr>
            <w:tcW w:w="1680" w:type="dxa"/>
          </w:tcPr>
          <w:p w14:paraId="4D66E94A" w14:textId="77777777" w:rsidR="00F25E60" w:rsidRPr="00F25E60" w:rsidRDefault="00F25E60" w:rsidP="00F25E60">
            <w:pPr>
              <w:spacing w:line="240" w:lineRule="auto"/>
              <w:jc w:val="center"/>
              <w:rPr>
                <w:rFonts w:cs="Arial"/>
                <w:szCs w:val="20"/>
              </w:rPr>
            </w:pPr>
            <w:r w:rsidRPr="00F25E60">
              <w:rPr>
                <w:rFonts w:cs="Arial"/>
                <w:szCs w:val="20"/>
              </w:rPr>
              <w:t>Zawartość, [%(m/m)]</w:t>
            </w:r>
          </w:p>
        </w:tc>
      </w:tr>
      <w:tr w:rsidR="00F25E60" w:rsidRPr="00F25E60" w14:paraId="252B1123" w14:textId="77777777" w:rsidTr="007B6855">
        <w:tc>
          <w:tcPr>
            <w:tcW w:w="2748" w:type="dxa"/>
          </w:tcPr>
          <w:p w14:paraId="18FECF5B" w14:textId="77777777" w:rsidR="00F25E60" w:rsidRPr="00F25E60" w:rsidRDefault="00F25E60" w:rsidP="00F25E60">
            <w:pPr>
              <w:spacing w:before="120" w:line="240" w:lineRule="auto"/>
              <w:rPr>
                <w:rFonts w:cs="Arial"/>
                <w:szCs w:val="20"/>
              </w:rPr>
            </w:pPr>
            <w:r w:rsidRPr="00F25E60">
              <w:rPr>
                <w:rFonts w:cs="Arial"/>
                <w:szCs w:val="20"/>
              </w:rPr>
              <w:t>Główne składniki</w:t>
            </w:r>
          </w:p>
        </w:tc>
        <w:tc>
          <w:tcPr>
            <w:tcW w:w="4440" w:type="dxa"/>
          </w:tcPr>
          <w:p w14:paraId="02659DEC" w14:textId="77777777" w:rsidR="00F25E60" w:rsidRPr="00F25E60" w:rsidRDefault="00F25E60" w:rsidP="00F25E60">
            <w:pPr>
              <w:spacing w:line="240" w:lineRule="auto"/>
              <w:rPr>
                <w:rFonts w:cs="Arial"/>
                <w:szCs w:val="20"/>
                <w:vertAlign w:val="superscript"/>
              </w:rPr>
            </w:pPr>
            <w:proofErr w:type="spellStart"/>
            <w:r w:rsidRPr="00F25E60">
              <w:rPr>
                <w:rFonts w:cs="Arial"/>
                <w:szCs w:val="20"/>
              </w:rPr>
              <w:t>Przekruszony</w:t>
            </w:r>
            <w:proofErr w:type="spellEnd"/>
            <w:r w:rsidRPr="00F25E60">
              <w:rPr>
                <w:rFonts w:cs="Arial"/>
                <w:szCs w:val="20"/>
              </w:rPr>
              <w:t xml:space="preserve"> mur (gęstość &gt; 1,6 Mg/m</w:t>
            </w:r>
            <w:r w:rsidRPr="00F25E60">
              <w:rPr>
                <w:rFonts w:cs="Arial"/>
                <w:szCs w:val="20"/>
                <w:vertAlign w:val="superscript"/>
              </w:rPr>
              <w:t>3</w:t>
            </w:r>
            <w:r w:rsidRPr="00F25E60">
              <w:rPr>
                <w:rFonts w:cs="Arial"/>
                <w:szCs w:val="20"/>
              </w:rPr>
              <w:t xml:space="preserve">), </w:t>
            </w:r>
            <w:proofErr w:type="spellStart"/>
            <w:r w:rsidRPr="00F25E60">
              <w:rPr>
                <w:rFonts w:cs="Arial"/>
                <w:szCs w:val="20"/>
              </w:rPr>
              <w:t>przekruszony</w:t>
            </w:r>
            <w:proofErr w:type="spellEnd"/>
            <w:r w:rsidRPr="00F25E60">
              <w:rPr>
                <w:rFonts w:cs="Arial"/>
                <w:szCs w:val="20"/>
              </w:rPr>
              <w:t xml:space="preserve"> beton (gęstość &gt; 2,1 Mg/m</w:t>
            </w:r>
            <w:r w:rsidRPr="00F25E60">
              <w:rPr>
                <w:rFonts w:cs="Arial"/>
                <w:szCs w:val="20"/>
                <w:vertAlign w:val="superscript"/>
              </w:rPr>
              <w:t>3</w:t>
            </w:r>
            <w:r w:rsidRPr="00F25E60">
              <w:rPr>
                <w:rFonts w:cs="Arial"/>
                <w:szCs w:val="20"/>
              </w:rPr>
              <w:t>),   i kruszywo (łącznie z żużlem)</w:t>
            </w:r>
          </w:p>
        </w:tc>
        <w:tc>
          <w:tcPr>
            <w:tcW w:w="1680" w:type="dxa"/>
          </w:tcPr>
          <w:p w14:paraId="0F6808EC" w14:textId="77777777" w:rsidR="00F25E60" w:rsidRPr="00F25E60" w:rsidRDefault="00F25E60" w:rsidP="00F25E60">
            <w:pPr>
              <w:spacing w:before="120" w:line="240" w:lineRule="auto"/>
              <w:jc w:val="center"/>
              <w:rPr>
                <w:rFonts w:cs="Arial"/>
                <w:szCs w:val="20"/>
              </w:rPr>
            </w:pPr>
            <w:r w:rsidRPr="00F25E60">
              <w:rPr>
                <w:rFonts w:cs="Arial"/>
                <w:szCs w:val="20"/>
              </w:rPr>
              <w:t>≥ 80</w:t>
            </w:r>
          </w:p>
        </w:tc>
      </w:tr>
      <w:tr w:rsidR="00F25E60" w:rsidRPr="00F25E60" w14:paraId="7175B47F" w14:textId="77777777" w:rsidTr="007B6855">
        <w:tc>
          <w:tcPr>
            <w:tcW w:w="2748" w:type="dxa"/>
            <w:vMerge w:val="restart"/>
          </w:tcPr>
          <w:p w14:paraId="003D2402" w14:textId="77777777" w:rsidR="00F25E60" w:rsidRPr="00F25E60" w:rsidRDefault="00F25E60" w:rsidP="00F25E60">
            <w:pPr>
              <w:spacing w:before="120" w:line="240" w:lineRule="auto"/>
              <w:rPr>
                <w:rFonts w:cs="Arial"/>
                <w:szCs w:val="20"/>
              </w:rPr>
            </w:pPr>
            <w:r w:rsidRPr="00F25E60">
              <w:rPr>
                <w:rFonts w:cs="Arial"/>
                <w:szCs w:val="20"/>
              </w:rPr>
              <w:t>Inne materiały ziarniste</w:t>
            </w:r>
          </w:p>
        </w:tc>
        <w:tc>
          <w:tcPr>
            <w:tcW w:w="4440" w:type="dxa"/>
          </w:tcPr>
          <w:p w14:paraId="449B1C25" w14:textId="77777777" w:rsidR="00F25E60" w:rsidRPr="00F25E60" w:rsidRDefault="00F25E60" w:rsidP="00F25E60">
            <w:pPr>
              <w:spacing w:line="240" w:lineRule="auto"/>
              <w:rPr>
                <w:rFonts w:cs="Arial"/>
                <w:szCs w:val="20"/>
              </w:rPr>
            </w:pPr>
            <w:r w:rsidRPr="00F25E60">
              <w:rPr>
                <w:rFonts w:cs="Arial"/>
                <w:szCs w:val="20"/>
              </w:rPr>
              <w:t>Materiały ziarniste o gęstości &lt; 1,6 Mg/m</w:t>
            </w:r>
            <w:r w:rsidRPr="00F25E60">
              <w:rPr>
                <w:rFonts w:cs="Arial"/>
                <w:szCs w:val="20"/>
                <w:vertAlign w:val="superscript"/>
              </w:rPr>
              <w:t>3</w:t>
            </w:r>
          </w:p>
        </w:tc>
        <w:tc>
          <w:tcPr>
            <w:tcW w:w="1680" w:type="dxa"/>
          </w:tcPr>
          <w:p w14:paraId="0D9392DC" w14:textId="77777777" w:rsidR="00F25E60" w:rsidRPr="00F25E60" w:rsidRDefault="00F25E60" w:rsidP="00F25E60">
            <w:pPr>
              <w:spacing w:line="240" w:lineRule="auto"/>
              <w:jc w:val="center"/>
              <w:rPr>
                <w:rFonts w:cs="Arial"/>
                <w:szCs w:val="20"/>
              </w:rPr>
            </w:pPr>
            <w:r w:rsidRPr="00F25E60">
              <w:rPr>
                <w:rFonts w:cs="Arial"/>
                <w:szCs w:val="20"/>
              </w:rPr>
              <w:t>≤ 20</w:t>
            </w:r>
          </w:p>
        </w:tc>
      </w:tr>
      <w:tr w:rsidR="00F25E60" w:rsidRPr="00F25E60" w14:paraId="1A2C2C7A" w14:textId="77777777" w:rsidTr="007B6855">
        <w:tc>
          <w:tcPr>
            <w:tcW w:w="2748" w:type="dxa"/>
            <w:vMerge/>
          </w:tcPr>
          <w:p w14:paraId="4B9A5D47" w14:textId="77777777" w:rsidR="00F25E60" w:rsidRPr="00F25E60" w:rsidRDefault="00F25E60" w:rsidP="00F25E60">
            <w:pPr>
              <w:spacing w:before="120" w:line="240" w:lineRule="auto"/>
              <w:rPr>
                <w:rFonts w:cs="Arial"/>
                <w:szCs w:val="20"/>
              </w:rPr>
            </w:pPr>
          </w:p>
        </w:tc>
        <w:tc>
          <w:tcPr>
            <w:tcW w:w="4440" w:type="dxa"/>
          </w:tcPr>
          <w:p w14:paraId="7BF9516B" w14:textId="77777777" w:rsidR="00F25E60" w:rsidRPr="00F25E60" w:rsidRDefault="00F25E60" w:rsidP="00F25E60">
            <w:pPr>
              <w:spacing w:line="240" w:lineRule="auto"/>
              <w:rPr>
                <w:rFonts w:cs="Arial"/>
                <w:szCs w:val="20"/>
              </w:rPr>
            </w:pPr>
            <w:r w:rsidRPr="00F25E60">
              <w:rPr>
                <w:rFonts w:cs="Arial"/>
                <w:szCs w:val="20"/>
              </w:rPr>
              <w:t>Destrukt asfaltowy</w:t>
            </w:r>
          </w:p>
        </w:tc>
        <w:tc>
          <w:tcPr>
            <w:tcW w:w="1680" w:type="dxa"/>
          </w:tcPr>
          <w:p w14:paraId="26B573E7" w14:textId="77777777" w:rsidR="00F25E60" w:rsidRPr="00F25E60" w:rsidRDefault="00F25E60" w:rsidP="00F25E60">
            <w:pPr>
              <w:spacing w:line="240" w:lineRule="auto"/>
              <w:jc w:val="center"/>
              <w:rPr>
                <w:rFonts w:cs="Arial"/>
                <w:szCs w:val="20"/>
              </w:rPr>
            </w:pPr>
            <w:r w:rsidRPr="00F25E60">
              <w:rPr>
                <w:rFonts w:cs="Arial"/>
                <w:szCs w:val="20"/>
              </w:rPr>
              <w:t>≤ 5</w:t>
            </w:r>
          </w:p>
        </w:tc>
      </w:tr>
      <w:tr w:rsidR="00F25E60" w:rsidRPr="00F25E60" w14:paraId="63A6530B" w14:textId="77777777" w:rsidTr="007B6855">
        <w:tc>
          <w:tcPr>
            <w:tcW w:w="2748" w:type="dxa"/>
            <w:vMerge w:val="restart"/>
          </w:tcPr>
          <w:p w14:paraId="2BB309B5" w14:textId="77777777" w:rsidR="00F25E60" w:rsidRPr="00F25E60" w:rsidRDefault="00F25E60" w:rsidP="00F25E60">
            <w:pPr>
              <w:spacing w:before="120" w:line="240" w:lineRule="auto"/>
              <w:rPr>
                <w:rFonts w:cs="Arial"/>
                <w:szCs w:val="20"/>
              </w:rPr>
            </w:pPr>
            <w:r w:rsidRPr="00F25E60">
              <w:rPr>
                <w:rFonts w:cs="Arial"/>
                <w:szCs w:val="20"/>
              </w:rPr>
              <w:t>Zanieczyszczenia</w:t>
            </w:r>
          </w:p>
        </w:tc>
        <w:tc>
          <w:tcPr>
            <w:tcW w:w="4440" w:type="dxa"/>
          </w:tcPr>
          <w:p w14:paraId="0E881FE0" w14:textId="77777777" w:rsidR="00F25E60" w:rsidRPr="00F25E60" w:rsidRDefault="00F25E60" w:rsidP="00F25E60">
            <w:pPr>
              <w:spacing w:line="240" w:lineRule="auto"/>
              <w:rPr>
                <w:rFonts w:cs="Arial"/>
                <w:szCs w:val="20"/>
              </w:rPr>
            </w:pPr>
            <w:r w:rsidRPr="00F25E60">
              <w:rPr>
                <w:rFonts w:cs="Arial"/>
                <w:szCs w:val="20"/>
              </w:rPr>
              <w:t>Składniki spoiste (łącznie z gliną)</w:t>
            </w:r>
          </w:p>
        </w:tc>
        <w:tc>
          <w:tcPr>
            <w:tcW w:w="1680" w:type="dxa"/>
          </w:tcPr>
          <w:p w14:paraId="173B93EB" w14:textId="77777777" w:rsidR="00F25E60" w:rsidRPr="00F25E60" w:rsidRDefault="00F25E60" w:rsidP="00F25E60">
            <w:pPr>
              <w:spacing w:line="240" w:lineRule="auto"/>
              <w:jc w:val="center"/>
              <w:rPr>
                <w:rFonts w:cs="Arial"/>
                <w:szCs w:val="20"/>
              </w:rPr>
            </w:pPr>
            <w:r w:rsidRPr="00F25E60">
              <w:rPr>
                <w:rFonts w:cs="Arial"/>
                <w:szCs w:val="20"/>
              </w:rPr>
              <w:t>≤ 1</w:t>
            </w:r>
          </w:p>
        </w:tc>
      </w:tr>
      <w:tr w:rsidR="00F25E60" w:rsidRPr="00F25E60" w14:paraId="4FBBC5A2" w14:textId="77777777" w:rsidTr="007B6855">
        <w:tc>
          <w:tcPr>
            <w:tcW w:w="2748" w:type="dxa"/>
            <w:vMerge/>
          </w:tcPr>
          <w:p w14:paraId="7ECCC16E" w14:textId="77777777" w:rsidR="00F25E60" w:rsidRPr="00F25E60" w:rsidRDefault="00F25E60" w:rsidP="00F25E60">
            <w:pPr>
              <w:spacing w:line="240" w:lineRule="auto"/>
              <w:rPr>
                <w:rFonts w:cs="Arial"/>
                <w:szCs w:val="20"/>
              </w:rPr>
            </w:pPr>
          </w:p>
        </w:tc>
        <w:tc>
          <w:tcPr>
            <w:tcW w:w="4440" w:type="dxa"/>
          </w:tcPr>
          <w:p w14:paraId="1025A382" w14:textId="77777777" w:rsidR="00F25E60" w:rsidRPr="00F25E60" w:rsidRDefault="00F25E60" w:rsidP="00F25E60">
            <w:pPr>
              <w:spacing w:line="240" w:lineRule="auto"/>
              <w:rPr>
                <w:rFonts w:cs="Arial"/>
                <w:szCs w:val="20"/>
              </w:rPr>
            </w:pPr>
            <w:r w:rsidRPr="00F25E60">
              <w:rPr>
                <w:rFonts w:cs="Arial"/>
                <w:szCs w:val="20"/>
              </w:rPr>
              <w:t>Składniki organiczne</w:t>
            </w:r>
          </w:p>
        </w:tc>
        <w:tc>
          <w:tcPr>
            <w:tcW w:w="1680" w:type="dxa"/>
          </w:tcPr>
          <w:p w14:paraId="0EFE6029" w14:textId="77777777" w:rsidR="00F25E60" w:rsidRPr="00F25E60" w:rsidRDefault="00F25E60" w:rsidP="00F25E60">
            <w:pPr>
              <w:spacing w:line="240" w:lineRule="auto"/>
              <w:jc w:val="center"/>
              <w:rPr>
                <w:rFonts w:cs="Arial"/>
                <w:szCs w:val="20"/>
              </w:rPr>
            </w:pPr>
            <w:r w:rsidRPr="00F25E60">
              <w:rPr>
                <w:rFonts w:cs="Arial"/>
                <w:szCs w:val="20"/>
              </w:rPr>
              <w:t>≤ 0,1</w:t>
            </w:r>
          </w:p>
        </w:tc>
      </w:tr>
    </w:tbl>
    <w:p w14:paraId="7199AF4A" w14:textId="77777777" w:rsidR="00F25E60" w:rsidRPr="00F25E60" w:rsidRDefault="00F25E60" w:rsidP="00F25E60">
      <w:pPr>
        <w:spacing w:before="120" w:after="120" w:line="240" w:lineRule="auto"/>
        <w:rPr>
          <w:rFonts w:cs="Arial"/>
          <w:szCs w:val="20"/>
        </w:rPr>
      </w:pPr>
      <w:r w:rsidRPr="00F25E60">
        <w:rPr>
          <w:rFonts w:cs="Arial"/>
          <w:szCs w:val="20"/>
        </w:rPr>
        <w:t xml:space="preserve">Tablica 1.3. Mieszanki z </w:t>
      </w:r>
      <w:proofErr w:type="spellStart"/>
      <w:r w:rsidRPr="00F25E60">
        <w:rPr>
          <w:rFonts w:cs="Arial"/>
          <w:szCs w:val="20"/>
        </w:rPr>
        <w:t>przekruszonego</w:t>
      </w:r>
      <w:proofErr w:type="spellEnd"/>
      <w:r w:rsidRPr="00F25E60">
        <w:rPr>
          <w:rFonts w:cs="Arial"/>
          <w:szCs w:val="20"/>
        </w:rPr>
        <w:t xml:space="preserve">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F25E60" w:rsidRPr="00F25E60" w14:paraId="785EB54F" w14:textId="77777777" w:rsidTr="007B6855">
        <w:tc>
          <w:tcPr>
            <w:tcW w:w="7184" w:type="dxa"/>
            <w:gridSpan w:val="2"/>
          </w:tcPr>
          <w:p w14:paraId="2FE6A91D" w14:textId="77777777" w:rsidR="00F25E60" w:rsidRPr="00F25E60" w:rsidRDefault="00F25E60" w:rsidP="00F25E60">
            <w:pPr>
              <w:spacing w:before="120" w:line="240" w:lineRule="auto"/>
              <w:jc w:val="center"/>
              <w:rPr>
                <w:rFonts w:cs="Arial"/>
                <w:szCs w:val="20"/>
              </w:rPr>
            </w:pPr>
            <w:r w:rsidRPr="00F25E60">
              <w:rPr>
                <w:rFonts w:cs="Arial"/>
                <w:szCs w:val="20"/>
              </w:rPr>
              <w:t>Składniki</w:t>
            </w:r>
          </w:p>
        </w:tc>
        <w:tc>
          <w:tcPr>
            <w:tcW w:w="1684" w:type="dxa"/>
          </w:tcPr>
          <w:p w14:paraId="3EF2817F" w14:textId="77777777" w:rsidR="00F25E60" w:rsidRPr="00F25E60" w:rsidRDefault="00F25E60" w:rsidP="00F25E60">
            <w:pPr>
              <w:spacing w:line="240" w:lineRule="auto"/>
              <w:jc w:val="center"/>
              <w:rPr>
                <w:rFonts w:cs="Arial"/>
                <w:szCs w:val="20"/>
              </w:rPr>
            </w:pPr>
            <w:r w:rsidRPr="00F25E60">
              <w:rPr>
                <w:rFonts w:cs="Arial"/>
                <w:szCs w:val="20"/>
              </w:rPr>
              <w:t>Zawartość, [%(m/m)]</w:t>
            </w:r>
          </w:p>
        </w:tc>
      </w:tr>
      <w:tr w:rsidR="00F25E60" w:rsidRPr="00F25E60" w14:paraId="67FEB216" w14:textId="77777777" w:rsidTr="007B6855">
        <w:tc>
          <w:tcPr>
            <w:tcW w:w="2748" w:type="dxa"/>
          </w:tcPr>
          <w:p w14:paraId="645E7F2C" w14:textId="77777777" w:rsidR="00F25E60" w:rsidRPr="00F25E60" w:rsidRDefault="00F25E60" w:rsidP="00F25E60">
            <w:pPr>
              <w:spacing w:before="120" w:line="240" w:lineRule="auto"/>
              <w:rPr>
                <w:rFonts w:cs="Arial"/>
                <w:szCs w:val="20"/>
              </w:rPr>
            </w:pPr>
            <w:r w:rsidRPr="00F25E60">
              <w:rPr>
                <w:rFonts w:cs="Arial"/>
                <w:szCs w:val="20"/>
              </w:rPr>
              <w:t>Główne składniki</w:t>
            </w:r>
          </w:p>
        </w:tc>
        <w:tc>
          <w:tcPr>
            <w:tcW w:w="4436" w:type="dxa"/>
          </w:tcPr>
          <w:p w14:paraId="1841B558" w14:textId="77777777" w:rsidR="00F25E60" w:rsidRPr="00F25E60" w:rsidRDefault="00F25E60" w:rsidP="00F25E60">
            <w:pPr>
              <w:spacing w:line="240" w:lineRule="auto"/>
              <w:rPr>
                <w:rFonts w:cs="Arial"/>
                <w:szCs w:val="20"/>
                <w:vertAlign w:val="superscript"/>
              </w:rPr>
            </w:pPr>
            <w:proofErr w:type="spellStart"/>
            <w:r w:rsidRPr="00F25E60">
              <w:rPr>
                <w:rFonts w:cs="Arial"/>
                <w:szCs w:val="20"/>
              </w:rPr>
              <w:t>Przekruszony</w:t>
            </w:r>
            <w:proofErr w:type="spellEnd"/>
            <w:r w:rsidRPr="00F25E60">
              <w:rPr>
                <w:rFonts w:cs="Arial"/>
                <w:szCs w:val="20"/>
              </w:rPr>
              <w:t xml:space="preserve"> beton (gęstość &gt; 2,1 Mg/m</w:t>
            </w:r>
            <w:r w:rsidRPr="00F25E60">
              <w:rPr>
                <w:rFonts w:cs="Arial"/>
                <w:szCs w:val="20"/>
                <w:vertAlign w:val="superscript"/>
              </w:rPr>
              <w:t>3</w:t>
            </w:r>
            <w:r w:rsidRPr="00F25E60">
              <w:rPr>
                <w:rFonts w:cs="Arial"/>
                <w:szCs w:val="20"/>
              </w:rPr>
              <w:t>) i kruszywo (łącznie z żużlem)</w:t>
            </w:r>
          </w:p>
        </w:tc>
        <w:tc>
          <w:tcPr>
            <w:tcW w:w="1684" w:type="dxa"/>
          </w:tcPr>
          <w:p w14:paraId="2BD6BC33" w14:textId="77777777" w:rsidR="00F25E60" w:rsidRPr="00F25E60" w:rsidRDefault="00F25E60" w:rsidP="00F25E60">
            <w:pPr>
              <w:spacing w:before="120" w:line="240" w:lineRule="auto"/>
              <w:jc w:val="center"/>
              <w:rPr>
                <w:rFonts w:cs="Arial"/>
                <w:szCs w:val="20"/>
              </w:rPr>
            </w:pPr>
            <w:r w:rsidRPr="00F25E60">
              <w:rPr>
                <w:rFonts w:cs="Arial"/>
                <w:szCs w:val="20"/>
              </w:rPr>
              <w:t>≥ 50</w:t>
            </w:r>
          </w:p>
        </w:tc>
      </w:tr>
      <w:tr w:rsidR="00F25E60" w:rsidRPr="00F25E60" w14:paraId="0951A86B" w14:textId="77777777" w:rsidTr="007B6855">
        <w:tc>
          <w:tcPr>
            <w:tcW w:w="2748" w:type="dxa"/>
            <w:vMerge w:val="restart"/>
          </w:tcPr>
          <w:p w14:paraId="3102F3B9" w14:textId="77777777" w:rsidR="00F25E60" w:rsidRPr="00F25E60" w:rsidRDefault="00F25E60" w:rsidP="00F25E60">
            <w:pPr>
              <w:spacing w:line="240" w:lineRule="auto"/>
              <w:rPr>
                <w:rFonts w:cs="Arial"/>
                <w:szCs w:val="20"/>
              </w:rPr>
            </w:pPr>
          </w:p>
          <w:p w14:paraId="594CD21A" w14:textId="77777777" w:rsidR="00F25E60" w:rsidRPr="00F25E60" w:rsidRDefault="00F25E60" w:rsidP="00F25E60">
            <w:pPr>
              <w:spacing w:line="240" w:lineRule="auto"/>
              <w:rPr>
                <w:rFonts w:cs="Arial"/>
                <w:szCs w:val="20"/>
              </w:rPr>
            </w:pPr>
            <w:r w:rsidRPr="00F25E60">
              <w:rPr>
                <w:rFonts w:cs="Arial"/>
                <w:szCs w:val="20"/>
              </w:rPr>
              <w:t>Inne materiały ziarniste</w:t>
            </w:r>
          </w:p>
        </w:tc>
        <w:tc>
          <w:tcPr>
            <w:tcW w:w="4436" w:type="dxa"/>
          </w:tcPr>
          <w:p w14:paraId="73251DBD" w14:textId="77777777" w:rsidR="00F25E60" w:rsidRPr="00F25E60" w:rsidRDefault="00F25E60" w:rsidP="00F25E60">
            <w:pPr>
              <w:spacing w:line="240" w:lineRule="auto"/>
              <w:rPr>
                <w:rFonts w:cs="Arial"/>
                <w:szCs w:val="20"/>
              </w:rPr>
            </w:pPr>
            <w:proofErr w:type="spellStart"/>
            <w:r w:rsidRPr="00F25E60">
              <w:rPr>
                <w:rFonts w:cs="Arial"/>
                <w:szCs w:val="20"/>
              </w:rPr>
              <w:t>Przekruszony</w:t>
            </w:r>
            <w:proofErr w:type="spellEnd"/>
            <w:r w:rsidRPr="00F25E60">
              <w:rPr>
                <w:rFonts w:cs="Arial"/>
                <w:szCs w:val="20"/>
              </w:rPr>
              <w:t xml:space="preserve"> mur</w:t>
            </w:r>
          </w:p>
        </w:tc>
        <w:tc>
          <w:tcPr>
            <w:tcW w:w="1684" w:type="dxa"/>
          </w:tcPr>
          <w:p w14:paraId="71F2C3E2" w14:textId="77777777" w:rsidR="00F25E60" w:rsidRPr="00F25E60" w:rsidRDefault="00F25E60" w:rsidP="00F25E60">
            <w:pPr>
              <w:spacing w:line="240" w:lineRule="auto"/>
              <w:jc w:val="center"/>
              <w:rPr>
                <w:rFonts w:cs="Arial"/>
                <w:szCs w:val="20"/>
              </w:rPr>
            </w:pPr>
            <w:r w:rsidRPr="00F25E60">
              <w:rPr>
                <w:rFonts w:cs="Arial"/>
                <w:szCs w:val="20"/>
              </w:rPr>
              <w:t>≤ 50</w:t>
            </w:r>
          </w:p>
        </w:tc>
      </w:tr>
      <w:tr w:rsidR="00F25E60" w:rsidRPr="00F25E60" w14:paraId="4BF7521D" w14:textId="77777777" w:rsidTr="007B6855">
        <w:tc>
          <w:tcPr>
            <w:tcW w:w="2748" w:type="dxa"/>
            <w:vMerge/>
          </w:tcPr>
          <w:p w14:paraId="1CB6D954" w14:textId="77777777" w:rsidR="00F25E60" w:rsidRPr="00F25E60" w:rsidRDefault="00F25E60" w:rsidP="00F25E60">
            <w:pPr>
              <w:spacing w:before="120" w:line="240" w:lineRule="auto"/>
              <w:rPr>
                <w:rFonts w:cs="Arial"/>
                <w:szCs w:val="20"/>
              </w:rPr>
            </w:pPr>
          </w:p>
        </w:tc>
        <w:tc>
          <w:tcPr>
            <w:tcW w:w="4436" w:type="dxa"/>
          </w:tcPr>
          <w:p w14:paraId="2DBC37CB" w14:textId="77777777" w:rsidR="00F25E60" w:rsidRPr="00F25E60" w:rsidRDefault="00F25E60" w:rsidP="00F25E60">
            <w:pPr>
              <w:spacing w:line="240" w:lineRule="auto"/>
              <w:rPr>
                <w:rFonts w:cs="Arial"/>
                <w:szCs w:val="20"/>
              </w:rPr>
            </w:pPr>
            <w:r w:rsidRPr="00F25E60">
              <w:rPr>
                <w:rFonts w:cs="Arial"/>
                <w:szCs w:val="20"/>
              </w:rPr>
              <w:t>Destrukt asfaltowy</w:t>
            </w:r>
          </w:p>
        </w:tc>
        <w:tc>
          <w:tcPr>
            <w:tcW w:w="1684" w:type="dxa"/>
          </w:tcPr>
          <w:p w14:paraId="28B53D24" w14:textId="77777777" w:rsidR="00F25E60" w:rsidRPr="00F25E60" w:rsidRDefault="00F25E60" w:rsidP="00F25E60">
            <w:pPr>
              <w:spacing w:line="240" w:lineRule="auto"/>
              <w:jc w:val="center"/>
              <w:rPr>
                <w:rFonts w:cs="Arial"/>
                <w:szCs w:val="20"/>
              </w:rPr>
            </w:pPr>
            <w:r w:rsidRPr="00F25E60">
              <w:rPr>
                <w:rFonts w:cs="Arial"/>
                <w:szCs w:val="20"/>
              </w:rPr>
              <w:t>≤ 5</w:t>
            </w:r>
          </w:p>
        </w:tc>
      </w:tr>
      <w:tr w:rsidR="00F25E60" w:rsidRPr="00F25E60" w14:paraId="222AE22D" w14:textId="77777777" w:rsidTr="007B6855">
        <w:tc>
          <w:tcPr>
            <w:tcW w:w="2748" w:type="dxa"/>
            <w:vMerge/>
          </w:tcPr>
          <w:p w14:paraId="6A15F9AD" w14:textId="77777777" w:rsidR="00F25E60" w:rsidRPr="00F25E60" w:rsidRDefault="00F25E60" w:rsidP="00F25E60">
            <w:pPr>
              <w:spacing w:before="120" w:line="240" w:lineRule="auto"/>
              <w:rPr>
                <w:rFonts w:cs="Arial"/>
                <w:szCs w:val="20"/>
              </w:rPr>
            </w:pPr>
          </w:p>
        </w:tc>
        <w:tc>
          <w:tcPr>
            <w:tcW w:w="4436" w:type="dxa"/>
          </w:tcPr>
          <w:p w14:paraId="68184533" w14:textId="77777777" w:rsidR="00F25E60" w:rsidRPr="00F25E60" w:rsidRDefault="00F25E60" w:rsidP="00F25E60">
            <w:pPr>
              <w:spacing w:line="240" w:lineRule="auto"/>
              <w:rPr>
                <w:rFonts w:cs="Arial"/>
                <w:szCs w:val="20"/>
                <w:vertAlign w:val="superscript"/>
              </w:rPr>
            </w:pPr>
            <w:r w:rsidRPr="00F25E60">
              <w:rPr>
                <w:rFonts w:cs="Arial"/>
                <w:szCs w:val="20"/>
              </w:rPr>
              <w:t>Materiały ziarniste o gęstości &gt; 1,6 Mg/m</w:t>
            </w:r>
            <w:r w:rsidRPr="00F25E60">
              <w:rPr>
                <w:rFonts w:cs="Arial"/>
                <w:szCs w:val="20"/>
                <w:vertAlign w:val="superscript"/>
              </w:rPr>
              <w:t>3</w:t>
            </w:r>
          </w:p>
        </w:tc>
        <w:tc>
          <w:tcPr>
            <w:tcW w:w="1684" w:type="dxa"/>
          </w:tcPr>
          <w:p w14:paraId="0623B030" w14:textId="77777777" w:rsidR="00F25E60" w:rsidRPr="00F25E60" w:rsidRDefault="00F25E60" w:rsidP="00F25E60">
            <w:pPr>
              <w:spacing w:line="240" w:lineRule="auto"/>
              <w:jc w:val="center"/>
              <w:rPr>
                <w:rFonts w:cs="Arial"/>
                <w:szCs w:val="20"/>
              </w:rPr>
            </w:pPr>
            <w:r w:rsidRPr="00F25E60">
              <w:rPr>
                <w:rFonts w:cs="Arial"/>
                <w:szCs w:val="20"/>
              </w:rPr>
              <w:t>≤ 10</w:t>
            </w:r>
          </w:p>
        </w:tc>
      </w:tr>
      <w:tr w:rsidR="00F25E60" w:rsidRPr="00F25E60" w14:paraId="586B301F" w14:textId="77777777" w:rsidTr="007B6855">
        <w:tc>
          <w:tcPr>
            <w:tcW w:w="2748" w:type="dxa"/>
            <w:vMerge w:val="restart"/>
          </w:tcPr>
          <w:p w14:paraId="6233AFCA" w14:textId="77777777" w:rsidR="00F25E60" w:rsidRPr="00F25E60" w:rsidRDefault="00F25E60" w:rsidP="00F25E60">
            <w:pPr>
              <w:spacing w:before="120" w:line="240" w:lineRule="auto"/>
              <w:rPr>
                <w:rFonts w:cs="Arial"/>
                <w:szCs w:val="20"/>
              </w:rPr>
            </w:pPr>
            <w:r w:rsidRPr="00F25E60">
              <w:rPr>
                <w:rFonts w:cs="Arial"/>
                <w:szCs w:val="20"/>
              </w:rPr>
              <w:t>Zanieczyszczenia</w:t>
            </w:r>
          </w:p>
        </w:tc>
        <w:tc>
          <w:tcPr>
            <w:tcW w:w="4436" w:type="dxa"/>
          </w:tcPr>
          <w:p w14:paraId="73EBB13F" w14:textId="77777777" w:rsidR="00F25E60" w:rsidRPr="00F25E60" w:rsidRDefault="00F25E60" w:rsidP="00F25E60">
            <w:pPr>
              <w:spacing w:line="240" w:lineRule="auto"/>
              <w:rPr>
                <w:rFonts w:cs="Arial"/>
                <w:szCs w:val="20"/>
              </w:rPr>
            </w:pPr>
            <w:r w:rsidRPr="00F25E60">
              <w:rPr>
                <w:rFonts w:cs="Arial"/>
                <w:szCs w:val="20"/>
              </w:rPr>
              <w:t>Składniki spoiste (łącznie z gliną)</w:t>
            </w:r>
          </w:p>
        </w:tc>
        <w:tc>
          <w:tcPr>
            <w:tcW w:w="1684" w:type="dxa"/>
          </w:tcPr>
          <w:p w14:paraId="33FBA810" w14:textId="77777777" w:rsidR="00F25E60" w:rsidRPr="00F25E60" w:rsidRDefault="00F25E60" w:rsidP="00F25E60">
            <w:pPr>
              <w:spacing w:line="240" w:lineRule="auto"/>
              <w:jc w:val="center"/>
              <w:rPr>
                <w:rFonts w:cs="Arial"/>
                <w:szCs w:val="20"/>
              </w:rPr>
            </w:pPr>
            <w:r w:rsidRPr="00F25E60">
              <w:rPr>
                <w:rFonts w:cs="Arial"/>
                <w:szCs w:val="20"/>
              </w:rPr>
              <w:t>≤ 1</w:t>
            </w:r>
          </w:p>
        </w:tc>
      </w:tr>
      <w:tr w:rsidR="00F25E60" w:rsidRPr="00F25E60" w14:paraId="48D5D553" w14:textId="77777777" w:rsidTr="007B6855">
        <w:tc>
          <w:tcPr>
            <w:tcW w:w="2748" w:type="dxa"/>
            <w:vMerge/>
          </w:tcPr>
          <w:p w14:paraId="23220BF3" w14:textId="77777777" w:rsidR="00F25E60" w:rsidRPr="00F25E60" w:rsidRDefault="00F25E60" w:rsidP="00F25E60">
            <w:pPr>
              <w:spacing w:line="240" w:lineRule="auto"/>
              <w:rPr>
                <w:rFonts w:cs="Arial"/>
                <w:szCs w:val="20"/>
              </w:rPr>
            </w:pPr>
          </w:p>
        </w:tc>
        <w:tc>
          <w:tcPr>
            <w:tcW w:w="4436" w:type="dxa"/>
          </w:tcPr>
          <w:p w14:paraId="6C313853" w14:textId="77777777" w:rsidR="00F25E60" w:rsidRPr="00F25E60" w:rsidRDefault="00F25E60" w:rsidP="00F25E60">
            <w:pPr>
              <w:spacing w:line="240" w:lineRule="auto"/>
              <w:rPr>
                <w:rFonts w:cs="Arial"/>
                <w:szCs w:val="20"/>
              </w:rPr>
            </w:pPr>
            <w:r w:rsidRPr="00F25E60">
              <w:rPr>
                <w:rFonts w:cs="Arial"/>
                <w:szCs w:val="20"/>
              </w:rPr>
              <w:t>Składniki organiczne</w:t>
            </w:r>
          </w:p>
        </w:tc>
        <w:tc>
          <w:tcPr>
            <w:tcW w:w="1684" w:type="dxa"/>
          </w:tcPr>
          <w:p w14:paraId="374ABA32" w14:textId="77777777" w:rsidR="00F25E60" w:rsidRPr="00F25E60" w:rsidRDefault="00F25E60" w:rsidP="00F25E60">
            <w:pPr>
              <w:spacing w:line="240" w:lineRule="auto"/>
              <w:jc w:val="center"/>
              <w:rPr>
                <w:rFonts w:cs="Arial"/>
                <w:szCs w:val="20"/>
              </w:rPr>
            </w:pPr>
            <w:r w:rsidRPr="00F25E60">
              <w:rPr>
                <w:rFonts w:cs="Arial"/>
                <w:szCs w:val="20"/>
              </w:rPr>
              <w:t>≤ 0,1</w:t>
            </w:r>
          </w:p>
        </w:tc>
      </w:tr>
    </w:tbl>
    <w:p w14:paraId="4E659DBA" w14:textId="77777777" w:rsidR="00F25E60" w:rsidRPr="00F25E60" w:rsidRDefault="00F25E60" w:rsidP="00F25E60">
      <w:pPr>
        <w:spacing w:before="120" w:after="120" w:line="240" w:lineRule="auto"/>
        <w:rPr>
          <w:rFonts w:cs="Arial"/>
          <w:szCs w:val="20"/>
        </w:rPr>
      </w:pPr>
      <w:r w:rsidRPr="00F25E60">
        <w:rPr>
          <w:rFonts w:cs="Arial"/>
          <w:szCs w:val="20"/>
        </w:rPr>
        <w:t xml:space="preserve">Tablica 1.4. </w:t>
      </w:r>
      <w:proofErr w:type="spellStart"/>
      <w:r w:rsidRPr="00F25E60">
        <w:rPr>
          <w:rFonts w:cs="Arial"/>
          <w:szCs w:val="20"/>
        </w:rPr>
        <w:t>Przekruszone</w:t>
      </w:r>
      <w:proofErr w:type="spellEnd"/>
      <w:r w:rsidRPr="00F25E60">
        <w:rPr>
          <w:rFonts w:cs="Arial"/>
          <w:szCs w:val="20"/>
        </w:rPr>
        <w:t xml:space="preserv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F25E60" w:rsidRPr="00F25E60" w14:paraId="5B568EAC" w14:textId="77777777" w:rsidTr="007B6855">
        <w:tc>
          <w:tcPr>
            <w:tcW w:w="7184" w:type="dxa"/>
            <w:gridSpan w:val="2"/>
          </w:tcPr>
          <w:p w14:paraId="2B60DAD6" w14:textId="77777777" w:rsidR="00F25E60" w:rsidRPr="00F25E60" w:rsidRDefault="00F25E60" w:rsidP="00F25E60">
            <w:pPr>
              <w:spacing w:before="120" w:line="240" w:lineRule="auto"/>
              <w:jc w:val="center"/>
              <w:rPr>
                <w:rFonts w:cs="Arial"/>
                <w:szCs w:val="20"/>
              </w:rPr>
            </w:pPr>
            <w:r w:rsidRPr="00F25E60">
              <w:rPr>
                <w:rFonts w:cs="Arial"/>
                <w:szCs w:val="20"/>
              </w:rPr>
              <w:t>Składniki</w:t>
            </w:r>
          </w:p>
        </w:tc>
        <w:tc>
          <w:tcPr>
            <w:tcW w:w="1684" w:type="dxa"/>
          </w:tcPr>
          <w:p w14:paraId="3DB81DA8" w14:textId="77777777" w:rsidR="00F25E60" w:rsidRPr="00F25E60" w:rsidRDefault="00F25E60" w:rsidP="00F25E60">
            <w:pPr>
              <w:spacing w:line="240" w:lineRule="auto"/>
              <w:jc w:val="center"/>
              <w:rPr>
                <w:rFonts w:cs="Arial"/>
                <w:szCs w:val="20"/>
              </w:rPr>
            </w:pPr>
            <w:r w:rsidRPr="00F25E60">
              <w:rPr>
                <w:rFonts w:cs="Arial"/>
                <w:szCs w:val="20"/>
              </w:rPr>
              <w:t>Zawartość, [%(m/m)]</w:t>
            </w:r>
          </w:p>
        </w:tc>
      </w:tr>
      <w:tr w:rsidR="00F25E60" w:rsidRPr="00F25E60" w14:paraId="2DBB42B4" w14:textId="77777777" w:rsidTr="007B6855">
        <w:tc>
          <w:tcPr>
            <w:tcW w:w="2748" w:type="dxa"/>
            <w:vMerge w:val="restart"/>
          </w:tcPr>
          <w:p w14:paraId="22AC31C1" w14:textId="77777777" w:rsidR="00F25E60" w:rsidRPr="00F25E60" w:rsidRDefault="00F25E60" w:rsidP="00F25E60">
            <w:pPr>
              <w:spacing w:before="120" w:line="240" w:lineRule="auto"/>
              <w:rPr>
                <w:rFonts w:cs="Arial"/>
                <w:szCs w:val="20"/>
              </w:rPr>
            </w:pPr>
          </w:p>
          <w:p w14:paraId="42FD87B7" w14:textId="77777777" w:rsidR="00F25E60" w:rsidRPr="00F25E60" w:rsidRDefault="00F25E60" w:rsidP="00F25E60">
            <w:pPr>
              <w:spacing w:before="120" w:line="240" w:lineRule="auto"/>
              <w:rPr>
                <w:rFonts w:cs="Arial"/>
                <w:szCs w:val="20"/>
              </w:rPr>
            </w:pPr>
            <w:r w:rsidRPr="00F25E60">
              <w:rPr>
                <w:rFonts w:cs="Arial"/>
                <w:szCs w:val="20"/>
              </w:rPr>
              <w:t>Główne składniki</w:t>
            </w:r>
          </w:p>
        </w:tc>
        <w:tc>
          <w:tcPr>
            <w:tcW w:w="4436" w:type="dxa"/>
          </w:tcPr>
          <w:p w14:paraId="134C3FB7" w14:textId="77777777" w:rsidR="00F25E60" w:rsidRPr="00F25E60" w:rsidRDefault="00F25E60" w:rsidP="00F25E60">
            <w:pPr>
              <w:spacing w:line="240" w:lineRule="auto"/>
              <w:rPr>
                <w:rFonts w:cs="Arial"/>
                <w:szCs w:val="20"/>
                <w:vertAlign w:val="superscript"/>
              </w:rPr>
            </w:pPr>
            <w:r w:rsidRPr="00F25E60">
              <w:rPr>
                <w:rFonts w:cs="Arial"/>
                <w:szCs w:val="20"/>
              </w:rPr>
              <w:t>Materiały drogowe – łącznie z kruszonym betonem, niezwiązanymi kruszywami i </w:t>
            </w:r>
            <w:proofErr w:type="spellStart"/>
            <w:r w:rsidRPr="00F25E60">
              <w:rPr>
                <w:rFonts w:cs="Arial"/>
                <w:szCs w:val="20"/>
              </w:rPr>
              <w:t>przekruszone</w:t>
            </w:r>
            <w:proofErr w:type="spellEnd"/>
            <w:r w:rsidRPr="00F25E60">
              <w:rPr>
                <w:rFonts w:cs="Arial"/>
                <w:szCs w:val="20"/>
              </w:rPr>
              <w:t xml:space="preserve"> mieszanki kruszyw związane hydraulicznie</w:t>
            </w:r>
          </w:p>
        </w:tc>
        <w:tc>
          <w:tcPr>
            <w:tcW w:w="1684" w:type="dxa"/>
          </w:tcPr>
          <w:p w14:paraId="6F3506DA" w14:textId="77777777" w:rsidR="00F25E60" w:rsidRPr="00F25E60" w:rsidRDefault="00F25E60" w:rsidP="00F25E60">
            <w:pPr>
              <w:spacing w:before="120" w:line="240" w:lineRule="auto"/>
              <w:jc w:val="center"/>
              <w:rPr>
                <w:rFonts w:cs="Arial"/>
                <w:szCs w:val="20"/>
              </w:rPr>
            </w:pPr>
          </w:p>
          <w:p w14:paraId="6054BBF3" w14:textId="77777777" w:rsidR="00F25E60" w:rsidRPr="00F25E60" w:rsidRDefault="00F25E60" w:rsidP="00F25E60">
            <w:pPr>
              <w:spacing w:before="120" w:line="240" w:lineRule="auto"/>
              <w:jc w:val="center"/>
              <w:rPr>
                <w:rFonts w:cs="Arial"/>
                <w:szCs w:val="20"/>
              </w:rPr>
            </w:pPr>
            <w:r w:rsidRPr="00F25E60">
              <w:rPr>
                <w:rFonts w:cs="Arial"/>
                <w:szCs w:val="20"/>
              </w:rPr>
              <w:t>≥ 90</w:t>
            </w:r>
          </w:p>
        </w:tc>
      </w:tr>
      <w:tr w:rsidR="00F25E60" w:rsidRPr="00F25E60" w14:paraId="6D2918F0" w14:textId="77777777" w:rsidTr="007B6855">
        <w:tc>
          <w:tcPr>
            <w:tcW w:w="2748" w:type="dxa"/>
            <w:vMerge/>
          </w:tcPr>
          <w:p w14:paraId="03FABCAD" w14:textId="77777777" w:rsidR="00F25E60" w:rsidRPr="00F25E60" w:rsidRDefault="00F25E60" w:rsidP="00F25E60">
            <w:pPr>
              <w:spacing w:before="120" w:line="240" w:lineRule="auto"/>
              <w:rPr>
                <w:rFonts w:cs="Arial"/>
                <w:szCs w:val="20"/>
              </w:rPr>
            </w:pPr>
          </w:p>
        </w:tc>
        <w:tc>
          <w:tcPr>
            <w:tcW w:w="4436" w:type="dxa"/>
          </w:tcPr>
          <w:p w14:paraId="4524DEB0" w14:textId="77777777" w:rsidR="00F25E60" w:rsidRPr="00F25E60" w:rsidRDefault="00F25E60" w:rsidP="00F25E60">
            <w:pPr>
              <w:spacing w:line="240" w:lineRule="auto"/>
              <w:rPr>
                <w:rFonts w:cs="Arial"/>
                <w:szCs w:val="20"/>
              </w:rPr>
            </w:pPr>
            <w:r w:rsidRPr="00F25E60">
              <w:rPr>
                <w:rFonts w:cs="Arial"/>
                <w:szCs w:val="20"/>
              </w:rPr>
              <w:t>Destrukt asfaltowy</w:t>
            </w:r>
          </w:p>
        </w:tc>
        <w:tc>
          <w:tcPr>
            <w:tcW w:w="1684" w:type="dxa"/>
          </w:tcPr>
          <w:p w14:paraId="327FD55D" w14:textId="77777777" w:rsidR="00F25E60" w:rsidRPr="00F25E60" w:rsidRDefault="00F25E60" w:rsidP="00F25E60">
            <w:pPr>
              <w:spacing w:line="240" w:lineRule="auto"/>
              <w:jc w:val="center"/>
              <w:rPr>
                <w:rFonts w:cs="Arial"/>
                <w:szCs w:val="20"/>
              </w:rPr>
            </w:pPr>
            <w:r w:rsidRPr="00F25E60">
              <w:rPr>
                <w:rFonts w:cs="Arial"/>
                <w:szCs w:val="20"/>
              </w:rPr>
              <w:t>≤ 30</w:t>
            </w:r>
          </w:p>
        </w:tc>
      </w:tr>
      <w:tr w:rsidR="00F25E60" w:rsidRPr="00F25E60" w14:paraId="335CC406" w14:textId="77777777" w:rsidTr="007B6855">
        <w:tc>
          <w:tcPr>
            <w:tcW w:w="2748" w:type="dxa"/>
            <w:vMerge w:val="restart"/>
          </w:tcPr>
          <w:p w14:paraId="5CAEAC51" w14:textId="77777777" w:rsidR="00F25E60" w:rsidRPr="00F25E60" w:rsidRDefault="00F25E60" w:rsidP="00F25E60">
            <w:pPr>
              <w:spacing w:before="120" w:line="240" w:lineRule="auto"/>
              <w:rPr>
                <w:rFonts w:cs="Arial"/>
                <w:szCs w:val="20"/>
              </w:rPr>
            </w:pPr>
            <w:r w:rsidRPr="00F25E60">
              <w:rPr>
                <w:rFonts w:cs="Arial"/>
                <w:szCs w:val="20"/>
              </w:rPr>
              <w:t>Zanieczyszczenia</w:t>
            </w:r>
          </w:p>
        </w:tc>
        <w:tc>
          <w:tcPr>
            <w:tcW w:w="4436" w:type="dxa"/>
          </w:tcPr>
          <w:p w14:paraId="34158674" w14:textId="77777777" w:rsidR="00F25E60" w:rsidRPr="00F25E60" w:rsidRDefault="00F25E60" w:rsidP="00F25E60">
            <w:pPr>
              <w:spacing w:line="240" w:lineRule="auto"/>
              <w:rPr>
                <w:rFonts w:cs="Arial"/>
                <w:szCs w:val="20"/>
              </w:rPr>
            </w:pPr>
            <w:r w:rsidRPr="00F25E60">
              <w:rPr>
                <w:rFonts w:cs="Arial"/>
                <w:szCs w:val="20"/>
              </w:rPr>
              <w:t>Składniki spoiste (łącznie z gliną)</w:t>
            </w:r>
          </w:p>
        </w:tc>
        <w:tc>
          <w:tcPr>
            <w:tcW w:w="1684" w:type="dxa"/>
          </w:tcPr>
          <w:p w14:paraId="38D3E09D" w14:textId="77777777" w:rsidR="00F25E60" w:rsidRPr="00F25E60" w:rsidRDefault="00F25E60" w:rsidP="00F25E60">
            <w:pPr>
              <w:spacing w:line="240" w:lineRule="auto"/>
              <w:jc w:val="center"/>
              <w:rPr>
                <w:rFonts w:cs="Arial"/>
                <w:szCs w:val="20"/>
              </w:rPr>
            </w:pPr>
            <w:r w:rsidRPr="00F25E60">
              <w:rPr>
                <w:rFonts w:cs="Arial"/>
                <w:szCs w:val="20"/>
              </w:rPr>
              <w:t>≤ 1</w:t>
            </w:r>
          </w:p>
        </w:tc>
      </w:tr>
      <w:tr w:rsidR="00F25E60" w:rsidRPr="00F25E60" w14:paraId="030B3B14" w14:textId="77777777" w:rsidTr="007B6855">
        <w:tc>
          <w:tcPr>
            <w:tcW w:w="2748" w:type="dxa"/>
            <w:vMerge/>
          </w:tcPr>
          <w:p w14:paraId="08D8DD9E" w14:textId="77777777" w:rsidR="00F25E60" w:rsidRPr="00F25E60" w:rsidRDefault="00F25E60" w:rsidP="00F25E60">
            <w:pPr>
              <w:spacing w:line="240" w:lineRule="auto"/>
              <w:rPr>
                <w:rFonts w:cs="Arial"/>
                <w:szCs w:val="20"/>
              </w:rPr>
            </w:pPr>
          </w:p>
        </w:tc>
        <w:tc>
          <w:tcPr>
            <w:tcW w:w="4436" w:type="dxa"/>
          </w:tcPr>
          <w:p w14:paraId="02BABC29" w14:textId="77777777" w:rsidR="00F25E60" w:rsidRPr="00F25E60" w:rsidRDefault="00F25E60" w:rsidP="00F25E60">
            <w:pPr>
              <w:spacing w:line="240" w:lineRule="auto"/>
              <w:rPr>
                <w:rFonts w:cs="Arial"/>
                <w:szCs w:val="20"/>
              </w:rPr>
            </w:pPr>
            <w:r w:rsidRPr="00F25E60">
              <w:rPr>
                <w:rFonts w:cs="Arial"/>
                <w:szCs w:val="20"/>
              </w:rPr>
              <w:t>Składniki organiczne</w:t>
            </w:r>
          </w:p>
        </w:tc>
        <w:tc>
          <w:tcPr>
            <w:tcW w:w="1684" w:type="dxa"/>
          </w:tcPr>
          <w:p w14:paraId="50D1287E" w14:textId="77777777" w:rsidR="00F25E60" w:rsidRPr="00F25E60" w:rsidRDefault="00F25E60" w:rsidP="00F25E60">
            <w:pPr>
              <w:spacing w:line="240" w:lineRule="auto"/>
              <w:jc w:val="center"/>
              <w:rPr>
                <w:rFonts w:cs="Arial"/>
                <w:szCs w:val="20"/>
              </w:rPr>
            </w:pPr>
            <w:r w:rsidRPr="00F25E60">
              <w:rPr>
                <w:rFonts w:cs="Arial"/>
                <w:szCs w:val="20"/>
              </w:rPr>
              <w:t>≤ 0,1</w:t>
            </w:r>
          </w:p>
        </w:tc>
      </w:tr>
    </w:tbl>
    <w:p w14:paraId="39F050BC" w14:textId="77777777" w:rsidR="00F25E60" w:rsidRPr="00F25E60" w:rsidRDefault="00F25E60" w:rsidP="00C968CE">
      <w:pPr>
        <w:spacing w:line="240" w:lineRule="auto"/>
        <w:rPr>
          <w:rFonts w:cs="Arial"/>
          <w:b/>
          <w:szCs w:val="20"/>
        </w:rPr>
      </w:pPr>
    </w:p>
    <w:p w14:paraId="53560B7F" w14:textId="77777777" w:rsidR="00F25E60" w:rsidRPr="00F25E60" w:rsidRDefault="00F25E60" w:rsidP="00F25E60">
      <w:pPr>
        <w:spacing w:before="120" w:after="120" w:line="240" w:lineRule="auto"/>
        <w:rPr>
          <w:rFonts w:cs="Arial"/>
          <w:szCs w:val="20"/>
        </w:rPr>
      </w:pPr>
      <w:r w:rsidRPr="00F25E60">
        <w:rPr>
          <w:rFonts w:cs="Arial"/>
          <w:szCs w:val="20"/>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F25E60" w:rsidRPr="00F25E60" w14:paraId="46AB857E" w14:textId="77777777" w:rsidTr="007B6855">
        <w:tc>
          <w:tcPr>
            <w:tcW w:w="6348" w:type="dxa"/>
            <w:gridSpan w:val="2"/>
          </w:tcPr>
          <w:p w14:paraId="2703E0C1" w14:textId="77777777" w:rsidR="00F25E60" w:rsidRPr="00F25E60" w:rsidRDefault="00F25E60" w:rsidP="00F25E60">
            <w:pPr>
              <w:spacing w:before="120" w:line="240" w:lineRule="auto"/>
              <w:jc w:val="center"/>
              <w:rPr>
                <w:rFonts w:cs="Arial"/>
                <w:szCs w:val="20"/>
              </w:rPr>
            </w:pPr>
            <w:r w:rsidRPr="00F25E60">
              <w:rPr>
                <w:rFonts w:cs="Arial"/>
                <w:szCs w:val="20"/>
              </w:rPr>
              <w:t>Składniki</w:t>
            </w:r>
          </w:p>
        </w:tc>
        <w:tc>
          <w:tcPr>
            <w:tcW w:w="2520" w:type="dxa"/>
          </w:tcPr>
          <w:p w14:paraId="5AD208E1" w14:textId="77777777" w:rsidR="00F25E60" w:rsidRPr="00F25E60" w:rsidRDefault="00F25E60" w:rsidP="00F25E60">
            <w:pPr>
              <w:spacing w:line="240" w:lineRule="auto"/>
              <w:jc w:val="center"/>
              <w:rPr>
                <w:rFonts w:cs="Arial"/>
                <w:szCs w:val="20"/>
              </w:rPr>
            </w:pPr>
            <w:r w:rsidRPr="00F25E60">
              <w:rPr>
                <w:rFonts w:cs="Arial"/>
                <w:szCs w:val="20"/>
              </w:rPr>
              <w:t>Zawartość grubego kruszywa [%(m/m)]</w:t>
            </w:r>
          </w:p>
        </w:tc>
      </w:tr>
      <w:tr w:rsidR="00F25E60" w:rsidRPr="00F25E60" w14:paraId="4AA2E033" w14:textId="77777777" w:rsidTr="007B6855">
        <w:tc>
          <w:tcPr>
            <w:tcW w:w="2028" w:type="dxa"/>
          </w:tcPr>
          <w:p w14:paraId="3D2CFFE0" w14:textId="77777777" w:rsidR="00F25E60" w:rsidRPr="00F25E60" w:rsidRDefault="00F25E60" w:rsidP="00F25E60">
            <w:pPr>
              <w:spacing w:before="120" w:line="240" w:lineRule="auto"/>
              <w:rPr>
                <w:rFonts w:cs="Arial"/>
                <w:szCs w:val="20"/>
              </w:rPr>
            </w:pPr>
            <w:r w:rsidRPr="00F25E60">
              <w:rPr>
                <w:rFonts w:cs="Arial"/>
                <w:szCs w:val="20"/>
              </w:rPr>
              <w:t>Główne składniki</w:t>
            </w:r>
          </w:p>
        </w:tc>
        <w:tc>
          <w:tcPr>
            <w:tcW w:w="4320" w:type="dxa"/>
          </w:tcPr>
          <w:p w14:paraId="02610AB2" w14:textId="77777777" w:rsidR="00F25E60" w:rsidRPr="00F25E60" w:rsidRDefault="00F25E60" w:rsidP="00F25E60">
            <w:pPr>
              <w:spacing w:line="240" w:lineRule="auto"/>
              <w:rPr>
                <w:rFonts w:cs="Arial"/>
                <w:szCs w:val="20"/>
                <w:vertAlign w:val="superscript"/>
              </w:rPr>
            </w:pPr>
            <w:r w:rsidRPr="00F25E60">
              <w:rPr>
                <w:rFonts w:cs="Arial"/>
                <w:szCs w:val="20"/>
              </w:rPr>
              <w:t>Ziarniste substancje mineralne, łącznie ze szkłem, ceramiką, żużlem itp.</w:t>
            </w:r>
          </w:p>
        </w:tc>
        <w:tc>
          <w:tcPr>
            <w:tcW w:w="2520" w:type="dxa"/>
          </w:tcPr>
          <w:p w14:paraId="5FE40BBB" w14:textId="77777777" w:rsidR="00F25E60" w:rsidRPr="00F25E60" w:rsidRDefault="00F25E60" w:rsidP="00F25E60">
            <w:pPr>
              <w:spacing w:before="120" w:line="240" w:lineRule="auto"/>
              <w:jc w:val="center"/>
              <w:rPr>
                <w:rFonts w:cs="Arial"/>
                <w:szCs w:val="20"/>
              </w:rPr>
            </w:pPr>
            <w:r w:rsidRPr="00F25E60">
              <w:rPr>
                <w:rFonts w:cs="Arial"/>
                <w:szCs w:val="20"/>
              </w:rPr>
              <w:t>≥ 90</w:t>
            </w:r>
          </w:p>
        </w:tc>
      </w:tr>
      <w:tr w:rsidR="00F25E60" w:rsidRPr="00F25E60" w14:paraId="552202C1" w14:textId="77777777" w:rsidTr="007B6855">
        <w:tc>
          <w:tcPr>
            <w:tcW w:w="2028" w:type="dxa"/>
          </w:tcPr>
          <w:p w14:paraId="657FD825" w14:textId="77777777" w:rsidR="00F25E60" w:rsidRPr="00F25E60" w:rsidRDefault="00F25E60" w:rsidP="00F25E60">
            <w:pPr>
              <w:spacing w:line="240" w:lineRule="auto"/>
              <w:rPr>
                <w:rFonts w:cs="Arial"/>
                <w:szCs w:val="20"/>
              </w:rPr>
            </w:pPr>
            <w:r w:rsidRPr="00F25E60">
              <w:rPr>
                <w:rFonts w:cs="Arial"/>
                <w:szCs w:val="20"/>
              </w:rPr>
              <w:t>Inne składniki</w:t>
            </w:r>
          </w:p>
        </w:tc>
        <w:tc>
          <w:tcPr>
            <w:tcW w:w="4320" w:type="dxa"/>
          </w:tcPr>
          <w:p w14:paraId="7493F88D" w14:textId="77777777" w:rsidR="00F25E60" w:rsidRPr="00F25E60" w:rsidRDefault="00F25E60" w:rsidP="00F25E60">
            <w:pPr>
              <w:spacing w:line="240" w:lineRule="auto"/>
              <w:rPr>
                <w:rFonts w:cs="Arial"/>
                <w:szCs w:val="20"/>
              </w:rPr>
            </w:pPr>
            <w:r w:rsidRPr="00F25E60">
              <w:rPr>
                <w:rFonts w:cs="Arial"/>
                <w:szCs w:val="20"/>
              </w:rPr>
              <w:t>Żelazo i inne metale</w:t>
            </w:r>
          </w:p>
        </w:tc>
        <w:tc>
          <w:tcPr>
            <w:tcW w:w="2520" w:type="dxa"/>
          </w:tcPr>
          <w:p w14:paraId="6BB335C0" w14:textId="77777777" w:rsidR="00F25E60" w:rsidRPr="00F25E60" w:rsidRDefault="00F25E60" w:rsidP="00F25E60">
            <w:pPr>
              <w:spacing w:line="240" w:lineRule="auto"/>
              <w:jc w:val="center"/>
              <w:rPr>
                <w:rFonts w:cs="Arial"/>
                <w:szCs w:val="20"/>
              </w:rPr>
            </w:pPr>
            <w:r w:rsidRPr="00F25E60">
              <w:rPr>
                <w:rFonts w:cs="Arial"/>
                <w:szCs w:val="20"/>
              </w:rPr>
              <w:t>≤ 5</w:t>
            </w:r>
          </w:p>
        </w:tc>
      </w:tr>
      <w:tr w:rsidR="00F25E60" w:rsidRPr="00F25E60" w14:paraId="0911C982" w14:textId="77777777" w:rsidTr="007B6855">
        <w:tc>
          <w:tcPr>
            <w:tcW w:w="2028" w:type="dxa"/>
            <w:vMerge w:val="restart"/>
          </w:tcPr>
          <w:p w14:paraId="14D097A2" w14:textId="77777777" w:rsidR="00F25E60" w:rsidRPr="00F25E60" w:rsidRDefault="00F25E60" w:rsidP="00F25E60">
            <w:pPr>
              <w:spacing w:line="240" w:lineRule="auto"/>
              <w:rPr>
                <w:rFonts w:cs="Arial"/>
                <w:szCs w:val="20"/>
              </w:rPr>
            </w:pPr>
          </w:p>
          <w:p w14:paraId="2155DC73" w14:textId="77777777" w:rsidR="00F25E60" w:rsidRPr="00F25E60" w:rsidRDefault="00F25E60" w:rsidP="00F25E60">
            <w:pPr>
              <w:spacing w:line="240" w:lineRule="auto"/>
              <w:rPr>
                <w:rFonts w:cs="Arial"/>
                <w:szCs w:val="20"/>
              </w:rPr>
            </w:pPr>
            <w:r w:rsidRPr="00F25E60">
              <w:rPr>
                <w:rFonts w:cs="Arial"/>
                <w:szCs w:val="20"/>
              </w:rPr>
              <w:t>Zanieczyszczenia</w:t>
            </w:r>
          </w:p>
        </w:tc>
        <w:tc>
          <w:tcPr>
            <w:tcW w:w="4320" w:type="dxa"/>
          </w:tcPr>
          <w:p w14:paraId="75F6DCE6" w14:textId="77777777" w:rsidR="00F25E60" w:rsidRPr="00F25E60" w:rsidRDefault="00F25E60" w:rsidP="00F25E60">
            <w:pPr>
              <w:spacing w:line="240" w:lineRule="auto"/>
              <w:rPr>
                <w:rFonts w:cs="Arial"/>
                <w:szCs w:val="20"/>
              </w:rPr>
            </w:pPr>
            <w:r w:rsidRPr="00F25E60">
              <w:rPr>
                <w:rFonts w:cs="Arial"/>
                <w:szCs w:val="20"/>
              </w:rPr>
              <w:t>Składniki niespalone</w:t>
            </w:r>
          </w:p>
        </w:tc>
        <w:tc>
          <w:tcPr>
            <w:tcW w:w="2520" w:type="dxa"/>
          </w:tcPr>
          <w:p w14:paraId="1A855B71" w14:textId="77777777" w:rsidR="00F25E60" w:rsidRPr="00F25E60" w:rsidRDefault="00F25E60" w:rsidP="00F25E60">
            <w:pPr>
              <w:spacing w:line="240" w:lineRule="auto"/>
              <w:jc w:val="center"/>
              <w:rPr>
                <w:rFonts w:cs="Arial"/>
                <w:szCs w:val="20"/>
              </w:rPr>
            </w:pPr>
            <w:r w:rsidRPr="00F25E60">
              <w:rPr>
                <w:rFonts w:cs="Arial"/>
                <w:szCs w:val="20"/>
              </w:rPr>
              <w:t>≤ 6</w:t>
            </w:r>
          </w:p>
        </w:tc>
      </w:tr>
      <w:tr w:rsidR="00F25E60" w:rsidRPr="00F25E60" w14:paraId="0BA0C4FF" w14:textId="77777777" w:rsidTr="007B6855">
        <w:tc>
          <w:tcPr>
            <w:tcW w:w="2028" w:type="dxa"/>
            <w:vMerge/>
          </w:tcPr>
          <w:p w14:paraId="0A6C3056" w14:textId="77777777" w:rsidR="00F25E60" w:rsidRPr="00F25E60" w:rsidRDefault="00F25E60" w:rsidP="00F25E60">
            <w:pPr>
              <w:spacing w:line="240" w:lineRule="auto"/>
              <w:rPr>
                <w:rFonts w:cs="Arial"/>
                <w:szCs w:val="20"/>
              </w:rPr>
            </w:pPr>
          </w:p>
        </w:tc>
        <w:tc>
          <w:tcPr>
            <w:tcW w:w="4320" w:type="dxa"/>
          </w:tcPr>
          <w:p w14:paraId="7386F7E1" w14:textId="77777777" w:rsidR="00F25E60" w:rsidRPr="00F25E60" w:rsidRDefault="00F25E60" w:rsidP="00F25E60">
            <w:pPr>
              <w:spacing w:line="240" w:lineRule="auto"/>
              <w:rPr>
                <w:rFonts w:cs="Arial"/>
                <w:szCs w:val="20"/>
              </w:rPr>
            </w:pPr>
            <w:r w:rsidRPr="00F25E60">
              <w:rPr>
                <w:rFonts w:cs="Arial"/>
                <w:szCs w:val="20"/>
              </w:rPr>
              <w:t>Składniki organiczne</w:t>
            </w:r>
          </w:p>
        </w:tc>
        <w:tc>
          <w:tcPr>
            <w:tcW w:w="2520" w:type="dxa"/>
          </w:tcPr>
          <w:p w14:paraId="1BE06C20" w14:textId="77777777" w:rsidR="00F25E60" w:rsidRPr="00F25E60" w:rsidRDefault="00F25E60" w:rsidP="00F25E60">
            <w:pPr>
              <w:spacing w:line="240" w:lineRule="auto"/>
              <w:jc w:val="center"/>
              <w:rPr>
                <w:rFonts w:cs="Arial"/>
                <w:szCs w:val="20"/>
              </w:rPr>
            </w:pPr>
            <w:r w:rsidRPr="00F25E60">
              <w:rPr>
                <w:rFonts w:cs="Arial"/>
                <w:szCs w:val="20"/>
              </w:rPr>
              <w:t>≤ 5</w:t>
            </w:r>
          </w:p>
        </w:tc>
      </w:tr>
      <w:tr w:rsidR="00F25E60" w:rsidRPr="00F25E60" w14:paraId="150391A2" w14:textId="77777777" w:rsidTr="007B6855">
        <w:tc>
          <w:tcPr>
            <w:tcW w:w="2028" w:type="dxa"/>
            <w:vMerge/>
          </w:tcPr>
          <w:p w14:paraId="31B2150C" w14:textId="77777777" w:rsidR="00F25E60" w:rsidRPr="00F25E60" w:rsidRDefault="00F25E60" w:rsidP="00F25E60">
            <w:pPr>
              <w:spacing w:line="240" w:lineRule="auto"/>
              <w:rPr>
                <w:rFonts w:cs="Arial"/>
                <w:szCs w:val="20"/>
              </w:rPr>
            </w:pPr>
          </w:p>
        </w:tc>
        <w:tc>
          <w:tcPr>
            <w:tcW w:w="4320" w:type="dxa"/>
          </w:tcPr>
          <w:p w14:paraId="17DE3FDC" w14:textId="77777777" w:rsidR="00F25E60" w:rsidRPr="00F25E60" w:rsidRDefault="00F25E60" w:rsidP="00F25E60">
            <w:pPr>
              <w:spacing w:line="240" w:lineRule="auto"/>
              <w:rPr>
                <w:rFonts w:cs="Arial"/>
                <w:szCs w:val="20"/>
              </w:rPr>
            </w:pPr>
            <w:r w:rsidRPr="00F25E60">
              <w:rPr>
                <w:rFonts w:cs="Arial"/>
                <w:szCs w:val="20"/>
              </w:rPr>
              <w:t>Popiół lotny ze spalania odpadów komunalnych</w:t>
            </w:r>
          </w:p>
        </w:tc>
        <w:tc>
          <w:tcPr>
            <w:tcW w:w="2520" w:type="dxa"/>
          </w:tcPr>
          <w:p w14:paraId="44448DE0" w14:textId="77777777" w:rsidR="00F25E60" w:rsidRPr="00F25E60" w:rsidRDefault="00F25E60" w:rsidP="00F25E60">
            <w:pPr>
              <w:spacing w:before="120" w:line="240" w:lineRule="auto"/>
              <w:jc w:val="center"/>
              <w:rPr>
                <w:rFonts w:cs="Arial"/>
                <w:szCs w:val="20"/>
              </w:rPr>
            </w:pPr>
            <w:r w:rsidRPr="00F25E60">
              <w:rPr>
                <w:rFonts w:cs="Arial"/>
                <w:szCs w:val="20"/>
              </w:rPr>
              <w:t>0</w:t>
            </w:r>
          </w:p>
        </w:tc>
      </w:tr>
    </w:tbl>
    <w:p w14:paraId="44F6C3BA" w14:textId="77777777" w:rsidR="00F25E60" w:rsidRPr="00F25E60" w:rsidRDefault="00F25E60" w:rsidP="00F25E60">
      <w:pPr>
        <w:spacing w:line="240" w:lineRule="auto"/>
        <w:rPr>
          <w:rFonts w:cs="Arial"/>
          <w:b/>
          <w:szCs w:val="20"/>
        </w:rPr>
      </w:pPr>
    </w:p>
    <w:p w14:paraId="49BF822C" w14:textId="3EC289FA" w:rsidR="00F25E60" w:rsidRDefault="00F25E60" w:rsidP="00F25E60">
      <w:pPr>
        <w:spacing w:line="240" w:lineRule="auto"/>
        <w:jc w:val="right"/>
        <w:rPr>
          <w:rFonts w:cs="Arial"/>
          <w:b/>
          <w:szCs w:val="20"/>
        </w:rPr>
      </w:pPr>
    </w:p>
    <w:p w14:paraId="48340673" w14:textId="0283CD91" w:rsidR="00C968CE" w:rsidRDefault="00C968CE" w:rsidP="00F25E60">
      <w:pPr>
        <w:spacing w:line="240" w:lineRule="auto"/>
        <w:jc w:val="right"/>
        <w:rPr>
          <w:rFonts w:cs="Arial"/>
          <w:b/>
          <w:szCs w:val="20"/>
        </w:rPr>
      </w:pPr>
    </w:p>
    <w:p w14:paraId="1571F6AA" w14:textId="01E14983" w:rsidR="00C968CE" w:rsidRDefault="00C968CE" w:rsidP="00F25E60">
      <w:pPr>
        <w:spacing w:line="240" w:lineRule="auto"/>
        <w:jc w:val="right"/>
        <w:rPr>
          <w:rFonts w:cs="Arial"/>
          <w:b/>
          <w:szCs w:val="20"/>
        </w:rPr>
      </w:pPr>
    </w:p>
    <w:p w14:paraId="3ACDD9EB" w14:textId="7E45653D" w:rsidR="00C968CE" w:rsidRDefault="00C968CE" w:rsidP="00F25E60">
      <w:pPr>
        <w:spacing w:line="240" w:lineRule="auto"/>
        <w:jc w:val="right"/>
        <w:rPr>
          <w:rFonts w:cs="Arial"/>
          <w:b/>
          <w:szCs w:val="20"/>
        </w:rPr>
      </w:pPr>
    </w:p>
    <w:p w14:paraId="4749C94D" w14:textId="150D1CEC" w:rsidR="00C968CE" w:rsidRDefault="00C968CE" w:rsidP="00F25E60">
      <w:pPr>
        <w:spacing w:line="240" w:lineRule="auto"/>
        <w:jc w:val="right"/>
        <w:rPr>
          <w:rFonts w:cs="Arial"/>
          <w:b/>
          <w:szCs w:val="20"/>
        </w:rPr>
      </w:pPr>
    </w:p>
    <w:p w14:paraId="331B49A6" w14:textId="77777777" w:rsidR="00C968CE" w:rsidRPr="00F25E60" w:rsidRDefault="00C968CE" w:rsidP="00F25E60">
      <w:pPr>
        <w:spacing w:line="240" w:lineRule="auto"/>
        <w:jc w:val="right"/>
        <w:rPr>
          <w:rFonts w:cs="Arial"/>
          <w:b/>
          <w:szCs w:val="20"/>
        </w:rPr>
      </w:pPr>
    </w:p>
    <w:p w14:paraId="52F1B663" w14:textId="77777777" w:rsidR="00F25E60" w:rsidRPr="00F25E60" w:rsidRDefault="00F25E60" w:rsidP="00F25E60">
      <w:pPr>
        <w:spacing w:line="240" w:lineRule="auto"/>
        <w:jc w:val="right"/>
        <w:rPr>
          <w:rFonts w:cs="Arial"/>
          <w:b/>
          <w:szCs w:val="20"/>
        </w:rPr>
      </w:pPr>
      <w:r w:rsidRPr="00F25E60">
        <w:rPr>
          <w:rFonts w:cs="Arial"/>
          <w:b/>
          <w:szCs w:val="20"/>
        </w:rPr>
        <w:t>ZAŁĄCZNIK 2</w:t>
      </w:r>
    </w:p>
    <w:p w14:paraId="1DEEDD17" w14:textId="77777777" w:rsidR="00F25E60" w:rsidRPr="00F25E60" w:rsidRDefault="00F25E60" w:rsidP="00F25E60">
      <w:pPr>
        <w:spacing w:before="120" w:line="240" w:lineRule="auto"/>
        <w:jc w:val="center"/>
        <w:rPr>
          <w:rFonts w:cs="Arial"/>
          <w:b/>
          <w:szCs w:val="20"/>
        </w:rPr>
      </w:pPr>
      <w:r w:rsidRPr="00F25E60">
        <w:rPr>
          <w:rFonts w:cs="Arial"/>
          <w:b/>
          <w:szCs w:val="20"/>
        </w:rPr>
        <w:t>PODSTAWY  FORMALNE  OPRACOWANIA  OST</w:t>
      </w:r>
    </w:p>
    <w:p w14:paraId="6FA48F1F" w14:textId="77777777" w:rsidR="00F25E60" w:rsidRPr="00F25E60" w:rsidRDefault="00F25E60" w:rsidP="00F25E60">
      <w:pPr>
        <w:pStyle w:val="Nagwek2"/>
        <w:spacing w:line="240" w:lineRule="auto"/>
        <w:rPr>
          <w:rFonts w:cs="Arial"/>
          <w:szCs w:val="20"/>
        </w:rPr>
      </w:pPr>
      <w:r w:rsidRPr="00F25E60">
        <w:rPr>
          <w:rFonts w:cs="Arial"/>
          <w:szCs w:val="20"/>
        </w:rPr>
        <w:t>1. Normy i przepisy</w:t>
      </w:r>
    </w:p>
    <w:p w14:paraId="17139B50" w14:textId="77777777" w:rsidR="00F25E60" w:rsidRPr="00F25E60" w:rsidRDefault="00F25E60" w:rsidP="00F25E60">
      <w:pPr>
        <w:spacing w:line="240" w:lineRule="auto"/>
        <w:rPr>
          <w:rFonts w:cs="Arial"/>
          <w:szCs w:val="20"/>
        </w:rPr>
      </w:pPr>
      <w:r w:rsidRPr="00F25E60">
        <w:rPr>
          <w:rFonts w:cs="Arial"/>
          <w:szCs w:val="20"/>
        </w:rPr>
        <w:tab/>
        <w:t>W 2010 r. wprowadzono do zbioru Polskich Norm normę PN-EN 13285 „Mieszanki niezwiązane – Specyfikacja” [20].  Norma ta jest normą klasyfikacyjną, nie określającą bezpośrednio wymagań wobec mieszanek do konkretnych zastosowań.</w:t>
      </w:r>
    </w:p>
    <w:p w14:paraId="663A1A10" w14:textId="77777777" w:rsidR="00F25E60" w:rsidRPr="00F25E60" w:rsidRDefault="00F25E60" w:rsidP="00F25E60">
      <w:pPr>
        <w:spacing w:line="240" w:lineRule="auto"/>
        <w:ind w:firstLine="709"/>
        <w:rPr>
          <w:rFonts w:cs="Arial"/>
          <w:szCs w:val="20"/>
        </w:rPr>
      </w:pPr>
      <w:r w:rsidRPr="00F25E60">
        <w:rPr>
          <w:rFonts w:cs="Arial"/>
          <w:szCs w:val="20"/>
        </w:rPr>
        <w:t xml:space="preserve"> Wprowadzenie normy PN-EN 13285 do praktycznego stosowania umożliwia krajowy dokument aplikacyjny „Mieszanki niezwiązane do dróg krajowych, WT-4 2010 Wymagania techniczne”, zalecony do stosowania w specyfikacjach technicznych wykonania i odbioru robót budowlanych zarządzeniem nr 102 Generalnego Dyrektora Dróg Krajowych i Autostrad z dnia 19 listopada 2010 r.</w:t>
      </w:r>
    </w:p>
    <w:p w14:paraId="5E06B506" w14:textId="77777777" w:rsidR="00F25E60" w:rsidRPr="00F25E60" w:rsidRDefault="00F25E60" w:rsidP="00F25E60">
      <w:pPr>
        <w:spacing w:line="240" w:lineRule="auto"/>
        <w:rPr>
          <w:rFonts w:cs="Arial"/>
          <w:szCs w:val="20"/>
        </w:rPr>
      </w:pPr>
      <w:r w:rsidRPr="00F25E60">
        <w:rPr>
          <w:rFonts w:cs="Arial"/>
          <w:szCs w:val="20"/>
        </w:rPr>
        <w:tab/>
        <w:t>Norma PN-EN 13285 wprowadza stosowanie kruszyw zgodnych z normą PN-EN 13242 [19], obejmujących kruszywa naturalne, sztuczne i kruszywa z recyklingu.</w:t>
      </w:r>
    </w:p>
    <w:p w14:paraId="425B7F85" w14:textId="1A1B6193" w:rsidR="00F25E60" w:rsidRPr="00F25E60" w:rsidRDefault="00F25E60" w:rsidP="00F25E60">
      <w:pPr>
        <w:spacing w:line="240" w:lineRule="auto"/>
        <w:rPr>
          <w:rFonts w:cs="Arial"/>
          <w:szCs w:val="20"/>
        </w:rPr>
      </w:pPr>
      <w:r w:rsidRPr="00F25E60">
        <w:rPr>
          <w:rFonts w:cs="Arial"/>
          <w:szCs w:val="20"/>
        </w:rPr>
        <w:tab/>
        <w:t xml:space="preserve">Wyżej wymienione przepisy są podstawą do opracowania niniejszej </w:t>
      </w:r>
      <w:r w:rsidR="00C968CE">
        <w:rPr>
          <w:rFonts w:cs="Arial"/>
          <w:szCs w:val="20"/>
        </w:rPr>
        <w:t>S</w:t>
      </w:r>
      <w:r w:rsidRPr="00F25E60">
        <w:rPr>
          <w:rFonts w:cs="Arial"/>
          <w:szCs w:val="20"/>
        </w:rPr>
        <w:t>ST.</w:t>
      </w:r>
    </w:p>
    <w:p w14:paraId="4B37F113" w14:textId="77777777" w:rsidR="00F25E60" w:rsidRPr="00F25E60" w:rsidRDefault="00F25E60" w:rsidP="00F25E60">
      <w:pPr>
        <w:spacing w:line="240" w:lineRule="auto"/>
        <w:rPr>
          <w:rFonts w:cs="Arial"/>
          <w:szCs w:val="20"/>
        </w:rPr>
      </w:pPr>
      <w:r w:rsidRPr="00F25E60">
        <w:rPr>
          <w:rFonts w:cs="Arial"/>
          <w:szCs w:val="20"/>
        </w:rPr>
        <w:tab/>
        <w:t>Obecnie stosowane określenie „mieszanka kruszywa niezwiązanego” odpowiada dawniej stosowanemu określeniu „kruszywo stabilizowane mechanicznie”.</w:t>
      </w:r>
    </w:p>
    <w:p w14:paraId="3C2844FD" w14:textId="77777777" w:rsidR="00F25E60" w:rsidRPr="00F25E60" w:rsidRDefault="00F25E60" w:rsidP="00F25E60">
      <w:pPr>
        <w:pStyle w:val="Nagwek2"/>
        <w:spacing w:line="240" w:lineRule="auto"/>
        <w:rPr>
          <w:rFonts w:cs="Arial"/>
          <w:szCs w:val="20"/>
        </w:rPr>
      </w:pPr>
      <w:r w:rsidRPr="00F25E60">
        <w:rPr>
          <w:rFonts w:cs="Arial"/>
          <w:szCs w:val="20"/>
        </w:rPr>
        <w:t>2. Schemat konstrukcji nawierzchni drogowej</w:t>
      </w:r>
    </w:p>
    <w:p w14:paraId="6FEB64A4" w14:textId="77777777" w:rsidR="00F25E60" w:rsidRPr="00F25E60" w:rsidRDefault="00F25E60" w:rsidP="00F25E60">
      <w:pPr>
        <w:spacing w:line="240" w:lineRule="auto"/>
        <w:rPr>
          <w:rFonts w:cs="Arial"/>
          <w:szCs w:val="20"/>
        </w:rPr>
      </w:pPr>
      <w:r w:rsidRPr="00F25E60">
        <w:rPr>
          <w:rFonts w:cs="Arial"/>
          <w:szCs w:val="20"/>
        </w:rPr>
        <w:tab/>
        <w:t>Ogólny schemat konstrukcji nawierzchni drogowej podatnej i półsztywnej oraz podłoża, zgodnej z WT-4 2010, przedstawia poniższy szkic.</w:t>
      </w:r>
    </w:p>
    <w:p w14:paraId="3480D367" w14:textId="77777777" w:rsidR="00F25E60" w:rsidRPr="00F25E60" w:rsidRDefault="00F25E60" w:rsidP="00F25E60">
      <w:pPr>
        <w:spacing w:line="240" w:lineRule="auto"/>
        <w:jc w:val="right"/>
        <w:rPr>
          <w:rFonts w:cs="Arial"/>
          <w:b/>
          <w:szCs w:val="20"/>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F25E60" w:rsidRPr="00F25E60" w14:paraId="703A7CD0" w14:textId="77777777" w:rsidTr="007B6855">
        <w:tc>
          <w:tcPr>
            <w:tcW w:w="7308" w:type="dxa"/>
            <w:gridSpan w:val="2"/>
            <w:shd w:val="clear" w:color="auto" w:fill="BFBFBF"/>
          </w:tcPr>
          <w:p w14:paraId="4D3AD894" w14:textId="77777777" w:rsidR="00F25E60" w:rsidRPr="00F25E60" w:rsidRDefault="00F25E60" w:rsidP="00F25E60">
            <w:pPr>
              <w:spacing w:line="240" w:lineRule="auto"/>
              <w:rPr>
                <w:rFonts w:cs="Arial"/>
                <w:szCs w:val="20"/>
              </w:rPr>
            </w:pPr>
            <w:r w:rsidRPr="00F25E60">
              <w:rPr>
                <w:rFonts w:cs="Arial"/>
                <w:szCs w:val="20"/>
              </w:rPr>
              <w:t>warstwa ścieralna</w:t>
            </w:r>
          </w:p>
        </w:tc>
        <w:tc>
          <w:tcPr>
            <w:tcW w:w="1560" w:type="dxa"/>
            <w:vMerge w:val="restart"/>
            <w:shd w:val="clear" w:color="auto" w:fill="BFBFBF"/>
          </w:tcPr>
          <w:p w14:paraId="65938E83" w14:textId="77777777" w:rsidR="00F25E60" w:rsidRPr="00F25E60" w:rsidRDefault="00F25E60" w:rsidP="00F25E60">
            <w:pPr>
              <w:spacing w:line="240" w:lineRule="auto"/>
              <w:jc w:val="center"/>
              <w:rPr>
                <w:rFonts w:cs="Arial"/>
                <w:szCs w:val="20"/>
              </w:rPr>
            </w:pPr>
          </w:p>
          <w:p w14:paraId="68CF353E" w14:textId="77777777" w:rsidR="00F25E60" w:rsidRPr="00F25E60" w:rsidRDefault="00F25E60" w:rsidP="00F25E60">
            <w:pPr>
              <w:spacing w:line="240" w:lineRule="auto"/>
              <w:jc w:val="center"/>
              <w:rPr>
                <w:rFonts w:cs="Arial"/>
                <w:szCs w:val="20"/>
              </w:rPr>
            </w:pPr>
            <w:r w:rsidRPr="00F25E60">
              <w:rPr>
                <w:rFonts w:cs="Arial"/>
                <w:szCs w:val="20"/>
              </w:rPr>
              <w:t>nawierzchnia</w:t>
            </w:r>
          </w:p>
        </w:tc>
      </w:tr>
      <w:tr w:rsidR="00F25E60" w:rsidRPr="00F25E60" w14:paraId="1679CDC2" w14:textId="77777777" w:rsidTr="007B6855">
        <w:tc>
          <w:tcPr>
            <w:tcW w:w="7308" w:type="dxa"/>
            <w:gridSpan w:val="2"/>
            <w:shd w:val="clear" w:color="auto" w:fill="BFBFBF"/>
          </w:tcPr>
          <w:p w14:paraId="0ED329FB" w14:textId="77777777" w:rsidR="00F25E60" w:rsidRPr="00F25E60" w:rsidRDefault="00F25E60" w:rsidP="00F25E60">
            <w:pPr>
              <w:spacing w:line="240" w:lineRule="auto"/>
              <w:rPr>
                <w:rFonts w:cs="Arial"/>
                <w:szCs w:val="20"/>
              </w:rPr>
            </w:pPr>
            <w:r w:rsidRPr="00F25E60">
              <w:rPr>
                <w:rFonts w:cs="Arial"/>
                <w:szCs w:val="20"/>
              </w:rPr>
              <w:t>warstwa wiążąca</w:t>
            </w:r>
          </w:p>
        </w:tc>
        <w:tc>
          <w:tcPr>
            <w:tcW w:w="1560" w:type="dxa"/>
            <w:vMerge/>
            <w:shd w:val="clear" w:color="auto" w:fill="BFBFBF"/>
          </w:tcPr>
          <w:p w14:paraId="55FE43BF" w14:textId="77777777" w:rsidR="00F25E60" w:rsidRPr="00F25E60" w:rsidRDefault="00F25E60" w:rsidP="00F25E60">
            <w:pPr>
              <w:spacing w:line="240" w:lineRule="auto"/>
              <w:rPr>
                <w:rFonts w:cs="Arial"/>
                <w:szCs w:val="20"/>
              </w:rPr>
            </w:pPr>
          </w:p>
        </w:tc>
      </w:tr>
      <w:tr w:rsidR="00F25E60" w:rsidRPr="00F25E60" w14:paraId="3612E0E0" w14:textId="77777777" w:rsidTr="007B6855">
        <w:tc>
          <w:tcPr>
            <w:tcW w:w="3652" w:type="dxa"/>
            <w:shd w:val="clear" w:color="auto" w:fill="BFBFBF"/>
          </w:tcPr>
          <w:p w14:paraId="59D73702" w14:textId="77777777" w:rsidR="00F25E60" w:rsidRPr="00F25E60" w:rsidRDefault="00F25E60" w:rsidP="00F25E60">
            <w:pPr>
              <w:spacing w:line="240" w:lineRule="auto"/>
              <w:rPr>
                <w:rFonts w:cs="Arial"/>
                <w:szCs w:val="20"/>
              </w:rPr>
            </w:pPr>
            <w:r w:rsidRPr="00F25E60">
              <w:rPr>
                <w:rFonts w:cs="Arial"/>
                <w:szCs w:val="20"/>
              </w:rPr>
              <w:t>podbudowa zasadnicza</w:t>
            </w:r>
          </w:p>
        </w:tc>
        <w:tc>
          <w:tcPr>
            <w:tcW w:w="3656" w:type="dxa"/>
            <w:vMerge w:val="restart"/>
            <w:shd w:val="clear" w:color="auto" w:fill="BFBFBF"/>
          </w:tcPr>
          <w:p w14:paraId="30663606" w14:textId="77777777" w:rsidR="00F25E60" w:rsidRPr="00F25E60" w:rsidRDefault="00F25E60" w:rsidP="00F25E60">
            <w:pPr>
              <w:spacing w:before="120" w:line="240" w:lineRule="auto"/>
              <w:jc w:val="center"/>
              <w:rPr>
                <w:rFonts w:cs="Arial"/>
                <w:szCs w:val="20"/>
              </w:rPr>
            </w:pPr>
            <w:r w:rsidRPr="00F25E60">
              <w:rPr>
                <w:rFonts w:cs="Arial"/>
                <w:szCs w:val="20"/>
              </w:rPr>
              <w:t>podbudowa</w:t>
            </w:r>
          </w:p>
        </w:tc>
        <w:tc>
          <w:tcPr>
            <w:tcW w:w="1560" w:type="dxa"/>
            <w:vMerge/>
            <w:shd w:val="clear" w:color="auto" w:fill="BFBFBF"/>
          </w:tcPr>
          <w:p w14:paraId="5C33460A" w14:textId="77777777" w:rsidR="00F25E60" w:rsidRPr="00F25E60" w:rsidRDefault="00F25E60" w:rsidP="00F25E60">
            <w:pPr>
              <w:spacing w:line="240" w:lineRule="auto"/>
              <w:rPr>
                <w:rFonts w:cs="Arial"/>
                <w:szCs w:val="20"/>
              </w:rPr>
            </w:pPr>
          </w:p>
        </w:tc>
      </w:tr>
      <w:tr w:rsidR="00F25E60" w:rsidRPr="00F25E60" w14:paraId="1E880993" w14:textId="77777777" w:rsidTr="007B6855">
        <w:tc>
          <w:tcPr>
            <w:tcW w:w="3652" w:type="dxa"/>
            <w:shd w:val="clear" w:color="auto" w:fill="BFBFBF"/>
          </w:tcPr>
          <w:p w14:paraId="0D49B2CA" w14:textId="77777777" w:rsidR="00F25E60" w:rsidRPr="00F25E60" w:rsidRDefault="00F25E60" w:rsidP="00F25E60">
            <w:pPr>
              <w:spacing w:line="240" w:lineRule="auto"/>
              <w:rPr>
                <w:rFonts w:cs="Arial"/>
                <w:szCs w:val="20"/>
              </w:rPr>
            </w:pPr>
            <w:r w:rsidRPr="00F25E60">
              <w:rPr>
                <w:rFonts w:cs="Arial"/>
                <w:szCs w:val="20"/>
              </w:rPr>
              <w:t>podbudowa pomocnicza</w:t>
            </w:r>
          </w:p>
        </w:tc>
        <w:tc>
          <w:tcPr>
            <w:tcW w:w="3656" w:type="dxa"/>
            <w:vMerge/>
            <w:shd w:val="clear" w:color="auto" w:fill="BFBFBF"/>
          </w:tcPr>
          <w:p w14:paraId="5F5CB8D0" w14:textId="77777777" w:rsidR="00F25E60" w:rsidRPr="00F25E60" w:rsidRDefault="00F25E60" w:rsidP="00F25E60">
            <w:pPr>
              <w:spacing w:line="240" w:lineRule="auto"/>
              <w:rPr>
                <w:rFonts w:cs="Arial"/>
                <w:szCs w:val="20"/>
              </w:rPr>
            </w:pPr>
          </w:p>
        </w:tc>
        <w:tc>
          <w:tcPr>
            <w:tcW w:w="1560" w:type="dxa"/>
            <w:vMerge/>
            <w:shd w:val="clear" w:color="auto" w:fill="BFBFBF"/>
          </w:tcPr>
          <w:p w14:paraId="032ADDB5" w14:textId="77777777" w:rsidR="00F25E60" w:rsidRPr="00F25E60" w:rsidRDefault="00F25E60" w:rsidP="00F25E60">
            <w:pPr>
              <w:spacing w:line="240" w:lineRule="auto"/>
              <w:rPr>
                <w:rFonts w:cs="Arial"/>
                <w:szCs w:val="20"/>
              </w:rPr>
            </w:pPr>
          </w:p>
        </w:tc>
      </w:tr>
      <w:tr w:rsidR="00F25E60" w:rsidRPr="00F25E60" w14:paraId="1BBD5690" w14:textId="77777777" w:rsidTr="007B6855">
        <w:tc>
          <w:tcPr>
            <w:tcW w:w="7308" w:type="dxa"/>
            <w:gridSpan w:val="2"/>
            <w:shd w:val="clear" w:color="auto" w:fill="F2F2F2"/>
          </w:tcPr>
          <w:p w14:paraId="63E4154F" w14:textId="77777777" w:rsidR="00F25E60" w:rsidRPr="00F25E60" w:rsidRDefault="00F25E60" w:rsidP="00F25E60">
            <w:pPr>
              <w:spacing w:line="240" w:lineRule="auto"/>
              <w:rPr>
                <w:rFonts w:cs="Arial"/>
                <w:szCs w:val="20"/>
              </w:rPr>
            </w:pPr>
            <w:r w:rsidRPr="00F25E60">
              <w:rPr>
                <w:rFonts w:cs="Arial"/>
                <w:szCs w:val="20"/>
              </w:rPr>
              <w:t xml:space="preserve">podłoże ulepszone (warstwa </w:t>
            </w:r>
            <w:proofErr w:type="spellStart"/>
            <w:r w:rsidRPr="00F25E60">
              <w:rPr>
                <w:rFonts w:cs="Arial"/>
                <w:szCs w:val="20"/>
              </w:rPr>
              <w:t>mrozoochronna</w:t>
            </w:r>
            <w:proofErr w:type="spellEnd"/>
            <w:r w:rsidRPr="00F25E60">
              <w:rPr>
                <w:rFonts w:cs="Arial"/>
                <w:szCs w:val="20"/>
              </w:rPr>
              <w:t>, odsączająca, odcinająca, wzmacniająca)</w:t>
            </w:r>
          </w:p>
        </w:tc>
        <w:tc>
          <w:tcPr>
            <w:tcW w:w="1560" w:type="dxa"/>
            <w:vMerge w:val="restart"/>
            <w:shd w:val="clear" w:color="auto" w:fill="F2F2F2"/>
          </w:tcPr>
          <w:p w14:paraId="40125E6D" w14:textId="77777777" w:rsidR="00F25E60" w:rsidRPr="00F25E60" w:rsidRDefault="00F25E60" w:rsidP="00F25E60">
            <w:pPr>
              <w:spacing w:before="120" w:line="240" w:lineRule="auto"/>
              <w:jc w:val="center"/>
              <w:rPr>
                <w:rFonts w:cs="Arial"/>
                <w:szCs w:val="20"/>
              </w:rPr>
            </w:pPr>
            <w:r w:rsidRPr="00F25E60">
              <w:rPr>
                <w:rFonts w:cs="Arial"/>
                <w:szCs w:val="20"/>
              </w:rPr>
              <w:t>podłoże</w:t>
            </w:r>
          </w:p>
        </w:tc>
      </w:tr>
      <w:tr w:rsidR="00F25E60" w:rsidRPr="00F25E60" w14:paraId="286819D5" w14:textId="77777777" w:rsidTr="007B6855">
        <w:tc>
          <w:tcPr>
            <w:tcW w:w="7308" w:type="dxa"/>
            <w:gridSpan w:val="2"/>
            <w:shd w:val="clear" w:color="auto" w:fill="F2F2F2"/>
          </w:tcPr>
          <w:p w14:paraId="49AE996B" w14:textId="77777777" w:rsidR="00F25E60" w:rsidRPr="00F25E60" w:rsidRDefault="00F25E60" w:rsidP="00F25E60">
            <w:pPr>
              <w:spacing w:line="240" w:lineRule="auto"/>
              <w:rPr>
                <w:rFonts w:cs="Arial"/>
                <w:szCs w:val="20"/>
              </w:rPr>
            </w:pPr>
            <w:r w:rsidRPr="00F25E60">
              <w:rPr>
                <w:rFonts w:cs="Arial"/>
                <w:szCs w:val="20"/>
              </w:rPr>
              <w:t>podłoże gruntowe</w:t>
            </w:r>
          </w:p>
        </w:tc>
        <w:tc>
          <w:tcPr>
            <w:tcW w:w="1560" w:type="dxa"/>
            <w:vMerge/>
            <w:shd w:val="clear" w:color="auto" w:fill="F2F2F2"/>
          </w:tcPr>
          <w:p w14:paraId="4A40862C" w14:textId="77777777" w:rsidR="00F25E60" w:rsidRPr="00F25E60" w:rsidRDefault="00F25E60" w:rsidP="00F25E60">
            <w:pPr>
              <w:spacing w:line="240" w:lineRule="auto"/>
              <w:rPr>
                <w:rFonts w:cs="Arial"/>
                <w:b/>
                <w:szCs w:val="20"/>
              </w:rPr>
            </w:pPr>
          </w:p>
        </w:tc>
      </w:tr>
    </w:tbl>
    <w:p w14:paraId="1BC0E171" w14:textId="77777777" w:rsidR="00F25E60" w:rsidRPr="00F25E60" w:rsidRDefault="00F25E60" w:rsidP="00C968CE">
      <w:pPr>
        <w:spacing w:after="120" w:line="240" w:lineRule="auto"/>
        <w:rPr>
          <w:rFonts w:cs="Arial"/>
          <w:szCs w:val="20"/>
        </w:rPr>
      </w:pPr>
    </w:p>
    <w:p w14:paraId="519576D4" w14:textId="77777777" w:rsidR="00F25E60" w:rsidRPr="00F25E60" w:rsidRDefault="00F25E60" w:rsidP="00F25E60">
      <w:pPr>
        <w:spacing w:after="120" w:line="240" w:lineRule="auto"/>
        <w:ind w:left="284" w:hanging="284"/>
        <w:jc w:val="right"/>
        <w:rPr>
          <w:rFonts w:cs="Arial"/>
          <w:b/>
          <w:szCs w:val="20"/>
        </w:rPr>
      </w:pPr>
      <w:r w:rsidRPr="00F25E60">
        <w:rPr>
          <w:rFonts w:cs="Arial"/>
          <w:b/>
          <w:szCs w:val="20"/>
        </w:rPr>
        <w:t>ZAŁĄCZNIK 3</w:t>
      </w:r>
    </w:p>
    <w:p w14:paraId="6DFC877E" w14:textId="77777777" w:rsidR="00F25E60" w:rsidRPr="00F25E60" w:rsidRDefault="00F25E60" w:rsidP="00F25E60">
      <w:pPr>
        <w:spacing w:line="240" w:lineRule="auto"/>
        <w:ind w:left="284" w:hanging="284"/>
        <w:jc w:val="center"/>
        <w:rPr>
          <w:rFonts w:cs="Arial"/>
          <w:b/>
          <w:szCs w:val="20"/>
        </w:rPr>
      </w:pPr>
      <w:r w:rsidRPr="00F25E60">
        <w:rPr>
          <w:rFonts w:cs="Arial"/>
          <w:b/>
          <w:szCs w:val="20"/>
        </w:rPr>
        <w:t>PRZYKŁADY  KONSTRUKCJI  NAWIERZCHNI</w:t>
      </w:r>
    </w:p>
    <w:p w14:paraId="0BE6DCDF" w14:textId="77777777" w:rsidR="00F25E60" w:rsidRPr="00F25E60" w:rsidRDefault="00F25E60" w:rsidP="00F25E60">
      <w:pPr>
        <w:spacing w:line="240" w:lineRule="auto"/>
        <w:ind w:left="284" w:hanging="284"/>
        <w:jc w:val="center"/>
        <w:rPr>
          <w:rFonts w:cs="Arial"/>
          <w:b/>
          <w:szCs w:val="20"/>
        </w:rPr>
      </w:pPr>
      <w:r w:rsidRPr="00F25E60">
        <w:rPr>
          <w:rFonts w:cs="Arial"/>
          <w:b/>
          <w:szCs w:val="20"/>
        </w:rPr>
        <w:t>Z  PODBUDOWĄ  POMOCNICZĄ  Z  KRUSZYWA  NIEZWIĄZANEGO</w:t>
      </w:r>
    </w:p>
    <w:p w14:paraId="32B4004C" w14:textId="77777777" w:rsidR="00F25E60" w:rsidRPr="00F25E60" w:rsidRDefault="00F25E60" w:rsidP="00F25E60">
      <w:pPr>
        <w:spacing w:line="240" w:lineRule="auto"/>
        <w:ind w:left="284" w:hanging="284"/>
        <w:jc w:val="center"/>
        <w:rPr>
          <w:rFonts w:cs="Arial"/>
          <w:szCs w:val="20"/>
        </w:rPr>
      </w:pPr>
      <w:r w:rsidRPr="00F25E60">
        <w:rPr>
          <w:rFonts w:cs="Arial"/>
          <w:szCs w:val="20"/>
        </w:rPr>
        <w:t>(na podstawie [26])</w:t>
      </w:r>
    </w:p>
    <w:p w14:paraId="3E7C40AC" w14:textId="77777777" w:rsidR="00F25E60" w:rsidRPr="00F25E60" w:rsidRDefault="00F25E60" w:rsidP="00F25E60">
      <w:pPr>
        <w:spacing w:line="240" w:lineRule="auto"/>
        <w:ind w:left="284" w:hanging="284"/>
        <w:jc w:val="center"/>
        <w:rPr>
          <w:rFonts w:cs="Arial"/>
          <w:szCs w:val="20"/>
        </w:rPr>
      </w:pPr>
    </w:p>
    <w:p w14:paraId="3FC9D0E3" w14:textId="2DC345FD" w:rsidR="00F25E60" w:rsidRPr="00F25E60" w:rsidRDefault="00F25E60" w:rsidP="00F25E60">
      <w:pPr>
        <w:spacing w:after="120" w:line="240" w:lineRule="auto"/>
        <w:ind w:left="284" w:hanging="284"/>
        <w:rPr>
          <w:rFonts w:cs="Arial"/>
          <w:szCs w:val="20"/>
        </w:rPr>
      </w:pPr>
      <w:r w:rsidRPr="00F25E60">
        <w:rPr>
          <w:rFonts w:cs="Arial"/>
          <w:noProof/>
          <w:szCs w:val="20"/>
        </w:rPr>
        <w:drawing>
          <wp:inline distT="0" distB="0" distL="0" distR="0" wp14:anchorId="546344D7" wp14:editId="6AD94F47">
            <wp:extent cx="3529965" cy="1573530"/>
            <wp:effectExtent l="0" t="0" r="0" b="7620"/>
            <wp:docPr id="87" name="Obraz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529965" cy="1573530"/>
                    </a:xfrm>
                    <a:prstGeom prst="rect">
                      <a:avLst/>
                    </a:prstGeom>
                    <a:noFill/>
                    <a:ln>
                      <a:noFill/>
                    </a:ln>
                  </pic:spPr>
                </pic:pic>
              </a:graphicData>
            </a:graphic>
          </wp:inline>
        </w:drawing>
      </w:r>
    </w:p>
    <w:p w14:paraId="3C5F7C77" w14:textId="77777777" w:rsidR="00F25E60" w:rsidRPr="00F25E60" w:rsidRDefault="00F25E60" w:rsidP="00F25E60">
      <w:pPr>
        <w:spacing w:line="240" w:lineRule="auto"/>
        <w:rPr>
          <w:rFonts w:cs="Arial"/>
          <w:szCs w:val="20"/>
        </w:rPr>
      </w:pPr>
    </w:p>
    <w:p w14:paraId="3636BF91" w14:textId="7F240AEC" w:rsidR="00F25E60" w:rsidRPr="00F25E60" w:rsidRDefault="00F25E60" w:rsidP="00F25E60">
      <w:pPr>
        <w:spacing w:line="240" w:lineRule="auto"/>
        <w:rPr>
          <w:rFonts w:cs="Arial"/>
          <w:szCs w:val="20"/>
        </w:rPr>
      </w:pPr>
      <w:r w:rsidRPr="00F25E60">
        <w:rPr>
          <w:rFonts w:cs="Arial"/>
          <w:noProof/>
          <w:szCs w:val="20"/>
        </w:rPr>
        <w:drawing>
          <wp:inline distT="0" distB="0" distL="0" distR="0" wp14:anchorId="7F54DF6B" wp14:editId="3911E8FD">
            <wp:extent cx="3583305" cy="1275715"/>
            <wp:effectExtent l="0" t="0" r="0" b="635"/>
            <wp:docPr id="86" name="Obraz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583305" cy="1275715"/>
                    </a:xfrm>
                    <a:prstGeom prst="rect">
                      <a:avLst/>
                    </a:prstGeom>
                    <a:noFill/>
                    <a:ln>
                      <a:noFill/>
                    </a:ln>
                  </pic:spPr>
                </pic:pic>
              </a:graphicData>
            </a:graphic>
          </wp:inline>
        </w:drawing>
      </w:r>
    </w:p>
    <w:p w14:paraId="13D88973" w14:textId="77777777" w:rsidR="00F25E60" w:rsidRPr="00F25E60" w:rsidRDefault="00F25E60" w:rsidP="00F25E60">
      <w:pPr>
        <w:spacing w:line="240" w:lineRule="auto"/>
        <w:rPr>
          <w:rFonts w:cs="Arial"/>
          <w:szCs w:val="20"/>
        </w:rPr>
      </w:pPr>
    </w:p>
    <w:p w14:paraId="751DBF31" w14:textId="1463F1E0" w:rsidR="00F25E60" w:rsidRPr="00F25E60" w:rsidRDefault="00F25E60" w:rsidP="00F25E60">
      <w:pPr>
        <w:tabs>
          <w:tab w:val="left" w:pos="2730"/>
        </w:tabs>
        <w:spacing w:line="240" w:lineRule="auto"/>
        <w:rPr>
          <w:rFonts w:cs="Arial"/>
          <w:szCs w:val="20"/>
        </w:rPr>
      </w:pPr>
      <w:r w:rsidRPr="00F25E60">
        <w:rPr>
          <w:rFonts w:cs="Arial"/>
          <w:noProof/>
          <w:szCs w:val="20"/>
        </w:rPr>
        <w:lastRenderedPageBreak/>
        <w:drawing>
          <wp:inline distT="0" distB="0" distL="0" distR="0" wp14:anchorId="760BFA9D" wp14:editId="78EF6E35">
            <wp:extent cx="3455670" cy="1190625"/>
            <wp:effectExtent l="0" t="0" r="0" b="9525"/>
            <wp:docPr id="84" name="Obraz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455670" cy="1190625"/>
                    </a:xfrm>
                    <a:prstGeom prst="rect">
                      <a:avLst/>
                    </a:prstGeom>
                    <a:noFill/>
                    <a:ln>
                      <a:noFill/>
                    </a:ln>
                  </pic:spPr>
                </pic:pic>
              </a:graphicData>
            </a:graphic>
          </wp:inline>
        </w:drawing>
      </w:r>
    </w:p>
    <w:p w14:paraId="113CA068" w14:textId="77777777" w:rsidR="00F25E60" w:rsidRPr="00F25E60" w:rsidRDefault="00F25E60" w:rsidP="00F25E60">
      <w:pPr>
        <w:spacing w:line="240" w:lineRule="auto"/>
        <w:rPr>
          <w:rFonts w:cs="Arial"/>
          <w:szCs w:val="20"/>
        </w:rPr>
      </w:pPr>
    </w:p>
    <w:p w14:paraId="5DE274F2" w14:textId="77777777" w:rsidR="00F25E60" w:rsidRPr="00F25E60" w:rsidRDefault="00F25E60" w:rsidP="00F25E60">
      <w:pPr>
        <w:spacing w:line="240" w:lineRule="auto"/>
        <w:rPr>
          <w:rFonts w:cs="Arial"/>
          <w:szCs w:val="20"/>
        </w:rPr>
      </w:pPr>
    </w:p>
    <w:p w14:paraId="66952EB4" w14:textId="40E237F9" w:rsidR="005932F2" w:rsidRPr="00C968CE" w:rsidRDefault="00F25E60" w:rsidP="00C968CE">
      <w:pPr>
        <w:tabs>
          <w:tab w:val="left" w:pos="0"/>
        </w:tabs>
      </w:pPr>
      <w:r w:rsidRPr="004B3393">
        <w:rPr>
          <w:noProof/>
        </w:rPr>
        <w:drawing>
          <wp:inline distT="0" distB="0" distL="0" distR="0" wp14:anchorId="449A44DB" wp14:editId="5DCDE4FD">
            <wp:extent cx="3285490" cy="2232660"/>
            <wp:effectExtent l="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285490" cy="2232660"/>
                    </a:xfrm>
                    <a:prstGeom prst="rect">
                      <a:avLst/>
                    </a:prstGeom>
                    <a:noFill/>
                    <a:ln>
                      <a:noFill/>
                    </a:ln>
                  </pic:spPr>
                </pic:pic>
              </a:graphicData>
            </a:graphic>
          </wp:inline>
        </w:drawing>
      </w:r>
    </w:p>
    <w:p w14:paraId="69AEF40C" w14:textId="0924DF3F" w:rsidR="00525DDB" w:rsidRPr="006431C4" w:rsidRDefault="00404EEE" w:rsidP="00BE2485">
      <w:pPr>
        <w:pStyle w:val="Nagwek4"/>
        <w:shd w:val="clear" w:color="auto" w:fill="FFFFFF" w:themeFill="background1"/>
        <w:spacing w:before="240" w:line="240" w:lineRule="auto"/>
        <w:jc w:val="both"/>
        <w:rPr>
          <w:rFonts w:cs="Arial"/>
        </w:rPr>
      </w:pPr>
      <w:bookmarkStart w:id="914" w:name="_Toc111635983"/>
      <w:r w:rsidRPr="006431C4">
        <w:rPr>
          <w:rFonts w:cs="Arial"/>
        </w:rPr>
        <w:t xml:space="preserve">D-04.04.02b – PODBUDOWA ZASADNICZA Z </w:t>
      </w:r>
      <w:r w:rsidR="00DB1DC9" w:rsidRPr="006431C4">
        <w:rPr>
          <w:rFonts w:cs="Arial"/>
        </w:rPr>
        <w:t xml:space="preserve">MIESZANKI KRUSZYWA </w:t>
      </w:r>
      <w:r w:rsidRPr="006431C4">
        <w:rPr>
          <w:rFonts w:cs="Arial"/>
        </w:rPr>
        <w:t>NIEZWIĄZANEGO</w:t>
      </w:r>
      <w:bookmarkEnd w:id="914"/>
    </w:p>
    <w:p w14:paraId="77D5524A" w14:textId="77777777" w:rsidR="00525DDB" w:rsidRPr="006431C4" w:rsidRDefault="00525DDB" w:rsidP="00BE2485">
      <w:pPr>
        <w:keepNext/>
        <w:shd w:val="clear" w:color="auto" w:fill="FFFFFF" w:themeFill="background1"/>
        <w:tabs>
          <w:tab w:val="left" w:pos="142"/>
          <w:tab w:val="left" w:pos="1511"/>
        </w:tabs>
        <w:spacing w:line="240" w:lineRule="auto"/>
        <w:jc w:val="both"/>
        <w:outlineLvl w:val="0"/>
        <w:rPr>
          <w:rFonts w:cs="Arial"/>
          <w:b/>
          <w:bCs/>
          <w:szCs w:val="20"/>
        </w:rPr>
      </w:pPr>
      <w:r w:rsidRPr="006431C4">
        <w:rPr>
          <w:rFonts w:cs="Arial"/>
          <w:b/>
          <w:bCs/>
          <w:szCs w:val="20"/>
        </w:rPr>
        <w:t>1. WSTĘP</w:t>
      </w:r>
      <w:r w:rsidRPr="006431C4">
        <w:rPr>
          <w:rFonts w:cs="Arial"/>
          <w:b/>
          <w:bCs/>
          <w:szCs w:val="20"/>
        </w:rPr>
        <w:tab/>
      </w:r>
    </w:p>
    <w:p w14:paraId="4DC2CA3B" w14:textId="77777777" w:rsidR="00525DDB" w:rsidRPr="006431C4" w:rsidRDefault="00525DDB" w:rsidP="00BE2485">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1.1. Przedmiot SST</w:t>
      </w:r>
    </w:p>
    <w:p w14:paraId="44D52242" w14:textId="77777777" w:rsidR="00DB1DC9" w:rsidRPr="006431C4" w:rsidRDefault="00525DDB" w:rsidP="00BE2485">
      <w:p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ab/>
        <w:t>Przedmiotem niniejszej szczegóło</w:t>
      </w:r>
      <w:r w:rsidR="00DB1DC9" w:rsidRPr="006431C4">
        <w:rPr>
          <w:rFonts w:cs="Arial"/>
          <w:szCs w:val="20"/>
        </w:rPr>
        <w:t>wej specyfikacji technicznej są wymagania dotyczące wykonania i odbioru robót związanych z wykonaniem podbudowy zasadniczej z mieszanki kruszywa niezwiązanego.</w:t>
      </w:r>
    </w:p>
    <w:p w14:paraId="3F901C3D" w14:textId="77777777" w:rsidR="00525DDB" w:rsidRPr="006431C4" w:rsidRDefault="00525DDB" w:rsidP="00BE2485">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1.2. Zakres stosowania SST</w:t>
      </w:r>
    </w:p>
    <w:p w14:paraId="169816F8" w14:textId="77777777" w:rsidR="00525DDB" w:rsidRPr="006431C4" w:rsidRDefault="00525DDB" w:rsidP="00BE2485">
      <w:pPr>
        <w:shd w:val="clear" w:color="auto" w:fill="FFFFFF" w:themeFill="background1"/>
        <w:tabs>
          <w:tab w:val="left" w:pos="142"/>
        </w:tabs>
        <w:spacing w:line="240" w:lineRule="auto"/>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p w14:paraId="63B5F485" w14:textId="05193A94" w:rsidR="00525DDB" w:rsidRPr="006431C4" w:rsidRDefault="008D66D8" w:rsidP="00BE2485">
      <w:pPr>
        <w:shd w:val="clear" w:color="auto" w:fill="FFFFFF" w:themeFill="background1"/>
        <w:tabs>
          <w:tab w:val="left" w:pos="142"/>
        </w:tabs>
        <w:spacing w:line="240" w:lineRule="auto"/>
        <w:jc w:val="both"/>
        <w:rPr>
          <w:rFonts w:cs="Arial"/>
          <w:szCs w:val="20"/>
        </w:rPr>
      </w:pPr>
      <w:sdt>
        <w:sdtPr>
          <w:rPr>
            <w:rFonts w:cs="Arial"/>
            <w:i/>
            <w:szCs w:val="20"/>
          </w:rPr>
          <w:alias w:val="Temat"/>
          <w:tag w:val=""/>
          <w:id w:val="-820957346"/>
          <w:placeholder>
            <w:docPart w:val="FD094102444F43FA80F72F12B233B52A"/>
          </w:placeholder>
          <w:dataBinding w:prefixMappings="xmlns:ns0='http://purl.org/dc/elements/1.1/' xmlns:ns1='http://schemas.openxmlformats.org/package/2006/metadata/core-properties' " w:xpath="/ns1:coreProperties[1]/ns0:subject[1]" w:storeItemID="{6C3C8BC8-F283-45AE-878A-BAB7291924A1}"/>
          <w:text/>
        </w:sdtPr>
        <w:sdtEndPr/>
        <w:sdtContent>
          <w:r w:rsidR="00484E05">
            <w:rPr>
              <w:rFonts w:cs="Arial"/>
              <w:i/>
              <w:szCs w:val="20"/>
            </w:rPr>
            <w:t>„Przebudowa drogi wojewódzkiej nr 957 w miejscowości Jabłonka odc. referencyjny 100 w km 9+073.78 - 9+279.58 (budowa chodnika) "</w:t>
          </w:r>
        </w:sdtContent>
      </w:sdt>
    </w:p>
    <w:p w14:paraId="567276A5" w14:textId="77777777" w:rsidR="00DB1DC9" w:rsidRPr="006431C4" w:rsidRDefault="00525DDB" w:rsidP="00BE2485">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1.3. Zakres robót objętych SST</w:t>
      </w:r>
    </w:p>
    <w:p w14:paraId="003E7A1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Ustalenia zawarte w niniejszej specyfikacji dotyczą zasad prowadzenia robót związanych z wykonaniem i odbiorem podbudowy zasadniczej z mieszanki kruszywa niezwiązanego, tj. ziarnistego materiału o określonym składzie, w procesie technologicznym, polegającym na odpowiednim zagęszczeniu przy optymalnej wilgotności mieszanki.</w:t>
      </w:r>
    </w:p>
    <w:p w14:paraId="77DEE8F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Mieszanka niezwiązana może być wytworzona z kruszyw naturalnych, sztucznych, kruszyw z recyklingu oraz mieszanin tych kruszyw w określonych proporcjach.</w:t>
      </w:r>
    </w:p>
    <w:p w14:paraId="3D9C74C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Podbudowa zasadnicza, stanowiąca górną część podbudowy w nawierzchni drogowej, zapewnia przenoszenie obciążeń z warstw wyżej leżących na warstwę podbudowy pomocniczej i podłoże.</w:t>
      </w:r>
    </w:p>
    <w:p w14:paraId="3638896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Podbudowa zasadnicza z mieszanki kruszywa niezwiązanego może być wykonywana w konstrukcji  drogi obciążonej ruchem kategorii KR1÷KR6.</w:t>
      </w:r>
    </w:p>
    <w:p w14:paraId="31FBF41C"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1.4. Określenia podstawowe</w:t>
      </w:r>
    </w:p>
    <w:p w14:paraId="29D098C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w:t>
      </w:r>
      <w:r w:rsidRPr="006431C4">
        <w:rPr>
          <w:rFonts w:cs="Arial"/>
          <w:szCs w:val="20"/>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42821CD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1.4.2.</w:t>
      </w:r>
      <w:r w:rsidRPr="006431C4">
        <w:rPr>
          <w:rFonts w:cs="Arial"/>
          <w:szCs w:val="20"/>
        </w:rPr>
        <w:t xml:space="preserve"> Kategoria – charakterystyczny poziom właściwości kruszywa lub mieszanki niezwiązanej, wyrażony, jako przedział wartości lub wartość graniczna. Nie ma zależności pomiędzy kategoriami różnych właściwości.</w:t>
      </w:r>
    </w:p>
    <w:p w14:paraId="1499BC2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1.4.3.</w:t>
      </w:r>
      <w:r w:rsidRPr="006431C4">
        <w:rPr>
          <w:rFonts w:cs="Arial"/>
          <w:szCs w:val="20"/>
        </w:rPr>
        <w:t xml:space="preserve"> Kruszywo – materiał ziarnisty stosowany w budownictwie, który może być naturalny, sztuczny lub z recyklingu.</w:t>
      </w:r>
    </w:p>
    <w:p w14:paraId="68D2E4C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1.4.4.</w:t>
      </w:r>
      <w:r w:rsidRPr="006431C4">
        <w:rPr>
          <w:rFonts w:cs="Arial"/>
          <w:szCs w:val="20"/>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7DA069C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1.4.5.</w:t>
      </w:r>
      <w:r w:rsidRPr="006431C4">
        <w:rPr>
          <w:rFonts w:cs="Arial"/>
          <w:szCs w:val="20"/>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0E0616C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1.4.6.</w:t>
      </w:r>
      <w:r w:rsidRPr="006431C4">
        <w:rPr>
          <w:rFonts w:cs="Arial"/>
          <w:szCs w:val="20"/>
        </w:rPr>
        <w:t xml:space="preserve"> Kruszywo z recyklingu – kruszywo powstałe w wyniku przeróbki materiału zastosowanego uprzednio w budownictwie.</w:t>
      </w:r>
    </w:p>
    <w:p w14:paraId="1AA4F8A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lastRenderedPageBreak/>
        <w:t>1.4.7.</w:t>
      </w:r>
      <w:r w:rsidRPr="006431C4">
        <w:rPr>
          <w:rFonts w:cs="Arial"/>
          <w:szCs w:val="20"/>
        </w:rPr>
        <w:t xml:space="preserve"> Kruszywo kamienne – kruszywo z mineralnych surowców jak żwir kruszony, mechanicznie rozdrobnione skały, nadziarno żwirowe.</w:t>
      </w:r>
    </w:p>
    <w:p w14:paraId="45E4247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1.4.8.</w:t>
      </w:r>
      <w:r w:rsidRPr="006431C4">
        <w:rPr>
          <w:rFonts w:cs="Arial"/>
          <w:szCs w:val="20"/>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5C58B8F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1.4.9.</w:t>
      </w:r>
      <w:r w:rsidRPr="006431C4">
        <w:rPr>
          <w:rFonts w:cs="Arial"/>
          <w:szCs w:val="20"/>
        </w:rPr>
        <w:t xml:space="preserve"> Kruszywo żużlowe z żużla stalowniczego – kruszywo składające się głównie ze skrystalizowanego krzemianu wapnia i ferrytu zawierającego CaO, SiO</w:t>
      </w:r>
      <w:r w:rsidRPr="006431C4">
        <w:rPr>
          <w:rFonts w:cs="Arial"/>
          <w:szCs w:val="20"/>
          <w:vertAlign w:val="subscript"/>
        </w:rPr>
        <w:t>2</w:t>
      </w:r>
      <w:r w:rsidRPr="006431C4">
        <w:rPr>
          <w:rFonts w:cs="Arial"/>
          <w:szCs w:val="20"/>
        </w:rPr>
        <w:t xml:space="preserve">, MgO oraz tlenek żelaza. Kruszywo otrzymuje się przez powolne schładzanie powietrzem ciekłego żużla stalowniczego. Proces chłodzenia może odbywać się przy kontrolowanym dodawaniu wody. </w:t>
      </w:r>
    </w:p>
    <w:p w14:paraId="52BD72C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1.4.10.</w:t>
      </w:r>
      <w:r w:rsidRPr="006431C4">
        <w:rPr>
          <w:rFonts w:cs="Arial"/>
          <w:szCs w:val="20"/>
        </w:rPr>
        <w:t xml:space="preserve"> Kategoria ruchu (KR1÷KR6) – obciążenie drogi ruchem samochodowym, wyrażone w osiach obliczeniowych (100 kN) według „Katalogu typowych konstrukcji nawierzchni podatnych i półsztywnych”. Generalna Dyrekcja Dróg Publicznych – Instytut Badawczy Dróg i Mostów, Warszawa 1997 [22].</w:t>
      </w:r>
    </w:p>
    <w:p w14:paraId="48E88D2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1.4.11</w:t>
      </w:r>
      <w:r w:rsidRPr="006431C4">
        <w:rPr>
          <w:rFonts w:cs="Arial"/>
          <w:szCs w:val="20"/>
        </w:rPr>
        <w:t xml:space="preserve">. Kruszywo grube (wg PN-EN 13242) – oznaczenie kruszywa o wymiarach ziaren </w:t>
      </w:r>
      <w:r w:rsidRPr="006431C4">
        <w:rPr>
          <w:rFonts w:cs="Arial"/>
          <w:i/>
          <w:szCs w:val="20"/>
        </w:rPr>
        <w:t xml:space="preserve">d </w:t>
      </w:r>
      <w:r w:rsidRPr="006431C4">
        <w:rPr>
          <w:rFonts w:cs="Arial"/>
          <w:szCs w:val="20"/>
        </w:rPr>
        <w:t xml:space="preserve">(dolnego) równym lub większym niż </w:t>
      </w:r>
      <w:smartTag w:uri="urn:schemas-microsoft-com:office:smarttags" w:element="metricconverter">
        <w:smartTagPr>
          <w:attr w:name="ProductID" w:val="1 mm"/>
        </w:smartTagPr>
        <w:r w:rsidRPr="006431C4">
          <w:rPr>
            <w:rFonts w:cs="Arial"/>
            <w:szCs w:val="20"/>
          </w:rPr>
          <w:t>1 mm</w:t>
        </w:r>
      </w:smartTag>
      <w:r w:rsidRPr="006431C4">
        <w:rPr>
          <w:rFonts w:cs="Arial"/>
          <w:szCs w:val="20"/>
        </w:rPr>
        <w:t xml:space="preserve"> oraz </w:t>
      </w:r>
      <w:r w:rsidRPr="006431C4">
        <w:rPr>
          <w:rFonts w:cs="Arial"/>
          <w:i/>
          <w:szCs w:val="20"/>
        </w:rPr>
        <w:t xml:space="preserve">D </w:t>
      </w:r>
      <w:r w:rsidRPr="006431C4">
        <w:rPr>
          <w:rFonts w:cs="Arial"/>
          <w:szCs w:val="20"/>
        </w:rPr>
        <w:t xml:space="preserve">(górnego) większym niż </w:t>
      </w:r>
      <w:smartTag w:uri="urn:schemas-microsoft-com:office:smarttags" w:element="metricconverter">
        <w:smartTagPr>
          <w:attr w:name="ProductID" w:val="2 mm"/>
        </w:smartTagPr>
        <w:r w:rsidRPr="006431C4">
          <w:rPr>
            <w:rFonts w:cs="Arial"/>
            <w:szCs w:val="20"/>
          </w:rPr>
          <w:t>2 mm</w:t>
        </w:r>
      </w:smartTag>
      <w:r w:rsidRPr="006431C4">
        <w:rPr>
          <w:rFonts w:cs="Arial"/>
          <w:szCs w:val="20"/>
        </w:rPr>
        <w:t>.</w:t>
      </w:r>
    </w:p>
    <w:p w14:paraId="1C7C546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1.4.12.</w:t>
      </w:r>
      <w:r w:rsidRPr="006431C4">
        <w:rPr>
          <w:rFonts w:cs="Arial"/>
          <w:szCs w:val="20"/>
        </w:rPr>
        <w:t xml:space="preserve"> Kruszywo drobne (wg PN-EN 13242) – oznaczenie kruszywa o wymiarach ziaren </w:t>
      </w:r>
      <w:r w:rsidRPr="006431C4">
        <w:rPr>
          <w:rFonts w:cs="Arial"/>
          <w:i/>
          <w:szCs w:val="20"/>
        </w:rPr>
        <w:t>d</w:t>
      </w:r>
      <w:r w:rsidRPr="006431C4">
        <w:rPr>
          <w:rFonts w:cs="Arial"/>
          <w:szCs w:val="20"/>
        </w:rPr>
        <w:t xml:space="preserve"> równym 0 oraz </w:t>
      </w:r>
      <w:r w:rsidRPr="006431C4">
        <w:rPr>
          <w:rFonts w:cs="Arial"/>
          <w:i/>
          <w:szCs w:val="20"/>
        </w:rPr>
        <w:t>D</w:t>
      </w:r>
      <w:r w:rsidRPr="006431C4">
        <w:rPr>
          <w:rFonts w:cs="Arial"/>
          <w:szCs w:val="20"/>
        </w:rPr>
        <w:t xml:space="preserve"> równym </w:t>
      </w:r>
      <w:smartTag w:uri="urn:schemas-microsoft-com:office:smarttags" w:element="metricconverter">
        <w:smartTagPr>
          <w:attr w:name="ProductID" w:val="6,3 mm"/>
        </w:smartTagPr>
        <w:r w:rsidRPr="006431C4">
          <w:rPr>
            <w:rFonts w:cs="Arial"/>
            <w:szCs w:val="20"/>
          </w:rPr>
          <w:t>6,3 mm</w:t>
        </w:r>
      </w:smartTag>
      <w:r w:rsidRPr="006431C4">
        <w:rPr>
          <w:rFonts w:cs="Arial"/>
          <w:szCs w:val="20"/>
        </w:rPr>
        <w:t xml:space="preserve"> lub mniejszym. </w:t>
      </w:r>
    </w:p>
    <w:p w14:paraId="68BFE76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1.4.13.</w:t>
      </w:r>
      <w:r w:rsidRPr="006431C4">
        <w:rPr>
          <w:rFonts w:cs="Arial"/>
          <w:szCs w:val="20"/>
        </w:rPr>
        <w:t xml:space="preserve"> Kruszywo o ciągłym uziarnieniu (wg PN-EN 13242) – kruszywo stanowiące mieszankę kruszyw grubych i drobnych, w której </w:t>
      </w:r>
      <w:r w:rsidRPr="006431C4">
        <w:rPr>
          <w:rFonts w:cs="Arial"/>
          <w:i/>
          <w:szCs w:val="20"/>
        </w:rPr>
        <w:t>D</w:t>
      </w:r>
      <w:r w:rsidRPr="006431C4">
        <w:rPr>
          <w:rFonts w:cs="Arial"/>
          <w:szCs w:val="20"/>
        </w:rPr>
        <w:t xml:space="preserve"> jest większe niż </w:t>
      </w:r>
      <w:smartTag w:uri="urn:schemas-microsoft-com:office:smarttags" w:element="metricconverter">
        <w:smartTagPr>
          <w:attr w:name="ProductID" w:val="6,3 mm"/>
        </w:smartTagPr>
        <w:r w:rsidRPr="006431C4">
          <w:rPr>
            <w:rFonts w:cs="Arial"/>
            <w:szCs w:val="20"/>
          </w:rPr>
          <w:t>6,3 mm</w:t>
        </w:r>
      </w:smartTag>
      <w:r w:rsidRPr="006431C4">
        <w:rPr>
          <w:rFonts w:cs="Arial"/>
          <w:szCs w:val="20"/>
        </w:rPr>
        <w:t>.</w:t>
      </w:r>
    </w:p>
    <w:p w14:paraId="251E879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1.4.14.</w:t>
      </w:r>
      <w:r w:rsidRPr="006431C4">
        <w:rPr>
          <w:rFonts w:cs="Arial"/>
          <w:szCs w:val="20"/>
        </w:rPr>
        <w:t xml:space="preserve"> Destrukt asfaltowy – materiał drogowy pochodzący z frezowania istniejących warstw z mieszanek mineralno-asfaltowych (mma) lub z przekruszenia kawałków warstw nawierzchni asfaltowych oraz niewbudowanych partii mma, który został ujednorodniony pod względem składu oraz co najmniej przesiany, w celu odrzucenia dużych kawałków mma (nadziarno nie większe od 1,4 D mieszanki niezwiązanej).</w:t>
      </w:r>
    </w:p>
    <w:p w14:paraId="1F452FE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1.4.15.</w:t>
      </w:r>
      <w:r w:rsidRPr="006431C4">
        <w:rPr>
          <w:rFonts w:cs="Arial"/>
          <w:szCs w:val="20"/>
        </w:rPr>
        <w:t xml:space="preserve"> Kruszywo słabe – 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uziarnienia wg PN-EN 13285 i niniejszej SST. O zakwalifikowaniu kruszywa do kruszyw słabych decyduje największa różnica wartości przesiewów na jednym z sit kontrolnych. </w:t>
      </w:r>
    </w:p>
    <w:p w14:paraId="3C4CA98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1.4.16.</w:t>
      </w:r>
      <w:r w:rsidRPr="006431C4">
        <w:rPr>
          <w:rFonts w:cs="Arial"/>
          <w:szCs w:val="20"/>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14:paraId="640FB73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1.4.17.</w:t>
      </w:r>
      <w:r w:rsidRPr="006431C4">
        <w:rPr>
          <w:rFonts w:cs="Arial"/>
          <w:szCs w:val="20"/>
        </w:rPr>
        <w:t xml:space="preserve"> Podbudowa zasadnicza – warstwa zapewniająca przenoszenie obciążeń z warstw wyżej leżących na warstwę podbudowy pomocniczej lub podłoże. </w:t>
      </w:r>
    </w:p>
    <w:p w14:paraId="49F4B4C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1.4.18.</w:t>
      </w:r>
      <w:r w:rsidRPr="006431C4">
        <w:rPr>
          <w:rFonts w:cs="Arial"/>
          <w:szCs w:val="20"/>
        </w:rPr>
        <w:t xml:space="preserve"> Symbole i skróty dodatkowe</w:t>
      </w:r>
    </w:p>
    <w:p w14:paraId="4BC7796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m/m   procent masy,</w:t>
      </w:r>
    </w:p>
    <w:p w14:paraId="3E883E3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NR         brak konieczności badania danej cechy,</w:t>
      </w:r>
    </w:p>
    <w:p w14:paraId="0BC8158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CRB       kalifornijski wskaźnik nośności, %</w:t>
      </w:r>
    </w:p>
    <w:p w14:paraId="15EFC44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SDV   obszar  uziarnienia,  w  którym  powinna  się mieścić  krzywa  uziarnienia mieszanki (S)  deklarowana przez dostawcę/producenta,</w:t>
      </w:r>
    </w:p>
    <w:p w14:paraId="2A4A7E0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ZKP</w:t>
      </w:r>
      <w:r w:rsidRPr="006431C4">
        <w:rPr>
          <w:rFonts w:cs="Arial"/>
          <w:szCs w:val="20"/>
        </w:rPr>
        <w:tab/>
        <w:t>zakładowa kontrola produkcji.</w:t>
      </w:r>
    </w:p>
    <w:p w14:paraId="06D204B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 xml:space="preserve">1.4.19. </w:t>
      </w:r>
      <w:r w:rsidRPr="006431C4">
        <w:rPr>
          <w:rFonts w:cs="Arial"/>
          <w:szCs w:val="20"/>
        </w:rPr>
        <w:t>Pozostałe określenia podstawowe są zgodne z obowiązującymi, odpowiednimi polskimi normami i z definicjami podanymi w SST D-M-00.00.00 „Wymagania ogólne” [1], pkt 1.4.</w:t>
      </w:r>
    </w:p>
    <w:p w14:paraId="420C04CC"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1.5. Ogólne wymagania dotyczące robót</w:t>
      </w:r>
    </w:p>
    <w:p w14:paraId="6220ECE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ab/>
      </w:r>
      <w:r w:rsidRPr="006431C4">
        <w:rPr>
          <w:rFonts w:cs="Arial"/>
          <w:szCs w:val="20"/>
        </w:rPr>
        <w:t>Ogólne wymagania dotyczące robót podano w SST D-M-00.00.00 „Wymagania ogólne” [1], pkt 1.5.</w:t>
      </w:r>
    </w:p>
    <w:p w14:paraId="242D8894"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2. Materiały</w:t>
      </w:r>
    </w:p>
    <w:p w14:paraId="01DD58C1"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2.1. Ogólne wymagania dotyczące materiałów</w:t>
      </w:r>
    </w:p>
    <w:p w14:paraId="23A2A66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ab/>
      </w:r>
      <w:r w:rsidRPr="006431C4">
        <w:rPr>
          <w:rFonts w:cs="Arial"/>
          <w:szCs w:val="20"/>
        </w:rPr>
        <w:t>Ogólne wymagania dotyczące materiałów, ich pozyskiwania i składowania, podano w SST D-M-00.00.00 „Wymagania ogólne” [1], pkt 2.</w:t>
      </w:r>
    </w:p>
    <w:p w14:paraId="31D773ED"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2.2. Materiały do wykonania robót</w:t>
      </w:r>
    </w:p>
    <w:p w14:paraId="31870AC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 xml:space="preserve">2.2.1. </w:t>
      </w:r>
      <w:r w:rsidRPr="006431C4">
        <w:rPr>
          <w:rFonts w:cs="Arial"/>
          <w:szCs w:val="20"/>
        </w:rPr>
        <w:t xml:space="preserve"> Zgodność materiałów z dokumentacją projektową </w:t>
      </w:r>
    </w:p>
    <w:p w14:paraId="24B5A9F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Materiały do wykonania robót powinny być zgodne z ustaleniami dokumentacji projektowej lub ST.</w:t>
      </w:r>
    </w:p>
    <w:p w14:paraId="6847617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 xml:space="preserve">2.2.2. </w:t>
      </w:r>
      <w:r w:rsidRPr="006431C4">
        <w:rPr>
          <w:rFonts w:cs="Arial"/>
          <w:szCs w:val="20"/>
        </w:rPr>
        <w:t>Materiały wchodzące w skład mieszanki</w:t>
      </w:r>
    </w:p>
    <w:p w14:paraId="15731D8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Materiałami stosowanymi do wytwarzania mieszanek z kruszywa niezwiązanego są:</w:t>
      </w:r>
    </w:p>
    <w:p w14:paraId="7C406ADA" w14:textId="77777777" w:rsidR="00DB1DC9" w:rsidRPr="006431C4" w:rsidRDefault="00DB1DC9" w:rsidP="00CF1E7D">
      <w:pPr>
        <w:numPr>
          <w:ilvl w:val="0"/>
          <w:numId w:val="98"/>
        </w:numPr>
        <w:shd w:val="clear" w:color="auto" w:fill="FFFFFF" w:themeFill="background1"/>
        <w:tabs>
          <w:tab w:val="num" w:pos="-2694"/>
          <w:tab w:val="left" w:pos="142"/>
        </w:tabs>
        <w:spacing w:line="240" w:lineRule="auto"/>
        <w:jc w:val="both"/>
        <w:rPr>
          <w:rFonts w:cs="Arial"/>
          <w:szCs w:val="20"/>
        </w:rPr>
      </w:pPr>
      <w:r w:rsidRPr="006431C4">
        <w:rPr>
          <w:rFonts w:cs="Arial"/>
          <w:szCs w:val="20"/>
        </w:rPr>
        <w:t>kruszywo,</w:t>
      </w:r>
    </w:p>
    <w:p w14:paraId="4E5030D8" w14:textId="77777777" w:rsidR="00DB1DC9" w:rsidRPr="006431C4" w:rsidRDefault="00DB1DC9" w:rsidP="00CF1E7D">
      <w:pPr>
        <w:numPr>
          <w:ilvl w:val="0"/>
          <w:numId w:val="98"/>
        </w:numPr>
        <w:shd w:val="clear" w:color="auto" w:fill="FFFFFF" w:themeFill="background1"/>
        <w:tabs>
          <w:tab w:val="num" w:pos="-2694"/>
          <w:tab w:val="left" w:pos="142"/>
        </w:tabs>
        <w:spacing w:line="240" w:lineRule="auto"/>
        <w:jc w:val="both"/>
        <w:rPr>
          <w:rFonts w:cs="Arial"/>
          <w:szCs w:val="20"/>
        </w:rPr>
      </w:pPr>
      <w:r w:rsidRPr="006431C4">
        <w:rPr>
          <w:rFonts w:cs="Arial"/>
          <w:szCs w:val="20"/>
        </w:rPr>
        <w:t>woda do zraszania kruszywa.</w:t>
      </w:r>
    </w:p>
    <w:p w14:paraId="756EADD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2.2.3</w:t>
      </w:r>
      <w:r w:rsidRPr="006431C4">
        <w:rPr>
          <w:rFonts w:cs="Arial"/>
          <w:szCs w:val="20"/>
        </w:rPr>
        <w:t>. Kruszywa</w:t>
      </w:r>
    </w:p>
    <w:p w14:paraId="321066C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Do mieszanek można stosować następujące rodzaje kruszyw:</w:t>
      </w:r>
    </w:p>
    <w:p w14:paraId="3A44A1D0" w14:textId="77777777" w:rsidR="00DB1DC9" w:rsidRPr="006431C4" w:rsidRDefault="00DB1DC9" w:rsidP="00CF1E7D">
      <w:pPr>
        <w:numPr>
          <w:ilvl w:val="0"/>
          <w:numId w:val="99"/>
        </w:numPr>
        <w:shd w:val="clear" w:color="auto" w:fill="FFFFFF" w:themeFill="background1"/>
        <w:tabs>
          <w:tab w:val="num" w:pos="-2694"/>
          <w:tab w:val="left" w:pos="142"/>
        </w:tabs>
        <w:spacing w:line="240" w:lineRule="auto"/>
        <w:jc w:val="both"/>
        <w:rPr>
          <w:rFonts w:cs="Arial"/>
          <w:szCs w:val="20"/>
        </w:rPr>
      </w:pPr>
      <w:r w:rsidRPr="006431C4">
        <w:rPr>
          <w:rFonts w:cs="Arial"/>
          <w:szCs w:val="20"/>
        </w:rPr>
        <w:t>kruszywo naturalne lub sztuczne,</w:t>
      </w:r>
    </w:p>
    <w:p w14:paraId="76006C25" w14:textId="77777777" w:rsidR="00DB1DC9" w:rsidRPr="006431C4" w:rsidRDefault="00DB1DC9" w:rsidP="00CF1E7D">
      <w:pPr>
        <w:numPr>
          <w:ilvl w:val="0"/>
          <w:numId w:val="99"/>
        </w:numPr>
        <w:shd w:val="clear" w:color="auto" w:fill="FFFFFF" w:themeFill="background1"/>
        <w:tabs>
          <w:tab w:val="num" w:pos="-2694"/>
          <w:tab w:val="left" w:pos="142"/>
        </w:tabs>
        <w:spacing w:line="240" w:lineRule="auto"/>
        <w:jc w:val="both"/>
        <w:rPr>
          <w:rFonts w:cs="Arial"/>
          <w:szCs w:val="20"/>
        </w:rPr>
      </w:pPr>
      <w:r w:rsidRPr="006431C4">
        <w:rPr>
          <w:rFonts w:cs="Arial"/>
          <w:szCs w:val="20"/>
        </w:rPr>
        <w:t>kruszywo z recyklingu,</w:t>
      </w:r>
    </w:p>
    <w:p w14:paraId="0941C181" w14:textId="77777777" w:rsidR="00DB1DC9" w:rsidRPr="006431C4" w:rsidRDefault="00DB1DC9" w:rsidP="00CF1E7D">
      <w:pPr>
        <w:numPr>
          <w:ilvl w:val="0"/>
          <w:numId w:val="99"/>
        </w:numPr>
        <w:shd w:val="clear" w:color="auto" w:fill="FFFFFF" w:themeFill="background1"/>
        <w:tabs>
          <w:tab w:val="num" w:pos="-2694"/>
          <w:tab w:val="left" w:pos="142"/>
        </w:tabs>
        <w:spacing w:line="240" w:lineRule="auto"/>
        <w:jc w:val="both"/>
        <w:rPr>
          <w:rFonts w:cs="Arial"/>
          <w:szCs w:val="20"/>
        </w:rPr>
      </w:pPr>
      <w:r w:rsidRPr="006431C4">
        <w:rPr>
          <w:rFonts w:cs="Arial"/>
          <w:szCs w:val="20"/>
        </w:rPr>
        <w:t>połączenie kruszyw wymienionych w punktach a) i b) z określeniem proporcji kruszyw z a) i b) z dokładnością ± 5% m/m.</w:t>
      </w:r>
    </w:p>
    <w:p w14:paraId="3AA9214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Wymagania wobec kruszywa do warstwy podbudowy zasadniczej przedstawia tablica 1.</w:t>
      </w:r>
    </w:p>
    <w:p w14:paraId="056F134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Mieszanki o górnym wymiarze ziaren (D) większym niż </w:t>
      </w:r>
      <w:smartTag w:uri="urn:schemas-microsoft-com:office:smarttags" w:element="metricconverter">
        <w:smartTagPr>
          <w:attr w:name="ProductID" w:val="80 mm"/>
        </w:smartTagPr>
        <w:r w:rsidRPr="006431C4">
          <w:rPr>
            <w:rFonts w:cs="Arial"/>
            <w:szCs w:val="20"/>
          </w:rPr>
          <w:t>80 mm</w:t>
        </w:r>
      </w:smartTag>
      <w:r w:rsidRPr="006431C4">
        <w:rPr>
          <w:rFonts w:cs="Arial"/>
          <w:szCs w:val="20"/>
        </w:rPr>
        <w:t xml:space="preserve"> nie są objęte normą PN-EN 13285 [17] i niniejszą SST.</w:t>
      </w:r>
    </w:p>
    <w:p w14:paraId="1142C31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4943035A" w14:textId="77777777" w:rsidR="006D174F" w:rsidRPr="006431C4" w:rsidRDefault="006D174F" w:rsidP="00BE2485">
      <w:pPr>
        <w:shd w:val="clear" w:color="auto" w:fill="FFFFFF" w:themeFill="background1"/>
        <w:tabs>
          <w:tab w:val="num" w:pos="-2694"/>
          <w:tab w:val="left" w:pos="142"/>
        </w:tabs>
        <w:spacing w:line="240" w:lineRule="auto"/>
        <w:jc w:val="both"/>
        <w:rPr>
          <w:rFonts w:cs="Arial"/>
          <w:szCs w:val="20"/>
        </w:rPr>
      </w:pPr>
    </w:p>
    <w:p w14:paraId="2AE45DC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lastRenderedPageBreak/>
        <w:t>Tablica 1.</w:t>
      </w:r>
      <w:r w:rsidRPr="006431C4">
        <w:rPr>
          <w:rFonts w:cs="Arial"/>
          <w:szCs w:val="20"/>
        </w:rPr>
        <w:tab/>
        <w:t xml:space="preserve">Wymagania według WT-4 [20] i PN-EN 13242 [16] wobec kruszyw do mieszanek niezwiązanych w warstwie podbudowy zasadniczej </w:t>
      </w:r>
    </w:p>
    <w:p w14:paraId="15EF4D9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Skróty użyte w tablicy: Kat. – kategoria właściwości,  Dekl – deklarowana, wsk. – wskaźnik,                    wsp. – współczynnik, roz. -rozdział</w:t>
      </w:r>
    </w:p>
    <w:tbl>
      <w:tblPr>
        <w:tblW w:w="107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06"/>
        <w:gridCol w:w="1134"/>
        <w:gridCol w:w="709"/>
        <w:gridCol w:w="4848"/>
      </w:tblGrid>
      <w:tr w:rsidR="00DB1DC9" w:rsidRPr="006431C4" w14:paraId="538BBE0A" w14:textId="77777777" w:rsidTr="006D174F">
        <w:tc>
          <w:tcPr>
            <w:tcW w:w="4106" w:type="dxa"/>
            <w:vMerge w:val="restart"/>
            <w:vAlign w:val="center"/>
          </w:tcPr>
          <w:p w14:paraId="1880D56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Właściwość</w:t>
            </w:r>
          </w:p>
          <w:p w14:paraId="21879CB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kruszywa</w:t>
            </w:r>
          </w:p>
        </w:tc>
        <w:tc>
          <w:tcPr>
            <w:tcW w:w="1134" w:type="dxa"/>
            <w:vMerge w:val="restart"/>
            <w:vAlign w:val="center"/>
          </w:tcPr>
          <w:p w14:paraId="6A932F0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Metoda</w:t>
            </w:r>
          </w:p>
          <w:p w14:paraId="2B81167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w:t>
            </w:r>
          </w:p>
          <w:p w14:paraId="12486A3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w:t>
            </w:r>
          </w:p>
        </w:tc>
        <w:tc>
          <w:tcPr>
            <w:tcW w:w="5557" w:type="dxa"/>
            <w:gridSpan w:val="2"/>
          </w:tcPr>
          <w:p w14:paraId="7F1E96C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Wymagania wobec kruszywa do mieszanek niezwiązanych, przeznaczonych do zastosowania w warstwie podbudowy zasadniczej pod nawierzchnią drogi obciążonej ruchem  kategorii KR1 ÷ KR6</w:t>
            </w:r>
          </w:p>
        </w:tc>
      </w:tr>
      <w:tr w:rsidR="00DB1DC9" w:rsidRPr="006431C4" w14:paraId="3D9BDF68" w14:textId="77777777" w:rsidTr="006D174F">
        <w:trPr>
          <w:trHeight w:val="476"/>
        </w:trPr>
        <w:tc>
          <w:tcPr>
            <w:tcW w:w="4106" w:type="dxa"/>
            <w:vMerge/>
          </w:tcPr>
          <w:p w14:paraId="33066CC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1134" w:type="dxa"/>
            <w:vMerge/>
          </w:tcPr>
          <w:p w14:paraId="18891F9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709" w:type="dxa"/>
            <w:vAlign w:val="center"/>
          </w:tcPr>
          <w:p w14:paraId="5F8E786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Punkt</w:t>
            </w:r>
          </w:p>
          <w:p w14:paraId="77AE650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7867AF2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13242</w:t>
            </w:r>
          </w:p>
        </w:tc>
        <w:tc>
          <w:tcPr>
            <w:tcW w:w="4848" w:type="dxa"/>
            <w:vAlign w:val="center"/>
          </w:tcPr>
          <w:p w14:paraId="3CB7B97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Wymagania</w:t>
            </w:r>
          </w:p>
          <w:p w14:paraId="6F52268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r>
      <w:tr w:rsidR="00DB1DC9" w:rsidRPr="006431C4" w14:paraId="1879E353" w14:textId="77777777" w:rsidTr="006D174F">
        <w:tc>
          <w:tcPr>
            <w:tcW w:w="4106" w:type="dxa"/>
          </w:tcPr>
          <w:p w14:paraId="1FD669A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Zestaw sit #</w:t>
            </w:r>
          </w:p>
        </w:tc>
        <w:tc>
          <w:tcPr>
            <w:tcW w:w="1134" w:type="dxa"/>
          </w:tcPr>
          <w:p w14:paraId="7F9F1EF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09" w:type="dxa"/>
          </w:tcPr>
          <w:p w14:paraId="16734BD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4.1-4.2</w:t>
            </w:r>
          </w:p>
        </w:tc>
        <w:tc>
          <w:tcPr>
            <w:tcW w:w="4848" w:type="dxa"/>
          </w:tcPr>
          <w:p w14:paraId="6031187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0,063; 0,5; 1; 2; 4; 5,6; 8; 11,2; 16; 22,4; 31,5; 45; 63 i </w:t>
            </w:r>
            <w:smartTag w:uri="urn:schemas-microsoft-com:office:smarttags" w:element="metricconverter">
              <w:smartTagPr>
                <w:attr w:name="ProductID" w:val="90 mm"/>
              </w:smartTagPr>
              <w:r w:rsidRPr="006431C4">
                <w:rPr>
                  <w:rFonts w:cs="Arial"/>
                  <w:szCs w:val="20"/>
                </w:rPr>
                <w:t>90 mm</w:t>
              </w:r>
            </w:smartTag>
            <w:r w:rsidRPr="006431C4">
              <w:rPr>
                <w:rFonts w:cs="Arial"/>
                <w:szCs w:val="20"/>
              </w:rPr>
              <w:t xml:space="preserve"> (zestaw podstawowy plus zestaw 1) </w:t>
            </w:r>
          </w:p>
          <w:p w14:paraId="5683C71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Wszystkie frakcje dozwolone</w:t>
            </w:r>
          </w:p>
        </w:tc>
      </w:tr>
      <w:tr w:rsidR="00DB1DC9" w:rsidRPr="006431C4" w14:paraId="39270D77" w14:textId="77777777" w:rsidTr="006D174F">
        <w:tc>
          <w:tcPr>
            <w:tcW w:w="4106" w:type="dxa"/>
          </w:tcPr>
          <w:p w14:paraId="1712A77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Uziarnienie</w:t>
            </w:r>
          </w:p>
        </w:tc>
        <w:tc>
          <w:tcPr>
            <w:tcW w:w="1134" w:type="dxa"/>
          </w:tcPr>
          <w:p w14:paraId="41AE6E0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5BC08D9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933-1[5]</w:t>
            </w:r>
          </w:p>
          <w:p w14:paraId="05049B6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709" w:type="dxa"/>
          </w:tcPr>
          <w:p w14:paraId="1CCB2F3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4.3.1</w:t>
            </w:r>
          </w:p>
        </w:tc>
        <w:tc>
          <w:tcPr>
            <w:tcW w:w="4848" w:type="dxa"/>
          </w:tcPr>
          <w:p w14:paraId="39E0090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Kruszywo grube: kat. G</w:t>
            </w:r>
            <w:r w:rsidRPr="006431C4">
              <w:rPr>
                <w:rFonts w:cs="Arial"/>
                <w:szCs w:val="20"/>
                <w:vertAlign w:val="subscript"/>
              </w:rPr>
              <w:t>C</w:t>
            </w:r>
            <w:r w:rsidRPr="006431C4">
              <w:rPr>
                <w:rFonts w:cs="Arial"/>
                <w:szCs w:val="20"/>
              </w:rPr>
              <w:t>80/20,   kruszywo drobne: kat. G</w:t>
            </w:r>
            <w:r w:rsidRPr="006431C4">
              <w:rPr>
                <w:rFonts w:cs="Arial"/>
                <w:szCs w:val="20"/>
                <w:vertAlign w:val="subscript"/>
              </w:rPr>
              <w:t>F</w:t>
            </w:r>
            <w:r w:rsidRPr="006431C4">
              <w:rPr>
                <w:rFonts w:cs="Arial"/>
                <w:szCs w:val="20"/>
              </w:rPr>
              <w:t>80,   kruszywo o ciągłym uziarnieniu: kat. G</w:t>
            </w:r>
            <w:r w:rsidRPr="006431C4">
              <w:rPr>
                <w:rFonts w:cs="Arial"/>
                <w:szCs w:val="20"/>
                <w:vertAlign w:val="subscript"/>
              </w:rPr>
              <w:t>A</w:t>
            </w:r>
            <w:r w:rsidRPr="006431C4">
              <w:rPr>
                <w:rFonts w:cs="Arial"/>
                <w:szCs w:val="20"/>
              </w:rPr>
              <w:t xml:space="preserve">75.   </w:t>
            </w:r>
          </w:p>
          <w:p w14:paraId="62C84C6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Uziarnienie mieszanek kruszywa wg rysunków 1÷3</w:t>
            </w:r>
          </w:p>
        </w:tc>
      </w:tr>
      <w:tr w:rsidR="00DB1DC9" w:rsidRPr="006431C4" w14:paraId="266A6930" w14:textId="77777777" w:rsidTr="006D174F">
        <w:trPr>
          <w:trHeight w:val="433"/>
        </w:trPr>
        <w:tc>
          <w:tcPr>
            <w:tcW w:w="4106" w:type="dxa"/>
          </w:tcPr>
          <w:p w14:paraId="2A3C5B1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Ogólne granice i tolerancje uziarnienia kruszywa grubego na sitach pośrednich</w:t>
            </w:r>
          </w:p>
          <w:p w14:paraId="6880029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1134" w:type="dxa"/>
          </w:tcPr>
          <w:p w14:paraId="11EFFDE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3EED20E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933-1 [5]</w:t>
            </w:r>
          </w:p>
          <w:p w14:paraId="2A12F88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709" w:type="dxa"/>
          </w:tcPr>
          <w:p w14:paraId="34D64ED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4.3.2</w:t>
            </w:r>
          </w:p>
        </w:tc>
        <w:tc>
          <w:tcPr>
            <w:tcW w:w="4848" w:type="dxa"/>
          </w:tcPr>
          <w:p w14:paraId="1C9BF74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GT</w:t>
            </w:r>
            <w:r w:rsidRPr="006431C4">
              <w:rPr>
                <w:rFonts w:cs="Arial"/>
                <w:szCs w:val="20"/>
                <w:vertAlign w:val="subscript"/>
              </w:rPr>
              <w:t>C</w:t>
            </w:r>
            <w:r w:rsidRPr="006431C4">
              <w:rPr>
                <w:rFonts w:cs="Arial"/>
                <w:szCs w:val="20"/>
              </w:rPr>
              <w:t>20/15 (tj. dla stosunku D/d ≥2 i sita o pośrednich wymiarach D/1,4 ogólne granice wynoszą 20-70% przechodzącej masy i graniczne odchylenia od typowego uziarnienia deklarowanego przez producenta wynoszą ±15%)</w:t>
            </w:r>
          </w:p>
        </w:tc>
      </w:tr>
      <w:tr w:rsidR="00DB1DC9" w:rsidRPr="006431C4" w14:paraId="0ACE86DF" w14:textId="77777777" w:rsidTr="006D174F">
        <w:tc>
          <w:tcPr>
            <w:tcW w:w="4106" w:type="dxa"/>
          </w:tcPr>
          <w:p w14:paraId="5B521CB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Tolerancje typowego uziarnienia kru-</w:t>
            </w:r>
            <w:r w:rsidRPr="006431C4">
              <w:rPr>
                <w:rFonts w:cs="Arial"/>
                <w:szCs w:val="20"/>
              </w:rPr>
              <w:br/>
              <w:t>szywa drobnego i kruszywa o ciągłym uziarnieniu</w:t>
            </w:r>
            <w:r w:rsidRPr="006431C4">
              <w:rPr>
                <w:rFonts w:cs="Arial"/>
                <w:szCs w:val="20"/>
              </w:rPr>
              <w:br/>
            </w:r>
          </w:p>
        </w:tc>
        <w:tc>
          <w:tcPr>
            <w:tcW w:w="1134" w:type="dxa"/>
          </w:tcPr>
          <w:p w14:paraId="7824A73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312FEA2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933-1 [5]</w:t>
            </w:r>
          </w:p>
          <w:p w14:paraId="1636E01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709" w:type="dxa"/>
          </w:tcPr>
          <w:p w14:paraId="523EB65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4.3.3</w:t>
            </w:r>
          </w:p>
        </w:tc>
        <w:tc>
          <w:tcPr>
            <w:tcW w:w="4848" w:type="dxa"/>
          </w:tcPr>
          <w:p w14:paraId="4AE6942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Kruszywo drobne: kat. GT</w:t>
            </w:r>
            <w:r w:rsidRPr="006431C4">
              <w:rPr>
                <w:rFonts w:cs="Arial"/>
                <w:szCs w:val="20"/>
                <w:vertAlign w:val="subscript"/>
              </w:rPr>
              <w:t>F</w:t>
            </w:r>
            <w:r w:rsidRPr="006431C4">
              <w:rPr>
                <w:rFonts w:cs="Arial"/>
                <w:szCs w:val="20"/>
              </w:rPr>
              <w:t>10 (tj. procent masy przechodzącej przez sito górne D: ±5%, sito D/2: ±10%, sito 0,063 mm: ±3%).Kruszywo o ciągłym uziarnieniu: kat. GT</w:t>
            </w:r>
            <w:r w:rsidRPr="006431C4">
              <w:rPr>
                <w:rFonts w:cs="Arial"/>
                <w:szCs w:val="20"/>
                <w:vertAlign w:val="subscript"/>
              </w:rPr>
              <w:t>A</w:t>
            </w:r>
            <w:r w:rsidRPr="006431C4">
              <w:rPr>
                <w:rFonts w:cs="Arial"/>
                <w:szCs w:val="20"/>
              </w:rPr>
              <w:t>20 (tj. procent masy przechodzącej przez sito górne D: ±5%, sito D/2: ±20%, sito 0,063 mm: ±4%)</w:t>
            </w:r>
          </w:p>
        </w:tc>
      </w:tr>
      <w:tr w:rsidR="00DB1DC9" w:rsidRPr="006431C4" w14:paraId="0E251132" w14:textId="77777777" w:rsidTr="006D174F">
        <w:trPr>
          <w:trHeight w:val="671"/>
        </w:trPr>
        <w:tc>
          <w:tcPr>
            <w:tcW w:w="4106" w:type="dxa"/>
          </w:tcPr>
          <w:p w14:paraId="3018BF4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Kształt kruszywa grubego – maksymalne wartości wskaź</w:t>
            </w:r>
            <w:r w:rsidRPr="006431C4">
              <w:rPr>
                <w:rFonts w:cs="Arial"/>
                <w:szCs w:val="20"/>
              </w:rPr>
              <w:softHyphen/>
              <w:t>nika płaskości</w:t>
            </w:r>
          </w:p>
        </w:tc>
        <w:tc>
          <w:tcPr>
            <w:tcW w:w="1134" w:type="dxa"/>
          </w:tcPr>
          <w:p w14:paraId="406FBFD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1A1F974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933-3  [6]</w:t>
            </w:r>
          </w:p>
        </w:tc>
        <w:tc>
          <w:tcPr>
            <w:tcW w:w="709" w:type="dxa"/>
          </w:tcPr>
          <w:p w14:paraId="48FABE5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4.4</w:t>
            </w:r>
          </w:p>
        </w:tc>
        <w:tc>
          <w:tcPr>
            <w:tcW w:w="4848" w:type="dxa"/>
          </w:tcPr>
          <w:p w14:paraId="56657AC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FI</w:t>
            </w:r>
            <w:r w:rsidRPr="006431C4">
              <w:rPr>
                <w:rFonts w:cs="Arial"/>
                <w:szCs w:val="20"/>
                <w:vertAlign w:val="subscript"/>
              </w:rPr>
              <w:t xml:space="preserve">50 </w:t>
            </w:r>
            <w:r w:rsidRPr="006431C4">
              <w:rPr>
                <w:rFonts w:cs="Arial"/>
                <w:szCs w:val="20"/>
              </w:rPr>
              <w:t xml:space="preserve">(tj. maksymalna wartość wskaźnika płaskości wynosi ≤ 50) </w:t>
            </w:r>
          </w:p>
        </w:tc>
      </w:tr>
      <w:tr w:rsidR="00DB1DC9" w:rsidRPr="006431C4" w14:paraId="620BF093" w14:textId="77777777" w:rsidTr="006D174F">
        <w:tc>
          <w:tcPr>
            <w:tcW w:w="4106" w:type="dxa"/>
          </w:tcPr>
          <w:p w14:paraId="3F11754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Kształt kruszywa grubego – maksymalne wartości wskaźnika kształtu</w:t>
            </w:r>
          </w:p>
        </w:tc>
        <w:tc>
          <w:tcPr>
            <w:tcW w:w="1134" w:type="dxa"/>
          </w:tcPr>
          <w:p w14:paraId="1BCCA43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14C3DA9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933-4  [7]</w:t>
            </w:r>
          </w:p>
        </w:tc>
        <w:tc>
          <w:tcPr>
            <w:tcW w:w="709" w:type="dxa"/>
          </w:tcPr>
          <w:p w14:paraId="38A6D20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4.4</w:t>
            </w:r>
          </w:p>
        </w:tc>
        <w:tc>
          <w:tcPr>
            <w:tcW w:w="4848" w:type="dxa"/>
          </w:tcPr>
          <w:p w14:paraId="72D4A00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SI</w:t>
            </w:r>
            <w:r w:rsidRPr="006431C4">
              <w:rPr>
                <w:rFonts w:cs="Arial"/>
                <w:szCs w:val="20"/>
                <w:vertAlign w:val="subscript"/>
              </w:rPr>
              <w:t xml:space="preserve">55 </w:t>
            </w:r>
            <w:r w:rsidRPr="006431C4">
              <w:rPr>
                <w:rFonts w:cs="Arial"/>
                <w:szCs w:val="20"/>
              </w:rPr>
              <w:t>(tj. maksymalna wartość wskaźnika kształtu wynosi ≤ 55)</w:t>
            </w:r>
          </w:p>
        </w:tc>
      </w:tr>
      <w:tr w:rsidR="00DB1DC9" w:rsidRPr="006431C4" w14:paraId="0B1B7B47" w14:textId="77777777" w:rsidTr="006D174F">
        <w:tc>
          <w:tcPr>
            <w:tcW w:w="4106" w:type="dxa"/>
          </w:tcPr>
          <w:p w14:paraId="7F1934E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Kategorie procentowych zawartości ziaren o powierzchni przekruszonej lub łamanych oraz ziaren całkowicie za</w:t>
            </w:r>
            <w:r w:rsidRPr="006431C4">
              <w:rPr>
                <w:rFonts w:cs="Arial"/>
                <w:szCs w:val="20"/>
              </w:rPr>
              <w:softHyphen/>
              <w:t>okrąglonych w kruszywie grubym</w:t>
            </w:r>
          </w:p>
        </w:tc>
        <w:tc>
          <w:tcPr>
            <w:tcW w:w="1134" w:type="dxa"/>
          </w:tcPr>
          <w:p w14:paraId="050F8BA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406CC0A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933-5 [8]</w:t>
            </w:r>
          </w:p>
        </w:tc>
        <w:tc>
          <w:tcPr>
            <w:tcW w:w="709" w:type="dxa"/>
          </w:tcPr>
          <w:p w14:paraId="2727E21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4.5</w:t>
            </w:r>
          </w:p>
        </w:tc>
        <w:tc>
          <w:tcPr>
            <w:tcW w:w="4848" w:type="dxa"/>
          </w:tcPr>
          <w:p w14:paraId="40189BB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C</w:t>
            </w:r>
            <w:r w:rsidRPr="006431C4">
              <w:rPr>
                <w:rFonts w:cs="Arial"/>
                <w:szCs w:val="20"/>
                <w:vertAlign w:val="subscript"/>
              </w:rPr>
              <w:t>90/3</w:t>
            </w:r>
            <w:r w:rsidRPr="006431C4">
              <w:rPr>
                <w:rFonts w:cs="Arial"/>
                <w:szCs w:val="20"/>
              </w:rPr>
              <w:t xml:space="preserve"> (tj. masa ziarn przekruszonych lub łamanych wynosi 90 do 100 %, a masa ziarn całkowicie zaokrąglonych wynosi 0 do 3 %)</w:t>
            </w:r>
          </w:p>
        </w:tc>
      </w:tr>
      <w:tr w:rsidR="00DB1DC9" w:rsidRPr="006431C4" w14:paraId="4E1BD748" w14:textId="77777777" w:rsidTr="006D174F">
        <w:tc>
          <w:tcPr>
            <w:tcW w:w="4106" w:type="dxa"/>
          </w:tcPr>
          <w:p w14:paraId="38550F9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Zawartość pyłów w kruszywie grubym</w:t>
            </w:r>
            <w:r w:rsidRPr="006431C4">
              <w:rPr>
                <w:rFonts w:cs="Arial"/>
                <w:szCs w:val="20"/>
                <w:vertAlign w:val="superscript"/>
              </w:rPr>
              <w:t>*)</w:t>
            </w:r>
          </w:p>
        </w:tc>
        <w:tc>
          <w:tcPr>
            <w:tcW w:w="1134" w:type="dxa"/>
          </w:tcPr>
          <w:p w14:paraId="3242C6B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46CDB47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933-1 [5]</w:t>
            </w:r>
          </w:p>
        </w:tc>
        <w:tc>
          <w:tcPr>
            <w:tcW w:w="709" w:type="dxa"/>
          </w:tcPr>
          <w:p w14:paraId="5C921C1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4.6</w:t>
            </w:r>
          </w:p>
        </w:tc>
        <w:tc>
          <w:tcPr>
            <w:tcW w:w="4848" w:type="dxa"/>
          </w:tcPr>
          <w:p w14:paraId="6C4C81C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f</w:t>
            </w:r>
            <w:r w:rsidRPr="006431C4">
              <w:rPr>
                <w:rFonts w:cs="Arial"/>
                <w:szCs w:val="20"/>
                <w:vertAlign w:val="subscript"/>
              </w:rPr>
              <w:t>Dekl</w:t>
            </w:r>
            <w:r w:rsidRPr="006431C4">
              <w:rPr>
                <w:rFonts w:cs="Arial"/>
                <w:szCs w:val="20"/>
              </w:rPr>
              <w:t xml:space="preserve">  (tj. masa frakcji przechodzącej przez sito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 xml:space="preserve"> jest &gt; 4)</w:t>
            </w:r>
          </w:p>
        </w:tc>
      </w:tr>
      <w:tr w:rsidR="00DB1DC9" w:rsidRPr="006431C4" w14:paraId="08F0737B" w14:textId="77777777" w:rsidTr="006D174F">
        <w:tc>
          <w:tcPr>
            <w:tcW w:w="4106" w:type="dxa"/>
          </w:tcPr>
          <w:p w14:paraId="1D1EC84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Zawartość pyłów</w:t>
            </w:r>
            <w:r w:rsidRPr="006431C4">
              <w:rPr>
                <w:rFonts w:cs="Arial"/>
                <w:szCs w:val="20"/>
                <w:vertAlign w:val="superscript"/>
              </w:rPr>
              <w:t xml:space="preserve">  </w:t>
            </w:r>
            <w:r w:rsidRPr="006431C4">
              <w:rPr>
                <w:rFonts w:cs="Arial"/>
                <w:szCs w:val="20"/>
              </w:rPr>
              <w:t xml:space="preserve"> w  kruszywie drob</w:t>
            </w:r>
            <w:r w:rsidRPr="006431C4">
              <w:rPr>
                <w:rFonts w:cs="Arial"/>
                <w:szCs w:val="20"/>
              </w:rPr>
              <w:softHyphen/>
              <w:t>nym</w:t>
            </w:r>
            <w:r w:rsidRPr="006431C4">
              <w:rPr>
                <w:rFonts w:cs="Arial"/>
                <w:szCs w:val="20"/>
                <w:vertAlign w:val="superscript"/>
              </w:rPr>
              <w:t>*)</w:t>
            </w:r>
          </w:p>
        </w:tc>
        <w:tc>
          <w:tcPr>
            <w:tcW w:w="1134" w:type="dxa"/>
          </w:tcPr>
          <w:p w14:paraId="40F67E4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PN-EN   </w:t>
            </w:r>
          </w:p>
          <w:p w14:paraId="4B57108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933-1 [5] </w:t>
            </w:r>
          </w:p>
        </w:tc>
        <w:tc>
          <w:tcPr>
            <w:tcW w:w="709" w:type="dxa"/>
          </w:tcPr>
          <w:p w14:paraId="662207B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4.6</w:t>
            </w:r>
          </w:p>
        </w:tc>
        <w:tc>
          <w:tcPr>
            <w:tcW w:w="4848" w:type="dxa"/>
          </w:tcPr>
          <w:p w14:paraId="428F27A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f</w:t>
            </w:r>
            <w:r w:rsidRPr="006431C4">
              <w:rPr>
                <w:rFonts w:cs="Arial"/>
                <w:szCs w:val="20"/>
                <w:vertAlign w:val="subscript"/>
              </w:rPr>
              <w:t>Dekl</w:t>
            </w:r>
            <w:r w:rsidRPr="006431C4">
              <w:rPr>
                <w:rFonts w:cs="Arial"/>
                <w:szCs w:val="20"/>
              </w:rPr>
              <w:t xml:space="preserve">  (tj. masa frakcji przechodzącej przez sito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 xml:space="preserve"> jest &gt; 22)</w:t>
            </w:r>
          </w:p>
        </w:tc>
      </w:tr>
      <w:tr w:rsidR="00DB1DC9" w:rsidRPr="006431C4" w14:paraId="2AD5AB0F" w14:textId="77777777" w:rsidTr="006D174F">
        <w:tc>
          <w:tcPr>
            <w:tcW w:w="4106" w:type="dxa"/>
          </w:tcPr>
          <w:p w14:paraId="0B8AF24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Jakość pyłów</w:t>
            </w:r>
          </w:p>
        </w:tc>
        <w:tc>
          <w:tcPr>
            <w:tcW w:w="1134" w:type="dxa"/>
          </w:tcPr>
          <w:p w14:paraId="6C7E4BC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09" w:type="dxa"/>
          </w:tcPr>
          <w:p w14:paraId="442E59B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4.7</w:t>
            </w:r>
          </w:p>
        </w:tc>
        <w:tc>
          <w:tcPr>
            <w:tcW w:w="4848" w:type="dxa"/>
          </w:tcPr>
          <w:p w14:paraId="41350A3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Właściwość niebadana na pojedynczych frakcjach, a tylko w mieszankach wg wymagań dla mieszanek</w:t>
            </w:r>
          </w:p>
        </w:tc>
      </w:tr>
      <w:tr w:rsidR="00DB1DC9" w:rsidRPr="006431C4" w14:paraId="2CCEEF54" w14:textId="77777777" w:rsidTr="006D174F">
        <w:tc>
          <w:tcPr>
            <w:tcW w:w="4106" w:type="dxa"/>
          </w:tcPr>
          <w:p w14:paraId="6210387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Odporność na rozdrabnianie kruszywa grubego</w:t>
            </w:r>
          </w:p>
        </w:tc>
        <w:tc>
          <w:tcPr>
            <w:tcW w:w="1134" w:type="dxa"/>
          </w:tcPr>
          <w:p w14:paraId="2352004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PN-EN </w:t>
            </w:r>
          </w:p>
          <w:p w14:paraId="1BE234C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1097-2 [10] </w:t>
            </w:r>
          </w:p>
        </w:tc>
        <w:tc>
          <w:tcPr>
            <w:tcW w:w="709" w:type="dxa"/>
          </w:tcPr>
          <w:p w14:paraId="500EC57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5.2</w:t>
            </w:r>
          </w:p>
        </w:tc>
        <w:tc>
          <w:tcPr>
            <w:tcW w:w="4848" w:type="dxa"/>
          </w:tcPr>
          <w:p w14:paraId="61B9B7D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LA</w:t>
            </w:r>
            <w:r w:rsidRPr="006431C4">
              <w:rPr>
                <w:rFonts w:cs="Arial"/>
                <w:szCs w:val="20"/>
                <w:vertAlign w:val="subscript"/>
              </w:rPr>
              <w:t>40</w:t>
            </w:r>
            <w:r w:rsidRPr="006431C4">
              <w:rPr>
                <w:rFonts w:cs="Arial"/>
                <w:szCs w:val="20"/>
              </w:rPr>
              <w:t xml:space="preserve"> (tj. maksymalna wartość współczynnika Los Angeles ≤ 40 </w:t>
            </w:r>
            <w:r w:rsidRPr="006431C4">
              <w:rPr>
                <w:rFonts w:cs="Arial"/>
                <w:szCs w:val="20"/>
                <w:vertAlign w:val="superscript"/>
              </w:rPr>
              <w:t>**)</w:t>
            </w:r>
            <w:r w:rsidRPr="006431C4">
              <w:rPr>
                <w:rFonts w:cs="Arial"/>
                <w:szCs w:val="20"/>
              </w:rPr>
              <w:t>)</w:t>
            </w:r>
          </w:p>
        </w:tc>
      </w:tr>
      <w:tr w:rsidR="00DB1DC9" w:rsidRPr="006431C4" w14:paraId="23F17794" w14:textId="77777777" w:rsidTr="006D174F">
        <w:tc>
          <w:tcPr>
            <w:tcW w:w="4106" w:type="dxa"/>
          </w:tcPr>
          <w:p w14:paraId="19C027C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Odporność na ścieranie kruszywa grubego</w:t>
            </w:r>
          </w:p>
        </w:tc>
        <w:tc>
          <w:tcPr>
            <w:tcW w:w="1134" w:type="dxa"/>
          </w:tcPr>
          <w:p w14:paraId="7BC2FB5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PN-EN  </w:t>
            </w:r>
          </w:p>
          <w:p w14:paraId="0230669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1097-1 [9] </w:t>
            </w:r>
          </w:p>
        </w:tc>
        <w:tc>
          <w:tcPr>
            <w:tcW w:w="709" w:type="dxa"/>
          </w:tcPr>
          <w:p w14:paraId="15DB59D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5.3</w:t>
            </w:r>
          </w:p>
        </w:tc>
        <w:tc>
          <w:tcPr>
            <w:tcW w:w="4848" w:type="dxa"/>
          </w:tcPr>
          <w:p w14:paraId="1B12311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M</w:t>
            </w:r>
            <w:r w:rsidRPr="006431C4">
              <w:rPr>
                <w:rFonts w:cs="Arial"/>
                <w:szCs w:val="20"/>
                <w:vertAlign w:val="subscript"/>
              </w:rPr>
              <w:t>DE</w:t>
            </w:r>
            <w:r w:rsidRPr="006431C4">
              <w:rPr>
                <w:rFonts w:cs="Arial"/>
                <w:szCs w:val="20"/>
              </w:rPr>
              <w:t>Deklarowana (tj. współczynnik mikro-Devala &gt;50))</w:t>
            </w:r>
          </w:p>
        </w:tc>
      </w:tr>
      <w:tr w:rsidR="00DB1DC9" w:rsidRPr="006431C4" w14:paraId="3D100F64" w14:textId="77777777" w:rsidTr="006D174F">
        <w:tc>
          <w:tcPr>
            <w:tcW w:w="4106" w:type="dxa"/>
          </w:tcPr>
          <w:p w14:paraId="01851BC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Gęstość ziaren</w:t>
            </w:r>
          </w:p>
        </w:tc>
        <w:tc>
          <w:tcPr>
            <w:tcW w:w="1134" w:type="dxa"/>
          </w:tcPr>
          <w:p w14:paraId="6A8808F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1097-6, roz. 7, 8 i 9  [11]</w:t>
            </w:r>
          </w:p>
        </w:tc>
        <w:tc>
          <w:tcPr>
            <w:tcW w:w="709" w:type="dxa"/>
          </w:tcPr>
          <w:p w14:paraId="7FCD043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5.4</w:t>
            </w:r>
          </w:p>
        </w:tc>
        <w:tc>
          <w:tcPr>
            <w:tcW w:w="4848" w:type="dxa"/>
          </w:tcPr>
          <w:p w14:paraId="7727630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Deklarowana</w:t>
            </w:r>
          </w:p>
        </w:tc>
      </w:tr>
      <w:tr w:rsidR="00DB1DC9" w:rsidRPr="006431C4" w14:paraId="46A0FE8E" w14:textId="77777777" w:rsidTr="006D174F">
        <w:tc>
          <w:tcPr>
            <w:tcW w:w="4106" w:type="dxa"/>
          </w:tcPr>
          <w:p w14:paraId="2C2B3A2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Nasiąkliwość</w:t>
            </w:r>
          </w:p>
        </w:tc>
        <w:tc>
          <w:tcPr>
            <w:tcW w:w="1134" w:type="dxa"/>
          </w:tcPr>
          <w:p w14:paraId="1163E22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PN-EN 1097-6, roz. 7, 8 i 9 [11] </w:t>
            </w:r>
          </w:p>
        </w:tc>
        <w:tc>
          <w:tcPr>
            <w:tcW w:w="709" w:type="dxa"/>
          </w:tcPr>
          <w:p w14:paraId="3FE8048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5.5 i</w:t>
            </w:r>
          </w:p>
          <w:p w14:paraId="430198E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7.3.2</w:t>
            </w:r>
          </w:p>
        </w:tc>
        <w:tc>
          <w:tcPr>
            <w:tcW w:w="4848" w:type="dxa"/>
          </w:tcPr>
          <w:p w14:paraId="2F53160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W</w:t>
            </w:r>
            <w:r w:rsidRPr="006431C4">
              <w:rPr>
                <w:rFonts w:cs="Arial"/>
                <w:szCs w:val="20"/>
                <w:vertAlign w:val="subscript"/>
              </w:rPr>
              <w:t>cm</w:t>
            </w:r>
            <w:r w:rsidRPr="006431C4">
              <w:rPr>
                <w:rFonts w:cs="Arial"/>
                <w:szCs w:val="20"/>
              </w:rPr>
              <w:t>NR (tj. brak wymagania)</w:t>
            </w:r>
          </w:p>
          <w:p w14:paraId="2180008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WA</w:t>
            </w:r>
            <w:r w:rsidRPr="006431C4">
              <w:rPr>
                <w:rFonts w:cs="Arial"/>
                <w:szCs w:val="20"/>
                <w:vertAlign w:val="subscript"/>
              </w:rPr>
              <w:t>24</w:t>
            </w:r>
            <w:r w:rsidRPr="006431C4">
              <w:rPr>
                <w:rFonts w:cs="Arial"/>
                <w:szCs w:val="20"/>
              </w:rPr>
              <w:t>2</w:t>
            </w:r>
            <w:r w:rsidRPr="006431C4">
              <w:rPr>
                <w:rFonts w:cs="Arial"/>
                <w:szCs w:val="20"/>
                <w:vertAlign w:val="superscript"/>
              </w:rPr>
              <w:t xml:space="preserve">***) </w:t>
            </w:r>
            <w:r w:rsidRPr="006431C4">
              <w:rPr>
                <w:rFonts w:cs="Arial"/>
                <w:szCs w:val="20"/>
              </w:rPr>
              <w:t xml:space="preserve"> (tj. maksymalna wartość nasiąkliwości  ≤2% masy)</w:t>
            </w:r>
          </w:p>
        </w:tc>
      </w:tr>
      <w:tr w:rsidR="00DB1DC9" w:rsidRPr="006431C4" w14:paraId="1D5956DD" w14:textId="77777777" w:rsidTr="006D174F">
        <w:tc>
          <w:tcPr>
            <w:tcW w:w="4106" w:type="dxa"/>
          </w:tcPr>
          <w:p w14:paraId="29525A5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Siarczany rozpuszczalne w kwasie</w:t>
            </w:r>
          </w:p>
        </w:tc>
        <w:tc>
          <w:tcPr>
            <w:tcW w:w="1134" w:type="dxa"/>
          </w:tcPr>
          <w:p w14:paraId="575F88E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0713D79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1744-1[14] </w:t>
            </w:r>
          </w:p>
        </w:tc>
        <w:tc>
          <w:tcPr>
            <w:tcW w:w="709" w:type="dxa"/>
          </w:tcPr>
          <w:p w14:paraId="1F42953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6.2</w:t>
            </w:r>
          </w:p>
        </w:tc>
        <w:tc>
          <w:tcPr>
            <w:tcW w:w="4848" w:type="dxa"/>
          </w:tcPr>
          <w:p w14:paraId="5864601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AS</w:t>
            </w:r>
            <w:r w:rsidRPr="006431C4">
              <w:rPr>
                <w:rFonts w:cs="Arial"/>
                <w:szCs w:val="20"/>
                <w:vertAlign w:val="subscript"/>
              </w:rPr>
              <w:t xml:space="preserve">NR   </w:t>
            </w:r>
            <w:r w:rsidRPr="006431C4">
              <w:rPr>
                <w:rFonts w:cs="Arial"/>
                <w:szCs w:val="20"/>
              </w:rPr>
              <w:t>(tj. brak wymagania)</w:t>
            </w:r>
          </w:p>
          <w:p w14:paraId="1DC8044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r>
      <w:tr w:rsidR="00DB1DC9" w:rsidRPr="006431C4" w14:paraId="67C8BBA0" w14:textId="77777777" w:rsidTr="006D174F">
        <w:tc>
          <w:tcPr>
            <w:tcW w:w="4106" w:type="dxa"/>
          </w:tcPr>
          <w:p w14:paraId="076616C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lastRenderedPageBreak/>
              <w:t>Całkowita zawartość siarki</w:t>
            </w:r>
          </w:p>
        </w:tc>
        <w:tc>
          <w:tcPr>
            <w:tcW w:w="1134" w:type="dxa"/>
          </w:tcPr>
          <w:p w14:paraId="7285B15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PN-EN </w:t>
            </w:r>
          </w:p>
          <w:p w14:paraId="0DF1C5B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1744-1[14] </w:t>
            </w:r>
          </w:p>
        </w:tc>
        <w:tc>
          <w:tcPr>
            <w:tcW w:w="709" w:type="dxa"/>
          </w:tcPr>
          <w:p w14:paraId="0F3A558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6.3</w:t>
            </w:r>
          </w:p>
        </w:tc>
        <w:tc>
          <w:tcPr>
            <w:tcW w:w="4848" w:type="dxa"/>
          </w:tcPr>
          <w:p w14:paraId="4BF0967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S</w:t>
            </w:r>
            <w:r w:rsidRPr="006431C4">
              <w:rPr>
                <w:rFonts w:cs="Arial"/>
                <w:szCs w:val="20"/>
                <w:vertAlign w:val="subscript"/>
              </w:rPr>
              <w:t>NR</w:t>
            </w:r>
            <w:r w:rsidRPr="006431C4">
              <w:rPr>
                <w:rFonts w:cs="Arial"/>
                <w:szCs w:val="20"/>
              </w:rPr>
              <w:t xml:space="preserve"> (tj. brak wymagania)</w:t>
            </w:r>
          </w:p>
        </w:tc>
      </w:tr>
      <w:tr w:rsidR="00DB1DC9" w:rsidRPr="006431C4" w14:paraId="37283651" w14:textId="77777777" w:rsidTr="006D174F">
        <w:tc>
          <w:tcPr>
            <w:tcW w:w="4106" w:type="dxa"/>
          </w:tcPr>
          <w:p w14:paraId="1AD2E10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Stałość objętości żużla stalowniczego</w:t>
            </w:r>
            <w:r w:rsidRPr="006431C4">
              <w:rPr>
                <w:rFonts w:cs="Arial"/>
                <w:szCs w:val="20"/>
              </w:rPr>
              <w:br/>
            </w:r>
          </w:p>
        </w:tc>
        <w:tc>
          <w:tcPr>
            <w:tcW w:w="1134" w:type="dxa"/>
          </w:tcPr>
          <w:p w14:paraId="270EFB8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PN-EN 1744-1, roz. 19.3 [14]  </w:t>
            </w:r>
          </w:p>
        </w:tc>
        <w:tc>
          <w:tcPr>
            <w:tcW w:w="709" w:type="dxa"/>
          </w:tcPr>
          <w:p w14:paraId="04D4D9F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6.4.2.1</w:t>
            </w:r>
          </w:p>
        </w:tc>
        <w:tc>
          <w:tcPr>
            <w:tcW w:w="4848" w:type="dxa"/>
          </w:tcPr>
          <w:p w14:paraId="74BAA3B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V</w:t>
            </w:r>
            <w:r w:rsidRPr="006431C4">
              <w:rPr>
                <w:rFonts w:cs="Arial"/>
                <w:szCs w:val="20"/>
                <w:vertAlign w:val="subscript"/>
              </w:rPr>
              <w:t>5</w:t>
            </w:r>
            <w:r w:rsidRPr="006431C4">
              <w:rPr>
                <w:rFonts w:cs="Arial"/>
                <w:szCs w:val="20"/>
              </w:rPr>
              <w:t xml:space="preserve"> (tj. pęcznienie ≤ 5 % objętości). Dotyczy żużla z klasycznego pieca tlenowego i elektrycznego pieca łukowego</w:t>
            </w:r>
          </w:p>
        </w:tc>
      </w:tr>
      <w:tr w:rsidR="00DB1DC9" w:rsidRPr="006431C4" w14:paraId="2EF559CB" w14:textId="77777777" w:rsidTr="006D174F">
        <w:tc>
          <w:tcPr>
            <w:tcW w:w="4106" w:type="dxa"/>
          </w:tcPr>
          <w:p w14:paraId="1CB8A52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Rozpad krzemianowy w żużlu wielko- piecowym kawałkowym</w:t>
            </w:r>
          </w:p>
        </w:tc>
        <w:tc>
          <w:tcPr>
            <w:tcW w:w="1134" w:type="dxa"/>
          </w:tcPr>
          <w:p w14:paraId="72A4C04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PN-EN 1744-1, p. 19.1 [14]  </w:t>
            </w:r>
          </w:p>
        </w:tc>
        <w:tc>
          <w:tcPr>
            <w:tcW w:w="709" w:type="dxa"/>
          </w:tcPr>
          <w:p w14:paraId="357242D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6.4.2.2</w:t>
            </w:r>
          </w:p>
        </w:tc>
        <w:tc>
          <w:tcPr>
            <w:tcW w:w="4848" w:type="dxa"/>
          </w:tcPr>
          <w:p w14:paraId="7B7ABEC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Brak rozpadu</w:t>
            </w:r>
          </w:p>
        </w:tc>
      </w:tr>
      <w:tr w:rsidR="00DB1DC9" w:rsidRPr="006431C4" w14:paraId="0BC8B3CB" w14:textId="77777777" w:rsidTr="006D174F">
        <w:tc>
          <w:tcPr>
            <w:tcW w:w="4106" w:type="dxa"/>
          </w:tcPr>
          <w:p w14:paraId="15828C8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Rozpad żelazawy w żużlu wielkopieco- wym kawałkowym</w:t>
            </w:r>
          </w:p>
        </w:tc>
        <w:tc>
          <w:tcPr>
            <w:tcW w:w="1134" w:type="dxa"/>
          </w:tcPr>
          <w:p w14:paraId="4C54D67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PN-EN 1744-1, p.19.2[14] </w:t>
            </w:r>
          </w:p>
        </w:tc>
        <w:tc>
          <w:tcPr>
            <w:tcW w:w="709" w:type="dxa"/>
          </w:tcPr>
          <w:p w14:paraId="6DB4E73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6.4.2.3</w:t>
            </w:r>
          </w:p>
        </w:tc>
        <w:tc>
          <w:tcPr>
            <w:tcW w:w="4848" w:type="dxa"/>
          </w:tcPr>
          <w:p w14:paraId="50168A6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Brak rozpadu</w:t>
            </w:r>
          </w:p>
        </w:tc>
      </w:tr>
      <w:tr w:rsidR="00DB1DC9" w:rsidRPr="006431C4" w14:paraId="6034B68A" w14:textId="77777777" w:rsidTr="006D174F">
        <w:tc>
          <w:tcPr>
            <w:tcW w:w="4106" w:type="dxa"/>
          </w:tcPr>
          <w:p w14:paraId="2DA6177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rozpuszczalne w wodzie</w:t>
            </w:r>
          </w:p>
        </w:tc>
        <w:tc>
          <w:tcPr>
            <w:tcW w:w="1134" w:type="dxa"/>
          </w:tcPr>
          <w:p w14:paraId="57DEE3D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1744-3 [15]</w:t>
            </w:r>
          </w:p>
        </w:tc>
        <w:tc>
          <w:tcPr>
            <w:tcW w:w="709" w:type="dxa"/>
          </w:tcPr>
          <w:p w14:paraId="1CD8282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6.4.3</w:t>
            </w:r>
          </w:p>
        </w:tc>
        <w:tc>
          <w:tcPr>
            <w:tcW w:w="4848" w:type="dxa"/>
          </w:tcPr>
          <w:p w14:paraId="2B89CAC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Brak substancji szkodliwych w stosunku do środowiska wg odrębnych przepisów</w:t>
            </w:r>
          </w:p>
        </w:tc>
      </w:tr>
      <w:tr w:rsidR="00DB1DC9" w:rsidRPr="006431C4" w14:paraId="06FF7CDB" w14:textId="77777777" w:rsidTr="006D174F">
        <w:tc>
          <w:tcPr>
            <w:tcW w:w="4106" w:type="dxa"/>
          </w:tcPr>
          <w:p w14:paraId="614BB73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Zanieczyszczenia</w:t>
            </w:r>
          </w:p>
        </w:tc>
        <w:tc>
          <w:tcPr>
            <w:tcW w:w="1134" w:type="dxa"/>
          </w:tcPr>
          <w:p w14:paraId="30C0356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09" w:type="dxa"/>
          </w:tcPr>
          <w:p w14:paraId="58CCD53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6.4.4</w:t>
            </w:r>
          </w:p>
        </w:tc>
        <w:tc>
          <w:tcPr>
            <w:tcW w:w="4848" w:type="dxa"/>
          </w:tcPr>
          <w:p w14:paraId="451D101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Brak ciał obcych takich jak drewno, szkło i plastik, mogących pogorszyć wyrób końcowy</w:t>
            </w:r>
          </w:p>
        </w:tc>
      </w:tr>
      <w:tr w:rsidR="00DB1DC9" w:rsidRPr="006431C4" w14:paraId="5F86ECAD" w14:textId="77777777" w:rsidTr="006D174F">
        <w:tc>
          <w:tcPr>
            <w:tcW w:w="4106" w:type="dxa"/>
          </w:tcPr>
          <w:p w14:paraId="1265950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Zgorzel słoneczna bazaltu</w:t>
            </w:r>
          </w:p>
        </w:tc>
        <w:tc>
          <w:tcPr>
            <w:tcW w:w="1134" w:type="dxa"/>
          </w:tcPr>
          <w:p w14:paraId="5E12311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1367-3[13] i PN-EN 1097-2 [10]</w:t>
            </w:r>
          </w:p>
        </w:tc>
        <w:tc>
          <w:tcPr>
            <w:tcW w:w="709" w:type="dxa"/>
          </w:tcPr>
          <w:p w14:paraId="7AF1FE2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7.2</w:t>
            </w:r>
          </w:p>
        </w:tc>
        <w:tc>
          <w:tcPr>
            <w:tcW w:w="4848" w:type="dxa"/>
          </w:tcPr>
          <w:p w14:paraId="30AFB38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SB</w:t>
            </w:r>
            <w:r w:rsidRPr="006431C4">
              <w:rPr>
                <w:rFonts w:cs="Arial"/>
                <w:szCs w:val="20"/>
                <w:vertAlign w:val="subscript"/>
              </w:rPr>
              <w:t>LA Deklarowana</w:t>
            </w:r>
            <w:r w:rsidRPr="006431C4">
              <w:rPr>
                <w:rFonts w:cs="Arial"/>
                <w:szCs w:val="20"/>
              </w:rPr>
              <w:t xml:space="preserve"> (tj. wzrost współczynnika Los Angeles po gotowaniu &gt; 8%)</w:t>
            </w:r>
          </w:p>
        </w:tc>
      </w:tr>
      <w:tr w:rsidR="00DB1DC9" w:rsidRPr="006431C4" w14:paraId="2FE3D5EB" w14:textId="77777777" w:rsidTr="006D174F">
        <w:tc>
          <w:tcPr>
            <w:tcW w:w="4106" w:type="dxa"/>
          </w:tcPr>
          <w:p w14:paraId="5632903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Mrozoodporność na frakcji kruszy-</w:t>
            </w:r>
            <w:r w:rsidRPr="006431C4">
              <w:rPr>
                <w:rFonts w:cs="Arial"/>
                <w:szCs w:val="20"/>
              </w:rPr>
              <w:br/>
              <w:t xml:space="preserve">wa  8/16 mm  </w:t>
            </w:r>
          </w:p>
        </w:tc>
        <w:tc>
          <w:tcPr>
            <w:tcW w:w="1134" w:type="dxa"/>
          </w:tcPr>
          <w:p w14:paraId="6CD4B43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1367-1 [12]</w:t>
            </w:r>
          </w:p>
        </w:tc>
        <w:tc>
          <w:tcPr>
            <w:tcW w:w="709" w:type="dxa"/>
          </w:tcPr>
          <w:p w14:paraId="3711F74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7.3.3</w:t>
            </w:r>
          </w:p>
        </w:tc>
        <w:tc>
          <w:tcPr>
            <w:tcW w:w="4848" w:type="dxa"/>
          </w:tcPr>
          <w:p w14:paraId="4747FDE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Skały magmowe i przeobrażone: kat. F</w:t>
            </w:r>
            <w:r w:rsidRPr="006431C4">
              <w:rPr>
                <w:rFonts w:cs="Arial"/>
                <w:szCs w:val="20"/>
                <w:vertAlign w:val="subscript"/>
              </w:rPr>
              <w:t>4</w:t>
            </w:r>
            <w:r w:rsidRPr="006431C4">
              <w:rPr>
                <w:rFonts w:cs="Arial"/>
                <w:szCs w:val="20"/>
              </w:rPr>
              <w:t xml:space="preserve"> (tj. zamrażanie-rozmrażanie ≤ 4% masy), skały osadowe: kat. F</w:t>
            </w:r>
            <w:r w:rsidRPr="006431C4">
              <w:rPr>
                <w:rFonts w:cs="Arial"/>
                <w:szCs w:val="20"/>
                <w:vertAlign w:val="subscript"/>
              </w:rPr>
              <w:t>10</w:t>
            </w:r>
            <w:r w:rsidRPr="006431C4">
              <w:rPr>
                <w:rFonts w:cs="Arial"/>
                <w:szCs w:val="20"/>
              </w:rPr>
              <w:t>, kruszywa z recyklingu: kat. F</w:t>
            </w:r>
            <w:r w:rsidRPr="006431C4">
              <w:rPr>
                <w:rFonts w:cs="Arial"/>
                <w:szCs w:val="20"/>
                <w:vertAlign w:val="subscript"/>
              </w:rPr>
              <w:t>10</w:t>
            </w:r>
            <w:r w:rsidRPr="006431C4">
              <w:rPr>
                <w:rFonts w:cs="Arial"/>
                <w:szCs w:val="20"/>
              </w:rPr>
              <w:t xml:space="preserve"> (F</w:t>
            </w:r>
            <w:r w:rsidRPr="006431C4">
              <w:rPr>
                <w:rFonts w:cs="Arial"/>
                <w:szCs w:val="20"/>
                <w:vertAlign w:val="subscript"/>
              </w:rPr>
              <w:t>25</w:t>
            </w:r>
            <w:r w:rsidRPr="006431C4">
              <w:rPr>
                <w:rFonts w:cs="Arial"/>
                <w:szCs w:val="20"/>
              </w:rPr>
              <w:t>****)</w:t>
            </w:r>
          </w:p>
        </w:tc>
      </w:tr>
      <w:tr w:rsidR="00DB1DC9" w:rsidRPr="006431C4" w14:paraId="5F553CFB" w14:textId="77777777" w:rsidTr="006D174F">
        <w:tc>
          <w:tcPr>
            <w:tcW w:w="4106" w:type="dxa"/>
          </w:tcPr>
          <w:p w14:paraId="529253C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 materiałowy</w:t>
            </w:r>
          </w:p>
        </w:tc>
        <w:tc>
          <w:tcPr>
            <w:tcW w:w="1134" w:type="dxa"/>
          </w:tcPr>
          <w:p w14:paraId="52A547C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09" w:type="dxa"/>
          </w:tcPr>
          <w:p w14:paraId="29C027A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Zał. C</w:t>
            </w:r>
          </w:p>
          <w:p w14:paraId="4BBE745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4848" w:type="dxa"/>
          </w:tcPr>
          <w:p w14:paraId="6481B6F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Deklarowany</w:t>
            </w:r>
          </w:p>
        </w:tc>
      </w:tr>
      <w:tr w:rsidR="00DB1DC9" w:rsidRPr="006431C4" w14:paraId="08FF9068" w14:textId="77777777" w:rsidTr="006D174F">
        <w:tc>
          <w:tcPr>
            <w:tcW w:w="4106" w:type="dxa"/>
          </w:tcPr>
          <w:p w14:paraId="641150C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Istotne cechy środowiskowe</w:t>
            </w:r>
          </w:p>
        </w:tc>
        <w:tc>
          <w:tcPr>
            <w:tcW w:w="1134" w:type="dxa"/>
          </w:tcPr>
          <w:p w14:paraId="0755F70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09" w:type="dxa"/>
          </w:tcPr>
          <w:p w14:paraId="07F3B67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Zał. C</w:t>
            </w:r>
          </w:p>
          <w:p w14:paraId="2BABE00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pkt</w:t>
            </w:r>
          </w:p>
          <w:p w14:paraId="7BBE3C7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C.3.4</w:t>
            </w:r>
          </w:p>
        </w:tc>
        <w:tc>
          <w:tcPr>
            <w:tcW w:w="4848" w:type="dxa"/>
          </w:tcPr>
          <w:p w14:paraId="4C23805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DB1DC9" w:rsidRPr="006431C4" w14:paraId="086CBB0E" w14:textId="77777777" w:rsidTr="006D174F">
        <w:tc>
          <w:tcPr>
            <w:tcW w:w="10797" w:type="dxa"/>
            <w:gridSpan w:val="4"/>
          </w:tcPr>
          <w:p w14:paraId="4F53907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Łączna zawartość pyłów w mieszance powinna się mieścić w wybranych krzywych granicznych</w:t>
            </w:r>
          </w:p>
          <w:p w14:paraId="53DAF9C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Do warstw  podbudów zasadniczych na drogach obciążonych ruchem   KR5-KR6  dopuszcza  się jedynie kruszywa</w:t>
            </w:r>
          </w:p>
          <w:p w14:paraId="12AD367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charakteryzujące się odpornością na rozdrabnianie LA≤35   </w:t>
            </w:r>
          </w:p>
          <w:p w14:paraId="1A10222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W przypadku, gdy wymaganie nie jest spełnione, należy sprawdzić mrozoodporność</w:t>
            </w:r>
          </w:p>
          <w:p w14:paraId="77FB8D6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Pod warunkiem, gdy zawartość w mieszance nie przekracza 50% m/m</w:t>
            </w:r>
          </w:p>
        </w:tc>
      </w:tr>
    </w:tbl>
    <w:p w14:paraId="4E50CDB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 xml:space="preserve">2.2.4. </w:t>
      </w:r>
      <w:r w:rsidRPr="006431C4">
        <w:rPr>
          <w:rFonts w:cs="Arial"/>
          <w:szCs w:val="20"/>
        </w:rPr>
        <w:t>Woda do zraszania kruszywa</w:t>
      </w:r>
    </w:p>
    <w:p w14:paraId="0CEFF5B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Do zraszania kruszywa należy stosować wodę nie zawierającą składników wpływających szkodliwie na mieszankę kruszywa, ale umożliwiającą właściwe zagęszczenie mieszanki niezwiązanej.</w:t>
      </w:r>
    </w:p>
    <w:p w14:paraId="6CB13A79"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3. Sprzęt</w:t>
      </w:r>
    </w:p>
    <w:p w14:paraId="661D367B"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3.1. Ogólne wymagania dotyczące sprzętu</w:t>
      </w:r>
    </w:p>
    <w:p w14:paraId="09BFF6B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Ogólne wymagania dotyczące sprzętu podano w SST  D-M-00.00.00 „Wymagania ogólne” [1], pkt 3.</w:t>
      </w:r>
    </w:p>
    <w:p w14:paraId="2468586B"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3.2. Sprzęt stosowany do wykonania robót</w:t>
      </w:r>
    </w:p>
    <w:p w14:paraId="5214D27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Przy wykonywaniu robót Wykonawca w zależności od potrzeb, powinien wykazać się możliwością korzystania ze sprzętu dostosowanego do przyjętej metody robót, jak:</w:t>
      </w:r>
    </w:p>
    <w:p w14:paraId="03DB1805" w14:textId="77777777" w:rsidR="00DB1DC9" w:rsidRPr="006431C4" w:rsidRDefault="00DB1DC9" w:rsidP="00CF1E7D">
      <w:pPr>
        <w:numPr>
          <w:ilvl w:val="0"/>
          <w:numId w:val="100"/>
        </w:numPr>
        <w:shd w:val="clear" w:color="auto" w:fill="FFFFFF" w:themeFill="background1"/>
        <w:tabs>
          <w:tab w:val="num" w:pos="-2694"/>
          <w:tab w:val="left" w:pos="142"/>
        </w:tabs>
        <w:spacing w:line="240" w:lineRule="auto"/>
        <w:jc w:val="both"/>
        <w:rPr>
          <w:rFonts w:cs="Arial"/>
          <w:szCs w:val="20"/>
        </w:rPr>
      </w:pPr>
      <w:r w:rsidRPr="006431C4">
        <w:rPr>
          <w:rFonts w:cs="Arial"/>
          <w:szCs w:val="20"/>
        </w:rPr>
        <w:t>mieszarki do wytwarzania mieszanki kruszywa, wyposażone w urządzenia dozujące wodę, które powinny zapewnić wytworzenie jednorodnej mieszanki o wilgotności optymalnej,</w:t>
      </w:r>
    </w:p>
    <w:p w14:paraId="073523CE" w14:textId="77777777" w:rsidR="00DB1DC9" w:rsidRPr="006431C4" w:rsidRDefault="00DB1DC9" w:rsidP="00CF1E7D">
      <w:pPr>
        <w:numPr>
          <w:ilvl w:val="0"/>
          <w:numId w:val="100"/>
        </w:numPr>
        <w:shd w:val="clear" w:color="auto" w:fill="FFFFFF" w:themeFill="background1"/>
        <w:tabs>
          <w:tab w:val="num" w:pos="-2694"/>
          <w:tab w:val="left" w:pos="142"/>
        </w:tabs>
        <w:spacing w:line="240" w:lineRule="auto"/>
        <w:jc w:val="both"/>
        <w:rPr>
          <w:rFonts w:cs="Arial"/>
          <w:szCs w:val="20"/>
        </w:rPr>
      </w:pPr>
      <w:r w:rsidRPr="006431C4">
        <w:rPr>
          <w:rFonts w:cs="Arial"/>
          <w:szCs w:val="20"/>
        </w:rPr>
        <w:t>układarki lub równiarki do rozkładania mieszanki kruszywa niezwiązanego,</w:t>
      </w:r>
    </w:p>
    <w:p w14:paraId="1CAB3ADA" w14:textId="77777777" w:rsidR="00DB1DC9" w:rsidRPr="006431C4" w:rsidRDefault="00DB1DC9" w:rsidP="00CF1E7D">
      <w:pPr>
        <w:numPr>
          <w:ilvl w:val="0"/>
          <w:numId w:val="100"/>
        </w:numPr>
        <w:shd w:val="clear" w:color="auto" w:fill="FFFFFF" w:themeFill="background1"/>
        <w:tabs>
          <w:tab w:val="num" w:pos="-2694"/>
          <w:tab w:val="left" w:pos="142"/>
        </w:tabs>
        <w:spacing w:line="240" w:lineRule="auto"/>
        <w:jc w:val="both"/>
        <w:rPr>
          <w:rFonts w:cs="Arial"/>
          <w:szCs w:val="20"/>
        </w:rPr>
      </w:pPr>
      <w:r w:rsidRPr="006431C4">
        <w:rPr>
          <w:rFonts w:cs="Arial"/>
          <w:szCs w:val="20"/>
        </w:rPr>
        <w:t>walce ogumione i stalowe wibracyjne lub statyczne do zagęszczania mieszanki,</w:t>
      </w:r>
    </w:p>
    <w:p w14:paraId="6FFD8CB1" w14:textId="77777777" w:rsidR="00DB1DC9" w:rsidRPr="006431C4" w:rsidRDefault="00DB1DC9" w:rsidP="00CF1E7D">
      <w:pPr>
        <w:numPr>
          <w:ilvl w:val="0"/>
          <w:numId w:val="100"/>
        </w:numPr>
        <w:shd w:val="clear" w:color="auto" w:fill="FFFFFF" w:themeFill="background1"/>
        <w:tabs>
          <w:tab w:val="num" w:pos="-2694"/>
          <w:tab w:val="left" w:pos="142"/>
        </w:tabs>
        <w:spacing w:line="240" w:lineRule="auto"/>
        <w:jc w:val="both"/>
        <w:rPr>
          <w:rFonts w:cs="Arial"/>
          <w:szCs w:val="20"/>
        </w:rPr>
      </w:pPr>
      <w:r w:rsidRPr="006431C4">
        <w:rPr>
          <w:rFonts w:cs="Arial"/>
          <w:szCs w:val="20"/>
        </w:rPr>
        <w:t>zagęszczarki płytowe, ubijaki mechaniczne lub małe walce wibracyjne, do stosowania w miejscach trudno dostępnych.</w:t>
      </w:r>
    </w:p>
    <w:p w14:paraId="6D0B57C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Sprzęt powinien odpowiadać wymaganiom określonym w dokumentacji projektowej, ST, instrukcjach producentów lub propozycji Wykonawcy i powinien być zaakceptowany przez Inżyniera.</w:t>
      </w:r>
    </w:p>
    <w:p w14:paraId="6733B307"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4. Transport</w:t>
      </w:r>
    </w:p>
    <w:p w14:paraId="4567FADE"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 xml:space="preserve">4.1. Ogólne wymagania dotyczące transportu </w:t>
      </w:r>
    </w:p>
    <w:p w14:paraId="411002F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 xml:space="preserve">     Ogólne wymagania dotyczące transportu podano w SST D-M-00.00.00 „Wymagania ogólne” [1],  pkt 4.</w:t>
      </w:r>
    </w:p>
    <w:p w14:paraId="1E4FBD24"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lastRenderedPageBreak/>
        <w:t>4.2. Transport materiałów</w:t>
      </w:r>
    </w:p>
    <w:p w14:paraId="7417D30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Materiały sypkie (kruszywa) można przewozić dowolnymi środkami transportu, w warunkach zabezpieczających je przed  zanieczyszczeniem, zmieszaniem z innymi materiałami i nadmiernym zawilgoceniem.</w:t>
      </w:r>
    </w:p>
    <w:p w14:paraId="5106F82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Woda może być dostarczana wodociągiem lub przewoźnymi zbiornikami wody.</w:t>
      </w:r>
    </w:p>
    <w:p w14:paraId="1369BBF8"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 Wykonanie robót</w:t>
      </w:r>
    </w:p>
    <w:p w14:paraId="5A5CD27D"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5.1. Ogólne zasady wykonania robót</w:t>
      </w:r>
    </w:p>
    <w:p w14:paraId="3603E47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 xml:space="preserve">     Ogólne zasady wykonania robót podano w SST D-M-00.00.00 „Wymagania ogólne” [1], pkt 5.</w:t>
      </w:r>
    </w:p>
    <w:p w14:paraId="4E61A2DE"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5.2. Zasady wykonywania robót</w:t>
      </w:r>
    </w:p>
    <w:p w14:paraId="12B20A7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Sposób wykonania robót powinien być zgodny z dokumentacją projektową i ST. W przypadku braku wystarczających danych można korzystać z ustaleń podanych w niniejszej specyfikacji oraz z informacji podanych w załącznikach.</w:t>
      </w:r>
    </w:p>
    <w:p w14:paraId="5348860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Podstawowe czynności przy wykonaniu robót obejmują:</w:t>
      </w:r>
    </w:p>
    <w:p w14:paraId="204B35C8" w14:textId="77777777" w:rsidR="00DB1DC9" w:rsidRPr="006431C4" w:rsidRDefault="00DB1DC9" w:rsidP="00BE2485">
      <w:pPr>
        <w:numPr>
          <w:ilvl w:val="0"/>
          <w:numId w:val="79"/>
        </w:num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roboty przygotowawcze, </w:t>
      </w:r>
    </w:p>
    <w:p w14:paraId="005AEEB6" w14:textId="77777777" w:rsidR="00DB1DC9" w:rsidRPr="006431C4" w:rsidRDefault="00DB1DC9" w:rsidP="00BE2485">
      <w:pPr>
        <w:numPr>
          <w:ilvl w:val="0"/>
          <w:numId w:val="79"/>
        </w:numPr>
        <w:shd w:val="clear" w:color="auto" w:fill="FFFFFF" w:themeFill="background1"/>
        <w:tabs>
          <w:tab w:val="num" w:pos="-2694"/>
          <w:tab w:val="left" w:pos="142"/>
        </w:tabs>
        <w:spacing w:line="240" w:lineRule="auto"/>
        <w:jc w:val="both"/>
        <w:rPr>
          <w:rFonts w:cs="Arial"/>
          <w:szCs w:val="20"/>
        </w:rPr>
      </w:pPr>
      <w:r w:rsidRPr="006431C4">
        <w:rPr>
          <w:rFonts w:cs="Arial"/>
          <w:szCs w:val="20"/>
        </w:rPr>
        <w:t>projektowanie mieszanki,</w:t>
      </w:r>
    </w:p>
    <w:p w14:paraId="3B84604F" w14:textId="77777777" w:rsidR="00DB1DC9" w:rsidRPr="006431C4" w:rsidRDefault="00DB1DC9" w:rsidP="00BE2485">
      <w:pPr>
        <w:numPr>
          <w:ilvl w:val="0"/>
          <w:numId w:val="79"/>
        </w:numPr>
        <w:shd w:val="clear" w:color="auto" w:fill="FFFFFF" w:themeFill="background1"/>
        <w:tabs>
          <w:tab w:val="num" w:pos="-2694"/>
          <w:tab w:val="left" w:pos="142"/>
        </w:tabs>
        <w:spacing w:line="240" w:lineRule="auto"/>
        <w:jc w:val="both"/>
        <w:rPr>
          <w:rFonts w:cs="Arial"/>
          <w:szCs w:val="20"/>
        </w:rPr>
      </w:pPr>
      <w:r w:rsidRPr="006431C4">
        <w:rPr>
          <w:rFonts w:cs="Arial"/>
          <w:szCs w:val="20"/>
        </w:rPr>
        <w:t>odcinek próbny,</w:t>
      </w:r>
    </w:p>
    <w:p w14:paraId="606F8646" w14:textId="77777777" w:rsidR="00DB1DC9" w:rsidRPr="006431C4" w:rsidRDefault="00DB1DC9" w:rsidP="00BE2485">
      <w:pPr>
        <w:numPr>
          <w:ilvl w:val="0"/>
          <w:numId w:val="79"/>
        </w:numPr>
        <w:shd w:val="clear" w:color="auto" w:fill="FFFFFF" w:themeFill="background1"/>
        <w:tabs>
          <w:tab w:val="num" w:pos="-2694"/>
          <w:tab w:val="left" w:pos="142"/>
        </w:tabs>
        <w:spacing w:line="240" w:lineRule="auto"/>
        <w:jc w:val="both"/>
        <w:rPr>
          <w:rFonts w:cs="Arial"/>
          <w:szCs w:val="20"/>
        </w:rPr>
      </w:pPr>
      <w:r w:rsidRPr="006431C4">
        <w:rPr>
          <w:rFonts w:cs="Arial"/>
          <w:szCs w:val="20"/>
        </w:rPr>
        <w:t>wbudowanie mieszanki,</w:t>
      </w:r>
    </w:p>
    <w:p w14:paraId="317F0FE9" w14:textId="77777777" w:rsidR="00DB1DC9" w:rsidRPr="006431C4" w:rsidRDefault="00DB1DC9" w:rsidP="00BE2485">
      <w:pPr>
        <w:numPr>
          <w:ilvl w:val="0"/>
          <w:numId w:val="79"/>
        </w:numPr>
        <w:shd w:val="clear" w:color="auto" w:fill="FFFFFF" w:themeFill="background1"/>
        <w:tabs>
          <w:tab w:val="num" w:pos="-2694"/>
          <w:tab w:val="left" w:pos="142"/>
        </w:tabs>
        <w:spacing w:line="240" w:lineRule="auto"/>
        <w:jc w:val="both"/>
        <w:rPr>
          <w:rFonts w:cs="Arial"/>
          <w:szCs w:val="20"/>
        </w:rPr>
      </w:pPr>
      <w:r w:rsidRPr="006431C4">
        <w:rPr>
          <w:rFonts w:cs="Arial"/>
          <w:szCs w:val="20"/>
        </w:rPr>
        <w:t>roboty wykończeniowe.</w:t>
      </w:r>
    </w:p>
    <w:p w14:paraId="7292275F"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5.3. Roboty przygotowawcze</w:t>
      </w:r>
    </w:p>
    <w:p w14:paraId="6BFD5D8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 xml:space="preserve">Przed przystąpieniem do robót należy, na podstawie dokumentacji projektowej, </w:t>
      </w:r>
      <w:r w:rsidR="00897282" w:rsidRPr="006431C4">
        <w:rPr>
          <w:rFonts w:cs="Arial"/>
          <w:szCs w:val="20"/>
        </w:rPr>
        <w:t xml:space="preserve"> SST </w:t>
      </w:r>
      <w:r w:rsidRPr="006431C4">
        <w:rPr>
          <w:rFonts w:cs="Arial"/>
          <w:szCs w:val="20"/>
        </w:rPr>
        <w:t>lub wskazań Inżyniera:</w:t>
      </w:r>
    </w:p>
    <w:p w14:paraId="71F9BAD0" w14:textId="77777777" w:rsidR="00DB1DC9" w:rsidRPr="006431C4" w:rsidRDefault="00DB1DC9" w:rsidP="00BE2485">
      <w:pPr>
        <w:numPr>
          <w:ilvl w:val="0"/>
          <w:numId w:val="80"/>
        </w:numPr>
        <w:shd w:val="clear" w:color="auto" w:fill="FFFFFF" w:themeFill="background1"/>
        <w:tabs>
          <w:tab w:val="num" w:pos="-2694"/>
          <w:tab w:val="left" w:pos="142"/>
        </w:tabs>
        <w:spacing w:line="240" w:lineRule="auto"/>
        <w:jc w:val="both"/>
        <w:rPr>
          <w:rFonts w:cs="Arial"/>
          <w:szCs w:val="20"/>
        </w:rPr>
      </w:pPr>
      <w:r w:rsidRPr="006431C4">
        <w:rPr>
          <w:rFonts w:cs="Arial"/>
          <w:szCs w:val="20"/>
        </w:rPr>
        <w:t>ustalić lokalizację robót,</w:t>
      </w:r>
    </w:p>
    <w:p w14:paraId="1480B560" w14:textId="77777777" w:rsidR="00DB1DC9" w:rsidRPr="006431C4" w:rsidRDefault="00DB1DC9" w:rsidP="00BE2485">
      <w:pPr>
        <w:numPr>
          <w:ilvl w:val="0"/>
          <w:numId w:val="80"/>
        </w:numPr>
        <w:shd w:val="clear" w:color="auto" w:fill="FFFFFF" w:themeFill="background1"/>
        <w:tabs>
          <w:tab w:val="num" w:pos="-2694"/>
          <w:tab w:val="left" w:pos="142"/>
        </w:tabs>
        <w:spacing w:line="240" w:lineRule="auto"/>
        <w:jc w:val="both"/>
        <w:rPr>
          <w:rFonts w:cs="Arial"/>
          <w:szCs w:val="20"/>
        </w:rPr>
      </w:pPr>
      <w:r w:rsidRPr="006431C4">
        <w:rPr>
          <w:rFonts w:cs="Arial"/>
          <w:szCs w:val="20"/>
        </w:rPr>
        <w:t>przeprowadzić obliczenia i pomiary niezbędne do szczegółowego wytyczenia robót oraz ustalenia danych wysokościowych,</w:t>
      </w:r>
    </w:p>
    <w:p w14:paraId="28BAE870" w14:textId="77777777" w:rsidR="00DB1DC9" w:rsidRPr="006431C4" w:rsidRDefault="00DB1DC9" w:rsidP="00BE2485">
      <w:pPr>
        <w:numPr>
          <w:ilvl w:val="0"/>
          <w:numId w:val="80"/>
        </w:numPr>
        <w:shd w:val="clear" w:color="auto" w:fill="FFFFFF" w:themeFill="background1"/>
        <w:tabs>
          <w:tab w:val="num" w:pos="-2694"/>
          <w:tab w:val="left" w:pos="142"/>
        </w:tabs>
        <w:spacing w:line="240" w:lineRule="auto"/>
        <w:jc w:val="both"/>
        <w:rPr>
          <w:rFonts w:cs="Arial"/>
          <w:szCs w:val="20"/>
        </w:rPr>
      </w:pPr>
      <w:r w:rsidRPr="006431C4">
        <w:rPr>
          <w:rFonts w:cs="Arial"/>
          <w:szCs w:val="20"/>
        </w:rPr>
        <w:t>usunąć przeszkody utrudniające wykonanie robót,</w:t>
      </w:r>
    </w:p>
    <w:p w14:paraId="2573CBE2" w14:textId="77777777" w:rsidR="00DB1DC9" w:rsidRPr="006431C4" w:rsidRDefault="00DB1DC9" w:rsidP="00BE2485">
      <w:pPr>
        <w:numPr>
          <w:ilvl w:val="0"/>
          <w:numId w:val="80"/>
        </w:numPr>
        <w:shd w:val="clear" w:color="auto" w:fill="FFFFFF" w:themeFill="background1"/>
        <w:tabs>
          <w:tab w:val="num" w:pos="-2694"/>
          <w:tab w:val="left" w:pos="142"/>
        </w:tabs>
        <w:spacing w:line="240" w:lineRule="auto"/>
        <w:jc w:val="both"/>
        <w:rPr>
          <w:rFonts w:cs="Arial"/>
          <w:szCs w:val="20"/>
        </w:rPr>
      </w:pPr>
      <w:r w:rsidRPr="006431C4">
        <w:rPr>
          <w:rFonts w:cs="Arial"/>
          <w:szCs w:val="20"/>
        </w:rPr>
        <w:t>wprowadzić oznakowanie drogi na okres robót,</w:t>
      </w:r>
    </w:p>
    <w:p w14:paraId="6661639B" w14:textId="77777777" w:rsidR="00DB1DC9" w:rsidRPr="006431C4" w:rsidRDefault="00DB1DC9" w:rsidP="00BE2485">
      <w:pPr>
        <w:numPr>
          <w:ilvl w:val="0"/>
          <w:numId w:val="80"/>
        </w:numPr>
        <w:shd w:val="clear" w:color="auto" w:fill="FFFFFF" w:themeFill="background1"/>
        <w:tabs>
          <w:tab w:val="num" w:pos="-2694"/>
          <w:tab w:val="left" w:pos="142"/>
        </w:tabs>
        <w:spacing w:line="240" w:lineRule="auto"/>
        <w:jc w:val="both"/>
        <w:rPr>
          <w:rFonts w:cs="Arial"/>
          <w:szCs w:val="20"/>
        </w:rPr>
      </w:pPr>
      <w:r w:rsidRPr="006431C4">
        <w:rPr>
          <w:rFonts w:cs="Arial"/>
          <w:szCs w:val="20"/>
        </w:rPr>
        <w:t>zgromadzić materiały i sprzęt potrzebne do rozpoczęcia robót.</w:t>
      </w:r>
    </w:p>
    <w:p w14:paraId="41372E9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Można dodatkowo korzystać z SST D-01.00.00 [2] przy robotach przygotowawczych oraz z SST D-02.00.00 [3] przy występowaniu robót ziemnych. </w:t>
      </w:r>
    </w:p>
    <w:p w14:paraId="7D03254D"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5.4. Projektowanie mieszanki kruszywa niezwiązanego</w:t>
      </w:r>
    </w:p>
    <w:p w14:paraId="7CBB01F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 xml:space="preserve">5.4.1. </w:t>
      </w:r>
      <w:r w:rsidRPr="006431C4">
        <w:rPr>
          <w:rFonts w:cs="Arial"/>
          <w:szCs w:val="20"/>
        </w:rPr>
        <w:t xml:space="preserve">Postanowienia ogólne </w:t>
      </w:r>
    </w:p>
    <w:p w14:paraId="2D48536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4AB4601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zasadniczej.</w:t>
      </w:r>
    </w:p>
    <w:p w14:paraId="04D6819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Skład mieszanki projektuje się zgodnie z wymaganiami wobec mieszanek niezwiązanych do podbudowy zasadniczej, określonych w tablicy 4. Wartości graniczne i tolerancje zawierają rozrzut wynikający z pobierania i dzielenia próbki, przedział ufności (precyzja w porównywalnych warunkach) oraz nierównomierności warunków wykonawczych.</w:t>
      </w:r>
    </w:p>
    <w:p w14:paraId="3436125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1969511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Przy projektowaniu mieszanek kruszyw z recyklingu można ustalać skład  mieszanek, wzorując się na przykładach podanych w załączniku 1.</w:t>
      </w:r>
    </w:p>
    <w:p w14:paraId="7858CAE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 xml:space="preserve">5.4.2. </w:t>
      </w:r>
      <w:r w:rsidRPr="006431C4">
        <w:rPr>
          <w:rFonts w:cs="Arial"/>
          <w:szCs w:val="20"/>
        </w:rPr>
        <w:t>Wymagania wobec mieszanek</w:t>
      </w:r>
    </w:p>
    <w:p w14:paraId="016BE65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W warstwach podbudowy zasadniczej można stosować następujące mieszanki kruszyw:</w:t>
      </w:r>
    </w:p>
    <w:p w14:paraId="236F7D7B" w14:textId="77777777" w:rsidR="00DB1DC9" w:rsidRPr="006431C4" w:rsidRDefault="00DB1DC9" w:rsidP="00CF1E7D">
      <w:pPr>
        <w:numPr>
          <w:ilvl w:val="0"/>
          <w:numId w:val="101"/>
        </w:numPr>
        <w:shd w:val="clear" w:color="auto" w:fill="FFFFFF" w:themeFill="background1"/>
        <w:tabs>
          <w:tab w:val="num" w:pos="-2694"/>
          <w:tab w:val="left" w:pos="142"/>
          <w:tab w:val="num" w:pos="480"/>
        </w:tabs>
        <w:spacing w:line="240" w:lineRule="auto"/>
        <w:jc w:val="both"/>
        <w:rPr>
          <w:rFonts w:cs="Arial"/>
          <w:szCs w:val="20"/>
        </w:rPr>
      </w:pPr>
      <w:r w:rsidRPr="006431C4">
        <w:rPr>
          <w:rFonts w:cs="Arial"/>
          <w:szCs w:val="20"/>
        </w:rPr>
        <w:t>0/31,5 mm,</w:t>
      </w:r>
    </w:p>
    <w:p w14:paraId="072D992D" w14:textId="77777777" w:rsidR="00DB1DC9" w:rsidRPr="006431C4" w:rsidRDefault="00DB1DC9" w:rsidP="00CF1E7D">
      <w:pPr>
        <w:numPr>
          <w:ilvl w:val="0"/>
          <w:numId w:val="101"/>
        </w:numPr>
        <w:shd w:val="clear" w:color="auto" w:fill="FFFFFF" w:themeFill="background1"/>
        <w:tabs>
          <w:tab w:val="num" w:pos="-2694"/>
          <w:tab w:val="left" w:pos="142"/>
          <w:tab w:val="num" w:pos="480"/>
        </w:tabs>
        <w:spacing w:line="240" w:lineRule="auto"/>
        <w:jc w:val="both"/>
        <w:rPr>
          <w:rFonts w:cs="Arial"/>
          <w:szCs w:val="20"/>
        </w:rPr>
      </w:pPr>
      <w:r w:rsidRPr="006431C4">
        <w:rPr>
          <w:rFonts w:cs="Arial"/>
          <w:szCs w:val="20"/>
        </w:rPr>
        <w:t>0/45 mm,</w:t>
      </w:r>
    </w:p>
    <w:p w14:paraId="7B5A08E1" w14:textId="77777777" w:rsidR="00DB1DC9" w:rsidRPr="006431C4" w:rsidRDefault="00DB1DC9" w:rsidP="00CF1E7D">
      <w:pPr>
        <w:numPr>
          <w:ilvl w:val="0"/>
          <w:numId w:val="101"/>
        </w:numPr>
        <w:shd w:val="clear" w:color="auto" w:fill="FFFFFF" w:themeFill="background1"/>
        <w:tabs>
          <w:tab w:val="num" w:pos="-2694"/>
          <w:tab w:val="left" w:pos="142"/>
          <w:tab w:val="num" w:pos="480"/>
        </w:tabs>
        <w:spacing w:line="240" w:lineRule="auto"/>
        <w:jc w:val="both"/>
        <w:rPr>
          <w:rFonts w:cs="Arial"/>
          <w:szCs w:val="20"/>
        </w:rPr>
      </w:pPr>
      <w:r w:rsidRPr="006431C4">
        <w:rPr>
          <w:rFonts w:cs="Arial"/>
          <w:szCs w:val="20"/>
        </w:rPr>
        <w:t>0/63 mm.</w:t>
      </w:r>
    </w:p>
    <w:p w14:paraId="4813AAC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r>
      <w:r w:rsidRPr="006431C4">
        <w:rPr>
          <w:rFonts w:cs="Arial"/>
          <w:szCs w:val="20"/>
        </w:rPr>
        <w:tab/>
        <w:t>Wymagania wobec mieszanek przeznaczonych do podbudowy zasadniczej, podane w tablicy 4, odnośnie wrażliwości na mróz mieszanek kruszyw, dotyczą badania materiału po pięciokrotnym zagęszczeniu w aparacie Proctora według PN-EN 13286-2 [18].</w:t>
      </w:r>
    </w:p>
    <w:p w14:paraId="358B0F9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Zawartość pyłów w mieszankach kruszyw do warstwy podbudowy zasadniczej, określana wg PN-EN 933-1 [5], powinna być zgodna z wymaganiami tablicy 4. W przypadku słabych kruszyw, zawartość pyłów w mieszance kruszyw należy również badać i deklarować, po pięciokrotnym zagęszczeniu metodą Proctora. Zawartość pyłów w takiej mieszance po pięciokrotnym zagęszczeniu metodą Proctora powinna również spełniać wymagania podane w tablicy 4. Nie określa się wymagania wobec minimalnej zawartości pyłów &lt;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 xml:space="preserve"> w mieszankach kruszyw do warstwy podbudowy zasadniczej.</w:t>
      </w:r>
    </w:p>
    <w:p w14:paraId="32E1433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nadziarna w mieszankach kruszyw, określana według PN-EN 933-1 [5] powinna spełniać wymagania podane w tablicy 4. W przypadku słabych kruszyw decyduje zawartość nadziarna w mieszance kruszyw po pięciokrotnym zagęszczeniu metodą Proctora.</w:t>
      </w:r>
    </w:p>
    <w:p w14:paraId="06DD1D8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Uziarnienie mieszanek kruszyw o wymiarach ziaren D od 0 do </w:t>
      </w:r>
      <w:smartTag w:uri="urn:schemas-microsoft-com:office:smarttags" w:element="metricconverter">
        <w:smartTagPr>
          <w:attr w:name="ProductID" w:val="63 mm"/>
        </w:smartTagPr>
        <w:r w:rsidRPr="006431C4">
          <w:rPr>
            <w:rFonts w:cs="Arial"/>
            <w:szCs w:val="20"/>
          </w:rPr>
          <w:t>63 mm</w:t>
        </w:r>
      </w:smartTag>
      <w:r w:rsidRPr="006431C4">
        <w:rPr>
          <w:rFonts w:cs="Arial"/>
          <w:szCs w:val="20"/>
        </w:rPr>
        <w:t xml:space="preserve"> należy określić według PN-EN 933-1 [5]. Krzywe uziarnienia mieszanki kruszyw powinny zawierać się w obszarze między krzywymi granicznymi uziarnienia przedstawionymi na rysunkach 1÷3, odpowiednio dla każdego rodzaju mieszanki. Na rysunkach 1÷3 pokazano również liniami przerywanymi obszar uziarnienia SDV, w którym powinna się mieścić krzywa uziarnienia mieszanki „S” deklarowana przez dostawcę/producenta. </w:t>
      </w:r>
    </w:p>
    <w:p w14:paraId="6BC3925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lastRenderedPageBreak/>
        <w:t xml:space="preserve">W przypadku słabych kruszyw uziarnienie mieszanki kruszyw należy również badać i deklarować po pięciokrotnym zagęszczeniu metodą Proctora. Kryterium przydatności takiej mieszanki, pod względem uziarnienia, jest spełnione, jeżeli uziarnienie mieszanki po pięciokrotnym zagęszczeniu metodą Proctora mieści się w krzywych granicznych podanych na odpowiednich rysunkach 1÷3.  </w:t>
      </w:r>
    </w:p>
    <w:p w14:paraId="48D332C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69500EA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noProof/>
          <w:szCs w:val="20"/>
        </w:rPr>
        <w:drawing>
          <wp:inline distT="0" distB="0" distL="0" distR="0" wp14:anchorId="6E505AA5" wp14:editId="1BB26660">
            <wp:extent cx="5514975" cy="2619375"/>
            <wp:effectExtent l="0" t="0" r="9525" b="9525"/>
            <wp:docPr id="10" name="Obraz 10" descr="d040402b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d040402br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14975" cy="2619375"/>
                    </a:xfrm>
                    <a:prstGeom prst="rect">
                      <a:avLst/>
                    </a:prstGeom>
                    <a:noFill/>
                    <a:ln>
                      <a:noFill/>
                    </a:ln>
                  </pic:spPr>
                </pic:pic>
              </a:graphicData>
            </a:graphic>
          </wp:inline>
        </w:drawing>
      </w:r>
    </w:p>
    <w:p w14:paraId="3F4E068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Rys. 1.</w:t>
      </w:r>
      <w:r w:rsidRPr="006431C4">
        <w:rPr>
          <w:rFonts w:cs="Arial"/>
          <w:szCs w:val="20"/>
        </w:rPr>
        <w:tab/>
        <w:t>Krzywe graniczne uziarnienia mieszanki kruszywa niezwiązanego 0/31,5 mm          do warstw podbudowy zasadniczej</w:t>
      </w:r>
    </w:p>
    <w:p w14:paraId="2F5CA92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10D1332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noProof/>
          <w:szCs w:val="20"/>
        </w:rPr>
        <w:drawing>
          <wp:inline distT="0" distB="0" distL="0" distR="0" wp14:anchorId="260E4339" wp14:editId="0C35AD17">
            <wp:extent cx="5553075" cy="2895600"/>
            <wp:effectExtent l="0" t="0" r="9525" b="0"/>
            <wp:docPr id="39" name="Obraz 39" descr="d040402b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d040402br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53075" cy="2895600"/>
                    </a:xfrm>
                    <a:prstGeom prst="rect">
                      <a:avLst/>
                    </a:prstGeom>
                    <a:noFill/>
                    <a:ln>
                      <a:noFill/>
                    </a:ln>
                  </pic:spPr>
                </pic:pic>
              </a:graphicData>
            </a:graphic>
          </wp:inline>
        </w:drawing>
      </w:r>
    </w:p>
    <w:p w14:paraId="44A422A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Rys. 2.</w:t>
      </w:r>
      <w:r w:rsidRPr="006431C4">
        <w:rPr>
          <w:rFonts w:cs="Arial"/>
          <w:szCs w:val="20"/>
        </w:rPr>
        <w:tab/>
        <w:t>Krzywe graniczne uziarnienia mieszanki kruszywa niezwiązanego 0/45 mm              do warstw podbudowy zasadniczej</w:t>
      </w:r>
    </w:p>
    <w:p w14:paraId="67D339E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2D62860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noProof/>
          <w:szCs w:val="20"/>
        </w:rPr>
        <w:lastRenderedPageBreak/>
        <w:drawing>
          <wp:inline distT="0" distB="0" distL="0" distR="0" wp14:anchorId="023DF47F" wp14:editId="1DD954E6">
            <wp:extent cx="5572125" cy="2676525"/>
            <wp:effectExtent l="0" t="0" r="9525" b="9525"/>
            <wp:docPr id="41" name="Obraz 41" descr="d040402b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d040402br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72125" cy="2676525"/>
                    </a:xfrm>
                    <a:prstGeom prst="rect">
                      <a:avLst/>
                    </a:prstGeom>
                    <a:noFill/>
                    <a:ln>
                      <a:noFill/>
                    </a:ln>
                  </pic:spPr>
                </pic:pic>
              </a:graphicData>
            </a:graphic>
          </wp:inline>
        </w:drawing>
      </w:r>
    </w:p>
    <w:p w14:paraId="37BC8C3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Rys. 3.</w:t>
      </w:r>
      <w:r w:rsidRPr="006431C4">
        <w:rPr>
          <w:rFonts w:cs="Arial"/>
          <w:szCs w:val="20"/>
        </w:rPr>
        <w:tab/>
        <w:t>Krzywe graniczne uziarnienia mieszanki kruszywa niezwiązanego 0/63 mm              do warstw podbudowy zasadniczej</w:t>
      </w:r>
    </w:p>
    <w:p w14:paraId="575BF35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Oprócz wymagań podanych na rysunkach od 1 do 3, wymaga się aby 90% uziarnień mieszanek zbadanych w ramach ZKP w okresie 6 miesięcy spełniało wymagania kategorii podanych w tablicach 2 i 3, aby zapewnić jednorodność i ciągłość uziarnienia mieszanek.</w:t>
      </w:r>
    </w:p>
    <w:p w14:paraId="7D9451B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Proctora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754"/>
      </w:tblGrid>
      <w:tr w:rsidR="00DB1DC9" w:rsidRPr="006431C4" w14:paraId="0B27BEE0" w14:textId="77777777" w:rsidTr="006D174F">
        <w:tc>
          <w:tcPr>
            <w:tcW w:w="1463" w:type="dxa"/>
            <w:vMerge w:val="restart"/>
            <w:tcBorders>
              <w:bottom w:val="double" w:sz="4" w:space="0" w:color="auto"/>
            </w:tcBorders>
          </w:tcPr>
          <w:p w14:paraId="3E108B6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Mieszanka niezwiązana, mm</w:t>
            </w:r>
          </w:p>
        </w:tc>
        <w:tc>
          <w:tcPr>
            <w:tcW w:w="7540" w:type="dxa"/>
            <w:gridSpan w:val="10"/>
            <w:tcBorders>
              <w:bottom w:val="single" w:sz="4" w:space="0" w:color="auto"/>
            </w:tcBorders>
          </w:tcPr>
          <w:p w14:paraId="1BC12D9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Porównanie z deklarowaną przez producenta wartością (S)</w:t>
            </w:r>
          </w:p>
          <w:p w14:paraId="5CFDAEC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Tolerancje przesiewu przez sito (mm), % (m/m)</w:t>
            </w:r>
          </w:p>
        </w:tc>
      </w:tr>
      <w:tr w:rsidR="00DB1DC9" w:rsidRPr="006431C4" w14:paraId="02303FAF" w14:textId="77777777" w:rsidTr="006D174F">
        <w:tc>
          <w:tcPr>
            <w:tcW w:w="1463" w:type="dxa"/>
            <w:vMerge/>
            <w:tcBorders>
              <w:bottom w:val="double" w:sz="4" w:space="0" w:color="auto"/>
            </w:tcBorders>
          </w:tcPr>
          <w:p w14:paraId="0ED2470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754" w:type="dxa"/>
            <w:tcBorders>
              <w:bottom w:val="double" w:sz="4" w:space="0" w:color="auto"/>
            </w:tcBorders>
            <w:shd w:val="clear" w:color="auto" w:fill="auto"/>
          </w:tcPr>
          <w:p w14:paraId="33FBC57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0,5</w:t>
            </w:r>
          </w:p>
        </w:tc>
        <w:tc>
          <w:tcPr>
            <w:tcW w:w="754" w:type="dxa"/>
            <w:tcBorders>
              <w:bottom w:val="double" w:sz="4" w:space="0" w:color="auto"/>
            </w:tcBorders>
            <w:shd w:val="clear" w:color="auto" w:fill="auto"/>
          </w:tcPr>
          <w:p w14:paraId="5CD32B9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w:t>
            </w:r>
          </w:p>
        </w:tc>
        <w:tc>
          <w:tcPr>
            <w:tcW w:w="754" w:type="dxa"/>
            <w:tcBorders>
              <w:bottom w:val="double" w:sz="4" w:space="0" w:color="auto"/>
            </w:tcBorders>
            <w:shd w:val="clear" w:color="auto" w:fill="auto"/>
          </w:tcPr>
          <w:p w14:paraId="2C3D078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w:t>
            </w:r>
          </w:p>
        </w:tc>
        <w:tc>
          <w:tcPr>
            <w:tcW w:w="754" w:type="dxa"/>
            <w:tcBorders>
              <w:bottom w:val="double" w:sz="4" w:space="0" w:color="auto"/>
            </w:tcBorders>
            <w:shd w:val="clear" w:color="auto" w:fill="auto"/>
          </w:tcPr>
          <w:p w14:paraId="3C5638D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w:t>
            </w:r>
          </w:p>
        </w:tc>
        <w:tc>
          <w:tcPr>
            <w:tcW w:w="754" w:type="dxa"/>
            <w:tcBorders>
              <w:bottom w:val="double" w:sz="4" w:space="0" w:color="auto"/>
            </w:tcBorders>
            <w:shd w:val="clear" w:color="auto" w:fill="auto"/>
          </w:tcPr>
          <w:p w14:paraId="52D0049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5,6</w:t>
            </w:r>
          </w:p>
        </w:tc>
        <w:tc>
          <w:tcPr>
            <w:tcW w:w="754" w:type="dxa"/>
            <w:tcBorders>
              <w:bottom w:val="double" w:sz="4" w:space="0" w:color="auto"/>
            </w:tcBorders>
            <w:shd w:val="clear" w:color="auto" w:fill="auto"/>
          </w:tcPr>
          <w:p w14:paraId="114D2FA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8</w:t>
            </w:r>
          </w:p>
        </w:tc>
        <w:tc>
          <w:tcPr>
            <w:tcW w:w="754" w:type="dxa"/>
            <w:tcBorders>
              <w:bottom w:val="double" w:sz="4" w:space="0" w:color="auto"/>
            </w:tcBorders>
            <w:shd w:val="clear" w:color="auto" w:fill="auto"/>
          </w:tcPr>
          <w:p w14:paraId="592A243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11,2</w:t>
            </w:r>
          </w:p>
        </w:tc>
        <w:tc>
          <w:tcPr>
            <w:tcW w:w="754" w:type="dxa"/>
            <w:tcBorders>
              <w:bottom w:val="double" w:sz="4" w:space="0" w:color="auto"/>
            </w:tcBorders>
            <w:shd w:val="clear" w:color="auto" w:fill="auto"/>
          </w:tcPr>
          <w:p w14:paraId="40BBFFD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16</w:t>
            </w:r>
          </w:p>
        </w:tc>
        <w:tc>
          <w:tcPr>
            <w:tcW w:w="754" w:type="dxa"/>
            <w:tcBorders>
              <w:bottom w:val="double" w:sz="4" w:space="0" w:color="auto"/>
            </w:tcBorders>
            <w:shd w:val="clear" w:color="auto" w:fill="auto"/>
          </w:tcPr>
          <w:p w14:paraId="075294E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22,4</w:t>
            </w:r>
          </w:p>
        </w:tc>
        <w:tc>
          <w:tcPr>
            <w:tcW w:w="754" w:type="dxa"/>
            <w:tcBorders>
              <w:bottom w:val="double" w:sz="4" w:space="0" w:color="auto"/>
            </w:tcBorders>
            <w:shd w:val="clear" w:color="auto" w:fill="auto"/>
          </w:tcPr>
          <w:p w14:paraId="062630F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31,5</w:t>
            </w:r>
          </w:p>
        </w:tc>
      </w:tr>
      <w:tr w:rsidR="00DB1DC9" w:rsidRPr="006431C4" w14:paraId="36B192B4" w14:textId="77777777" w:rsidTr="006D174F">
        <w:tc>
          <w:tcPr>
            <w:tcW w:w="1463" w:type="dxa"/>
            <w:tcBorders>
              <w:top w:val="double" w:sz="4" w:space="0" w:color="auto"/>
            </w:tcBorders>
          </w:tcPr>
          <w:p w14:paraId="1007BD8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0/31,5</w:t>
            </w:r>
          </w:p>
        </w:tc>
        <w:tc>
          <w:tcPr>
            <w:tcW w:w="754" w:type="dxa"/>
            <w:tcBorders>
              <w:top w:val="double" w:sz="4" w:space="0" w:color="auto"/>
            </w:tcBorders>
            <w:shd w:val="clear" w:color="auto" w:fill="auto"/>
          </w:tcPr>
          <w:p w14:paraId="13FF545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c>
          <w:tcPr>
            <w:tcW w:w="754" w:type="dxa"/>
            <w:tcBorders>
              <w:top w:val="double" w:sz="4" w:space="0" w:color="auto"/>
            </w:tcBorders>
            <w:shd w:val="clear" w:color="auto" w:fill="auto"/>
          </w:tcPr>
          <w:p w14:paraId="45536C1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c>
          <w:tcPr>
            <w:tcW w:w="754" w:type="dxa"/>
            <w:tcBorders>
              <w:top w:val="double" w:sz="4" w:space="0" w:color="auto"/>
            </w:tcBorders>
            <w:shd w:val="clear" w:color="auto" w:fill="auto"/>
          </w:tcPr>
          <w:p w14:paraId="2C668A1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7</w:t>
            </w:r>
          </w:p>
        </w:tc>
        <w:tc>
          <w:tcPr>
            <w:tcW w:w="754" w:type="dxa"/>
            <w:tcBorders>
              <w:top w:val="double" w:sz="4" w:space="0" w:color="auto"/>
            </w:tcBorders>
            <w:shd w:val="clear" w:color="auto" w:fill="auto"/>
          </w:tcPr>
          <w:p w14:paraId="74CB949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w:t>
            </w:r>
          </w:p>
        </w:tc>
        <w:tc>
          <w:tcPr>
            <w:tcW w:w="754" w:type="dxa"/>
            <w:tcBorders>
              <w:top w:val="double" w:sz="4" w:space="0" w:color="auto"/>
            </w:tcBorders>
            <w:shd w:val="clear" w:color="auto" w:fill="auto"/>
          </w:tcPr>
          <w:p w14:paraId="4110BD6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54" w:type="dxa"/>
            <w:tcBorders>
              <w:top w:val="double" w:sz="4" w:space="0" w:color="auto"/>
            </w:tcBorders>
            <w:shd w:val="clear" w:color="auto" w:fill="auto"/>
          </w:tcPr>
          <w:p w14:paraId="3A3EC9C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w:t>
            </w:r>
          </w:p>
        </w:tc>
        <w:tc>
          <w:tcPr>
            <w:tcW w:w="754" w:type="dxa"/>
            <w:tcBorders>
              <w:top w:val="double" w:sz="4" w:space="0" w:color="auto"/>
            </w:tcBorders>
            <w:shd w:val="clear" w:color="auto" w:fill="auto"/>
          </w:tcPr>
          <w:p w14:paraId="15D0657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54" w:type="dxa"/>
            <w:tcBorders>
              <w:top w:val="double" w:sz="4" w:space="0" w:color="auto"/>
            </w:tcBorders>
            <w:shd w:val="clear" w:color="auto" w:fill="auto"/>
          </w:tcPr>
          <w:p w14:paraId="76D21FB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w:t>
            </w:r>
          </w:p>
        </w:tc>
        <w:tc>
          <w:tcPr>
            <w:tcW w:w="754" w:type="dxa"/>
            <w:tcBorders>
              <w:top w:val="double" w:sz="4" w:space="0" w:color="auto"/>
            </w:tcBorders>
            <w:shd w:val="clear" w:color="auto" w:fill="auto"/>
          </w:tcPr>
          <w:p w14:paraId="7618596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754" w:type="dxa"/>
            <w:tcBorders>
              <w:top w:val="double" w:sz="4" w:space="0" w:color="auto"/>
            </w:tcBorders>
            <w:shd w:val="clear" w:color="auto" w:fill="auto"/>
          </w:tcPr>
          <w:p w14:paraId="1F2A595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r>
      <w:tr w:rsidR="00DB1DC9" w:rsidRPr="006431C4" w14:paraId="6F2A1337" w14:textId="77777777" w:rsidTr="006D174F">
        <w:tc>
          <w:tcPr>
            <w:tcW w:w="1463" w:type="dxa"/>
          </w:tcPr>
          <w:p w14:paraId="5555DD2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0/45</w:t>
            </w:r>
          </w:p>
        </w:tc>
        <w:tc>
          <w:tcPr>
            <w:tcW w:w="754" w:type="dxa"/>
            <w:shd w:val="clear" w:color="auto" w:fill="auto"/>
          </w:tcPr>
          <w:p w14:paraId="5A12123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c>
          <w:tcPr>
            <w:tcW w:w="754" w:type="dxa"/>
            <w:shd w:val="clear" w:color="auto" w:fill="auto"/>
          </w:tcPr>
          <w:p w14:paraId="0252655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c>
          <w:tcPr>
            <w:tcW w:w="754" w:type="dxa"/>
            <w:shd w:val="clear" w:color="auto" w:fill="auto"/>
          </w:tcPr>
          <w:p w14:paraId="2E05558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7</w:t>
            </w:r>
          </w:p>
        </w:tc>
        <w:tc>
          <w:tcPr>
            <w:tcW w:w="754" w:type="dxa"/>
            <w:shd w:val="clear" w:color="auto" w:fill="auto"/>
          </w:tcPr>
          <w:p w14:paraId="1DAFD18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54" w:type="dxa"/>
            <w:shd w:val="clear" w:color="auto" w:fill="auto"/>
          </w:tcPr>
          <w:p w14:paraId="7D04ECB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w:t>
            </w:r>
          </w:p>
        </w:tc>
        <w:tc>
          <w:tcPr>
            <w:tcW w:w="754" w:type="dxa"/>
            <w:shd w:val="clear" w:color="auto" w:fill="auto"/>
          </w:tcPr>
          <w:p w14:paraId="40FA4B2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54" w:type="dxa"/>
            <w:shd w:val="clear" w:color="auto" w:fill="auto"/>
          </w:tcPr>
          <w:p w14:paraId="5D21D7D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w:t>
            </w:r>
          </w:p>
        </w:tc>
        <w:tc>
          <w:tcPr>
            <w:tcW w:w="754" w:type="dxa"/>
            <w:shd w:val="clear" w:color="auto" w:fill="auto"/>
          </w:tcPr>
          <w:p w14:paraId="7661D6D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54" w:type="dxa"/>
            <w:shd w:val="clear" w:color="auto" w:fill="auto"/>
          </w:tcPr>
          <w:p w14:paraId="227C462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w:t>
            </w:r>
          </w:p>
        </w:tc>
        <w:tc>
          <w:tcPr>
            <w:tcW w:w="754" w:type="dxa"/>
            <w:shd w:val="clear" w:color="auto" w:fill="auto"/>
          </w:tcPr>
          <w:p w14:paraId="149D3C9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r>
      <w:tr w:rsidR="00DB1DC9" w:rsidRPr="006431C4" w14:paraId="7EC11925" w14:textId="77777777" w:rsidTr="006D174F">
        <w:tc>
          <w:tcPr>
            <w:tcW w:w="1463" w:type="dxa"/>
          </w:tcPr>
          <w:p w14:paraId="3C30252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0/63</w:t>
            </w:r>
          </w:p>
        </w:tc>
        <w:tc>
          <w:tcPr>
            <w:tcW w:w="754" w:type="dxa"/>
            <w:shd w:val="clear" w:color="auto" w:fill="auto"/>
          </w:tcPr>
          <w:p w14:paraId="1E0F4DD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54" w:type="dxa"/>
            <w:shd w:val="clear" w:color="auto" w:fill="auto"/>
          </w:tcPr>
          <w:p w14:paraId="4C2951A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c>
          <w:tcPr>
            <w:tcW w:w="754" w:type="dxa"/>
            <w:shd w:val="clear" w:color="auto" w:fill="auto"/>
          </w:tcPr>
          <w:p w14:paraId="682E176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c>
          <w:tcPr>
            <w:tcW w:w="754" w:type="dxa"/>
            <w:shd w:val="clear" w:color="auto" w:fill="auto"/>
          </w:tcPr>
          <w:p w14:paraId="4B44E34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7</w:t>
            </w:r>
          </w:p>
        </w:tc>
        <w:tc>
          <w:tcPr>
            <w:tcW w:w="754" w:type="dxa"/>
            <w:shd w:val="clear" w:color="auto" w:fill="auto"/>
          </w:tcPr>
          <w:p w14:paraId="2CCFBCE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54" w:type="dxa"/>
            <w:shd w:val="clear" w:color="auto" w:fill="auto"/>
          </w:tcPr>
          <w:p w14:paraId="388E1CB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w:t>
            </w:r>
          </w:p>
        </w:tc>
        <w:tc>
          <w:tcPr>
            <w:tcW w:w="754" w:type="dxa"/>
            <w:shd w:val="clear" w:color="auto" w:fill="auto"/>
          </w:tcPr>
          <w:p w14:paraId="3EF17B6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54" w:type="dxa"/>
            <w:shd w:val="clear" w:color="auto" w:fill="auto"/>
          </w:tcPr>
          <w:p w14:paraId="51187BE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w:t>
            </w:r>
          </w:p>
        </w:tc>
        <w:tc>
          <w:tcPr>
            <w:tcW w:w="754" w:type="dxa"/>
            <w:shd w:val="clear" w:color="auto" w:fill="auto"/>
          </w:tcPr>
          <w:p w14:paraId="33564A6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754" w:type="dxa"/>
            <w:shd w:val="clear" w:color="auto" w:fill="auto"/>
          </w:tcPr>
          <w:p w14:paraId="1071F49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w:t>
            </w:r>
          </w:p>
        </w:tc>
      </w:tr>
    </w:tbl>
    <w:p w14:paraId="50EEADE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6F9274B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Krzywa uziarnienia (S) deklarowana przez producenta mieszanek powinna nie tylko mieścić się w odpowiednich krzywych uziarnienia (rys. 1÷3) ograniczonych przerywanymi liniami (SDV) z uwzględnieniem dopuszczalnych tolerancji podanych w tablicy 2, ale powinna spełniać także wymagania ciągłości uziarnienia zawarte w tablicy 3.</w:t>
      </w:r>
    </w:p>
    <w:p w14:paraId="6094B61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4419BAD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2A22807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Tablica 3.</w:t>
      </w:r>
      <w:r w:rsidRPr="006431C4">
        <w:rPr>
          <w:rFonts w:cs="Arial"/>
          <w:szCs w:val="20"/>
        </w:rPr>
        <w:tab/>
        <w:t>Wymagania wobec ciągłości uziarnienia na sitach kontrolnych – różnice w przesiewach podczas badań kontrolnych produkowanych mieszanek</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3"/>
        <w:gridCol w:w="594"/>
        <w:gridCol w:w="594"/>
        <w:gridCol w:w="594"/>
        <w:gridCol w:w="594"/>
        <w:gridCol w:w="594"/>
        <w:gridCol w:w="594"/>
        <w:gridCol w:w="594"/>
        <w:gridCol w:w="594"/>
        <w:gridCol w:w="594"/>
        <w:gridCol w:w="594"/>
        <w:gridCol w:w="594"/>
        <w:gridCol w:w="594"/>
        <w:gridCol w:w="594"/>
        <w:gridCol w:w="594"/>
        <w:gridCol w:w="594"/>
        <w:gridCol w:w="594"/>
      </w:tblGrid>
      <w:tr w:rsidR="00DB1DC9" w:rsidRPr="006431C4" w14:paraId="690D6C38" w14:textId="77777777" w:rsidTr="006D174F">
        <w:tc>
          <w:tcPr>
            <w:tcW w:w="703" w:type="dxa"/>
            <w:vMerge w:val="restart"/>
          </w:tcPr>
          <w:p w14:paraId="08A6EFF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Mie-szan-ka, mm</w:t>
            </w:r>
          </w:p>
        </w:tc>
        <w:tc>
          <w:tcPr>
            <w:tcW w:w="8285" w:type="dxa"/>
            <w:gridSpan w:val="16"/>
          </w:tcPr>
          <w:p w14:paraId="0751441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Minimalna i maksymalna zawartość frakcji w mieszankach;</w:t>
            </w:r>
          </w:p>
          <w:p w14:paraId="53AE841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[różnice przesiewów w % (m/m) przez sito (mm)]</w:t>
            </w:r>
          </w:p>
        </w:tc>
      </w:tr>
      <w:tr w:rsidR="00DB1DC9" w:rsidRPr="006431C4" w14:paraId="23B23EB7" w14:textId="77777777" w:rsidTr="006D174F">
        <w:tc>
          <w:tcPr>
            <w:tcW w:w="703" w:type="dxa"/>
            <w:vMerge/>
          </w:tcPr>
          <w:p w14:paraId="42FD9DB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997" w:type="dxa"/>
            <w:gridSpan w:val="2"/>
            <w:tcBorders>
              <w:bottom w:val="single" w:sz="4" w:space="0" w:color="auto"/>
            </w:tcBorders>
          </w:tcPr>
          <w:p w14:paraId="1697B17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1/2</w:t>
            </w:r>
          </w:p>
        </w:tc>
        <w:tc>
          <w:tcPr>
            <w:tcW w:w="1030" w:type="dxa"/>
            <w:gridSpan w:val="2"/>
            <w:tcBorders>
              <w:bottom w:val="single" w:sz="4" w:space="0" w:color="auto"/>
            </w:tcBorders>
          </w:tcPr>
          <w:p w14:paraId="547F3EF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2/4</w:t>
            </w:r>
          </w:p>
        </w:tc>
        <w:tc>
          <w:tcPr>
            <w:tcW w:w="997" w:type="dxa"/>
            <w:gridSpan w:val="2"/>
            <w:tcBorders>
              <w:bottom w:val="single" w:sz="4" w:space="0" w:color="auto"/>
            </w:tcBorders>
          </w:tcPr>
          <w:p w14:paraId="309ED6A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2/5,6</w:t>
            </w:r>
          </w:p>
        </w:tc>
        <w:tc>
          <w:tcPr>
            <w:tcW w:w="997" w:type="dxa"/>
            <w:gridSpan w:val="2"/>
            <w:tcBorders>
              <w:bottom w:val="single" w:sz="4" w:space="0" w:color="auto"/>
            </w:tcBorders>
          </w:tcPr>
          <w:p w14:paraId="589CBCF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4/8</w:t>
            </w:r>
          </w:p>
        </w:tc>
        <w:tc>
          <w:tcPr>
            <w:tcW w:w="1071" w:type="dxa"/>
            <w:gridSpan w:val="2"/>
            <w:tcBorders>
              <w:bottom w:val="single" w:sz="4" w:space="0" w:color="auto"/>
            </w:tcBorders>
          </w:tcPr>
          <w:p w14:paraId="100A782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5,6/11,2</w:t>
            </w:r>
          </w:p>
        </w:tc>
        <w:tc>
          <w:tcPr>
            <w:tcW w:w="1071" w:type="dxa"/>
            <w:gridSpan w:val="2"/>
            <w:tcBorders>
              <w:bottom w:val="single" w:sz="4" w:space="0" w:color="auto"/>
            </w:tcBorders>
          </w:tcPr>
          <w:p w14:paraId="7CB0F00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8/16</w:t>
            </w:r>
          </w:p>
        </w:tc>
        <w:tc>
          <w:tcPr>
            <w:tcW w:w="1123" w:type="dxa"/>
            <w:gridSpan w:val="2"/>
            <w:tcBorders>
              <w:bottom w:val="single" w:sz="4" w:space="0" w:color="auto"/>
            </w:tcBorders>
          </w:tcPr>
          <w:p w14:paraId="2AF5E1D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11,2/22,4</w:t>
            </w:r>
          </w:p>
        </w:tc>
        <w:tc>
          <w:tcPr>
            <w:tcW w:w="999" w:type="dxa"/>
            <w:gridSpan w:val="2"/>
            <w:tcBorders>
              <w:bottom w:val="single" w:sz="4" w:space="0" w:color="auto"/>
            </w:tcBorders>
          </w:tcPr>
          <w:p w14:paraId="35E4C04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16/31,5</w:t>
            </w:r>
          </w:p>
        </w:tc>
      </w:tr>
      <w:tr w:rsidR="00DB1DC9" w:rsidRPr="006431C4" w14:paraId="58C18837" w14:textId="77777777" w:rsidTr="006D174F">
        <w:tc>
          <w:tcPr>
            <w:tcW w:w="703" w:type="dxa"/>
            <w:vMerge/>
            <w:tcBorders>
              <w:bottom w:val="double" w:sz="4" w:space="0" w:color="auto"/>
            </w:tcBorders>
          </w:tcPr>
          <w:p w14:paraId="081CA5C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05" w:type="dxa"/>
            <w:tcBorders>
              <w:bottom w:val="double" w:sz="4" w:space="0" w:color="auto"/>
            </w:tcBorders>
            <w:shd w:val="clear" w:color="auto" w:fill="auto"/>
          </w:tcPr>
          <w:p w14:paraId="4E11B9E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w:t>
            </w:r>
          </w:p>
        </w:tc>
        <w:tc>
          <w:tcPr>
            <w:tcW w:w="492" w:type="dxa"/>
            <w:tcBorders>
              <w:bottom w:val="double" w:sz="4" w:space="0" w:color="auto"/>
            </w:tcBorders>
            <w:shd w:val="clear" w:color="auto" w:fill="auto"/>
          </w:tcPr>
          <w:p w14:paraId="1916E77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max</w:t>
            </w:r>
          </w:p>
        </w:tc>
        <w:tc>
          <w:tcPr>
            <w:tcW w:w="521" w:type="dxa"/>
            <w:tcBorders>
              <w:bottom w:val="double" w:sz="4" w:space="0" w:color="auto"/>
            </w:tcBorders>
            <w:shd w:val="clear" w:color="auto" w:fill="auto"/>
          </w:tcPr>
          <w:p w14:paraId="1EBA40F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w:t>
            </w:r>
          </w:p>
        </w:tc>
        <w:tc>
          <w:tcPr>
            <w:tcW w:w="509" w:type="dxa"/>
            <w:tcBorders>
              <w:bottom w:val="double" w:sz="4" w:space="0" w:color="auto"/>
            </w:tcBorders>
            <w:shd w:val="clear" w:color="auto" w:fill="auto"/>
          </w:tcPr>
          <w:p w14:paraId="6A5BAFF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max</w:t>
            </w:r>
          </w:p>
        </w:tc>
        <w:tc>
          <w:tcPr>
            <w:tcW w:w="505" w:type="dxa"/>
            <w:tcBorders>
              <w:bottom w:val="double" w:sz="4" w:space="0" w:color="auto"/>
            </w:tcBorders>
            <w:shd w:val="clear" w:color="auto" w:fill="auto"/>
          </w:tcPr>
          <w:p w14:paraId="5A7AFF0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w:t>
            </w:r>
          </w:p>
        </w:tc>
        <w:tc>
          <w:tcPr>
            <w:tcW w:w="492" w:type="dxa"/>
            <w:tcBorders>
              <w:bottom w:val="double" w:sz="4" w:space="0" w:color="auto"/>
            </w:tcBorders>
            <w:shd w:val="clear" w:color="auto" w:fill="auto"/>
          </w:tcPr>
          <w:p w14:paraId="3B95CCD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max</w:t>
            </w:r>
          </w:p>
        </w:tc>
        <w:tc>
          <w:tcPr>
            <w:tcW w:w="505" w:type="dxa"/>
            <w:tcBorders>
              <w:bottom w:val="double" w:sz="4" w:space="0" w:color="auto"/>
            </w:tcBorders>
            <w:shd w:val="clear" w:color="auto" w:fill="auto"/>
          </w:tcPr>
          <w:p w14:paraId="7CE10BA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w:t>
            </w:r>
          </w:p>
        </w:tc>
        <w:tc>
          <w:tcPr>
            <w:tcW w:w="492" w:type="dxa"/>
            <w:tcBorders>
              <w:bottom w:val="double" w:sz="4" w:space="0" w:color="auto"/>
            </w:tcBorders>
            <w:shd w:val="clear" w:color="auto" w:fill="auto"/>
          </w:tcPr>
          <w:p w14:paraId="60890FE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max</w:t>
            </w:r>
          </w:p>
        </w:tc>
        <w:tc>
          <w:tcPr>
            <w:tcW w:w="505" w:type="dxa"/>
            <w:tcBorders>
              <w:bottom w:val="double" w:sz="4" w:space="0" w:color="auto"/>
            </w:tcBorders>
            <w:shd w:val="clear" w:color="auto" w:fill="auto"/>
          </w:tcPr>
          <w:p w14:paraId="05343C6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w:t>
            </w:r>
          </w:p>
        </w:tc>
        <w:tc>
          <w:tcPr>
            <w:tcW w:w="566" w:type="dxa"/>
            <w:tcBorders>
              <w:bottom w:val="double" w:sz="4" w:space="0" w:color="auto"/>
            </w:tcBorders>
            <w:shd w:val="clear" w:color="auto" w:fill="auto"/>
          </w:tcPr>
          <w:p w14:paraId="3FFF192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max</w:t>
            </w:r>
          </w:p>
        </w:tc>
        <w:tc>
          <w:tcPr>
            <w:tcW w:w="505" w:type="dxa"/>
            <w:tcBorders>
              <w:bottom w:val="double" w:sz="4" w:space="0" w:color="auto"/>
            </w:tcBorders>
            <w:shd w:val="clear" w:color="auto" w:fill="auto"/>
          </w:tcPr>
          <w:p w14:paraId="3875F60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w:t>
            </w:r>
          </w:p>
        </w:tc>
        <w:tc>
          <w:tcPr>
            <w:tcW w:w="566" w:type="dxa"/>
            <w:tcBorders>
              <w:bottom w:val="double" w:sz="4" w:space="0" w:color="auto"/>
            </w:tcBorders>
            <w:shd w:val="clear" w:color="auto" w:fill="auto"/>
          </w:tcPr>
          <w:p w14:paraId="206BDE6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max</w:t>
            </w:r>
          </w:p>
        </w:tc>
        <w:tc>
          <w:tcPr>
            <w:tcW w:w="545" w:type="dxa"/>
            <w:tcBorders>
              <w:bottom w:val="double" w:sz="4" w:space="0" w:color="auto"/>
            </w:tcBorders>
            <w:shd w:val="clear" w:color="auto" w:fill="auto"/>
          </w:tcPr>
          <w:p w14:paraId="6540054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w:t>
            </w:r>
          </w:p>
        </w:tc>
        <w:tc>
          <w:tcPr>
            <w:tcW w:w="578" w:type="dxa"/>
            <w:tcBorders>
              <w:bottom w:val="double" w:sz="4" w:space="0" w:color="auto"/>
            </w:tcBorders>
            <w:shd w:val="clear" w:color="auto" w:fill="auto"/>
          </w:tcPr>
          <w:p w14:paraId="6417A2A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max</w:t>
            </w:r>
          </w:p>
        </w:tc>
        <w:tc>
          <w:tcPr>
            <w:tcW w:w="507" w:type="dxa"/>
            <w:tcBorders>
              <w:bottom w:val="double" w:sz="4" w:space="0" w:color="auto"/>
            </w:tcBorders>
            <w:shd w:val="clear" w:color="auto" w:fill="auto"/>
          </w:tcPr>
          <w:p w14:paraId="79C6BD8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w:t>
            </w:r>
          </w:p>
        </w:tc>
        <w:tc>
          <w:tcPr>
            <w:tcW w:w="492" w:type="dxa"/>
            <w:tcBorders>
              <w:bottom w:val="double" w:sz="4" w:space="0" w:color="auto"/>
            </w:tcBorders>
            <w:shd w:val="clear" w:color="auto" w:fill="auto"/>
          </w:tcPr>
          <w:p w14:paraId="5862938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max</w:t>
            </w:r>
          </w:p>
        </w:tc>
      </w:tr>
      <w:tr w:rsidR="00DB1DC9" w:rsidRPr="006431C4" w14:paraId="0D23AE5E" w14:textId="77777777" w:rsidTr="006D174F">
        <w:tc>
          <w:tcPr>
            <w:tcW w:w="703" w:type="dxa"/>
            <w:tcBorders>
              <w:top w:val="double" w:sz="4" w:space="0" w:color="auto"/>
            </w:tcBorders>
          </w:tcPr>
          <w:p w14:paraId="1393835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0/31,5</w:t>
            </w:r>
          </w:p>
        </w:tc>
        <w:tc>
          <w:tcPr>
            <w:tcW w:w="505" w:type="dxa"/>
            <w:tcBorders>
              <w:top w:val="double" w:sz="4" w:space="0" w:color="auto"/>
            </w:tcBorders>
            <w:shd w:val="clear" w:color="auto" w:fill="auto"/>
          </w:tcPr>
          <w:p w14:paraId="1D2286E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w:t>
            </w:r>
          </w:p>
        </w:tc>
        <w:tc>
          <w:tcPr>
            <w:tcW w:w="492" w:type="dxa"/>
            <w:tcBorders>
              <w:top w:val="double" w:sz="4" w:space="0" w:color="auto"/>
            </w:tcBorders>
            <w:shd w:val="clear" w:color="auto" w:fill="auto"/>
          </w:tcPr>
          <w:p w14:paraId="509D639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15</w:t>
            </w:r>
          </w:p>
        </w:tc>
        <w:tc>
          <w:tcPr>
            <w:tcW w:w="521" w:type="dxa"/>
            <w:tcBorders>
              <w:top w:val="double" w:sz="4" w:space="0" w:color="auto"/>
            </w:tcBorders>
            <w:shd w:val="clear" w:color="auto" w:fill="auto"/>
          </w:tcPr>
          <w:p w14:paraId="4103843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7</w:t>
            </w:r>
          </w:p>
        </w:tc>
        <w:tc>
          <w:tcPr>
            <w:tcW w:w="509" w:type="dxa"/>
            <w:tcBorders>
              <w:top w:val="double" w:sz="4" w:space="0" w:color="auto"/>
            </w:tcBorders>
            <w:shd w:val="clear" w:color="auto" w:fill="auto"/>
          </w:tcPr>
          <w:p w14:paraId="3EF4B17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20</w:t>
            </w:r>
          </w:p>
        </w:tc>
        <w:tc>
          <w:tcPr>
            <w:tcW w:w="505" w:type="dxa"/>
            <w:tcBorders>
              <w:top w:val="double" w:sz="4" w:space="0" w:color="auto"/>
            </w:tcBorders>
            <w:shd w:val="clear" w:color="auto" w:fill="auto"/>
          </w:tcPr>
          <w:p w14:paraId="4C49CB0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492" w:type="dxa"/>
            <w:tcBorders>
              <w:top w:val="double" w:sz="4" w:space="0" w:color="auto"/>
            </w:tcBorders>
            <w:shd w:val="clear" w:color="auto" w:fill="auto"/>
          </w:tcPr>
          <w:p w14:paraId="45FE6B0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05" w:type="dxa"/>
            <w:tcBorders>
              <w:top w:val="double" w:sz="4" w:space="0" w:color="auto"/>
            </w:tcBorders>
            <w:shd w:val="clear" w:color="auto" w:fill="auto"/>
          </w:tcPr>
          <w:p w14:paraId="4C5C370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10</w:t>
            </w:r>
          </w:p>
        </w:tc>
        <w:tc>
          <w:tcPr>
            <w:tcW w:w="492" w:type="dxa"/>
            <w:tcBorders>
              <w:top w:val="double" w:sz="4" w:space="0" w:color="auto"/>
            </w:tcBorders>
            <w:shd w:val="clear" w:color="auto" w:fill="auto"/>
          </w:tcPr>
          <w:p w14:paraId="08B787F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25</w:t>
            </w:r>
          </w:p>
        </w:tc>
        <w:tc>
          <w:tcPr>
            <w:tcW w:w="505" w:type="dxa"/>
            <w:tcBorders>
              <w:top w:val="double" w:sz="4" w:space="0" w:color="auto"/>
            </w:tcBorders>
            <w:shd w:val="clear" w:color="auto" w:fill="auto"/>
          </w:tcPr>
          <w:p w14:paraId="03E8F89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66" w:type="dxa"/>
            <w:tcBorders>
              <w:top w:val="double" w:sz="4" w:space="0" w:color="auto"/>
            </w:tcBorders>
            <w:shd w:val="clear" w:color="auto" w:fill="auto"/>
          </w:tcPr>
          <w:p w14:paraId="1B94654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05" w:type="dxa"/>
            <w:tcBorders>
              <w:top w:val="double" w:sz="4" w:space="0" w:color="auto"/>
            </w:tcBorders>
            <w:shd w:val="clear" w:color="auto" w:fill="auto"/>
          </w:tcPr>
          <w:p w14:paraId="26FD709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10</w:t>
            </w:r>
          </w:p>
        </w:tc>
        <w:tc>
          <w:tcPr>
            <w:tcW w:w="566" w:type="dxa"/>
            <w:tcBorders>
              <w:top w:val="double" w:sz="4" w:space="0" w:color="auto"/>
            </w:tcBorders>
            <w:shd w:val="clear" w:color="auto" w:fill="auto"/>
          </w:tcPr>
          <w:p w14:paraId="63D6167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25</w:t>
            </w:r>
          </w:p>
        </w:tc>
        <w:tc>
          <w:tcPr>
            <w:tcW w:w="545" w:type="dxa"/>
            <w:tcBorders>
              <w:top w:val="double" w:sz="4" w:space="0" w:color="auto"/>
            </w:tcBorders>
            <w:shd w:val="clear" w:color="auto" w:fill="auto"/>
          </w:tcPr>
          <w:p w14:paraId="2729C95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78" w:type="dxa"/>
            <w:tcBorders>
              <w:top w:val="double" w:sz="4" w:space="0" w:color="auto"/>
            </w:tcBorders>
            <w:shd w:val="clear" w:color="auto" w:fill="auto"/>
          </w:tcPr>
          <w:p w14:paraId="091E328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07" w:type="dxa"/>
            <w:tcBorders>
              <w:top w:val="double" w:sz="4" w:space="0" w:color="auto"/>
            </w:tcBorders>
            <w:shd w:val="clear" w:color="auto" w:fill="auto"/>
          </w:tcPr>
          <w:p w14:paraId="66860F2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492" w:type="dxa"/>
            <w:tcBorders>
              <w:top w:val="double" w:sz="4" w:space="0" w:color="auto"/>
            </w:tcBorders>
            <w:shd w:val="clear" w:color="auto" w:fill="auto"/>
          </w:tcPr>
          <w:p w14:paraId="40014E3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r>
      <w:tr w:rsidR="00DB1DC9" w:rsidRPr="006431C4" w14:paraId="2C0471FE" w14:textId="77777777" w:rsidTr="006D174F">
        <w:tc>
          <w:tcPr>
            <w:tcW w:w="703" w:type="dxa"/>
          </w:tcPr>
          <w:p w14:paraId="2CE4F9B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0/45</w:t>
            </w:r>
          </w:p>
        </w:tc>
        <w:tc>
          <w:tcPr>
            <w:tcW w:w="505" w:type="dxa"/>
            <w:shd w:val="clear" w:color="auto" w:fill="auto"/>
          </w:tcPr>
          <w:p w14:paraId="674C590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w:t>
            </w:r>
          </w:p>
        </w:tc>
        <w:tc>
          <w:tcPr>
            <w:tcW w:w="492" w:type="dxa"/>
            <w:shd w:val="clear" w:color="auto" w:fill="auto"/>
          </w:tcPr>
          <w:p w14:paraId="76FFB42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15</w:t>
            </w:r>
          </w:p>
        </w:tc>
        <w:tc>
          <w:tcPr>
            <w:tcW w:w="521" w:type="dxa"/>
            <w:shd w:val="clear" w:color="auto" w:fill="auto"/>
          </w:tcPr>
          <w:p w14:paraId="4AAE79B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09" w:type="dxa"/>
            <w:shd w:val="clear" w:color="auto" w:fill="auto"/>
          </w:tcPr>
          <w:p w14:paraId="227FEA4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05" w:type="dxa"/>
            <w:shd w:val="clear" w:color="auto" w:fill="auto"/>
          </w:tcPr>
          <w:p w14:paraId="204A566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7</w:t>
            </w:r>
          </w:p>
        </w:tc>
        <w:tc>
          <w:tcPr>
            <w:tcW w:w="492" w:type="dxa"/>
            <w:shd w:val="clear" w:color="auto" w:fill="auto"/>
          </w:tcPr>
          <w:p w14:paraId="5EE11C8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20</w:t>
            </w:r>
          </w:p>
        </w:tc>
        <w:tc>
          <w:tcPr>
            <w:tcW w:w="505" w:type="dxa"/>
            <w:shd w:val="clear" w:color="auto" w:fill="auto"/>
          </w:tcPr>
          <w:p w14:paraId="7D1178C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492" w:type="dxa"/>
            <w:shd w:val="clear" w:color="auto" w:fill="auto"/>
          </w:tcPr>
          <w:p w14:paraId="2254756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05" w:type="dxa"/>
            <w:shd w:val="clear" w:color="auto" w:fill="auto"/>
          </w:tcPr>
          <w:p w14:paraId="1D284F3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10</w:t>
            </w:r>
          </w:p>
        </w:tc>
        <w:tc>
          <w:tcPr>
            <w:tcW w:w="566" w:type="dxa"/>
            <w:shd w:val="clear" w:color="auto" w:fill="auto"/>
          </w:tcPr>
          <w:p w14:paraId="2E742C0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25</w:t>
            </w:r>
          </w:p>
        </w:tc>
        <w:tc>
          <w:tcPr>
            <w:tcW w:w="505" w:type="dxa"/>
            <w:shd w:val="clear" w:color="auto" w:fill="auto"/>
          </w:tcPr>
          <w:p w14:paraId="39C8E43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66" w:type="dxa"/>
            <w:shd w:val="clear" w:color="auto" w:fill="auto"/>
          </w:tcPr>
          <w:p w14:paraId="6AE851F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45" w:type="dxa"/>
            <w:shd w:val="clear" w:color="auto" w:fill="auto"/>
          </w:tcPr>
          <w:p w14:paraId="6D9C98B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10</w:t>
            </w:r>
          </w:p>
        </w:tc>
        <w:tc>
          <w:tcPr>
            <w:tcW w:w="578" w:type="dxa"/>
            <w:shd w:val="clear" w:color="auto" w:fill="auto"/>
          </w:tcPr>
          <w:p w14:paraId="2B9A87C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25</w:t>
            </w:r>
          </w:p>
        </w:tc>
        <w:tc>
          <w:tcPr>
            <w:tcW w:w="507" w:type="dxa"/>
            <w:shd w:val="clear" w:color="auto" w:fill="auto"/>
          </w:tcPr>
          <w:p w14:paraId="6258CB0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492" w:type="dxa"/>
            <w:shd w:val="clear" w:color="auto" w:fill="auto"/>
          </w:tcPr>
          <w:p w14:paraId="037148D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r>
      <w:tr w:rsidR="00DB1DC9" w:rsidRPr="006431C4" w14:paraId="380578A3" w14:textId="77777777" w:rsidTr="006D174F">
        <w:tc>
          <w:tcPr>
            <w:tcW w:w="703" w:type="dxa"/>
          </w:tcPr>
          <w:p w14:paraId="4195E9D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0/63</w:t>
            </w:r>
          </w:p>
        </w:tc>
        <w:tc>
          <w:tcPr>
            <w:tcW w:w="505" w:type="dxa"/>
            <w:shd w:val="clear" w:color="auto" w:fill="auto"/>
          </w:tcPr>
          <w:p w14:paraId="2F391C1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492" w:type="dxa"/>
            <w:shd w:val="clear" w:color="auto" w:fill="auto"/>
          </w:tcPr>
          <w:p w14:paraId="3CF7C4F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21" w:type="dxa"/>
            <w:shd w:val="clear" w:color="auto" w:fill="auto"/>
          </w:tcPr>
          <w:p w14:paraId="084D434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w:t>
            </w:r>
          </w:p>
        </w:tc>
        <w:tc>
          <w:tcPr>
            <w:tcW w:w="509" w:type="dxa"/>
            <w:shd w:val="clear" w:color="auto" w:fill="auto"/>
          </w:tcPr>
          <w:p w14:paraId="171AD01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15</w:t>
            </w:r>
          </w:p>
        </w:tc>
        <w:tc>
          <w:tcPr>
            <w:tcW w:w="505" w:type="dxa"/>
            <w:shd w:val="clear" w:color="auto" w:fill="auto"/>
          </w:tcPr>
          <w:p w14:paraId="7AACC46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492" w:type="dxa"/>
            <w:shd w:val="clear" w:color="auto" w:fill="auto"/>
          </w:tcPr>
          <w:p w14:paraId="50F7DEB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05" w:type="dxa"/>
            <w:shd w:val="clear" w:color="auto" w:fill="auto"/>
          </w:tcPr>
          <w:p w14:paraId="5028D66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7</w:t>
            </w:r>
          </w:p>
        </w:tc>
        <w:tc>
          <w:tcPr>
            <w:tcW w:w="492" w:type="dxa"/>
            <w:shd w:val="clear" w:color="auto" w:fill="auto"/>
          </w:tcPr>
          <w:p w14:paraId="49B5C37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20</w:t>
            </w:r>
          </w:p>
        </w:tc>
        <w:tc>
          <w:tcPr>
            <w:tcW w:w="505" w:type="dxa"/>
            <w:shd w:val="clear" w:color="auto" w:fill="auto"/>
          </w:tcPr>
          <w:p w14:paraId="5D17D5B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66" w:type="dxa"/>
            <w:shd w:val="clear" w:color="auto" w:fill="auto"/>
          </w:tcPr>
          <w:p w14:paraId="766DA2A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05" w:type="dxa"/>
            <w:shd w:val="clear" w:color="auto" w:fill="auto"/>
          </w:tcPr>
          <w:p w14:paraId="6705686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10</w:t>
            </w:r>
          </w:p>
        </w:tc>
        <w:tc>
          <w:tcPr>
            <w:tcW w:w="566" w:type="dxa"/>
            <w:shd w:val="clear" w:color="auto" w:fill="auto"/>
          </w:tcPr>
          <w:p w14:paraId="55826CB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25</w:t>
            </w:r>
          </w:p>
        </w:tc>
        <w:tc>
          <w:tcPr>
            <w:tcW w:w="545" w:type="dxa"/>
            <w:shd w:val="clear" w:color="auto" w:fill="auto"/>
          </w:tcPr>
          <w:p w14:paraId="07917EA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78" w:type="dxa"/>
            <w:shd w:val="clear" w:color="auto" w:fill="auto"/>
          </w:tcPr>
          <w:p w14:paraId="73B47BC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p>
        </w:tc>
        <w:tc>
          <w:tcPr>
            <w:tcW w:w="507" w:type="dxa"/>
            <w:shd w:val="clear" w:color="auto" w:fill="auto"/>
          </w:tcPr>
          <w:p w14:paraId="6DFE249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10</w:t>
            </w:r>
          </w:p>
        </w:tc>
        <w:tc>
          <w:tcPr>
            <w:tcW w:w="492" w:type="dxa"/>
            <w:shd w:val="clear" w:color="auto" w:fill="auto"/>
          </w:tcPr>
          <w:p w14:paraId="49CF7D4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25</w:t>
            </w:r>
          </w:p>
        </w:tc>
      </w:tr>
    </w:tbl>
    <w:p w14:paraId="44F1E46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r>
    </w:p>
    <w:p w14:paraId="0ED3049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Mieszanki kruszyw stosowane do warstw podbudów zasadniczych powinny spełniać wymagania wg tablicy 4. Wymagania wobec mieszanek przeznaczonych do warstw podbudowy zasadniczej odnośnie wrażliwości na mróz (wskaźnik SE), dotyczą badania materiału po pięciokrotnym zagęszczeniu metoda Proctora według PN-EN 13286-2 [18]. Nie stawia się wymagań wobec wodoprzepuszczalności zagęszczonej mieszanki niezwiązanej do podbudowy zasadniczej, o ile szczegółowe rozwiązania nie przewidują tego.</w:t>
      </w:r>
    </w:p>
    <w:p w14:paraId="5063631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Zawartość wody w mieszankach kruszyw powinna odpowiadać wymaganej zawartości wody w trakcie wbudowywania i zagęszczania określonej metodą Proctora  według  PN-EN 13286-2 [18], w granicach podanych w tablicy 4.</w:t>
      </w:r>
    </w:p>
    <w:p w14:paraId="0FDDC54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Badanie CBR mieszanek do podbudowy zasadniczej należy wykonać na mieszance zagęszczonej metodą Proctora  do wskaźnika zagęszczenia Is = 1,0 i po 96 godzinach przechowywania jej w wodzie. CBR należy oznaczyć wg PN-EN 13286-47 [19], a wymaganie przyjąć wg tablicy 4.</w:t>
      </w:r>
    </w:p>
    <w:p w14:paraId="49E5C653"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 xml:space="preserve">Istotne cechy środowiskowe </w:t>
      </w:r>
    </w:p>
    <w:p w14:paraId="0EF64B5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 xml:space="preserve">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w:t>
      </w:r>
      <w:r w:rsidRPr="006431C4">
        <w:rPr>
          <w:rFonts w:cs="Arial"/>
          <w:szCs w:val="20"/>
        </w:rPr>
        <w:lastRenderedPageBreak/>
        <w:t xml:space="preserve">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 </w:t>
      </w:r>
    </w:p>
    <w:p w14:paraId="19B47B9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Wymagania wobec mieszanek</w:t>
      </w:r>
    </w:p>
    <w:p w14:paraId="3BF5C11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W tablicy 4 przedstawia się zbiorcze zestawienie wymagań wobec mieszanek kruszywa niezwiązanego w warstwie podbudowy zasadniczej.</w:t>
      </w:r>
    </w:p>
    <w:p w14:paraId="5DFD97E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64B8444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0C1FC10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Tablica 4.</w:t>
      </w:r>
      <w:r w:rsidRPr="006431C4">
        <w:rPr>
          <w:rFonts w:cs="Arial"/>
          <w:szCs w:val="20"/>
        </w:rPr>
        <w:tab/>
        <w:t>Wymagania wobec  mieszanek kruszywa niezwiązanego w warstwie podbudowy zasadniczej</w:t>
      </w:r>
    </w:p>
    <w:p w14:paraId="393C87E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Skróty użyte w tablicy: Kat. – kategoria właściwości,   wsk. – wskaźnik, wsp. – współczynnik</w:t>
      </w:r>
    </w:p>
    <w:p w14:paraId="62366D6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1"/>
        <w:gridCol w:w="709"/>
        <w:gridCol w:w="5670"/>
      </w:tblGrid>
      <w:tr w:rsidR="00DB1DC9" w:rsidRPr="006431C4" w14:paraId="45A158EB" w14:textId="77777777" w:rsidTr="006D174F">
        <w:tc>
          <w:tcPr>
            <w:tcW w:w="4531" w:type="dxa"/>
            <w:vMerge w:val="restart"/>
            <w:vAlign w:val="center"/>
          </w:tcPr>
          <w:p w14:paraId="5D0FE30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Właściwość</w:t>
            </w:r>
          </w:p>
          <w:p w14:paraId="45848E5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kruszywa</w:t>
            </w:r>
          </w:p>
        </w:tc>
        <w:tc>
          <w:tcPr>
            <w:tcW w:w="6379" w:type="dxa"/>
            <w:gridSpan w:val="2"/>
          </w:tcPr>
          <w:p w14:paraId="09560F9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Wymagania wobec  mieszanek kruszywa niezwiązanego w warstwie podbudowy zasadniczej pod nawierzchnią drogi obciążonej ruchem  kategorii KR1 ÷ KR6</w:t>
            </w:r>
          </w:p>
        </w:tc>
      </w:tr>
      <w:tr w:rsidR="00DB1DC9" w:rsidRPr="006431C4" w14:paraId="291D37F8" w14:textId="77777777" w:rsidTr="006D174F">
        <w:trPr>
          <w:trHeight w:val="476"/>
        </w:trPr>
        <w:tc>
          <w:tcPr>
            <w:tcW w:w="4531" w:type="dxa"/>
            <w:vMerge/>
          </w:tcPr>
          <w:p w14:paraId="59DCFE4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709" w:type="dxa"/>
            <w:vAlign w:val="center"/>
          </w:tcPr>
          <w:p w14:paraId="0E13812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Punkt</w:t>
            </w:r>
          </w:p>
          <w:p w14:paraId="1D4F423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w:t>
            </w:r>
          </w:p>
          <w:p w14:paraId="04ACDC0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13285</w:t>
            </w:r>
          </w:p>
        </w:tc>
        <w:tc>
          <w:tcPr>
            <w:tcW w:w="5670" w:type="dxa"/>
            <w:vAlign w:val="center"/>
          </w:tcPr>
          <w:p w14:paraId="7682B9E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Wymagania</w:t>
            </w:r>
          </w:p>
          <w:p w14:paraId="1022FBA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r>
      <w:tr w:rsidR="00DB1DC9" w:rsidRPr="006431C4" w14:paraId="3ED19117" w14:textId="77777777" w:rsidTr="006D174F">
        <w:tc>
          <w:tcPr>
            <w:tcW w:w="4531" w:type="dxa"/>
          </w:tcPr>
          <w:p w14:paraId="60F8FA1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Uziarnienie mieszanek</w:t>
            </w:r>
          </w:p>
        </w:tc>
        <w:tc>
          <w:tcPr>
            <w:tcW w:w="709" w:type="dxa"/>
          </w:tcPr>
          <w:p w14:paraId="4A9E10E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4.3.1</w:t>
            </w:r>
          </w:p>
        </w:tc>
        <w:tc>
          <w:tcPr>
            <w:tcW w:w="5670" w:type="dxa"/>
          </w:tcPr>
          <w:p w14:paraId="2CFB46A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0/31,5; 0/45; 0/63 mm</w:t>
            </w:r>
          </w:p>
        </w:tc>
      </w:tr>
      <w:tr w:rsidR="00DB1DC9" w:rsidRPr="006431C4" w14:paraId="643D67DF" w14:textId="77777777" w:rsidTr="006D174F">
        <w:trPr>
          <w:trHeight w:val="433"/>
        </w:trPr>
        <w:tc>
          <w:tcPr>
            <w:tcW w:w="4531" w:type="dxa"/>
          </w:tcPr>
          <w:p w14:paraId="08B7E9D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Maksymalna zawartość pyłów:</w:t>
            </w:r>
          </w:p>
          <w:p w14:paraId="12927F5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Kat.UF</w:t>
            </w:r>
          </w:p>
        </w:tc>
        <w:tc>
          <w:tcPr>
            <w:tcW w:w="709" w:type="dxa"/>
          </w:tcPr>
          <w:p w14:paraId="192C538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4.3.2</w:t>
            </w:r>
          </w:p>
        </w:tc>
        <w:tc>
          <w:tcPr>
            <w:tcW w:w="5670" w:type="dxa"/>
          </w:tcPr>
          <w:p w14:paraId="548DF00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UF</w:t>
            </w:r>
            <w:r w:rsidRPr="006431C4">
              <w:rPr>
                <w:rFonts w:cs="Arial"/>
                <w:szCs w:val="20"/>
                <w:vertAlign w:val="subscript"/>
              </w:rPr>
              <w:t>9</w:t>
            </w:r>
            <w:r w:rsidRPr="006431C4">
              <w:rPr>
                <w:rFonts w:cs="Arial"/>
                <w:szCs w:val="20"/>
              </w:rPr>
              <w:t xml:space="preserve">  (tj. masa frakcji przechodzącej przez sito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 xml:space="preserve"> powinna być ≤ 9%)</w:t>
            </w:r>
          </w:p>
        </w:tc>
      </w:tr>
      <w:tr w:rsidR="00DB1DC9" w:rsidRPr="006431C4" w14:paraId="318BF4A2" w14:textId="77777777" w:rsidTr="006D174F">
        <w:tc>
          <w:tcPr>
            <w:tcW w:w="4531" w:type="dxa"/>
          </w:tcPr>
          <w:p w14:paraId="22C6CC7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Minimalna zawartość pyłów:</w:t>
            </w:r>
          </w:p>
          <w:p w14:paraId="3F9F1E7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Kat. LF </w:t>
            </w:r>
          </w:p>
        </w:tc>
        <w:tc>
          <w:tcPr>
            <w:tcW w:w="709" w:type="dxa"/>
          </w:tcPr>
          <w:p w14:paraId="5660934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4.3.2</w:t>
            </w:r>
          </w:p>
        </w:tc>
        <w:tc>
          <w:tcPr>
            <w:tcW w:w="5670" w:type="dxa"/>
          </w:tcPr>
          <w:p w14:paraId="51FEA85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LF</w:t>
            </w:r>
            <w:r w:rsidRPr="006431C4">
              <w:rPr>
                <w:rFonts w:cs="Arial"/>
                <w:szCs w:val="20"/>
                <w:vertAlign w:val="subscript"/>
              </w:rPr>
              <w:t xml:space="preserve">NR  </w:t>
            </w:r>
            <w:r w:rsidRPr="006431C4">
              <w:rPr>
                <w:rFonts w:cs="Arial"/>
                <w:szCs w:val="20"/>
              </w:rPr>
              <w:t>(tj. brak wymagań)</w:t>
            </w:r>
          </w:p>
        </w:tc>
      </w:tr>
      <w:tr w:rsidR="00DB1DC9" w:rsidRPr="006431C4" w14:paraId="1F64BFBB" w14:textId="77777777" w:rsidTr="006D174F">
        <w:trPr>
          <w:trHeight w:val="671"/>
        </w:trPr>
        <w:tc>
          <w:tcPr>
            <w:tcW w:w="4531" w:type="dxa"/>
          </w:tcPr>
          <w:p w14:paraId="6134B01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nadziarna:</w:t>
            </w:r>
          </w:p>
          <w:p w14:paraId="3D540F8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Kat.OC</w:t>
            </w:r>
          </w:p>
        </w:tc>
        <w:tc>
          <w:tcPr>
            <w:tcW w:w="709" w:type="dxa"/>
          </w:tcPr>
          <w:p w14:paraId="5CE4E8E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4.3.3</w:t>
            </w:r>
          </w:p>
        </w:tc>
        <w:tc>
          <w:tcPr>
            <w:tcW w:w="5670" w:type="dxa"/>
          </w:tcPr>
          <w:p w14:paraId="54C8334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OC</w:t>
            </w:r>
            <w:r w:rsidRPr="006431C4">
              <w:rPr>
                <w:rFonts w:cs="Arial"/>
                <w:szCs w:val="20"/>
                <w:vertAlign w:val="subscript"/>
              </w:rPr>
              <w:t>90</w:t>
            </w:r>
            <w:r w:rsidRPr="006431C4">
              <w:rPr>
                <w:rFonts w:cs="Arial"/>
                <w:szCs w:val="20"/>
              </w:rPr>
              <w:t xml:space="preserve"> (tj. procent przechodzącej masy przez sito 1,4D</w:t>
            </w:r>
            <w:r w:rsidRPr="006431C4">
              <w:rPr>
                <w:rFonts w:cs="Arial"/>
                <w:szCs w:val="20"/>
                <w:vertAlign w:val="superscript"/>
              </w:rPr>
              <w:t>*)</w:t>
            </w:r>
            <w:r w:rsidRPr="006431C4">
              <w:rPr>
                <w:rFonts w:cs="Arial"/>
                <w:szCs w:val="20"/>
              </w:rPr>
              <w:t xml:space="preserve"> powinien wynosić 100%, a przechodzącej przez sito D</w:t>
            </w:r>
            <w:r w:rsidRPr="006431C4">
              <w:rPr>
                <w:rFonts w:cs="Arial"/>
                <w:szCs w:val="20"/>
                <w:vertAlign w:val="superscript"/>
              </w:rPr>
              <w:t>**)</w:t>
            </w:r>
            <w:r w:rsidRPr="006431C4">
              <w:rPr>
                <w:rFonts w:cs="Arial"/>
                <w:szCs w:val="20"/>
              </w:rPr>
              <w:t xml:space="preserve"> powinien wynosić 90-99%)</w:t>
            </w:r>
          </w:p>
        </w:tc>
      </w:tr>
      <w:tr w:rsidR="00DB1DC9" w:rsidRPr="006431C4" w14:paraId="3AF3B514" w14:textId="77777777" w:rsidTr="006D174F">
        <w:tc>
          <w:tcPr>
            <w:tcW w:w="4531" w:type="dxa"/>
          </w:tcPr>
          <w:p w14:paraId="771C299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Wymagania wobec uziarnienia</w:t>
            </w:r>
          </w:p>
        </w:tc>
        <w:tc>
          <w:tcPr>
            <w:tcW w:w="709" w:type="dxa"/>
          </w:tcPr>
          <w:p w14:paraId="0E74A30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4.4.1</w:t>
            </w:r>
          </w:p>
        </w:tc>
        <w:tc>
          <w:tcPr>
            <w:tcW w:w="5670" w:type="dxa"/>
          </w:tcPr>
          <w:p w14:paraId="2BA02D3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Krzywe graniczne uziarnienia według rys. 1÷3</w:t>
            </w:r>
          </w:p>
        </w:tc>
      </w:tr>
      <w:tr w:rsidR="00DB1DC9" w:rsidRPr="006431C4" w14:paraId="7D16514B" w14:textId="77777777" w:rsidTr="006D174F">
        <w:tc>
          <w:tcPr>
            <w:tcW w:w="4531" w:type="dxa"/>
          </w:tcPr>
          <w:p w14:paraId="3276A42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Wymagania wobec jednorodności uziarnienia poszczególnych partii – porównanie z deklarowaną przez producenta wartością (S)</w:t>
            </w:r>
          </w:p>
        </w:tc>
        <w:tc>
          <w:tcPr>
            <w:tcW w:w="709" w:type="dxa"/>
          </w:tcPr>
          <w:p w14:paraId="0C83FE2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4.4.2</w:t>
            </w:r>
          </w:p>
        </w:tc>
        <w:tc>
          <w:tcPr>
            <w:tcW w:w="5670" w:type="dxa"/>
          </w:tcPr>
          <w:p w14:paraId="3EB9E86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tab. 2</w:t>
            </w:r>
          </w:p>
        </w:tc>
      </w:tr>
      <w:tr w:rsidR="00DB1DC9" w:rsidRPr="006431C4" w14:paraId="30341435" w14:textId="77777777" w:rsidTr="006D174F">
        <w:tc>
          <w:tcPr>
            <w:tcW w:w="4531" w:type="dxa"/>
          </w:tcPr>
          <w:p w14:paraId="5C39B72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Wymagania wobec jednorodności uziarnienia na sitach kontrolnych – różnice w przesiewach</w:t>
            </w:r>
          </w:p>
        </w:tc>
        <w:tc>
          <w:tcPr>
            <w:tcW w:w="709" w:type="dxa"/>
          </w:tcPr>
          <w:p w14:paraId="2D35798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4.4.2</w:t>
            </w:r>
          </w:p>
        </w:tc>
        <w:tc>
          <w:tcPr>
            <w:tcW w:w="5670" w:type="dxa"/>
          </w:tcPr>
          <w:p w14:paraId="7784797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tab. 3</w:t>
            </w:r>
          </w:p>
        </w:tc>
      </w:tr>
      <w:tr w:rsidR="00DB1DC9" w:rsidRPr="006431C4" w14:paraId="318E8B20" w14:textId="77777777" w:rsidTr="006D174F">
        <w:tc>
          <w:tcPr>
            <w:tcW w:w="4531" w:type="dxa"/>
          </w:tcPr>
          <w:p w14:paraId="58F8109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Wrażliwość na mróz; wskaźnik piaskowy SE</w:t>
            </w:r>
            <w:r w:rsidRPr="006431C4">
              <w:rPr>
                <w:rFonts w:cs="Arial"/>
                <w:szCs w:val="20"/>
                <w:vertAlign w:val="superscript"/>
              </w:rPr>
              <w:t>***)</w:t>
            </w:r>
            <w:r w:rsidRPr="006431C4">
              <w:rPr>
                <w:rFonts w:cs="Arial"/>
                <w:szCs w:val="20"/>
              </w:rPr>
              <w:t>, co najmniej</w:t>
            </w:r>
          </w:p>
        </w:tc>
        <w:tc>
          <w:tcPr>
            <w:tcW w:w="709" w:type="dxa"/>
          </w:tcPr>
          <w:p w14:paraId="3FA15AC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4.5</w:t>
            </w:r>
          </w:p>
        </w:tc>
        <w:tc>
          <w:tcPr>
            <w:tcW w:w="5670" w:type="dxa"/>
          </w:tcPr>
          <w:p w14:paraId="2C25648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45</w:t>
            </w:r>
          </w:p>
        </w:tc>
      </w:tr>
      <w:tr w:rsidR="00DB1DC9" w:rsidRPr="006431C4" w14:paraId="742B54D5" w14:textId="77777777" w:rsidTr="006D174F">
        <w:tc>
          <w:tcPr>
            <w:tcW w:w="4531" w:type="dxa"/>
          </w:tcPr>
          <w:p w14:paraId="447C1CA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Odporność na rozdrabnianie (dotyczy frakcji 10/14 mm odsianej z mieszanki) wg PN-EN 1097-1 [9], kat. nie wyższa niż</w:t>
            </w:r>
          </w:p>
        </w:tc>
        <w:tc>
          <w:tcPr>
            <w:tcW w:w="709" w:type="dxa"/>
          </w:tcPr>
          <w:p w14:paraId="6864C85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670" w:type="dxa"/>
          </w:tcPr>
          <w:p w14:paraId="7D6704A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LA</w:t>
            </w:r>
            <w:r w:rsidRPr="006431C4">
              <w:rPr>
                <w:rFonts w:cs="Arial"/>
                <w:szCs w:val="20"/>
                <w:vertAlign w:val="subscript"/>
              </w:rPr>
              <w:t>35</w:t>
            </w:r>
            <w:r w:rsidRPr="006431C4">
              <w:rPr>
                <w:rFonts w:cs="Arial"/>
                <w:szCs w:val="20"/>
              </w:rPr>
              <w:t xml:space="preserve">  (tj. współczynnik Los Angeles ≤ 35)</w:t>
            </w:r>
          </w:p>
        </w:tc>
      </w:tr>
      <w:tr w:rsidR="00DB1DC9" w:rsidRPr="006431C4" w14:paraId="01C80E0F" w14:textId="77777777" w:rsidTr="006D174F">
        <w:tc>
          <w:tcPr>
            <w:tcW w:w="4531" w:type="dxa"/>
          </w:tcPr>
          <w:p w14:paraId="3D62767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bscript"/>
              </w:rPr>
            </w:pPr>
            <w:r w:rsidRPr="006431C4">
              <w:rPr>
                <w:rFonts w:cs="Arial"/>
                <w:szCs w:val="20"/>
              </w:rPr>
              <w:t>Odporność na ścieranie (dotyczy frakcji 10/14 mm odsianej z mieszanki) wg PN-EN 1097-1 [9], kat. M</w:t>
            </w:r>
            <w:r w:rsidRPr="006431C4">
              <w:rPr>
                <w:rFonts w:cs="Arial"/>
                <w:szCs w:val="20"/>
                <w:vertAlign w:val="subscript"/>
              </w:rPr>
              <w:t>DE</w:t>
            </w:r>
          </w:p>
        </w:tc>
        <w:tc>
          <w:tcPr>
            <w:tcW w:w="709" w:type="dxa"/>
          </w:tcPr>
          <w:p w14:paraId="0567ECF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670" w:type="dxa"/>
          </w:tcPr>
          <w:p w14:paraId="7EFB17A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Deklarowana</w:t>
            </w:r>
          </w:p>
        </w:tc>
      </w:tr>
      <w:tr w:rsidR="00DB1DC9" w:rsidRPr="006431C4" w14:paraId="666ADD14" w14:textId="77777777" w:rsidTr="006D174F">
        <w:tc>
          <w:tcPr>
            <w:tcW w:w="4531" w:type="dxa"/>
          </w:tcPr>
          <w:p w14:paraId="72D0109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Mrozoodporność (dotyczy frakcji kruszywa 8/16 mm odsianej z mieszanki) wg PN-EN 1367-1 [12]</w:t>
            </w:r>
          </w:p>
        </w:tc>
        <w:tc>
          <w:tcPr>
            <w:tcW w:w="709" w:type="dxa"/>
          </w:tcPr>
          <w:p w14:paraId="3318709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670" w:type="dxa"/>
          </w:tcPr>
          <w:p w14:paraId="4BA3CFE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Kat. F4  (tj. zamrażanie-rozmrażanie, procent masy ≤ 4)</w:t>
            </w:r>
          </w:p>
        </w:tc>
      </w:tr>
      <w:tr w:rsidR="00DB1DC9" w:rsidRPr="006431C4" w14:paraId="66897143" w14:textId="77777777" w:rsidTr="006D174F">
        <w:tc>
          <w:tcPr>
            <w:tcW w:w="4531" w:type="dxa"/>
          </w:tcPr>
          <w:p w14:paraId="2CB0292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Wartość CBR po zagęszczeniu do wskaźnika zagęszczenia I</w:t>
            </w:r>
            <w:r w:rsidRPr="006431C4">
              <w:rPr>
                <w:rFonts w:cs="Arial"/>
                <w:szCs w:val="20"/>
                <w:vertAlign w:val="subscript"/>
              </w:rPr>
              <w:t>S</w:t>
            </w:r>
            <w:r w:rsidRPr="006431C4">
              <w:rPr>
                <w:rFonts w:cs="Arial"/>
                <w:szCs w:val="20"/>
              </w:rPr>
              <w:t>=1,0 i moczeniu w wodzie 96 h, co najmniej</w:t>
            </w:r>
          </w:p>
        </w:tc>
        <w:tc>
          <w:tcPr>
            <w:tcW w:w="709" w:type="dxa"/>
          </w:tcPr>
          <w:p w14:paraId="7D276B5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670" w:type="dxa"/>
          </w:tcPr>
          <w:p w14:paraId="6C4D24C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 80</w:t>
            </w:r>
          </w:p>
        </w:tc>
      </w:tr>
      <w:tr w:rsidR="00DB1DC9" w:rsidRPr="006431C4" w14:paraId="5917F4F7" w14:textId="77777777" w:rsidTr="006D174F">
        <w:tc>
          <w:tcPr>
            <w:tcW w:w="4531" w:type="dxa"/>
          </w:tcPr>
          <w:p w14:paraId="41CAF85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Wodoprzepuszczalność mieszanki w warstwie odsączającej po zagęszczeniu metodą Proctora do wskaźnika zagęszczenia I</w:t>
            </w:r>
            <w:r w:rsidRPr="006431C4">
              <w:rPr>
                <w:rFonts w:cs="Arial"/>
                <w:szCs w:val="20"/>
                <w:vertAlign w:val="subscript"/>
              </w:rPr>
              <w:t>S</w:t>
            </w:r>
            <w:r w:rsidRPr="006431C4">
              <w:rPr>
                <w:rFonts w:cs="Arial"/>
                <w:szCs w:val="20"/>
              </w:rPr>
              <w:t>=1,0; wsp. filtracji ”k”, co najmniej cm/s</w:t>
            </w:r>
          </w:p>
        </w:tc>
        <w:tc>
          <w:tcPr>
            <w:tcW w:w="709" w:type="dxa"/>
          </w:tcPr>
          <w:p w14:paraId="22A736F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4.5</w:t>
            </w:r>
          </w:p>
        </w:tc>
        <w:tc>
          <w:tcPr>
            <w:tcW w:w="5670" w:type="dxa"/>
          </w:tcPr>
          <w:p w14:paraId="03F4958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Brak wymagań</w:t>
            </w:r>
          </w:p>
        </w:tc>
      </w:tr>
      <w:tr w:rsidR="00DB1DC9" w:rsidRPr="006431C4" w14:paraId="7AE400CB" w14:textId="77777777" w:rsidTr="006D174F">
        <w:tc>
          <w:tcPr>
            <w:tcW w:w="4531" w:type="dxa"/>
          </w:tcPr>
          <w:p w14:paraId="071D7AA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wody w mieszance zagęszczanej; % (m/m) wilgotności optymalnej wg metody Proctora</w:t>
            </w:r>
          </w:p>
        </w:tc>
        <w:tc>
          <w:tcPr>
            <w:tcW w:w="709" w:type="dxa"/>
          </w:tcPr>
          <w:p w14:paraId="10F81B9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670" w:type="dxa"/>
          </w:tcPr>
          <w:p w14:paraId="1948049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80-100</w:t>
            </w:r>
          </w:p>
        </w:tc>
      </w:tr>
      <w:tr w:rsidR="00DB1DC9" w:rsidRPr="006431C4" w14:paraId="29FC2159" w14:textId="77777777" w:rsidTr="006D174F">
        <w:tc>
          <w:tcPr>
            <w:tcW w:w="4531" w:type="dxa"/>
          </w:tcPr>
          <w:p w14:paraId="17FF6EF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Inne cechy środowiskowe</w:t>
            </w:r>
          </w:p>
        </w:tc>
        <w:tc>
          <w:tcPr>
            <w:tcW w:w="709" w:type="dxa"/>
          </w:tcPr>
          <w:p w14:paraId="3D5015D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4.5</w:t>
            </w:r>
          </w:p>
        </w:tc>
        <w:tc>
          <w:tcPr>
            <w:tcW w:w="5670" w:type="dxa"/>
          </w:tcPr>
          <w:p w14:paraId="4463212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48982C0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vertAlign w:val="superscript"/>
        </w:rPr>
        <w:lastRenderedPageBreak/>
        <w:t>*)</w:t>
      </w:r>
      <w:r w:rsidRPr="006431C4">
        <w:rPr>
          <w:rFonts w:cs="Arial"/>
          <w:szCs w:val="20"/>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6431C4">
          <w:rPr>
            <w:rFonts w:cs="Arial"/>
            <w:szCs w:val="20"/>
          </w:rPr>
          <w:t>125 mm</w:t>
        </w:r>
      </w:smartTag>
      <w:r w:rsidRPr="006431C4">
        <w:rPr>
          <w:rFonts w:cs="Arial"/>
          <w:szCs w:val="20"/>
        </w:rPr>
        <w:t xml:space="preserve"> jako wartość nadziarna.</w:t>
      </w:r>
    </w:p>
    <w:p w14:paraId="10DEA49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vertAlign w:val="superscript"/>
        </w:rPr>
        <w:t>**)</w:t>
      </w:r>
      <w:r w:rsidRPr="006431C4">
        <w:rPr>
          <w:rFonts w:cs="Arial"/>
          <w:szCs w:val="20"/>
        </w:rPr>
        <w:t xml:space="preserve"> Procentowa zawartość ziaren przechodzących przez sito D może być większa niż 99% masy, ale w takich przypadkach dostawca powinien zadeklarować typowe uziarnienie.</w:t>
      </w:r>
    </w:p>
    <w:p w14:paraId="485D4C1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vertAlign w:val="superscript"/>
        </w:rPr>
        <w:t xml:space="preserve">***) </w:t>
      </w:r>
      <w:r w:rsidRPr="006431C4">
        <w:rPr>
          <w:rFonts w:cs="Arial"/>
          <w:szCs w:val="20"/>
        </w:rPr>
        <w:t xml:space="preserve">Badanie wskaźnika piaskowego SE należy wykonać na mieszance po pięciokrotnym zagęszczeniu metodą Proctora </w:t>
      </w:r>
      <w:r w:rsidRPr="006431C4">
        <w:rPr>
          <w:rFonts w:cs="Arial"/>
          <w:szCs w:val="20"/>
        </w:rPr>
        <w:br/>
        <w:t>wg PN-EN 13286-2 [18].</w:t>
      </w:r>
    </w:p>
    <w:p w14:paraId="3E3BCA6B"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5.5. Odcinek próbny</w:t>
      </w:r>
    </w:p>
    <w:p w14:paraId="16D1451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Jeżeli w</w:t>
      </w:r>
      <w:r w:rsidR="00897282" w:rsidRPr="006431C4">
        <w:rPr>
          <w:rFonts w:cs="Arial"/>
          <w:szCs w:val="20"/>
        </w:rPr>
        <w:t xml:space="preserve"> SST </w:t>
      </w:r>
      <w:r w:rsidRPr="006431C4">
        <w:rPr>
          <w:rFonts w:cs="Arial"/>
          <w:szCs w:val="20"/>
        </w:rPr>
        <w:t xml:space="preserve">przewidziano potrzebę wykonania odcinka próbnego, to przed rozpoczęciem robót, w terminie uzgodnionym z Inżynierem, Wykonawca powinien wykonać odcinek próbny w celu: </w:t>
      </w:r>
    </w:p>
    <w:p w14:paraId="75542B24" w14:textId="77777777" w:rsidR="00DB1DC9" w:rsidRPr="006431C4" w:rsidRDefault="00DB1DC9" w:rsidP="00CF1E7D">
      <w:pPr>
        <w:numPr>
          <w:ilvl w:val="0"/>
          <w:numId w:val="102"/>
        </w:numPr>
        <w:shd w:val="clear" w:color="auto" w:fill="FFFFFF" w:themeFill="background1"/>
        <w:tabs>
          <w:tab w:val="num" w:pos="-2694"/>
          <w:tab w:val="left" w:pos="142"/>
          <w:tab w:val="num" w:pos="360"/>
          <w:tab w:val="num" w:pos="397"/>
        </w:tabs>
        <w:spacing w:line="240" w:lineRule="auto"/>
        <w:jc w:val="both"/>
        <w:rPr>
          <w:rFonts w:cs="Arial"/>
          <w:szCs w:val="20"/>
        </w:rPr>
      </w:pPr>
      <w:r w:rsidRPr="006431C4">
        <w:rPr>
          <w:rFonts w:cs="Arial"/>
          <w:szCs w:val="20"/>
        </w:rPr>
        <w:t>stwierdzenia czy właściwy jest sprzęt budowlany do produkcji mieszanki oraz jej rozkładania i zagęszczania,</w:t>
      </w:r>
    </w:p>
    <w:p w14:paraId="3907EF3A" w14:textId="77777777" w:rsidR="00DB1DC9" w:rsidRPr="006431C4" w:rsidRDefault="00DB1DC9" w:rsidP="00CF1E7D">
      <w:pPr>
        <w:numPr>
          <w:ilvl w:val="0"/>
          <w:numId w:val="102"/>
        </w:numPr>
        <w:shd w:val="clear" w:color="auto" w:fill="FFFFFF" w:themeFill="background1"/>
        <w:tabs>
          <w:tab w:val="num" w:pos="-2694"/>
          <w:tab w:val="left" w:pos="142"/>
          <w:tab w:val="num" w:pos="360"/>
          <w:tab w:val="num" w:pos="397"/>
        </w:tabs>
        <w:spacing w:line="240" w:lineRule="auto"/>
        <w:jc w:val="both"/>
        <w:rPr>
          <w:rFonts w:cs="Arial"/>
          <w:szCs w:val="20"/>
        </w:rPr>
      </w:pPr>
      <w:r w:rsidRPr="006431C4">
        <w:rPr>
          <w:rFonts w:cs="Arial"/>
          <w:szCs w:val="20"/>
        </w:rPr>
        <w:t>określenia grubości wykonywanej warstwy w stanie luźnym, koniecznej do uzyskania wymaganej grubości warstwy po zagęszczeniu,</w:t>
      </w:r>
    </w:p>
    <w:p w14:paraId="00715453" w14:textId="77777777" w:rsidR="00DB1DC9" w:rsidRPr="006431C4" w:rsidRDefault="00DB1DC9" w:rsidP="00CF1E7D">
      <w:pPr>
        <w:numPr>
          <w:ilvl w:val="0"/>
          <w:numId w:val="102"/>
        </w:numPr>
        <w:shd w:val="clear" w:color="auto" w:fill="FFFFFF" w:themeFill="background1"/>
        <w:tabs>
          <w:tab w:val="num" w:pos="-2694"/>
          <w:tab w:val="left" w:pos="142"/>
          <w:tab w:val="num" w:pos="360"/>
          <w:tab w:val="num" w:pos="397"/>
        </w:tabs>
        <w:spacing w:line="240" w:lineRule="auto"/>
        <w:jc w:val="both"/>
        <w:rPr>
          <w:rFonts w:cs="Arial"/>
          <w:szCs w:val="20"/>
        </w:rPr>
      </w:pPr>
      <w:r w:rsidRPr="006431C4">
        <w:rPr>
          <w:rFonts w:cs="Arial"/>
          <w:szCs w:val="20"/>
        </w:rPr>
        <w:t>określenia liczby przejść sprzętu zagęszczającego, potrzebnej do uzyskania wymaganego wskaźnika zagęszczenia wykonywanej warstwy.</w:t>
      </w:r>
    </w:p>
    <w:p w14:paraId="16BC95D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Na odcinku próbnym Wykonawca powinien użyć takich materiałów oraz sprzętu do mieszania, rozkładania i zagęszczania, jakie będą stosowane do wykonania warstwy.</w:t>
      </w:r>
    </w:p>
    <w:p w14:paraId="5BCE5BC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Powierzchnia odcinka próbnego powinna wynosić od 400  do </w:t>
      </w:r>
      <w:smartTag w:uri="urn:schemas-microsoft-com:office:smarttags" w:element="metricconverter">
        <w:smartTagPr>
          <w:attr w:name="ProductID" w:val="800 m2"/>
        </w:smartTagPr>
        <w:r w:rsidRPr="006431C4">
          <w:rPr>
            <w:rFonts w:cs="Arial"/>
            <w:szCs w:val="20"/>
          </w:rPr>
          <w:t>800 m</w:t>
        </w:r>
        <w:r w:rsidRPr="006431C4">
          <w:rPr>
            <w:rFonts w:cs="Arial"/>
            <w:szCs w:val="20"/>
            <w:vertAlign w:val="superscript"/>
          </w:rPr>
          <w:t>2</w:t>
        </w:r>
      </w:smartTag>
      <w:r w:rsidRPr="006431C4">
        <w:rPr>
          <w:rFonts w:cs="Arial"/>
          <w:szCs w:val="20"/>
        </w:rPr>
        <w:t>.</w:t>
      </w:r>
    </w:p>
    <w:p w14:paraId="16A50AB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Odcinek próbny powinien być zlokalizowany w miejscu wskazanym przez Inżyniera.</w:t>
      </w:r>
    </w:p>
    <w:p w14:paraId="549845C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Wykonawca może przystąpić do wykonywania warstwy po zaakceptowaniu odcinka próbnego przez Inżyniera.</w:t>
      </w:r>
    </w:p>
    <w:p w14:paraId="70BA9BF7"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5.6. Podłoże pod podbudowę zasadniczą</w:t>
      </w:r>
    </w:p>
    <w:p w14:paraId="41FE526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Podłożem pod podbudowę zasadniczą jest podbudowa pomocnicza. Rodzaj podbudowy pomocniczej powinien być zgodny z ustaleniem dokumentacji projektowej. Wszystkie niezbędne cechy geometryczne podbudowy pomocniczej powinny umożliwić ułożenie na niej podbudowy zasadniczej.</w:t>
      </w:r>
    </w:p>
    <w:p w14:paraId="54AC4D6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Jeśli podbudowa pomocnicza wykonana jest z mieszanki kruszywa niezwiązanego to powinna być wykonana zgodnie z SST D-04.04.02a „Podbudowa pomocnicza z mieszanki kruszywa niezwiązanego” [4].</w:t>
      </w:r>
    </w:p>
    <w:p w14:paraId="7122384A"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5.7. Wytwarzanie mieszanki kruszywa na warstwę podbudowy zasadniczej</w:t>
      </w:r>
    </w:p>
    <w:p w14:paraId="48D660D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634E494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Ze względu na konieczność zapewnienia mieszance jednorodności nie zaleca się wytwarzania mieszanki przez mieszanie poszczególnych frakcji kruszywa na drodze.</w:t>
      </w:r>
    </w:p>
    <w:p w14:paraId="4D5F4BC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Przy produkcji mieszanki kruszywa należy prowadzić zakładową kontrolę produkcji mieszanek niezwiązanych, zgodnie z  WT-4 [20] załącznik C, a przy dostarczaniu mieszanki przez producenta/dostawcę należy stosować się do zasad deklarowania w odniesieniu do zakresu uziarnienia podanych w WT-4 [20] załącznik B.</w:t>
      </w:r>
    </w:p>
    <w:p w14:paraId="5BEB7A65"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 xml:space="preserve">5.8. Wbudowanie mieszanki kruszywa </w:t>
      </w:r>
    </w:p>
    <w:p w14:paraId="73C351C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2724238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6431C4">
          <w:rPr>
            <w:rFonts w:cs="Arial"/>
            <w:szCs w:val="20"/>
          </w:rPr>
          <w:t>20 cm</w:t>
        </w:r>
      </w:smartTag>
      <w:r w:rsidRPr="006431C4">
        <w:rPr>
          <w:rFonts w:cs="Arial"/>
          <w:szCs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3073670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Wilgotność mieszanki kruszywa podczas zagęszczania powinna odpowiadać wilgotności optymalnej, określonej według próby Proctora.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56445CD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Rozścieloną mieszankę kruszywa należy sprofilować równiarką lub ciężkim szablonem, do spadków poprzecznych i pochyleń podłużnych ustalonych w dokumentacji projektowej. W czasie profilowania należy wyrównać lokalne wgłębienia.</w:t>
      </w:r>
    </w:p>
    <w:p w14:paraId="17AABA7D"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5.9. Zagęszczanie mieszanki kruszywa</w:t>
      </w:r>
    </w:p>
    <w:p w14:paraId="0BC1161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Po wyprofilowaniu mieszanki kruszywa należy rozpocząć jej zagęszczanie, które należy kontynuować aż do osiągnięcia wymaganego w</w:t>
      </w:r>
      <w:r w:rsidR="00897282" w:rsidRPr="006431C4">
        <w:rPr>
          <w:rFonts w:cs="Arial"/>
          <w:szCs w:val="20"/>
        </w:rPr>
        <w:t xml:space="preserve"> SST </w:t>
      </w:r>
      <w:r w:rsidRPr="006431C4">
        <w:rPr>
          <w:rFonts w:cs="Arial"/>
          <w:szCs w:val="20"/>
        </w:rPr>
        <w:t>wskaźnika zagęszczenia.</w:t>
      </w:r>
    </w:p>
    <w:p w14:paraId="0979518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0E39E52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Zagęszczenie powinno być równomierne na całej szerokości warstwy.</w:t>
      </w:r>
    </w:p>
    <w:p w14:paraId="5E19416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 xml:space="preserve">Zaleca się, aby grubość zagęszczanej warstwy nie przekraczała przy walcach statycznych gładkich </w:t>
      </w:r>
      <w:smartTag w:uri="urn:schemas-microsoft-com:office:smarttags" w:element="metricconverter">
        <w:smartTagPr>
          <w:attr w:name="ProductID" w:val="15 cm"/>
        </w:smartTagPr>
        <w:r w:rsidRPr="006431C4">
          <w:rPr>
            <w:rFonts w:cs="Arial"/>
            <w:szCs w:val="20"/>
          </w:rPr>
          <w:t>15 cm</w:t>
        </w:r>
      </w:smartTag>
      <w:r w:rsidRPr="006431C4">
        <w:rPr>
          <w:rFonts w:cs="Arial"/>
          <w:szCs w:val="20"/>
        </w:rPr>
        <w:t xml:space="preserve">, a przy walcach ogumionych lub wibracyjnych </w:t>
      </w:r>
      <w:smartTag w:uri="urn:schemas-microsoft-com:office:smarttags" w:element="metricconverter">
        <w:smartTagPr>
          <w:attr w:name="ProductID" w:val="20 cm"/>
        </w:smartTagPr>
        <w:r w:rsidRPr="006431C4">
          <w:rPr>
            <w:rFonts w:cs="Arial"/>
            <w:szCs w:val="20"/>
          </w:rPr>
          <w:t>20 cm</w:t>
        </w:r>
      </w:smartTag>
      <w:r w:rsidRPr="006431C4">
        <w:rPr>
          <w:rFonts w:cs="Arial"/>
          <w:szCs w:val="20"/>
        </w:rPr>
        <w:t>.</w:t>
      </w:r>
    </w:p>
    <w:p w14:paraId="09EF7274"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5.10. Utrzymanie wykonanej warstwy</w:t>
      </w:r>
    </w:p>
    <w:p w14:paraId="420671A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lastRenderedPageBreak/>
        <w:tab/>
        <w:t>Zagęszczona warstwa, przed ułożeniem następnej warstwy, powinna być utrzymywana w dobrym stanie. Jeżeli po wykonanej warstwie będzie się odbywał ruch budowlany, to Wykonawca jest obowiązany naprawić wszelkie uszkodzenia, spowodowane przez ten ruch.</w:t>
      </w:r>
    </w:p>
    <w:p w14:paraId="0C43FA21"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5.11. Impregnacja podbudowy zasadniczej</w:t>
      </w:r>
    </w:p>
    <w:p w14:paraId="26DF764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Jeśli nie przewiduje się układania warstwy ścieralnej bezpośrednio po zagęszczeniu podbudowy zasadniczej można, po zaakceptowaniu przez Inżyniera, zaimpregnować podbudowę zasadniczą asfaltem 160/220 w ilości około 1,0 kg/m</w:t>
      </w:r>
      <w:r w:rsidRPr="006431C4">
        <w:rPr>
          <w:rFonts w:cs="Arial"/>
          <w:szCs w:val="20"/>
          <w:vertAlign w:val="superscript"/>
        </w:rPr>
        <w:t>2</w:t>
      </w:r>
      <w:r w:rsidRPr="006431C4">
        <w:rPr>
          <w:rFonts w:cs="Arial"/>
          <w:szCs w:val="20"/>
        </w:rPr>
        <w:t>, albo emulsją kationową z przysypaniem piaskiem gruboziarnistym w ilości około 5 kg/m</w:t>
      </w:r>
      <w:r w:rsidRPr="006431C4">
        <w:rPr>
          <w:rFonts w:cs="Arial"/>
          <w:szCs w:val="20"/>
          <w:vertAlign w:val="superscript"/>
        </w:rPr>
        <w:t>2</w:t>
      </w:r>
      <w:r w:rsidRPr="006431C4">
        <w:rPr>
          <w:rFonts w:cs="Arial"/>
          <w:szCs w:val="20"/>
        </w:rPr>
        <w:t>.</w:t>
      </w:r>
    </w:p>
    <w:p w14:paraId="65C8E3F8"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5.12. Roboty wykończeniowe</w:t>
      </w:r>
    </w:p>
    <w:p w14:paraId="66DE960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Roboty wykończeniowe, zgodne z dokumentacją projektową,</w:t>
      </w:r>
      <w:r w:rsidR="00897282" w:rsidRPr="006431C4">
        <w:rPr>
          <w:rFonts w:cs="Arial"/>
          <w:szCs w:val="20"/>
        </w:rPr>
        <w:t xml:space="preserve"> SST </w:t>
      </w:r>
      <w:r w:rsidRPr="006431C4">
        <w:rPr>
          <w:rFonts w:cs="Arial"/>
          <w:szCs w:val="20"/>
        </w:rPr>
        <w:t>lub wskazaniami Inżyniera dotyczą prac związanych z dostosowaniem wykonanych  robót do istniejących warunków terenowych, takie jak:</w:t>
      </w:r>
    </w:p>
    <w:p w14:paraId="042F85AF" w14:textId="77777777" w:rsidR="00DB1DC9" w:rsidRPr="006431C4" w:rsidRDefault="00DB1DC9" w:rsidP="00CF1E7D">
      <w:pPr>
        <w:numPr>
          <w:ilvl w:val="0"/>
          <w:numId w:val="104"/>
        </w:numPr>
        <w:shd w:val="clear" w:color="auto" w:fill="FFFFFF" w:themeFill="background1"/>
        <w:tabs>
          <w:tab w:val="num" w:pos="-2694"/>
          <w:tab w:val="left" w:pos="142"/>
          <w:tab w:val="num" w:pos="397"/>
        </w:tabs>
        <w:spacing w:line="240" w:lineRule="auto"/>
        <w:jc w:val="both"/>
        <w:rPr>
          <w:rFonts w:cs="Arial"/>
          <w:szCs w:val="20"/>
        </w:rPr>
      </w:pPr>
      <w:r w:rsidRPr="006431C4">
        <w:rPr>
          <w:rFonts w:cs="Arial"/>
          <w:szCs w:val="20"/>
        </w:rPr>
        <w:t>odtworzenie przeszkód czasowo usuniętych,</w:t>
      </w:r>
    </w:p>
    <w:p w14:paraId="2E2841F3" w14:textId="77777777" w:rsidR="00DB1DC9" w:rsidRPr="006431C4" w:rsidRDefault="00DB1DC9" w:rsidP="00CF1E7D">
      <w:pPr>
        <w:numPr>
          <w:ilvl w:val="0"/>
          <w:numId w:val="103"/>
        </w:numPr>
        <w:shd w:val="clear" w:color="auto" w:fill="FFFFFF" w:themeFill="background1"/>
        <w:tabs>
          <w:tab w:val="num" w:pos="-2694"/>
          <w:tab w:val="left" w:pos="142"/>
        </w:tabs>
        <w:spacing w:line="240" w:lineRule="auto"/>
        <w:jc w:val="both"/>
        <w:rPr>
          <w:rFonts w:cs="Arial"/>
          <w:szCs w:val="20"/>
        </w:rPr>
      </w:pPr>
      <w:r w:rsidRPr="006431C4">
        <w:rPr>
          <w:rFonts w:cs="Arial"/>
          <w:szCs w:val="20"/>
        </w:rPr>
        <w:t>uzupełnienie zniszczonych w czasie robót istniejących elementów drogowych lub terenowych,</w:t>
      </w:r>
    </w:p>
    <w:p w14:paraId="5976C3AB"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roboty porządkujące otoczenie terenu robót,</w:t>
      </w:r>
    </w:p>
    <w:p w14:paraId="3C3D6065"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usunięcie oznakowania drogi wprowadzonego na okres robót.</w:t>
      </w:r>
    </w:p>
    <w:p w14:paraId="19A7E467"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6. Kontrola jakości robót</w:t>
      </w:r>
    </w:p>
    <w:p w14:paraId="58F1F17F"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6.1. Ogólne zasady kontroli jakości robót</w:t>
      </w:r>
    </w:p>
    <w:p w14:paraId="54CA8A2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Ogólne zasady kontroli jakości robót podano w SST   D-M-00.00.00 „Wymagania ogólne” [1], pkt 6.</w:t>
      </w:r>
    </w:p>
    <w:p w14:paraId="7923AF8B"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6.2. Badania przed przystąpieniem do robót</w:t>
      </w:r>
    </w:p>
    <w:p w14:paraId="6912677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Przed przystąpieniem do robót Wykonawca powinien:</w:t>
      </w:r>
    </w:p>
    <w:p w14:paraId="02187017"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7E90E1BE"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wykonać badania kruszyw przeznaczonych do wykonania robót, obejmujące wszystkie właściwości określone w tablicy 1 niniejszej SST.</w:t>
      </w:r>
    </w:p>
    <w:p w14:paraId="1731297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Wszystkie dokumenty oraz wyniki badań Wykonawca przedstawia Inżynierowi do akceptacji.</w:t>
      </w:r>
    </w:p>
    <w:p w14:paraId="54118DBB"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6.3. Badania w czasie robót</w:t>
      </w:r>
    </w:p>
    <w:p w14:paraId="4077194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 xml:space="preserve">Częstotliwość oraz zakres badań i pomiarów, które należy wykonać w czasie robót podaje tablica 5. </w:t>
      </w:r>
    </w:p>
    <w:p w14:paraId="341254B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Tablica 5. Częstotliwość oraz zakres badań i pomiarów w czasie robót</w:t>
      </w:r>
    </w:p>
    <w:tbl>
      <w:tblPr>
        <w:tblW w:w="103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174"/>
        <w:gridCol w:w="2977"/>
        <w:gridCol w:w="2693"/>
      </w:tblGrid>
      <w:tr w:rsidR="00DB1DC9" w:rsidRPr="006431C4" w14:paraId="400A5468" w14:textId="77777777" w:rsidTr="006D174F">
        <w:tc>
          <w:tcPr>
            <w:tcW w:w="496" w:type="dxa"/>
            <w:tcBorders>
              <w:bottom w:val="single" w:sz="4" w:space="0" w:color="auto"/>
            </w:tcBorders>
          </w:tcPr>
          <w:p w14:paraId="3E48139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Lp.</w:t>
            </w:r>
          </w:p>
        </w:tc>
        <w:tc>
          <w:tcPr>
            <w:tcW w:w="4174" w:type="dxa"/>
            <w:tcBorders>
              <w:bottom w:val="single" w:sz="4" w:space="0" w:color="auto"/>
            </w:tcBorders>
          </w:tcPr>
          <w:p w14:paraId="6E2398E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Wyszczególnienie robót</w:t>
            </w:r>
          </w:p>
        </w:tc>
        <w:tc>
          <w:tcPr>
            <w:tcW w:w="2977" w:type="dxa"/>
            <w:tcBorders>
              <w:bottom w:val="single" w:sz="4" w:space="0" w:color="auto"/>
            </w:tcBorders>
          </w:tcPr>
          <w:p w14:paraId="66AD15E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Częstotliwość badań</w:t>
            </w:r>
          </w:p>
        </w:tc>
        <w:tc>
          <w:tcPr>
            <w:tcW w:w="2693" w:type="dxa"/>
            <w:tcBorders>
              <w:bottom w:val="single" w:sz="4" w:space="0" w:color="auto"/>
            </w:tcBorders>
          </w:tcPr>
          <w:p w14:paraId="192F20C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Wartości dopuszczalne</w:t>
            </w:r>
          </w:p>
        </w:tc>
      </w:tr>
      <w:tr w:rsidR="00DB1DC9" w:rsidRPr="006431C4" w14:paraId="5B247856" w14:textId="77777777" w:rsidTr="006D174F">
        <w:tc>
          <w:tcPr>
            <w:tcW w:w="496" w:type="dxa"/>
            <w:tcBorders>
              <w:top w:val="single" w:sz="4" w:space="0" w:color="auto"/>
            </w:tcBorders>
            <w:vAlign w:val="center"/>
          </w:tcPr>
          <w:p w14:paraId="6754DDE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w:t>
            </w:r>
          </w:p>
        </w:tc>
        <w:tc>
          <w:tcPr>
            <w:tcW w:w="4174" w:type="dxa"/>
            <w:tcBorders>
              <w:top w:val="single" w:sz="4" w:space="0" w:color="auto"/>
            </w:tcBorders>
            <w:vAlign w:val="center"/>
          </w:tcPr>
          <w:p w14:paraId="3DD151F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Lokalizacja i zgodność granic terenu robót z dokumentacją projektową</w:t>
            </w:r>
          </w:p>
        </w:tc>
        <w:tc>
          <w:tcPr>
            <w:tcW w:w="2977" w:type="dxa"/>
            <w:tcBorders>
              <w:top w:val="single" w:sz="4" w:space="0" w:color="auto"/>
            </w:tcBorders>
            <w:vAlign w:val="center"/>
          </w:tcPr>
          <w:p w14:paraId="2241436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 raz</w:t>
            </w:r>
          </w:p>
        </w:tc>
        <w:tc>
          <w:tcPr>
            <w:tcW w:w="2693" w:type="dxa"/>
            <w:tcBorders>
              <w:top w:val="single" w:sz="4" w:space="0" w:color="auto"/>
            </w:tcBorders>
            <w:vAlign w:val="center"/>
          </w:tcPr>
          <w:p w14:paraId="3CC45AE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Wg pktu 5 </w:t>
            </w:r>
          </w:p>
          <w:p w14:paraId="53E0337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i dokumentacji projektowej </w:t>
            </w:r>
          </w:p>
        </w:tc>
      </w:tr>
      <w:tr w:rsidR="00DB1DC9" w:rsidRPr="006431C4" w14:paraId="48F85045" w14:textId="77777777" w:rsidTr="006D174F">
        <w:tc>
          <w:tcPr>
            <w:tcW w:w="496" w:type="dxa"/>
            <w:vAlign w:val="center"/>
          </w:tcPr>
          <w:p w14:paraId="212955F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w:t>
            </w:r>
          </w:p>
        </w:tc>
        <w:tc>
          <w:tcPr>
            <w:tcW w:w="4174" w:type="dxa"/>
            <w:vAlign w:val="center"/>
          </w:tcPr>
          <w:p w14:paraId="49D456C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Roboty przygotowawcze</w:t>
            </w:r>
          </w:p>
        </w:tc>
        <w:tc>
          <w:tcPr>
            <w:tcW w:w="2977" w:type="dxa"/>
            <w:vAlign w:val="center"/>
          </w:tcPr>
          <w:p w14:paraId="7210D20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Ocena ciągła</w:t>
            </w:r>
          </w:p>
        </w:tc>
        <w:tc>
          <w:tcPr>
            <w:tcW w:w="2693" w:type="dxa"/>
            <w:vAlign w:val="center"/>
          </w:tcPr>
          <w:p w14:paraId="0A570F7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pktu 5.3</w:t>
            </w:r>
          </w:p>
        </w:tc>
      </w:tr>
      <w:tr w:rsidR="00DB1DC9" w:rsidRPr="006431C4" w14:paraId="2B0C5787" w14:textId="77777777" w:rsidTr="006D174F">
        <w:tc>
          <w:tcPr>
            <w:tcW w:w="496" w:type="dxa"/>
            <w:vAlign w:val="center"/>
          </w:tcPr>
          <w:p w14:paraId="792C485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3</w:t>
            </w:r>
          </w:p>
        </w:tc>
        <w:tc>
          <w:tcPr>
            <w:tcW w:w="4174" w:type="dxa"/>
            <w:vAlign w:val="center"/>
          </w:tcPr>
          <w:p w14:paraId="32DF692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Właściwości kruszywa</w:t>
            </w:r>
          </w:p>
        </w:tc>
        <w:tc>
          <w:tcPr>
            <w:tcW w:w="2977" w:type="dxa"/>
            <w:vAlign w:val="center"/>
          </w:tcPr>
          <w:p w14:paraId="3FD1BE4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Dla każdej partii kruszywa  i przy każdej zmianie kruszywa</w:t>
            </w:r>
          </w:p>
        </w:tc>
        <w:tc>
          <w:tcPr>
            <w:tcW w:w="2693" w:type="dxa"/>
            <w:vAlign w:val="center"/>
          </w:tcPr>
          <w:p w14:paraId="6C7DA41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tablicy 1</w:t>
            </w:r>
          </w:p>
        </w:tc>
      </w:tr>
      <w:tr w:rsidR="00DB1DC9" w:rsidRPr="006431C4" w14:paraId="6EEC5D50" w14:textId="77777777" w:rsidTr="006D174F">
        <w:tc>
          <w:tcPr>
            <w:tcW w:w="496" w:type="dxa"/>
            <w:vAlign w:val="center"/>
          </w:tcPr>
          <w:p w14:paraId="13869BC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w:t>
            </w:r>
          </w:p>
        </w:tc>
        <w:tc>
          <w:tcPr>
            <w:tcW w:w="4174" w:type="dxa"/>
            <w:vAlign w:val="center"/>
          </w:tcPr>
          <w:p w14:paraId="2E13E56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Uziarnienie mieszanki</w:t>
            </w:r>
          </w:p>
        </w:tc>
        <w:tc>
          <w:tcPr>
            <w:tcW w:w="2977" w:type="dxa"/>
            <w:vAlign w:val="center"/>
          </w:tcPr>
          <w:p w14:paraId="4C55A49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2 razy na dziennej działce roboczej  </w:t>
            </w:r>
          </w:p>
        </w:tc>
        <w:tc>
          <w:tcPr>
            <w:tcW w:w="2693" w:type="dxa"/>
            <w:vAlign w:val="center"/>
          </w:tcPr>
          <w:p w14:paraId="0C9944A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tablicy 4</w:t>
            </w:r>
          </w:p>
        </w:tc>
      </w:tr>
      <w:tr w:rsidR="00DB1DC9" w:rsidRPr="006431C4" w14:paraId="644B60E9" w14:textId="77777777" w:rsidTr="006D174F">
        <w:tc>
          <w:tcPr>
            <w:tcW w:w="496" w:type="dxa"/>
            <w:vAlign w:val="center"/>
          </w:tcPr>
          <w:p w14:paraId="7CC4B64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5</w:t>
            </w:r>
          </w:p>
        </w:tc>
        <w:tc>
          <w:tcPr>
            <w:tcW w:w="4174" w:type="dxa"/>
            <w:vAlign w:val="center"/>
          </w:tcPr>
          <w:p w14:paraId="2192AC1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Wilgotność mieszanki</w:t>
            </w:r>
          </w:p>
        </w:tc>
        <w:tc>
          <w:tcPr>
            <w:tcW w:w="2977" w:type="dxa"/>
            <w:vAlign w:val="center"/>
          </w:tcPr>
          <w:p w14:paraId="12E0115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c>
          <w:tcPr>
            <w:tcW w:w="2693" w:type="dxa"/>
            <w:vAlign w:val="center"/>
          </w:tcPr>
          <w:p w14:paraId="3907336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r>
      <w:tr w:rsidR="00DB1DC9" w:rsidRPr="006431C4" w14:paraId="71BFDB22" w14:textId="77777777" w:rsidTr="006D174F">
        <w:tc>
          <w:tcPr>
            <w:tcW w:w="496" w:type="dxa"/>
            <w:vAlign w:val="center"/>
          </w:tcPr>
          <w:p w14:paraId="3AD1C5D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w:t>
            </w:r>
          </w:p>
        </w:tc>
        <w:tc>
          <w:tcPr>
            <w:tcW w:w="4174" w:type="dxa"/>
            <w:vAlign w:val="center"/>
          </w:tcPr>
          <w:p w14:paraId="1C9F212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pyłów w mieszance</w:t>
            </w:r>
          </w:p>
        </w:tc>
        <w:tc>
          <w:tcPr>
            <w:tcW w:w="2977" w:type="dxa"/>
            <w:vAlign w:val="center"/>
          </w:tcPr>
          <w:p w14:paraId="1FC84F9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c>
          <w:tcPr>
            <w:tcW w:w="2693" w:type="dxa"/>
            <w:vAlign w:val="center"/>
          </w:tcPr>
          <w:p w14:paraId="62A1BC4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r>
      <w:tr w:rsidR="00DB1DC9" w:rsidRPr="006431C4" w14:paraId="42DDC4CD" w14:textId="77777777" w:rsidTr="006D174F">
        <w:tc>
          <w:tcPr>
            <w:tcW w:w="496" w:type="dxa"/>
            <w:vAlign w:val="center"/>
          </w:tcPr>
          <w:p w14:paraId="6846992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7</w:t>
            </w:r>
          </w:p>
        </w:tc>
        <w:tc>
          <w:tcPr>
            <w:tcW w:w="4174" w:type="dxa"/>
            <w:vAlign w:val="center"/>
          </w:tcPr>
          <w:p w14:paraId="776EDD2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nadziarna w mieszance</w:t>
            </w:r>
          </w:p>
        </w:tc>
        <w:tc>
          <w:tcPr>
            <w:tcW w:w="2977" w:type="dxa"/>
            <w:vAlign w:val="center"/>
          </w:tcPr>
          <w:p w14:paraId="7327663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c>
          <w:tcPr>
            <w:tcW w:w="2693" w:type="dxa"/>
            <w:vAlign w:val="center"/>
          </w:tcPr>
          <w:p w14:paraId="4989B47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r>
      <w:tr w:rsidR="00DB1DC9" w:rsidRPr="006431C4" w14:paraId="79C7C2D1" w14:textId="77777777" w:rsidTr="006D174F">
        <w:tc>
          <w:tcPr>
            <w:tcW w:w="496" w:type="dxa"/>
            <w:vAlign w:val="center"/>
          </w:tcPr>
          <w:p w14:paraId="50D3B87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8</w:t>
            </w:r>
          </w:p>
        </w:tc>
        <w:tc>
          <w:tcPr>
            <w:tcW w:w="4174" w:type="dxa"/>
            <w:vAlign w:val="center"/>
          </w:tcPr>
          <w:p w14:paraId="6557F4A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Wrażliwość mieszanki na mróz, wskaźnik piaskowy</w:t>
            </w:r>
          </w:p>
        </w:tc>
        <w:tc>
          <w:tcPr>
            <w:tcW w:w="2977" w:type="dxa"/>
            <w:vAlign w:val="center"/>
          </w:tcPr>
          <w:p w14:paraId="7A51CBE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c>
          <w:tcPr>
            <w:tcW w:w="2693" w:type="dxa"/>
            <w:vAlign w:val="center"/>
          </w:tcPr>
          <w:p w14:paraId="2F08A5A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r>
      <w:tr w:rsidR="00DB1DC9" w:rsidRPr="006431C4" w14:paraId="482432FD" w14:textId="77777777" w:rsidTr="006D174F">
        <w:tc>
          <w:tcPr>
            <w:tcW w:w="496" w:type="dxa"/>
            <w:vAlign w:val="center"/>
          </w:tcPr>
          <w:p w14:paraId="7F89D33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9</w:t>
            </w:r>
          </w:p>
        </w:tc>
        <w:tc>
          <w:tcPr>
            <w:tcW w:w="4174" w:type="dxa"/>
            <w:vAlign w:val="center"/>
          </w:tcPr>
          <w:p w14:paraId="6579F38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wody w mieszance</w:t>
            </w:r>
          </w:p>
        </w:tc>
        <w:tc>
          <w:tcPr>
            <w:tcW w:w="2977" w:type="dxa"/>
            <w:vAlign w:val="center"/>
          </w:tcPr>
          <w:p w14:paraId="12803B3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c>
          <w:tcPr>
            <w:tcW w:w="2693" w:type="dxa"/>
            <w:vAlign w:val="center"/>
          </w:tcPr>
          <w:p w14:paraId="5C6C772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r>
      <w:tr w:rsidR="00DB1DC9" w:rsidRPr="006431C4" w14:paraId="2FA5DDB5" w14:textId="77777777" w:rsidTr="006D174F">
        <w:tc>
          <w:tcPr>
            <w:tcW w:w="496" w:type="dxa"/>
            <w:vAlign w:val="center"/>
          </w:tcPr>
          <w:p w14:paraId="2FC4FE9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10</w:t>
            </w:r>
          </w:p>
        </w:tc>
        <w:tc>
          <w:tcPr>
            <w:tcW w:w="4174" w:type="dxa"/>
            <w:vAlign w:val="center"/>
          </w:tcPr>
          <w:p w14:paraId="3368735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Wartość CBR po zagęszczeniu mieszanki</w:t>
            </w:r>
          </w:p>
        </w:tc>
        <w:tc>
          <w:tcPr>
            <w:tcW w:w="2977" w:type="dxa"/>
            <w:vAlign w:val="center"/>
          </w:tcPr>
          <w:p w14:paraId="491D0A0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10 próbek </w:t>
            </w:r>
          </w:p>
          <w:p w14:paraId="7A165DF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 xml:space="preserve">na </w:t>
            </w:r>
            <w:smartTag w:uri="urn:schemas-microsoft-com:office:smarttags" w:element="metricconverter">
              <w:smartTagPr>
                <w:attr w:name="ProductID" w:val="10ﾠ000 m2"/>
              </w:smartTagPr>
              <w:r w:rsidRPr="006431C4">
                <w:rPr>
                  <w:rFonts w:cs="Arial"/>
                  <w:szCs w:val="20"/>
                </w:rPr>
                <w:t>10 000 m</w:t>
              </w:r>
              <w:r w:rsidRPr="006431C4">
                <w:rPr>
                  <w:rFonts w:cs="Arial"/>
                  <w:szCs w:val="20"/>
                  <w:vertAlign w:val="superscript"/>
                </w:rPr>
                <w:t>2</w:t>
              </w:r>
            </w:smartTag>
          </w:p>
        </w:tc>
        <w:tc>
          <w:tcPr>
            <w:tcW w:w="2693" w:type="dxa"/>
            <w:vAlign w:val="center"/>
          </w:tcPr>
          <w:p w14:paraId="471FF27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r>
    </w:tbl>
    <w:p w14:paraId="093722C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DB1DC9" w:rsidRPr="006431C4" w14:paraId="23FA085C" w14:textId="77777777" w:rsidTr="006D174F">
        <w:tc>
          <w:tcPr>
            <w:tcW w:w="496" w:type="dxa"/>
            <w:vAlign w:val="center"/>
          </w:tcPr>
          <w:p w14:paraId="233CE9D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11</w:t>
            </w:r>
          </w:p>
        </w:tc>
        <w:tc>
          <w:tcPr>
            <w:tcW w:w="3534" w:type="dxa"/>
            <w:vAlign w:val="center"/>
          </w:tcPr>
          <w:p w14:paraId="72E442A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Inne właściwości mieszanki</w:t>
            </w:r>
          </w:p>
        </w:tc>
        <w:tc>
          <w:tcPr>
            <w:tcW w:w="2204" w:type="dxa"/>
            <w:vAlign w:val="center"/>
          </w:tcPr>
          <w:p w14:paraId="39DF226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ustalenia Inżyniera</w:t>
            </w:r>
          </w:p>
        </w:tc>
        <w:tc>
          <w:tcPr>
            <w:tcW w:w="2693" w:type="dxa"/>
            <w:vAlign w:val="center"/>
          </w:tcPr>
          <w:p w14:paraId="4037490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r>
      <w:tr w:rsidR="00DB1DC9" w:rsidRPr="006431C4" w14:paraId="3199DFE0" w14:textId="77777777" w:rsidTr="006D174F">
        <w:tc>
          <w:tcPr>
            <w:tcW w:w="496" w:type="dxa"/>
            <w:vAlign w:val="center"/>
          </w:tcPr>
          <w:p w14:paraId="4A1F715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12</w:t>
            </w:r>
          </w:p>
        </w:tc>
        <w:tc>
          <w:tcPr>
            <w:tcW w:w="3534" w:type="dxa"/>
            <w:vAlign w:val="center"/>
          </w:tcPr>
          <w:p w14:paraId="334BC7C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Cechy środowiskowe</w:t>
            </w:r>
          </w:p>
        </w:tc>
        <w:tc>
          <w:tcPr>
            <w:tcW w:w="2204" w:type="dxa"/>
            <w:vAlign w:val="center"/>
          </w:tcPr>
          <w:p w14:paraId="7D3B3D4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ustalenia Inżyniera</w:t>
            </w:r>
          </w:p>
        </w:tc>
        <w:tc>
          <w:tcPr>
            <w:tcW w:w="2693" w:type="dxa"/>
            <w:vAlign w:val="center"/>
          </w:tcPr>
          <w:p w14:paraId="64ABE5C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Jw.</w:t>
            </w:r>
          </w:p>
        </w:tc>
      </w:tr>
      <w:tr w:rsidR="00DB1DC9" w:rsidRPr="006431C4" w14:paraId="7B56AF99" w14:textId="77777777" w:rsidTr="006D174F">
        <w:tc>
          <w:tcPr>
            <w:tcW w:w="496" w:type="dxa"/>
            <w:vAlign w:val="center"/>
          </w:tcPr>
          <w:p w14:paraId="772E682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13</w:t>
            </w:r>
          </w:p>
        </w:tc>
        <w:tc>
          <w:tcPr>
            <w:tcW w:w="3534" w:type="dxa"/>
            <w:vAlign w:val="center"/>
          </w:tcPr>
          <w:p w14:paraId="4A5E302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Roboty wykończeniowe</w:t>
            </w:r>
          </w:p>
        </w:tc>
        <w:tc>
          <w:tcPr>
            <w:tcW w:w="2204" w:type="dxa"/>
            <w:vAlign w:val="center"/>
          </w:tcPr>
          <w:p w14:paraId="1A692FF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Ocena ciągła</w:t>
            </w:r>
          </w:p>
        </w:tc>
        <w:tc>
          <w:tcPr>
            <w:tcW w:w="2693" w:type="dxa"/>
            <w:vAlign w:val="center"/>
          </w:tcPr>
          <w:p w14:paraId="5062DA1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pktu 5.12</w:t>
            </w:r>
          </w:p>
        </w:tc>
      </w:tr>
    </w:tbl>
    <w:p w14:paraId="479B86B4"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6.4. Wymagania dotyczące cech geometrycznych podbudowy zasadniczej</w:t>
      </w:r>
    </w:p>
    <w:p w14:paraId="348B86A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Częstotliwość oraz zakres badań i pomiarów dotyczących cech geometrycznych warstwy z mieszanki niezwiązanej podaje tablica 6.</w:t>
      </w:r>
    </w:p>
    <w:p w14:paraId="67B87CC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Tablica 6. Częstotliwość oraz zakres badań i pomiarów dotyczących cech geometrycznych</w:t>
      </w:r>
    </w:p>
    <w:tbl>
      <w:tblPr>
        <w:tblW w:w="105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3315"/>
        <w:gridCol w:w="3303"/>
      </w:tblGrid>
      <w:tr w:rsidR="00DB1DC9" w:rsidRPr="006431C4" w14:paraId="1B7473FA" w14:textId="77777777" w:rsidTr="006D174F">
        <w:tc>
          <w:tcPr>
            <w:tcW w:w="496" w:type="dxa"/>
            <w:tcBorders>
              <w:top w:val="single" w:sz="4" w:space="0" w:color="auto"/>
              <w:left w:val="single" w:sz="4" w:space="0" w:color="auto"/>
              <w:bottom w:val="single" w:sz="4" w:space="0" w:color="auto"/>
            </w:tcBorders>
          </w:tcPr>
          <w:p w14:paraId="2B985B5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0EF4685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Lp.</w:t>
            </w:r>
          </w:p>
        </w:tc>
        <w:tc>
          <w:tcPr>
            <w:tcW w:w="3414" w:type="dxa"/>
            <w:tcBorders>
              <w:top w:val="single" w:sz="4" w:space="0" w:color="auto"/>
              <w:bottom w:val="single" w:sz="4" w:space="0" w:color="auto"/>
              <w:right w:val="single" w:sz="4" w:space="0" w:color="auto"/>
            </w:tcBorders>
          </w:tcPr>
          <w:p w14:paraId="51541F6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Wyszczególnienie badań i pomiarów</w:t>
            </w:r>
          </w:p>
        </w:tc>
        <w:tc>
          <w:tcPr>
            <w:tcW w:w="3315" w:type="dxa"/>
            <w:tcBorders>
              <w:left w:val="single" w:sz="4" w:space="0" w:color="auto"/>
            </w:tcBorders>
            <w:shd w:val="clear" w:color="auto" w:fill="auto"/>
          </w:tcPr>
          <w:p w14:paraId="2346BDE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Minimalna częstotliwość badań i pomiarów</w:t>
            </w:r>
          </w:p>
        </w:tc>
        <w:tc>
          <w:tcPr>
            <w:tcW w:w="3303" w:type="dxa"/>
            <w:shd w:val="clear" w:color="auto" w:fill="auto"/>
          </w:tcPr>
          <w:p w14:paraId="6BEFA22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632B9EB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Dopuszczalne odchyłki</w:t>
            </w:r>
          </w:p>
        </w:tc>
      </w:tr>
      <w:tr w:rsidR="00DB1DC9" w:rsidRPr="006431C4" w14:paraId="3C432B47" w14:textId="77777777" w:rsidTr="006D174F">
        <w:tc>
          <w:tcPr>
            <w:tcW w:w="496" w:type="dxa"/>
            <w:tcBorders>
              <w:top w:val="single" w:sz="4" w:space="0" w:color="auto"/>
            </w:tcBorders>
          </w:tcPr>
          <w:p w14:paraId="5D91F8B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w:t>
            </w:r>
          </w:p>
        </w:tc>
        <w:tc>
          <w:tcPr>
            <w:tcW w:w="3414" w:type="dxa"/>
            <w:tcBorders>
              <w:top w:val="single" w:sz="4" w:space="0" w:color="auto"/>
            </w:tcBorders>
          </w:tcPr>
          <w:p w14:paraId="43FF557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Szerokość warstwy</w:t>
            </w:r>
          </w:p>
        </w:tc>
        <w:tc>
          <w:tcPr>
            <w:tcW w:w="3315" w:type="dxa"/>
            <w:shd w:val="clear" w:color="auto" w:fill="auto"/>
          </w:tcPr>
          <w:p w14:paraId="357F10B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10 razy na </w:t>
            </w:r>
            <w:smartTag w:uri="urn:schemas-microsoft-com:office:smarttags" w:element="metricconverter">
              <w:smartTagPr>
                <w:attr w:name="ProductID" w:val="1 km"/>
              </w:smartTagPr>
              <w:r w:rsidRPr="006431C4">
                <w:rPr>
                  <w:rFonts w:cs="Arial"/>
                  <w:szCs w:val="20"/>
                </w:rPr>
                <w:t>1 km</w:t>
              </w:r>
            </w:smartTag>
          </w:p>
        </w:tc>
        <w:tc>
          <w:tcPr>
            <w:tcW w:w="3303" w:type="dxa"/>
            <w:shd w:val="clear" w:color="auto" w:fill="auto"/>
          </w:tcPr>
          <w:p w14:paraId="66B1562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t>
            </w:r>
            <w:smartTag w:uri="urn:schemas-microsoft-com:office:smarttags" w:element="metricconverter">
              <w:smartTagPr>
                <w:attr w:name="ProductID" w:val="10 cm"/>
              </w:smartTagPr>
              <w:r w:rsidRPr="006431C4">
                <w:rPr>
                  <w:rFonts w:cs="Arial"/>
                  <w:szCs w:val="20"/>
                </w:rPr>
                <w:t>10 cm</w:t>
              </w:r>
            </w:smartTag>
            <w:r w:rsidRPr="006431C4">
              <w:rPr>
                <w:rFonts w:cs="Arial"/>
                <w:szCs w:val="20"/>
              </w:rPr>
              <w:t xml:space="preserve">, </w:t>
            </w:r>
            <w:smartTag w:uri="urn:schemas-microsoft-com:office:smarttags" w:element="metricconverter">
              <w:smartTagPr>
                <w:attr w:name="ProductID" w:val="-5 cm"/>
              </w:smartTagPr>
              <w:r w:rsidRPr="006431C4">
                <w:rPr>
                  <w:rFonts w:cs="Arial"/>
                  <w:szCs w:val="20"/>
                </w:rPr>
                <w:t>-5 cm</w:t>
              </w:r>
            </w:smartTag>
            <w:r w:rsidRPr="006431C4">
              <w:rPr>
                <w:rFonts w:cs="Arial"/>
                <w:szCs w:val="20"/>
              </w:rPr>
              <w:t xml:space="preserve"> (różnice od szerokości projektowej)</w:t>
            </w:r>
          </w:p>
        </w:tc>
      </w:tr>
      <w:tr w:rsidR="00DB1DC9" w:rsidRPr="006431C4" w14:paraId="26EA59DA" w14:textId="77777777" w:rsidTr="006D174F">
        <w:tc>
          <w:tcPr>
            <w:tcW w:w="496" w:type="dxa"/>
          </w:tcPr>
          <w:p w14:paraId="77E0081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w:t>
            </w:r>
          </w:p>
        </w:tc>
        <w:tc>
          <w:tcPr>
            <w:tcW w:w="3414" w:type="dxa"/>
          </w:tcPr>
          <w:p w14:paraId="68A3A7F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Równość podłużna</w:t>
            </w:r>
          </w:p>
        </w:tc>
        <w:tc>
          <w:tcPr>
            <w:tcW w:w="3315" w:type="dxa"/>
            <w:shd w:val="clear" w:color="auto" w:fill="auto"/>
          </w:tcPr>
          <w:p w14:paraId="696F4C0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[21]</w:t>
            </w:r>
          </w:p>
        </w:tc>
        <w:tc>
          <w:tcPr>
            <w:tcW w:w="3303" w:type="dxa"/>
            <w:shd w:val="clear" w:color="auto" w:fill="auto"/>
          </w:tcPr>
          <w:p w14:paraId="6DC4833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[21]</w:t>
            </w:r>
          </w:p>
        </w:tc>
      </w:tr>
      <w:tr w:rsidR="00DB1DC9" w:rsidRPr="006431C4" w14:paraId="33627CE3" w14:textId="77777777" w:rsidTr="006D174F">
        <w:tc>
          <w:tcPr>
            <w:tcW w:w="496" w:type="dxa"/>
          </w:tcPr>
          <w:p w14:paraId="0785D2B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3</w:t>
            </w:r>
          </w:p>
        </w:tc>
        <w:tc>
          <w:tcPr>
            <w:tcW w:w="3414" w:type="dxa"/>
          </w:tcPr>
          <w:p w14:paraId="33F0A99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Równość poprzeczna</w:t>
            </w:r>
          </w:p>
        </w:tc>
        <w:tc>
          <w:tcPr>
            <w:tcW w:w="3315" w:type="dxa"/>
            <w:shd w:val="clear" w:color="auto" w:fill="auto"/>
          </w:tcPr>
          <w:p w14:paraId="32A7D9A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[21]</w:t>
            </w:r>
          </w:p>
        </w:tc>
        <w:tc>
          <w:tcPr>
            <w:tcW w:w="3303" w:type="dxa"/>
            <w:shd w:val="clear" w:color="auto" w:fill="auto"/>
          </w:tcPr>
          <w:p w14:paraId="6C55D1E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[21]</w:t>
            </w:r>
          </w:p>
        </w:tc>
      </w:tr>
      <w:tr w:rsidR="00DB1DC9" w:rsidRPr="006431C4" w14:paraId="4337B1D4" w14:textId="77777777" w:rsidTr="006D174F">
        <w:tc>
          <w:tcPr>
            <w:tcW w:w="496" w:type="dxa"/>
          </w:tcPr>
          <w:p w14:paraId="645DCE9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7DCAF3D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w:t>
            </w:r>
          </w:p>
        </w:tc>
        <w:tc>
          <w:tcPr>
            <w:tcW w:w="3414" w:type="dxa"/>
          </w:tcPr>
          <w:p w14:paraId="6DFA0E9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2D0DD42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Spadki poprzeczne </w:t>
            </w:r>
            <w:r w:rsidRPr="006431C4">
              <w:rPr>
                <w:rFonts w:cs="Arial"/>
                <w:szCs w:val="20"/>
                <w:vertAlign w:val="superscript"/>
              </w:rPr>
              <w:t>*)</w:t>
            </w:r>
          </w:p>
        </w:tc>
        <w:tc>
          <w:tcPr>
            <w:tcW w:w="3315" w:type="dxa"/>
            <w:shd w:val="clear" w:color="auto" w:fill="auto"/>
          </w:tcPr>
          <w:p w14:paraId="069193C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19DFBD9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10 razy na </w:t>
            </w:r>
            <w:smartTag w:uri="urn:schemas-microsoft-com:office:smarttags" w:element="metricconverter">
              <w:smartTagPr>
                <w:attr w:name="ProductID" w:val="1 km"/>
              </w:smartTagPr>
              <w:r w:rsidRPr="006431C4">
                <w:rPr>
                  <w:rFonts w:cs="Arial"/>
                  <w:szCs w:val="20"/>
                </w:rPr>
                <w:t>1 km</w:t>
              </w:r>
            </w:smartTag>
          </w:p>
        </w:tc>
        <w:tc>
          <w:tcPr>
            <w:tcW w:w="3303" w:type="dxa"/>
            <w:shd w:val="clear" w:color="auto" w:fill="auto"/>
          </w:tcPr>
          <w:p w14:paraId="37794AC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0,5% (dopuszczalna tolerancja od spadków projektowych)</w:t>
            </w:r>
          </w:p>
        </w:tc>
      </w:tr>
      <w:tr w:rsidR="00DB1DC9" w:rsidRPr="006431C4" w14:paraId="5F71F541" w14:textId="77777777" w:rsidTr="006D174F">
        <w:tc>
          <w:tcPr>
            <w:tcW w:w="496" w:type="dxa"/>
          </w:tcPr>
          <w:p w14:paraId="4AADE88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5</w:t>
            </w:r>
          </w:p>
        </w:tc>
        <w:tc>
          <w:tcPr>
            <w:tcW w:w="3414" w:type="dxa"/>
          </w:tcPr>
          <w:p w14:paraId="0CBF87E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Rzędne wysokościowe</w:t>
            </w:r>
          </w:p>
        </w:tc>
        <w:tc>
          <w:tcPr>
            <w:tcW w:w="3315" w:type="dxa"/>
            <w:shd w:val="clear" w:color="auto" w:fill="auto"/>
          </w:tcPr>
          <w:p w14:paraId="2ACE37A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[21]</w:t>
            </w:r>
          </w:p>
        </w:tc>
        <w:tc>
          <w:tcPr>
            <w:tcW w:w="3303" w:type="dxa"/>
            <w:shd w:val="clear" w:color="auto" w:fill="auto"/>
          </w:tcPr>
          <w:p w14:paraId="443925F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Wg [21]</w:t>
            </w:r>
          </w:p>
        </w:tc>
      </w:tr>
      <w:tr w:rsidR="00DB1DC9" w:rsidRPr="006431C4" w14:paraId="08F661B2" w14:textId="77777777" w:rsidTr="006D174F">
        <w:tc>
          <w:tcPr>
            <w:tcW w:w="496" w:type="dxa"/>
          </w:tcPr>
          <w:p w14:paraId="31DAA2D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w:t>
            </w:r>
          </w:p>
        </w:tc>
        <w:tc>
          <w:tcPr>
            <w:tcW w:w="3414" w:type="dxa"/>
          </w:tcPr>
          <w:p w14:paraId="2BA6F9D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Ukształtowanie osi w planie </w:t>
            </w:r>
            <w:r w:rsidRPr="006431C4">
              <w:rPr>
                <w:rFonts w:cs="Arial"/>
                <w:szCs w:val="20"/>
                <w:vertAlign w:val="superscript"/>
              </w:rPr>
              <w:t>*)</w:t>
            </w:r>
          </w:p>
        </w:tc>
        <w:tc>
          <w:tcPr>
            <w:tcW w:w="3315" w:type="dxa"/>
            <w:shd w:val="clear" w:color="auto" w:fill="auto"/>
          </w:tcPr>
          <w:p w14:paraId="3FCB62C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Co </w:t>
            </w:r>
            <w:smartTag w:uri="urn:schemas-microsoft-com:office:smarttags" w:element="metricconverter">
              <w:smartTagPr>
                <w:attr w:name="ProductID" w:val="100 m"/>
              </w:smartTagPr>
              <w:r w:rsidRPr="006431C4">
                <w:rPr>
                  <w:rFonts w:cs="Arial"/>
                  <w:szCs w:val="20"/>
                </w:rPr>
                <w:t>100 m</w:t>
              </w:r>
            </w:smartTag>
          </w:p>
        </w:tc>
        <w:tc>
          <w:tcPr>
            <w:tcW w:w="3303" w:type="dxa"/>
            <w:shd w:val="clear" w:color="auto" w:fill="auto"/>
          </w:tcPr>
          <w:p w14:paraId="7898620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Przesunięcie od osi projektowanej </w:t>
            </w:r>
            <w:r w:rsidRPr="006431C4">
              <w:rPr>
                <w:rFonts w:cs="Arial"/>
                <w:szCs w:val="20"/>
              </w:rPr>
              <w:lastRenderedPageBreak/>
              <w:t xml:space="preserve">± </w:t>
            </w:r>
            <w:smartTag w:uri="urn:schemas-microsoft-com:office:smarttags" w:element="metricconverter">
              <w:smartTagPr>
                <w:attr w:name="ProductID" w:val="5 cm"/>
              </w:smartTagPr>
              <w:r w:rsidRPr="006431C4">
                <w:rPr>
                  <w:rFonts w:cs="Arial"/>
                  <w:szCs w:val="20"/>
                </w:rPr>
                <w:t>5 cm</w:t>
              </w:r>
            </w:smartTag>
          </w:p>
        </w:tc>
      </w:tr>
      <w:tr w:rsidR="00DB1DC9" w:rsidRPr="006431C4" w14:paraId="06F04BCA" w14:textId="77777777" w:rsidTr="006D174F">
        <w:tc>
          <w:tcPr>
            <w:tcW w:w="496" w:type="dxa"/>
          </w:tcPr>
          <w:p w14:paraId="6F0E9C8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1E9840C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7</w:t>
            </w:r>
          </w:p>
        </w:tc>
        <w:tc>
          <w:tcPr>
            <w:tcW w:w="3414" w:type="dxa"/>
          </w:tcPr>
          <w:p w14:paraId="51FA332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0689AB6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Grubość warstwy</w:t>
            </w:r>
          </w:p>
        </w:tc>
        <w:tc>
          <w:tcPr>
            <w:tcW w:w="3315" w:type="dxa"/>
            <w:shd w:val="clear" w:color="auto" w:fill="auto"/>
          </w:tcPr>
          <w:p w14:paraId="6A822DE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w 3 punktach na działce roboczej, lecz nie rzadziej niż raz na </w:t>
            </w:r>
            <w:smartTag w:uri="urn:schemas-microsoft-com:office:smarttags" w:element="metricconverter">
              <w:smartTagPr>
                <w:attr w:name="ProductID" w:val="2000 m2"/>
              </w:smartTagPr>
              <w:r w:rsidRPr="006431C4">
                <w:rPr>
                  <w:rFonts w:cs="Arial"/>
                  <w:szCs w:val="20"/>
                </w:rPr>
                <w:t>2000 m</w:t>
              </w:r>
              <w:r w:rsidRPr="006431C4">
                <w:rPr>
                  <w:rFonts w:cs="Arial"/>
                  <w:szCs w:val="20"/>
                  <w:vertAlign w:val="superscript"/>
                </w:rPr>
                <w:t>2</w:t>
              </w:r>
            </w:smartTag>
          </w:p>
        </w:tc>
        <w:tc>
          <w:tcPr>
            <w:tcW w:w="3303" w:type="dxa"/>
            <w:shd w:val="clear" w:color="auto" w:fill="auto"/>
          </w:tcPr>
          <w:p w14:paraId="1F28687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Różnice od grubości projektowanej ±10%           </w:t>
            </w:r>
          </w:p>
          <w:p w14:paraId="6C3D4E4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r>
    </w:tbl>
    <w:p w14:paraId="4B984A2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Dodatkowe pomiary spadków poprzecznych i ukształtowania osi w planie należy wykonać w punktach głównych łuków poziomych.</w:t>
      </w:r>
    </w:p>
    <w:p w14:paraId="2C61250A"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7. Obmiar robót</w:t>
      </w:r>
    </w:p>
    <w:p w14:paraId="25D6C1EF"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7.1. Ogólne zasady obmiaru robót</w:t>
      </w:r>
    </w:p>
    <w:p w14:paraId="3ADAA45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Ogólne zasady obmiaru robót podano w SST  D-M-00.00.00 „Wymagania ogólne” [1], pkt 7.</w:t>
      </w:r>
    </w:p>
    <w:p w14:paraId="70E0B357"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7.2. Jednostka obmiarowa</w:t>
      </w:r>
    </w:p>
    <w:p w14:paraId="774D00D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Jednostką obmiarową jest m</w:t>
      </w:r>
      <w:r w:rsidRPr="006431C4">
        <w:rPr>
          <w:rFonts w:cs="Arial"/>
          <w:szCs w:val="20"/>
          <w:vertAlign w:val="superscript"/>
        </w:rPr>
        <w:t>2</w:t>
      </w:r>
      <w:r w:rsidRPr="006431C4">
        <w:rPr>
          <w:rFonts w:cs="Arial"/>
          <w:szCs w:val="20"/>
        </w:rPr>
        <w:t xml:space="preserve"> (metr kwadratowy) wykonanej warstwy.</w:t>
      </w:r>
    </w:p>
    <w:p w14:paraId="60266291"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8. Odbiór robót</w:t>
      </w:r>
    </w:p>
    <w:p w14:paraId="3BA0378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Ogólne zasady odbioru robót podano w SST  D-M-00.00.00 „Wymagania ogólne” [1], pkt 8. </w:t>
      </w:r>
    </w:p>
    <w:p w14:paraId="0C7E401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Roboty uznaje się za wykonane zgodnie z dokumentacją projektową,</w:t>
      </w:r>
      <w:r w:rsidR="00897282" w:rsidRPr="006431C4">
        <w:rPr>
          <w:rFonts w:cs="Arial"/>
          <w:szCs w:val="20"/>
        </w:rPr>
        <w:t xml:space="preserve"> SST </w:t>
      </w:r>
      <w:r w:rsidRPr="006431C4">
        <w:rPr>
          <w:rFonts w:cs="Arial"/>
          <w:szCs w:val="20"/>
        </w:rPr>
        <w:t>i wymaganiami Inżyniera, jeżeli wszystkie pomiary i badania z zachowaniem tolerancji według punktu 6 dały wyniki pozytywne.</w:t>
      </w:r>
    </w:p>
    <w:p w14:paraId="626E2964"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9. Podstawa płatności</w:t>
      </w:r>
    </w:p>
    <w:p w14:paraId="3736DC83"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9.1. Ogólne ustalenia dotyczące podstawy płatności</w:t>
      </w:r>
    </w:p>
    <w:p w14:paraId="4EB658B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Ogólne ustalenia dotyczące podstawy płatności podano w SST D-M-00.00.00 „Wymagania ogólne” [1], pkt 9.</w:t>
      </w:r>
    </w:p>
    <w:p w14:paraId="447751FB"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9.2. Cena jednostki obmiarowej</w:t>
      </w:r>
    </w:p>
    <w:p w14:paraId="3090E5A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Cena wykonania  jednostki obmiarowej (</w:t>
      </w:r>
      <w:smartTag w:uri="urn:schemas-microsoft-com:office:smarttags" w:element="metricconverter">
        <w:smartTagPr>
          <w:attr w:name="ProductID" w:val="1 m2"/>
        </w:smartTagPr>
        <w:r w:rsidRPr="006431C4">
          <w:rPr>
            <w:rFonts w:cs="Arial"/>
            <w:szCs w:val="20"/>
          </w:rPr>
          <w:t>1 m</w:t>
        </w:r>
        <w:r w:rsidRPr="006431C4">
          <w:rPr>
            <w:rFonts w:cs="Arial"/>
            <w:szCs w:val="20"/>
            <w:vertAlign w:val="superscript"/>
          </w:rPr>
          <w:t>2</w:t>
        </w:r>
      </w:smartTag>
      <w:r w:rsidRPr="006431C4">
        <w:rPr>
          <w:rFonts w:cs="Arial"/>
          <w:szCs w:val="20"/>
        </w:rPr>
        <w:t>) obejmuje:</w:t>
      </w:r>
    </w:p>
    <w:p w14:paraId="41C7C902"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prace pomiarowe i roboty przygotowawcze,</w:t>
      </w:r>
    </w:p>
    <w:p w14:paraId="28771D2E"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oznakowanie robót,</w:t>
      </w:r>
    </w:p>
    <w:p w14:paraId="7CA7442D"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dostarczenie materiałów i sprzętu,</w:t>
      </w:r>
    </w:p>
    <w:p w14:paraId="37EF63B7"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przygotowanie mieszanki z kruszywa, zgodnie z receptą,</w:t>
      </w:r>
    </w:p>
    <w:p w14:paraId="75D13693"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dostarczenie mieszanki na miejsce wbudowania,</w:t>
      </w:r>
    </w:p>
    <w:p w14:paraId="76279019"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rozłożenie mieszanki,</w:t>
      </w:r>
    </w:p>
    <w:p w14:paraId="66D00218"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zagęszczenie mieszanki,</w:t>
      </w:r>
    </w:p>
    <w:p w14:paraId="54ED4C07"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utrzymanie warstwy w czasie robót, ew. impregnacja warstwy,</w:t>
      </w:r>
    </w:p>
    <w:p w14:paraId="2E8A854E"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przeprowadzenie wymaganych  pomiarów i badań,</w:t>
      </w:r>
    </w:p>
    <w:p w14:paraId="1328D63C"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uporządkowanie terenu robót i jego otoczenia,</w:t>
      </w:r>
    </w:p>
    <w:p w14:paraId="20AF678F"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roboty wykończeniowe,</w:t>
      </w:r>
    </w:p>
    <w:p w14:paraId="04248F6D"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b/>
          <w:szCs w:val="20"/>
        </w:rPr>
      </w:pPr>
      <w:r w:rsidRPr="006431C4">
        <w:rPr>
          <w:rFonts w:cs="Arial"/>
          <w:szCs w:val="20"/>
        </w:rPr>
        <w:t>odwiezienie sprzętu.</w:t>
      </w:r>
    </w:p>
    <w:p w14:paraId="099EFE1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Wszystkie roboty powinny być wykonane według wymagań dokumentacji projektowej, ST, specyfikacji technicznej i postanowień Inżyniera.</w:t>
      </w:r>
    </w:p>
    <w:p w14:paraId="3386D315"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9.3. Sposób rozliczenia robót tymczasowych i prac towarzyszących</w:t>
      </w:r>
    </w:p>
    <w:p w14:paraId="565CA9D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Cena wykonania robót określonych niniejszą SST obejmuje:</w:t>
      </w:r>
    </w:p>
    <w:p w14:paraId="3BEC7572"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roboty tymczasowe, które są potrzebne do wykonania robót podstawowych, ale nie są przekazywane Zamawiającemu i są usuwane po wykonaniu robót podstawowych,</w:t>
      </w:r>
    </w:p>
    <w:p w14:paraId="7962762B" w14:textId="77777777" w:rsidR="00DB1DC9" w:rsidRPr="006431C4" w:rsidRDefault="00DB1DC9" w:rsidP="00BE2485">
      <w:pPr>
        <w:numPr>
          <w:ilvl w:val="0"/>
          <w:numId w:val="4"/>
        </w:numPr>
        <w:shd w:val="clear" w:color="auto" w:fill="FFFFFF" w:themeFill="background1"/>
        <w:tabs>
          <w:tab w:val="num" w:pos="-2694"/>
          <w:tab w:val="left" w:pos="142"/>
        </w:tabs>
        <w:spacing w:line="240" w:lineRule="auto"/>
        <w:jc w:val="both"/>
        <w:rPr>
          <w:rFonts w:cs="Arial"/>
          <w:szCs w:val="20"/>
        </w:rPr>
      </w:pPr>
      <w:r w:rsidRPr="006431C4">
        <w:rPr>
          <w:rFonts w:cs="Arial"/>
          <w:szCs w:val="20"/>
        </w:rPr>
        <w:t>prace towarzyszące, które są niezbędne do wykonania robót podstawowych, niezaliczane do robót tymczasowych, jak geodezyjne wytyczenie robót itd.</w:t>
      </w:r>
    </w:p>
    <w:p w14:paraId="515C5511"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10. Przepisy związane</w:t>
      </w:r>
    </w:p>
    <w:p w14:paraId="5E385A58"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 xml:space="preserve">10.1. </w:t>
      </w:r>
      <w:r w:rsidR="00F2493D" w:rsidRPr="006431C4">
        <w:rPr>
          <w:rFonts w:cs="Arial"/>
          <w:b/>
          <w:szCs w:val="20"/>
        </w:rPr>
        <w:t xml:space="preserve">Szczegółowe specyfikacje techniczne </w:t>
      </w:r>
      <w:r w:rsidRPr="006431C4">
        <w:rPr>
          <w:rFonts w:cs="Arial"/>
          <w:b/>
          <w:szCs w:val="20"/>
        </w:rPr>
        <w:t>(SST)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DB1DC9" w:rsidRPr="006431C4" w14:paraId="2171F22B" w14:textId="77777777" w:rsidTr="006D174F">
        <w:tc>
          <w:tcPr>
            <w:tcW w:w="637" w:type="dxa"/>
          </w:tcPr>
          <w:p w14:paraId="32EED4C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w:t>
            </w:r>
          </w:p>
        </w:tc>
        <w:tc>
          <w:tcPr>
            <w:tcW w:w="2073" w:type="dxa"/>
          </w:tcPr>
          <w:p w14:paraId="0F64FAC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D-M-00.00.00</w:t>
            </w:r>
          </w:p>
        </w:tc>
        <w:tc>
          <w:tcPr>
            <w:tcW w:w="6492" w:type="dxa"/>
          </w:tcPr>
          <w:p w14:paraId="2FF692F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Wymagania ogólne</w:t>
            </w:r>
          </w:p>
        </w:tc>
      </w:tr>
      <w:tr w:rsidR="00DB1DC9" w:rsidRPr="006431C4" w14:paraId="655E65C7" w14:textId="77777777" w:rsidTr="006D174F">
        <w:tc>
          <w:tcPr>
            <w:tcW w:w="637" w:type="dxa"/>
          </w:tcPr>
          <w:p w14:paraId="2B64119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2.</w:t>
            </w:r>
          </w:p>
        </w:tc>
        <w:tc>
          <w:tcPr>
            <w:tcW w:w="2073" w:type="dxa"/>
          </w:tcPr>
          <w:p w14:paraId="3902DF7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D-01.00.00</w:t>
            </w:r>
          </w:p>
        </w:tc>
        <w:tc>
          <w:tcPr>
            <w:tcW w:w="6492" w:type="dxa"/>
          </w:tcPr>
          <w:p w14:paraId="3E4482E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Roboty przygotowawcze</w:t>
            </w:r>
          </w:p>
        </w:tc>
      </w:tr>
      <w:tr w:rsidR="00DB1DC9" w:rsidRPr="006431C4" w14:paraId="04564BDE" w14:textId="77777777" w:rsidTr="006D174F">
        <w:tc>
          <w:tcPr>
            <w:tcW w:w="637" w:type="dxa"/>
          </w:tcPr>
          <w:p w14:paraId="7173744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3.</w:t>
            </w:r>
          </w:p>
        </w:tc>
        <w:tc>
          <w:tcPr>
            <w:tcW w:w="2073" w:type="dxa"/>
          </w:tcPr>
          <w:p w14:paraId="7540EB0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D-02.00.00</w:t>
            </w:r>
          </w:p>
        </w:tc>
        <w:tc>
          <w:tcPr>
            <w:tcW w:w="6492" w:type="dxa"/>
          </w:tcPr>
          <w:p w14:paraId="568696D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Roboty ziemne</w:t>
            </w:r>
          </w:p>
        </w:tc>
      </w:tr>
      <w:tr w:rsidR="00DB1DC9" w:rsidRPr="006431C4" w14:paraId="2E1A0295" w14:textId="77777777" w:rsidTr="006D174F">
        <w:tc>
          <w:tcPr>
            <w:tcW w:w="637" w:type="dxa"/>
          </w:tcPr>
          <w:p w14:paraId="7DA9443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4.</w:t>
            </w:r>
          </w:p>
        </w:tc>
        <w:tc>
          <w:tcPr>
            <w:tcW w:w="2073" w:type="dxa"/>
          </w:tcPr>
          <w:p w14:paraId="61ABA1A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D-04.04.02a</w:t>
            </w:r>
          </w:p>
        </w:tc>
        <w:tc>
          <w:tcPr>
            <w:tcW w:w="6492" w:type="dxa"/>
          </w:tcPr>
          <w:p w14:paraId="1065D7F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Podbudowa pomocnicza z mieszanki kruszywa niezwiązanego</w:t>
            </w:r>
          </w:p>
        </w:tc>
      </w:tr>
    </w:tbl>
    <w:p w14:paraId="36E1D34A"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10.2. Normy</w:t>
      </w:r>
    </w:p>
    <w:tbl>
      <w:tblPr>
        <w:tblW w:w="10632" w:type="dxa"/>
        <w:tblLook w:val="01E0" w:firstRow="1" w:lastRow="1" w:firstColumn="1" w:lastColumn="1" w:noHBand="0" w:noVBand="0"/>
      </w:tblPr>
      <w:tblGrid>
        <w:gridCol w:w="675"/>
        <w:gridCol w:w="2073"/>
        <w:gridCol w:w="7884"/>
      </w:tblGrid>
      <w:tr w:rsidR="00DB1DC9" w:rsidRPr="006431C4" w14:paraId="68AF4652" w14:textId="77777777" w:rsidTr="006D174F">
        <w:tc>
          <w:tcPr>
            <w:tcW w:w="675" w:type="dxa"/>
          </w:tcPr>
          <w:p w14:paraId="10738A7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5.</w:t>
            </w:r>
          </w:p>
        </w:tc>
        <w:tc>
          <w:tcPr>
            <w:tcW w:w="2073" w:type="dxa"/>
          </w:tcPr>
          <w:p w14:paraId="3B939CC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933-1</w:t>
            </w:r>
          </w:p>
        </w:tc>
        <w:tc>
          <w:tcPr>
            <w:tcW w:w="7884" w:type="dxa"/>
          </w:tcPr>
          <w:p w14:paraId="28F20B7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geometrycznych właściwości kruszyw – Oznaczanie składu ziarnowego – Metoda przesiewania</w:t>
            </w:r>
          </w:p>
        </w:tc>
      </w:tr>
      <w:tr w:rsidR="00DB1DC9" w:rsidRPr="006431C4" w14:paraId="76E72730" w14:textId="77777777" w:rsidTr="006D174F">
        <w:tc>
          <w:tcPr>
            <w:tcW w:w="675" w:type="dxa"/>
          </w:tcPr>
          <w:p w14:paraId="2729B36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6.</w:t>
            </w:r>
          </w:p>
        </w:tc>
        <w:tc>
          <w:tcPr>
            <w:tcW w:w="2073" w:type="dxa"/>
          </w:tcPr>
          <w:p w14:paraId="05D504D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933-3</w:t>
            </w:r>
          </w:p>
        </w:tc>
        <w:tc>
          <w:tcPr>
            <w:tcW w:w="7884" w:type="dxa"/>
          </w:tcPr>
          <w:p w14:paraId="58274DF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geometrycznych właściwości kruszyw – Oznaczanie kształtu ziaren za pomocą wskaźnika płaskości</w:t>
            </w:r>
          </w:p>
        </w:tc>
      </w:tr>
    </w:tbl>
    <w:p w14:paraId="1CD7658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bl>
      <w:tblPr>
        <w:tblW w:w="10632" w:type="dxa"/>
        <w:tblLook w:val="01E0" w:firstRow="1" w:lastRow="1" w:firstColumn="1" w:lastColumn="1" w:noHBand="0" w:noVBand="0"/>
      </w:tblPr>
      <w:tblGrid>
        <w:gridCol w:w="675"/>
        <w:gridCol w:w="2073"/>
        <w:gridCol w:w="7884"/>
      </w:tblGrid>
      <w:tr w:rsidR="00DB1DC9" w:rsidRPr="006431C4" w14:paraId="3449A9E8" w14:textId="77777777" w:rsidTr="006D174F">
        <w:tc>
          <w:tcPr>
            <w:tcW w:w="675" w:type="dxa"/>
          </w:tcPr>
          <w:p w14:paraId="0E5FE20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7.</w:t>
            </w:r>
          </w:p>
        </w:tc>
        <w:tc>
          <w:tcPr>
            <w:tcW w:w="2073" w:type="dxa"/>
          </w:tcPr>
          <w:p w14:paraId="0F6E565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933-4</w:t>
            </w:r>
          </w:p>
        </w:tc>
        <w:tc>
          <w:tcPr>
            <w:tcW w:w="7884" w:type="dxa"/>
          </w:tcPr>
          <w:p w14:paraId="16F446B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geometrycznych właściwości kruszyw – Oznaczanie kształtu ziaren – Wskaźnik kształtu</w:t>
            </w:r>
          </w:p>
        </w:tc>
      </w:tr>
      <w:tr w:rsidR="00DB1DC9" w:rsidRPr="006431C4" w14:paraId="41F8935A" w14:textId="77777777" w:rsidTr="006D174F">
        <w:tc>
          <w:tcPr>
            <w:tcW w:w="675" w:type="dxa"/>
          </w:tcPr>
          <w:p w14:paraId="0907F17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8.</w:t>
            </w:r>
          </w:p>
        </w:tc>
        <w:tc>
          <w:tcPr>
            <w:tcW w:w="2073" w:type="dxa"/>
          </w:tcPr>
          <w:p w14:paraId="10C62C7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933-5</w:t>
            </w:r>
          </w:p>
        </w:tc>
        <w:tc>
          <w:tcPr>
            <w:tcW w:w="7884" w:type="dxa"/>
          </w:tcPr>
          <w:p w14:paraId="1DA4450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geometrycznych właściwości kruszyw – Oznaczanie procentowej zawartości ziarn o powierzchniach powstałych w wyniku przekruszenia lub łamania kruszyw grubych</w:t>
            </w:r>
          </w:p>
        </w:tc>
      </w:tr>
      <w:tr w:rsidR="00DB1DC9" w:rsidRPr="006431C4" w14:paraId="64A155D6" w14:textId="77777777" w:rsidTr="006D174F">
        <w:tc>
          <w:tcPr>
            <w:tcW w:w="675" w:type="dxa"/>
          </w:tcPr>
          <w:p w14:paraId="7839C8E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9.</w:t>
            </w:r>
          </w:p>
        </w:tc>
        <w:tc>
          <w:tcPr>
            <w:tcW w:w="2073" w:type="dxa"/>
          </w:tcPr>
          <w:p w14:paraId="5BDDEEC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1097-1</w:t>
            </w:r>
          </w:p>
        </w:tc>
        <w:tc>
          <w:tcPr>
            <w:tcW w:w="7884" w:type="dxa"/>
          </w:tcPr>
          <w:p w14:paraId="6C1E61F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mechanicznych i fizycznych właściwości kruszyw – Oznaczanie odporności na ścieranie (mikro-Deval)</w:t>
            </w:r>
          </w:p>
        </w:tc>
      </w:tr>
      <w:tr w:rsidR="00DB1DC9" w:rsidRPr="006431C4" w14:paraId="665DD32C" w14:textId="77777777" w:rsidTr="006D174F">
        <w:tc>
          <w:tcPr>
            <w:tcW w:w="675" w:type="dxa"/>
          </w:tcPr>
          <w:p w14:paraId="1C66DE9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10.</w:t>
            </w:r>
          </w:p>
        </w:tc>
        <w:tc>
          <w:tcPr>
            <w:tcW w:w="2073" w:type="dxa"/>
          </w:tcPr>
          <w:p w14:paraId="317522C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1097-2</w:t>
            </w:r>
          </w:p>
        </w:tc>
        <w:tc>
          <w:tcPr>
            <w:tcW w:w="7884" w:type="dxa"/>
          </w:tcPr>
          <w:p w14:paraId="75C3749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mechanicznych i fizycznych właściwości kruszyw – Metody oznaczania odporności na rozdrabnianie</w:t>
            </w:r>
          </w:p>
        </w:tc>
      </w:tr>
      <w:tr w:rsidR="00DB1DC9" w:rsidRPr="006431C4" w14:paraId="6DB30E2C" w14:textId="77777777" w:rsidTr="006D174F">
        <w:tc>
          <w:tcPr>
            <w:tcW w:w="675" w:type="dxa"/>
          </w:tcPr>
          <w:p w14:paraId="387B2FE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11.</w:t>
            </w:r>
          </w:p>
        </w:tc>
        <w:tc>
          <w:tcPr>
            <w:tcW w:w="2073" w:type="dxa"/>
          </w:tcPr>
          <w:p w14:paraId="68E9807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1097-6</w:t>
            </w:r>
          </w:p>
        </w:tc>
        <w:tc>
          <w:tcPr>
            <w:tcW w:w="7884" w:type="dxa"/>
          </w:tcPr>
          <w:p w14:paraId="60F337D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mechanicznych i fizycznych właściwości kruszyw – Część 6: Oznaczanie gęstości ziarn i nasiąkliwości</w:t>
            </w:r>
          </w:p>
        </w:tc>
      </w:tr>
      <w:tr w:rsidR="00DB1DC9" w:rsidRPr="006431C4" w14:paraId="6A54C9EB" w14:textId="77777777" w:rsidTr="006D174F">
        <w:tc>
          <w:tcPr>
            <w:tcW w:w="675" w:type="dxa"/>
          </w:tcPr>
          <w:p w14:paraId="0933959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lastRenderedPageBreak/>
              <w:t>12.</w:t>
            </w:r>
          </w:p>
        </w:tc>
        <w:tc>
          <w:tcPr>
            <w:tcW w:w="2073" w:type="dxa"/>
          </w:tcPr>
          <w:p w14:paraId="1AFF639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1367-1</w:t>
            </w:r>
          </w:p>
        </w:tc>
        <w:tc>
          <w:tcPr>
            <w:tcW w:w="7884" w:type="dxa"/>
          </w:tcPr>
          <w:p w14:paraId="529CF44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właściwości cieplnych i odporności kruszyw na działanie czynników atmosferycznych – Część 1: Oznaczanie mrozoodporności</w:t>
            </w:r>
          </w:p>
        </w:tc>
      </w:tr>
      <w:tr w:rsidR="00DB1DC9" w:rsidRPr="006431C4" w14:paraId="24ED78B9" w14:textId="77777777" w:rsidTr="006D174F">
        <w:tc>
          <w:tcPr>
            <w:tcW w:w="675" w:type="dxa"/>
          </w:tcPr>
          <w:p w14:paraId="51D3330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13.</w:t>
            </w:r>
          </w:p>
        </w:tc>
        <w:tc>
          <w:tcPr>
            <w:tcW w:w="2073" w:type="dxa"/>
          </w:tcPr>
          <w:p w14:paraId="2E5A958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1367-3</w:t>
            </w:r>
          </w:p>
        </w:tc>
        <w:tc>
          <w:tcPr>
            <w:tcW w:w="7884" w:type="dxa"/>
          </w:tcPr>
          <w:p w14:paraId="64261B2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właściwości cieplnych i odporności kruszyw na działanie czynników atmosferycznych – Część 3: Badanie bazaltowej zgorzeli słonecznej metodą gotowania</w:t>
            </w:r>
          </w:p>
        </w:tc>
      </w:tr>
      <w:tr w:rsidR="00DB1DC9" w:rsidRPr="006431C4" w14:paraId="57AEB93B" w14:textId="77777777" w:rsidTr="006D174F">
        <w:tc>
          <w:tcPr>
            <w:tcW w:w="675" w:type="dxa"/>
          </w:tcPr>
          <w:p w14:paraId="453D0FD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14.</w:t>
            </w:r>
          </w:p>
        </w:tc>
        <w:tc>
          <w:tcPr>
            <w:tcW w:w="2073" w:type="dxa"/>
          </w:tcPr>
          <w:p w14:paraId="5295CBF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1744-1</w:t>
            </w:r>
          </w:p>
        </w:tc>
        <w:tc>
          <w:tcPr>
            <w:tcW w:w="7884" w:type="dxa"/>
          </w:tcPr>
          <w:p w14:paraId="57BF0EF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chemicznych właściwości kruszyw – Analiza chemiczna</w:t>
            </w:r>
          </w:p>
        </w:tc>
      </w:tr>
      <w:tr w:rsidR="00DB1DC9" w:rsidRPr="006431C4" w14:paraId="6B03364D" w14:textId="77777777" w:rsidTr="006D174F">
        <w:tc>
          <w:tcPr>
            <w:tcW w:w="675" w:type="dxa"/>
          </w:tcPr>
          <w:p w14:paraId="6504E48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15.</w:t>
            </w:r>
          </w:p>
        </w:tc>
        <w:tc>
          <w:tcPr>
            <w:tcW w:w="2073" w:type="dxa"/>
          </w:tcPr>
          <w:p w14:paraId="07C0C01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1744-3</w:t>
            </w:r>
          </w:p>
        </w:tc>
        <w:tc>
          <w:tcPr>
            <w:tcW w:w="7884" w:type="dxa"/>
          </w:tcPr>
          <w:p w14:paraId="0895845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Badania chemicznych właściwości kruszyw – Część 3: Przygotowanie wyciągów przez wymywanie kruszyw</w:t>
            </w:r>
          </w:p>
        </w:tc>
      </w:tr>
      <w:tr w:rsidR="00DB1DC9" w:rsidRPr="006431C4" w14:paraId="410101CA" w14:textId="77777777" w:rsidTr="006D174F">
        <w:tc>
          <w:tcPr>
            <w:tcW w:w="675" w:type="dxa"/>
          </w:tcPr>
          <w:p w14:paraId="75471E5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16.</w:t>
            </w:r>
          </w:p>
        </w:tc>
        <w:tc>
          <w:tcPr>
            <w:tcW w:w="2073" w:type="dxa"/>
          </w:tcPr>
          <w:p w14:paraId="446488F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13242</w:t>
            </w:r>
          </w:p>
        </w:tc>
        <w:tc>
          <w:tcPr>
            <w:tcW w:w="7884" w:type="dxa"/>
          </w:tcPr>
          <w:p w14:paraId="5FE7219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Kruszywa do niezwiązanych i związanych hydraulicznie materiałów stosowanych w obiektach budowlanych i budownictwie drogowym</w:t>
            </w:r>
          </w:p>
        </w:tc>
      </w:tr>
      <w:tr w:rsidR="00DB1DC9" w:rsidRPr="006431C4" w14:paraId="190D2214" w14:textId="77777777" w:rsidTr="006D174F">
        <w:tc>
          <w:tcPr>
            <w:tcW w:w="675" w:type="dxa"/>
          </w:tcPr>
          <w:p w14:paraId="5EAE6AF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17.</w:t>
            </w:r>
          </w:p>
        </w:tc>
        <w:tc>
          <w:tcPr>
            <w:tcW w:w="2073" w:type="dxa"/>
          </w:tcPr>
          <w:p w14:paraId="644B461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13285</w:t>
            </w:r>
          </w:p>
        </w:tc>
        <w:tc>
          <w:tcPr>
            <w:tcW w:w="7884" w:type="dxa"/>
          </w:tcPr>
          <w:p w14:paraId="36CE07C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Mieszanki niezwiązane – Wymagania </w:t>
            </w:r>
          </w:p>
        </w:tc>
      </w:tr>
      <w:tr w:rsidR="00DB1DC9" w:rsidRPr="006431C4" w14:paraId="440098C5" w14:textId="77777777" w:rsidTr="006D174F">
        <w:tc>
          <w:tcPr>
            <w:tcW w:w="675" w:type="dxa"/>
          </w:tcPr>
          <w:p w14:paraId="27E1295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18.</w:t>
            </w:r>
          </w:p>
        </w:tc>
        <w:tc>
          <w:tcPr>
            <w:tcW w:w="2073" w:type="dxa"/>
          </w:tcPr>
          <w:p w14:paraId="03FCB54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13286-2</w:t>
            </w:r>
          </w:p>
        </w:tc>
        <w:tc>
          <w:tcPr>
            <w:tcW w:w="7884" w:type="dxa"/>
          </w:tcPr>
          <w:p w14:paraId="10C3D64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Mieszanki niezwiązane i związane spoiwem hydraulicznym – Część 2: Metody określania gęstości i zawartości wody – Zagęszczanie metodą Proctora</w:t>
            </w:r>
          </w:p>
        </w:tc>
      </w:tr>
      <w:tr w:rsidR="00DB1DC9" w:rsidRPr="006431C4" w14:paraId="60B8E3B1" w14:textId="77777777" w:rsidTr="006D174F">
        <w:tc>
          <w:tcPr>
            <w:tcW w:w="675" w:type="dxa"/>
          </w:tcPr>
          <w:p w14:paraId="65F186C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19.</w:t>
            </w:r>
          </w:p>
        </w:tc>
        <w:tc>
          <w:tcPr>
            <w:tcW w:w="2073" w:type="dxa"/>
          </w:tcPr>
          <w:p w14:paraId="7DCC1F2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PN-EN 13286-47</w:t>
            </w:r>
          </w:p>
        </w:tc>
        <w:tc>
          <w:tcPr>
            <w:tcW w:w="7884" w:type="dxa"/>
          </w:tcPr>
          <w:p w14:paraId="1AD461C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Mieszanki niezwiązane i związane spoiwem hydraulicznym – Część 47: Metody badań dla określenia nośności, kalifornijski wskaźnik nośności CBR, natychmiastowy wskaźnik nośności i pęcznienia liniowego</w:t>
            </w:r>
          </w:p>
        </w:tc>
      </w:tr>
    </w:tbl>
    <w:p w14:paraId="3003DE8F"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10.3. Inne dokumenty</w:t>
      </w:r>
    </w:p>
    <w:p w14:paraId="1F7DE4F3" w14:textId="77777777" w:rsidR="00DB1DC9" w:rsidRPr="006431C4" w:rsidRDefault="00DB1DC9" w:rsidP="00CF1E7D">
      <w:pPr>
        <w:numPr>
          <w:ilvl w:val="0"/>
          <w:numId w:val="109"/>
        </w:numPr>
        <w:shd w:val="clear" w:color="auto" w:fill="FFFFFF" w:themeFill="background1"/>
        <w:tabs>
          <w:tab w:val="num" w:pos="-2694"/>
          <w:tab w:val="left" w:pos="142"/>
        </w:tabs>
        <w:spacing w:line="240" w:lineRule="auto"/>
        <w:jc w:val="both"/>
        <w:rPr>
          <w:rFonts w:cs="Arial"/>
          <w:szCs w:val="20"/>
        </w:rPr>
      </w:pPr>
      <w:r w:rsidRPr="006431C4">
        <w:rPr>
          <w:rFonts w:cs="Arial"/>
          <w:szCs w:val="20"/>
        </w:rPr>
        <w:t>Mieszanki niezwiązane do dróg krajowych. WT-4 2010. Wymagania techniczne (zalecone do stosowania w specyfikacji technicznej na roboty budowlane na drogach krajowych wg zarządzenia nr 102 GDDKiA z dnia 19.11.2010 r.)</w:t>
      </w:r>
    </w:p>
    <w:p w14:paraId="3BC4FF51" w14:textId="77777777" w:rsidR="00DB1DC9" w:rsidRPr="006431C4" w:rsidRDefault="00DB1DC9" w:rsidP="00CF1E7D">
      <w:pPr>
        <w:numPr>
          <w:ilvl w:val="0"/>
          <w:numId w:val="109"/>
        </w:numPr>
        <w:shd w:val="clear" w:color="auto" w:fill="FFFFFF" w:themeFill="background1"/>
        <w:tabs>
          <w:tab w:val="num" w:pos="-2694"/>
          <w:tab w:val="left" w:pos="142"/>
        </w:tabs>
        <w:spacing w:line="240" w:lineRule="auto"/>
        <w:jc w:val="both"/>
        <w:rPr>
          <w:rFonts w:cs="Arial"/>
          <w:szCs w:val="20"/>
        </w:rPr>
      </w:pPr>
      <w:r w:rsidRPr="006431C4">
        <w:rPr>
          <w:rFonts w:cs="Arial"/>
          <w:szCs w:val="20"/>
        </w:rPr>
        <w:t>Rozporządzenie Ministra Transportu i Gospodarki Morskiej z dnia 2 marca 1999 r. w sprawie warunków technicznych, jakim powinny odpowiadać drogi publiczne i ich usytuowanie (Dz.U. nr 43, poz. 430)</w:t>
      </w:r>
    </w:p>
    <w:p w14:paraId="0F839361" w14:textId="77777777" w:rsidR="00DB1DC9" w:rsidRPr="006431C4" w:rsidRDefault="00DB1DC9" w:rsidP="00CF1E7D">
      <w:pPr>
        <w:numPr>
          <w:ilvl w:val="0"/>
          <w:numId w:val="109"/>
        </w:numPr>
        <w:shd w:val="clear" w:color="auto" w:fill="FFFFFF" w:themeFill="background1"/>
        <w:tabs>
          <w:tab w:val="num" w:pos="-2694"/>
          <w:tab w:val="left" w:pos="142"/>
        </w:tabs>
        <w:spacing w:line="240" w:lineRule="auto"/>
        <w:jc w:val="both"/>
        <w:rPr>
          <w:rFonts w:cs="Arial"/>
          <w:szCs w:val="20"/>
        </w:rPr>
      </w:pPr>
      <w:r w:rsidRPr="006431C4">
        <w:rPr>
          <w:rFonts w:cs="Arial"/>
          <w:szCs w:val="20"/>
        </w:rPr>
        <w:t>Katalog typowych konstrukcji nawierzchni podatnych i półsztywnych. Generalna Dyrekcja Dróg Publicznych – Instytut Badawczy Dróg i Mostów, Warszawa 1997</w:t>
      </w:r>
    </w:p>
    <w:p w14:paraId="45B9B89E" w14:textId="77777777" w:rsidR="006D174F" w:rsidRPr="006431C4" w:rsidRDefault="006D174F" w:rsidP="00BE2485">
      <w:pPr>
        <w:shd w:val="clear" w:color="auto" w:fill="FFFFFF" w:themeFill="background1"/>
        <w:tabs>
          <w:tab w:val="left" w:pos="142"/>
          <w:tab w:val="num" w:pos="567"/>
        </w:tabs>
        <w:spacing w:line="240" w:lineRule="auto"/>
        <w:jc w:val="both"/>
        <w:rPr>
          <w:rFonts w:cs="Arial"/>
          <w:szCs w:val="20"/>
        </w:rPr>
      </w:pPr>
    </w:p>
    <w:p w14:paraId="00EC7113" w14:textId="77777777" w:rsidR="006D174F" w:rsidRPr="006431C4" w:rsidRDefault="006D174F" w:rsidP="00BE2485">
      <w:pPr>
        <w:shd w:val="clear" w:color="auto" w:fill="FFFFFF" w:themeFill="background1"/>
        <w:tabs>
          <w:tab w:val="left" w:pos="142"/>
          <w:tab w:val="num" w:pos="567"/>
        </w:tabs>
        <w:spacing w:line="240" w:lineRule="auto"/>
        <w:jc w:val="both"/>
        <w:rPr>
          <w:rFonts w:cs="Arial"/>
          <w:szCs w:val="20"/>
        </w:rPr>
      </w:pPr>
    </w:p>
    <w:p w14:paraId="09BA9A0E"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11. Załączniki</w:t>
      </w:r>
    </w:p>
    <w:p w14:paraId="56B4CEBF"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ZAŁĄCZNIK 1</w:t>
      </w:r>
    </w:p>
    <w:p w14:paraId="716C5B8C"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PRZYKŁADOWE  MIESZANKI  KRUSZYW  Z  RECYKLINGU [20]</w:t>
      </w:r>
    </w:p>
    <w:p w14:paraId="6501106E" w14:textId="77777777" w:rsidR="00DB1DC9" w:rsidRPr="006431C4" w:rsidRDefault="00DB1DC9" w:rsidP="00CF1E7D">
      <w:pPr>
        <w:numPr>
          <w:ilvl w:val="1"/>
          <w:numId w:val="105"/>
        </w:numPr>
        <w:shd w:val="clear" w:color="auto" w:fill="FFFFFF" w:themeFill="background1"/>
        <w:tabs>
          <w:tab w:val="num" w:pos="-2694"/>
          <w:tab w:val="left" w:pos="142"/>
        </w:tabs>
        <w:spacing w:line="240" w:lineRule="auto"/>
        <w:jc w:val="both"/>
        <w:rPr>
          <w:rFonts w:cs="Arial"/>
          <w:b/>
          <w:szCs w:val="20"/>
        </w:rPr>
      </w:pPr>
      <w:r w:rsidRPr="006431C4">
        <w:rPr>
          <w:rFonts w:cs="Arial"/>
          <w:b/>
          <w:szCs w:val="20"/>
        </w:rPr>
        <w:t>Rodzaje mieszanek kruszyw z recyklingu</w:t>
      </w:r>
    </w:p>
    <w:p w14:paraId="74E02E7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57646C2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Jako przykładowe podaje się następujące mieszanki kruszyw z recyklingu wraz z ich składami:</w:t>
      </w:r>
    </w:p>
    <w:p w14:paraId="42958F4C" w14:textId="77777777" w:rsidR="00DB1DC9" w:rsidRPr="006431C4" w:rsidRDefault="00DB1DC9" w:rsidP="00CF1E7D">
      <w:pPr>
        <w:numPr>
          <w:ilvl w:val="0"/>
          <w:numId w:val="106"/>
        </w:numPr>
        <w:shd w:val="clear" w:color="auto" w:fill="FFFFFF" w:themeFill="background1"/>
        <w:tabs>
          <w:tab w:val="num" w:pos="-2694"/>
          <w:tab w:val="left" w:pos="142"/>
        </w:tabs>
        <w:spacing w:line="240" w:lineRule="auto"/>
        <w:jc w:val="both"/>
        <w:rPr>
          <w:rFonts w:cs="Arial"/>
          <w:szCs w:val="20"/>
        </w:rPr>
      </w:pPr>
      <w:r w:rsidRPr="006431C4">
        <w:rPr>
          <w:rFonts w:cs="Arial"/>
          <w:szCs w:val="20"/>
        </w:rPr>
        <w:t>mieszanki z betonu przekruszonego,</w:t>
      </w:r>
    </w:p>
    <w:p w14:paraId="7EA737DD" w14:textId="77777777" w:rsidR="00DB1DC9" w:rsidRPr="006431C4" w:rsidRDefault="00DB1DC9" w:rsidP="00CF1E7D">
      <w:pPr>
        <w:numPr>
          <w:ilvl w:val="0"/>
          <w:numId w:val="106"/>
        </w:numPr>
        <w:shd w:val="clear" w:color="auto" w:fill="FFFFFF" w:themeFill="background1"/>
        <w:tabs>
          <w:tab w:val="num" w:pos="-2694"/>
          <w:tab w:val="left" w:pos="142"/>
        </w:tabs>
        <w:spacing w:line="240" w:lineRule="auto"/>
        <w:jc w:val="both"/>
        <w:rPr>
          <w:rFonts w:cs="Arial"/>
          <w:szCs w:val="20"/>
        </w:rPr>
      </w:pPr>
      <w:r w:rsidRPr="006431C4">
        <w:rPr>
          <w:rFonts w:cs="Arial"/>
          <w:szCs w:val="20"/>
        </w:rPr>
        <w:t>mieszanki z przekruszonego muru,</w:t>
      </w:r>
    </w:p>
    <w:p w14:paraId="701710A5" w14:textId="77777777" w:rsidR="00DB1DC9" w:rsidRPr="006431C4" w:rsidRDefault="00DB1DC9" w:rsidP="00CF1E7D">
      <w:pPr>
        <w:numPr>
          <w:ilvl w:val="0"/>
          <w:numId w:val="106"/>
        </w:numPr>
        <w:shd w:val="clear" w:color="auto" w:fill="FFFFFF" w:themeFill="background1"/>
        <w:tabs>
          <w:tab w:val="num" w:pos="-2694"/>
          <w:tab w:val="left" w:pos="142"/>
        </w:tabs>
        <w:spacing w:line="240" w:lineRule="auto"/>
        <w:jc w:val="both"/>
        <w:rPr>
          <w:rFonts w:cs="Arial"/>
          <w:szCs w:val="20"/>
        </w:rPr>
      </w:pPr>
      <w:r w:rsidRPr="006431C4">
        <w:rPr>
          <w:rFonts w:cs="Arial"/>
          <w:szCs w:val="20"/>
        </w:rPr>
        <w:t>mieszanki z przekruszonego betonu i muru,</w:t>
      </w:r>
    </w:p>
    <w:p w14:paraId="3FE6716B" w14:textId="77777777" w:rsidR="00DB1DC9" w:rsidRPr="006431C4" w:rsidRDefault="00DB1DC9" w:rsidP="00CF1E7D">
      <w:pPr>
        <w:numPr>
          <w:ilvl w:val="0"/>
          <w:numId w:val="106"/>
        </w:numPr>
        <w:shd w:val="clear" w:color="auto" w:fill="FFFFFF" w:themeFill="background1"/>
        <w:tabs>
          <w:tab w:val="num" w:pos="-2694"/>
          <w:tab w:val="left" w:pos="142"/>
        </w:tabs>
        <w:spacing w:line="240" w:lineRule="auto"/>
        <w:jc w:val="both"/>
        <w:rPr>
          <w:rFonts w:cs="Arial"/>
          <w:szCs w:val="20"/>
        </w:rPr>
      </w:pPr>
      <w:r w:rsidRPr="006431C4">
        <w:rPr>
          <w:rFonts w:cs="Arial"/>
          <w:szCs w:val="20"/>
        </w:rPr>
        <w:t>mieszanki z przekruszonych materiałów drogowych (w tym destruktu asfaltowego),</w:t>
      </w:r>
    </w:p>
    <w:p w14:paraId="0699E9DF" w14:textId="77777777" w:rsidR="00DB1DC9" w:rsidRPr="006431C4" w:rsidRDefault="00DB1DC9" w:rsidP="00CF1E7D">
      <w:pPr>
        <w:numPr>
          <w:ilvl w:val="0"/>
          <w:numId w:val="106"/>
        </w:numPr>
        <w:shd w:val="clear" w:color="auto" w:fill="FFFFFF" w:themeFill="background1"/>
        <w:tabs>
          <w:tab w:val="num" w:pos="-2694"/>
          <w:tab w:val="left" w:pos="142"/>
        </w:tabs>
        <w:spacing w:line="240" w:lineRule="auto"/>
        <w:jc w:val="both"/>
        <w:rPr>
          <w:rFonts w:cs="Arial"/>
          <w:szCs w:val="20"/>
        </w:rPr>
      </w:pPr>
      <w:r w:rsidRPr="006431C4">
        <w:rPr>
          <w:rFonts w:cs="Arial"/>
          <w:szCs w:val="20"/>
        </w:rPr>
        <w:t>popiół powstały ze spalania odpadów komunalnych (w tym odpadów z gospodarstw domowych).</w:t>
      </w:r>
    </w:p>
    <w:p w14:paraId="59ADB4E0"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1.2. Metoda badania</w:t>
      </w:r>
    </w:p>
    <w:p w14:paraId="7800DD4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Masa próbki analitycznej niezbędna do wykonania oznaczenia składu mieszanki zależy od wymiaru największego ziarna w mieszance:</w:t>
      </w:r>
    </w:p>
    <w:p w14:paraId="5436AA57" w14:textId="77777777" w:rsidR="00DB1DC9" w:rsidRPr="006431C4" w:rsidRDefault="00DB1DC9" w:rsidP="00CF1E7D">
      <w:pPr>
        <w:numPr>
          <w:ilvl w:val="0"/>
          <w:numId w:val="107"/>
        </w:num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przy D ≤ </w:t>
      </w:r>
      <w:smartTag w:uri="urn:schemas-microsoft-com:office:smarttags" w:element="metricconverter">
        <w:smartTagPr>
          <w:attr w:name="ProductID" w:val="32 mm"/>
        </w:smartTagPr>
        <w:r w:rsidRPr="006431C4">
          <w:rPr>
            <w:rFonts w:cs="Arial"/>
            <w:szCs w:val="20"/>
          </w:rPr>
          <w:t>32 mm</w:t>
        </w:r>
      </w:smartTag>
      <w:r w:rsidRPr="006431C4">
        <w:rPr>
          <w:rFonts w:cs="Arial"/>
          <w:szCs w:val="20"/>
        </w:rPr>
        <w:tab/>
        <w:t xml:space="preserve">masa próbki </w:t>
      </w:r>
      <w:smartTag w:uri="urn:schemas-microsoft-com:office:smarttags" w:element="metricconverter">
        <w:smartTagPr>
          <w:attr w:name="ProductID" w:val="4 000 g"/>
        </w:smartTagPr>
        <w:r w:rsidRPr="006431C4">
          <w:rPr>
            <w:rFonts w:cs="Arial"/>
            <w:szCs w:val="20"/>
          </w:rPr>
          <w:t>4 000 g</w:t>
        </w:r>
      </w:smartTag>
      <w:r w:rsidRPr="006431C4">
        <w:rPr>
          <w:rFonts w:cs="Arial"/>
          <w:szCs w:val="20"/>
        </w:rPr>
        <w:t>,</w:t>
      </w:r>
    </w:p>
    <w:p w14:paraId="50319DA7" w14:textId="77777777" w:rsidR="00DB1DC9" w:rsidRPr="006431C4" w:rsidRDefault="00DB1DC9" w:rsidP="00CF1E7D">
      <w:pPr>
        <w:numPr>
          <w:ilvl w:val="0"/>
          <w:numId w:val="107"/>
        </w:num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przy D &gt; </w:t>
      </w:r>
      <w:smartTag w:uri="urn:schemas-microsoft-com:office:smarttags" w:element="metricconverter">
        <w:smartTagPr>
          <w:attr w:name="ProductID" w:val="32 mm"/>
        </w:smartTagPr>
        <w:r w:rsidRPr="006431C4">
          <w:rPr>
            <w:rFonts w:cs="Arial"/>
            <w:szCs w:val="20"/>
          </w:rPr>
          <w:t>32 mm</w:t>
        </w:r>
      </w:smartTag>
      <w:r w:rsidRPr="006431C4">
        <w:rPr>
          <w:rFonts w:cs="Arial"/>
          <w:szCs w:val="20"/>
        </w:rPr>
        <w:tab/>
        <w:t xml:space="preserve">masa próbki </w:t>
      </w:r>
      <w:smartTag w:uri="urn:schemas-microsoft-com:office:smarttags" w:element="metricconverter">
        <w:smartTagPr>
          <w:attr w:name="ProductID" w:val="10 000 g"/>
        </w:smartTagPr>
        <w:r w:rsidRPr="006431C4">
          <w:rPr>
            <w:rFonts w:cs="Arial"/>
            <w:szCs w:val="20"/>
          </w:rPr>
          <w:t>10 000 g</w:t>
        </w:r>
      </w:smartTag>
      <w:r w:rsidRPr="006431C4">
        <w:rPr>
          <w:rFonts w:cs="Arial"/>
          <w:szCs w:val="20"/>
        </w:rPr>
        <w:t>.</w:t>
      </w:r>
    </w:p>
    <w:p w14:paraId="1A79E58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Zgodnie z PN-EN 933-1 [5] próbkę mieszanki należy przepłukać na sicie </w:t>
      </w:r>
      <w:smartTag w:uri="urn:schemas-microsoft-com:office:smarttags" w:element="metricconverter">
        <w:smartTagPr>
          <w:attr w:name="ProductID" w:val="8 mm"/>
        </w:smartTagPr>
        <w:r w:rsidRPr="006431C4">
          <w:rPr>
            <w:rFonts w:cs="Arial"/>
            <w:szCs w:val="20"/>
          </w:rPr>
          <w:t>8 mm</w:t>
        </w:r>
      </w:smartTag>
      <w:r w:rsidRPr="006431C4">
        <w:rPr>
          <w:rFonts w:cs="Arial"/>
          <w:szCs w:val="20"/>
        </w:rPr>
        <w:t>, przy czym sito nie może być przeładowane. Pozostałość na sicie jest suszona do masy stałej i podawana jako „M”.</w:t>
      </w:r>
    </w:p>
    <w:p w14:paraId="516798C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Wymyte i wysuszone ziarna są sortowane metodą wizualną w następujące grupy:</w:t>
      </w:r>
    </w:p>
    <w:p w14:paraId="0E5BF1BE" w14:textId="77777777" w:rsidR="00DB1DC9" w:rsidRPr="006431C4" w:rsidRDefault="00DB1DC9" w:rsidP="00CF1E7D">
      <w:pPr>
        <w:numPr>
          <w:ilvl w:val="0"/>
          <w:numId w:val="108"/>
        </w:numPr>
        <w:shd w:val="clear" w:color="auto" w:fill="FFFFFF" w:themeFill="background1"/>
        <w:tabs>
          <w:tab w:val="num" w:pos="-2694"/>
          <w:tab w:val="left" w:pos="142"/>
        </w:tabs>
        <w:spacing w:line="240" w:lineRule="auto"/>
        <w:jc w:val="both"/>
        <w:rPr>
          <w:rFonts w:cs="Arial"/>
          <w:szCs w:val="20"/>
        </w:rPr>
      </w:pPr>
      <w:r w:rsidRPr="006431C4">
        <w:rPr>
          <w:rFonts w:cs="Arial"/>
          <w:szCs w:val="20"/>
        </w:rPr>
        <w:t>kruszywa z przekruszonej skały,</w:t>
      </w:r>
    </w:p>
    <w:p w14:paraId="7855C064" w14:textId="77777777" w:rsidR="00DB1DC9" w:rsidRPr="006431C4" w:rsidRDefault="00DB1DC9" w:rsidP="00CF1E7D">
      <w:pPr>
        <w:numPr>
          <w:ilvl w:val="0"/>
          <w:numId w:val="108"/>
        </w:numPr>
        <w:shd w:val="clear" w:color="auto" w:fill="FFFFFF" w:themeFill="background1"/>
        <w:tabs>
          <w:tab w:val="num" w:pos="-2694"/>
          <w:tab w:val="left" w:pos="142"/>
        </w:tabs>
        <w:spacing w:line="240" w:lineRule="auto"/>
        <w:jc w:val="both"/>
        <w:rPr>
          <w:rFonts w:cs="Arial"/>
          <w:szCs w:val="20"/>
        </w:rPr>
      </w:pPr>
      <w:r w:rsidRPr="006431C4">
        <w:rPr>
          <w:rFonts w:cs="Arial"/>
          <w:szCs w:val="20"/>
        </w:rPr>
        <w:t>kruszywa ze żwiru,</w:t>
      </w:r>
    </w:p>
    <w:p w14:paraId="0CC2A947" w14:textId="77777777" w:rsidR="00DB1DC9" w:rsidRPr="006431C4" w:rsidRDefault="00DB1DC9" w:rsidP="00CF1E7D">
      <w:pPr>
        <w:numPr>
          <w:ilvl w:val="0"/>
          <w:numId w:val="108"/>
        </w:numPr>
        <w:shd w:val="clear" w:color="auto" w:fill="FFFFFF" w:themeFill="background1"/>
        <w:tabs>
          <w:tab w:val="num" w:pos="-2694"/>
          <w:tab w:val="left" w:pos="142"/>
        </w:tabs>
        <w:spacing w:line="240" w:lineRule="auto"/>
        <w:jc w:val="both"/>
        <w:rPr>
          <w:rFonts w:cs="Arial"/>
          <w:szCs w:val="20"/>
        </w:rPr>
      </w:pPr>
      <w:r w:rsidRPr="006431C4">
        <w:rPr>
          <w:rFonts w:cs="Arial"/>
          <w:szCs w:val="20"/>
        </w:rPr>
        <w:t>beton i inne hydraulicznie związane mieszanki,</w:t>
      </w:r>
    </w:p>
    <w:p w14:paraId="22E4C077" w14:textId="77777777" w:rsidR="00DB1DC9" w:rsidRPr="006431C4" w:rsidRDefault="00DB1DC9" w:rsidP="00CF1E7D">
      <w:pPr>
        <w:numPr>
          <w:ilvl w:val="0"/>
          <w:numId w:val="108"/>
        </w:numPr>
        <w:shd w:val="clear" w:color="auto" w:fill="FFFFFF" w:themeFill="background1"/>
        <w:tabs>
          <w:tab w:val="num" w:pos="-2694"/>
          <w:tab w:val="left" w:pos="142"/>
        </w:tabs>
        <w:spacing w:line="240" w:lineRule="auto"/>
        <w:jc w:val="both"/>
        <w:rPr>
          <w:rFonts w:cs="Arial"/>
          <w:szCs w:val="20"/>
        </w:rPr>
      </w:pPr>
      <w:r w:rsidRPr="006431C4">
        <w:rPr>
          <w:rFonts w:cs="Arial"/>
          <w:szCs w:val="20"/>
        </w:rPr>
        <w:t>żużel (łącznie z rodzajem żużla, jeżeli jest znany),</w:t>
      </w:r>
    </w:p>
    <w:p w14:paraId="3CB86D7F" w14:textId="77777777" w:rsidR="00DB1DC9" w:rsidRPr="006431C4" w:rsidRDefault="00DB1DC9" w:rsidP="00CF1E7D">
      <w:pPr>
        <w:numPr>
          <w:ilvl w:val="0"/>
          <w:numId w:val="108"/>
        </w:numPr>
        <w:shd w:val="clear" w:color="auto" w:fill="FFFFFF" w:themeFill="background1"/>
        <w:tabs>
          <w:tab w:val="num" w:pos="-2694"/>
          <w:tab w:val="left" w:pos="142"/>
        </w:tabs>
        <w:spacing w:line="240" w:lineRule="auto"/>
        <w:jc w:val="both"/>
        <w:rPr>
          <w:rFonts w:cs="Arial"/>
          <w:szCs w:val="20"/>
        </w:rPr>
      </w:pPr>
      <w:r w:rsidRPr="006431C4">
        <w:rPr>
          <w:rFonts w:cs="Arial"/>
          <w:szCs w:val="20"/>
        </w:rPr>
        <w:t>cegły, mury i bloki betonowe,</w:t>
      </w:r>
    </w:p>
    <w:p w14:paraId="0A4D79EE" w14:textId="77777777" w:rsidR="00DB1DC9" w:rsidRPr="006431C4" w:rsidRDefault="00DB1DC9" w:rsidP="00CF1E7D">
      <w:pPr>
        <w:numPr>
          <w:ilvl w:val="0"/>
          <w:numId w:val="108"/>
        </w:numPr>
        <w:shd w:val="clear" w:color="auto" w:fill="FFFFFF" w:themeFill="background1"/>
        <w:tabs>
          <w:tab w:val="num" w:pos="-2694"/>
          <w:tab w:val="left" w:pos="142"/>
        </w:tabs>
        <w:spacing w:line="240" w:lineRule="auto"/>
        <w:jc w:val="both"/>
        <w:rPr>
          <w:rFonts w:cs="Arial"/>
          <w:szCs w:val="20"/>
        </w:rPr>
      </w:pPr>
      <w:r w:rsidRPr="006431C4">
        <w:rPr>
          <w:rFonts w:cs="Arial"/>
          <w:szCs w:val="20"/>
        </w:rPr>
        <w:t>mur z cegły wapienno-piaskowej,</w:t>
      </w:r>
    </w:p>
    <w:p w14:paraId="594B5C4D" w14:textId="77777777" w:rsidR="00DB1DC9" w:rsidRPr="006431C4" w:rsidRDefault="00DB1DC9" w:rsidP="00CF1E7D">
      <w:pPr>
        <w:numPr>
          <w:ilvl w:val="0"/>
          <w:numId w:val="108"/>
        </w:numPr>
        <w:shd w:val="clear" w:color="auto" w:fill="FFFFFF" w:themeFill="background1"/>
        <w:tabs>
          <w:tab w:val="num" w:pos="-2694"/>
          <w:tab w:val="left" w:pos="142"/>
        </w:tabs>
        <w:spacing w:line="240" w:lineRule="auto"/>
        <w:jc w:val="both"/>
        <w:rPr>
          <w:rFonts w:cs="Arial"/>
          <w:szCs w:val="20"/>
        </w:rPr>
      </w:pPr>
      <w:r w:rsidRPr="006431C4">
        <w:rPr>
          <w:rFonts w:cs="Arial"/>
          <w:szCs w:val="20"/>
        </w:rPr>
        <w:t>kruszywa lekkie,</w:t>
      </w:r>
    </w:p>
    <w:p w14:paraId="3B20E2B2" w14:textId="77777777" w:rsidR="00DB1DC9" w:rsidRPr="006431C4" w:rsidRDefault="00DB1DC9" w:rsidP="00CF1E7D">
      <w:pPr>
        <w:numPr>
          <w:ilvl w:val="0"/>
          <w:numId w:val="108"/>
        </w:numPr>
        <w:shd w:val="clear" w:color="auto" w:fill="FFFFFF" w:themeFill="background1"/>
        <w:tabs>
          <w:tab w:val="num" w:pos="-2694"/>
          <w:tab w:val="left" w:pos="142"/>
        </w:tabs>
        <w:spacing w:line="240" w:lineRule="auto"/>
        <w:jc w:val="both"/>
        <w:rPr>
          <w:rFonts w:cs="Arial"/>
          <w:szCs w:val="20"/>
        </w:rPr>
      </w:pPr>
      <w:r w:rsidRPr="006431C4">
        <w:rPr>
          <w:rFonts w:cs="Arial"/>
          <w:szCs w:val="20"/>
        </w:rPr>
        <w:t>destrukt asfaltowy,</w:t>
      </w:r>
    </w:p>
    <w:p w14:paraId="77A58FA4" w14:textId="77777777" w:rsidR="00DB1DC9" w:rsidRPr="006431C4" w:rsidRDefault="00DB1DC9" w:rsidP="00CF1E7D">
      <w:pPr>
        <w:numPr>
          <w:ilvl w:val="0"/>
          <w:numId w:val="108"/>
        </w:numPr>
        <w:shd w:val="clear" w:color="auto" w:fill="FFFFFF" w:themeFill="background1"/>
        <w:tabs>
          <w:tab w:val="num" w:pos="-2694"/>
          <w:tab w:val="left" w:pos="142"/>
        </w:tabs>
        <w:spacing w:line="240" w:lineRule="auto"/>
        <w:jc w:val="both"/>
        <w:rPr>
          <w:rFonts w:cs="Arial"/>
          <w:szCs w:val="20"/>
        </w:rPr>
      </w:pPr>
      <w:r w:rsidRPr="006431C4">
        <w:rPr>
          <w:rFonts w:cs="Arial"/>
          <w:szCs w:val="20"/>
        </w:rPr>
        <w:t>zanieczyszczenia organiczne – drewno, tworzywo sztuczne itp.</w:t>
      </w:r>
    </w:p>
    <w:p w14:paraId="258483A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Należy określić masę m</w:t>
      </w:r>
      <w:r w:rsidRPr="006431C4">
        <w:rPr>
          <w:rFonts w:cs="Arial"/>
          <w:szCs w:val="20"/>
          <w:vertAlign w:val="subscript"/>
        </w:rPr>
        <w:t xml:space="preserve">i  </w:t>
      </w:r>
      <w:r w:rsidRPr="006431C4">
        <w:rPr>
          <w:rFonts w:cs="Arial"/>
          <w:szCs w:val="20"/>
        </w:rPr>
        <w:t>każdej wydzielonej grupy i obliczyć jej procentową zawartość w całej masie mieszanki M, według poniższego wzoru, oraz podać tę wartość:</w:t>
      </w:r>
    </w:p>
    <w:p w14:paraId="67BABDD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b/>
          <w:szCs w:val="20"/>
        </w:rPr>
        <w:tab/>
      </w:r>
      <w:r w:rsidRPr="006431C4">
        <w:rPr>
          <w:rFonts w:cs="Arial"/>
          <w:b/>
          <w:szCs w:val="20"/>
        </w:rPr>
        <w:tab/>
      </w:r>
      <w:r w:rsidRPr="006431C4">
        <w:rPr>
          <w:rFonts w:cs="Arial"/>
          <w:b/>
          <w:szCs w:val="20"/>
        </w:rPr>
        <w:tab/>
      </w:r>
      <w:r w:rsidRPr="006431C4">
        <w:rPr>
          <w:rFonts w:cs="Arial"/>
          <w:b/>
          <w:szCs w:val="20"/>
        </w:rPr>
        <w:tab/>
      </w:r>
      <w:r w:rsidRPr="006431C4">
        <w:rPr>
          <w:rFonts w:cs="Arial"/>
          <w:b/>
          <w:szCs w:val="20"/>
        </w:rPr>
        <w:tab/>
      </w:r>
      <w:r w:rsidRPr="006431C4">
        <w:rPr>
          <w:rFonts w:cs="Arial"/>
          <w:szCs w:val="20"/>
        </w:rPr>
        <w:t>100  ×  m</w:t>
      </w:r>
      <w:r w:rsidRPr="006431C4">
        <w:rPr>
          <w:rFonts w:cs="Arial"/>
          <w:szCs w:val="20"/>
          <w:vertAlign w:val="subscript"/>
        </w:rPr>
        <w:t xml:space="preserve">i </w:t>
      </w:r>
      <w:r w:rsidRPr="006431C4">
        <w:rPr>
          <w:rFonts w:cs="Arial"/>
          <w:szCs w:val="20"/>
        </w:rPr>
        <w:t>/ M     [%(m/m)].</w:t>
      </w:r>
    </w:p>
    <w:p w14:paraId="0211885F"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1.3. Składy mieszanek kruszyw z recyklingu</w:t>
      </w:r>
    </w:p>
    <w:p w14:paraId="75A95EE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(Uwaga: Gęstość materiałów podana w tablicach jest gęstością ziaren suszonych w suszarce laboratoryjnej, ustalana wg PN-EN 1097-6 [11])</w:t>
      </w:r>
    </w:p>
    <w:p w14:paraId="7DA9CAA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75D1908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03A2C67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16A39B7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lastRenderedPageBreak/>
        <w:t>Tablica 1.1. Mieszanki z betonu przekruszonego</w:t>
      </w:r>
    </w:p>
    <w:tbl>
      <w:tblPr>
        <w:tblW w:w="9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5469"/>
        <w:gridCol w:w="1684"/>
      </w:tblGrid>
      <w:tr w:rsidR="00DB1DC9" w:rsidRPr="006431C4" w14:paraId="651343D7" w14:textId="77777777" w:rsidTr="006D174F">
        <w:tc>
          <w:tcPr>
            <w:tcW w:w="8217" w:type="dxa"/>
            <w:gridSpan w:val="2"/>
          </w:tcPr>
          <w:p w14:paraId="1D9009D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w:t>
            </w:r>
          </w:p>
        </w:tc>
        <w:tc>
          <w:tcPr>
            <w:tcW w:w="1684" w:type="dxa"/>
          </w:tcPr>
          <w:p w14:paraId="39D615E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[%(m/m)]</w:t>
            </w:r>
          </w:p>
        </w:tc>
      </w:tr>
      <w:tr w:rsidR="00DB1DC9" w:rsidRPr="006431C4" w14:paraId="60655040" w14:textId="77777777" w:rsidTr="006D174F">
        <w:tc>
          <w:tcPr>
            <w:tcW w:w="2748" w:type="dxa"/>
          </w:tcPr>
          <w:p w14:paraId="2F1E71C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Główne składniki</w:t>
            </w:r>
          </w:p>
        </w:tc>
        <w:tc>
          <w:tcPr>
            <w:tcW w:w="5469" w:type="dxa"/>
          </w:tcPr>
          <w:p w14:paraId="3E000E5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Przekruszony beton (o gęstości &gt; 2,1 Mg/m</w:t>
            </w:r>
            <w:r w:rsidRPr="006431C4">
              <w:rPr>
                <w:rFonts w:cs="Arial"/>
                <w:szCs w:val="20"/>
                <w:vertAlign w:val="superscript"/>
              </w:rPr>
              <w:t>3</w:t>
            </w:r>
            <w:r w:rsidRPr="006431C4">
              <w:rPr>
                <w:rFonts w:cs="Arial"/>
                <w:szCs w:val="20"/>
              </w:rPr>
              <w:t>) i kruszywo (łącznie z żużlem)</w:t>
            </w:r>
          </w:p>
        </w:tc>
        <w:tc>
          <w:tcPr>
            <w:tcW w:w="1684" w:type="dxa"/>
          </w:tcPr>
          <w:p w14:paraId="23326BF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90</w:t>
            </w:r>
          </w:p>
        </w:tc>
      </w:tr>
      <w:tr w:rsidR="00DB1DC9" w:rsidRPr="006431C4" w14:paraId="6E0B2C42" w14:textId="77777777" w:rsidTr="006D174F">
        <w:tc>
          <w:tcPr>
            <w:tcW w:w="2748" w:type="dxa"/>
            <w:vMerge w:val="restart"/>
          </w:tcPr>
          <w:p w14:paraId="29C49FD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Inne materiały ziarniste</w:t>
            </w:r>
          </w:p>
        </w:tc>
        <w:tc>
          <w:tcPr>
            <w:tcW w:w="5469" w:type="dxa"/>
          </w:tcPr>
          <w:p w14:paraId="7733AC0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Przekruszony mur</w:t>
            </w:r>
          </w:p>
        </w:tc>
        <w:tc>
          <w:tcPr>
            <w:tcW w:w="1684" w:type="dxa"/>
          </w:tcPr>
          <w:p w14:paraId="145A7A1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10</w:t>
            </w:r>
          </w:p>
        </w:tc>
      </w:tr>
      <w:tr w:rsidR="00DB1DC9" w:rsidRPr="006431C4" w14:paraId="3FAD7AEA" w14:textId="77777777" w:rsidTr="006D174F">
        <w:tc>
          <w:tcPr>
            <w:tcW w:w="2748" w:type="dxa"/>
            <w:vMerge/>
          </w:tcPr>
          <w:p w14:paraId="3DADC0A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469" w:type="dxa"/>
          </w:tcPr>
          <w:p w14:paraId="4DC3ECF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Destrukt asfaltowy</w:t>
            </w:r>
          </w:p>
        </w:tc>
        <w:tc>
          <w:tcPr>
            <w:tcW w:w="1684" w:type="dxa"/>
          </w:tcPr>
          <w:p w14:paraId="706722C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15</w:t>
            </w:r>
          </w:p>
        </w:tc>
      </w:tr>
      <w:tr w:rsidR="00DB1DC9" w:rsidRPr="006431C4" w14:paraId="0F103311" w14:textId="77777777" w:rsidTr="006D174F">
        <w:tc>
          <w:tcPr>
            <w:tcW w:w="2748" w:type="dxa"/>
            <w:vMerge w:val="restart"/>
          </w:tcPr>
          <w:p w14:paraId="7D51486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Zanieczyszczenia</w:t>
            </w:r>
          </w:p>
        </w:tc>
        <w:tc>
          <w:tcPr>
            <w:tcW w:w="5469" w:type="dxa"/>
          </w:tcPr>
          <w:p w14:paraId="3252CE9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spoiste (łącznie z gliną)</w:t>
            </w:r>
          </w:p>
        </w:tc>
        <w:tc>
          <w:tcPr>
            <w:tcW w:w="1684" w:type="dxa"/>
          </w:tcPr>
          <w:p w14:paraId="2DCC3B6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1</w:t>
            </w:r>
          </w:p>
        </w:tc>
      </w:tr>
      <w:tr w:rsidR="00DB1DC9" w:rsidRPr="006431C4" w14:paraId="084F285E" w14:textId="77777777" w:rsidTr="006D174F">
        <w:tc>
          <w:tcPr>
            <w:tcW w:w="2748" w:type="dxa"/>
            <w:vMerge/>
          </w:tcPr>
          <w:p w14:paraId="7B83D9A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469" w:type="dxa"/>
          </w:tcPr>
          <w:p w14:paraId="0C42E57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organiczne</w:t>
            </w:r>
          </w:p>
        </w:tc>
        <w:tc>
          <w:tcPr>
            <w:tcW w:w="1684" w:type="dxa"/>
          </w:tcPr>
          <w:p w14:paraId="7D6AE13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0,1</w:t>
            </w:r>
          </w:p>
        </w:tc>
      </w:tr>
    </w:tbl>
    <w:p w14:paraId="5FCC5DE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Tablica 1.2. Mieszanki z przekruszonego muru</w:t>
      </w:r>
    </w:p>
    <w:tbl>
      <w:tblPr>
        <w:tblW w:w="9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5469"/>
        <w:gridCol w:w="1680"/>
      </w:tblGrid>
      <w:tr w:rsidR="00DB1DC9" w:rsidRPr="006431C4" w14:paraId="38B334FB" w14:textId="77777777" w:rsidTr="006D174F">
        <w:tc>
          <w:tcPr>
            <w:tcW w:w="8217" w:type="dxa"/>
            <w:gridSpan w:val="2"/>
          </w:tcPr>
          <w:p w14:paraId="3E3BA39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w:t>
            </w:r>
          </w:p>
        </w:tc>
        <w:tc>
          <w:tcPr>
            <w:tcW w:w="1680" w:type="dxa"/>
          </w:tcPr>
          <w:p w14:paraId="10FF999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[%(m/m)]</w:t>
            </w:r>
          </w:p>
        </w:tc>
      </w:tr>
      <w:tr w:rsidR="00DB1DC9" w:rsidRPr="006431C4" w14:paraId="48EE06EB" w14:textId="77777777" w:rsidTr="006D174F">
        <w:tc>
          <w:tcPr>
            <w:tcW w:w="2748" w:type="dxa"/>
          </w:tcPr>
          <w:p w14:paraId="4E044AD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Główne składniki</w:t>
            </w:r>
          </w:p>
        </w:tc>
        <w:tc>
          <w:tcPr>
            <w:tcW w:w="5469" w:type="dxa"/>
          </w:tcPr>
          <w:p w14:paraId="15B7E2C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Przekruszony mur (gęstość &gt; 1,6 Mg/m</w:t>
            </w:r>
            <w:r w:rsidRPr="006431C4">
              <w:rPr>
                <w:rFonts w:cs="Arial"/>
                <w:szCs w:val="20"/>
                <w:vertAlign w:val="superscript"/>
              </w:rPr>
              <w:t>3</w:t>
            </w:r>
            <w:r w:rsidRPr="006431C4">
              <w:rPr>
                <w:rFonts w:cs="Arial"/>
                <w:szCs w:val="20"/>
              </w:rPr>
              <w:t>), przekruszony beton (gęstość &gt; 2,1 Mg/m</w:t>
            </w:r>
            <w:r w:rsidRPr="006431C4">
              <w:rPr>
                <w:rFonts w:cs="Arial"/>
                <w:szCs w:val="20"/>
                <w:vertAlign w:val="superscript"/>
              </w:rPr>
              <w:t>3</w:t>
            </w:r>
            <w:r w:rsidRPr="006431C4">
              <w:rPr>
                <w:rFonts w:cs="Arial"/>
                <w:szCs w:val="20"/>
              </w:rPr>
              <w:t>),   i kruszywo (łącznie z żużlem)</w:t>
            </w:r>
          </w:p>
        </w:tc>
        <w:tc>
          <w:tcPr>
            <w:tcW w:w="1680" w:type="dxa"/>
          </w:tcPr>
          <w:p w14:paraId="4A841A3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80</w:t>
            </w:r>
          </w:p>
        </w:tc>
      </w:tr>
      <w:tr w:rsidR="00DB1DC9" w:rsidRPr="006431C4" w14:paraId="3C2E5740" w14:textId="77777777" w:rsidTr="006D174F">
        <w:tc>
          <w:tcPr>
            <w:tcW w:w="2748" w:type="dxa"/>
            <w:vMerge w:val="restart"/>
          </w:tcPr>
          <w:p w14:paraId="6E8C50E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Inne materiały ziarniste</w:t>
            </w:r>
          </w:p>
        </w:tc>
        <w:tc>
          <w:tcPr>
            <w:tcW w:w="5469" w:type="dxa"/>
          </w:tcPr>
          <w:p w14:paraId="18082DC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Materiały ziarniste o gęstości &lt; 1,6 Mg/m</w:t>
            </w:r>
            <w:r w:rsidRPr="006431C4">
              <w:rPr>
                <w:rFonts w:cs="Arial"/>
                <w:szCs w:val="20"/>
                <w:vertAlign w:val="superscript"/>
              </w:rPr>
              <w:t>3</w:t>
            </w:r>
          </w:p>
        </w:tc>
        <w:tc>
          <w:tcPr>
            <w:tcW w:w="1680" w:type="dxa"/>
          </w:tcPr>
          <w:p w14:paraId="0CD0AA9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20</w:t>
            </w:r>
          </w:p>
        </w:tc>
      </w:tr>
      <w:tr w:rsidR="00DB1DC9" w:rsidRPr="006431C4" w14:paraId="3732F680" w14:textId="77777777" w:rsidTr="006D174F">
        <w:tc>
          <w:tcPr>
            <w:tcW w:w="2748" w:type="dxa"/>
            <w:vMerge/>
          </w:tcPr>
          <w:p w14:paraId="58D602A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469" w:type="dxa"/>
          </w:tcPr>
          <w:p w14:paraId="2530705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Destrukt asfaltowy</w:t>
            </w:r>
          </w:p>
        </w:tc>
        <w:tc>
          <w:tcPr>
            <w:tcW w:w="1680" w:type="dxa"/>
          </w:tcPr>
          <w:p w14:paraId="4E51E7B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r>
      <w:tr w:rsidR="00DB1DC9" w:rsidRPr="006431C4" w14:paraId="7A0327FA" w14:textId="77777777" w:rsidTr="006D174F">
        <w:tc>
          <w:tcPr>
            <w:tcW w:w="2748" w:type="dxa"/>
            <w:vMerge w:val="restart"/>
          </w:tcPr>
          <w:p w14:paraId="39276DF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Zanieczyszczenia</w:t>
            </w:r>
          </w:p>
        </w:tc>
        <w:tc>
          <w:tcPr>
            <w:tcW w:w="5469" w:type="dxa"/>
          </w:tcPr>
          <w:p w14:paraId="38B31C1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spoiste (łącznie z gliną)</w:t>
            </w:r>
          </w:p>
        </w:tc>
        <w:tc>
          <w:tcPr>
            <w:tcW w:w="1680" w:type="dxa"/>
          </w:tcPr>
          <w:p w14:paraId="4A49530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1</w:t>
            </w:r>
          </w:p>
        </w:tc>
      </w:tr>
      <w:tr w:rsidR="00DB1DC9" w:rsidRPr="006431C4" w14:paraId="23C5BB98" w14:textId="77777777" w:rsidTr="006D174F">
        <w:tc>
          <w:tcPr>
            <w:tcW w:w="2748" w:type="dxa"/>
            <w:vMerge/>
          </w:tcPr>
          <w:p w14:paraId="6621AC5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469" w:type="dxa"/>
          </w:tcPr>
          <w:p w14:paraId="34DE401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organiczne</w:t>
            </w:r>
          </w:p>
        </w:tc>
        <w:tc>
          <w:tcPr>
            <w:tcW w:w="1680" w:type="dxa"/>
          </w:tcPr>
          <w:p w14:paraId="4D4D265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0,1</w:t>
            </w:r>
          </w:p>
        </w:tc>
      </w:tr>
    </w:tbl>
    <w:p w14:paraId="73BA68B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Tablica 1.3. Mieszanki z przekruszonego betonu i muru</w:t>
      </w:r>
    </w:p>
    <w:tbl>
      <w:tblPr>
        <w:tblW w:w="9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5469"/>
        <w:gridCol w:w="1684"/>
      </w:tblGrid>
      <w:tr w:rsidR="00DB1DC9" w:rsidRPr="006431C4" w14:paraId="063D2951" w14:textId="77777777" w:rsidTr="006D174F">
        <w:tc>
          <w:tcPr>
            <w:tcW w:w="8217" w:type="dxa"/>
            <w:gridSpan w:val="2"/>
          </w:tcPr>
          <w:p w14:paraId="5150450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w:t>
            </w:r>
          </w:p>
        </w:tc>
        <w:tc>
          <w:tcPr>
            <w:tcW w:w="1684" w:type="dxa"/>
          </w:tcPr>
          <w:p w14:paraId="0F74932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[%(m/m)]</w:t>
            </w:r>
          </w:p>
        </w:tc>
      </w:tr>
      <w:tr w:rsidR="00DB1DC9" w:rsidRPr="006431C4" w14:paraId="327901A8" w14:textId="77777777" w:rsidTr="006D174F">
        <w:tc>
          <w:tcPr>
            <w:tcW w:w="2748" w:type="dxa"/>
          </w:tcPr>
          <w:p w14:paraId="7366B11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Główne składniki</w:t>
            </w:r>
          </w:p>
        </w:tc>
        <w:tc>
          <w:tcPr>
            <w:tcW w:w="5469" w:type="dxa"/>
          </w:tcPr>
          <w:p w14:paraId="45A5713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Przekruszony beton (gęstość &gt; 2,1 Mg/m</w:t>
            </w:r>
            <w:r w:rsidRPr="006431C4">
              <w:rPr>
                <w:rFonts w:cs="Arial"/>
                <w:szCs w:val="20"/>
                <w:vertAlign w:val="superscript"/>
              </w:rPr>
              <w:t>3</w:t>
            </w:r>
            <w:r w:rsidRPr="006431C4">
              <w:rPr>
                <w:rFonts w:cs="Arial"/>
                <w:szCs w:val="20"/>
              </w:rPr>
              <w:t>) i kruszywo (łącznie z żużlem)</w:t>
            </w:r>
          </w:p>
        </w:tc>
        <w:tc>
          <w:tcPr>
            <w:tcW w:w="1684" w:type="dxa"/>
          </w:tcPr>
          <w:p w14:paraId="76F5102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50</w:t>
            </w:r>
          </w:p>
        </w:tc>
      </w:tr>
      <w:tr w:rsidR="00DB1DC9" w:rsidRPr="006431C4" w14:paraId="4BAAC4DC" w14:textId="77777777" w:rsidTr="006D174F">
        <w:tc>
          <w:tcPr>
            <w:tcW w:w="2748" w:type="dxa"/>
            <w:vMerge w:val="restart"/>
          </w:tcPr>
          <w:p w14:paraId="6741561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50904B7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Inne materiały ziarniste</w:t>
            </w:r>
          </w:p>
        </w:tc>
        <w:tc>
          <w:tcPr>
            <w:tcW w:w="5469" w:type="dxa"/>
          </w:tcPr>
          <w:p w14:paraId="4AAC7E1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Przekruszony mur</w:t>
            </w:r>
          </w:p>
        </w:tc>
        <w:tc>
          <w:tcPr>
            <w:tcW w:w="1684" w:type="dxa"/>
          </w:tcPr>
          <w:p w14:paraId="566DC1A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50</w:t>
            </w:r>
          </w:p>
        </w:tc>
      </w:tr>
      <w:tr w:rsidR="00DB1DC9" w:rsidRPr="006431C4" w14:paraId="413370BE" w14:textId="77777777" w:rsidTr="006D174F">
        <w:tc>
          <w:tcPr>
            <w:tcW w:w="2748" w:type="dxa"/>
            <w:vMerge/>
          </w:tcPr>
          <w:p w14:paraId="714F17A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469" w:type="dxa"/>
          </w:tcPr>
          <w:p w14:paraId="024BDC9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Destrukt asfaltowy</w:t>
            </w:r>
          </w:p>
        </w:tc>
        <w:tc>
          <w:tcPr>
            <w:tcW w:w="1684" w:type="dxa"/>
          </w:tcPr>
          <w:p w14:paraId="335AE5E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r>
      <w:tr w:rsidR="00DB1DC9" w:rsidRPr="006431C4" w14:paraId="7542950C" w14:textId="77777777" w:rsidTr="006D174F">
        <w:tc>
          <w:tcPr>
            <w:tcW w:w="2748" w:type="dxa"/>
            <w:vMerge/>
          </w:tcPr>
          <w:p w14:paraId="6D7909F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469" w:type="dxa"/>
          </w:tcPr>
          <w:p w14:paraId="5780BDA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Materiały ziarniste o gęstości &gt; 1,6 Mg/m</w:t>
            </w:r>
            <w:r w:rsidRPr="006431C4">
              <w:rPr>
                <w:rFonts w:cs="Arial"/>
                <w:szCs w:val="20"/>
                <w:vertAlign w:val="superscript"/>
              </w:rPr>
              <w:t>3</w:t>
            </w:r>
          </w:p>
        </w:tc>
        <w:tc>
          <w:tcPr>
            <w:tcW w:w="1684" w:type="dxa"/>
          </w:tcPr>
          <w:p w14:paraId="00F9411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10</w:t>
            </w:r>
          </w:p>
        </w:tc>
      </w:tr>
      <w:tr w:rsidR="00DB1DC9" w:rsidRPr="006431C4" w14:paraId="68192830" w14:textId="77777777" w:rsidTr="006D174F">
        <w:tc>
          <w:tcPr>
            <w:tcW w:w="2748" w:type="dxa"/>
            <w:vMerge w:val="restart"/>
          </w:tcPr>
          <w:p w14:paraId="165CE61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Zanieczyszczenia</w:t>
            </w:r>
          </w:p>
        </w:tc>
        <w:tc>
          <w:tcPr>
            <w:tcW w:w="5469" w:type="dxa"/>
          </w:tcPr>
          <w:p w14:paraId="04F3178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spoiste (łącznie z gliną)</w:t>
            </w:r>
          </w:p>
        </w:tc>
        <w:tc>
          <w:tcPr>
            <w:tcW w:w="1684" w:type="dxa"/>
          </w:tcPr>
          <w:p w14:paraId="7CDA91D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1</w:t>
            </w:r>
          </w:p>
        </w:tc>
      </w:tr>
      <w:tr w:rsidR="00DB1DC9" w:rsidRPr="006431C4" w14:paraId="6B9C360D" w14:textId="77777777" w:rsidTr="006D174F">
        <w:tc>
          <w:tcPr>
            <w:tcW w:w="2748" w:type="dxa"/>
            <w:vMerge/>
          </w:tcPr>
          <w:p w14:paraId="28279FD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469" w:type="dxa"/>
          </w:tcPr>
          <w:p w14:paraId="132CC6B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organiczne</w:t>
            </w:r>
          </w:p>
        </w:tc>
        <w:tc>
          <w:tcPr>
            <w:tcW w:w="1684" w:type="dxa"/>
          </w:tcPr>
          <w:p w14:paraId="37D1184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0,1</w:t>
            </w:r>
          </w:p>
        </w:tc>
      </w:tr>
    </w:tbl>
    <w:p w14:paraId="62D272A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Tablica 1.4. Przekruszone materiały drogowe</w:t>
      </w:r>
    </w:p>
    <w:tbl>
      <w:tblPr>
        <w:tblW w:w="9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5469"/>
        <w:gridCol w:w="1684"/>
      </w:tblGrid>
      <w:tr w:rsidR="00DB1DC9" w:rsidRPr="006431C4" w14:paraId="0EB21035" w14:textId="77777777" w:rsidTr="006D174F">
        <w:tc>
          <w:tcPr>
            <w:tcW w:w="8217" w:type="dxa"/>
            <w:gridSpan w:val="2"/>
          </w:tcPr>
          <w:p w14:paraId="3E855A1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w:t>
            </w:r>
          </w:p>
        </w:tc>
        <w:tc>
          <w:tcPr>
            <w:tcW w:w="1684" w:type="dxa"/>
          </w:tcPr>
          <w:p w14:paraId="1CDE140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[%(m/m)]</w:t>
            </w:r>
          </w:p>
        </w:tc>
      </w:tr>
      <w:tr w:rsidR="00DB1DC9" w:rsidRPr="006431C4" w14:paraId="03F5D9EA" w14:textId="77777777" w:rsidTr="006D174F">
        <w:tc>
          <w:tcPr>
            <w:tcW w:w="2748" w:type="dxa"/>
            <w:vMerge w:val="restart"/>
          </w:tcPr>
          <w:p w14:paraId="60246A5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700F6D9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Główne składniki</w:t>
            </w:r>
          </w:p>
        </w:tc>
        <w:tc>
          <w:tcPr>
            <w:tcW w:w="5469" w:type="dxa"/>
          </w:tcPr>
          <w:p w14:paraId="1AEBC3E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Materiały drogowe – łącznie z kruszonym betonem, niezwiązanymi kruszywami i przekruszone mieszanki kruszyw związane hydraulicznie</w:t>
            </w:r>
          </w:p>
        </w:tc>
        <w:tc>
          <w:tcPr>
            <w:tcW w:w="1684" w:type="dxa"/>
          </w:tcPr>
          <w:p w14:paraId="61C70F3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2C9FA7D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90</w:t>
            </w:r>
          </w:p>
        </w:tc>
      </w:tr>
      <w:tr w:rsidR="00DB1DC9" w:rsidRPr="006431C4" w14:paraId="7654D635" w14:textId="77777777" w:rsidTr="006D174F">
        <w:tc>
          <w:tcPr>
            <w:tcW w:w="2748" w:type="dxa"/>
            <w:vMerge/>
          </w:tcPr>
          <w:p w14:paraId="09B5A97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469" w:type="dxa"/>
          </w:tcPr>
          <w:p w14:paraId="1932402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Destrukt asfaltowy</w:t>
            </w:r>
          </w:p>
        </w:tc>
        <w:tc>
          <w:tcPr>
            <w:tcW w:w="1684" w:type="dxa"/>
          </w:tcPr>
          <w:p w14:paraId="37D4B5F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30</w:t>
            </w:r>
          </w:p>
        </w:tc>
      </w:tr>
      <w:tr w:rsidR="00DB1DC9" w:rsidRPr="006431C4" w14:paraId="3E3DE933" w14:textId="77777777" w:rsidTr="006D174F">
        <w:tc>
          <w:tcPr>
            <w:tcW w:w="2748" w:type="dxa"/>
            <w:vMerge w:val="restart"/>
          </w:tcPr>
          <w:p w14:paraId="2FAAB28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Zanieczyszczenia</w:t>
            </w:r>
          </w:p>
        </w:tc>
        <w:tc>
          <w:tcPr>
            <w:tcW w:w="5469" w:type="dxa"/>
          </w:tcPr>
          <w:p w14:paraId="428FC7E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spoiste (łącznie z gliną)</w:t>
            </w:r>
          </w:p>
        </w:tc>
        <w:tc>
          <w:tcPr>
            <w:tcW w:w="1684" w:type="dxa"/>
          </w:tcPr>
          <w:p w14:paraId="20F3A64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1</w:t>
            </w:r>
          </w:p>
        </w:tc>
      </w:tr>
      <w:tr w:rsidR="00DB1DC9" w:rsidRPr="006431C4" w14:paraId="6C185ED9" w14:textId="77777777" w:rsidTr="006D174F">
        <w:tc>
          <w:tcPr>
            <w:tcW w:w="2748" w:type="dxa"/>
            <w:vMerge/>
          </w:tcPr>
          <w:p w14:paraId="68281E5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469" w:type="dxa"/>
          </w:tcPr>
          <w:p w14:paraId="6621077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organiczne</w:t>
            </w:r>
          </w:p>
        </w:tc>
        <w:tc>
          <w:tcPr>
            <w:tcW w:w="1684" w:type="dxa"/>
          </w:tcPr>
          <w:p w14:paraId="1C29010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0,1</w:t>
            </w:r>
          </w:p>
        </w:tc>
      </w:tr>
    </w:tbl>
    <w:p w14:paraId="7DFBA2B7"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p>
    <w:p w14:paraId="399E384C"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p>
    <w:p w14:paraId="05E2922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Tablica 1.5. Popiół powstały ze spalania odpadów komunalnych</w:t>
      </w:r>
    </w:p>
    <w:tbl>
      <w:tblPr>
        <w:tblW w:w="9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5055"/>
        <w:gridCol w:w="2520"/>
      </w:tblGrid>
      <w:tr w:rsidR="00DB1DC9" w:rsidRPr="006431C4" w14:paraId="790735EC" w14:textId="77777777" w:rsidTr="006D174F">
        <w:tc>
          <w:tcPr>
            <w:tcW w:w="7083" w:type="dxa"/>
            <w:gridSpan w:val="2"/>
          </w:tcPr>
          <w:p w14:paraId="600DB42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w:t>
            </w:r>
          </w:p>
        </w:tc>
        <w:tc>
          <w:tcPr>
            <w:tcW w:w="2520" w:type="dxa"/>
          </w:tcPr>
          <w:p w14:paraId="08C497F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Zawartość grubego kruszywa [%(m/m)]</w:t>
            </w:r>
          </w:p>
        </w:tc>
      </w:tr>
      <w:tr w:rsidR="00DB1DC9" w:rsidRPr="006431C4" w14:paraId="6DB99E1C" w14:textId="77777777" w:rsidTr="006D174F">
        <w:tc>
          <w:tcPr>
            <w:tcW w:w="2028" w:type="dxa"/>
          </w:tcPr>
          <w:p w14:paraId="24AC925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Główne składniki</w:t>
            </w:r>
          </w:p>
        </w:tc>
        <w:tc>
          <w:tcPr>
            <w:tcW w:w="5055" w:type="dxa"/>
          </w:tcPr>
          <w:p w14:paraId="0B7744A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vertAlign w:val="superscript"/>
              </w:rPr>
            </w:pPr>
            <w:r w:rsidRPr="006431C4">
              <w:rPr>
                <w:rFonts w:cs="Arial"/>
                <w:szCs w:val="20"/>
              </w:rPr>
              <w:t>Ziarniste substancje mineralne, łącznie ze szkłem, ceramiką, żużlem itp.</w:t>
            </w:r>
          </w:p>
        </w:tc>
        <w:tc>
          <w:tcPr>
            <w:tcW w:w="2520" w:type="dxa"/>
          </w:tcPr>
          <w:p w14:paraId="7991E98C"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90</w:t>
            </w:r>
          </w:p>
        </w:tc>
      </w:tr>
      <w:tr w:rsidR="00DB1DC9" w:rsidRPr="006431C4" w14:paraId="33834643" w14:textId="77777777" w:rsidTr="006D174F">
        <w:tc>
          <w:tcPr>
            <w:tcW w:w="2028" w:type="dxa"/>
          </w:tcPr>
          <w:p w14:paraId="04F39AE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Inne składniki</w:t>
            </w:r>
          </w:p>
        </w:tc>
        <w:tc>
          <w:tcPr>
            <w:tcW w:w="5055" w:type="dxa"/>
          </w:tcPr>
          <w:p w14:paraId="108B283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Żelazo i inne metale</w:t>
            </w:r>
          </w:p>
        </w:tc>
        <w:tc>
          <w:tcPr>
            <w:tcW w:w="2520" w:type="dxa"/>
          </w:tcPr>
          <w:p w14:paraId="4593006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r>
      <w:tr w:rsidR="00DB1DC9" w:rsidRPr="006431C4" w14:paraId="3494CAD9" w14:textId="77777777" w:rsidTr="006D174F">
        <w:tc>
          <w:tcPr>
            <w:tcW w:w="2028" w:type="dxa"/>
            <w:vMerge w:val="restart"/>
          </w:tcPr>
          <w:p w14:paraId="4E2B3FD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6C3C401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Zanieczyszczenia</w:t>
            </w:r>
          </w:p>
        </w:tc>
        <w:tc>
          <w:tcPr>
            <w:tcW w:w="5055" w:type="dxa"/>
          </w:tcPr>
          <w:p w14:paraId="5E72B1C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niespalone</w:t>
            </w:r>
          </w:p>
        </w:tc>
        <w:tc>
          <w:tcPr>
            <w:tcW w:w="2520" w:type="dxa"/>
          </w:tcPr>
          <w:p w14:paraId="711B04D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6</w:t>
            </w:r>
          </w:p>
        </w:tc>
      </w:tr>
      <w:tr w:rsidR="00DB1DC9" w:rsidRPr="006431C4" w14:paraId="7E4EF74A" w14:textId="77777777" w:rsidTr="006D174F">
        <w:tc>
          <w:tcPr>
            <w:tcW w:w="2028" w:type="dxa"/>
            <w:vMerge/>
          </w:tcPr>
          <w:p w14:paraId="4B36C9A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055" w:type="dxa"/>
          </w:tcPr>
          <w:p w14:paraId="0FE348A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Składniki organiczne</w:t>
            </w:r>
          </w:p>
        </w:tc>
        <w:tc>
          <w:tcPr>
            <w:tcW w:w="2520" w:type="dxa"/>
          </w:tcPr>
          <w:p w14:paraId="1D6672C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5</w:t>
            </w:r>
          </w:p>
        </w:tc>
      </w:tr>
      <w:tr w:rsidR="00DB1DC9" w:rsidRPr="006431C4" w14:paraId="6A82882D" w14:textId="77777777" w:rsidTr="006D174F">
        <w:tc>
          <w:tcPr>
            <w:tcW w:w="2028" w:type="dxa"/>
            <w:vMerge/>
          </w:tcPr>
          <w:p w14:paraId="3671C36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055" w:type="dxa"/>
          </w:tcPr>
          <w:p w14:paraId="4562011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Popiół lotny ze spalania odpadów komunalnych</w:t>
            </w:r>
          </w:p>
        </w:tc>
        <w:tc>
          <w:tcPr>
            <w:tcW w:w="2520" w:type="dxa"/>
          </w:tcPr>
          <w:p w14:paraId="5BD08B7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0</w:t>
            </w:r>
          </w:p>
        </w:tc>
      </w:tr>
    </w:tbl>
    <w:p w14:paraId="2CAF188A"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p>
    <w:p w14:paraId="544D3914"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p>
    <w:p w14:paraId="31939107"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ZAŁĄCZNIK 2</w:t>
      </w:r>
    </w:p>
    <w:p w14:paraId="052F8E71"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PODSTAWY  FORMALNE  OPRACOWANIA  SST</w:t>
      </w:r>
    </w:p>
    <w:p w14:paraId="0C7830D0"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1. Normy i przepisy</w:t>
      </w:r>
    </w:p>
    <w:p w14:paraId="79F5520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W 2010 r. wprowadzono do zbioru Polskich Norm normę PN-EN 13285 „Mieszanki niezwiązane – Specyfikacja” [17].  Norma ta jest normą klasyfikacyjną, nie określającą bezpośrednio wymagań wobec mieszanek do konkretnych zastosowań.</w:t>
      </w:r>
    </w:p>
    <w:p w14:paraId="5358FF2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Wprowadzenie normy PN-EN 13285 do praktycznego stosowania umożliwia krajowy dokument aplikacyjny „Mieszanki niezwiązane do dróg krajowych, WT-4 2010 Wymagania techniczne” [20], zalecony do stosowania w specyfikacjach technicznych wykonania i odbioru robót budowlanych zarządzeniem nr 102 Generalnego Dyrektora Dróg Krajowych i Autostrad z dnia 19 listopada 2010 r.</w:t>
      </w:r>
    </w:p>
    <w:p w14:paraId="18408981"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Norma PN-EN 13285 wprowadza stosowanie kruszyw zgodnych z normą PN-EN 13242 [16], obejmujących kruszywa naturalne, sztuczne i kruszywa z recyklingu.</w:t>
      </w:r>
    </w:p>
    <w:p w14:paraId="7EE7DEA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lastRenderedPageBreak/>
        <w:tab/>
        <w:t>Wyżej wymienione przepisy są podstawą do opracowania niniejszej SST.</w:t>
      </w:r>
    </w:p>
    <w:p w14:paraId="2055566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Obecnie stosowane określenie „mieszanka kruszywa niezwiązanego” odpowiada dawniej stosowanemu określeniu „kruszywo stabilizowane mechanicznie”.</w:t>
      </w:r>
    </w:p>
    <w:p w14:paraId="04E08E01"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2. Schemat konstrukcji nawierzchni drogowej</w:t>
      </w:r>
    </w:p>
    <w:p w14:paraId="35B4750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ab/>
        <w:t>Ogólny schemat konstrukcji nawierzchni drogowej podatnej i półsztywnej oraz podłoża, zgodnej z WT-4 2010, przedstawia poniższy szkic.</w:t>
      </w:r>
    </w:p>
    <w:p w14:paraId="66F9B3DA"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1E0" w:firstRow="1" w:lastRow="1" w:firstColumn="1" w:lastColumn="1" w:noHBand="0" w:noVBand="0"/>
      </w:tblPr>
      <w:tblGrid>
        <w:gridCol w:w="3652"/>
        <w:gridCol w:w="4707"/>
        <w:gridCol w:w="1560"/>
      </w:tblGrid>
      <w:tr w:rsidR="00DB1DC9" w:rsidRPr="006431C4" w14:paraId="363B6B98" w14:textId="77777777" w:rsidTr="006D174F">
        <w:tc>
          <w:tcPr>
            <w:tcW w:w="8359" w:type="dxa"/>
            <w:gridSpan w:val="2"/>
            <w:tcBorders>
              <w:top w:val="single" w:sz="4" w:space="0" w:color="808080"/>
              <w:left w:val="single" w:sz="4" w:space="0" w:color="808080"/>
              <w:bottom w:val="single" w:sz="4" w:space="0" w:color="808080"/>
              <w:right w:val="single" w:sz="4" w:space="0" w:color="808080"/>
            </w:tcBorders>
            <w:shd w:val="clear" w:color="auto" w:fill="FFFFFF" w:themeFill="background1"/>
          </w:tcPr>
          <w:p w14:paraId="1475A22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warstwa ścieralna</w:t>
            </w:r>
          </w:p>
        </w:tc>
        <w:tc>
          <w:tcPr>
            <w:tcW w:w="1560" w:type="dxa"/>
            <w:vMerge w:val="restart"/>
            <w:tcBorders>
              <w:left w:val="single" w:sz="4" w:space="0" w:color="808080"/>
            </w:tcBorders>
            <w:shd w:val="clear" w:color="auto" w:fill="FFFFFF" w:themeFill="background1"/>
          </w:tcPr>
          <w:p w14:paraId="7FDA00C9"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695D2AA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nawierzchnia</w:t>
            </w:r>
          </w:p>
        </w:tc>
      </w:tr>
      <w:tr w:rsidR="00DB1DC9" w:rsidRPr="006431C4" w14:paraId="6EAB72B0" w14:textId="77777777" w:rsidTr="006D174F">
        <w:tc>
          <w:tcPr>
            <w:tcW w:w="8359" w:type="dxa"/>
            <w:gridSpan w:val="2"/>
            <w:tcBorders>
              <w:top w:val="single" w:sz="4" w:space="0" w:color="808080"/>
              <w:left w:val="single" w:sz="4" w:space="0" w:color="808080"/>
              <w:bottom w:val="single" w:sz="4" w:space="0" w:color="808080"/>
              <w:right w:val="single" w:sz="4" w:space="0" w:color="808080"/>
            </w:tcBorders>
            <w:shd w:val="clear" w:color="auto" w:fill="FFFFFF" w:themeFill="background1"/>
          </w:tcPr>
          <w:p w14:paraId="209B6EE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warstwa wiążąca</w:t>
            </w:r>
          </w:p>
        </w:tc>
        <w:tc>
          <w:tcPr>
            <w:tcW w:w="1560" w:type="dxa"/>
            <w:vMerge/>
            <w:tcBorders>
              <w:left w:val="single" w:sz="4" w:space="0" w:color="808080"/>
            </w:tcBorders>
            <w:shd w:val="clear" w:color="auto" w:fill="FFFFFF" w:themeFill="background1"/>
          </w:tcPr>
          <w:p w14:paraId="05FA4EB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r>
      <w:tr w:rsidR="00DB1DC9" w:rsidRPr="006431C4" w14:paraId="0390403C" w14:textId="77777777" w:rsidTr="006D174F">
        <w:tc>
          <w:tcPr>
            <w:tcW w:w="3652" w:type="dxa"/>
            <w:tcBorders>
              <w:top w:val="single" w:sz="4" w:space="0" w:color="808080"/>
              <w:left w:val="single" w:sz="4" w:space="0" w:color="808080"/>
              <w:bottom w:val="single" w:sz="4" w:space="0" w:color="808080"/>
              <w:right w:val="single" w:sz="4" w:space="0" w:color="808080"/>
            </w:tcBorders>
            <w:shd w:val="clear" w:color="auto" w:fill="FFFFFF" w:themeFill="background1"/>
          </w:tcPr>
          <w:p w14:paraId="425BB57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podbudowa zasadnicza</w:t>
            </w:r>
          </w:p>
        </w:tc>
        <w:tc>
          <w:tcPr>
            <w:tcW w:w="4707" w:type="dxa"/>
            <w:vMerge w:val="restart"/>
            <w:tcBorders>
              <w:left w:val="single" w:sz="4" w:space="0" w:color="808080"/>
            </w:tcBorders>
            <w:shd w:val="clear" w:color="auto" w:fill="FFFFFF" w:themeFill="background1"/>
          </w:tcPr>
          <w:p w14:paraId="534D3C8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podbudowa</w:t>
            </w:r>
          </w:p>
        </w:tc>
        <w:tc>
          <w:tcPr>
            <w:tcW w:w="1560" w:type="dxa"/>
            <w:vMerge/>
            <w:shd w:val="clear" w:color="auto" w:fill="FFFFFF" w:themeFill="background1"/>
          </w:tcPr>
          <w:p w14:paraId="55178D30"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r>
      <w:tr w:rsidR="00DB1DC9" w:rsidRPr="006431C4" w14:paraId="03072FBE" w14:textId="77777777" w:rsidTr="006D174F">
        <w:tc>
          <w:tcPr>
            <w:tcW w:w="3652" w:type="dxa"/>
            <w:tcBorders>
              <w:top w:val="single" w:sz="4" w:space="0" w:color="808080"/>
              <w:left w:val="single" w:sz="4" w:space="0" w:color="808080"/>
              <w:bottom w:val="single" w:sz="4" w:space="0" w:color="808080"/>
              <w:right w:val="single" w:sz="4" w:space="0" w:color="808080"/>
            </w:tcBorders>
            <w:shd w:val="clear" w:color="auto" w:fill="FFFFFF" w:themeFill="background1"/>
          </w:tcPr>
          <w:p w14:paraId="4FFCF07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podbudowa pomocnicza</w:t>
            </w:r>
          </w:p>
        </w:tc>
        <w:tc>
          <w:tcPr>
            <w:tcW w:w="4707" w:type="dxa"/>
            <w:vMerge/>
            <w:tcBorders>
              <w:left w:val="single" w:sz="4" w:space="0" w:color="808080"/>
            </w:tcBorders>
            <w:shd w:val="clear" w:color="auto" w:fill="FFFFFF" w:themeFill="background1"/>
          </w:tcPr>
          <w:p w14:paraId="35A13D8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1560" w:type="dxa"/>
            <w:vMerge/>
            <w:shd w:val="clear" w:color="auto" w:fill="FFFFFF" w:themeFill="background1"/>
          </w:tcPr>
          <w:p w14:paraId="05C21E0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r>
      <w:tr w:rsidR="00DB1DC9" w:rsidRPr="006431C4" w14:paraId="57094D62" w14:textId="77777777" w:rsidTr="006D174F">
        <w:tc>
          <w:tcPr>
            <w:tcW w:w="8359" w:type="dxa"/>
            <w:gridSpan w:val="2"/>
            <w:shd w:val="clear" w:color="auto" w:fill="FFFFFF" w:themeFill="background1"/>
          </w:tcPr>
          <w:p w14:paraId="45BF31C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podłoże ulepszone (warstwa mrozoochronna, odsączająca, odcinająca, wzmacniająca)</w:t>
            </w:r>
          </w:p>
        </w:tc>
        <w:tc>
          <w:tcPr>
            <w:tcW w:w="1560" w:type="dxa"/>
            <w:vMerge w:val="restart"/>
            <w:shd w:val="clear" w:color="auto" w:fill="FFFFFF" w:themeFill="background1"/>
          </w:tcPr>
          <w:p w14:paraId="52E5DAD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podłoże</w:t>
            </w:r>
          </w:p>
        </w:tc>
      </w:tr>
      <w:tr w:rsidR="00DB1DC9" w:rsidRPr="006431C4" w14:paraId="3E7618E0" w14:textId="77777777" w:rsidTr="006D174F">
        <w:tc>
          <w:tcPr>
            <w:tcW w:w="8359" w:type="dxa"/>
            <w:gridSpan w:val="2"/>
            <w:shd w:val="clear" w:color="auto" w:fill="FFFFFF" w:themeFill="background1"/>
          </w:tcPr>
          <w:p w14:paraId="1AEA9C4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podłoże gruntowe</w:t>
            </w:r>
          </w:p>
        </w:tc>
        <w:tc>
          <w:tcPr>
            <w:tcW w:w="1560" w:type="dxa"/>
            <w:vMerge/>
            <w:shd w:val="clear" w:color="auto" w:fill="FFFFFF" w:themeFill="background1"/>
          </w:tcPr>
          <w:p w14:paraId="357AAE1B"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p>
        </w:tc>
      </w:tr>
    </w:tbl>
    <w:p w14:paraId="53A525C3"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01A68242"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p w14:paraId="6BDFDE56"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ZAŁĄCZNIK 3</w:t>
      </w:r>
    </w:p>
    <w:p w14:paraId="06618A93"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PRZYKŁADY  KONSTRUKCJI  NAWIERZCHNI</w:t>
      </w:r>
    </w:p>
    <w:p w14:paraId="670DD5AF" w14:textId="77777777" w:rsidR="00DB1DC9" w:rsidRPr="006431C4" w:rsidRDefault="00DB1DC9" w:rsidP="00BE2485">
      <w:pPr>
        <w:shd w:val="clear" w:color="auto" w:fill="FFFFFF" w:themeFill="background1"/>
        <w:tabs>
          <w:tab w:val="num" w:pos="-2694"/>
          <w:tab w:val="left" w:pos="142"/>
        </w:tabs>
        <w:spacing w:line="240" w:lineRule="auto"/>
        <w:jc w:val="both"/>
        <w:rPr>
          <w:rFonts w:cs="Arial"/>
          <w:b/>
          <w:szCs w:val="20"/>
        </w:rPr>
      </w:pPr>
      <w:r w:rsidRPr="006431C4">
        <w:rPr>
          <w:rFonts w:cs="Arial"/>
          <w:b/>
          <w:szCs w:val="20"/>
        </w:rPr>
        <w:t xml:space="preserve">Z  PODBUDOWĄ  ZASADNICZĄ  Z  KRUSZYWA  NIEZWIĄZANEGO </w:t>
      </w:r>
    </w:p>
    <w:p w14:paraId="18CB81D4"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(na podstawie opracowania „Projektowanie i elementy budowy dróg rolniczych i wiejskich”, Instytut Budownictwa, Mechanizacji i Elektryfikacji Rolnictwa – Instytut Badawczy Dróg i Mostów, Warszawa 1986)</w:t>
      </w:r>
    </w:p>
    <w:p w14:paraId="5240610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Kruszywo łamane naturalne</w:t>
      </w:r>
    </w:p>
    <w:tbl>
      <w:tblPr>
        <w:tblW w:w="0" w:type="auto"/>
        <w:tblLook w:val="01E0" w:firstRow="1" w:lastRow="1" w:firstColumn="1" w:lastColumn="1" w:noHBand="0" w:noVBand="0"/>
      </w:tblPr>
      <w:tblGrid>
        <w:gridCol w:w="2988"/>
        <w:gridCol w:w="5939"/>
      </w:tblGrid>
      <w:tr w:rsidR="00DB1DC9" w:rsidRPr="006431C4" w14:paraId="68E1A1FC" w14:textId="77777777" w:rsidTr="006D174F">
        <w:tc>
          <w:tcPr>
            <w:tcW w:w="2988" w:type="dxa"/>
          </w:tcPr>
          <w:p w14:paraId="0AD7408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noProof/>
                <w:szCs w:val="20"/>
              </w:rPr>
              <w:drawing>
                <wp:inline distT="0" distB="0" distL="0" distR="0" wp14:anchorId="359ACE34" wp14:editId="0EE578C9">
                  <wp:extent cx="1438275" cy="1562100"/>
                  <wp:effectExtent l="0" t="0" r="9525" b="0"/>
                  <wp:docPr id="42" name="Obraz 42" descr="zal3r1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zal3r1final"/>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438275" cy="1562100"/>
                          </a:xfrm>
                          <a:prstGeom prst="rect">
                            <a:avLst/>
                          </a:prstGeom>
                          <a:noFill/>
                          <a:ln>
                            <a:noFill/>
                          </a:ln>
                        </pic:spPr>
                      </pic:pic>
                    </a:graphicData>
                  </a:graphic>
                </wp:inline>
              </w:drawing>
            </w:r>
          </w:p>
          <w:p w14:paraId="7ED365F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939" w:type="dxa"/>
            <w:noWrap/>
            <w:vAlign w:val="center"/>
          </w:tcPr>
          <w:p w14:paraId="0EFB964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Warstwa ścieralna asfaltowa</w:t>
            </w:r>
          </w:p>
          <w:p w14:paraId="64C15B8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na podbudowie zasadniczej z kruszywa łamanego lub naturalnego niezwiązanego i podbudowie pomocniczej z gruntu wzmocnionego spoiwem hydraulicznym</w:t>
            </w:r>
          </w:p>
        </w:tc>
      </w:tr>
      <w:tr w:rsidR="00DB1DC9" w:rsidRPr="006431C4" w14:paraId="063A6A3B" w14:textId="77777777" w:rsidTr="006D174F">
        <w:tc>
          <w:tcPr>
            <w:tcW w:w="2988" w:type="dxa"/>
          </w:tcPr>
          <w:p w14:paraId="33102D1E"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noProof/>
                <w:szCs w:val="20"/>
              </w:rPr>
              <w:drawing>
                <wp:inline distT="0" distB="0" distL="0" distR="0" wp14:anchorId="14576CF9" wp14:editId="78FC378A">
                  <wp:extent cx="1495425" cy="1514475"/>
                  <wp:effectExtent l="0" t="0" r="9525" b="9525"/>
                  <wp:docPr id="43" name="Obraz 43" descr="zal3r2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zal3r2final"/>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495425" cy="1514475"/>
                          </a:xfrm>
                          <a:prstGeom prst="rect">
                            <a:avLst/>
                          </a:prstGeom>
                          <a:noFill/>
                          <a:ln>
                            <a:noFill/>
                          </a:ln>
                        </pic:spPr>
                      </pic:pic>
                    </a:graphicData>
                  </a:graphic>
                </wp:inline>
              </w:drawing>
            </w:r>
          </w:p>
          <w:p w14:paraId="0E9FB94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939" w:type="dxa"/>
            <w:noWrap/>
            <w:vAlign w:val="center"/>
          </w:tcPr>
          <w:p w14:paraId="2094C44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Warstwa ścieralna z kruszywa łamanego lub naturalnego niezwiązanego na podbudowie zasadniczej z kruszywa naturalnego niezwiązanego i podbudowie pomocniczej z gruntu wzmocnionego spoiwem hydraulicznym</w:t>
            </w:r>
          </w:p>
        </w:tc>
      </w:tr>
      <w:tr w:rsidR="00DB1DC9" w:rsidRPr="006431C4" w14:paraId="15924E25" w14:textId="77777777" w:rsidTr="006D174F">
        <w:tc>
          <w:tcPr>
            <w:tcW w:w="2988" w:type="dxa"/>
          </w:tcPr>
          <w:p w14:paraId="0A0A00C6"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noProof/>
                <w:szCs w:val="20"/>
              </w:rPr>
              <w:drawing>
                <wp:inline distT="0" distB="0" distL="0" distR="0" wp14:anchorId="7EEB93FA" wp14:editId="2E98DEEC">
                  <wp:extent cx="1514475" cy="2171700"/>
                  <wp:effectExtent l="0" t="0" r="9525" b="0"/>
                  <wp:docPr id="44" name="Obraz 44" descr="zal3r3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zal3r3final"/>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14475" cy="2171700"/>
                          </a:xfrm>
                          <a:prstGeom prst="rect">
                            <a:avLst/>
                          </a:prstGeom>
                          <a:noFill/>
                          <a:ln>
                            <a:noFill/>
                          </a:ln>
                        </pic:spPr>
                      </pic:pic>
                    </a:graphicData>
                  </a:graphic>
                </wp:inline>
              </w:drawing>
            </w:r>
          </w:p>
          <w:p w14:paraId="3CCC6D45"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p>
        </w:tc>
        <w:tc>
          <w:tcPr>
            <w:tcW w:w="5939" w:type="dxa"/>
            <w:noWrap/>
            <w:vAlign w:val="center"/>
          </w:tcPr>
          <w:p w14:paraId="0988B288"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Warstwa ścieralna asfaltowa</w:t>
            </w:r>
          </w:p>
          <w:p w14:paraId="5C35C34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na podbudowie zasadniczej z kruszywa łamanego lub naturalnego niezwiązanego i warstwie odsączającej z piasku</w:t>
            </w:r>
          </w:p>
        </w:tc>
      </w:tr>
    </w:tbl>
    <w:p w14:paraId="28CCADDF"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Oznaczenia na rysunkach</w:t>
      </w:r>
    </w:p>
    <w:p w14:paraId="4F3701FA"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 xml:space="preserve">  7 – warstwa gruntu związana spoiwem hydraulicznym</w:t>
      </w:r>
    </w:p>
    <w:p w14:paraId="0C53B5FB"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10 – warstwa kruszywa niezwiązanego łamanego</w:t>
      </w:r>
    </w:p>
    <w:p w14:paraId="02790FB7"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11 – warstwa kruszywa niezwiązanego naturalnego</w:t>
      </w:r>
    </w:p>
    <w:p w14:paraId="795C956D" w14:textId="77777777" w:rsidR="00DB1DC9" w:rsidRPr="006431C4"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lastRenderedPageBreak/>
        <w:t>14 – warstwa odsączająca z piasku</w:t>
      </w:r>
    </w:p>
    <w:p w14:paraId="63847419" w14:textId="0338338C" w:rsidR="009C63F8" w:rsidRDefault="00DB1DC9" w:rsidP="00BE2485">
      <w:pPr>
        <w:shd w:val="clear" w:color="auto" w:fill="FFFFFF" w:themeFill="background1"/>
        <w:tabs>
          <w:tab w:val="num" w:pos="-2694"/>
          <w:tab w:val="left" w:pos="142"/>
        </w:tabs>
        <w:spacing w:line="240" w:lineRule="auto"/>
        <w:jc w:val="both"/>
        <w:rPr>
          <w:rFonts w:cs="Arial"/>
          <w:szCs w:val="20"/>
        </w:rPr>
      </w:pPr>
      <w:r w:rsidRPr="006431C4">
        <w:rPr>
          <w:rFonts w:cs="Arial"/>
          <w:szCs w:val="20"/>
        </w:rPr>
        <w:t>Grubość warstw podano w cm</w:t>
      </w:r>
    </w:p>
    <w:p w14:paraId="63D42894" w14:textId="6CD100D7" w:rsidR="009C63F8" w:rsidRDefault="009C63F8" w:rsidP="00BE2485">
      <w:pPr>
        <w:pStyle w:val="Nagwek4"/>
        <w:shd w:val="clear" w:color="auto" w:fill="FFFFFF" w:themeFill="background1"/>
        <w:spacing w:before="240" w:line="240" w:lineRule="auto"/>
        <w:jc w:val="both"/>
        <w:rPr>
          <w:rFonts w:cs="Arial"/>
        </w:rPr>
      </w:pPr>
      <w:bookmarkStart w:id="915" w:name="_Toc111635984"/>
      <w:r>
        <w:rPr>
          <w:rFonts w:cs="Arial"/>
        </w:rPr>
        <w:t>D-04.07.01</w:t>
      </w:r>
      <w:r w:rsidRPr="006431C4">
        <w:rPr>
          <w:rFonts w:cs="Arial"/>
        </w:rPr>
        <w:t xml:space="preserve">a – </w:t>
      </w:r>
      <w:r>
        <w:rPr>
          <w:rFonts w:cs="Arial"/>
        </w:rPr>
        <w:t>PODBUDOWA Z BETONU ASFALTOWEGO WG WT-1 I WT-2</w:t>
      </w:r>
      <w:bookmarkEnd w:id="915"/>
    </w:p>
    <w:p w14:paraId="6C9BCC22" w14:textId="246D6A15" w:rsidR="005F2528" w:rsidRPr="00C968CE" w:rsidRDefault="000E22DA" w:rsidP="00CF1E7D">
      <w:pPr>
        <w:pStyle w:val="Nagwek1"/>
        <w:numPr>
          <w:ilvl w:val="0"/>
          <w:numId w:val="233"/>
        </w:numPr>
        <w:spacing w:line="240" w:lineRule="auto"/>
        <w:rPr>
          <w:rFonts w:cs="Arial"/>
          <w:szCs w:val="20"/>
        </w:rPr>
      </w:pPr>
      <w:bookmarkStart w:id="916" w:name="_Toc461543718"/>
      <w:r w:rsidRPr="00C968CE">
        <w:rPr>
          <w:rFonts w:cs="Arial"/>
          <w:szCs w:val="20"/>
        </w:rPr>
        <w:t>Wstęp</w:t>
      </w:r>
      <w:bookmarkEnd w:id="916"/>
    </w:p>
    <w:p w14:paraId="1F2BD67C" w14:textId="77777777" w:rsidR="005F2528" w:rsidRPr="00C968CE" w:rsidRDefault="005F2528" w:rsidP="00C968CE">
      <w:pPr>
        <w:spacing w:line="240" w:lineRule="auto"/>
        <w:rPr>
          <w:rFonts w:cs="Arial"/>
          <w:b/>
          <w:szCs w:val="20"/>
        </w:rPr>
      </w:pPr>
    </w:p>
    <w:p w14:paraId="2B99E1B2" w14:textId="77777777" w:rsidR="00B70770" w:rsidRPr="00C968CE" w:rsidRDefault="000E22DA" w:rsidP="00C968CE">
      <w:pPr>
        <w:spacing w:line="240" w:lineRule="auto"/>
        <w:rPr>
          <w:rFonts w:cs="Arial"/>
          <w:b/>
          <w:szCs w:val="20"/>
        </w:rPr>
      </w:pPr>
      <w:r w:rsidRPr="00C968CE">
        <w:rPr>
          <w:rFonts w:cs="Arial"/>
          <w:b/>
          <w:szCs w:val="20"/>
        </w:rPr>
        <w:t>1.1. Przedmiot SST</w:t>
      </w:r>
    </w:p>
    <w:p w14:paraId="3A642A9B" w14:textId="49742C0D" w:rsidR="000E22DA" w:rsidRPr="00C968CE" w:rsidRDefault="000E22DA" w:rsidP="00C968CE">
      <w:pPr>
        <w:spacing w:line="240" w:lineRule="auto"/>
        <w:ind w:firstLine="284"/>
        <w:rPr>
          <w:rFonts w:cs="Arial"/>
          <w:szCs w:val="20"/>
        </w:rPr>
      </w:pPr>
      <w:r w:rsidRPr="00C968CE">
        <w:rPr>
          <w:rFonts w:cs="Arial"/>
          <w:szCs w:val="20"/>
        </w:rPr>
        <w:t>Przedmiotem niniejszej ogólnej specyfikacji technicznej (OST) są wymagania dotyczące wykonania i odbioru robót związanych z wykonaniem podbudowy z betonu asfaltowego.</w:t>
      </w:r>
    </w:p>
    <w:p w14:paraId="28CEC36C" w14:textId="77777777" w:rsidR="005F2528" w:rsidRPr="00C968CE" w:rsidRDefault="005F2528" w:rsidP="00C968CE">
      <w:pPr>
        <w:spacing w:line="240" w:lineRule="auto"/>
        <w:ind w:firstLine="284"/>
        <w:rPr>
          <w:rFonts w:cs="Arial"/>
          <w:b/>
          <w:szCs w:val="20"/>
        </w:rPr>
      </w:pPr>
    </w:p>
    <w:p w14:paraId="0D60FF86" w14:textId="77777777" w:rsidR="00B70770" w:rsidRPr="00C968CE" w:rsidRDefault="000E22DA" w:rsidP="00C968CE">
      <w:pPr>
        <w:spacing w:line="240" w:lineRule="auto"/>
        <w:rPr>
          <w:rFonts w:cs="Arial"/>
          <w:b/>
          <w:szCs w:val="20"/>
        </w:rPr>
      </w:pPr>
      <w:r w:rsidRPr="00C968CE">
        <w:rPr>
          <w:rFonts w:cs="Arial"/>
          <w:b/>
          <w:szCs w:val="20"/>
        </w:rPr>
        <w:t>1.2. Zakres stosowania SST</w:t>
      </w:r>
    </w:p>
    <w:p w14:paraId="39687CBB" w14:textId="5D3761B7" w:rsidR="00B70770" w:rsidRPr="00C968CE" w:rsidRDefault="00B70770" w:rsidP="00C968CE">
      <w:pPr>
        <w:spacing w:line="240" w:lineRule="auto"/>
        <w:ind w:firstLine="284"/>
        <w:rPr>
          <w:rFonts w:cs="Arial"/>
          <w:b/>
          <w:szCs w:val="20"/>
        </w:rPr>
      </w:pPr>
      <w:r w:rsidRPr="00C968CE">
        <w:rPr>
          <w:rFonts w:cs="Arial"/>
          <w:szCs w:val="20"/>
        </w:rPr>
        <w:t xml:space="preserve">Niniejsza szczegółowa specyfikacja techniczna stanowi Dokument Przetargowy i Kontraktowy przy zlecaniu i realizacji robót dla inwestycji pn.: </w:t>
      </w:r>
    </w:p>
    <w:p w14:paraId="7885E6E6" w14:textId="523187E7" w:rsidR="00B70770" w:rsidRPr="00C968CE" w:rsidRDefault="008D66D8" w:rsidP="00C968CE">
      <w:pPr>
        <w:shd w:val="clear" w:color="auto" w:fill="FFFFFF" w:themeFill="background1"/>
        <w:tabs>
          <w:tab w:val="left" w:pos="142"/>
        </w:tabs>
        <w:spacing w:line="240" w:lineRule="auto"/>
        <w:jc w:val="both"/>
        <w:rPr>
          <w:rFonts w:cs="Arial"/>
          <w:szCs w:val="20"/>
        </w:rPr>
      </w:pPr>
      <w:sdt>
        <w:sdtPr>
          <w:rPr>
            <w:rFonts w:cs="Arial"/>
            <w:i/>
            <w:szCs w:val="20"/>
          </w:rPr>
          <w:alias w:val="Temat"/>
          <w:tag w:val=""/>
          <w:id w:val="-163867179"/>
          <w:placeholder>
            <w:docPart w:val="EEEB50E1F61945B8B0290033A37BA45E"/>
          </w:placeholder>
          <w:dataBinding w:prefixMappings="xmlns:ns0='http://purl.org/dc/elements/1.1/' xmlns:ns1='http://schemas.openxmlformats.org/package/2006/metadata/core-properties' " w:xpath="/ns1:coreProperties[1]/ns0:subject[1]" w:storeItemID="{6C3C8BC8-F283-45AE-878A-BAB7291924A1}"/>
          <w:text/>
        </w:sdtPr>
        <w:sdtEndPr/>
        <w:sdtContent>
          <w:r w:rsidR="00484E05" w:rsidRPr="00C968CE">
            <w:rPr>
              <w:rFonts w:cs="Arial"/>
              <w:i/>
              <w:szCs w:val="20"/>
            </w:rPr>
            <w:t>„Przebudowa drogi wojewódzkiej nr 957 w miejscowości Jabłonka odc. referencyjny 100 w km 9+073.78 - 9+279.58 (budowa chodnika) "</w:t>
          </w:r>
        </w:sdtContent>
      </w:sdt>
    </w:p>
    <w:p w14:paraId="45276345"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1.3. Zakres robót objętych SST</w:t>
      </w:r>
    </w:p>
    <w:p w14:paraId="1318174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Ustalenia zawarte w niniejszej specyfikacji dotyczą zasad prowadzenia robót związanych z wykonaniem i odbiorem warstwy podbudowy z betonu asfaltowego wg PN-EN 13108-1 [51] i WT-2 [82] [83] z mieszanki mineralno-asfaltowej dostarczonej od producenta. W przypadku produkcji mieszanki mineralno-asfaltowej przez Wykonawcę dla potrzeb budowy, Wykonawca zobowiązany jest prowadzić zakładową kontrolę produkcji (ZKP) zgodnie z WT-2 [82] [83] wg PN-EN 13108-21 [55].</w:t>
      </w:r>
    </w:p>
    <w:p w14:paraId="1E419DA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Podbudowę z betonu asfaltowego można wykonywać dla dróg kategorii ruchu od KR1 do KR7 (określenie kategorii ruchu podano w punkcie 1.4.7). Stosowane mieszanki  betonu asfaltowego o wymiarze D podano w tablicy 1.</w:t>
      </w:r>
    </w:p>
    <w:p w14:paraId="564A564D" w14:textId="77777777" w:rsidR="005F2528" w:rsidRPr="00C968CE" w:rsidRDefault="005F2528" w:rsidP="00C968CE">
      <w:pPr>
        <w:spacing w:before="60" w:after="60" w:line="240" w:lineRule="auto"/>
        <w:rPr>
          <w:rFonts w:cs="Arial"/>
          <w:szCs w:val="20"/>
        </w:rPr>
      </w:pPr>
      <w:r w:rsidRPr="00C968CE">
        <w:rPr>
          <w:rFonts w:cs="Arial"/>
          <w:szCs w:val="20"/>
        </w:rPr>
        <w:t xml:space="preserve">Tablica 1. Stosowane mieszanki </w:t>
      </w:r>
    </w:p>
    <w:tbl>
      <w:tblPr>
        <w:tblW w:w="0" w:type="auto"/>
        <w:tblInd w:w="108" w:type="dxa"/>
        <w:tblCellMar>
          <w:left w:w="0" w:type="dxa"/>
          <w:right w:w="0" w:type="dxa"/>
        </w:tblCellMar>
        <w:tblLook w:val="04A0" w:firstRow="1" w:lastRow="0" w:firstColumn="1" w:lastColumn="0" w:noHBand="0" w:noVBand="1"/>
      </w:tblPr>
      <w:tblGrid>
        <w:gridCol w:w="1276"/>
        <w:gridCol w:w="6132"/>
      </w:tblGrid>
      <w:tr w:rsidR="005F2528" w:rsidRPr="00C968CE" w14:paraId="0927AB7D" w14:textId="77777777" w:rsidTr="005F2528">
        <w:trPr>
          <w:trHeight w:val="590"/>
        </w:trPr>
        <w:tc>
          <w:tcPr>
            <w:tcW w:w="1276"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7CDDB61D" w14:textId="77777777" w:rsidR="005F2528" w:rsidRPr="00C968CE" w:rsidRDefault="005F2528" w:rsidP="00C968CE">
            <w:pPr>
              <w:spacing w:before="60" w:after="100" w:afterAutospacing="1" w:line="240" w:lineRule="auto"/>
              <w:rPr>
                <w:rFonts w:cs="Arial"/>
                <w:szCs w:val="20"/>
              </w:rPr>
            </w:pPr>
            <w:r w:rsidRPr="00C968CE">
              <w:rPr>
                <w:rFonts w:cs="Arial"/>
                <w:szCs w:val="20"/>
              </w:rPr>
              <w:t xml:space="preserve">Kategoria </w:t>
            </w:r>
          </w:p>
          <w:p w14:paraId="60A0772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ruchu</w:t>
            </w:r>
          </w:p>
        </w:tc>
        <w:tc>
          <w:tcPr>
            <w:tcW w:w="6132"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70941A3" w14:textId="77777777" w:rsidR="005F2528" w:rsidRPr="00C968CE" w:rsidRDefault="005F2528" w:rsidP="00C968CE">
            <w:pPr>
              <w:spacing w:before="60" w:after="60" w:line="240" w:lineRule="auto"/>
              <w:rPr>
                <w:rFonts w:cs="Arial"/>
                <w:szCs w:val="20"/>
              </w:rPr>
            </w:pPr>
            <w:r w:rsidRPr="00C968CE">
              <w:rPr>
                <w:rFonts w:cs="Arial"/>
                <w:szCs w:val="20"/>
              </w:rPr>
              <w:t>Mieszanki  o wymiarze D</w:t>
            </w:r>
            <w:r w:rsidRPr="00C968CE">
              <w:rPr>
                <w:rFonts w:cs="Arial"/>
                <w:szCs w:val="20"/>
                <w:vertAlign w:val="superscript"/>
              </w:rPr>
              <w:t>1)</w:t>
            </w:r>
            <w:r w:rsidRPr="00C968CE">
              <w:rPr>
                <w:rFonts w:cs="Arial"/>
                <w:szCs w:val="20"/>
              </w:rPr>
              <w:t>,  mm</w:t>
            </w:r>
          </w:p>
        </w:tc>
      </w:tr>
      <w:tr w:rsidR="005F2528" w:rsidRPr="00526154" w14:paraId="4F5E177B" w14:textId="77777777" w:rsidTr="005F2528">
        <w:tc>
          <w:tcPr>
            <w:tcW w:w="127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1EA8066" w14:textId="77777777" w:rsidR="005F2528" w:rsidRPr="00C968CE" w:rsidRDefault="005F2528" w:rsidP="00C968CE">
            <w:pPr>
              <w:spacing w:before="60" w:after="60" w:line="240" w:lineRule="auto"/>
              <w:rPr>
                <w:rFonts w:cs="Arial"/>
                <w:szCs w:val="20"/>
              </w:rPr>
            </w:pPr>
            <w:r w:rsidRPr="00C968CE">
              <w:rPr>
                <w:rFonts w:cs="Arial"/>
                <w:szCs w:val="20"/>
              </w:rPr>
              <w:t>KR 1-2</w:t>
            </w:r>
          </w:p>
          <w:p w14:paraId="2C4CA66B" w14:textId="77777777" w:rsidR="005F2528" w:rsidRPr="00C968CE" w:rsidRDefault="005F2528" w:rsidP="00C968CE">
            <w:pPr>
              <w:spacing w:before="60" w:after="60" w:line="240" w:lineRule="auto"/>
              <w:rPr>
                <w:rFonts w:cs="Arial"/>
                <w:szCs w:val="20"/>
              </w:rPr>
            </w:pPr>
            <w:r w:rsidRPr="00C968CE">
              <w:rPr>
                <w:rFonts w:cs="Arial"/>
                <w:szCs w:val="20"/>
              </w:rPr>
              <w:t>KR 3-4</w:t>
            </w:r>
          </w:p>
          <w:p w14:paraId="139916CA" w14:textId="77777777" w:rsidR="005F2528" w:rsidRPr="00C968CE" w:rsidRDefault="005F2528" w:rsidP="00C968CE">
            <w:pPr>
              <w:spacing w:before="60" w:after="60" w:line="240" w:lineRule="auto"/>
              <w:rPr>
                <w:rFonts w:cs="Arial"/>
                <w:szCs w:val="20"/>
              </w:rPr>
            </w:pPr>
            <w:r w:rsidRPr="00C968CE">
              <w:rPr>
                <w:rFonts w:cs="Arial"/>
                <w:szCs w:val="20"/>
              </w:rPr>
              <w:t>KR 5-7</w:t>
            </w:r>
          </w:p>
        </w:tc>
        <w:tc>
          <w:tcPr>
            <w:tcW w:w="6132" w:type="dxa"/>
            <w:tcBorders>
              <w:top w:val="nil"/>
              <w:left w:val="nil"/>
              <w:bottom w:val="single" w:sz="8" w:space="0" w:color="auto"/>
              <w:right w:val="single" w:sz="8" w:space="0" w:color="auto"/>
            </w:tcBorders>
            <w:noWrap/>
            <w:tcMar>
              <w:top w:w="0" w:type="dxa"/>
              <w:left w:w="108" w:type="dxa"/>
              <w:bottom w:w="0" w:type="dxa"/>
              <w:right w:w="108" w:type="dxa"/>
            </w:tcMar>
            <w:hideMark/>
          </w:tcPr>
          <w:p w14:paraId="730BF488" w14:textId="77777777" w:rsidR="005F2528" w:rsidRPr="00C968CE" w:rsidRDefault="005F2528" w:rsidP="00C968CE">
            <w:pPr>
              <w:spacing w:before="60" w:after="60" w:line="240" w:lineRule="auto"/>
              <w:rPr>
                <w:rFonts w:cs="Arial"/>
                <w:szCs w:val="20"/>
                <w:lang w:val="en-US"/>
              </w:rPr>
            </w:pPr>
            <w:r w:rsidRPr="00C968CE">
              <w:rPr>
                <w:rFonts w:cs="Arial"/>
                <w:szCs w:val="20"/>
                <w:lang w:val="en-US"/>
              </w:rPr>
              <w:t>AC16P, AC22P</w:t>
            </w:r>
          </w:p>
          <w:p w14:paraId="2CB10B9B" w14:textId="77777777" w:rsidR="005F2528" w:rsidRPr="00C968CE" w:rsidRDefault="005F2528" w:rsidP="00C968CE">
            <w:pPr>
              <w:spacing w:before="60" w:after="60" w:line="240" w:lineRule="auto"/>
              <w:rPr>
                <w:rFonts w:cs="Arial"/>
                <w:szCs w:val="20"/>
                <w:lang w:val="en-US"/>
              </w:rPr>
            </w:pPr>
            <w:r w:rsidRPr="00C968CE">
              <w:rPr>
                <w:rFonts w:cs="Arial"/>
                <w:szCs w:val="20"/>
                <w:lang w:val="en-US"/>
              </w:rPr>
              <w:t>AC16P, AC22P, AC32P</w:t>
            </w:r>
          </w:p>
          <w:p w14:paraId="1F16F913" w14:textId="77777777" w:rsidR="005F2528" w:rsidRPr="00C968CE" w:rsidRDefault="005F2528" w:rsidP="00C968CE">
            <w:pPr>
              <w:spacing w:before="60" w:after="60" w:line="240" w:lineRule="auto"/>
              <w:rPr>
                <w:rFonts w:cs="Arial"/>
                <w:szCs w:val="20"/>
                <w:lang w:val="en-US"/>
              </w:rPr>
            </w:pPr>
            <w:r w:rsidRPr="00C968CE">
              <w:rPr>
                <w:rFonts w:cs="Arial"/>
                <w:szCs w:val="20"/>
                <w:lang w:val="en-US"/>
              </w:rPr>
              <w:t>AC16P, AC22P, AC32P</w:t>
            </w:r>
          </w:p>
        </w:tc>
      </w:tr>
    </w:tbl>
    <w:p w14:paraId="67B7B1C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vertAlign w:val="superscript"/>
        </w:rPr>
        <w:t>1)</w:t>
      </w:r>
      <w:r w:rsidRPr="00C968CE">
        <w:rPr>
          <w:rFonts w:cs="Arial"/>
          <w:szCs w:val="20"/>
        </w:rPr>
        <w:t xml:space="preserve"> Podział ze względu na wymiar największego kruszywa w mieszance - patrz punkt 1.4.4.</w:t>
      </w:r>
    </w:p>
    <w:p w14:paraId="0D2B44C8" w14:textId="77777777" w:rsidR="005F2528" w:rsidRPr="00C968CE" w:rsidRDefault="005F2528" w:rsidP="00C968CE">
      <w:pPr>
        <w:spacing w:before="120" w:after="100" w:afterAutospacing="1" w:line="240" w:lineRule="auto"/>
        <w:rPr>
          <w:rFonts w:cs="Arial"/>
          <w:szCs w:val="20"/>
        </w:rPr>
      </w:pPr>
      <w:r w:rsidRPr="00C968CE">
        <w:rPr>
          <w:rFonts w:cs="Arial"/>
          <w:szCs w:val="20"/>
        </w:rPr>
        <w:t xml:space="preserve">Uwaga: niniejsza SST nie obejmuje wykonania podbudowy z betonu asfaltowego o wysokim module sztywności.  </w:t>
      </w:r>
    </w:p>
    <w:p w14:paraId="4FFA764F"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1.4. Określenia podstawowe</w:t>
      </w:r>
    </w:p>
    <w:p w14:paraId="5699A3BE" w14:textId="77777777" w:rsidR="005F2528" w:rsidRPr="00C968CE" w:rsidRDefault="005F2528" w:rsidP="00C968CE">
      <w:pPr>
        <w:spacing w:line="240" w:lineRule="auto"/>
        <w:rPr>
          <w:rFonts w:cs="Arial"/>
          <w:szCs w:val="20"/>
        </w:rPr>
      </w:pPr>
      <w:r w:rsidRPr="00C968CE">
        <w:rPr>
          <w:rFonts w:cs="Arial"/>
          <w:b/>
          <w:bCs/>
          <w:szCs w:val="20"/>
        </w:rPr>
        <w:t xml:space="preserve">1.4.1. </w:t>
      </w:r>
      <w:r w:rsidRPr="00C968CE">
        <w:rPr>
          <w:rFonts w:cs="Arial"/>
          <w:szCs w:val="20"/>
        </w:rPr>
        <w:t>Nawierzchnia – konstrukcja składająca się z jednej lub kilku warstw służących do przejmowania i rozkładania obciążeń od ruchu pojazdów na podłoże.</w:t>
      </w:r>
    </w:p>
    <w:p w14:paraId="5F2B9134"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1.4.2. </w:t>
      </w:r>
      <w:r w:rsidRPr="00C968CE">
        <w:rPr>
          <w:rFonts w:cs="Arial"/>
          <w:szCs w:val="20"/>
        </w:rPr>
        <w:t>Podbudowa – główny element konstrukcyjny nawierzchni, który może być ułożony w jednej lub kilku warstwach.</w:t>
      </w:r>
    </w:p>
    <w:p w14:paraId="256E6849"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1.4.3. </w:t>
      </w:r>
      <w:r w:rsidRPr="00C968CE">
        <w:rPr>
          <w:rFonts w:cs="Arial"/>
          <w:szCs w:val="20"/>
        </w:rPr>
        <w:t>Mieszanka mineralno-asfaltowa (MMA) – mieszanka kruszyw i lepiszcza asfaltowego.</w:t>
      </w:r>
    </w:p>
    <w:p w14:paraId="17A37DAE" w14:textId="77777777" w:rsidR="005F2528" w:rsidRPr="00C968CE" w:rsidRDefault="005F2528" w:rsidP="00C968CE">
      <w:pPr>
        <w:spacing w:before="100" w:beforeAutospacing="1" w:line="240" w:lineRule="auto"/>
        <w:rPr>
          <w:rFonts w:cs="Arial"/>
          <w:szCs w:val="20"/>
        </w:rPr>
      </w:pPr>
      <w:r w:rsidRPr="00C968CE">
        <w:rPr>
          <w:rFonts w:cs="Arial"/>
          <w:b/>
          <w:bCs/>
          <w:szCs w:val="20"/>
        </w:rPr>
        <w:t>1.4.4. </w:t>
      </w:r>
      <w:r w:rsidRPr="00C968CE">
        <w:rPr>
          <w:rFonts w:cs="Arial"/>
          <w:szCs w:val="20"/>
        </w:rPr>
        <w:t>Wymiar mieszanki mineralno-asfaltowej – określenie mieszanki mineralno-asfaltowej ze względu na największy wymiar kruszywa D, np. wymiar 16, 22 lub 32.</w:t>
      </w:r>
    </w:p>
    <w:p w14:paraId="761948C9"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1.4.5. </w:t>
      </w:r>
      <w:r w:rsidRPr="00C968CE">
        <w:rPr>
          <w:rFonts w:cs="Arial"/>
          <w:szCs w:val="20"/>
        </w:rPr>
        <w:t>Beton asfaltowy – mieszanka mineralno-asfaltowa, w której kruszywo o uziarnieniu ciągłym lub nieciągłym tworzy strukturę wzajemnie klinującą się.</w:t>
      </w:r>
    </w:p>
    <w:p w14:paraId="430A3949"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1.4.6. </w:t>
      </w:r>
      <w:r w:rsidRPr="00C968CE">
        <w:rPr>
          <w:rFonts w:cs="Arial"/>
          <w:szCs w:val="20"/>
        </w:rPr>
        <w:t>Uziarnienie – skład ziarnowy kruszywa, wyrażony w procentach masy ziaren przechodzących przez określony zestaw sit.</w:t>
      </w:r>
    </w:p>
    <w:p w14:paraId="7A447F81"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1.4.7. </w:t>
      </w:r>
      <w:r w:rsidRPr="00C968CE">
        <w:rPr>
          <w:rFonts w:cs="Arial"/>
          <w:szCs w:val="20"/>
        </w:rPr>
        <w:t>Kategoria ruchu – obciążenie drogi ruchem samochodowym, wyrażone w osiach obliczeniowych (100 kN) wg „Katalogu typowych konstrukcji nawierzchni podatnych i półsztywnych” GDDKiA [84].</w:t>
      </w:r>
    </w:p>
    <w:p w14:paraId="30DC7DD6" w14:textId="77777777" w:rsidR="005F2528" w:rsidRPr="00C968CE" w:rsidRDefault="005F2528" w:rsidP="00C968CE">
      <w:pPr>
        <w:spacing w:before="100" w:beforeAutospacing="1" w:line="240" w:lineRule="auto"/>
        <w:rPr>
          <w:rFonts w:cs="Arial"/>
          <w:szCs w:val="20"/>
        </w:rPr>
      </w:pPr>
      <w:r w:rsidRPr="00C968CE">
        <w:rPr>
          <w:rFonts w:cs="Arial"/>
          <w:b/>
          <w:bCs/>
          <w:szCs w:val="20"/>
        </w:rPr>
        <w:lastRenderedPageBreak/>
        <w:t xml:space="preserve">1.4.8. </w:t>
      </w:r>
      <w:r w:rsidRPr="00C968CE">
        <w:rPr>
          <w:rFonts w:cs="Arial"/>
          <w:szCs w:val="20"/>
        </w:rPr>
        <w:t>Wymiar kruszywa – wielkość ziaren kruszywa, określona przez dolny (d) i górny (D) wymiar sita.</w:t>
      </w:r>
    </w:p>
    <w:p w14:paraId="15D44BE4"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1.4.9. </w:t>
      </w:r>
      <w:r w:rsidRPr="00C968CE">
        <w:rPr>
          <w:rFonts w:cs="Arial"/>
          <w:szCs w:val="20"/>
        </w:rPr>
        <w:t>Kruszywo grube – kruszywo z ziaren o wymiarze: D ≤ 45 mm oraz d &gt; 2 mm.</w:t>
      </w:r>
    </w:p>
    <w:p w14:paraId="0C7038CE"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1.4.10. </w:t>
      </w:r>
      <w:r w:rsidRPr="00C968CE">
        <w:rPr>
          <w:rFonts w:cs="Arial"/>
          <w:szCs w:val="20"/>
        </w:rPr>
        <w:t>Kruszywo drobne – kruszywo z ziaren o wymiarze: D ≤ 2 mm, którego większa część pozostaje na sicie 0,063 mm.</w:t>
      </w:r>
    </w:p>
    <w:p w14:paraId="483FFB8C"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1.4.11. </w:t>
      </w:r>
      <w:r w:rsidRPr="00C968CE">
        <w:rPr>
          <w:rFonts w:cs="Arial"/>
          <w:szCs w:val="20"/>
        </w:rPr>
        <w:t>Pył – kruszywo z ziaren przechodzących przez sito 0,063 mm.</w:t>
      </w:r>
    </w:p>
    <w:p w14:paraId="59A1F2FD"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1.4.12. </w:t>
      </w:r>
      <w:r w:rsidRPr="00C968CE">
        <w:rPr>
          <w:rFonts w:cs="Arial"/>
          <w:szCs w:val="20"/>
        </w:rPr>
        <w:t>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14:paraId="34F3B88A" w14:textId="77777777" w:rsidR="005F2528" w:rsidRPr="00C968CE" w:rsidRDefault="005F2528" w:rsidP="00C968CE">
      <w:pPr>
        <w:spacing w:before="100" w:beforeAutospacing="1" w:line="240" w:lineRule="auto"/>
        <w:rPr>
          <w:rFonts w:cs="Arial"/>
          <w:szCs w:val="20"/>
        </w:rPr>
      </w:pPr>
      <w:r w:rsidRPr="00C968CE">
        <w:rPr>
          <w:rFonts w:cs="Arial"/>
          <w:b/>
          <w:bCs/>
          <w:szCs w:val="20"/>
        </w:rPr>
        <w:t>1.4.13.</w:t>
      </w:r>
      <w:r w:rsidRPr="00C968CE">
        <w:rPr>
          <w:rFonts w:cs="Arial"/>
          <w:szCs w:val="20"/>
        </w:rPr>
        <w:t xml:space="preserve"> Granulat asfaltowy – jest to przetworzony destrukt asfaltowy o udokumentowanej jakości jako materiał składowy w produkcji mieszanek mineralno-asfaltowych w technologii na gorąco.</w:t>
      </w:r>
    </w:p>
    <w:p w14:paraId="04FB5DCE"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1.4.14. </w:t>
      </w:r>
      <w:r w:rsidRPr="00C968CE">
        <w:rPr>
          <w:rFonts w:cs="Arial"/>
          <w:szCs w:val="20"/>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3A4A48E1"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1.4.15. </w:t>
      </w:r>
      <w:r w:rsidRPr="00C968CE">
        <w:rPr>
          <w:rFonts w:cs="Arial"/>
          <w:szCs w:val="20"/>
        </w:rPr>
        <w:t>Kationowa emulsja asfaltowa – emulsja, w której emulgator nadaje dodatnie ładunki cząstkom zdyspergowanego asfaltu.</w:t>
      </w:r>
    </w:p>
    <w:p w14:paraId="4EDABD8C" w14:textId="77777777" w:rsidR="005F2528" w:rsidRPr="00C968CE" w:rsidRDefault="005F2528" w:rsidP="00C968CE">
      <w:pPr>
        <w:spacing w:before="120" w:after="100" w:afterAutospacing="1" w:line="240" w:lineRule="auto"/>
        <w:rPr>
          <w:rFonts w:cs="Arial"/>
          <w:szCs w:val="20"/>
        </w:rPr>
      </w:pPr>
      <w:r w:rsidRPr="00C968CE">
        <w:rPr>
          <w:rFonts w:cs="Arial"/>
          <w:b/>
          <w:bCs/>
          <w:szCs w:val="20"/>
        </w:rPr>
        <w:t>1.4.16. </w:t>
      </w:r>
      <w:r w:rsidRPr="00C968CE">
        <w:rPr>
          <w:rFonts w:cs="Arial"/>
          <w:szCs w:val="20"/>
        </w:rPr>
        <w:t xml:space="preserve">Połączenia technologiczne </w:t>
      </w:r>
      <w:r w:rsidRPr="00C968CE">
        <w:rPr>
          <w:rFonts w:cs="Arial"/>
          <w:b/>
          <w:bCs/>
          <w:szCs w:val="20"/>
        </w:rPr>
        <w:t xml:space="preserve">– </w:t>
      </w:r>
      <w:r w:rsidRPr="00C968CE">
        <w:rPr>
          <w:rFonts w:cs="Arial"/>
          <w:szCs w:val="20"/>
        </w:rPr>
        <w:t>połączenia rożnych warstw ze sobą lub tych samych warstw wykonywanych w rożnym czasie niebędących połączeniem międzywarstwowym.</w:t>
      </w:r>
    </w:p>
    <w:p w14:paraId="38A68D95" w14:textId="77777777" w:rsidR="005F2528" w:rsidRPr="00C968CE" w:rsidRDefault="005F2528" w:rsidP="00C968CE">
      <w:pPr>
        <w:spacing w:before="120" w:after="100" w:afterAutospacing="1" w:line="240" w:lineRule="auto"/>
        <w:rPr>
          <w:rFonts w:cs="Arial"/>
          <w:szCs w:val="20"/>
        </w:rPr>
      </w:pPr>
      <w:r w:rsidRPr="00C968CE">
        <w:rPr>
          <w:rFonts w:cs="Arial"/>
          <w:b/>
          <w:bCs/>
          <w:szCs w:val="20"/>
        </w:rPr>
        <w:t>1.4.17. </w:t>
      </w:r>
      <w:r w:rsidRPr="00C968CE">
        <w:rPr>
          <w:rFonts w:cs="Arial"/>
          <w:szCs w:val="20"/>
        </w:rPr>
        <w:t>Złącza podłużne i poprzeczne</w:t>
      </w:r>
      <w:r w:rsidRPr="00C968CE">
        <w:rPr>
          <w:rFonts w:cs="Arial"/>
          <w:b/>
          <w:bCs/>
          <w:szCs w:val="20"/>
        </w:rPr>
        <w:t xml:space="preserve"> </w:t>
      </w:r>
      <w:r w:rsidRPr="00C968CE">
        <w:rPr>
          <w:rFonts w:cs="Arial"/>
          <w:szCs w:val="20"/>
        </w:rPr>
        <w:t>– połączenia tego samego materiału wbudowywanego w rożnym czasie.</w:t>
      </w:r>
    </w:p>
    <w:p w14:paraId="68927248" w14:textId="77777777" w:rsidR="005F2528" w:rsidRPr="00C968CE" w:rsidRDefault="005F2528" w:rsidP="00C968CE">
      <w:pPr>
        <w:spacing w:before="120" w:after="100" w:afterAutospacing="1" w:line="240" w:lineRule="auto"/>
        <w:rPr>
          <w:rFonts w:cs="Arial"/>
          <w:szCs w:val="20"/>
        </w:rPr>
      </w:pPr>
      <w:r w:rsidRPr="00C968CE">
        <w:rPr>
          <w:rFonts w:cs="Arial"/>
          <w:b/>
          <w:bCs/>
          <w:szCs w:val="20"/>
        </w:rPr>
        <w:t>1.4.18. </w:t>
      </w:r>
      <w:r w:rsidRPr="00C968CE">
        <w:rPr>
          <w:rFonts w:cs="Arial"/>
          <w:szCs w:val="20"/>
        </w:rPr>
        <w:t>Spoiny – połączenia rożnych materiałów, np. asfaltu lanego i betonu asfaltowego oraz warstwy asfaltowej z urządzeniami obcymi w nawierzchni lub ją ograniczającymi.</w:t>
      </w:r>
    </w:p>
    <w:p w14:paraId="5537163D" w14:textId="77777777" w:rsidR="005F2528" w:rsidRPr="00C968CE" w:rsidRDefault="005F2528" w:rsidP="00C968CE">
      <w:pPr>
        <w:spacing w:before="100" w:beforeAutospacing="1" w:line="240" w:lineRule="auto"/>
        <w:rPr>
          <w:rFonts w:cs="Arial"/>
          <w:szCs w:val="20"/>
        </w:rPr>
      </w:pPr>
      <w:r w:rsidRPr="00C968CE">
        <w:rPr>
          <w:rFonts w:cs="Arial"/>
          <w:b/>
          <w:bCs/>
          <w:szCs w:val="20"/>
        </w:rPr>
        <w:t xml:space="preserve">1.4.19. </w:t>
      </w:r>
      <w:r w:rsidRPr="00C968CE">
        <w:rPr>
          <w:rFonts w:cs="Arial"/>
          <w:szCs w:val="20"/>
        </w:rPr>
        <w:t>Pozostałe określenia podstawowe są zgodne z obowiązującymi, odpowiednimi polskimi normami i z definicjami podanymi w SST D-M-00.00.00 „Wymagania ogólne” pkt 1.4.</w:t>
      </w:r>
    </w:p>
    <w:p w14:paraId="3D5CF315" w14:textId="77777777" w:rsidR="005F2528" w:rsidRPr="00C968CE" w:rsidRDefault="005F2528" w:rsidP="00C968CE">
      <w:pPr>
        <w:spacing w:before="100" w:beforeAutospacing="1" w:after="100" w:afterAutospacing="1" w:line="240" w:lineRule="auto"/>
        <w:rPr>
          <w:rFonts w:cs="Arial"/>
          <w:szCs w:val="20"/>
        </w:rPr>
      </w:pPr>
      <w:r w:rsidRPr="00C968CE">
        <w:rPr>
          <w:rFonts w:cs="Arial"/>
          <w:b/>
          <w:bCs/>
          <w:szCs w:val="20"/>
        </w:rPr>
        <w:t xml:space="preserve">1.4.17. </w:t>
      </w:r>
      <w:r w:rsidRPr="00C968CE">
        <w:rPr>
          <w:rFonts w:cs="Arial"/>
          <w:szCs w:val="20"/>
        </w:rPr>
        <w:t>Symbole i skróty dodatkowe</w:t>
      </w:r>
    </w:p>
    <w:tbl>
      <w:tblPr>
        <w:tblW w:w="8868" w:type="dxa"/>
        <w:tblCellMar>
          <w:left w:w="0" w:type="dxa"/>
          <w:right w:w="0" w:type="dxa"/>
        </w:tblCellMar>
        <w:tblLook w:val="04A0" w:firstRow="1" w:lastRow="0" w:firstColumn="1" w:lastColumn="0" w:noHBand="0" w:noVBand="1"/>
      </w:tblPr>
      <w:tblGrid>
        <w:gridCol w:w="850"/>
        <w:gridCol w:w="8018"/>
      </w:tblGrid>
      <w:tr w:rsidR="005F2528" w:rsidRPr="00C968CE" w14:paraId="5964DF78" w14:textId="77777777" w:rsidTr="005F2528">
        <w:tc>
          <w:tcPr>
            <w:tcW w:w="850" w:type="dxa"/>
            <w:tcMar>
              <w:top w:w="0" w:type="dxa"/>
              <w:left w:w="108" w:type="dxa"/>
              <w:bottom w:w="0" w:type="dxa"/>
              <w:right w:w="108" w:type="dxa"/>
            </w:tcMar>
            <w:hideMark/>
          </w:tcPr>
          <w:p w14:paraId="31E64D10" w14:textId="77777777" w:rsidR="005F2528" w:rsidRPr="00C968CE" w:rsidRDefault="005F2528" w:rsidP="00C968CE">
            <w:pPr>
              <w:spacing w:line="240" w:lineRule="auto"/>
              <w:rPr>
                <w:rFonts w:cs="Arial"/>
                <w:szCs w:val="20"/>
              </w:rPr>
            </w:pPr>
            <w:r w:rsidRPr="00C968CE">
              <w:rPr>
                <w:rFonts w:cs="Arial"/>
                <w:szCs w:val="20"/>
              </w:rPr>
              <w:t xml:space="preserve">AC_P   </w:t>
            </w:r>
          </w:p>
        </w:tc>
        <w:tc>
          <w:tcPr>
            <w:tcW w:w="8018" w:type="dxa"/>
            <w:tcMar>
              <w:top w:w="0" w:type="dxa"/>
              <w:left w:w="108" w:type="dxa"/>
              <w:bottom w:w="0" w:type="dxa"/>
              <w:right w:w="108" w:type="dxa"/>
            </w:tcMar>
            <w:hideMark/>
          </w:tcPr>
          <w:p w14:paraId="6B272FE2" w14:textId="77777777" w:rsidR="005F2528" w:rsidRPr="00C968CE" w:rsidRDefault="005F2528" w:rsidP="00C968CE">
            <w:pPr>
              <w:spacing w:line="240" w:lineRule="auto"/>
              <w:ind w:left="459" w:hanging="360"/>
              <w:rPr>
                <w:rFonts w:cs="Arial"/>
                <w:szCs w:val="20"/>
              </w:rPr>
            </w:pPr>
            <w:r w:rsidRPr="00C968CE">
              <w:rPr>
                <w:rFonts w:cs="Arial"/>
                <w:szCs w:val="20"/>
              </w:rPr>
              <w:t>–         beton asfaltowy do warstwy podbudowy,</w:t>
            </w:r>
          </w:p>
        </w:tc>
      </w:tr>
      <w:tr w:rsidR="005F2528" w:rsidRPr="00526154" w14:paraId="5A48BBC1" w14:textId="77777777" w:rsidTr="005F2528">
        <w:tc>
          <w:tcPr>
            <w:tcW w:w="850" w:type="dxa"/>
            <w:tcMar>
              <w:top w:w="0" w:type="dxa"/>
              <w:left w:w="108" w:type="dxa"/>
              <w:bottom w:w="0" w:type="dxa"/>
              <w:right w:w="108" w:type="dxa"/>
            </w:tcMar>
            <w:hideMark/>
          </w:tcPr>
          <w:p w14:paraId="0DDDEDDE" w14:textId="77777777" w:rsidR="005F2528" w:rsidRPr="00C968CE" w:rsidRDefault="005F2528" w:rsidP="00C968CE">
            <w:pPr>
              <w:spacing w:line="240" w:lineRule="auto"/>
              <w:rPr>
                <w:rFonts w:cs="Arial"/>
                <w:szCs w:val="20"/>
              </w:rPr>
            </w:pPr>
            <w:r w:rsidRPr="00C968CE">
              <w:rPr>
                <w:rFonts w:cs="Arial"/>
                <w:szCs w:val="20"/>
              </w:rPr>
              <w:t xml:space="preserve">PMB   </w:t>
            </w:r>
          </w:p>
        </w:tc>
        <w:tc>
          <w:tcPr>
            <w:tcW w:w="8018" w:type="dxa"/>
            <w:tcMar>
              <w:top w:w="0" w:type="dxa"/>
              <w:left w:w="108" w:type="dxa"/>
              <w:bottom w:w="0" w:type="dxa"/>
              <w:right w:w="108" w:type="dxa"/>
            </w:tcMar>
            <w:hideMark/>
          </w:tcPr>
          <w:p w14:paraId="15FB0703" w14:textId="77777777" w:rsidR="005F2528" w:rsidRPr="00C968CE" w:rsidRDefault="005F2528" w:rsidP="00C968CE">
            <w:pPr>
              <w:spacing w:line="240" w:lineRule="auto"/>
              <w:ind w:left="459" w:hanging="360"/>
              <w:rPr>
                <w:rFonts w:cs="Arial"/>
                <w:szCs w:val="20"/>
                <w:lang w:val="en-US"/>
              </w:rPr>
            </w:pPr>
            <w:r w:rsidRPr="00C968CE">
              <w:rPr>
                <w:rFonts w:cs="Arial"/>
                <w:szCs w:val="20"/>
                <w:lang w:val="en-US"/>
              </w:rPr>
              <w:t>–         polimeroasfalt (ang. polymer modified bitumen),</w:t>
            </w:r>
          </w:p>
        </w:tc>
      </w:tr>
      <w:tr w:rsidR="005F2528" w:rsidRPr="00C968CE" w14:paraId="4B5F9702" w14:textId="77777777" w:rsidTr="005F2528">
        <w:tc>
          <w:tcPr>
            <w:tcW w:w="850" w:type="dxa"/>
            <w:tcMar>
              <w:top w:w="0" w:type="dxa"/>
              <w:left w:w="108" w:type="dxa"/>
              <w:bottom w:w="0" w:type="dxa"/>
              <w:right w:w="108" w:type="dxa"/>
            </w:tcMar>
            <w:hideMark/>
          </w:tcPr>
          <w:p w14:paraId="3357C7C3" w14:textId="77777777" w:rsidR="005F2528" w:rsidRPr="00C968CE" w:rsidRDefault="005F2528" w:rsidP="00C968CE">
            <w:pPr>
              <w:spacing w:line="240" w:lineRule="auto"/>
              <w:rPr>
                <w:rFonts w:cs="Arial"/>
                <w:szCs w:val="20"/>
              </w:rPr>
            </w:pPr>
            <w:r w:rsidRPr="00C968CE">
              <w:rPr>
                <w:rFonts w:cs="Arial"/>
                <w:szCs w:val="20"/>
              </w:rPr>
              <w:t>MG</w:t>
            </w:r>
          </w:p>
        </w:tc>
        <w:tc>
          <w:tcPr>
            <w:tcW w:w="8018" w:type="dxa"/>
            <w:tcMar>
              <w:top w:w="0" w:type="dxa"/>
              <w:left w:w="108" w:type="dxa"/>
              <w:bottom w:w="0" w:type="dxa"/>
              <w:right w:w="108" w:type="dxa"/>
            </w:tcMar>
            <w:hideMark/>
          </w:tcPr>
          <w:p w14:paraId="499745DA" w14:textId="77777777" w:rsidR="005F2528" w:rsidRPr="00C968CE" w:rsidRDefault="005F2528" w:rsidP="00C968CE">
            <w:pPr>
              <w:spacing w:line="240" w:lineRule="auto"/>
              <w:ind w:left="459" w:hanging="360"/>
              <w:rPr>
                <w:rFonts w:cs="Arial"/>
                <w:szCs w:val="20"/>
              </w:rPr>
            </w:pPr>
            <w:r w:rsidRPr="00C968CE">
              <w:rPr>
                <w:rFonts w:cs="Arial"/>
                <w:szCs w:val="20"/>
              </w:rPr>
              <w:t>–         asfalt wielorodzajowy (ang. multigrade)</w:t>
            </w:r>
          </w:p>
        </w:tc>
      </w:tr>
      <w:tr w:rsidR="005F2528" w:rsidRPr="00C968CE" w14:paraId="3C8D446A" w14:textId="77777777" w:rsidTr="005F2528">
        <w:tc>
          <w:tcPr>
            <w:tcW w:w="850" w:type="dxa"/>
            <w:tcMar>
              <w:top w:w="0" w:type="dxa"/>
              <w:left w:w="108" w:type="dxa"/>
              <w:bottom w:w="0" w:type="dxa"/>
              <w:right w:w="108" w:type="dxa"/>
            </w:tcMar>
            <w:hideMark/>
          </w:tcPr>
          <w:p w14:paraId="2D310743" w14:textId="77777777" w:rsidR="005F2528" w:rsidRPr="00C968CE" w:rsidRDefault="005F2528" w:rsidP="00C968CE">
            <w:pPr>
              <w:spacing w:line="240" w:lineRule="auto"/>
              <w:rPr>
                <w:rFonts w:cs="Arial"/>
                <w:szCs w:val="20"/>
              </w:rPr>
            </w:pPr>
            <w:r w:rsidRPr="00C968CE">
              <w:rPr>
                <w:rFonts w:cs="Arial"/>
                <w:szCs w:val="20"/>
              </w:rPr>
              <w:t xml:space="preserve">D         </w:t>
            </w:r>
          </w:p>
        </w:tc>
        <w:tc>
          <w:tcPr>
            <w:tcW w:w="8018" w:type="dxa"/>
            <w:tcMar>
              <w:top w:w="0" w:type="dxa"/>
              <w:left w:w="108" w:type="dxa"/>
              <w:bottom w:w="0" w:type="dxa"/>
              <w:right w:w="108" w:type="dxa"/>
            </w:tcMar>
            <w:hideMark/>
          </w:tcPr>
          <w:p w14:paraId="4CF05F85" w14:textId="77777777" w:rsidR="005F2528" w:rsidRPr="00C968CE" w:rsidRDefault="005F2528" w:rsidP="00C968CE">
            <w:pPr>
              <w:spacing w:line="240" w:lineRule="auto"/>
              <w:ind w:left="459" w:hanging="360"/>
              <w:rPr>
                <w:rFonts w:cs="Arial"/>
                <w:szCs w:val="20"/>
              </w:rPr>
            </w:pPr>
            <w:r w:rsidRPr="00C968CE">
              <w:rPr>
                <w:rFonts w:cs="Arial"/>
                <w:szCs w:val="20"/>
              </w:rPr>
              <w:t>–         górny wymiar sita (przy określaniu wielkości ziaren kruszywa),</w:t>
            </w:r>
          </w:p>
        </w:tc>
      </w:tr>
      <w:tr w:rsidR="005F2528" w:rsidRPr="00C968CE" w14:paraId="10CAC123" w14:textId="77777777" w:rsidTr="005F2528">
        <w:tc>
          <w:tcPr>
            <w:tcW w:w="850" w:type="dxa"/>
            <w:tcMar>
              <w:top w:w="0" w:type="dxa"/>
              <w:left w:w="108" w:type="dxa"/>
              <w:bottom w:w="0" w:type="dxa"/>
              <w:right w:w="108" w:type="dxa"/>
            </w:tcMar>
            <w:hideMark/>
          </w:tcPr>
          <w:p w14:paraId="12865AD8" w14:textId="77777777" w:rsidR="005F2528" w:rsidRPr="00C968CE" w:rsidRDefault="005F2528" w:rsidP="00C968CE">
            <w:pPr>
              <w:spacing w:line="240" w:lineRule="auto"/>
              <w:rPr>
                <w:rFonts w:cs="Arial"/>
                <w:szCs w:val="20"/>
              </w:rPr>
            </w:pPr>
            <w:r w:rsidRPr="00C968CE">
              <w:rPr>
                <w:rFonts w:cs="Arial"/>
                <w:szCs w:val="20"/>
              </w:rPr>
              <w:t xml:space="preserve">d         </w:t>
            </w:r>
          </w:p>
        </w:tc>
        <w:tc>
          <w:tcPr>
            <w:tcW w:w="8018" w:type="dxa"/>
            <w:tcMar>
              <w:top w:w="0" w:type="dxa"/>
              <w:left w:w="108" w:type="dxa"/>
              <w:bottom w:w="0" w:type="dxa"/>
              <w:right w:w="108" w:type="dxa"/>
            </w:tcMar>
            <w:hideMark/>
          </w:tcPr>
          <w:p w14:paraId="4757DD1F" w14:textId="77777777" w:rsidR="005F2528" w:rsidRPr="00C968CE" w:rsidRDefault="005F2528" w:rsidP="00C968CE">
            <w:pPr>
              <w:spacing w:line="240" w:lineRule="auto"/>
              <w:ind w:left="459" w:hanging="360"/>
              <w:rPr>
                <w:rFonts w:cs="Arial"/>
                <w:szCs w:val="20"/>
              </w:rPr>
            </w:pPr>
            <w:r w:rsidRPr="00C968CE">
              <w:rPr>
                <w:rFonts w:cs="Arial"/>
                <w:szCs w:val="20"/>
              </w:rPr>
              <w:t>–         dolny wymiar sita (przy określaniu wielkości ziaren kruszywa),</w:t>
            </w:r>
          </w:p>
        </w:tc>
      </w:tr>
      <w:tr w:rsidR="005F2528" w:rsidRPr="00C968CE" w14:paraId="092C5141" w14:textId="77777777" w:rsidTr="005F2528">
        <w:tc>
          <w:tcPr>
            <w:tcW w:w="850" w:type="dxa"/>
            <w:tcMar>
              <w:top w:w="0" w:type="dxa"/>
              <w:left w:w="108" w:type="dxa"/>
              <w:bottom w:w="0" w:type="dxa"/>
              <w:right w:w="108" w:type="dxa"/>
            </w:tcMar>
            <w:hideMark/>
          </w:tcPr>
          <w:p w14:paraId="4D600B25" w14:textId="77777777" w:rsidR="005F2528" w:rsidRPr="00C968CE" w:rsidRDefault="005F2528" w:rsidP="00C968CE">
            <w:pPr>
              <w:spacing w:line="240" w:lineRule="auto"/>
              <w:rPr>
                <w:rFonts w:cs="Arial"/>
                <w:szCs w:val="20"/>
              </w:rPr>
            </w:pPr>
            <w:r w:rsidRPr="00C968CE">
              <w:rPr>
                <w:rFonts w:cs="Arial"/>
                <w:szCs w:val="20"/>
              </w:rPr>
              <w:t xml:space="preserve">C         </w:t>
            </w:r>
          </w:p>
        </w:tc>
        <w:tc>
          <w:tcPr>
            <w:tcW w:w="8018" w:type="dxa"/>
            <w:tcMar>
              <w:top w:w="0" w:type="dxa"/>
              <w:left w:w="108" w:type="dxa"/>
              <w:bottom w:w="0" w:type="dxa"/>
              <w:right w:w="108" w:type="dxa"/>
            </w:tcMar>
            <w:hideMark/>
          </w:tcPr>
          <w:p w14:paraId="78986374" w14:textId="77777777" w:rsidR="005F2528" w:rsidRPr="00C968CE" w:rsidRDefault="005F2528" w:rsidP="00C968CE">
            <w:pPr>
              <w:spacing w:line="240" w:lineRule="auto"/>
              <w:ind w:left="459" w:hanging="360"/>
              <w:rPr>
                <w:rFonts w:cs="Arial"/>
                <w:szCs w:val="20"/>
              </w:rPr>
            </w:pPr>
            <w:r w:rsidRPr="00C968CE">
              <w:rPr>
                <w:rFonts w:cs="Arial"/>
                <w:szCs w:val="20"/>
              </w:rPr>
              <w:t>–         kationowa emulsja asfaltowa,</w:t>
            </w:r>
          </w:p>
        </w:tc>
      </w:tr>
      <w:tr w:rsidR="005F2528" w:rsidRPr="00C968CE" w14:paraId="77744E4F" w14:textId="77777777" w:rsidTr="005F2528">
        <w:tc>
          <w:tcPr>
            <w:tcW w:w="850" w:type="dxa"/>
            <w:tcMar>
              <w:top w:w="0" w:type="dxa"/>
              <w:left w:w="108" w:type="dxa"/>
              <w:bottom w:w="0" w:type="dxa"/>
              <w:right w:w="108" w:type="dxa"/>
            </w:tcMar>
            <w:hideMark/>
          </w:tcPr>
          <w:p w14:paraId="0435E4B0" w14:textId="77777777" w:rsidR="005F2528" w:rsidRPr="00C968CE" w:rsidRDefault="005F2528" w:rsidP="00C968CE">
            <w:pPr>
              <w:spacing w:line="240" w:lineRule="auto"/>
              <w:rPr>
                <w:rFonts w:cs="Arial"/>
                <w:szCs w:val="20"/>
              </w:rPr>
            </w:pPr>
            <w:r w:rsidRPr="00C968CE">
              <w:rPr>
                <w:rFonts w:cs="Arial"/>
                <w:szCs w:val="20"/>
              </w:rPr>
              <w:t xml:space="preserve">NPD   </w:t>
            </w:r>
          </w:p>
        </w:tc>
        <w:tc>
          <w:tcPr>
            <w:tcW w:w="8018" w:type="dxa"/>
            <w:tcMar>
              <w:top w:w="0" w:type="dxa"/>
              <w:left w:w="108" w:type="dxa"/>
              <w:bottom w:w="0" w:type="dxa"/>
              <w:right w:w="108" w:type="dxa"/>
            </w:tcMar>
            <w:hideMark/>
          </w:tcPr>
          <w:p w14:paraId="2292DEA6" w14:textId="77777777" w:rsidR="005F2528" w:rsidRPr="00C968CE" w:rsidRDefault="005F2528" w:rsidP="00C968CE">
            <w:pPr>
              <w:spacing w:line="240" w:lineRule="auto"/>
              <w:ind w:left="459" w:hanging="360"/>
              <w:rPr>
                <w:rFonts w:cs="Arial"/>
                <w:szCs w:val="20"/>
              </w:rPr>
            </w:pPr>
            <w:r w:rsidRPr="00C968CE">
              <w:rPr>
                <w:rFonts w:cs="Arial"/>
                <w:szCs w:val="20"/>
              </w:rPr>
              <w:t>–         właściwość użytkowa nie określana (ang. No Performance Determined; producent może jej nie określać),</w:t>
            </w:r>
          </w:p>
        </w:tc>
      </w:tr>
      <w:tr w:rsidR="005F2528" w:rsidRPr="00C968CE" w14:paraId="001C7412" w14:textId="77777777" w:rsidTr="005F2528">
        <w:tc>
          <w:tcPr>
            <w:tcW w:w="850" w:type="dxa"/>
            <w:tcMar>
              <w:top w:w="0" w:type="dxa"/>
              <w:left w:w="108" w:type="dxa"/>
              <w:bottom w:w="0" w:type="dxa"/>
              <w:right w:w="108" w:type="dxa"/>
            </w:tcMar>
            <w:hideMark/>
          </w:tcPr>
          <w:p w14:paraId="43ED1BE5" w14:textId="77777777" w:rsidR="005F2528" w:rsidRPr="00C968CE" w:rsidRDefault="005F2528" w:rsidP="00C968CE">
            <w:pPr>
              <w:spacing w:line="240" w:lineRule="auto"/>
              <w:rPr>
                <w:rFonts w:cs="Arial"/>
                <w:szCs w:val="20"/>
              </w:rPr>
            </w:pPr>
            <w:r w:rsidRPr="00C968CE">
              <w:rPr>
                <w:rFonts w:cs="Arial"/>
                <w:szCs w:val="20"/>
              </w:rPr>
              <w:t xml:space="preserve">TBR    </w:t>
            </w:r>
          </w:p>
        </w:tc>
        <w:tc>
          <w:tcPr>
            <w:tcW w:w="8018" w:type="dxa"/>
            <w:tcMar>
              <w:top w:w="0" w:type="dxa"/>
              <w:left w:w="108" w:type="dxa"/>
              <w:bottom w:w="0" w:type="dxa"/>
              <w:right w:w="108" w:type="dxa"/>
            </w:tcMar>
            <w:hideMark/>
          </w:tcPr>
          <w:p w14:paraId="7A53E8F2" w14:textId="77777777" w:rsidR="005F2528" w:rsidRPr="00C968CE" w:rsidRDefault="005F2528" w:rsidP="00C968CE">
            <w:pPr>
              <w:spacing w:line="240" w:lineRule="auto"/>
              <w:ind w:left="459" w:hanging="360"/>
              <w:rPr>
                <w:rFonts w:cs="Arial"/>
                <w:szCs w:val="20"/>
              </w:rPr>
            </w:pPr>
            <w:r w:rsidRPr="00C968CE">
              <w:rPr>
                <w:rFonts w:cs="Arial"/>
                <w:szCs w:val="20"/>
              </w:rPr>
              <w:t>–         do zadeklarowania (ang. To Be Reported; producent może dostarczyć odpowiednie informacje, jednak nie jest do tego zobowiązany),</w:t>
            </w:r>
          </w:p>
        </w:tc>
      </w:tr>
      <w:tr w:rsidR="005F2528" w:rsidRPr="00C968CE" w14:paraId="42C9B944" w14:textId="77777777" w:rsidTr="005F2528">
        <w:tc>
          <w:tcPr>
            <w:tcW w:w="850" w:type="dxa"/>
            <w:tcMar>
              <w:top w:w="0" w:type="dxa"/>
              <w:left w:w="108" w:type="dxa"/>
              <w:bottom w:w="0" w:type="dxa"/>
              <w:right w:w="108" w:type="dxa"/>
            </w:tcMar>
            <w:hideMark/>
          </w:tcPr>
          <w:p w14:paraId="5E9D763B" w14:textId="77777777" w:rsidR="005F2528" w:rsidRPr="00C968CE" w:rsidRDefault="005F2528" w:rsidP="00C968CE">
            <w:pPr>
              <w:spacing w:line="240" w:lineRule="auto"/>
              <w:rPr>
                <w:rFonts w:cs="Arial"/>
                <w:szCs w:val="20"/>
              </w:rPr>
            </w:pPr>
            <w:r w:rsidRPr="00C968CE">
              <w:rPr>
                <w:rFonts w:cs="Arial"/>
                <w:szCs w:val="20"/>
              </w:rPr>
              <w:t xml:space="preserve">IRI      </w:t>
            </w:r>
          </w:p>
        </w:tc>
        <w:tc>
          <w:tcPr>
            <w:tcW w:w="8018" w:type="dxa"/>
            <w:tcMar>
              <w:top w:w="0" w:type="dxa"/>
              <w:left w:w="108" w:type="dxa"/>
              <w:bottom w:w="0" w:type="dxa"/>
              <w:right w:w="108" w:type="dxa"/>
            </w:tcMar>
            <w:hideMark/>
          </w:tcPr>
          <w:p w14:paraId="59CDAF44" w14:textId="77777777" w:rsidR="005F2528" w:rsidRPr="00C968CE" w:rsidRDefault="005F2528" w:rsidP="00C968CE">
            <w:pPr>
              <w:spacing w:line="240" w:lineRule="auto"/>
              <w:ind w:left="459" w:hanging="360"/>
              <w:rPr>
                <w:rFonts w:cs="Arial"/>
                <w:szCs w:val="20"/>
              </w:rPr>
            </w:pPr>
            <w:r w:rsidRPr="00C968CE">
              <w:rPr>
                <w:rFonts w:cs="Arial"/>
                <w:szCs w:val="20"/>
              </w:rPr>
              <w:t>–         międzynarodowy wskaźnik równości (ang. International Roughness Index),</w:t>
            </w:r>
          </w:p>
        </w:tc>
      </w:tr>
      <w:tr w:rsidR="005F2528" w:rsidRPr="00C968CE" w14:paraId="490ED257" w14:textId="77777777" w:rsidTr="005F2528">
        <w:tc>
          <w:tcPr>
            <w:tcW w:w="850" w:type="dxa"/>
            <w:tcMar>
              <w:top w:w="0" w:type="dxa"/>
              <w:left w:w="108" w:type="dxa"/>
              <w:bottom w:w="0" w:type="dxa"/>
              <w:right w:w="108" w:type="dxa"/>
            </w:tcMar>
            <w:hideMark/>
          </w:tcPr>
          <w:p w14:paraId="4FD53F51" w14:textId="77777777" w:rsidR="005F2528" w:rsidRPr="00C968CE" w:rsidRDefault="005F2528" w:rsidP="00C968CE">
            <w:pPr>
              <w:spacing w:line="240" w:lineRule="auto"/>
              <w:rPr>
                <w:rFonts w:cs="Arial"/>
                <w:szCs w:val="20"/>
              </w:rPr>
            </w:pPr>
            <w:r w:rsidRPr="00C968CE">
              <w:rPr>
                <w:rFonts w:cs="Arial"/>
                <w:szCs w:val="20"/>
              </w:rPr>
              <w:t xml:space="preserve">MOP  </w:t>
            </w:r>
          </w:p>
        </w:tc>
        <w:tc>
          <w:tcPr>
            <w:tcW w:w="8018" w:type="dxa"/>
            <w:tcMar>
              <w:top w:w="0" w:type="dxa"/>
              <w:left w:w="108" w:type="dxa"/>
              <w:bottom w:w="0" w:type="dxa"/>
              <w:right w:w="108" w:type="dxa"/>
            </w:tcMar>
            <w:hideMark/>
          </w:tcPr>
          <w:p w14:paraId="42EAE98E" w14:textId="77777777" w:rsidR="005F2528" w:rsidRPr="00C968CE" w:rsidRDefault="005F2528" w:rsidP="00C968CE">
            <w:pPr>
              <w:spacing w:line="240" w:lineRule="auto"/>
              <w:ind w:left="459" w:hanging="360"/>
              <w:rPr>
                <w:rFonts w:cs="Arial"/>
                <w:szCs w:val="20"/>
              </w:rPr>
            </w:pPr>
            <w:r w:rsidRPr="00C968CE">
              <w:rPr>
                <w:rFonts w:cs="Arial"/>
                <w:szCs w:val="20"/>
              </w:rPr>
              <w:t>–         miejsce obsługi podróżnych,</w:t>
            </w:r>
          </w:p>
        </w:tc>
      </w:tr>
      <w:tr w:rsidR="005F2528" w:rsidRPr="00C968CE" w14:paraId="02B913F9" w14:textId="77777777" w:rsidTr="005F2528">
        <w:tc>
          <w:tcPr>
            <w:tcW w:w="850" w:type="dxa"/>
            <w:tcMar>
              <w:top w:w="0" w:type="dxa"/>
              <w:left w:w="108" w:type="dxa"/>
              <w:bottom w:w="0" w:type="dxa"/>
              <w:right w:w="108" w:type="dxa"/>
            </w:tcMar>
            <w:hideMark/>
          </w:tcPr>
          <w:p w14:paraId="58A820B5" w14:textId="77777777" w:rsidR="005F2528" w:rsidRPr="00C968CE" w:rsidRDefault="005F2528" w:rsidP="00C968CE">
            <w:pPr>
              <w:spacing w:line="240" w:lineRule="auto"/>
              <w:rPr>
                <w:rFonts w:cs="Arial"/>
                <w:szCs w:val="20"/>
              </w:rPr>
            </w:pPr>
            <w:r w:rsidRPr="00C968CE">
              <w:rPr>
                <w:rFonts w:cs="Arial"/>
                <w:szCs w:val="20"/>
              </w:rPr>
              <w:t>ZKP</w:t>
            </w:r>
          </w:p>
        </w:tc>
        <w:tc>
          <w:tcPr>
            <w:tcW w:w="8018" w:type="dxa"/>
            <w:tcMar>
              <w:top w:w="0" w:type="dxa"/>
              <w:left w:w="108" w:type="dxa"/>
              <w:bottom w:w="0" w:type="dxa"/>
              <w:right w:w="108" w:type="dxa"/>
            </w:tcMar>
            <w:hideMark/>
          </w:tcPr>
          <w:p w14:paraId="44FB9612" w14:textId="77777777" w:rsidR="005F2528" w:rsidRPr="00C968CE" w:rsidRDefault="005F2528" w:rsidP="00C968CE">
            <w:pPr>
              <w:spacing w:line="240" w:lineRule="auto"/>
              <w:ind w:left="459" w:hanging="360"/>
              <w:rPr>
                <w:rFonts w:cs="Arial"/>
                <w:szCs w:val="20"/>
              </w:rPr>
            </w:pPr>
            <w:r w:rsidRPr="00C968CE">
              <w:rPr>
                <w:rFonts w:cs="Arial"/>
                <w:szCs w:val="20"/>
              </w:rPr>
              <w:t>–         zakładowa kontrola produkcji</w:t>
            </w:r>
          </w:p>
        </w:tc>
      </w:tr>
    </w:tbl>
    <w:p w14:paraId="113FEC5C"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1.5. Ogólne wymagania dotyczące robót</w:t>
      </w:r>
    </w:p>
    <w:p w14:paraId="5C5B420A" w14:textId="77777777" w:rsidR="005F2528" w:rsidRPr="00C968CE" w:rsidRDefault="005F2528" w:rsidP="00C968CE">
      <w:pPr>
        <w:spacing w:line="240" w:lineRule="auto"/>
        <w:rPr>
          <w:rFonts w:cs="Arial"/>
          <w:szCs w:val="20"/>
        </w:rPr>
      </w:pPr>
      <w:r w:rsidRPr="00C968CE">
        <w:rPr>
          <w:rFonts w:cs="Arial"/>
          <w:b/>
          <w:bCs/>
          <w:szCs w:val="20"/>
        </w:rPr>
        <w:t xml:space="preserve">            </w:t>
      </w:r>
      <w:r w:rsidRPr="00C968CE">
        <w:rPr>
          <w:rFonts w:cs="Arial"/>
          <w:szCs w:val="20"/>
        </w:rPr>
        <w:t>Ogólne wymagania dotyczące robót podano w SST D-M-00.00.00 „Wymagania ogólne” [1] pkt 1.5.</w:t>
      </w:r>
    </w:p>
    <w:p w14:paraId="34016874" w14:textId="77777777" w:rsidR="005F2528" w:rsidRPr="00C968CE" w:rsidRDefault="005F2528" w:rsidP="00C968CE">
      <w:pPr>
        <w:spacing w:before="100" w:beforeAutospacing="1" w:after="100" w:afterAutospacing="1" w:line="240" w:lineRule="auto"/>
        <w:outlineLvl w:val="0"/>
        <w:rPr>
          <w:rFonts w:cs="Arial"/>
          <w:b/>
          <w:bCs/>
          <w:kern w:val="36"/>
          <w:szCs w:val="20"/>
        </w:rPr>
      </w:pPr>
      <w:bookmarkStart w:id="917" w:name="_Toc413234104"/>
      <w:bookmarkStart w:id="918" w:name="_Toc461543719"/>
      <w:r w:rsidRPr="00C968CE">
        <w:rPr>
          <w:rFonts w:cs="Arial"/>
          <w:b/>
          <w:bCs/>
          <w:kern w:val="36"/>
          <w:szCs w:val="20"/>
        </w:rPr>
        <w:t>2. Materiały</w:t>
      </w:r>
      <w:bookmarkEnd w:id="917"/>
      <w:bookmarkEnd w:id="918"/>
    </w:p>
    <w:p w14:paraId="3510F66B"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2.1. Ogólne wymagania dotyczące materiałów</w:t>
      </w:r>
    </w:p>
    <w:p w14:paraId="66CA3D4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Ogólne wymagania dotyczące materiałów, ich pozyskiwania i składowania, podano w  SST D-M-00.00.00 „Wymagania ogólne” [1] pkt 2.</w:t>
      </w:r>
    </w:p>
    <w:p w14:paraId="779D1DBC" w14:textId="77777777" w:rsidR="005F2528" w:rsidRPr="00C968CE" w:rsidRDefault="005F2528" w:rsidP="00C968CE">
      <w:pPr>
        <w:autoSpaceDN w:val="0"/>
        <w:spacing w:before="100" w:beforeAutospacing="1" w:after="100" w:afterAutospacing="1" w:line="240" w:lineRule="auto"/>
        <w:ind w:firstLine="709"/>
        <w:rPr>
          <w:rFonts w:cs="Arial"/>
          <w:szCs w:val="20"/>
        </w:rPr>
      </w:pPr>
      <w:r w:rsidRPr="00C968CE">
        <w:rPr>
          <w:rFonts w:cs="Arial"/>
          <w:szCs w:val="20"/>
        </w:rPr>
        <w:lastRenderedPageBreak/>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618AB2CD" w14:textId="77777777" w:rsidR="005F2528" w:rsidRPr="00C968CE" w:rsidRDefault="005F2528" w:rsidP="00C968CE">
      <w:pPr>
        <w:spacing w:line="240" w:lineRule="auto"/>
        <w:ind w:firstLine="709"/>
        <w:rPr>
          <w:rFonts w:cs="Arial"/>
          <w:szCs w:val="20"/>
        </w:rPr>
      </w:pPr>
      <w:r w:rsidRPr="00C968CE">
        <w:rPr>
          <w:rFonts w:cs="Arial"/>
          <w:szCs w:val="20"/>
        </w:rPr>
        <w:t>Wbudowywana mieszanka mineralno-asfaltowa może pochodzić z kilku wytwórni pod warunkiem, że jest produkowana z tych samych materiałów (o ustalonej przydatności ) i w oparciu o takie samo badanie typu.</w:t>
      </w:r>
    </w:p>
    <w:p w14:paraId="20FA45E8"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2.2. Materiały stosowane do betonu asfaltowego do warstwy podbudowy</w:t>
      </w:r>
    </w:p>
    <w:p w14:paraId="3C588A2E"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Rodzaje stosowanych materiałów do betonu asfaltowego do warstwy podbudowy w zależności od kategorii ruchu podano w tablicy 2.</w:t>
      </w:r>
    </w:p>
    <w:p w14:paraId="2BB9E9B1" w14:textId="77777777" w:rsidR="005F2528" w:rsidRPr="00C968CE" w:rsidRDefault="005F2528" w:rsidP="00C968CE">
      <w:pPr>
        <w:spacing w:before="60" w:after="60" w:line="240" w:lineRule="auto"/>
        <w:ind w:left="900" w:hanging="900"/>
        <w:rPr>
          <w:rFonts w:cs="Arial"/>
          <w:szCs w:val="20"/>
        </w:rPr>
      </w:pPr>
      <w:r w:rsidRPr="00C968CE">
        <w:rPr>
          <w:rFonts w:cs="Arial"/>
          <w:szCs w:val="20"/>
        </w:rPr>
        <w:t>Tablica 2. Materiały  do warstwy podbudowy  z betonu asfaltowego</w:t>
      </w:r>
    </w:p>
    <w:tbl>
      <w:tblPr>
        <w:tblW w:w="0" w:type="auto"/>
        <w:tblCellMar>
          <w:left w:w="0" w:type="dxa"/>
          <w:right w:w="0" w:type="dxa"/>
        </w:tblCellMar>
        <w:tblLook w:val="04A0" w:firstRow="1" w:lastRow="0" w:firstColumn="1" w:lastColumn="0" w:noHBand="0" w:noVBand="1"/>
      </w:tblPr>
      <w:tblGrid>
        <w:gridCol w:w="2748"/>
        <w:gridCol w:w="636"/>
        <w:gridCol w:w="851"/>
        <w:gridCol w:w="709"/>
        <w:gridCol w:w="708"/>
        <w:gridCol w:w="851"/>
        <w:gridCol w:w="709"/>
        <w:gridCol w:w="708"/>
        <w:gridCol w:w="599"/>
      </w:tblGrid>
      <w:tr w:rsidR="005F2528" w:rsidRPr="00C968CE" w14:paraId="2AD1FF18" w14:textId="77777777" w:rsidTr="005F2528">
        <w:tc>
          <w:tcPr>
            <w:tcW w:w="2748"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1647031F" w14:textId="77777777" w:rsidR="005F2528" w:rsidRPr="00C968CE" w:rsidRDefault="005F2528" w:rsidP="00C968CE">
            <w:pPr>
              <w:spacing w:before="120" w:after="120" w:line="240" w:lineRule="auto"/>
              <w:rPr>
                <w:rFonts w:cs="Arial"/>
                <w:szCs w:val="20"/>
              </w:rPr>
            </w:pPr>
            <w:r w:rsidRPr="00C968CE">
              <w:rPr>
                <w:rFonts w:cs="Arial"/>
                <w:szCs w:val="20"/>
              </w:rPr>
              <w:t>Materiał</w:t>
            </w:r>
          </w:p>
        </w:tc>
        <w:tc>
          <w:tcPr>
            <w:tcW w:w="5771" w:type="dxa"/>
            <w:gridSpan w:val="8"/>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3D4F6B3E" w14:textId="77777777" w:rsidR="005F2528" w:rsidRPr="00C968CE" w:rsidRDefault="005F2528" w:rsidP="00C968CE">
            <w:pPr>
              <w:spacing w:before="120" w:after="120" w:line="240" w:lineRule="auto"/>
              <w:rPr>
                <w:rFonts w:cs="Arial"/>
                <w:szCs w:val="20"/>
              </w:rPr>
            </w:pPr>
            <w:r w:rsidRPr="00C968CE">
              <w:rPr>
                <w:rFonts w:cs="Arial"/>
                <w:szCs w:val="20"/>
              </w:rPr>
              <w:t>Kategoria ruchu</w:t>
            </w:r>
          </w:p>
        </w:tc>
      </w:tr>
      <w:tr w:rsidR="005F2528" w:rsidRPr="00C968CE" w14:paraId="03B27870" w14:textId="77777777" w:rsidTr="005F2528">
        <w:tc>
          <w:tcPr>
            <w:tcW w:w="0" w:type="auto"/>
            <w:vMerge/>
            <w:tcBorders>
              <w:top w:val="single" w:sz="8" w:space="0" w:color="auto"/>
              <w:left w:val="single" w:sz="8" w:space="0" w:color="auto"/>
              <w:bottom w:val="single" w:sz="8" w:space="0" w:color="auto"/>
              <w:right w:val="single" w:sz="8" w:space="0" w:color="auto"/>
            </w:tcBorders>
            <w:vAlign w:val="center"/>
            <w:hideMark/>
          </w:tcPr>
          <w:p w14:paraId="5533FFD4" w14:textId="77777777" w:rsidR="005F2528" w:rsidRPr="00C968CE" w:rsidRDefault="005F2528" w:rsidP="00C968CE">
            <w:pPr>
              <w:spacing w:line="240" w:lineRule="auto"/>
              <w:rPr>
                <w:rFonts w:cs="Arial"/>
                <w:szCs w:val="20"/>
              </w:rPr>
            </w:pPr>
          </w:p>
        </w:tc>
        <w:tc>
          <w:tcPr>
            <w:tcW w:w="1487"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46EA4620" w14:textId="77777777" w:rsidR="005F2528" w:rsidRPr="00C968CE" w:rsidRDefault="005F2528" w:rsidP="00C968CE">
            <w:pPr>
              <w:spacing w:before="60" w:after="60" w:line="240" w:lineRule="auto"/>
              <w:rPr>
                <w:rFonts w:cs="Arial"/>
                <w:szCs w:val="20"/>
              </w:rPr>
            </w:pPr>
            <w:r w:rsidRPr="00C968CE">
              <w:rPr>
                <w:rFonts w:cs="Arial"/>
                <w:szCs w:val="20"/>
              </w:rPr>
              <w:t>KR1÷2</w:t>
            </w:r>
          </w:p>
        </w:tc>
        <w:tc>
          <w:tcPr>
            <w:tcW w:w="2268"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14:paraId="249118DC" w14:textId="77777777" w:rsidR="005F2528" w:rsidRPr="00C968CE" w:rsidRDefault="005F2528" w:rsidP="00C968CE">
            <w:pPr>
              <w:spacing w:before="60" w:after="60" w:line="240" w:lineRule="auto"/>
              <w:rPr>
                <w:rFonts w:cs="Arial"/>
                <w:szCs w:val="20"/>
              </w:rPr>
            </w:pPr>
            <w:r w:rsidRPr="00C968CE">
              <w:rPr>
                <w:rFonts w:cs="Arial"/>
                <w:szCs w:val="20"/>
              </w:rPr>
              <w:t>KR3÷4</w:t>
            </w:r>
          </w:p>
        </w:tc>
        <w:tc>
          <w:tcPr>
            <w:tcW w:w="2016"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14:paraId="6D738497" w14:textId="77777777" w:rsidR="005F2528" w:rsidRPr="00C968CE" w:rsidRDefault="005F2528" w:rsidP="00C968CE">
            <w:pPr>
              <w:spacing w:before="60" w:after="60" w:line="240" w:lineRule="auto"/>
              <w:rPr>
                <w:rFonts w:cs="Arial"/>
                <w:szCs w:val="20"/>
              </w:rPr>
            </w:pPr>
            <w:r w:rsidRPr="00C968CE">
              <w:rPr>
                <w:rFonts w:cs="Arial"/>
                <w:szCs w:val="20"/>
              </w:rPr>
              <w:t>KR5÷7</w:t>
            </w:r>
          </w:p>
        </w:tc>
      </w:tr>
      <w:tr w:rsidR="005F2528" w:rsidRPr="00C968CE" w14:paraId="54512CEE" w14:textId="77777777" w:rsidTr="005F2528">
        <w:tc>
          <w:tcPr>
            <w:tcW w:w="2748"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0C3239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Mieszanka mineralno-asfaltowa o wymiarze D, [mm]</w:t>
            </w:r>
          </w:p>
        </w:tc>
        <w:tc>
          <w:tcPr>
            <w:tcW w:w="63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939864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16</w:t>
            </w:r>
          </w:p>
        </w:tc>
        <w:tc>
          <w:tcPr>
            <w:tcW w:w="85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EE1995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22</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FC3FA3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16</w:t>
            </w:r>
          </w:p>
        </w:tc>
        <w:tc>
          <w:tcPr>
            <w:tcW w:w="708"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C61F92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22</w:t>
            </w:r>
          </w:p>
        </w:tc>
        <w:tc>
          <w:tcPr>
            <w:tcW w:w="85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5A00E5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32</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85393F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16</w:t>
            </w:r>
          </w:p>
        </w:tc>
        <w:tc>
          <w:tcPr>
            <w:tcW w:w="708"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95F916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22</w:t>
            </w:r>
          </w:p>
        </w:tc>
        <w:tc>
          <w:tcPr>
            <w:tcW w:w="59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25A7BE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32</w:t>
            </w:r>
          </w:p>
        </w:tc>
      </w:tr>
      <w:tr w:rsidR="005F2528" w:rsidRPr="00C968CE" w14:paraId="024EDEE7" w14:textId="77777777" w:rsidTr="005F2528">
        <w:tc>
          <w:tcPr>
            <w:tcW w:w="2748"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49358DA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Granulat asfaltowy GRA o wymiarze U, [mm]</w:t>
            </w:r>
          </w:p>
        </w:tc>
        <w:tc>
          <w:tcPr>
            <w:tcW w:w="636" w:type="dxa"/>
            <w:tcBorders>
              <w:top w:val="nil"/>
              <w:left w:val="nil"/>
              <w:bottom w:val="single" w:sz="8" w:space="0" w:color="auto"/>
              <w:right w:val="single" w:sz="8" w:space="0" w:color="auto"/>
            </w:tcBorders>
            <w:noWrap/>
            <w:tcMar>
              <w:top w:w="0" w:type="dxa"/>
              <w:left w:w="108" w:type="dxa"/>
              <w:bottom w:w="0" w:type="dxa"/>
              <w:right w:w="108" w:type="dxa"/>
            </w:tcMar>
            <w:hideMark/>
          </w:tcPr>
          <w:p w14:paraId="268784A0" w14:textId="77777777" w:rsidR="005F2528" w:rsidRPr="00C968CE" w:rsidRDefault="005F2528" w:rsidP="00C968CE">
            <w:pPr>
              <w:spacing w:before="120" w:after="120" w:line="240" w:lineRule="auto"/>
              <w:rPr>
                <w:rFonts w:cs="Arial"/>
                <w:szCs w:val="20"/>
              </w:rPr>
            </w:pPr>
            <w:r w:rsidRPr="00C968CE">
              <w:rPr>
                <w:rFonts w:cs="Arial"/>
                <w:szCs w:val="20"/>
              </w:rPr>
              <w:t>22,4</w:t>
            </w:r>
          </w:p>
        </w:tc>
        <w:tc>
          <w:tcPr>
            <w:tcW w:w="851" w:type="dxa"/>
            <w:tcBorders>
              <w:top w:val="nil"/>
              <w:left w:val="nil"/>
              <w:bottom w:val="single" w:sz="8" w:space="0" w:color="auto"/>
              <w:right w:val="single" w:sz="8" w:space="0" w:color="auto"/>
            </w:tcBorders>
            <w:noWrap/>
            <w:tcMar>
              <w:top w:w="0" w:type="dxa"/>
              <w:left w:w="108" w:type="dxa"/>
              <w:bottom w:w="0" w:type="dxa"/>
              <w:right w:w="108" w:type="dxa"/>
            </w:tcMar>
            <w:hideMark/>
          </w:tcPr>
          <w:p w14:paraId="37F7C2DF" w14:textId="77777777" w:rsidR="005F2528" w:rsidRPr="00C968CE" w:rsidRDefault="005F2528" w:rsidP="00C968CE">
            <w:pPr>
              <w:spacing w:before="120" w:after="120" w:line="240" w:lineRule="auto"/>
              <w:rPr>
                <w:rFonts w:cs="Arial"/>
                <w:szCs w:val="20"/>
              </w:rPr>
            </w:pPr>
            <w:r w:rsidRPr="00C968CE">
              <w:rPr>
                <w:rFonts w:cs="Arial"/>
                <w:szCs w:val="20"/>
              </w:rPr>
              <w:t>31,5</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hideMark/>
          </w:tcPr>
          <w:p w14:paraId="36FBA933" w14:textId="77777777" w:rsidR="005F2528" w:rsidRPr="00C968CE" w:rsidRDefault="005F2528" w:rsidP="00C968CE">
            <w:pPr>
              <w:spacing w:before="120" w:after="120" w:line="240" w:lineRule="auto"/>
              <w:rPr>
                <w:rFonts w:cs="Arial"/>
                <w:szCs w:val="20"/>
              </w:rPr>
            </w:pPr>
            <w:r w:rsidRPr="00C968CE">
              <w:rPr>
                <w:rFonts w:cs="Arial"/>
                <w:szCs w:val="20"/>
              </w:rPr>
              <w:t>22,4</w:t>
            </w:r>
          </w:p>
        </w:tc>
        <w:tc>
          <w:tcPr>
            <w:tcW w:w="708" w:type="dxa"/>
            <w:tcBorders>
              <w:top w:val="nil"/>
              <w:left w:val="nil"/>
              <w:bottom w:val="single" w:sz="8" w:space="0" w:color="auto"/>
              <w:right w:val="single" w:sz="8" w:space="0" w:color="auto"/>
            </w:tcBorders>
            <w:noWrap/>
            <w:tcMar>
              <w:top w:w="0" w:type="dxa"/>
              <w:left w:w="108" w:type="dxa"/>
              <w:bottom w:w="0" w:type="dxa"/>
              <w:right w:w="108" w:type="dxa"/>
            </w:tcMar>
            <w:hideMark/>
          </w:tcPr>
          <w:p w14:paraId="6F96C83D" w14:textId="77777777" w:rsidR="005F2528" w:rsidRPr="00C968CE" w:rsidRDefault="005F2528" w:rsidP="00C968CE">
            <w:pPr>
              <w:spacing w:before="120" w:after="120" w:line="240" w:lineRule="auto"/>
              <w:rPr>
                <w:rFonts w:cs="Arial"/>
                <w:szCs w:val="20"/>
              </w:rPr>
            </w:pPr>
            <w:r w:rsidRPr="00C968CE">
              <w:rPr>
                <w:rFonts w:cs="Arial"/>
                <w:szCs w:val="20"/>
              </w:rPr>
              <w:t>31,5</w:t>
            </w:r>
          </w:p>
        </w:tc>
        <w:tc>
          <w:tcPr>
            <w:tcW w:w="851" w:type="dxa"/>
            <w:tcBorders>
              <w:top w:val="nil"/>
              <w:left w:val="nil"/>
              <w:bottom w:val="single" w:sz="8" w:space="0" w:color="auto"/>
              <w:right w:val="single" w:sz="8" w:space="0" w:color="auto"/>
            </w:tcBorders>
            <w:noWrap/>
            <w:tcMar>
              <w:top w:w="0" w:type="dxa"/>
              <w:left w:w="108" w:type="dxa"/>
              <w:bottom w:w="0" w:type="dxa"/>
              <w:right w:w="108" w:type="dxa"/>
            </w:tcMar>
            <w:hideMark/>
          </w:tcPr>
          <w:p w14:paraId="068CCDA4" w14:textId="77777777" w:rsidR="005F2528" w:rsidRPr="00C968CE" w:rsidRDefault="005F2528" w:rsidP="00C968CE">
            <w:pPr>
              <w:spacing w:before="120" w:after="120" w:line="240" w:lineRule="auto"/>
              <w:rPr>
                <w:rFonts w:cs="Arial"/>
                <w:szCs w:val="20"/>
              </w:rPr>
            </w:pPr>
            <w:r w:rsidRPr="00C968CE">
              <w:rPr>
                <w:rFonts w:cs="Arial"/>
                <w:szCs w:val="20"/>
              </w:rPr>
              <w:t>45</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hideMark/>
          </w:tcPr>
          <w:p w14:paraId="62B9BB42" w14:textId="77777777" w:rsidR="005F2528" w:rsidRPr="00C968CE" w:rsidRDefault="005F2528" w:rsidP="00C968CE">
            <w:pPr>
              <w:spacing w:before="120" w:after="120" w:line="240" w:lineRule="auto"/>
              <w:rPr>
                <w:rFonts w:cs="Arial"/>
                <w:szCs w:val="20"/>
              </w:rPr>
            </w:pPr>
            <w:r w:rsidRPr="00C968CE">
              <w:rPr>
                <w:rFonts w:cs="Arial"/>
                <w:szCs w:val="20"/>
              </w:rPr>
              <w:t>22,4</w:t>
            </w:r>
          </w:p>
        </w:tc>
        <w:tc>
          <w:tcPr>
            <w:tcW w:w="708" w:type="dxa"/>
            <w:tcBorders>
              <w:top w:val="nil"/>
              <w:left w:val="nil"/>
              <w:bottom w:val="single" w:sz="8" w:space="0" w:color="auto"/>
              <w:right w:val="single" w:sz="8" w:space="0" w:color="auto"/>
            </w:tcBorders>
            <w:noWrap/>
            <w:tcMar>
              <w:top w:w="0" w:type="dxa"/>
              <w:left w:w="108" w:type="dxa"/>
              <w:bottom w:w="0" w:type="dxa"/>
              <w:right w:w="108" w:type="dxa"/>
            </w:tcMar>
            <w:hideMark/>
          </w:tcPr>
          <w:p w14:paraId="0A51B30A" w14:textId="77777777" w:rsidR="005F2528" w:rsidRPr="00C968CE" w:rsidRDefault="005F2528" w:rsidP="00C968CE">
            <w:pPr>
              <w:spacing w:before="120" w:after="120" w:line="240" w:lineRule="auto"/>
              <w:rPr>
                <w:rFonts w:cs="Arial"/>
                <w:szCs w:val="20"/>
              </w:rPr>
            </w:pPr>
            <w:r w:rsidRPr="00C968CE">
              <w:rPr>
                <w:rFonts w:cs="Arial"/>
                <w:szCs w:val="20"/>
              </w:rPr>
              <w:t>31,5</w:t>
            </w:r>
          </w:p>
        </w:tc>
        <w:tc>
          <w:tcPr>
            <w:tcW w:w="599" w:type="dxa"/>
            <w:tcBorders>
              <w:top w:val="nil"/>
              <w:left w:val="nil"/>
              <w:bottom w:val="single" w:sz="8" w:space="0" w:color="auto"/>
              <w:right w:val="single" w:sz="8" w:space="0" w:color="auto"/>
            </w:tcBorders>
            <w:noWrap/>
            <w:tcMar>
              <w:top w:w="0" w:type="dxa"/>
              <w:left w:w="108" w:type="dxa"/>
              <w:bottom w:w="0" w:type="dxa"/>
              <w:right w:w="108" w:type="dxa"/>
            </w:tcMar>
            <w:hideMark/>
          </w:tcPr>
          <w:p w14:paraId="7B4E34DC" w14:textId="77777777" w:rsidR="005F2528" w:rsidRPr="00C968CE" w:rsidRDefault="005F2528" w:rsidP="00C968CE">
            <w:pPr>
              <w:spacing w:before="120" w:after="120" w:line="240" w:lineRule="auto"/>
              <w:rPr>
                <w:rFonts w:cs="Arial"/>
                <w:szCs w:val="20"/>
              </w:rPr>
            </w:pPr>
            <w:r w:rsidRPr="00C968CE">
              <w:rPr>
                <w:rFonts w:cs="Arial"/>
                <w:szCs w:val="20"/>
              </w:rPr>
              <w:t>45</w:t>
            </w:r>
          </w:p>
        </w:tc>
      </w:tr>
      <w:tr w:rsidR="005F2528" w:rsidRPr="00C968CE" w14:paraId="5146EDF2" w14:textId="77777777" w:rsidTr="005F2528">
        <w:tc>
          <w:tcPr>
            <w:tcW w:w="2748"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6C9E48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Lepiszcze asfaltowe</w:t>
            </w:r>
          </w:p>
        </w:tc>
        <w:tc>
          <w:tcPr>
            <w:tcW w:w="1487"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2A504FF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50/70</w:t>
            </w:r>
          </w:p>
        </w:tc>
        <w:tc>
          <w:tcPr>
            <w:tcW w:w="2268"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14:paraId="661836B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35/50, 50/70</w:t>
            </w:r>
          </w:p>
          <w:p w14:paraId="49F87DC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PMB 25/55-60</w:t>
            </w:r>
          </w:p>
          <w:p w14:paraId="5CFDE69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MG 35/50-57/69</w:t>
            </w:r>
          </w:p>
          <w:p w14:paraId="13847B5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MG 50/70-54/64</w:t>
            </w:r>
          </w:p>
        </w:tc>
        <w:tc>
          <w:tcPr>
            <w:tcW w:w="2016"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14:paraId="5C7C607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35/50, 50/70</w:t>
            </w:r>
          </w:p>
          <w:p w14:paraId="2A8DA75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PMB 25/55-60</w:t>
            </w:r>
          </w:p>
          <w:p w14:paraId="1759CD5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PMB 25/55-80</w:t>
            </w:r>
          </w:p>
          <w:p w14:paraId="6B26309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MG 35/50-57/69</w:t>
            </w:r>
          </w:p>
          <w:p w14:paraId="332298A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MG 50/70-54/64</w:t>
            </w:r>
          </w:p>
        </w:tc>
      </w:tr>
      <w:tr w:rsidR="005F2528" w:rsidRPr="00C968CE" w14:paraId="718A52F7" w14:textId="77777777" w:rsidTr="005F2528">
        <w:tc>
          <w:tcPr>
            <w:tcW w:w="2748"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9234E5B" w14:textId="77777777" w:rsidR="005F2528" w:rsidRPr="00C968CE" w:rsidRDefault="005F2528" w:rsidP="00C968CE">
            <w:pPr>
              <w:spacing w:before="120" w:after="120" w:line="240" w:lineRule="auto"/>
              <w:rPr>
                <w:rFonts w:cs="Arial"/>
                <w:szCs w:val="20"/>
              </w:rPr>
            </w:pPr>
            <w:r w:rsidRPr="00C968CE">
              <w:rPr>
                <w:rFonts w:cs="Arial"/>
                <w:szCs w:val="20"/>
              </w:rPr>
              <w:t>Kruszywa mineralne</w:t>
            </w:r>
          </w:p>
        </w:tc>
        <w:tc>
          <w:tcPr>
            <w:tcW w:w="5771" w:type="dxa"/>
            <w:gridSpan w:val="8"/>
            <w:tcBorders>
              <w:top w:val="nil"/>
              <w:left w:val="nil"/>
              <w:bottom w:val="single" w:sz="8" w:space="0" w:color="auto"/>
              <w:right w:val="single" w:sz="8" w:space="0" w:color="auto"/>
            </w:tcBorders>
            <w:noWrap/>
            <w:tcMar>
              <w:top w:w="0" w:type="dxa"/>
              <w:left w:w="108" w:type="dxa"/>
              <w:bottom w:w="0" w:type="dxa"/>
              <w:right w:w="108" w:type="dxa"/>
            </w:tcMar>
            <w:hideMark/>
          </w:tcPr>
          <w:p w14:paraId="4A81D30C" w14:textId="77777777" w:rsidR="005F2528" w:rsidRPr="00C968CE" w:rsidRDefault="005F2528" w:rsidP="00C968CE">
            <w:pPr>
              <w:spacing w:before="120" w:after="120" w:line="240" w:lineRule="auto"/>
              <w:rPr>
                <w:rFonts w:cs="Arial"/>
                <w:szCs w:val="20"/>
              </w:rPr>
            </w:pPr>
            <w:r w:rsidRPr="00C968CE">
              <w:rPr>
                <w:rFonts w:cs="Arial"/>
                <w:szCs w:val="20"/>
              </w:rPr>
              <w:t>Tabele 4-7 wg WT-1-2014 [81] (tablice 6-10 wg SST)</w:t>
            </w:r>
          </w:p>
        </w:tc>
      </w:tr>
    </w:tbl>
    <w:p w14:paraId="629DC53D" w14:textId="77777777" w:rsidR="005F2528" w:rsidRPr="00C968CE" w:rsidRDefault="005F2528" w:rsidP="00C968CE">
      <w:pPr>
        <w:spacing w:before="240" w:after="100" w:afterAutospacing="1" w:line="240" w:lineRule="auto"/>
        <w:outlineLvl w:val="1"/>
        <w:rPr>
          <w:rFonts w:cs="Arial"/>
          <w:b/>
          <w:bCs/>
          <w:szCs w:val="20"/>
        </w:rPr>
      </w:pPr>
      <w:r w:rsidRPr="00C968CE">
        <w:rPr>
          <w:rFonts w:cs="Arial"/>
          <w:b/>
          <w:bCs/>
          <w:szCs w:val="20"/>
        </w:rPr>
        <w:t>2.3. Lepiszcza asfaltowe</w:t>
      </w:r>
    </w:p>
    <w:p w14:paraId="59A4AA9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Należy stosować asfalty drogowe wg PN-EN 12591 [24],  polimeroasfalty wg PN-EN 14023 [66] [66a] lub asfalty wielorodzajowe wg PN-EN 13924-2[65] [65a].</w:t>
      </w:r>
    </w:p>
    <w:p w14:paraId="1D309515" w14:textId="77777777" w:rsidR="005F2528" w:rsidRPr="00C968CE" w:rsidRDefault="005F2528" w:rsidP="00C968CE">
      <w:pPr>
        <w:spacing w:before="100" w:beforeAutospacing="1" w:after="100" w:afterAutospacing="1" w:line="240" w:lineRule="auto"/>
        <w:ind w:firstLine="708"/>
        <w:rPr>
          <w:rFonts w:cs="Arial"/>
          <w:szCs w:val="20"/>
        </w:rPr>
      </w:pPr>
      <w:r w:rsidRPr="00C968CE">
        <w:rPr>
          <w:rFonts w:cs="Arial"/>
          <w:szCs w:val="20"/>
        </w:rPr>
        <w:t xml:space="preserve">Oprócz lepiszcz wymienionych w tablicy 2 można stosować inne lepiszcza nienormowe według aprobat technicznych. </w:t>
      </w:r>
    </w:p>
    <w:p w14:paraId="6BD40BA3" w14:textId="77777777" w:rsidR="005F2528" w:rsidRPr="00C968CE" w:rsidRDefault="005F2528" w:rsidP="00C968CE">
      <w:pPr>
        <w:spacing w:before="100" w:beforeAutospacing="1" w:after="100" w:afterAutospacing="1" w:line="240" w:lineRule="auto"/>
        <w:ind w:firstLine="708"/>
        <w:rPr>
          <w:rFonts w:cs="Arial"/>
          <w:szCs w:val="20"/>
        </w:rPr>
      </w:pPr>
      <w:r w:rsidRPr="00C968CE">
        <w:rPr>
          <w:rFonts w:cs="Arial"/>
          <w:szCs w:val="20"/>
        </w:rPr>
        <w:t xml:space="preserve">Asfalty drogowe powinny spełniać wymagania podane w tablicy 3. </w:t>
      </w:r>
    </w:p>
    <w:p w14:paraId="40CF5138" w14:textId="77777777" w:rsidR="005F2528" w:rsidRPr="00C968CE" w:rsidRDefault="005F2528" w:rsidP="00C968CE">
      <w:pPr>
        <w:spacing w:before="100" w:beforeAutospacing="1" w:after="100" w:afterAutospacing="1" w:line="240" w:lineRule="auto"/>
        <w:ind w:firstLine="708"/>
        <w:rPr>
          <w:rFonts w:cs="Arial"/>
          <w:szCs w:val="20"/>
        </w:rPr>
      </w:pPr>
      <w:r w:rsidRPr="00C968CE">
        <w:rPr>
          <w:rFonts w:cs="Arial"/>
          <w:szCs w:val="20"/>
        </w:rPr>
        <w:t>Polimeroasfalty  powinny spełniać wymagania podane  w tablicy 4.</w:t>
      </w:r>
    </w:p>
    <w:p w14:paraId="6C6BA57C" w14:textId="77777777" w:rsidR="005F2528" w:rsidRPr="00C968CE" w:rsidRDefault="005F2528" w:rsidP="00C968CE">
      <w:pPr>
        <w:spacing w:before="100" w:beforeAutospacing="1" w:after="100" w:afterAutospacing="1" w:line="240" w:lineRule="auto"/>
        <w:ind w:firstLine="708"/>
        <w:rPr>
          <w:rFonts w:cs="Arial"/>
          <w:szCs w:val="20"/>
        </w:rPr>
      </w:pPr>
      <w:r w:rsidRPr="00C968CE">
        <w:rPr>
          <w:rFonts w:cs="Arial"/>
          <w:szCs w:val="20"/>
        </w:rPr>
        <w:t>Asfalty wielorodzajowe powinny spełniać wymagania podane w tablicy 5.</w:t>
      </w:r>
    </w:p>
    <w:p w14:paraId="78B88592" w14:textId="77777777" w:rsidR="005F2528" w:rsidRPr="00C968CE" w:rsidRDefault="005F2528" w:rsidP="00C968CE">
      <w:pPr>
        <w:spacing w:before="120" w:after="120" w:line="240" w:lineRule="auto"/>
        <w:rPr>
          <w:rFonts w:cs="Arial"/>
          <w:szCs w:val="20"/>
        </w:rPr>
      </w:pPr>
      <w:r w:rsidRPr="00C968CE">
        <w:rPr>
          <w:rFonts w:cs="Arial"/>
          <w:szCs w:val="20"/>
        </w:rPr>
        <w:t>Tablica 3. Wymagania wobec asfaltów drogowych wg PN-EN 12591 [24]</w:t>
      </w:r>
    </w:p>
    <w:tbl>
      <w:tblPr>
        <w:tblW w:w="0" w:type="auto"/>
        <w:tblCellMar>
          <w:left w:w="0" w:type="dxa"/>
          <w:right w:w="0" w:type="dxa"/>
        </w:tblCellMar>
        <w:tblLook w:val="04A0" w:firstRow="1" w:lastRow="0" w:firstColumn="1" w:lastColumn="0" w:noHBand="0" w:noVBand="1"/>
      </w:tblPr>
      <w:tblGrid>
        <w:gridCol w:w="546"/>
        <w:gridCol w:w="2790"/>
        <w:gridCol w:w="15"/>
        <w:gridCol w:w="960"/>
        <w:gridCol w:w="2160"/>
        <w:gridCol w:w="1155"/>
        <w:gridCol w:w="1155"/>
      </w:tblGrid>
      <w:tr w:rsidR="005F2528" w:rsidRPr="00C968CE" w14:paraId="2D839F91" w14:textId="77777777" w:rsidTr="005F2528">
        <w:tc>
          <w:tcPr>
            <w:tcW w:w="546"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59E9383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Lp.</w:t>
            </w:r>
          </w:p>
        </w:tc>
        <w:tc>
          <w:tcPr>
            <w:tcW w:w="2790" w:type="dxa"/>
            <w:vMerge w:val="restart"/>
            <w:tcBorders>
              <w:top w:val="single" w:sz="8" w:space="0" w:color="auto"/>
              <w:left w:val="nil"/>
              <w:bottom w:val="single" w:sz="8" w:space="0" w:color="auto"/>
              <w:right w:val="single" w:sz="4" w:space="0" w:color="auto"/>
            </w:tcBorders>
            <w:noWrap/>
            <w:tcMar>
              <w:top w:w="0" w:type="dxa"/>
              <w:left w:w="108" w:type="dxa"/>
              <w:bottom w:w="0" w:type="dxa"/>
              <w:right w:w="108" w:type="dxa"/>
            </w:tcMar>
            <w:vAlign w:val="center"/>
            <w:hideMark/>
          </w:tcPr>
          <w:p w14:paraId="631F3BE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w:t>
            </w:r>
          </w:p>
        </w:tc>
        <w:tc>
          <w:tcPr>
            <w:tcW w:w="975" w:type="dxa"/>
            <w:gridSpan w:val="2"/>
            <w:vMerge w:val="restart"/>
            <w:tcBorders>
              <w:top w:val="single" w:sz="8" w:space="0" w:color="auto"/>
              <w:left w:val="single" w:sz="4" w:space="0" w:color="auto"/>
              <w:bottom w:val="single" w:sz="8" w:space="0" w:color="auto"/>
              <w:right w:val="single" w:sz="8" w:space="0" w:color="auto"/>
            </w:tcBorders>
            <w:vAlign w:val="center"/>
            <w:hideMark/>
          </w:tcPr>
          <w:p w14:paraId="404ABCA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Jednostka</w:t>
            </w:r>
          </w:p>
        </w:tc>
        <w:tc>
          <w:tcPr>
            <w:tcW w:w="2160"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E3520E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Metoda</w:t>
            </w:r>
          </w:p>
          <w:p w14:paraId="273CE30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badania</w:t>
            </w:r>
          </w:p>
        </w:tc>
        <w:tc>
          <w:tcPr>
            <w:tcW w:w="2310"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65DEC04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Rodzaj asfaltu</w:t>
            </w:r>
          </w:p>
        </w:tc>
      </w:tr>
      <w:tr w:rsidR="005F2528" w:rsidRPr="00C968CE" w14:paraId="6E4DE7F8" w14:textId="77777777" w:rsidTr="005F2528">
        <w:tc>
          <w:tcPr>
            <w:tcW w:w="0" w:type="auto"/>
            <w:vMerge/>
            <w:tcBorders>
              <w:top w:val="single" w:sz="8" w:space="0" w:color="auto"/>
              <w:left w:val="single" w:sz="8" w:space="0" w:color="auto"/>
              <w:bottom w:val="single" w:sz="8" w:space="0" w:color="auto"/>
              <w:right w:val="single" w:sz="8" w:space="0" w:color="auto"/>
            </w:tcBorders>
            <w:vAlign w:val="center"/>
            <w:hideMark/>
          </w:tcPr>
          <w:p w14:paraId="2D8D387F"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4" w:space="0" w:color="auto"/>
            </w:tcBorders>
            <w:vAlign w:val="center"/>
            <w:hideMark/>
          </w:tcPr>
          <w:p w14:paraId="1DBD2A2B" w14:textId="77777777" w:rsidR="005F2528" w:rsidRPr="00C968CE" w:rsidRDefault="005F2528" w:rsidP="00C968CE">
            <w:pPr>
              <w:spacing w:line="240" w:lineRule="auto"/>
              <w:rPr>
                <w:rFonts w:cs="Arial"/>
                <w:szCs w:val="20"/>
              </w:rPr>
            </w:pPr>
          </w:p>
        </w:tc>
        <w:tc>
          <w:tcPr>
            <w:tcW w:w="0" w:type="auto"/>
            <w:gridSpan w:val="2"/>
            <w:vMerge/>
            <w:tcBorders>
              <w:top w:val="single" w:sz="8" w:space="0" w:color="auto"/>
              <w:left w:val="single" w:sz="4" w:space="0" w:color="auto"/>
              <w:bottom w:val="single" w:sz="8" w:space="0" w:color="auto"/>
              <w:right w:val="single" w:sz="8" w:space="0" w:color="auto"/>
            </w:tcBorders>
            <w:vAlign w:val="center"/>
            <w:hideMark/>
          </w:tcPr>
          <w:p w14:paraId="7D0778C7"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8" w:space="0" w:color="auto"/>
            </w:tcBorders>
            <w:vAlign w:val="center"/>
            <w:hideMark/>
          </w:tcPr>
          <w:p w14:paraId="22B15D3C" w14:textId="77777777" w:rsidR="005F2528" w:rsidRPr="00C968CE" w:rsidRDefault="005F2528" w:rsidP="00C968CE">
            <w:pPr>
              <w:spacing w:line="240" w:lineRule="auto"/>
              <w:rPr>
                <w:rFonts w:cs="Arial"/>
                <w:szCs w:val="20"/>
              </w:rPr>
            </w:pP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095292D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35/50</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3FD876A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50/70</w:t>
            </w:r>
          </w:p>
        </w:tc>
      </w:tr>
      <w:tr w:rsidR="005F2528" w:rsidRPr="00C968CE" w14:paraId="65B03CE0" w14:textId="77777777" w:rsidTr="005F2528">
        <w:tc>
          <w:tcPr>
            <w:tcW w:w="8781" w:type="dxa"/>
            <w:gridSpan w:val="7"/>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3DC9117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OBLIGATORYJNE</w:t>
            </w:r>
          </w:p>
        </w:tc>
      </w:tr>
      <w:tr w:rsidR="005F2528" w:rsidRPr="00C968CE" w14:paraId="34638188"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351C491F" w14:textId="77777777" w:rsidR="005F2528" w:rsidRPr="00C968CE" w:rsidRDefault="005F2528" w:rsidP="00C968CE">
            <w:pPr>
              <w:spacing w:before="60" w:after="60" w:line="240" w:lineRule="auto"/>
              <w:rPr>
                <w:rFonts w:cs="Arial"/>
                <w:szCs w:val="20"/>
              </w:rPr>
            </w:pPr>
            <w:r w:rsidRPr="00C968CE">
              <w:rPr>
                <w:rFonts w:cs="Arial"/>
                <w:szCs w:val="20"/>
              </w:rPr>
              <w:t>1</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192E0BBF" w14:textId="77777777" w:rsidR="005F2528" w:rsidRPr="00C968CE" w:rsidRDefault="005F2528" w:rsidP="00C968CE">
            <w:pPr>
              <w:spacing w:before="60" w:after="60" w:line="240" w:lineRule="auto"/>
              <w:rPr>
                <w:rFonts w:cs="Arial"/>
                <w:szCs w:val="20"/>
              </w:rPr>
            </w:pPr>
            <w:r w:rsidRPr="00C968CE">
              <w:rPr>
                <w:rFonts w:cs="Arial"/>
                <w:szCs w:val="20"/>
              </w:rPr>
              <w:t>Penetracja w 25°C</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16855DEE" w14:textId="77777777" w:rsidR="005F2528" w:rsidRPr="00C968CE" w:rsidRDefault="005F2528" w:rsidP="00C968CE">
            <w:pPr>
              <w:spacing w:before="60" w:after="60" w:line="240" w:lineRule="auto"/>
              <w:rPr>
                <w:rFonts w:cs="Arial"/>
                <w:szCs w:val="20"/>
              </w:rPr>
            </w:pPr>
            <w:r w:rsidRPr="00C968CE">
              <w:rPr>
                <w:rFonts w:cs="Arial"/>
                <w:szCs w:val="20"/>
              </w:rPr>
              <w:t>0,1 mm</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15712823" w14:textId="77777777" w:rsidR="005F2528" w:rsidRPr="00C968CE" w:rsidRDefault="005F2528" w:rsidP="00C968CE">
            <w:pPr>
              <w:spacing w:before="60" w:after="60" w:line="240" w:lineRule="auto"/>
              <w:rPr>
                <w:rFonts w:cs="Arial"/>
                <w:szCs w:val="20"/>
              </w:rPr>
            </w:pPr>
            <w:r w:rsidRPr="00C968CE">
              <w:rPr>
                <w:rFonts w:cs="Arial"/>
                <w:szCs w:val="20"/>
              </w:rPr>
              <w:t>PN-EN 1426 [21]</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311D94CB" w14:textId="77777777" w:rsidR="005F2528" w:rsidRPr="00C968CE" w:rsidRDefault="005F2528" w:rsidP="00C968CE">
            <w:pPr>
              <w:spacing w:before="60" w:after="60" w:line="240" w:lineRule="auto"/>
              <w:rPr>
                <w:rFonts w:cs="Arial"/>
                <w:szCs w:val="20"/>
              </w:rPr>
            </w:pPr>
            <w:r w:rsidRPr="00C968CE">
              <w:rPr>
                <w:rFonts w:cs="Arial"/>
                <w:szCs w:val="20"/>
              </w:rPr>
              <w:t>35÷50</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56E1ED90" w14:textId="77777777" w:rsidR="005F2528" w:rsidRPr="00C968CE" w:rsidRDefault="005F2528" w:rsidP="00C968CE">
            <w:pPr>
              <w:spacing w:before="60" w:after="60" w:line="240" w:lineRule="auto"/>
              <w:rPr>
                <w:rFonts w:cs="Arial"/>
                <w:szCs w:val="20"/>
              </w:rPr>
            </w:pPr>
            <w:r w:rsidRPr="00C968CE">
              <w:rPr>
                <w:rFonts w:cs="Arial"/>
                <w:szCs w:val="20"/>
              </w:rPr>
              <w:t>50÷70</w:t>
            </w:r>
          </w:p>
        </w:tc>
      </w:tr>
      <w:tr w:rsidR="005F2528" w:rsidRPr="00C968CE" w14:paraId="31B7A360"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86D1E89" w14:textId="77777777" w:rsidR="005F2528" w:rsidRPr="00C968CE" w:rsidRDefault="005F2528" w:rsidP="00C968CE">
            <w:pPr>
              <w:spacing w:before="60" w:after="60" w:line="240" w:lineRule="auto"/>
              <w:rPr>
                <w:rFonts w:cs="Arial"/>
                <w:szCs w:val="20"/>
              </w:rPr>
            </w:pPr>
            <w:r w:rsidRPr="00C968CE">
              <w:rPr>
                <w:rFonts w:cs="Arial"/>
                <w:szCs w:val="20"/>
              </w:rPr>
              <w:t>2</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3D396FB2" w14:textId="77777777" w:rsidR="005F2528" w:rsidRPr="00C968CE" w:rsidRDefault="005F2528" w:rsidP="00C968CE">
            <w:pPr>
              <w:spacing w:before="60" w:after="60" w:line="240" w:lineRule="auto"/>
              <w:rPr>
                <w:rFonts w:cs="Arial"/>
                <w:szCs w:val="20"/>
              </w:rPr>
            </w:pPr>
            <w:r w:rsidRPr="00C968CE">
              <w:rPr>
                <w:rFonts w:cs="Arial"/>
                <w:szCs w:val="20"/>
              </w:rPr>
              <w:t>Temperatura mięknienia</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5F7ED827" w14:textId="77777777" w:rsidR="005F2528" w:rsidRPr="00C968CE" w:rsidRDefault="005F2528" w:rsidP="00C968CE">
            <w:pPr>
              <w:spacing w:before="60" w:after="60" w:line="240" w:lineRule="auto"/>
              <w:rPr>
                <w:rFonts w:cs="Arial"/>
                <w:szCs w:val="20"/>
              </w:rPr>
            </w:pPr>
            <w:r w:rsidRPr="00C968CE">
              <w:rPr>
                <w:rFonts w:cs="Arial"/>
                <w:szCs w:val="20"/>
              </w:rPr>
              <w:t>°C</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20373DDE" w14:textId="77777777" w:rsidR="005F2528" w:rsidRPr="00C968CE" w:rsidRDefault="005F2528" w:rsidP="00C968CE">
            <w:pPr>
              <w:spacing w:before="60" w:after="60" w:line="240" w:lineRule="auto"/>
              <w:rPr>
                <w:rFonts w:cs="Arial"/>
                <w:szCs w:val="20"/>
              </w:rPr>
            </w:pPr>
            <w:r w:rsidRPr="00C968CE">
              <w:rPr>
                <w:rFonts w:cs="Arial"/>
                <w:szCs w:val="20"/>
              </w:rPr>
              <w:t>PN-EN 1427 [22]</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024D1E22" w14:textId="77777777" w:rsidR="005F2528" w:rsidRPr="00C968CE" w:rsidRDefault="005F2528" w:rsidP="00C968CE">
            <w:pPr>
              <w:spacing w:before="60" w:after="60" w:line="240" w:lineRule="auto"/>
              <w:rPr>
                <w:rFonts w:cs="Arial"/>
                <w:szCs w:val="20"/>
              </w:rPr>
            </w:pPr>
            <w:r w:rsidRPr="00C968CE">
              <w:rPr>
                <w:rFonts w:cs="Arial"/>
                <w:szCs w:val="20"/>
              </w:rPr>
              <w:t>50÷58</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63899F78" w14:textId="77777777" w:rsidR="005F2528" w:rsidRPr="00C968CE" w:rsidRDefault="005F2528" w:rsidP="00C968CE">
            <w:pPr>
              <w:spacing w:before="60" w:after="60" w:line="240" w:lineRule="auto"/>
              <w:rPr>
                <w:rFonts w:cs="Arial"/>
                <w:szCs w:val="20"/>
              </w:rPr>
            </w:pPr>
            <w:r w:rsidRPr="00C968CE">
              <w:rPr>
                <w:rFonts w:cs="Arial"/>
                <w:szCs w:val="20"/>
              </w:rPr>
              <w:t>46÷54</w:t>
            </w:r>
          </w:p>
        </w:tc>
      </w:tr>
      <w:tr w:rsidR="005F2528" w:rsidRPr="00C968CE" w14:paraId="7290A7CF"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D03701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37F10B5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Temperatura zapłonu, </w:t>
            </w:r>
          </w:p>
          <w:p w14:paraId="354DA7F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nie mniej niż</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7F312C2E" w14:textId="77777777" w:rsidR="005F2528" w:rsidRPr="00C968CE" w:rsidRDefault="005F2528" w:rsidP="00C968CE">
            <w:pPr>
              <w:spacing w:before="120" w:after="100" w:afterAutospacing="1" w:line="240" w:lineRule="auto"/>
              <w:rPr>
                <w:rFonts w:cs="Arial"/>
                <w:szCs w:val="20"/>
              </w:rPr>
            </w:pPr>
            <w:r w:rsidRPr="00C968CE">
              <w:rPr>
                <w:rFonts w:cs="Arial"/>
                <w:szCs w:val="20"/>
              </w:rPr>
              <w:t>°C</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1C78DA2C" w14:textId="77777777" w:rsidR="005F2528" w:rsidRPr="00C968CE" w:rsidRDefault="005F2528" w:rsidP="00C968CE">
            <w:pPr>
              <w:spacing w:before="120" w:after="100" w:afterAutospacing="1" w:line="240" w:lineRule="auto"/>
              <w:rPr>
                <w:rFonts w:cs="Arial"/>
                <w:szCs w:val="20"/>
              </w:rPr>
            </w:pPr>
            <w:r w:rsidRPr="00C968CE">
              <w:rPr>
                <w:rFonts w:cs="Arial"/>
                <w:szCs w:val="20"/>
              </w:rPr>
              <w:t>PN-EN 22592 [69]</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63568E64" w14:textId="77777777" w:rsidR="005F2528" w:rsidRPr="00C968CE" w:rsidRDefault="005F2528" w:rsidP="00C968CE">
            <w:pPr>
              <w:spacing w:before="120" w:after="100" w:afterAutospacing="1" w:line="240" w:lineRule="auto"/>
              <w:rPr>
                <w:rFonts w:cs="Arial"/>
                <w:szCs w:val="20"/>
              </w:rPr>
            </w:pPr>
            <w:r w:rsidRPr="00C968CE">
              <w:rPr>
                <w:rFonts w:cs="Arial"/>
                <w:szCs w:val="20"/>
              </w:rPr>
              <w:t>240</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0AA18C51" w14:textId="77777777" w:rsidR="005F2528" w:rsidRPr="00C968CE" w:rsidRDefault="005F2528" w:rsidP="00C968CE">
            <w:pPr>
              <w:spacing w:before="120" w:after="100" w:afterAutospacing="1" w:line="240" w:lineRule="auto"/>
              <w:rPr>
                <w:rFonts w:cs="Arial"/>
                <w:szCs w:val="20"/>
              </w:rPr>
            </w:pPr>
            <w:r w:rsidRPr="00C968CE">
              <w:rPr>
                <w:rFonts w:cs="Arial"/>
                <w:szCs w:val="20"/>
              </w:rPr>
              <w:t>230</w:t>
            </w:r>
          </w:p>
        </w:tc>
      </w:tr>
      <w:tr w:rsidR="005F2528" w:rsidRPr="00C968CE" w14:paraId="5FB3B608"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3282ACB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4</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5A29579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Zawartość składników rozpuszczalnych, </w:t>
            </w:r>
          </w:p>
          <w:p w14:paraId="7F1193D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nie mniej niż</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60619F7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1C2F2B3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m/m</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5898A88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73871A7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12592 [25]</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210E262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36D9D27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99</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5D6C49E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1E5C8DA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99</w:t>
            </w:r>
          </w:p>
        </w:tc>
      </w:tr>
      <w:tr w:rsidR="005F2528" w:rsidRPr="00C968CE" w14:paraId="34D25C08"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0C5B33B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21DCA38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Zmiana masy po starzeniu (ubytek lub przyrost), </w:t>
            </w:r>
          </w:p>
          <w:p w14:paraId="287AC2B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nie więcej niż</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088CE1A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1FBA01E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m/m</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3DE8289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0E6A777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12607-1 [29]</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2574AED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0864864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0,5</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138074F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4214D8E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0,5</w:t>
            </w:r>
          </w:p>
        </w:tc>
      </w:tr>
      <w:tr w:rsidR="005F2528" w:rsidRPr="00C968CE" w14:paraId="1DED1869"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05215C4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6BDDBA3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Pozostała penetracja po starzeniu, nie mniej niż</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343D2F63" w14:textId="77777777" w:rsidR="005F2528" w:rsidRPr="00C968CE" w:rsidRDefault="005F2528" w:rsidP="00C968CE">
            <w:pPr>
              <w:spacing w:before="120" w:after="100" w:afterAutospacing="1" w:line="240" w:lineRule="auto"/>
              <w:rPr>
                <w:rFonts w:cs="Arial"/>
                <w:szCs w:val="20"/>
              </w:rPr>
            </w:pPr>
            <w:r w:rsidRPr="00C968CE">
              <w:rPr>
                <w:rFonts w:cs="Arial"/>
                <w:szCs w:val="20"/>
              </w:rPr>
              <w:t>%</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2A4FC25B" w14:textId="77777777" w:rsidR="005F2528" w:rsidRPr="00C968CE" w:rsidRDefault="005F2528" w:rsidP="00C968CE">
            <w:pPr>
              <w:spacing w:before="120" w:after="100" w:afterAutospacing="1" w:line="240" w:lineRule="auto"/>
              <w:rPr>
                <w:rFonts w:cs="Arial"/>
                <w:szCs w:val="20"/>
              </w:rPr>
            </w:pPr>
            <w:r w:rsidRPr="00C968CE">
              <w:rPr>
                <w:rFonts w:cs="Arial"/>
                <w:szCs w:val="20"/>
              </w:rPr>
              <w:t>PN-EN 1426 [21]</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50DFEB48" w14:textId="77777777" w:rsidR="005F2528" w:rsidRPr="00C968CE" w:rsidRDefault="005F2528" w:rsidP="00C968CE">
            <w:pPr>
              <w:spacing w:before="120" w:after="100" w:afterAutospacing="1" w:line="240" w:lineRule="auto"/>
              <w:rPr>
                <w:rFonts w:cs="Arial"/>
                <w:szCs w:val="20"/>
              </w:rPr>
            </w:pPr>
            <w:r w:rsidRPr="00C968CE">
              <w:rPr>
                <w:rFonts w:cs="Arial"/>
                <w:szCs w:val="20"/>
              </w:rPr>
              <w:t>53</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39521B46" w14:textId="77777777" w:rsidR="005F2528" w:rsidRPr="00C968CE" w:rsidRDefault="005F2528" w:rsidP="00C968CE">
            <w:pPr>
              <w:spacing w:before="120" w:after="100" w:afterAutospacing="1" w:line="240" w:lineRule="auto"/>
              <w:rPr>
                <w:rFonts w:cs="Arial"/>
                <w:szCs w:val="20"/>
              </w:rPr>
            </w:pPr>
            <w:r w:rsidRPr="00C968CE">
              <w:rPr>
                <w:rFonts w:cs="Arial"/>
                <w:szCs w:val="20"/>
              </w:rPr>
              <w:t>50</w:t>
            </w:r>
          </w:p>
        </w:tc>
      </w:tr>
      <w:tr w:rsidR="005F2528" w:rsidRPr="00C968CE" w14:paraId="6E5FA54A"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BCE2EA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1FE1044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mięknienia po starzeniu, nie mniej niż</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166DED70" w14:textId="77777777" w:rsidR="005F2528" w:rsidRPr="00C968CE" w:rsidRDefault="005F2528" w:rsidP="00C968CE">
            <w:pPr>
              <w:spacing w:before="120" w:after="100" w:afterAutospacing="1" w:line="240" w:lineRule="auto"/>
              <w:rPr>
                <w:rFonts w:cs="Arial"/>
                <w:szCs w:val="20"/>
              </w:rPr>
            </w:pPr>
            <w:r w:rsidRPr="00C968CE">
              <w:rPr>
                <w:rFonts w:cs="Arial"/>
                <w:szCs w:val="20"/>
              </w:rPr>
              <w:t>°C</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123AACC5" w14:textId="77777777" w:rsidR="005F2528" w:rsidRPr="00C968CE" w:rsidRDefault="005F2528" w:rsidP="00C968CE">
            <w:pPr>
              <w:spacing w:before="120" w:after="100" w:afterAutospacing="1" w:line="240" w:lineRule="auto"/>
              <w:rPr>
                <w:rFonts w:cs="Arial"/>
                <w:szCs w:val="20"/>
              </w:rPr>
            </w:pPr>
            <w:r w:rsidRPr="00C968CE">
              <w:rPr>
                <w:rFonts w:cs="Arial"/>
                <w:szCs w:val="20"/>
              </w:rPr>
              <w:t>PN-EN 1427 [22]</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7002B530" w14:textId="77777777" w:rsidR="005F2528" w:rsidRPr="00C968CE" w:rsidRDefault="005F2528" w:rsidP="00C968CE">
            <w:pPr>
              <w:spacing w:before="120" w:after="100" w:afterAutospacing="1" w:line="240" w:lineRule="auto"/>
              <w:rPr>
                <w:rFonts w:cs="Arial"/>
                <w:szCs w:val="20"/>
              </w:rPr>
            </w:pPr>
            <w:r w:rsidRPr="00C968CE">
              <w:rPr>
                <w:rFonts w:cs="Arial"/>
                <w:szCs w:val="20"/>
              </w:rPr>
              <w:t>52</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32EDF869" w14:textId="77777777" w:rsidR="005F2528" w:rsidRPr="00C968CE" w:rsidRDefault="005F2528" w:rsidP="00C968CE">
            <w:pPr>
              <w:spacing w:before="120" w:after="100" w:afterAutospacing="1" w:line="240" w:lineRule="auto"/>
              <w:rPr>
                <w:rFonts w:cs="Arial"/>
                <w:szCs w:val="20"/>
              </w:rPr>
            </w:pPr>
            <w:r w:rsidRPr="00C968CE">
              <w:rPr>
                <w:rFonts w:cs="Arial"/>
                <w:szCs w:val="20"/>
              </w:rPr>
              <w:t>48</w:t>
            </w:r>
          </w:p>
        </w:tc>
      </w:tr>
      <w:tr w:rsidR="005F2528" w:rsidRPr="00C968CE" w14:paraId="4475AB92"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654FD3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6583389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Wzrost temp. mięknienia po starzeniu, nie więcej niż</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761DE9BD" w14:textId="77777777" w:rsidR="005F2528" w:rsidRPr="00C968CE" w:rsidRDefault="005F2528" w:rsidP="00C968CE">
            <w:pPr>
              <w:spacing w:before="120" w:after="100" w:afterAutospacing="1" w:line="240" w:lineRule="auto"/>
              <w:rPr>
                <w:rFonts w:cs="Arial"/>
                <w:szCs w:val="20"/>
              </w:rPr>
            </w:pPr>
            <w:r w:rsidRPr="00C968CE">
              <w:rPr>
                <w:rFonts w:cs="Arial"/>
                <w:szCs w:val="20"/>
              </w:rPr>
              <w:t>°C</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749CFA68" w14:textId="77777777" w:rsidR="005F2528" w:rsidRPr="00C968CE" w:rsidRDefault="005F2528" w:rsidP="00C968CE">
            <w:pPr>
              <w:spacing w:before="120" w:after="100" w:afterAutospacing="1" w:line="240" w:lineRule="auto"/>
              <w:rPr>
                <w:rFonts w:cs="Arial"/>
                <w:szCs w:val="20"/>
              </w:rPr>
            </w:pPr>
            <w:r w:rsidRPr="00C968CE">
              <w:rPr>
                <w:rFonts w:cs="Arial"/>
                <w:szCs w:val="20"/>
              </w:rPr>
              <w:t>PN-EN 1427 [22]</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453F66A3" w14:textId="77777777" w:rsidR="005F2528" w:rsidRPr="00C968CE" w:rsidRDefault="005F2528" w:rsidP="00C968CE">
            <w:pPr>
              <w:spacing w:before="120" w:after="100" w:afterAutospacing="1" w:line="240" w:lineRule="auto"/>
              <w:rPr>
                <w:rFonts w:cs="Arial"/>
                <w:szCs w:val="20"/>
              </w:rPr>
            </w:pPr>
            <w:r w:rsidRPr="00C968CE">
              <w:rPr>
                <w:rFonts w:cs="Arial"/>
                <w:szCs w:val="20"/>
              </w:rPr>
              <w:t>8</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2C51429F" w14:textId="77777777" w:rsidR="005F2528" w:rsidRPr="00C968CE" w:rsidRDefault="005F2528" w:rsidP="00C968CE">
            <w:pPr>
              <w:spacing w:before="120" w:after="100" w:afterAutospacing="1" w:line="240" w:lineRule="auto"/>
              <w:rPr>
                <w:rFonts w:cs="Arial"/>
                <w:szCs w:val="20"/>
              </w:rPr>
            </w:pPr>
            <w:r w:rsidRPr="00C968CE">
              <w:rPr>
                <w:rFonts w:cs="Arial"/>
                <w:szCs w:val="20"/>
              </w:rPr>
              <w:t>9</w:t>
            </w:r>
          </w:p>
        </w:tc>
      </w:tr>
      <w:tr w:rsidR="005F2528" w:rsidRPr="00C968CE" w14:paraId="556BC2FE" w14:textId="77777777" w:rsidTr="005F2528">
        <w:tc>
          <w:tcPr>
            <w:tcW w:w="8781" w:type="dxa"/>
            <w:gridSpan w:val="7"/>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143E9C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SPECJALNE   KRAJOWE</w:t>
            </w:r>
          </w:p>
        </w:tc>
      </w:tr>
      <w:tr w:rsidR="005F2528" w:rsidRPr="00C968CE" w14:paraId="0ADD7061"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2246C8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6A636FB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łamliwości Fraassa, nie więcej niż</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03C1E467" w14:textId="77777777" w:rsidR="005F2528" w:rsidRPr="00C968CE" w:rsidRDefault="005F2528" w:rsidP="00C968CE">
            <w:pPr>
              <w:spacing w:before="120" w:after="100" w:afterAutospacing="1" w:line="240" w:lineRule="auto"/>
              <w:rPr>
                <w:rFonts w:cs="Arial"/>
                <w:szCs w:val="20"/>
              </w:rPr>
            </w:pPr>
            <w:r w:rsidRPr="00C968CE">
              <w:rPr>
                <w:rFonts w:cs="Arial"/>
                <w:szCs w:val="20"/>
              </w:rPr>
              <w:t>°C</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4063EEE0" w14:textId="77777777" w:rsidR="005F2528" w:rsidRPr="00C968CE" w:rsidRDefault="005F2528" w:rsidP="00C968CE">
            <w:pPr>
              <w:spacing w:before="120" w:after="100" w:afterAutospacing="1" w:line="240" w:lineRule="auto"/>
              <w:rPr>
                <w:rFonts w:cs="Arial"/>
                <w:szCs w:val="20"/>
              </w:rPr>
            </w:pPr>
            <w:r w:rsidRPr="00C968CE">
              <w:rPr>
                <w:rFonts w:cs="Arial"/>
                <w:szCs w:val="20"/>
              </w:rPr>
              <w:t>PN-EN 12593 [26]</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54CFEEB3" w14:textId="77777777" w:rsidR="005F2528" w:rsidRPr="00C968CE" w:rsidRDefault="005F2528" w:rsidP="00C968CE">
            <w:pPr>
              <w:spacing w:before="120" w:after="100" w:afterAutospacing="1" w:line="240" w:lineRule="auto"/>
              <w:rPr>
                <w:rFonts w:cs="Arial"/>
                <w:szCs w:val="20"/>
              </w:rPr>
            </w:pPr>
            <w:r w:rsidRPr="00C968CE">
              <w:rPr>
                <w:rFonts w:cs="Arial"/>
                <w:szCs w:val="20"/>
              </w:rPr>
              <w:t>-5</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48053560" w14:textId="77777777" w:rsidR="005F2528" w:rsidRPr="00C968CE" w:rsidRDefault="005F2528" w:rsidP="00C968CE">
            <w:pPr>
              <w:spacing w:before="120" w:after="100" w:afterAutospacing="1" w:line="240" w:lineRule="auto"/>
              <w:rPr>
                <w:rFonts w:cs="Arial"/>
                <w:szCs w:val="20"/>
              </w:rPr>
            </w:pPr>
            <w:r w:rsidRPr="00C968CE">
              <w:rPr>
                <w:rFonts w:cs="Arial"/>
                <w:szCs w:val="20"/>
              </w:rPr>
              <w:t>-8</w:t>
            </w:r>
          </w:p>
        </w:tc>
      </w:tr>
      <w:tr w:rsidR="005F2528" w:rsidRPr="00C968CE" w14:paraId="74AE6541"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C2CFE2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151FBC0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Indeks penetracji</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7D7CE42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3B49B24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12591[24]</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1549A01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Brak wymagań</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4490739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Brak wymagań</w:t>
            </w:r>
          </w:p>
        </w:tc>
      </w:tr>
      <w:tr w:rsidR="005F2528" w:rsidRPr="00C968CE" w14:paraId="3E713B3D"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16F57D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11</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0788A14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Lepkość dynamiczna w 60°C</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1FA0DF8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Pa∙s</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79AC7F6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12596[28]</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69A1980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Brak wymagań</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7752CC3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Brak wymagań</w:t>
            </w:r>
          </w:p>
        </w:tc>
      </w:tr>
      <w:tr w:rsidR="005F2528" w:rsidRPr="00C968CE" w14:paraId="70709B53" w14:textId="77777777" w:rsidTr="005F2528">
        <w:tc>
          <w:tcPr>
            <w:tcW w:w="54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8FA644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12</w:t>
            </w:r>
          </w:p>
        </w:tc>
        <w:tc>
          <w:tcPr>
            <w:tcW w:w="2805"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58E6F9A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Lepkość kinematyczna w 135°C</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hideMark/>
          </w:tcPr>
          <w:p w14:paraId="3005268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mm</w:t>
            </w:r>
            <w:r w:rsidRPr="00C968CE">
              <w:rPr>
                <w:rFonts w:cs="Arial"/>
                <w:szCs w:val="20"/>
                <w:vertAlign w:val="superscript"/>
              </w:rPr>
              <w:t>2</w:t>
            </w:r>
            <w:r w:rsidRPr="00C968CE">
              <w:rPr>
                <w:rFonts w:cs="Arial"/>
                <w:szCs w:val="20"/>
              </w:rPr>
              <w:t>/s</w:t>
            </w:r>
          </w:p>
        </w:tc>
        <w:tc>
          <w:tcPr>
            <w:tcW w:w="2160" w:type="dxa"/>
            <w:tcBorders>
              <w:top w:val="nil"/>
              <w:left w:val="nil"/>
              <w:bottom w:val="single" w:sz="8" w:space="0" w:color="auto"/>
              <w:right w:val="single" w:sz="8" w:space="0" w:color="auto"/>
            </w:tcBorders>
            <w:noWrap/>
            <w:tcMar>
              <w:top w:w="0" w:type="dxa"/>
              <w:left w:w="108" w:type="dxa"/>
              <w:bottom w:w="0" w:type="dxa"/>
              <w:right w:w="108" w:type="dxa"/>
            </w:tcMar>
            <w:hideMark/>
          </w:tcPr>
          <w:p w14:paraId="50A5051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12595[27]</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65C0B4E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Brak wymagań</w:t>
            </w:r>
          </w:p>
        </w:tc>
        <w:tc>
          <w:tcPr>
            <w:tcW w:w="1155" w:type="dxa"/>
            <w:tcBorders>
              <w:top w:val="nil"/>
              <w:left w:val="nil"/>
              <w:bottom w:val="single" w:sz="8" w:space="0" w:color="auto"/>
              <w:right w:val="single" w:sz="8" w:space="0" w:color="auto"/>
            </w:tcBorders>
            <w:noWrap/>
            <w:tcMar>
              <w:top w:w="0" w:type="dxa"/>
              <w:left w:w="108" w:type="dxa"/>
              <w:bottom w:w="0" w:type="dxa"/>
              <w:right w:w="108" w:type="dxa"/>
            </w:tcMar>
            <w:hideMark/>
          </w:tcPr>
          <w:p w14:paraId="2CE88CD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Brak wymagań</w:t>
            </w:r>
          </w:p>
        </w:tc>
      </w:tr>
      <w:tr w:rsidR="005F2528" w:rsidRPr="00C968CE" w14:paraId="540AC1CB" w14:textId="77777777" w:rsidTr="005F2528">
        <w:tc>
          <w:tcPr>
            <w:tcW w:w="546" w:type="dxa"/>
            <w:vAlign w:val="center"/>
            <w:hideMark/>
          </w:tcPr>
          <w:p w14:paraId="2B03C354" w14:textId="77777777" w:rsidR="005F2528" w:rsidRPr="00C968CE" w:rsidRDefault="005F2528" w:rsidP="00C968CE">
            <w:pPr>
              <w:spacing w:line="240" w:lineRule="auto"/>
              <w:rPr>
                <w:rFonts w:cs="Arial"/>
                <w:szCs w:val="20"/>
                <w:lang w:eastAsia="en-US"/>
              </w:rPr>
            </w:pPr>
          </w:p>
        </w:tc>
        <w:tc>
          <w:tcPr>
            <w:tcW w:w="2790" w:type="dxa"/>
            <w:vAlign w:val="center"/>
            <w:hideMark/>
          </w:tcPr>
          <w:p w14:paraId="4A6930E0" w14:textId="77777777" w:rsidR="005F2528" w:rsidRPr="00C968CE" w:rsidRDefault="005F2528" w:rsidP="00C968CE">
            <w:pPr>
              <w:spacing w:line="240" w:lineRule="auto"/>
              <w:rPr>
                <w:rFonts w:cs="Arial"/>
                <w:szCs w:val="20"/>
                <w:lang w:eastAsia="en-US"/>
              </w:rPr>
            </w:pPr>
          </w:p>
        </w:tc>
        <w:tc>
          <w:tcPr>
            <w:tcW w:w="15" w:type="dxa"/>
            <w:vAlign w:val="center"/>
            <w:hideMark/>
          </w:tcPr>
          <w:p w14:paraId="4084E687" w14:textId="77777777" w:rsidR="005F2528" w:rsidRPr="00C968CE" w:rsidRDefault="005F2528" w:rsidP="00C968CE">
            <w:pPr>
              <w:spacing w:line="240" w:lineRule="auto"/>
              <w:rPr>
                <w:rFonts w:cs="Arial"/>
                <w:szCs w:val="20"/>
                <w:lang w:eastAsia="en-US"/>
              </w:rPr>
            </w:pPr>
          </w:p>
        </w:tc>
        <w:tc>
          <w:tcPr>
            <w:tcW w:w="960" w:type="dxa"/>
            <w:vAlign w:val="center"/>
            <w:hideMark/>
          </w:tcPr>
          <w:p w14:paraId="458CAB20" w14:textId="77777777" w:rsidR="005F2528" w:rsidRPr="00C968CE" w:rsidRDefault="005F2528" w:rsidP="00C968CE">
            <w:pPr>
              <w:spacing w:line="240" w:lineRule="auto"/>
              <w:rPr>
                <w:rFonts w:cs="Arial"/>
                <w:szCs w:val="20"/>
                <w:lang w:eastAsia="en-US"/>
              </w:rPr>
            </w:pPr>
          </w:p>
        </w:tc>
        <w:tc>
          <w:tcPr>
            <w:tcW w:w="2160" w:type="dxa"/>
            <w:vAlign w:val="center"/>
            <w:hideMark/>
          </w:tcPr>
          <w:p w14:paraId="408DBB8C" w14:textId="77777777" w:rsidR="005F2528" w:rsidRPr="00C968CE" w:rsidRDefault="005F2528" w:rsidP="00C968CE">
            <w:pPr>
              <w:spacing w:line="240" w:lineRule="auto"/>
              <w:rPr>
                <w:rFonts w:cs="Arial"/>
                <w:szCs w:val="20"/>
                <w:lang w:eastAsia="en-US"/>
              </w:rPr>
            </w:pPr>
          </w:p>
        </w:tc>
        <w:tc>
          <w:tcPr>
            <w:tcW w:w="1155" w:type="dxa"/>
            <w:vAlign w:val="center"/>
            <w:hideMark/>
          </w:tcPr>
          <w:p w14:paraId="1860CA4B" w14:textId="77777777" w:rsidR="005F2528" w:rsidRPr="00C968CE" w:rsidRDefault="005F2528" w:rsidP="00C968CE">
            <w:pPr>
              <w:spacing w:line="240" w:lineRule="auto"/>
              <w:rPr>
                <w:rFonts w:cs="Arial"/>
                <w:szCs w:val="20"/>
                <w:lang w:eastAsia="en-US"/>
              </w:rPr>
            </w:pPr>
          </w:p>
        </w:tc>
        <w:tc>
          <w:tcPr>
            <w:tcW w:w="1155" w:type="dxa"/>
            <w:vAlign w:val="center"/>
            <w:hideMark/>
          </w:tcPr>
          <w:p w14:paraId="543D7051" w14:textId="77777777" w:rsidR="005F2528" w:rsidRPr="00C968CE" w:rsidRDefault="005F2528" w:rsidP="00C968CE">
            <w:pPr>
              <w:spacing w:line="240" w:lineRule="auto"/>
              <w:rPr>
                <w:rFonts w:cs="Arial"/>
                <w:szCs w:val="20"/>
                <w:lang w:eastAsia="en-US"/>
              </w:rPr>
            </w:pPr>
          </w:p>
        </w:tc>
      </w:tr>
    </w:tbl>
    <w:p w14:paraId="3BB977F1" w14:textId="77777777" w:rsidR="005F2528" w:rsidRPr="00C968CE" w:rsidRDefault="005F2528" w:rsidP="00C968CE">
      <w:pPr>
        <w:spacing w:before="120" w:after="120" w:line="240" w:lineRule="auto"/>
        <w:ind w:left="851" w:hanging="851"/>
        <w:rPr>
          <w:rFonts w:cs="Arial"/>
          <w:szCs w:val="20"/>
        </w:rPr>
      </w:pPr>
      <w:r w:rsidRPr="00C968CE">
        <w:rPr>
          <w:rFonts w:cs="Arial"/>
          <w:szCs w:val="20"/>
        </w:rPr>
        <w:t>Tablica 4. Wymagania wobec asfaltów modyfikowanych polimerami (polimeroasfaltów) wg PN-EN 14023 [66] [66a]</w:t>
      </w:r>
    </w:p>
    <w:tbl>
      <w:tblPr>
        <w:tblW w:w="11595" w:type="dxa"/>
        <w:tblCellMar>
          <w:left w:w="0" w:type="dxa"/>
          <w:right w:w="0" w:type="dxa"/>
        </w:tblCellMar>
        <w:tblLook w:val="04A0" w:firstRow="1" w:lastRow="0" w:firstColumn="1" w:lastColumn="0" w:noHBand="0" w:noVBand="1"/>
      </w:tblPr>
      <w:tblGrid>
        <w:gridCol w:w="1806"/>
        <w:gridCol w:w="2297"/>
        <w:gridCol w:w="2552"/>
        <w:gridCol w:w="846"/>
        <w:gridCol w:w="1311"/>
        <w:gridCol w:w="709"/>
        <w:gridCol w:w="1371"/>
        <w:gridCol w:w="703"/>
      </w:tblGrid>
      <w:tr w:rsidR="005F2528" w:rsidRPr="00C968CE" w14:paraId="455DFF31" w14:textId="77777777" w:rsidTr="005F2528">
        <w:tc>
          <w:tcPr>
            <w:tcW w:w="1806"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553B214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Wymaganie</w:t>
            </w:r>
          </w:p>
          <w:p w14:paraId="5879957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podstawowe</w:t>
            </w:r>
          </w:p>
        </w:tc>
        <w:tc>
          <w:tcPr>
            <w:tcW w:w="2297"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4B68A25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Właściwość</w:t>
            </w:r>
          </w:p>
        </w:tc>
        <w:tc>
          <w:tcPr>
            <w:tcW w:w="2552"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827E95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Metoda</w:t>
            </w:r>
          </w:p>
          <w:p w14:paraId="7E2EDE3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badania</w:t>
            </w:r>
          </w:p>
        </w:tc>
        <w:tc>
          <w:tcPr>
            <w:tcW w:w="846"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670F74E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Jed-nostka</w:t>
            </w:r>
          </w:p>
        </w:tc>
        <w:tc>
          <w:tcPr>
            <w:tcW w:w="4094" w:type="dxa"/>
            <w:gridSpan w:val="4"/>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570510F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Gatunki asfaltów modyfikowanych</w:t>
            </w:r>
          </w:p>
          <w:p w14:paraId="7867E8E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polimerami (PMB)</w:t>
            </w:r>
          </w:p>
        </w:tc>
      </w:tr>
      <w:tr w:rsidR="005F2528" w:rsidRPr="00C968CE" w14:paraId="2A998A1A" w14:textId="77777777" w:rsidTr="005F2528">
        <w:tc>
          <w:tcPr>
            <w:tcW w:w="0" w:type="auto"/>
            <w:vMerge/>
            <w:tcBorders>
              <w:top w:val="single" w:sz="8" w:space="0" w:color="auto"/>
              <w:left w:val="single" w:sz="8" w:space="0" w:color="auto"/>
              <w:bottom w:val="single" w:sz="8" w:space="0" w:color="auto"/>
              <w:right w:val="single" w:sz="8" w:space="0" w:color="auto"/>
            </w:tcBorders>
            <w:vAlign w:val="center"/>
            <w:hideMark/>
          </w:tcPr>
          <w:p w14:paraId="4213D397"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8" w:space="0" w:color="auto"/>
            </w:tcBorders>
            <w:vAlign w:val="center"/>
            <w:hideMark/>
          </w:tcPr>
          <w:p w14:paraId="0DA92B10"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8" w:space="0" w:color="auto"/>
            </w:tcBorders>
            <w:vAlign w:val="center"/>
            <w:hideMark/>
          </w:tcPr>
          <w:p w14:paraId="2DE5CB2C"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8" w:space="0" w:color="auto"/>
            </w:tcBorders>
            <w:vAlign w:val="center"/>
            <w:hideMark/>
          </w:tcPr>
          <w:p w14:paraId="63B01FF6" w14:textId="77777777" w:rsidR="005F2528" w:rsidRPr="00C968CE" w:rsidRDefault="005F2528" w:rsidP="00C968CE">
            <w:pPr>
              <w:spacing w:line="240" w:lineRule="auto"/>
              <w:rPr>
                <w:rFonts w:cs="Arial"/>
                <w:szCs w:val="20"/>
              </w:rPr>
            </w:pPr>
          </w:p>
        </w:tc>
        <w:tc>
          <w:tcPr>
            <w:tcW w:w="2020"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76C71D6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25/55 – 60</w:t>
            </w:r>
          </w:p>
        </w:tc>
        <w:tc>
          <w:tcPr>
            <w:tcW w:w="2074"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4FC0982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25/55 – 80</w:t>
            </w:r>
          </w:p>
        </w:tc>
      </w:tr>
      <w:tr w:rsidR="005F2528" w:rsidRPr="00C968CE" w14:paraId="14CE6721" w14:textId="77777777" w:rsidTr="005F2528">
        <w:tc>
          <w:tcPr>
            <w:tcW w:w="0" w:type="auto"/>
            <w:vMerge/>
            <w:tcBorders>
              <w:top w:val="single" w:sz="8" w:space="0" w:color="auto"/>
              <w:left w:val="single" w:sz="8" w:space="0" w:color="auto"/>
              <w:bottom w:val="single" w:sz="8" w:space="0" w:color="auto"/>
              <w:right w:val="single" w:sz="8" w:space="0" w:color="auto"/>
            </w:tcBorders>
            <w:vAlign w:val="center"/>
            <w:hideMark/>
          </w:tcPr>
          <w:p w14:paraId="5F53C5EF"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8" w:space="0" w:color="auto"/>
            </w:tcBorders>
            <w:vAlign w:val="center"/>
            <w:hideMark/>
          </w:tcPr>
          <w:p w14:paraId="2BDD4E66"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8" w:space="0" w:color="auto"/>
            </w:tcBorders>
            <w:vAlign w:val="center"/>
            <w:hideMark/>
          </w:tcPr>
          <w:p w14:paraId="64155A19"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8" w:space="0" w:color="auto"/>
            </w:tcBorders>
            <w:vAlign w:val="center"/>
            <w:hideMark/>
          </w:tcPr>
          <w:p w14:paraId="222E5005" w14:textId="77777777" w:rsidR="005F2528" w:rsidRPr="00C968CE" w:rsidRDefault="005F2528" w:rsidP="00C968CE">
            <w:pPr>
              <w:spacing w:line="240" w:lineRule="auto"/>
              <w:rPr>
                <w:rFonts w:cs="Arial"/>
                <w:szCs w:val="20"/>
              </w:rPr>
            </w:pPr>
          </w:p>
        </w:tc>
        <w:tc>
          <w:tcPr>
            <w:tcW w:w="1311" w:type="dxa"/>
            <w:tcBorders>
              <w:top w:val="nil"/>
              <w:left w:val="nil"/>
              <w:bottom w:val="single" w:sz="8" w:space="0" w:color="auto"/>
              <w:right w:val="single" w:sz="8" w:space="0" w:color="auto"/>
            </w:tcBorders>
            <w:noWrap/>
            <w:tcMar>
              <w:top w:w="0" w:type="dxa"/>
              <w:left w:w="108" w:type="dxa"/>
              <w:bottom w:w="0" w:type="dxa"/>
              <w:right w:w="108" w:type="dxa"/>
            </w:tcMar>
            <w:hideMark/>
          </w:tcPr>
          <w:p w14:paraId="65C0889C" w14:textId="77777777" w:rsidR="005F2528" w:rsidRPr="00C968CE" w:rsidRDefault="005F2528" w:rsidP="00C968CE">
            <w:pPr>
              <w:spacing w:before="100" w:beforeAutospacing="1" w:after="60" w:line="240" w:lineRule="auto"/>
              <w:rPr>
                <w:rFonts w:cs="Arial"/>
                <w:szCs w:val="20"/>
              </w:rPr>
            </w:pPr>
            <w:r w:rsidRPr="00C968CE">
              <w:rPr>
                <w:rFonts w:cs="Arial"/>
                <w:szCs w:val="20"/>
              </w:rPr>
              <w:t>wymaganie</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hideMark/>
          </w:tcPr>
          <w:p w14:paraId="2645BCB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klasa</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hideMark/>
          </w:tcPr>
          <w:p w14:paraId="5C665FFF" w14:textId="77777777" w:rsidR="005F2528" w:rsidRPr="00C968CE" w:rsidRDefault="005F2528" w:rsidP="00C968CE">
            <w:pPr>
              <w:spacing w:before="100" w:beforeAutospacing="1" w:after="60" w:line="240" w:lineRule="auto"/>
              <w:rPr>
                <w:rFonts w:cs="Arial"/>
                <w:szCs w:val="20"/>
              </w:rPr>
            </w:pPr>
            <w:r w:rsidRPr="00C968CE">
              <w:rPr>
                <w:rFonts w:cs="Arial"/>
                <w:szCs w:val="20"/>
              </w:rPr>
              <w:t>Wymaganie</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hideMark/>
          </w:tcPr>
          <w:p w14:paraId="5E7DA27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klasa</w:t>
            </w:r>
          </w:p>
        </w:tc>
      </w:tr>
      <w:tr w:rsidR="005F2528" w:rsidRPr="00C968CE" w14:paraId="37AF1F1B" w14:textId="77777777" w:rsidTr="005F2528">
        <w:tc>
          <w:tcPr>
            <w:tcW w:w="180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4D5723C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Konsystencja w pośrednich temperaturach eksploatacyj-nych</w:t>
            </w: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305158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Penetracja w 25°C</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5180D1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1426 [21]</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6BB5A3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0,1 mm</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C81AE0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25-55</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5FF050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370FBB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25-55</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075865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r>
      <w:tr w:rsidR="005F2528" w:rsidRPr="00C968CE" w14:paraId="70C664F7" w14:textId="77777777" w:rsidTr="005F2528">
        <w:tc>
          <w:tcPr>
            <w:tcW w:w="180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449197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Konsystencja  w wysokich  temp. eksplo-atacyjnych</w:t>
            </w: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361BFB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mięknienia</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803D99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1427 [22]</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6C066F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E3A6F5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60</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2CE282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9E67DC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80</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A74755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r>
      <w:tr w:rsidR="005F2528" w:rsidRPr="00C968CE" w14:paraId="1DF3B66C" w14:textId="77777777" w:rsidTr="005F2528">
        <w:tc>
          <w:tcPr>
            <w:tcW w:w="1806"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061C5A2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Kohezja</w:t>
            </w: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8BC79B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Siła rozciągania (mała prędkość rozciągania)</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195531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13589 [62]      PN-EN 13703 [63]</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8A27B3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J/cm</w:t>
            </w:r>
            <w:r w:rsidRPr="00C968CE">
              <w:rPr>
                <w:rFonts w:cs="Arial"/>
                <w:szCs w:val="20"/>
                <w:vertAlign w:val="superscript"/>
              </w:rPr>
              <w:t>2</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C5ECF1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2 w 10°C</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C3B8FD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hideMark/>
          </w:tcPr>
          <w:p w14:paraId="2409962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1ED128D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TBR</w:t>
            </w:r>
            <w:r w:rsidRPr="00C968CE">
              <w:rPr>
                <w:rFonts w:cs="Arial"/>
                <w:szCs w:val="20"/>
                <w:vertAlign w:val="superscript"/>
              </w:rPr>
              <w:t>b</w:t>
            </w:r>
          </w:p>
          <w:p w14:paraId="5919549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 15°C)</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hideMark/>
          </w:tcPr>
          <w:p w14:paraId="3BCF087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1083738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r>
      <w:tr w:rsidR="005F2528" w:rsidRPr="00C968CE" w14:paraId="3DA98453"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29A9FF70"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9B939F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Rozciąganie bezpośrednie  w 5°C (rozciąganie 100 mm/min)</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1F271A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13587 [60]      PN-EN 13703 [63]</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CFE1BB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J/cm</w:t>
            </w:r>
            <w:r w:rsidRPr="00C968CE">
              <w:rPr>
                <w:rFonts w:cs="Arial"/>
                <w:szCs w:val="20"/>
                <w:vertAlign w:val="superscript"/>
              </w:rPr>
              <w:t>2</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B79D00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NPD</w:t>
            </w:r>
            <w:r w:rsidRPr="00C968CE">
              <w:rPr>
                <w:rFonts w:cs="Arial"/>
                <w:szCs w:val="20"/>
                <w:vertAlign w:val="superscript"/>
              </w:rPr>
              <w:t>a</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B2DD41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hideMark/>
          </w:tcPr>
          <w:p w14:paraId="182E376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hideMark/>
          </w:tcPr>
          <w:p w14:paraId="400FEAA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r>
      <w:tr w:rsidR="005F2528" w:rsidRPr="00C968CE" w14:paraId="25661C90"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2B462976"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DB16E6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Wahadło Vialit (metoda uderzenia)</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AE4694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13588 [61]</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7A70A0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J/cm</w:t>
            </w:r>
            <w:r w:rsidRPr="00C968CE">
              <w:rPr>
                <w:rFonts w:cs="Arial"/>
                <w:szCs w:val="20"/>
                <w:vertAlign w:val="superscript"/>
              </w:rPr>
              <w:t>2</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E3799F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NPD</w:t>
            </w:r>
            <w:r w:rsidRPr="00C968CE">
              <w:rPr>
                <w:rFonts w:cs="Arial"/>
                <w:szCs w:val="20"/>
                <w:vertAlign w:val="superscript"/>
              </w:rPr>
              <w:t>a</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61A44C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hideMark/>
          </w:tcPr>
          <w:p w14:paraId="58CDCBB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hideMark/>
          </w:tcPr>
          <w:p w14:paraId="6A0D904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r>
      <w:tr w:rsidR="005F2528" w:rsidRPr="00C968CE" w14:paraId="126A193C" w14:textId="77777777" w:rsidTr="005F2528">
        <w:tc>
          <w:tcPr>
            <w:tcW w:w="1806"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9628F7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Stałość konsystencji (odporność na starzenie wg PN-EN 12607-1 lub  -3 [29][30]</w:t>
            </w: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5258E5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Zmiana masy</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CD23A2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12607-1[29]</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80CE95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2618BD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0,5</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33ECF5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BA5D9D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0,5</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4A393C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r>
      <w:tr w:rsidR="005F2528" w:rsidRPr="00C968CE" w14:paraId="345D3D4E"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0B56CCA5"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BF5921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Pozostała penetracja</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6F3108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1426 [21]</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5CE6C3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B19DA3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60</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9D522D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0A7124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60</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475557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w:t>
            </w:r>
          </w:p>
        </w:tc>
      </w:tr>
      <w:tr w:rsidR="005F2528" w:rsidRPr="00C968CE" w14:paraId="4944C8C5"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7805A935"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C39483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Wzrost temperatury mięknienia</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C9470D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1427 [22]</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5B9186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8E9374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8</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5F96F5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D301A7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8</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9742F3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r>
      <w:tr w:rsidR="005F2528" w:rsidRPr="00C968CE" w14:paraId="65566788" w14:textId="77777777" w:rsidTr="005F2528">
        <w:trPr>
          <w:trHeight w:val="510"/>
        </w:trPr>
        <w:tc>
          <w:tcPr>
            <w:tcW w:w="180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6ED6FB5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Inne właściwości</w:t>
            </w: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875274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zapłonu</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1708D3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ISO 2592 [70]</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5E60FD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5FB2A1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235</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F8A6C8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C733FE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235</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C67633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r>
      <w:tr w:rsidR="005F2528" w:rsidRPr="00C968CE" w14:paraId="552F3C1C" w14:textId="77777777" w:rsidTr="005F2528">
        <w:trPr>
          <w:trHeight w:val="590"/>
        </w:trPr>
        <w:tc>
          <w:tcPr>
            <w:tcW w:w="1806"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3ECEC6D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Wymagania</w:t>
            </w:r>
          </w:p>
          <w:p w14:paraId="1DAEF84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dodatkowe</w:t>
            </w: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C7885C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łamliwości</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6B0FB0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12593 [26]</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E9B56A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857D1A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-10</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C11F79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854172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-15</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D07F42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w:t>
            </w:r>
          </w:p>
        </w:tc>
      </w:tr>
      <w:tr w:rsidR="005F2528" w:rsidRPr="00C968CE" w14:paraId="0E402319"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1021EF3E"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0E3D4A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Nawrót sprężysty w 25°C</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F62985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13398 [58]</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47AEA8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A83B60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60</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9E9F4F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F6889B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80</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87727D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r>
      <w:tr w:rsidR="005F2528" w:rsidRPr="00C968CE" w14:paraId="33385114"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4D8F2E5A"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8F21C5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Nawrót sprężysty w 10°C</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B363A2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A61D05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5839D1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NPD</w:t>
            </w:r>
            <w:r w:rsidRPr="00C968CE">
              <w:rPr>
                <w:rFonts w:cs="Arial"/>
                <w:szCs w:val="20"/>
                <w:vertAlign w:val="superscript"/>
              </w:rPr>
              <w:t>a</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52D2C7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hideMark/>
          </w:tcPr>
          <w:p w14:paraId="611030F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TBR</w:t>
            </w:r>
            <w:r w:rsidRPr="00C968CE">
              <w:rPr>
                <w:rFonts w:cs="Arial"/>
                <w:szCs w:val="20"/>
                <w:vertAlign w:val="superscript"/>
              </w:rPr>
              <w:t>b</w:t>
            </w:r>
          </w:p>
          <w:p w14:paraId="45335C4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hideMark/>
          </w:tcPr>
          <w:p w14:paraId="5E67125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r>
      <w:tr w:rsidR="005F2528" w:rsidRPr="00C968CE" w14:paraId="336A0203"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128B3732"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1D1453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Zakres plastyczności</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45936D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14023 [66] Punkt 5.1.9</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D9959C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F16144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NPD</w:t>
            </w:r>
            <w:r w:rsidRPr="00C968CE">
              <w:rPr>
                <w:rFonts w:cs="Arial"/>
                <w:szCs w:val="20"/>
                <w:vertAlign w:val="superscript"/>
              </w:rPr>
              <w:t>a</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D1625F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hideMark/>
          </w:tcPr>
          <w:p w14:paraId="25BC4E8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NPD</w:t>
            </w:r>
            <w:r w:rsidRPr="00C968CE">
              <w:rPr>
                <w:rFonts w:cs="Arial"/>
                <w:szCs w:val="20"/>
                <w:vertAlign w:val="superscript"/>
              </w:rPr>
              <w:t>a</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hideMark/>
          </w:tcPr>
          <w:p w14:paraId="441D4EE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r>
      <w:tr w:rsidR="005F2528" w:rsidRPr="00C968CE" w14:paraId="3E4B30AD"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04DC091B"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856066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Stabilność magazynowania. Różnica temperatury mięknienia</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73FB29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13399 [59]</w:t>
            </w:r>
          </w:p>
          <w:p w14:paraId="11B2642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1427 [22]</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3B81EB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97EBBA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5</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DF0D9F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BE6C7B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5</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F87F83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r>
      <w:tr w:rsidR="005F2528" w:rsidRPr="00C968CE" w14:paraId="0B1F59EF"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659721A1"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1F213F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Stabilność magazynowania. Różnica penetracji</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EF431C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13399 [59]</w:t>
            </w:r>
          </w:p>
          <w:p w14:paraId="2926C41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1426 [21]</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F3C5DC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0,1 mm</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9E6451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NPD</w:t>
            </w:r>
            <w:r w:rsidRPr="00C968CE">
              <w:rPr>
                <w:rFonts w:cs="Arial"/>
                <w:szCs w:val="20"/>
                <w:vertAlign w:val="superscript"/>
              </w:rPr>
              <w:t>a</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1F5DDE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04F7AA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NPD</w:t>
            </w:r>
            <w:r w:rsidRPr="00C968CE">
              <w:rPr>
                <w:rFonts w:cs="Arial"/>
                <w:szCs w:val="20"/>
                <w:vertAlign w:val="superscript"/>
              </w:rPr>
              <w:t>a</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421434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r>
      <w:tr w:rsidR="005F2528" w:rsidRPr="00C968CE" w14:paraId="3F85A8FC"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4CC9E4D3"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85C52B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Spadek temperatury mięknienia po starzeniu wg PN-EN 12607 -1 lub -3 [29][30]</w:t>
            </w:r>
          </w:p>
        </w:tc>
        <w:tc>
          <w:tcPr>
            <w:tcW w:w="25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8DF54B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12607-1 [29]</w:t>
            </w:r>
          </w:p>
          <w:p w14:paraId="7AC09B9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1427 [22]</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A1E87F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051DB2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TBR</w:t>
            </w:r>
            <w:r w:rsidRPr="00C968CE">
              <w:rPr>
                <w:rFonts w:cs="Arial"/>
                <w:szCs w:val="20"/>
                <w:vertAlign w:val="superscript"/>
              </w:rPr>
              <w:t>b</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F504BC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67782A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TBR</w:t>
            </w:r>
            <w:r w:rsidRPr="00C968CE">
              <w:rPr>
                <w:rFonts w:cs="Arial"/>
                <w:szCs w:val="20"/>
                <w:vertAlign w:val="superscript"/>
              </w:rPr>
              <w:t>b</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1DD3D4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r>
      <w:tr w:rsidR="005F2528" w:rsidRPr="00C968CE" w14:paraId="1B3FE533"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05B0A89D"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541331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Nawrót sprężysty w 25°C po starzeniu wg PN-EN 12607-1 lub  -3 [29][30]</w:t>
            </w:r>
          </w:p>
        </w:tc>
        <w:tc>
          <w:tcPr>
            <w:tcW w:w="2552" w:type="dxa"/>
            <w:vMerge w:val="restar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15147E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12607-1 [29]</w:t>
            </w:r>
          </w:p>
          <w:p w14:paraId="7640474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13398 [58]</w:t>
            </w:r>
          </w:p>
        </w:tc>
        <w:tc>
          <w:tcPr>
            <w:tcW w:w="84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AFA566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0D102C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50</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D64A54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9262B0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50</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84C896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r>
      <w:tr w:rsidR="005F2528" w:rsidRPr="00C968CE" w14:paraId="3DC86667" w14:textId="77777777" w:rsidTr="005F2528">
        <w:tc>
          <w:tcPr>
            <w:tcW w:w="0" w:type="auto"/>
            <w:vMerge/>
            <w:tcBorders>
              <w:top w:val="nil"/>
              <w:left w:val="single" w:sz="8" w:space="0" w:color="auto"/>
              <w:bottom w:val="single" w:sz="8" w:space="0" w:color="auto"/>
              <w:right w:val="single" w:sz="8" w:space="0" w:color="auto"/>
            </w:tcBorders>
            <w:vAlign w:val="center"/>
            <w:hideMark/>
          </w:tcPr>
          <w:p w14:paraId="7D489284" w14:textId="77777777" w:rsidR="005F2528" w:rsidRPr="00C968CE" w:rsidRDefault="005F2528" w:rsidP="00C968CE">
            <w:pPr>
              <w:spacing w:line="240" w:lineRule="auto"/>
              <w:rPr>
                <w:rFonts w:cs="Arial"/>
                <w:szCs w:val="20"/>
              </w:rPr>
            </w:pPr>
          </w:p>
        </w:tc>
        <w:tc>
          <w:tcPr>
            <w:tcW w:w="229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429CC9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Nawrót sprężysty w 10°C po starzeniu wg PN-EN 12607-1 lub  -3 [29][30]</w:t>
            </w:r>
          </w:p>
        </w:tc>
        <w:tc>
          <w:tcPr>
            <w:tcW w:w="0" w:type="auto"/>
            <w:vMerge/>
            <w:tcBorders>
              <w:top w:val="nil"/>
              <w:left w:val="nil"/>
              <w:bottom w:val="single" w:sz="8" w:space="0" w:color="auto"/>
              <w:right w:val="single" w:sz="8" w:space="0" w:color="auto"/>
            </w:tcBorders>
            <w:vAlign w:val="center"/>
            <w:hideMark/>
          </w:tcPr>
          <w:p w14:paraId="329B63D9" w14:textId="77777777" w:rsidR="005F2528" w:rsidRPr="00C968CE" w:rsidRDefault="005F2528" w:rsidP="00C968CE">
            <w:pPr>
              <w:spacing w:line="240" w:lineRule="auto"/>
              <w:rPr>
                <w:rFonts w:cs="Arial"/>
                <w:szCs w:val="20"/>
              </w:rPr>
            </w:pPr>
          </w:p>
        </w:tc>
        <w:tc>
          <w:tcPr>
            <w:tcW w:w="846" w:type="dxa"/>
            <w:tcBorders>
              <w:top w:val="nil"/>
              <w:left w:val="nil"/>
              <w:bottom w:val="single" w:sz="8" w:space="0" w:color="auto"/>
              <w:right w:val="single" w:sz="8" w:space="0" w:color="auto"/>
            </w:tcBorders>
            <w:vAlign w:val="center"/>
            <w:hideMark/>
          </w:tcPr>
          <w:p w14:paraId="0E525A3F" w14:textId="77777777" w:rsidR="005F2528" w:rsidRPr="00C968CE" w:rsidRDefault="005F2528" w:rsidP="00C968CE">
            <w:pPr>
              <w:spacing w:line="240" w:lineRule="auto"/>
              <w:rPr>
                <w:rFonts w:cs="Arial"/>
                <w:szCs w:val="20"/>
                <w:lang w:eastAsia="en-US"/>
              </w:rPr>
            </w:pPr>
          </w:p>
        </w:tc>
        <w:tc>
          <w:tcPr>
            <w:tcW w:w="131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85CD14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NPD</w:t>
            </w:r>
            <w:r w:rsidRPr="00C968CE">
              <w:rPr>
                <w:rFonts w:cs="Arial"/>
                <w:szCs w:val="20"/>
                <w:vertAlign w:val="superscript"/>
              </w:rPr>
              <w:t>a</w:t>
            </w:r>
          </w:p>
        </w:tc>
        <w:tc>
          <w:tcPr>
            <w:tcW w:w="709"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BD5084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c>
          <w:tcPr>
            <w:tcW w:w="137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6AA645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NPD</w:t>
            </w:r>
            <w:r w:rsidRPr="00C968CE">
              <w:rPr>
                <w:rFonts w:cs="Arial"/>
                <w:szCs w:val="20"/>
                <w:vertAlign w:val="superscript"/>
              </w:rPr>
              <w:t>a</w:t>
            </w:r>
          </w:p>
        </w:tc>
        <w:tc>
          <w:tcPr>
            <w:tcW w:w="70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1D7C5B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r>
      <w:tr w:rsidR="005F2528" w:rsidRPr="00C968CE" w14:paraId="59AB5EA2" w14:textId="77777777" w:rsidTr="005F2528">
        <w:tc>
          <w:tcPr>
            <w:tcW w:w="11595" w:type="dxa"/>
            <w:gridSpan w:val="8"/>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4C0D595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vertAlign w:val="superscript"/>
              </w:rPr>
              <w:t>a</w:t>
            </w:r>
            <w:r w:rsidRPr="00C968CE">
              <w:rPr>
                <w:rFonts w:cs="Arial"/>
                <w:szCs w:val="20"/>
              </w:rPr>
              <w:t xml:space="preserve"> NPD – No Performance Determined (właściwość użytkowa nie określana)</w:t>
            </w:r>
          </w:p>
          <w:p w14:paraId="3729CD0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vertAlign w:val="superscript"/>
              </w:rPr>
              <w:t>b</w:t>
            </w:r>
            <w:r w:rsidRPr="00C968CE">
              <w:rPr>
                <w:rFonts w:cs="Arial"/>
                <w:szCs w:val="20"/>
              </w:rPr>
              <w:t xml:space="preserve"> TBR – To Be Reported (do zadeklarowania)</w:t>
            </w:r>
          </w:p>
        </w:tc>
      </w:tr>
    </w:tbl>
    <w:p w14:paraId="1E5A4592" w14:textId="77777777" w:rsidR="005F2528" w:rsidRPr="00C968CE" w:rsidRDefault="005F2528" w:rsidP="00C968CE">
      <w:pPr>
        <w:spacing w:before="120" w:after="120" w:line="240" w:lineRule="auto"/>
        <w:ind w:left="1200" w:hanging="1200"/>
        <w:rPr>
          <w:rFonts w:cs="Arial"/>
          <w:szCs w:val="20"/>
        </w:rPr>
      </w:pPr>
      <w:r w:rsidRPr="00C968CE">
        <w:rPr>
          <w:rFonts w:cs="Arial"/>
          <w:szCs w:val="20"/>
        </w:rPr>
        <w:t>Tablica 5. Wymagania wobec asfaltów wielorodzajowych wg PN-EN 13924-2:2014-04/Ap1 i Ap2 [65a]</w:t>
      </w:r>
    </w:p>
    <w:tbl>
      <w:tblPr>
        <w:tblW w:w="8896" w:type="dxa"/>
        <w:tblCellMar>
          <w:left w:w="0" w:type="dxa"/>
          <w:right w:w="0" w:type="dxa"/>
        </w:tblCellMar>
        <w:tblLook w:val="04A0" w:firstRow="1" w:lastRow="0" w:firstColumn="1" w:lastColumn="0" w:noHBand="0" w:noVBand="1"/>
      </w:tblPr>
      <w:tblGrid>
        <w:gridCol w:w="575"/>
        <w:gridCol w:w="1845"/>
        <w:gridCol w:w="922"/>
        <w:gridCol w:w="1626"/>
        <w:gridCol w:w="1141"/>
        <w:gridCol w:w="915"/>
        <w:gridCol w:w="957"/>
        <w:gridCol w:w="915"/>
      </w:tblGrid>
      <w:tr w:rsidR="005F2528" w:rsidRPr="00C968CE" w14:paraId="65841075" w14:textId="77777777" w:rsidTr="005F2528">
        <w:tc>
          <w:tcPr>
            <w:tcW w:w="575"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82BA7EB" w14:textId="77777777" w:rsidR="005F2528" w:rsidRPr="00C968CE" w:rsidRDefault="005F2528" w:rsidP="00C968CE">
            <w:pPr>
              <w:spacing w:before="120" w:after="100" w:afterAutospacing="1" w:line="240" w:lineRule="auto"/>
              <w:rPr>
                <w:rFonts w:cs="Arial"/>
                <w:szCs w:val="20"/>
              </w:rPr>
            </w:pPr>
            <w:r w:rsidRPr="00C968CE">
              <w:rPr>
                <w:rFonts w:cs="Arial"/>
                <w:szCs w:val="20"/>
              </w:rPr>
              <w:t>Lp.</w:t>
            </w:r>
          </w:p>
        </w:tc>
        <w:tc>
          <w:tcPr>
            <w:tcW w:w="1845" w:type="dxa"/>
            <w:vMerge w:val="restart"/>
            <w:tcBorders>
              <w:top w:val="single" w:sz="8" w:space="0" w:color="auto"/>
              <w:left w:val="nil"/>
              <w:bottom w:val="single" w:sz="8" w:space="0" w:color="auto"/>
              <w:right w:val="single" w:sz="4" w:space="0" w:color="auto"/>
            </w:tcBorders>
            <w:tcMar>
              <w:top w:w="0" w:type="dxa"/>
              <w:left w:w="108" w:type="dxa"/>
              <w:bottom w:w="0" w:type="dxa"/>
              <w:right w:w="108" w:type="dxa"/>
            </w:tcMar>
            <w:vAlign w:val="center"/>
            <w:hideMark/>
          </w:tcPr>
          <w:p w14:paraId="0DD5867D" w14:textId="77777777" w:rsidR="005F2528" w:rsidRPr="00C968CE" w:rsidRDefault="005F2528" w:rsidP="00C968CE">
            <w:pPr>
              <w:spacing w:before="120" w:after="100" w:afterAutospacing="1" w:line="240" w:lineRule="auto"/>
              <w:rPr>
                <w:rFonts w:cs="Arial"/>
                <w:szCs w:val="20"/>
              </w:rPr>
            </w:pPr>
            <w:r w:rsidRPr="00C968CE">
              <w:rPr>
                <w:rFonts w:cs="Arial"/>
                <w:szCs w:val="20"/>
              </w:rPr>
              <w:t>Właściwości</w:t>
            </w:r>
          </w:p>
        </w:tc>
        <w:tc>
          <w:tcPr>
            <w:tcW w:w="922" w:type="dxa"/>
            <w:vMerge w:val="restart"/>
            <w:tcBorders>
              <w:top w:val="single" w:sz="8" w:space="0" w:color="auto"/>
              <w:left w:val="nil"/>
              <w:bottom w:val="single" w:sz="8" w:space="0" w:color="auto"/>
              <w:right w:val="single" w:sz="4" w:space="0" w:color="auto"/>
            </w:tcBorders>
            <w:vAlign w:val="center"/>
            <w:hideMark/>
          </w:tcPr>
          <w:p w14:paraId="53953204" w14:textId="77777777" w:rsidR="005F2528" w:rsidRPr="00C968CE" w:rsidRDefault="005F2528" w:rsidP="00C968CE">
            <w:pPr>
              <w:spacing w:before="120" w:after="100" w:afterAutospacing="1" w:line="240" w:lineRule="auto"/>
              <w:rPr>
                <w:rFonts w:cs="Arial"/>
                <w:szCs w:val="20"/>
              </w:rPr>
            </w:pPr>
            <w:r w:rsidRPr="00C968CE">
              <w:rPr>
                <w:rFonts w:cs="Arial"/>
                <w:szCs w:val="20"/>
              </w:rPr>
              <w:t>Jednostka</w:t>
            </w:r>
          </w:p>
        </w:tc>
        <w:tc>
          <w:tcPr>
            <w:tcW w:w="1626" w:type="dxa"/>
            <w:vMerge w:val="restart"/>
            <w:tcBorders>
              <w:top w:val="single" w:sz="8"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1DAC9DA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Metoda</w:t>
            </w:r>
          </w:p>
          <w:p w14:paraId="0229774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Badania</w:t>
            </w:r>
          </w:p>
        </w:tc>
        <w:tc>
          <w:tcPr>
            <w:tcW w:w="2056"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0BD17D3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asfalt</w:t>
            </w:r>
          </w:p>
          <w:p w14:paraId="7EBD771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MG 50/70-54/64</w:t>
            </w:r>
          </w:p>
        </w:tc>
        <w:tc>
          <w:tcPr>
            <w:tcW w:w="1872"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58E31C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asfalt</w:t>
            </w:r>
          </w:p>
          <w:p w14:paraId="7B18125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MG 35/50-57/69</w:t>
            </w:r>
          </w:p>
        </w:tc>
      </w:tr>
      <w:tr w:rsidR="005F2528" w:rsidRPr="00C968CE" w14:paraId="686106F3" w14:textId="77777777" w:rsidTr="005F2528">
        <w:tc>
          <w:tcPr>
            <w:tcW w:w="0" w:type="auto"/>
            <w:vMerge/>
            <w:tcBorders>
              <w:top w:val="single" w:sz="8" w:space="0" w:color="auto"/>
              <w:left w:val="single" w:sz="8" w:space="0" w:color="auto"/>
              <w:bottom w:val="single" w:sz="8" w:space="0" w:color="auto"/>
              <w:right w:val="single" w:sz="8" w:space="0" w:color="auto"/>
            </w:tcBorders>
            <w:vAlign w:val="center"/>
            <w:hideMark/>
          </w:tcPr>
          <w:p w14:paraId="167840BB"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4" w:space="0" w:color="auto"/>
            </w:tcBorders>
            <w:vAlign w:val="center"/>
            <w:hideMark/>
          </w:tcPr>
          <w:p w14:paraId="1E5812D0"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8" w:space="0" w:color="auto"/>
              <w:right w:val="single" w:sz="4" w:space="0" w:color="auto"/>
            </w:tcBorders>
            <w:vAlign w:val="center"/>
            <w:hideMark/>
          </w:tcPr>
          <w:p w14:paraId="33D676FA" w14:textId="77777777" w:rsidR="005F2528" w:rsidRPr="00C968CE" w:rsidRDefault="005F2528" w:rsidP="00C968CE">
            <w:pPr>
              <w:spacing w:line="240" w:lineRule="auto"/>
              <w:rPr>
                <w:rFonts w:cs="Arial"/>
                <w:szCs w:val="20"/>
              </w:rPr>
            </w:pPr>
          </w:p>
        </w:tc>
        <w:tc>
          <w:tcPr>
            <w:tcW w:w="0" w:type="auto"/>
            <w:vMerge/>
            <w:tcBorders>
              <w:top w:val="single" w:sz="8" w:space="0" w:color="auto"/>
              <w:left w:val="single" w:sz="4" w:space="0" w:color="auto"/>
              <w:bottom w:val="single" w:sz="8" w:space="0" w:color="auto"/>
              <w:right w:val="single" w:sz="8" w:space="0" w:color="auto"/>
            </w:tcBorders>
            <w:vAlign w:val="center"/>
            <w:hideMark/>
          </w:tcPr>
          <w:p w14:paraId="459F1E40" w14:textId="77777777" w:rsidR="005F2528" w:rsidRPr="00C968CE" w:rsidRDefault="005F2528" w:rsidP="00C968CE">
            <w:pPr>
              <w:spacing w:line="240" w:lineRule="auto"/>
              <w:rPr>
                <w:rFonts w:cs="Arial"/>
                <w:szCs w:val="20"/>
              </w:rPr>
            </w:pP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458576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wyma-ganie</w:t>
            </w:r>
          </w:p>
        </w:tc>
        <w:tc>
          <w:tcPr>
            <w:tcW w:w="91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C1D5E8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klasa</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DBF907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wyma-ganie</w:t>
            </w:r>
          </w:p>
        </w:tc>
        <w:tc>
          <w:tcPr>
            <w:tcW w:w="91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1727D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klasa</w:t>
            </w:r>
          </w:p>
        </w:tc>
      </w:tr>
      <w:tr w:rsidR="005F2528" w:rsidRPr="00C968CE" w14:paraId="7994BC7B"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5484E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5E7C3A1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Penetracja w 25°C</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ECE1F0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0,1 mm</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8A68F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1426 [21]</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CE91EB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50÷70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464B8C7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B59CB76" w14:textId="77777777" w:rsidR="005F2528" w:rsidRPr="00C968CE" w:rsidRDefault="005F2528" w:rsidP="00C968CE">
            <w:pPr>
              <w:spacing w:before="60" w:after="60" w:line="240" w:lineRule="auto"/>
              <w:rPr>
                <w:rFonts w:cs="Arial"/>
                <w:szCs w:val="20"/>
              </w:rPr>
            </w:pPr>
            <w:r w:rsidRPr="00C968CE">
              <w:rPr>
                <w:rFonts w:cs="Arial"/>
                <w:szCs w:val="20"/>
              </w:rPr>
              <w:t>35÷50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1EDF5A37" w14:textId="77777777" w:rsidR="005F2528" w:rsidRPr="00C968CE" w:rsidRDefault="005F2528" w:rsidP="00C968CE">
            <w:pPr>
              <w:spacing w:before="60" w:after="60" w:line="240" w:lineRule="auto"/>
              <w:rPr>
                <w:rFonts w:cs="Arial"/>
                <w:szCs w:val="20"/>
              </w:rPr>
            </w:pPr>
            <w:r w:rsidRPr="00C968CE">
              <w:rPr>
                <w:rFonts w:cs="Arial"/>
                <w:szCs w:val="20"/>
              </w:rPr>
              <w:t>3</w:t>
            </w:r>
          </w:p>
        </w:tc>
      </w:tr>
      <w:tr w:rsidR="005F2528" w:rsidRPr="00C968CE" w14:paraId="404B6398"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A0FA5F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255F6C3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mięknienia</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8C7789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76AD17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1427 [22]</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7F27F1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54÷64</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0D01C24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864D53" w14:textId="77777777" w:rsidR="005F2528" w:rsidRPr="00C968CE" w:rsidRDefault="005F2528" w:rsidP="00C968CE">
            <w:pPr>
              <w:spacing w:before="60" w:after="60" w:line="240" w:lineRule="auto"/>
              <w:rPr>
                <w:rFonts w:cs="Arial"/>
                <w:szCs w:val="20"/>
              </w:rPr>
            </w:pPr>
            <w:r w:rsidRPr="00C968CE">
              <w:rPr>
                <w:rFonts w:cs="Arial"/>
                <w:szCs w:val="20"/>
              </w:rPr>
              <w:t>57÷69</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1651197C" w14:textId="77777777" w:rsidR="005F2528" w:rsidRPr="00C968CE" w:rsidRDefault="005F2528" w:rsidP="00C968CE">
            <w:pPr>
              <w:spacing w:before="60" w:after="60" w:line="240" w:lineRule="auto"/>
              <w:rPr>
                <w:rFonts w:cs="Arial"/>
                <w:szCs w:val="20"/>
              </w:rPr>
            </w:pPr>
            <w:r w:rsidRPr="00C968CE">
              <w:rPr>
                <w:rFonts w:cs="Arial"/>
                <w:szCs w:val="20"/>
              </w:rPr>
              <w:t>1</w:t>
            </w:r>
          </w:p>
        </w:tc>
      </w:tr>
      <w:tr w:rsidR="005F2528" w:rsidRPr="00C968CE" w14:paraId="6C686C2F"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3884E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3E4E6A3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Indeks penetracji</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14E1FA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D20B7F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13924-2 [65]</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3F1D7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+0,3 do +2,0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7F5AD6D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AF0EA2B" w14:textId="77777777" w:rsidR="005F2528" w:rsidRPr="00C968CE" w:rsidRDefault="005F2528" w:rsidP="00C968CE">
            <w:pPr>
              <w:spacing w:before="60" w:after="60" w:line="240" w:lineRule="auto"/>
              <w:rPr>
                <w:rFonts w:cs="Arial"/>
                <w:szCs w:val="20"/>
              </w:rPr>
            </w:pPr>
            <w:r w:rsidRPr="00C968CE">
              <w:rPr>
                <w:rFonts w:cs="Arial"/>
                <w:szCs w:val="20"/>
              </w:rPr>
              <w:t xml:space="preserve">+0,3 </w:t>
            </w:r>
          </w:p>
          <w:p w14:paraId="67545B65" w14:textId="77777777" w:rsidR="005F2528" w:rsidRPr="00C968CE" w:rsidRDefault="005F2528" w:rsidP="00C968CE">
            <w:pPr>
              <w:spacing w:before="60" w:after="60" w:line="240" w:lineRule="auto"/>
              <w:rPr>
                <w:rFonts w:cs="Arial"/>
                <w:szCs w:val="20"/>
              </w:rPr>
            </w:pPr>
            <w:r w:rsidRPr="00C968CE">
              <w:rPr>
                <w:rFonts w:cs="Arial"/>
                <w:szCs w:val="20"/>
              </w:rPr>
              <w:t>do +2,0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2A43217C" w14:textId="77777777" w:rsidR="005F2528" w:rsidRPr="00C968CE" w:rsidRDefault="005F2528" w:rsidP="00C968CE">
            <w:pPr>
              <w:spacing w:before="60" w:after="60" w:line="240" w:lineRule="auto"/>
              <w:rPr>
                <w:rFonts w:cs="Arial"/>
                <w:szCs w:val="20"/>
              </w:rPr>
            </w:pPr>
            <w:r w:rsidRPr="00C968CE">
              <w:rPr>
                <w:rFonts w:cs="Arial"/>
                <w:szCs w:val="20"/>
              </w:rPr>
              <w:t>3</w:t>
            </w:r>
          </w:p>
        </w:tc>
      </w:tr>
      <w:tr w:rsidR="005F2528" w:rsidRPr="00C968CE" w14:paraId="55CE166B"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D0B349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31EE80D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zapłonu,</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5D0AFA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EFC92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ISO 2592 [70]</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704A01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≥250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077E00F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7F824E8" w14:textId="77777777" w:rsidR="005F2528" w:rsidRPr="00C968CE" w:rsidRDefault="005F2528" w:rsidP="00C968CE">
            <w:pPr>
              <w:spacing w:before="60" w:after="60" w:line="240" w:lineRule="auto"/>
              <w:rPr>
                <w:rFonts w:cs="Arial"/>
                <w:szCs w:val="20"/>
              </w:rPr>
            </w:pPr>
            <w:r w:rsidRPr="00C968CE">
              <w:rPr>
                <w:rFonts w:cs="Arial"/>
                <w:szCs w:val="20"/>
              </w:rPr>
              <w:t>≥250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55AC8097" w14:textId="77777777" w:rsidR="005F2528" w:rsidRPr="00C968CE" w:rsidRDefault="005F2528" w:rsidP="00C968CE">
            <w:pPr>
              <w:spacing w:before="60" w:after="60" w:line="240" w:lineRule="auto"/>
              <w:rPr>
                <w:rFonts w:cs="Arial"/>
                <w:szCs w:val="20"/>
              </w:rPr>
            </w:pPr>
            <w:r w:rsidRPr="00C968CE">
              <w:rPr>
                <w:rFonts w:cs="Arial"/>
                <w:szCs w:val="20"/>
              </w:rPr>
              <w:t>4</w:t>
            </w:r>
          </w:p>
        </w:tc>
      </w:tr>
      <w:tr w:rsidR="005F2528" w:rsidRPr="00C968CE" w14:paraId="09743EC4"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3EE07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2D36D82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Rozpuszczalność</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101C1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112DE8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12592 [25]</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BF0772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≥99,0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6318DCC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BDAA505" w14:textId="77777777" w:rsidR="005F2528" w:rsidRPr="00C968CE" w:rsidRDefault="005F2528" w:rsidP="00C968CE">
            <w:pPr>
              <w:spacing w:before="60" w:after="60" w:line="240" w:lineRule="auto"/>
              <w:rPr>
                <w:rFonts w:cs="Arial"/>
                <w:szCs w:val="20"/>
              </w:rPr>
            </w:pPr>
            <w:r w:rsidRPr="00C968CE">
              <w:rPr>
                <w:rFonts w:cs="Arial"/>
                <w:szCs w:val="20"/>
              </w:rPr>
              <w:t>≥99,0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1DF98BC8" w14:textId="77777777" w:rsidR="005F2528" w:rsidRPr="00C968CE" w:rsidRDefault="005F2528" w:rsidP="00C968CE">
            <w:pPr>
              <w:spacing w:before="60" w:after="60" w:line="240" w:lineRule="auto"/>
              <w:rPr>
                <w:rFonts w:cs="Arial"/>
                <w:szCs w:val="20"/>
              </w:rPr>
            </w:pPr>
            <w:r w:rsidRPr="00C968CE">
              <w:rPr>
                <w:rFonts w:cs="Arial"/>
                <w:szCs w:val="20"/>
              </w:rPr>
              <w:t>2</w:t>
            </w:r>
          </w:p>
        </w:tc>
      </w:tr>
      <w:tr w:rsidR="005F2528" w:rsidRPr="00C968CE" w14:paraId="2CA62299"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98A72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3A50E3E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łamliwości Fraassa</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C44B86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3629E2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12593 [26]</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95954F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≤-17</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731D870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ED22F1F" w14:textId="77777777" w:rsidR="005F2528" w:rsidRPr="00C968CE" w:rsidRDefault="005F2528" w:rsidP="00C968CE">
            <w:pPr>
              <w:spacing w:before="60" w:after="60" w:line="240" w:lineRule="auto"/>
              <w:rPr>
                <w:rFonts w:cs="Arial"/>
                <w:szCs w:val="20"/>
              </w:rPr>
            </w:pPr>
            <w:r w:rsidRPr="00C968CE">
              <w:rPr>
                <w:rFonts w:cs="Arial"/>
                <w:szCs w:val="20"/>
              </w:rPr>
              <w:t>≤-15</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7066A3C8" w14:textId="77777777" w:rsidR="005F2528" w:rsidRPr="00C968CE" w:rsidRDefault="005F2528" w:rsidP="00C968CE">
            <w:pPr>
              <w:spacing w:before="60" w:after="60" w:line="240" w:lineRule="auto"/>
              <w:rPr>
                <w:rFonts w:cs="Arial"/>
                <w:szCs w:val="20"/>
              </w:rPr>
            </w:pPr>
            <w:r w:rsidRPr="00C968CE">
              <w:rPr>
                <w:rFonts w:cs="Arial"/>
                <w:szCs w:val="20"/>
              </w:rPr>
              <w:t>4</w:t>
            </w:r>
          </w:p>
        </w:tc>
      </w:tr>
      <w:tr w:rsidR="005F2528" w:rsidRPr="00C968CE" w14:paraId="649FF8F2"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8A13A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582015B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Lepkość dynamiczna w 60°C</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1ED6AF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Pa∙s</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C2C5D2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12596 [28]</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CFE13C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≥900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3A48BFA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3EE7E0F" w14:textId="77777777" w:rsidR="005F2528" w:rsidRPr="00C968CE" w:rsidRDefault="005F2528" w:rsidP="00C968CE">
            <w:pPr>
              <w:spacing w:before="60" w:after="60" w:line="240" w:lineRule="auto"/>
              <w:rPr>
                <w:rFonts w:cs="Arial"/>
                <w:szCs w:val="20"/>
              </w:rPr>
            </w:pPr>
            <w:r w:rsidRPr="00C968CE">
              <w:rPr>
                <w:rFonts w:cs="Arial"/>
                <w:szCs w:val="20"/>
              </w:rPr>
              <w:t>≥1500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3F66C4FD" w14:textId="77777777" w:rsidR="005F2528" w:rsidRPr="00C968CE" w:rsidRDefault="005F2528" w:rsidP="00C968CE">
            <w:pPr>
              <w:spacing w:before="60" w:after="60" w:line="240" w:lineRule="auto"/>
              <w:rPr>
                <w:rFonts w:cs="Arial"/>
                <w:szCs w:val="20"/>
              </w:rPr>
            </w:pPr>
            <w:r w:rsidRPr="00C968CE">
              <w:rPr>
                <w:rFonts w:cs="Arial"/>
                <w:szCs w:val="20"/>
              </w:rPr>
              <w:t>5</w:t>
            </w:r>
          </w:p>
        </w:tc>
      </w:tr>
      <w:tr w:rsidR="005F2528" w:rsidRPr="00C968CE" w14:paraId="3E511508"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81E505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6DFD70D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Lepkość kinematyczna w 135°C</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E0159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mm</w:t>
            </w:r>
            <w:r w:rsidRPr="00C968CE">
              <w:rPr>
                <w:rFonts w:cs="Arial"/>
                <w:szCs w:val="20"/>
                <w:vertAlign w:val="superscript"/>
              </w:rPr>
              <w:t>2</w:t>
            </w:r>
            <w:r w:rsidRPr="00C968CE">
              <w:rPr>
                <w:rFonts w:cs="Arial"/>
                <w:szCs w:val="20"/>
              </w:rPr>
              <w:t>/s</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5A9485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12595 [27]</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A49804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Brak wymagań</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60CA3C7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97E8EED" w14:textId="77777777" w:rsidR="005F2528" w:rsidRPr="00C968CE" w:rsidRDefault="005F2528" w:rsidP="00C968CE">
            <w:pPr>
              <w:spacing w:before="60" w:after="60" w:line="240" w:lineRule="auto"/>
              <w:rPr>
                <w:rFonts w:cs="Arial"/>
                <w:szCs w:val="20"/>
              </w:rPr>
            </w:pPr>
            <w:r w:rsidRPr="00C968CE">
              <w:rPr>
                <w:rFonts w:cs="Arial"/>
                <w:szCs w:val="20"/>
              </w:rPr>
              <w:t>brak wyma-gań</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173DF0F1" w14:textId="77777777" w:rsidR="005F2528" w:rsidRPr="00C968CE" w:rsidRDefault="005F2528" w:rsidP="00C968CE">
            <w:pPr>
              <w:spacing w:before="60" w:after="60" w:line="240" w:lineRule="auto"/>
              <w:rPr>
                <w:rFonts w:cs="Arial"/>
                <w:szCs w:val="20"/>
              </w:rPr>
            </w:pPr>
            <w:r w:rsidRPr="00C968CE">
              <w:rPr>
                <w:rFonts w:cs="Arial"/>
                <w:szCs w:val="20"/>
              </w:rPr>
              <w:t>0</w:t>
            </w:r>
          </w:p>
        </w:tc>
      </w:tr>
      <w:tr w:rsidR="005F2528" w:rsidRPr="00C968CE" w14:paraId="7BD9F72C" w14:textId="77777777" w:rsidTr="005F2528">
        <w:tc>
          <w:tcPr>
            <w:tcW w:w="8896" w:type="dxa"/>
            <w:gridSpan w:val="8"/>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7A0B8A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po starzeniu</w:t>
            </w:r>
          </w:p>
        </w:tc>
      </w:tr>
      <w:tr w:rsidR="005F2528" w:rsidRPr="00C968CE" w14:paraId="57F1372A"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3EC5ED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4E00960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Pozostała penetracja po starzeniu</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787B47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C2284E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1426 [21]</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352808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1F1A257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491D3A2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14D9D4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19985B5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04F5775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r>
      <w:tr w:rsidR="005F2528" w:rsidRPr="00C968CE" w14:paraId="1B2FD806"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DE189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72614DC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Wzrost temperatury mięknienia po </w:t>
            </w:r>
            <w:r w:rsidRPr="00C968CE">
              <w:rPr>
                <w:rFonts w:cs="Arial"/>
                <w:szCs w:val="20"/>
              </w:rPr>
              <w:lastRenderedPageBreak/>
              <w:t>starzeniu</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9F2136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°C</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E01CB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1427 [22]</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EBB0D8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390199C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0D753C9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5A12EE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915" w:type="dxa"/>
            <w:tcBorders>
              <w:top w:val="nil"/>
              <w:left w:val="nil"/>
              <w:bottom w:val="single" w:sz="8" w:space="0" w:color="auto"/>
              <w:right w:val="single" w:sz="8" w:space="0" w:color="auto"/>
            </w:tcBorders>
            <w:tcMar>
              <w:top w:w="0" w:type="dxa"/>
              <w:left w:w="108" w:type="dxa"/>
              <w:bottom w:w="0" w:type="dxa"/>
              <w:right w:w="108" w:type="dxa"/>
            </w:tcMar>
            <w:hideMark/>
          </w:tcPr>
          <w:p w14:paraId="73918F3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3230F4E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r>
      <w:tr w:rsidR="005F2528" w:rsidRPr="00C968CE" w14:paraId="19C304A2" w14:textId="77777777" w:rsidTr="005F2528">
        <w:tc>
          <w:tcPr>
            <w:tcW w:w="57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57F281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11</w:t>
            </w:r>
          </w:p>
        </w:tc>
        <w:tc>
          <w:tcPr>
            <w:tcW w:w="1845" w:type="dxa"/>
            <w:tcBorders>
              <w:top w:val="nil"/>
              <w:left w:val="nil"/>
              <w:bottom w:val="single" w:sz="8" w:space="0" w:color="auto"/>
              <w:right w:val="single" w:sz="8" w:space="0" w:color="auto"/>
            </w:tcBorders>
            <w:tcMar>
              <w:top w:w="0" w:type="dxa"/>
              <w:left w:w="108" w:type="dxa"/>
              <w:bottom w:w="0" w:type="dxa"/>
              <w:right w:w="108" w:type="dxa"/>
            </w:tcMar>
            <w:hideMark/>
          </w:tcPr>
          <w:p w14:paraId="4A30A50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Zmiana masy po starzeniu</w:t>
            </w:r>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7381F1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6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F0D808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12607-1[29]</w:t>
            </w:r>
          </w:p>
        </w:tc>
        <w:tc>
          <w:tcPr>
            <w:tcW w:w="114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407DC2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&lt;0,5</w:t>
            </w:r>
          </w:p>
        </w:tc>
        <w:tc>
          <w:tcPr>
            <w:tcW w:w="91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C96D29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c>
          <w:tcPr>
            <w:tcW w:w="95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18AFD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&lt;0,5</w:t>
            </w:r>
          </w:p>
        </w:tc>
        <w:tc>
          <w:tcPr>
            <w:tcW w:w="91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1E703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r>
    </w:tbl>
    <w:p w14:paraId="699585D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283CF59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14:paraId="45A6127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Polimeroasfalt powinien być magazynowany w zbiorniku wyposażonym w system grzewczy pośredni z termostatem kontrolującym temperaturę z dokładnością  ± 5°C.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0F2062EA"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Temperatura lepiszcza asfaltowego w zbiorniku magazynowym (roboczym) nie powinna przekraczać w okresie krótkotrwałym, nie dłuższym niż 5 dni,  poniższych wartości: </w:t>
      </w:r>
    </w:p>
    <w:p w14:paraId="687F5723" w14:textId="77777777" w:rsidR="005F2528" w:rsidRPr="00C968CE" w:rsidRDefault="005F2528" w:rsidP="00C968CE">
      <w:pPr>
        <w:spacing w:before="100" w:beforeAutospacing="1" w:after="100" w:afterAutospacing="1" w:line="240" w:lineRule="auto"/>
        <w:ind w:left="720" w:hanging="360"/>
        <w:rPr>
          <w:rFonts w:cs="Arial"/>
          <w:szCs w:val="20"/>
        </w:rPr>
      </w:pPr>
      <w:r w:rsidRPr="00C968CE">
        <w:rPr>
          <w:rFonts w:cs="Arial"/>
          <w:szCs w:val="20"/>
        </w:rPr>
        <w:t>–         asfaltu drogowego 35/50: 190°C,</w:t>
      </w:r>
    </w:p>
    <w:p w14:paraId="783ED964" w14:textId="77777777" w:rsidR="005F2528" w:rsidRPr="00C968CE" w:rsidRDefault="005F2528" w:rsidP="00C968CE">
      <w:pPr>
        <w:spacing w:before="100" w:beforeAutospacing="1" w:after="100" w:afterAutospacing="1" w:line="240" w:lineRule="auto"/>
        <w:ind w:left="720" w:hanging="360"/>
        <w:rPr>
          <w:rFonts w:cs="Arial"/>
          <w:szCs w:val="20"/>
        </w:rPr>
      </w:pPr>
      <w:r w:rsidRPr="00C968CE">
        <w:rPr>
          <w:rFonts w:cs="Arial"/>
          <w:szCs w:val="20"/>
        </w:rPr>
        <w:t>–         asfaltu drogowego 50/70: 180°C,</w:t>
      </w:r>
    </w:p>
    <w:p w14:paraId="1E26BEF3" w14:textId="77777777" w:rsidR="005F2528" w:rsidRPr="00C968CE" w:rsidRDefault="005F2528" w:rsidP="00C968CE">
      <w:pPr>
        <w:spacing w:before="100" w:beforeAutospacing="1" w:after="100" w:afterAutospacing="1" w:line="240" w:lineRule="auto"/>
        <w:ind w:left="720" w:hanging="360"/>
        <w:rPr>
          <w:rFonts w:cs="Arial"/>
          <w:szCs w:val="20"/>
        </w:rPr>
      </w:pPr>
      <w:r w:rsidRPr="00C968CE">
        <w:rPr>
          <w:rFonts w:cs="Arial"/>
          <w:szCs w:val="20"/>
        </w:rPr>
        <w:t>–         polimeroasfaltu: wg wskazań producenta,</w:t>
      </w:r>
    </w:p>
    <w:p w14:paraId="4F78403A" w14:textId="77777777" w:rsidR="005F2528" w:rsidRPr="00C968CE" w:rsidRDefault="005F2528" w:rsidP="00C968CE">
      <w:pPr>
        <w:spacing w:before="100" w:beforeAutospacing="1" w:after="100" w:afterAutospacing="1" w:line="240" w:lineRule="auto"/>
        <w:ind w:left="720" w:hanging="360"/>
        <w:rPr>
          <w:rFonts w:cs="Arial"/>
          <w:szCs w:val="20"/>
        </w:rPr>
      </w:pPr>
      <w:r w:rsidRPr="00C968CE">
        <w:rPr>
          <w:rFonts w:cs="Arial"/>
          <w:szCs w:val="20"/>
        </w:rPr>
        <w:t>–         asfaltu drogowego wielorodzajowego: wg wskazań producenta.</w:t>
      </w:r>
    </w:p>
    <w:p w14:paraId="5344C3A4"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W celu ograniczenia ilości emisji gazów cieplarnianych oraz obniżenia temperatury mieszania składników i poprawienia urabialności mma dopuszcza się zastosowanie asfaltu spienionego. </w:t>
      </w:r>
    </w:p>
    <w:p w14:paraId="10124ADD"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 xml:space="preserve">2.4. Kruszywo </w:t>
      </w:r>
    </w:p>
    <w:p w14:paraId="36718C8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Do warstwy podbudowy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3D29A83B"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Jeżeli stosowana jest mieszanka kruszywa drobnego niełamanego i łamanego, to należy przyjąć proporcje kruszywa łamanego do niełamanego co najmniej 50/50.</w:t>
      </w:r>
    </w:p>
    <w:p w14:paraId="0227C351"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Kruszywa powinny spełniać wymagania podane w WT-1 Kruszywa 2014 [81],  wg tablic poniżej.</w:t>
      </w:r>
    </w:p>
    <w:p w14:paraId="4A7CB2C6" w14:textId="77777777" w:rsidR="005F2528" w:rsidRPr="00C968CE" w:rsidRDefault="005F2528" w:rsidP="00C968CE">
      <w:pPr>
        <w:spacing w:before="100" w:beforeAutospacing="1" w:after="100" w:afterAutospacing="1" w:line="240" w:lineRule="auto"/>
        <w:ind w:left="360" w:hanging="360"/>
        <w:rPr>
          <w:rFonts w:cs="Arial"/>
          <w:szCs w:val="20"/>
        </w:rPr>
      </w:pPr>
      <w:r w:rsidRPr="00C968CE">
        <w:rPr>
          <w:rFonts w:cs="Arial"/>
          <w:szCs w:val="20"/>
        </w:rPr>
        <w:t>a) Kruszywo grube do podbudowy z betonu asfaltowego powinno spełniać wymagania podane w tablicy 6.</w:t>
      </w:r>
    </w:p>
    <w:p w14:paraId="2CE32030" w14:textId="77777777" w:rsidR="005F2528" w:rsidRPr="00C968CE" w:rsidRDefault="005F2528" w:rsidP="00C968CE">
      <w:pPr>
        <w:spacing w:before="120" w:after="120" w:line="240" w:lineRule="auto"/>
        <w:ind w:left="993" w:hanging="993"/>
        <w:rPr>
          <w:rFonts w:cs="Arial"/>
          <w:szCs w:val="20"/>
        </w:rPr>
      </w:pPr>
      <w:r w:rsidRPr="00C968CE">
        <w:rPr>
          <w:rFonts w:cs="Arial"/>
          <w:szCs w:val="20"/>
        </w:rPr>
        <w:t>Tablica 6. Wymagane właściwości kruszywa grubego do podbudowy  z betonu asfaltowego</w:t>
      </w:r>
    </w:p>
    <w:tbl>
      <w:tblPr>
        <w:tblW w:w="8830" w:type="dxa"/>
        <w:tblInd w:w="108" w:type="dxa"/>
        <w:tblCellMar>
          <w:left w:w="0" w:type="dxa"/>
          <w:right w:w="0" w:type="dxa"/>
        </w:tblCellMar>
        <w:tblLook w:val="04A0" w:firstRow="1" w:lastRow="0" w:firstColumn="1" w:lastColumn="0" w:noHBand="0" w:noVBand="1"/>
      </w:tblPr>
      <w:tblGrid>
        <w:gridCol w:w="568"/>
        <w:gridCol w:w="3966"/>
        <w:gridCol w:w="8"/>
        <w:gridCol w:w="1424"/>
        <w:gridCol w:w="1412"/>
        <w:gridCol w:w="8"/>
        <w:gridCol w:w="1444"/>
      </w:tblGrid>
      <w:tr w:rsidR="005F2528" w:rsidRPr="00C968CE" w14:paraId="43F1DEA2" w14:textId="77777777" w:rsidTr="005F2528">
        <w:trPr>
          <w:trHeight w:val="582"/>
        </w:trPr>
        <w:tc>
          <w:tcPr>
            <w:tcW w:w="568" w:type="dxa"/>
            <w:vMerge w:val="restart"/>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14:paraId="20569C2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35B0EE9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Lp.</w:t>
            </w:r>
          </w:p>
        </w:tc>
        <w:tc>
          <w:tcPr>
            <w:tcW w:w="3974" w:type="dxa"/>
            <w:gridSpan w:val="2"/>
            <w:vMerge w:val="restart"/>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5FBDE4B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12FBC30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kruszywa</w:t>
            </w:r>
          </w:p>
        </w:tc>
        <w:tc>
          <w:tcPr>
            <w:tcW w:w="4288" w:type="dxa"/>
            <w:gridSpan w:val="4"/>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5F75C42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Wymagania w zależności od kategorii ruchu</w:t>
            </w:r>
          </w:p>
        </w:tc>
      </w:tr>
      <w:tr w:rsidR="005F2528" w:rsidRPr="00C968CE" w14:paraId="4A8CBF86" w14:textId="77777777" w:rsidTr="005F2528">
        <w:trPr>
          <w:trHeight w:val="321"/>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0F6D2FB" w14:textId="77777777" w:rsidR="005F2528" w:rsidRPr="00C968CE" w:rsidRDefault="005F2528" w:rsidP="00C968CE">
            <w:pPr>
              <w:spacing w:line="240" w:lineRule="auto"/>
              <w:rPr>
                <w:rFonts w:cs="Arial"/>
                <w:szCs w:val="20"/>
              </w:rPr>
            </w:pPr>
          </w:p>
        </w:tc>
        <w:tc>
          <w:tcPr>
            <w:tcW w:w="0" w:type="auto"/>
            <w:gridSpan w:val="2"/>
            <w:vMerge/>
            <w:tcBorders>
              <w:top w:val="single" w:sz="8" w:space="0" w:color="000000"/>
              <w:left w:val="nil"/>
              <w:bottom w:val="single" w:sz="8" w:space="0" w:color="000000"/>
              <w:right w:val="single" w:sz="8" w:space="0" w:color="000000"/>
            </w:tcBorders>
            <w:vAlign w:val="center"/>
            <w:hideMark/>
          </w:tcPr>
          <w:p w14:paraId="0808B0C4" w14:textId="77777777" w:rsidR="005F2528" w:rsidRPr="00C968CE" w:rsidRDefault="005F2528" w:rsidP="00C968CE">
            <w:pPr>
              <w:spacing w:line="240" w:lineRule="auto"/>
              <w:rPr>
                <w:rFonts w:cs="Arial"/>
                <w:szCs w:val="20"/>
              </w:rPr>
            </w:pPr>
          </w:p>
        </w:tc>
        <w:tc>
          <w:tcPr>
            <w:tcW w:w="142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07210E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KR1 ¸ KR2</w:t>
            </w:r>
          </w:p>
        </w:tc>
        <w:tc>
          <w:tcPr>
            <w:tcW w:w="1420"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42FFC65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KR3 ¸ KR4</w:t>
            </w:r>
          </w:p>
        </w:tc>
        <w:tc>
          <w:tcPr>
            <w:tcW w:w="144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967B4B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KR5 ¸ KR7</w:t>
            </w:r>
          </w:p>
        </w:tc>
      </w:tr>
      <w:tr w:rsidR="005F2528" w:rsidRPr="00C968CE" w14:paraId="227CB5F8" w14:textId="77777777" w:rsidTr="005F2528">
        <w:trPr>
          <w:trHeight w:val="582"/>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49C58D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c>
          <w:tcPr>
            <w:tcW w:w="3966"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D09E05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Uziarnienie według PN-EN 933-1 [6]; kategoria nie niższa niż:</w:t>
            </w:r>
          </w:p>
        </w:tc>
        <w:tc>
          <w:tcPr>
            <w:tcW w:w="1432"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EEF489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C</w:t>
            </w:r>
            <w:r w:rsidRPr="00C968CE">
              <w:rPr>
                <w:rFonts w:cs="Arial"/>
                <w:szCs w:val="20"/>
              </w:rPr>
              <w:t>85/20</w:t>
            </w:r>
          </w:p>
        </w:tc>
        <w:tc>
          <w:tcPr>
            <w:tcW w:w="1412"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CC06F13" w14:textId="77777777" w:rsidR="005F2528" w:rsidRPr="00C968CE" w:rsidRDefault="005F2528" w:rsidP="00C968CE">
            <w:pPr>
              <w:spacing w:before="120" w:after="100" w:afterAutospacing="1" w:line="240" w:lineRule="auto"/>
              <w:rPr>
                <w:rFonts w:cs="Arial"/>
                <w:szCs w:val="20"/>
              </w:rPr>
            </w:pPr>
            <w:r w:rsidRPr="00C968CE">
              <w:rPr>
                <w:rFonts w:cs="Arial"/>
                <w:szCs w:val="20"/>
              </w:rPr>
              <w:t>G</w:t>
            </w:r>
            <w:r w:rsidRPr="00C968CE">
              <w:rPr>
                <w:rFonts w:cs="Arial"/>
                <w:szCs w:val="20"/>
                <w:vertAlign w:val="subscript"/>
              </w:rPr>
              <w:t>C</w:t>
            </w:r>
            <w:r w:rsidRPr="00C968CE">
              <w:rPr>
                <w:rFonts w:cs="Arial"/>
                <w:szCs w:val="20"/>
              </w:rPr>
              <w:t>85/20</w:t>
            </w:r>
          </w:p>
        </w:tc>
        <w:tc>
          <w:tcPr>
            <w:tcW w:w="1452"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4D71D171" w14:textId="77777777" w:rsidR="005F2528" w:rsidRPr="00C968CE" w:rsidRDefault="005F2528" w:rsidP="00C968CE">
            <w:pPr>
              <w:spacing w:before="120" w:after="100" w:afterAutospacing="1" w:line="240" w:lineRule="auto"/>
              <w:rPr>
                <w:rFonts w:cs="Arial"/>
                <w:szCs w:val="20"/>
              </w:rPr>
            </w:pPr>
            <w:r w:rsidRPr="00C968CE">
              <w:rPr>
                <w:rFonts w:cs="Arial"/>
                <w:szCs w:val="20"/>
              </w:rPr>
              <w:t>G</w:t>
            </w:r>
            <w:r w:rsidRPr="00C968CE">
              <w:rPr>
                <w:rFonts w:cs="Arial"/>
                <w:szCs w:val="20"/>
                <w:vertAlign w:val="subscript"/>
              </w:rPr>
              <w:t>C</w:t>
            </w:r>
            <w:r w:rsidRPr="00C968CE">
              <w:rPr>
                <w:rFonts w:cs="Arial"/>
                <w:szCs w:val="20"/>
              </w:rPr>
              <w:t>85/20</w:t>
            </w:r>
          </w:p>
        </w:tc>
      </w:tr>
      <w:tr w:rsidR="005F2528" w:rsidRPr="00C968CE" w14:paraId="1E895F61" w14:textId="77777777" w:rsidTr="005F2528">
        <w:trPr>
          <w:trHeight w:val="872"/>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55D9D5F" w14:textId="77777777" w:rsidR="005F2528" w:rsidRPr="00C968CE" w:rsidRDefault="005F2528" w:rsidP="00C968CE">
            <w:pPr>
              <w:spacing w:before="120" w:after="100" w:afterAutospacing="1" w:line="240" w:lineRule="auto"/>
              <w:rPr>
                <w:rFonts w:cs="Arial"/>
                <w:szCs w:val="20"/>
              </w:rPr>
            </w:pPr>
            <w:r w:rsidRPr="00C968CE">
              <w:rPr>
                <w:rFonts w:cs="Arial"/>
                <w:szCs w:val="20"/>
              </w:rPr>
              <w:t>2</w:t>
            </w:r>
          </w:p>
        </w:tc>
        <w:tc>
          <w:tcPr>
            <w:tcW w:w="3966"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136B1AC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Tolerancja uziarnienia; odchylenia nie większe niż według kategorii:</w:t>
            </w:r>
          </w:p>
        </w:tc>
        <w:tc>
          <w:tcPr>
            <w:tcW w:w="1432"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0EEF394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25/15</w:t>
            </w:r>
          </w:p>
          <w:p w14:paraId="0A74613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20/15</w:t>
            </w:r>
          </w:p>
          <w:p w14:paraId="2DC20BF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20/17,5</w:t>
            </w:r>
          </w:p>
        </w:tc>
        <w:tc>
          <w:tcPr>
            <w:tcW w:w="1412"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852CBA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25/15</w:t>
            </w:r>
          </w:p>
          <w:p w14:paraId="6B5C220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20/15</w:t>
            </w:r>
          </w:p>
          <w:p w14:paraId="48926E9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20/17,5</w:t>
            </w:r>
          </w:p>
        </w:tc>
        <w:tc>
          <w:tcPr>
            <w:tcW w:w="1452"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4AA517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25/15</w:t>
            </w:r>
          </w:p>
          <w:p w14:paraId="0504AA5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20/15</w:t>
            </w:r>
          </w:p>
          <w:p w14:paraId="1F085AA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20/17,5</w:t>
            </w:r>
          </w:p>
        </w:tc>
      </w:tr>
      <w:tr w:rsidR="005F2528" w:rsidRPr="00C968CE" w14:paraId="36AE3DE6" w14:textId="77777777" w:rsidTr="005F2528">
        <w:trPr>
          <w:trHeight w:val="582"/>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71CC90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3</w:t>
            </w:r>
          </w:p>
        </w:tc>
        <w:tc>
          <w:tcPr>
            <w:tcW w:w="3966"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658111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pyłu według PN-EN 933-1 [6]; kategoria nie wyższa niż:</w:t>
            </w:r>
          </w:p>
        </w:tc>
        <w:tc>
          <w:tcPr>
            <w:tcW w:w="1432"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3B957900"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f</w:t>
            </w:r>
            <w:r w:rsidRPr="00C968CE">
              <w:rPr>
                <w:rFonts w:cs="Arial"/>
                <w:szCs w:val="20"/>
                <w:vertAlign w:val="subscript"/>
              </w:rPr>
              <w:t>2</w:t>
            </w:r>
          </w:p>
        </w:tc>
        <w:tc>
          <w:tcPr>
            <w:tcW w:w="1412"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04FCB51"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f</w:t>
            </w:r>
            <w:r w:rsidRPr="00C968CE">
              <w:rPr>
                <w:rFonts w:cs="Arial"/>
                <w:szCs w:val="20"/>
                <w:vertAlign w:val="subscript"/>
              </w:rPr>
              <w:t>2</w:t>
            </w:r>
          </w:p>
        </w:tc>
        <w:tc>
          <w:tcPr>
            <w:tcW w:w="1452"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037C5DB"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w:t>
            </w:r>
            <w:r w:rsidRPr="00C968CE">
              <w:rPr>
                <w:rFonts w:cs="Arial"/>
                <w:szCs w:val="20"/>
                <w:vertAlign w:val="subscript"/>
              </w:rPr>
              <w:t>2</w:t>
            </w:r>
          </w:p>
        </w:tc>
      </w:tr>
      <w:tr w:rsidR="005F2528" w:rsidRPr="00C968CE" w14:paraId="154CC488" w14:textId="77777777" w:rsidTr="005F2528">
        <w:trPr>
          <w:trHeight w:val="872"/>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589642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3966"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12D38CC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Kształt kruszywa według PN-EN 933-3 [7] lub według PN-EN 933-4 [8]; kategoria nie wyższa niż:</w:t>
            </w:r>
          </w:p>
        </w:tc>
        <w:tc>
          <w:tcPr>
            <w:tcW w:w="1432"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58CC5DA5"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33317B5A"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FI</w:t>
            </w:r>
            <w:r w:rsidRPr="00C968CE">
              <w:rPr>
                <w:rFonts w:cs="Arial"/>
                <w:i/>
                <w:iCs/>
                <w:szCs w:val="20"/>
                <w:vertAlign w:val="subscript"/>
              </w:rPr>
              <w:t>50</w:t>
            </w:r>
            <w:r w:rsidRPr="00C968CE">
              <w:rPr>
                <w:rFonts w:cs="Arial"/>
                <w:szCs w:val="20"/>
              </w:rPr>
              <w:t xml:space="preserve"> lub </w:t>
            </w:r>
            <w:r w:rsidRPr="00C968CE">
              <w:rPr>
                <w:rFonts w:cs="Arial"/>
                <w:i/>
                <w:iCs/>
                <w:szCs w:val="20"/>
              </w:rPr>
              <w:t>SI</w:t>
            </w:r>
            <w:r w:rsidRPr="00C968CE">
              <w:rPr>
                <w:rFonts w:cs="Arial"/>
                <w:i/>
                <w:iCs/>
                <w:szCs w:val="20"/>
                <w:vertAlign w:val="subscript"/>
              </w:rPr>
              <w:t>50</w:t>
            </w:r>
          </w:p>
        </w:tc>
        <w:tc>
          <w:tcPr>
            <w:tcW w:w="1412"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C560191"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5A86D14B"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FI</w:t>
            </w:r>
            <w:r w:rsidRPr="00C968CE">
              <w:rPr>
                <w:rFonts w:cs="Arial"/>
                <w:i/>
                <w:iCs/>
                <w:szCs w:val="20"/>
                <w:vertAlign w:val="subscript"/>
              </w:rPr>
              <w:t>30</w:t>
            </w:r>
            <w:r w:rsidRPr="00C968CE">
              <w:rPr>
                <w:rFonts w:cs="Arial"/>
                <w:szCs w:val="20"/>
              </w:rPr>
              <w:t xml:space="preserve"> lub </w:t>
            </w:r>
            <w:r w:rsidRPr="00C968CE">
              <w:rPr>
                <w:rFonts w:cs="Arial"/>
                <w:i/>
                <w:iCs/>
                <w:szCs w:val="20"/>
              </w:rPr>
              <w:t>SI</w:t>
            </w:r>
            <w:r w:rsidRPr="00C968CE">
              <w:rPr>
                <w:rFonts w:cs="Arial"/>
                <w:i/>
                <w:iCs/>
                <w:szCs w:val="20"/>
                <w:vertAlign w:val="subscript"/>
              </w:rPr>
              <w:t>30</w:t>
            </w:r>
          </w:p>
        </w:tc>
        <w:tc>
          <w:tcPr>
            <w:tcW w:w="1452"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1181E3D"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FI</w:t>
            </w:r>
            <w:r w:rsidRPr="00C968CE">
              <w:rPr>
                <w:rFonts w:cs="Arial"/>
                <w:i/>
                <w:iCs/>
                <w:szCs w:val="20"/>
                <w:vertAlign w:val="subscript"/>
              </w:rPr>
              <w:t>30</w:t>
            </w:r>
            <w:r w:rsidRPr="00C968CE">
              <w:rPr>
                <w:rFonts w:cs="Arial"/>
                <w:szCs w:val="20"/>
              </w:rPr>
              <w:t xml:space="preserve"> lub </w:t>
            </w:r>
            <w:r w:rsidRPr="00C968CE">
              <w:rPr>
                <w:rFonts w:cs="Arial"/>
                <w:i/>
                <w:iCs/>
                <w:szCs w:val="20"/>
              </w:rPr>
              <w:t>SI</w:t>
            </w:r>
            <w:r w:rsidRPr="00C968CE">
              <w:rPr>
                <w:rFonts w:cs="Arial"/>
                <w:i/>
                <w:iCs/>
                <w:szCs w:val="20"/>
                <w:vertAlign w:val="subscript"/>
              </w:rPr>
              <w:t>30</w:t>
            </w:r>
          </w:p>
        </w:tc>
      </w:tr>
      <w:tr w:rsidR="005F2528" w:rsidRPr="00C968CE" w14:paraId="7AA1569D" w14:textId="77777777" w:rsidTr="005F2528">
        <w:trPr>
          <w:trHeight w:val="1163"/>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3D1C5BF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3966"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401E24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Procentowa zawartość ziaren o powierzchni przekruszonej i łamanej w kruszywie grubym według PN-EN 933-5 [9]; kategoria nie niższa niż:</w:t>
            </w:r>
          </w:p>
        </w:tc>
        <w:tc>
          <w:tcPr>
            <w:tcW w:w="1432"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575356A0" w14:textId="77777777" w:rsidR="005F2528" w:rsidRPr="00C968CE" w:rsidRDefault="005F2528" w:rsidP="00C968CE">
            <w:pPr>
              <w:spacing w:before="360" w:after="100" w:afterAutospacing="1" w:line="240" w:lineRule="auto"/>
              <w:rPr>
                <w:rFonts w:cs="Arial"/>
                <w:szCs w:val="20"/>
              </w:rPr>
            </w:pPr>
            <w:r w:rsidRPr="00C968CE">
              <w:rPr>
                <w:rFonts w:cs="Arial"/>
                <w:i/>
                <w:iCs/>
                <w:szCs w:val="20"/>
              </w:rPr>
              <w:t>C</w:t>
            </w:r>
            <w:r w:rsidRPr="00C968CE">
              <w:rPr>
                <w:rFonts w:cs="Arial"/>
                <w:i/>
                <w:iCs/>
                <w:szCs w:val="20"/>
                <w:vertAlign w:val="subscript"/>
              </w:rPr>
              <w:t>Deklarowana</w:t>
            </w:r>
          </w:p>
        </w:tc>
        <w:tc>
          <w:tcPr>
            <w:tcW w:w="1412"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32F09DF" w14:textId="77777777" w:rsidR="005F2528" w:rsidRPr="00C968CE" w:rsidRDefault="005F2528" w:rsidP="00C968CE">
            <w:pPr>
              <w:spacing w:before="360" w:after="100" w:afterAutospacing="1" w:line="240" w:lineRule="auto"/>
              <w:rPr>
                <w:rFonts w:cs="Arial"/>
                <w:szCs w:val="20"/>
              </w:rPr>
            </w:pPr>
            <w:r w:rsidRPr="00C968CE">
              <w:rPr>
                <w:rFonts w:cs="Arial"/>
                <w:i/>
                <w:iCs/>
                <w:szCs w:val="20"/>
              </w:rPr>
              <w:t>C</w:t>
            </w:r>
            <w:r w:rsidRPr="00C968CE">
              <w:rPr>
                <w:rFonts w:cs="Arial"/>
                <w:i/>
                <w:iCs/>
                <w:szCs w:val="20"/>
                <w:vertAlign w:val="subscript"/>
              </w:rPr>
              <w:t>50</w:t>
            </w:r>
            <w:r w:rsidRPr="00C968CE">
              <w:rPr>
                <w:rFonts w:cs="Arial"/>
                <w:szCs w:val="20"/>
                <w:vertAlign w:val="subscript"/>
              </w:rPr>
              <w:t>/30</w:t>
            </w:r>
          </w:p>
        </w:tc>
        <w:tc>
          <w:tcPr>
            <w:tcW w:w="1452"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2E9A905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C</w:t>
            </w:r>
            <w:r w:rsidRPr="00C968CE">
              <w:rPr>
                <w:rFonts w:cs="Arial"/>
                <w:i/>
                <w:iCs/>
                <w:szCs w:val="20"/>
                <w:vertAlign w:val="subscript"/>
              </w:rPr>
              <w:t>50</w:t>
            </w:r>
            <w:r w:rsidRPr="00C968CE">
              <w:rPr>
                <w:rFonts w:cs="Arial"/>
                <w:szCs w:val="20"/>
                <w:vertAlign w:val="subscript"/>
              </w:rPr>
              <w:t>/30</w:t>
            </w:r>
          </w:p>
        </w:tc>
      </w:tr>
      <w:tr w:rsidR="005F2528" w:rsidRPr="00C968CE" w14:paraId="6C22399B" w14:textId="77777777" w:rsidTr="005F2528">
        <w:trPr>
          <w:trHeight w:val="1454"/>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A84B78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70817E7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Odporność kruszywa na rozdrabnianie według normy PN-EN 1097-2 [13], badana na kruszywie o wymiarze 10/14, rozdział 5, kategoria nie wyższa niż:</w:t>
            </w:r>
          </w:p>
        </w:tc>
        <w:tc>
          <w:tcPr>
            <w:tcW w:w="142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2DEC0C7"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269668D6"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7340ABB6"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LA</w:t>
            </w:r>
            <w:r w:rsidRPr="00C968CE">
              <w:rPr>
                <w:rFonts w:cs="Arial"/>
                <w:i/>
                <w:iCs/>
                <w:szCs w:val="20"/>
                <w:vertAlign w:val="subscript"/>
              </w:rPr>
              <w:t>50</w:t>
            </w:r>
          </w:p>
        </w:tc>
        <w:tc>
          <w:tcPr>
            <w:tcW w:w="1420"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13085A62"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42801F6B"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48422017"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LA</w:t>
            </w:r>
            <w:r w:rsidRPr="00C968CE">
              <w:rPr>
                <w:rFonts w:cs="Arial"/>
                <w:i/>
                <w:iCs/>
                <w:szCs w:val="20"/>
                <w:vertAlign w:val="subscript"/>
              </w:rPr>
              <w:t>40</w:t>
            </w:r>
          </w:p>
        </w:tc>
        <w:tc>
          <w:tcPr>
            <w:tcW w:w="144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BD5F27D"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49C480F9"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1294A8F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LA</w:t>
            </w:r>
            <w:r w:rsidRPr="00C968CE">
              <w:rPr>
                <w:rFonts w:cs="Arial"/>
                <w:szCs w:val="20"/>
                <w:vertAlign w:val="subscript"/>
              </w:rPr>
              <w:t>40</w:t>
            </w:r>
          </w:p>
        </w:tc>
      </w:tr>
      <w:tr w:rsidR="005F2528" w:rsidRPr="00C968CE" w14:paraId="1A4EA0FC" w14:textId="77777777" w:rsidTr="005F2528">
        <w:trPr>
          <w:trHeight w:val="704"/>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7808EC8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9664B8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Gęstość ziaren według PN-EN 1097-6 [17], rozdział 7, 8 lub 9:</w:t>
            </w:r>
          </w:p>
        </w:tc>
        <w:tc>
          <w:tcPr>
            <w:tcW w:w="4288" w:type="dxa"/>
            <w:gridSpan w:val="4"/>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46BA60D" w14:textId="77777777" w:rsidR="005F2528" w:rsidRPr="00C968CE" w:rsidRDefault="005F2528" w:rsidP="00C968CE">
            <w:pPr>
              <w:spacing w:before="120" w:after="100" w:afterAutospacing="1" w:line="240" w:lineRule="auto"/>
              <w:rPr>
                <w:rFonts w:cs="Arial"/>
                <w:szCs w:val="20"/>
              </w:rPr>
            </w:pPr>
            <w:r w:rsidRPr="00C968CE">
              <w:rPr>
                <w:rFonts w:cs="Arial"/>
                <w:szCs w:val="20"/>
              </w:rPr>
              <w:t>deklarowana przez producenta</w:t>
            </w:r>
          </w:p>
          <w:p w14:paraId="20CE02D0" w14:textId="77777777" w:rsidR="005F2528" w:rsidRPr="00C968CE" w:rsidRDefault="005F2528" w:rsidP="00C968CE">
            <w:pPr>
              <w:spacing w:before="100" w:beforeAutospacing="1" w:after="100" w:afterAutospacing="1" w:line="240" w:lineRule="auto"/>
              <w:rPr>
                <w:rFonts w:cs="Arial"/>
                <w:szCs w:val="20"/>
              </w:rPr>
            </w:pPr>
            <w:r w:rsidRPr="00C968CE">
              <w:rPr>
                <w:rFonts w:cs="Arial"/>
                <w:b/>
                <w:bCs/>
                <w:szCs w:val="20"/>
              </w:rPr>
              <w:t> </w:t>
            </w:r>
          </w:p>
        </w:tc>
      </w:tr>
      <w:tr w:rsidR="005F2528" w:rsidRPr="00C968CE" w14:paraId="79A6AF58" w14:textId="77777777" w:rsidTr="005F2528">
        <w:trPr>
          <w:trHeight w:val="704"/>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582989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E24F02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Nasiąkliwość według PN-EN 1097-6 [17], rozdział 7, 8 lub 9:</w:t>
            </w:r>
          </w:p>
        </w:tc>
        <w:tc>
          <w:tcPr>
            <w:tcW w:w="4288" w:type="dxa"/>
            <w:gridSpan w:val="4"/>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A1D3E4A" w14:textId="77777777" w:rsidR="005F2528" w:rsidRPr="00C968CE" w:rsidRDefault="005F2528" w:rsidP="00C968CE">
            <w:pPr>
              <w:spacing w:before="120" w:after="100" w:afterAutospacing="1" w:line="240" w:lineRule="auto"/>
              <w:rPr>
                <w:rFonts w:cs="Arial"/>
                <w:szCs w:val="20"/>
              </w:rPr>
            </w:pPr>
            <w:r w:rsidRPr="00C968CE">
              <w:rPr>
                <w:rFonts w:cs="Arial"/>
                <w:szCs w:val="20"/>
              </w:rPr>
              <w:t>deklarowana przez producenta</w:t>
            </w:r>
          </w:p>
          <w:p w14:paraId="0EEB72FB" w14:textId="77777777" w:rsidR="005F2528" w:rsidRPr="00C968CE" w:rsidRDefault="005F2528" w:rsidP="00C968CE">
            <w:pPr>
              <w:spacing w:before="100" w:beforeAutospacing="1" w:after="100" w:afterAutospacing="1" w:line="240" w:lineRule="auto"/>
              <w:rPr>
                <w:rFonts w:cs="Arial"/>
                <w:szCs w:val="20"/>
              </w:rPr>
            </w:pPr>
            <w:r w:rsidRPr="00C968CE">
              <w:rPr>
                <w:rFonts w:cs="Arial"/>
                <w:b/>
                <w:bCs/>
                <w:szCs w:val="20"/>
              </w:rPr>
              <w:t> </w:t>
            </w:r>
          </w:p>
        </w:tc>
      </w:tr>
      <w:tr w:rsidR="005F2528" w:rsidRPr="00C968CE" w14:paraId="6D956824" w14:textId="77777777" w:rsidTr="005F2528">
        <w:trPr>
          <w:trHeight w:val="1163"/>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0AA1AA9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771A6B2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Mrozoodporność według PN-EN 1367-1 [19], badana na kruszywie 8/11, 11/16 lub 8/16; kategoria nie wyższa niż:</w:t>
            </w:r>
          </w:p>
        </w:tc>
        <w:tc>
          <w:tcPr>
            <w:tcW w:w="142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B8D7A27"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0D9412F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w:t>
            </w:r>
            <w:r w:rsidRPr="00C968CE">
              <w:rPr>
                <w:rFonts w:cs="Arial"/>
                <w:i/>
                <w:iCs/>
                <w:szCs w:val="20"/>
                <w:vertAlign w:val="subscript"/>
              </w:rPr>
              <w:t>4</w:t>
            </w:r>
          </w:p>
        </w:tc>
        <w:tc>
          <w:tcPr>
            <w:tcW w:w="1420"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04A9788A"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7481E69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w:t>
            </w:r>
            <w:r w:rsidRPr="00C968CE">
              <w:rPr>
                <w:rFonts w:cs="Arial"/>
                <w:i/>
                <w:iCs/>
                <w:szCs w:val="20"/>
                <w:vertAlign w:val="subscript"/>
              </w:rPr>
              <w:t>4</w:t>
            </w:r>
          </w:p>
        </w:tc>
        <w:tc>
          <w:tcPr>
            <w:tcW w:w="144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6778832"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22B0A422"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w:t>
            </w:r>
            <w:r w:rsidRPr="00C968CE">
              <w:rPr>
                <w:rFonts w:cs="Arial"/>
                <w:i/>
                <w:iCs/>
                <w:szCs w:val="20"/>
                <w:vertAlign w:val="subscript"/>
              </w:rPr>
              <w:t>4</w:t>
            </w:r>
          </w:p>
        </w:tc>
      </w:tr>
      <w:tr w:rsidR="005F2528" w:rsidRPr="00C968CE" w14:paraId="69E74C77" w14:textId="77777777" w:rsidTr="005F2528">
        <w:trPr>
          <w:trHeight w:val="872"/>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7C92B5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1B90384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„Zgorzel słoneczna” bazaltu według </w:t>
            </w:r>
            <w:r w:rsidRPr="00C968CE">
              <w:rPr>
                <w:rFonts w:cs="Arial"/>
                <w:szCs w:val="20"/>
              </w:rPr>
              <w:br/>
              <w:t>PN-EN 1367-3 [20]; wymagana kategoria:</w:t>
            </w:r>
          </w:p>
        </w:tc>
        <w:tc>
          <w:tcPr>
            <w:tcW w:w="142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6CB611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4359A2A0"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SB</w:t>
            </w:r>
            <w:r w:rsidRPr="00C968CE">
              <w:rPr>
                <w:rFonts w:cs="Arial"/>
                <w:szCs w:val="20"/>
                <w:vertAlign w:val="subscript"/>
              </w:rPr>
              <w:t>LA</w:t>
            </w:r>
          </w:p>
        </w:tc>
        <w:tc>
          <w:tcPr>
            <w:tcW w:w="1420"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60C0AF16"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5B09CC76"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SB</w:t>
            </w:r>
            <w:r w:rsidRPr="00C968CE">
              <w:rPr>
                <w:rFonts w:cs="Arial"/>
                <w:szCs w:val="20"/>
                <w:vertAlign w:val="subscript"/>
              </w:rPr>
              <w:t>LA</w:t>
            </w:r>
          </w:p>
        </w:tc>
        <w:tc>
          <w:tcPr>
            <w:tcW w:w="1444"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21F5B32B"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SB</w:t>
            </w:r>
            <w:r w:rsidRPr="00C968CE">
              <w:rPr>
                <w:rFonts w:cs="Arial"/>
                <w:szCs w:val="20"/>
                <w:vertAlign w:val="subscript"/>
              </w:rPr>
              <w:t>LA</w:t>
            </w:r>
          </w:p>
        </w:tc>
      </w:tr>
      <w:tr w:rsidR="005F2528" w:rsidRPr="00C968CE" w14:paraId="5F3BE969" w14:textId="77777777" w:rsidTr="005F2528">
        <w:trPr>
          <w:trHeight w:val="872"/>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696D54E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11</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225E524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Skład chemiczny – uproszczony opis petrograficzny według PN-EN 932-3 [5]</w:t>
            </w:r>
          </w:p>
        </w:tc>
        <w:tc>
          <w:tcPr>
            <w:tcW w:w="4288" w:type="dxa"/>
            <w:gridSpan w:val="4"/>
            <w:tcBorders>
              <w:top w:val="nil"/>
              <w:left w:val="nil"/>
              <w:bottom w:val="single" w:sz="8" w:space="0" w:color="000000"/>
              <w:right w:val="single" w:sz="8" w:space="0" w:color="000000"/>
            </w:tcBorders>
            <w:noWrap/>
            <w:tcMar>
              <w:top w:w="0" w:type="dxa"/>
              <w:left w:w="108" w:type="dxa"/>
              <w:bottom w:w="0" w:type="dxa"/>
              <w:right w:w="108" w:type="dxa"/>
            </w:tcMar>
            <w:hideMark/>
          </w:tcPr>
          <w:p w14:paraId="1786F7B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2FD8CD8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deklarowany przez producenta</w:t>
            </w:r>
          </w:p>
          <w:p w14:paraId="2B510BBC" w14:textId="77777777" w:rsidR="005F2528" w:rsidRPr="00C968CE" w:rsidRDefault="005F2528" w:rsidP="00C968CE">
            <w:pPr>
              <w:spacing w:before="100" w:beforeAutospacing="1" w:after="100" w:afterAutospacing="1" w:line="240" w:lineRule="auto"/>
              <w:rPr>
                <w:rFonts w:cs="Arial"/>
                <w:szCs w:val="20"/>
              </w:rPr>
            </w:pPr>
            <w:r w:rsidRPr="00C968CE">
              <w:rPr>
                <w:rFonts w:cs="Arial"/>
                <w:b/>
                <w:bCs/>
                <w:szCs w:val="20"/>
              </w:rPr>
              <w:t> </w:t>
            </w:r>
          </w:p>
        </w:tc>
      </w:tr>
      <w:tr w:rsidR="005F2528" w:rsidRPr="00C968CE" w14:paraId="4706663D" w14:textId="77777777" w:rsidTr="005F2528">
        <w:trPr>
          <w:trHeight w:val="872"/>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876513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12</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E1760D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Grube zanieczyszczenia lekkie według PN-EN 1744-1 [23], p. 14.2; kategoria nie wyższa niż:</w:t>
            </w:r>
          </w:p>
        </w:tc>
        <w:tc>
          <w:tcPr>
            <w:tcW w:w="142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1E9C24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6FCE4EBE"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m</w:t>
            </w:r>
            <w:r w:rsidRPr="00C968CE">
              <w:rPr>
                <w:rFonts w:cs="Arial"/>
                <w:szCs w:val="20"/>
                <w:vertAlign w:val="subscript"/>
              </w:rPr>
              <w:t>LPC</w:t>
            </w:r>
            <w:r w:rsidRPr="00C968CE">
              <w:rPr>
                <w:rFonts w:cs="Arial"/>
                <w:szCs w:val="20"/>
              </w:rPr>
              <w:t xml:space="preserve"> 0,1</w:t>
            </w:r>
          </w:p>
        </w:tc>
        <w:tc>
          <w:tcPr>
            <w:tcW w:w="1420"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58AFB706"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680D3F8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m</w:t>
            </w:r>
            <w:r w:rsidRPr="00C968CE">
              <w:rPr>
                <w:rFonts w:cs="Arial"/>
                <w:szCs w:val="20"/>
                <w:vertAlign w:val="subscript"/>
              </w:rPr>
              <w:t>LPC</w:t>
            </w:r>
            <w:r w:rsidRPr="00C968CE">
              <w:rPr>
                <w:rFonts w:cs="Arial"/>
                <w:szCs w:val="20"/>
              </w:rPr>
              <w:t xml:space="preserve"> 0,1</w:t>
            </w:r>
          </w:p>
        </w:tc>
        <w:tc>
          <w:tcPr>
            <w:tcW w:w="1444"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5F4A78BA"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m</w:t>
            </w:r>
            <w:r w:rsidRPr="00C968CE">
              <w:rPr>
                <w:rFonts w:cs="Arial"/>
                <w:szCs w:val="20"/>
                <w:vertAlign w:val="subscript"/>
              </w:rPr>
              <w:t>LPC</w:t>
            </w:r>
            <w:r w:rsidRPr="00C968CE">
              <w:rPr>
                <w:rFonts w:cs="Arial"/>
                <w:szCs w:val="20"/>
              </w:rPr>
              <w:t xml:space="preserve"> 0,1</w:t>
            </w:r>
          </w:p>
        </w:tc>
      </w:tr>
      <w:tr w:rsidR="005F2528" w:rsidRPr="00C968CE" w14:paraId="5F691733" w14:textId="77777777" w:rsidTr="005F2528">
        <w:trPr>
          <w:trHeight w:val="1163"/>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B8D16D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13</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EB2FAE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Rozpad krzemianowy żużla wielkopiecowego chłodzonego powie-trzem według PN-EN 1744-1 [23],       p. 19.1:</w:t>
            </w:r>
          </w:p>
        </w:tc>
        <w:tc>
          <w:tcPr>
            <w:tcW w:w="4288" w:type="dxa"/>
            <w:gridSpan w:val="4"/>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350F30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wymagana odporność</w:t>
            </w:r>
          </w:p>
          <w:p w14:paraId="1387E501" w14:textId="77777777" w:rsidR="005F2528" w:rsidRPr="00C968CE" w:rsidRDefault="005F2528" w:rsidP="00C968CE">
            <w:pPr>
              <w:spacing w:before="100" w:beforeAutospacing="1" w:after="100" w:afterAutospacing="1" w:line="240" w:lineRule="auto"/>
              <w:rPr>
                <w:rFonts w:cs="Arial"/>
                <w:szCs w:val="20"/>
              </w:rPr>
            </w:pPr>
            <w:r w:rsidRPr="00C968CE">
              <w:rPr>
                <w:rFonts w:cs="Arial"/>
                <w:b/>
                <w:bCs/>
                <w:szCs w:val="20"/>
              </w:rPr>
              <w:t> </w:t>
            </w:r>
          </w:p>
        </w:tc>
      </w:tr>
      <w:tr w:rsidR="005F2528" w:rsidRPr="00C968CE" w14:paraId="749C019C" w14:textId="77777777" w:rsidTr="005F2528">
        <w:trPr>
          <w:trHeight w:val="1163"/>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DABF67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14</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291A0AA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Rozpad żelazowy żużla wielkopiecowego chłodzonego powietrzem według PN-EN 1744-1[23], p. 19.2:</w:t>
            </w:r>
          </w:p>
        </w:tc>
        <w:tc>
          <w:tcPr>
            <w:tcW w:w="4288" w:type="dxa"/>
            <w:gridSpan w:val="4"/>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7171B4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wymagana odporność</w:t>
            </w:r>
          </w:p>
          <w:p w14:paraId="7C7D791B" w14:textId="77777777" w:rsidR="005F2528" w:rsidRPr="00C968CE" w:rsidRDefault="005F2528" w:rsidP="00C968CE">
            <w:pPr>
              <w:spacing w:before="100" w:beforeAutospacing="1" w:after="100" w:afterAutospacing="1" w:line="240" w:lineRule="auto"/>
              <w:rPr>
                <w:rFonts w:cs="Arial"/>
                <w:szCs w:val="20"/>
              </w:rPr>
            </w:pPr>
            <w:r w:rsidRPr="00C968CE">
              <w:rPr>
                <w:rFonts w:cs="Arial"/>
                <w:b/>
                <w:bCs/>
                <w:szCs w:val="20"/>
              </w:rPr>
              <w:t> </w:t>
            </w:r>
          </w:p>
        </w:tc>
      </w:tr>
      <w:tr w:rsidR="005F2528" w:rsidRPr="00C968CE" w14:paraId="32CCB899" w14:textId="77777777" w:rsidTr="005F2528">
        <w:trPr>
          <w:trHeight w:val="872"/>
        </w:trPr>
        <w:tc>
          <w:tcPr>
            <w:tcW w:w="5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FF6A0C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15</w:t>
            </w:r>
          </w:p>
        </w:tc>
        <w:tc>
          <w:tcPr>
            <w:tcW w:w="3974"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5383BE4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Stałość objętości kruszywa z żużla stalowniczego według PN-EN 1744-1 [23] p. 19.3; kategoria nie wyższa niż:</w:t>
            </w:r>
          </w:p>
        </w:tc>
        <w:tc>
          <w:tcPr>
            <w:tcW w:w="142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028640C"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2892CC32"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6,5</w:t>
            </w:r>
          </w:p>
        </w:tc>
        <w:tc>
          <w:tcPr>
            <w:tcW w:w="1420" w:type="dxa"/>
            <w:gridSpan w:val="2"/>
            <w:tcBorders>
              <w:top w:val="nil"/>
              <w:left w:val="nil"/>
              <w:bottom w:val="single" w:sz="8" w:space="0" w:color="000000"/>
              <w:right w:val="single" w:sz="8" w:space="0" w:color="000000"/>
            </w:tcBorders>
            <w:noWrap/>
            <w:tcMar>
              <w:top w:w="0" w:type="dxa"/>
              <w:left w:w="108" w:type="dxa"/>
              <w:bottom w:w="0" w:type="dxa"/>
              <w:right w:w="108" w:type="dxa"/>
            </w:tcMar>
            <w:hideMark/>
          </w:tcPr>
          <w:p w14:paraId="22B0579C"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621DBB6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6,5</w:t>
            </w:r>
          </w:p>
        </w:tc>
        <w:tc>
          <w:tcPr>
            <w:tcW w:w="144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9AC8145"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59E7F5C7"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6,5</w:t>
            </w:r>
          </w:p>
        </w:tc>
      </w:tr>
      <w:tr w:rsidR="005F2528" w:rsidRPr="00C968CE" w14:paraId="0894D419" w14:textId="77777777" w:rsidTr="005F2528">
        <w:tc>
          <w:tcPr>
            <w:tcW w:w="568" w:type="dxa"/>
            <w:vAlign w:val="center"/>
            <w:hideMark/>
          </w:tcPr>
          <w:p w14:paraId="72D28F3C" w14:textId="77777777" w:rsidR="005F2528" w:rsidRPr="00C968CE" w:rsidRDefault="005F2528" w:rsidP="00C968CE">
            <w:pPr>
              <w:spacing w:line="240" w:lineRule="auto"/>
              <w:rPr>
                <w:rFonts w:cs="Arial"/>
                <w:szCs w:val="20"/>
                <w:lang w:eastAsia="en-US"/>
              </w:rPr>
            </w:pPr>
          </w:p>
        </w:tc>
        <w:tc>
          <w:tcPr>
            <w:tcW w:w="3966" w:type="dxa"/>
            <w:vAlign w:val="center"/>
            <w:hideMark/>
          </w:tcPr>
          <w:p w14:paraId="12CDDFD8" w14:textId="77777777" w:rsidR="005F2528" w:rsidRPr="00C968CE" w:rsidRDefault="005F2528" w:rsidP="00C968CE">
            <w:pPr>
              <w:spacing w:line="240" w:lineRule="auto"/>
              <w:rPr>
                <w:rFonts w:cs="Arial"/>
                <w:szCs w:val="20"/>
                <w:lang w:eastAsia="en-US"/>
              </w:rPr>
            </w:pPr>
          </w:p>
        </w:tc>
        <w:tc>
          <w:tcPr>
            <w:tcW w:w="8" w:type="dxa"/>
            <w:vAlign w:val="center"/>
            <w:hideMark/>
          </w:tcPr>
          <w:p w14:paraId="7F111C6F" w14:textId="77777777" w:rsidR="005F2528" w:rsidRPr="00C968CE" w:rsidRDefault="005F2528" w:rsidP="00C968CE">
            <w:pPr>
              <w:spacing w:line="240" w:lineRule="auto"/>
              <w:rPr>
                <w:rFonts w:cs="Arial"/>
                <w:szCs w:val="20"/>
                <w:lang w:eastAsia="en-US"/>
              </w:rPr>
            </w:pPr>
          </w:p>
        </w:tc>
        <w:tc>
          <w:tcPr>
            <w:tcW w:w="1424" w:type="dxa"/>
            <w:vAlign w:val="center"/>
            <w:hideMark/>
          </w:tcPr>
          <w:p w14:paraId="4E7CCCA7" w14:textId="77777777" w:rsidR="005F2528" w:rsidRPr="00C968CE" w:rsidRDefault="005F2528" w:rsidP="00C968CE">
            <w:pPr>
              <w:spacing w:line="240" w:lineRule="auto"/>
              <w:rPr>
                <w:rFonts w:cs="Arial"/>
                <w:szCs w:val="20"/>
                <w:lang w:eastAsia="en-US"/>
              </w:rPr>
            </w:pPr>
          </w:p>
        </w:tc>
        <w:tc>
          <w:tcPr>
            <w:tcW w:w="1412" w:type="dxa"/>
            <w:vAlign w:val="center"/>
            <w:hideMark/>
          </w:tcPr>
          <w:p w14:paraId="24C4061A" w14:textId="77777777" w:rsidR="005F2528" w:rsidRPr="00C968CE" w:rsidRDefault="005F2528" w:rsidP="00C968CE">
            <w:pPr>
              <w:spacing w:line="240" w:lineRule="auto"/>
              <w:rPr>
                <w:rFonts w:cs="Arial"/>
                <w:szCs w:val="20"/>
                <w:lang w:eastAsia="en-US"/>
              </w:rPr>
            </w:pPr>
          </w:p>
        </w:tc>
        <w:tc>
          <w:tcPr>
            <w:tcW w:w="8" w:type="dxa"/>
            <w:vAlign w:val="center"/>
            <w:hideMark/>
          </w:tcPr>
          <w:p w14:paraId="0F2AC859" w14:textId="77777777" w:rsidR="005F2528" w:rsidRPr="00C968CE" w:rsidRDefault="005F2528" w:rsidP="00C968CE">
            <w:pPr>
              <w:spacing w:line="240" w:lineRule="auto"/>
              <w:rPr>
                <w:rFonts w:cs="Arial"/>
                <w:szCs w:val="20"/>
                <w:lang w:eastAsia="en-US"/>
              </w:rPr>
            </w:pPr>
          </w:p>
        </w:tc>
        <w:tc>
          <w:tcPr>
            <w:tcW w:w="1444" w:type="dxa"/>
            <w:vAlign w:val="center"/>
            <w:hideMark/>
          </w:tcPr>
          <w:p w14:paraId="7754BAF2" w14:textId="77777777" w:rsidR="005F2528" w:rsidRPr="00C968CE" w:rsidRDefault="005F2528" w:rsidP="00C968CE">
            <w:pPr>
              <w:spacing w:line="240" w:lineRule="auto"/>
              <w:rPr>
                <w:rFonts w:cs="Arial"/>
                <w:szCs w:val="20"/>
                <w:lang w:eastAsia="en-US"/>
              </w:rPr>
            </w:pPr>
          </w:p>
        </w:tc>
      </w:tr>
    </w:tbl>
    <w:p w14:paraId="5099721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29B9A56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 Kruszywo niełamane drobne lub o ciągłym uziarnieniu do D≤8  do podbudowy  z betonu asfaltowego  powinno spełniać wymagania podane w tablicy  7 .</w:t>
      </w:r>
    </w:p>
    <w:p w14:paraId="520A64B6" w14:textId="77777777" w:rsidR="005F2528" w:rsidRPr="00C968CE" w:rsidRDefault="005F2528" w:rsidP="00C968CE">
      <w:pPr>
        <w:spacing w:before="120" w:after="120" w:line="240" w:lineRule="auto"/>
        <w:rPr>
          <w:rFonts w:cs="Arial"/>
          <w:szCs w:val="20"/>
        </w:rPr>
      </w:pPr>
      <w:r w:rsidRPr="00C968CE">
        <w:rPr>
          <w:rFonts w:cs="Arial"/>
          <w:szCs w:val="20"/>
        </w:rPr>
        <w:lastRenderedPageBreak/>
        <w:t>Tablica 7. Wymagane właściwości kruszywa niełamanego drobnego lub o ciągłym uziarnieniu do D≤8  do podbudowy  z betonu asfaltowego</w:t>
      </w:r>
    </w:p>
    <w:tbl>
      <w:tblPr>
        <w:tblW w:w="0" w:type="auto"/>
        <w:tblCellMar>
          <w:left w:w="0" w:type="dxa"/>
          <w:right w:w="0" w:type="dxa"/>
        </w:tblCellMar>
        <w:tblLook w:val="04A0" w:firstRow="1" w:lastRow="0" w:firstColumn="1" w:lastColumn="0" w:noHBand="0" w:noVBand="1"/>
      </w:tblPr>
      <w:tblGrid>
        <w:gridCol w:w="675"/>
        <w:gridCol w:w="3969"/>
        <w:gridCol w:w="1418"/>
        <w:gridCol w:w="1417"/>
        <w:gridCol w:w="1437"/>
      </w:tblGrid>
      <w:tr w:rsidR="005F2528" w:rsidRPr="00C968CE" w14:paraId="70D470C3" w14:textId="77777777" w:rsidTr="005F2528">
        <w:tc>
          <w:tcPr>
            <w:tcW w:w="675" w:type="dxa"/>
            <w:vMerge w:val="restart"/>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14:paraId="73C6783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1FFF284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Lp.</w:t>
            </w:r>
          </w:p>
        </w:tc>
        <w:tc>
          <w:tcPr>
            <w:tcW w:w="3969" w:type="dxa"/>
            <w:vMerge w:val="restart"/>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1ABA0D1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6E94A2D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kruszywa</w:t>
            </w:r>
          </w:p>
        </w:tc>
        <w:tc>
          <w:tcPr>
            <w:tcW w:w="4272" w:type="dxa"/>
            <w:gridSpan w:val="3"/>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5736EAA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Wymagania w zależności od kategorii ruchu</w:t>
            </w:r>
          </w:p>
        </w:tc>
      </w:tr>
      <w:tr w:rsidR="005F2528" w:rsidRPr="00C968CE" w14:paraId="19255C7A" w14:textId="77777777" w:rsidTr="005F2528">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0F6EB38" w14:textId="77777777" w:rsidR="005F2528" w:rsidRPr="00C968CE" w:rsidRDefault="005F2528" w:rsidP="00C968CE">
            <w:pPr>
              <w:spacing w:line="240" w:lineRule="auto"/>
              <w:rPr>
                <w:rFonts w:cs="Arial"/>
                <w:szCs w:val="20"/>
              </w:rPr>
            </w:pPr>
          </w:p>
        </w:tc>
        <w:tc>
          <w:tcPr>
            <w:tcW w:w="0" w:type="auto"/>
            <w:vMerge/>
            <w:tcBorders>
              <w:top w:val="single" w:sz="8" w:space="0" w:color="000000"/>
              <w:left w:val="nil"/>
              <w:bottom w:val="single" w:sz="8" w:space="0" w:color="000000"/>
              <w:right w:val="single" w:sz="8" w:space="0" w:color="000000"/>
            </w:tcBorders>
            <w:vAlign w:val="center"/>
            <w:hideMark/>
          </w:tcPr>
          <w:p w14:paraId="3BAA78EB" w14:textId="77777777" w:rsidR="005F2528" w:rsidRPr="00C968CE" w:rsidRDefault="005F2528" w:rsidP="00C968CE">
            <w:pPr>
              <w:spacing w:line="240" w:lineRule="auto"/>
              <w:rPr>
                <w:rFonts w:cs="Arial"/>
                <w:szCs w:val="20"/>
              </w:rPr>
            </w:pPr>
          </w:p>
        </w:tc>
        <w:tc>
          <w:tcPr>
            <w:tcW w:w="141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5EDA45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KR1 ¸ KR2</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8C676B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KR3 ¸ KR4</w:t>
            </w:r>
          </w:p>
        </w:tc>
        <w:tc>
          <w:tcPr>
            <w:tcW w:w="143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0C4636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KR5 ¸ KR7</w:t>
            </w:r>
          </w:p>
        </w:tc>
      </w:tr>
      <w:tr w:rsidR="005F2528" w:rsidRPr="00C968CE" w14:paraId="6D776686" w14:textId="77777777" w:rsidTr="005F2528">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49597EC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c>
          <w:tcPr>
            <w:tcW w:w="39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962471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Uziarnienie według PN-EN 933-1[6], wymagana kategoria:</w:t>
            </w:r>
          </w:p>
        </w:tc>
        <w:tc>
          <w:tcPr>
            <w:tcW w:w="2835" w:type="dxa"/>
            <w:gridSpan w:val="2"/>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1A4DA47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F</w:t>
            </w:r>
            <w:r w:rsidRPr="00C968CE">
              <w:rPr>
                <w:rFonts w:cs="Arial"/>
                <w:szCs w:val="20"/>
              </w:rPr>
              <w:t>85 lub G</w:t>
            </w:r>
            <w:r w:rsidRPr="00C968CE">
              <w:rPr>
                <w:rFonts w:cs="Arial"/>
                <w:szCs w:val="20"/>
                <w:vertAlign w:val="subscript"/>
              </w:rPr>
              <w:t>A</w:t>
            </w:r>
            <w:r w:rsidRPr="00C968CE">
              <w:rPr>
                <w:rFonts w:cs="Arial"/>
                <w:szCs w:val="20"/>
              </w:rPr>
              <w:t>85</w:t>
            </w:r>
          </w:p>
        </w:tc>
        <w:tc>
          <w:tcPr>
            <w:tcW w:w="1437"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2FABD0D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F</w:t>
            </w:r>
            <w:r w:rsidRPr="00C968CE">
              <w:rPr>
                <w:rFonts w:cs="Arial"/>
                <w:szCs w:val="20"/>
              </w:rPr>
              <w:t>85</w:t>
            </w:r>
          </w:p>
        </w:tc>
      </w:tr>
      <w:tr w:rsidR="005F2528" w:rsidRPr="00C968CE" w14:paraId="4E2A15EA" w14:textId="77777777" w:rsidTr="005F2528">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8A5192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39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0C25AA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Tolerancja uziarnienia; odchylenie nie większe niż, według kategorii:</w:t>
            </w:r>
          </w:p>
        </w:tc>
        <w:tc>
          <w:tcPr>
            <w:tcW w:w="141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B1CE468" w14:textId="77777777" w:rsidR="005F2528" w:rsidRPr="00C968CE" w:rsidRDefault="005F2528" w:rsidP="00C968CE">
            <w:pPr>
              <w:spacing w:before="120" w:after="100" w:afterAutospacing="1" w:line="240" w:lineRule="auto"/>
              <w:rPr>
                <w:rFonts w:cs="Arial"/>
                <w:szCs w:val="20"/>
              </w:rPr>
            </w:pPr>
            <w:r w:rsidRPr="00C968CE">
              <w:rPr>
                <w:rFonts w:cs="Arial"/>
                <w:szCs w:val="20"/>
              </w:rPr>
              <w:t>G</w:t>
            </w:r>
            <w:r w:rsidRPr="00C968CE">
              <w:rPr>
                <w:rFonts w:cs="Arial"/>
                <w:szCs w:val="20"/>
                <w:vertAlign w:val="subscript"/>
              </w:rPr>
              <w:t>TC</w:t>
            </w:r>
            <w:r w:rsidRPr="00C968CE">
              <w:rPr>
                <w:rFonts w:cs="Arial"/>
                <w:szCs w:val="20"/>
              </w:rPr>
              <w:t>NR</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E73298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TC</w:t>
            </w:r>
            <w:r w:rsidRPr="00C968CE">
              <w:rPr>
                <w:rFonts w:cs="Arial"/>
                <w:szCs w:val="20"/>
              </w:rPr>
              <w:t>20</w:t>
            </w:r>
          </w:p>
        </w:tc>
        <w:tc>
          <w:tcPr>
            <w:tcW w:w="143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30DA970" w14:textId="77777777" w:rsidR="005F2528" w:rsidRPr="00C968CE" w:rsidRDefault="005F2528" w:rsidP="00C968CE">
            <w:pPr>
              <w:spacing w:before="120" w:after="100" w:afterAutospacing="1" w:line="240" w:lineRule="auto"/>
              <w:rPr>
                <w:rFonts w:cs="Arial"/>
                <w:szCs w:val="20"/>
              </w:rPr>
            </w:pPr>
            <w:r w:rsidRPr="00C968CE">
              <w:rPr>
                <w:rFonts w:cs="Arial"/>
                <w:szCs w:val="20"/>
              </w:rPr>
              <w:t>G</w:t>
            </w:r>
            <w:r w:rsidRPr="00C968CE">
              <w:rPr>
                <w:rFonts w:cs="Arial"/>
                <w:szCs w:val="20"/>
                <w:vertAlign w:val="subscript"/>
              </w:rPr>
              <w:t>TC</w:t>
            </w:r>
            <w:r w:rsidRPr="00C968CE">
              <w:rPr>
                <w:rFonts w:cs="Arial"/>
                <w:szCs w:val="20"/>
              </w:rPr>
              <w:t>20</w:t>
            </w:r>
          </w:p>
        </w:tc>
      </w:tr>
      <w:tr w:rsidR="005F2528" w:rsidRPr="00C968CE" w14:paraId="2EAD4BC3" w14:textId="77777777" w:rsidTr="005F2528">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3F977EE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39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1EB8BE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pyłów według PN-EN 933-1 [6], kategoria nie wyższa niż:</w:t>
            </w:r>
          </w:p>
        </w:tc>
        <w:tc>
          <w:tcPr>
            <w:tcW w:w="4272"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462002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r w:rsidRPr="00C968CE">
              <w:rPr>
                <w:rFonts w:cs="Arial"/>
                <w:szCs w:val="20"/>
                <w:vertAlign w:val="subscript"/>
              </w:rPr>
              <w:t>3</w:t>
            </w:r>
          </w:p>
        </w:tc>
      </w:tr>
      <w:tr w:rsidR="005F2528" w:rsidRPr="00C968CE" w14:paraId="496EC182" w14:textId="77777777" w:rsidTr="005F2528">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49403F0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39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0BE921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Jakość pyłów według PN-EN 933-9 [11]; kategoria nie wyższa niż:</w:t>
            </w:r>
          </w:p>
        </w:tc>
        <w:tc>
          <w:tcPr>
            <w:tcW w:w="4272"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9F725B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MB</w:t>
            </w:r>
            <w:r w:rsidRPr="00C968CE">
              <w:rPr>
                <w:rFonts w:cs="Arial"/>
                <w:szCs w:val="20"/>
                <w:vertAlign w:val="subscript"/>
              </w:rPr>
              <w:t>F</w:t>
            </w:r>
            <w:r w:rsidRPr="00C968CE">
              <w:rPr>
                <w:rFonts w:cs="Arial"/>
                <w:szCs w:val="20"/>
              </w:rPr>
              <w:t>10</w:t>
            </w:r>
          </w:p>
        </w:tc>
      </w:tr>
      <w:tr w:rsidR="005F2528" w:rsidRPr="00C968CE" w14:paraId="682C60D3" w14:textId="77777777" w:rsidTr="005F2528">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390284E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39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0B0476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Kanciastość kruszywa drobnego według PN-EN 933-6 [10], rozdz. 8, kategoria nie niższa niż:</w:t>
            </w:r>
          </w:p>
        </w:tc>
        <w:tc>
          <w:tcPr>
            <w:tcW w:w="4272"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75AF7BC6"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E</w:t>
            </w:r>
            <w:r w:rsidRPr="00C968CE">
              <w:rPr>
                <w:rFonts w:cs="Arial"/>
                <w:szCs w:val="20"/>
                <w:vertAlign w:val="subscript"/>
              </w:rPr>
              <w:t>cs</w:t>
            </w:r>
            <w:r w:rsidRPr="00C968CE">
              <w:rPr>
                <w:rFonts w:cs="Arial"/>
                <w:szCs w:val="20"/>
              </w:rPr>
              <w:t>Deklarowana</w:t>
            </w:r>
          </w:p>
        </w:tc>
      </w:tr>
      <w:tr w:rsidR="005F2528" w:rsidRPr="00C968CE" w14:paraId="2581A3B4" w14:textId="77777777" w:rsidTr="005F2528">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098B6F4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c>
          <w:tcPr>
            <w:tcW w:w="39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538842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Gęstość ziaren według PN-EN 1097-6 [17], rozdz. 7, 8 lub 9:</w:t>
            </w:r>
          </w:p>
        </w:tc>
        <w:tc>
          <w:tcPr>
            <w:tcW w:w="4272"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2431CC9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deklarowana przez producenta</w:t>
            </w:r>
          </w:p>
        </w:tc>
      </w:tr>
      <w:tr w:rsidR="005F2528" w:rsidRPr="00C968CE" w14:paraId="32506A1C" w14:textId="77777777" w:rsidTr="005F2528">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7971FFB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w:t>
            </w:r>
          </w:p>
        </w:tc>
        <w:tc>
          <w:tcPr>
            <w:tcW w:w="39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56CDD3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Nasiąkliwość według PN-EN 1097-6 [17], rozdz. 7, 8 lub 9</w:t>
            </w:r>
          </w:p>
        </w:tc>
        <w:tc>
          <w:tcPr>
            <w:tcW w:w="4272"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5C6F3BA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deklarowana przez producenta</w:t>
            </w:r>
          </w:p>
        </w:tc>
      </w:tr>
      <w:tr w:rsidR="005F2528" w:rsidRPr="00C968CE" w14:paraId="162D2DD4" w14:textId="77777777" w:rsidTr="005F2528">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20371F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39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938CB2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Grube zanieczyszczenia lekkie, według PN-EN 1744-1 [23], p. 14.2, kategoria nie wyższa niż:</w:t>
            </w:r>
          </w:p>
        </w:tc>
        <w:tc>
          <w:tcPr>
            <w:tcW w:w="4272"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2D5911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m</w:t>
            </w:r>
            <w:r w:rsidRPr="00C968CE">
              <w:rPr>
                <w:rFonts w:cs="Arial"/>
                <w:szCs w:val="20"/>
                <w:vertAlign w:val="subscript"/>
              </w:rPr>
              <w:t>LPC</w:t>
            </w:r>
            <w:r w:rsidRPr="00C968CE">
              <w:rPr>
                <w:rFonts w:cs="Arial"/>
                <w:szCs w:val="20"/>
              </w:rPr>
              <w:t>0,1</w:t>
            </w:r>
          </w:p>
        </w:tc>
      </w:tr>
    </w:tbl>
    <w:p w14:paraId="5E43D02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6A94E2C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 Kruszywo łamane drobne lub o ciągłym uziarnieniu do D≤8  do podbudowy  z betonu asfaltowego  powinno spełniać wymagania podane w tablicy  8 .</w:t>
      </w:r>
    </w:p>
    <w:p w14:paraId="6CCC9CC5" w14:textId="77777777" w:rsidR="005F2528" w:rsidRPr="00C968CE" w:rsidRDefault="005F2528" w:rsidP="00C968CE">
      <w:pPr>
        <w:spacing w:before="120" w:after="120" w:line="240" w:lineRule="auto"/>
        <w:rPr>
          <w:rFonts w:cs="Arial"/>
          <w:szCs w:val="20"/>
        </w:rPr>
      </w:pPr>
      <w:r w:rsidRPr="00C968CE">
        <w:rPr>
          <w:rFonts w:cs="Arial"/>
          <w:szCs w:val="20"/>
        </w:rPr>
        <w:t>Tablica 8. Wymagane właściwości kruszywa łamanego drobnego lub o ciągłym uziarnieniu do D≤8  do podbudowy  z betonu asfaltowego</w:t>
      </w:r>
    </w:p>
    <w:tbl>
      <w:tblPr>
        <w:tblW w:w="8897" w:type="dxa"/>
        <w:tblCellMar>
          <w:left w:w="0" w:type="dxa"/>
          <w:right w:w="0" w:type="dxa"/>
        </w:tblCellMar>
        <w:tblLook w:val="04A0" w:firstRow="1" w:lastRow="0" w:firstColumn="1" w:lastColumn="0" w:noHBand="0" w:noVBand="1"/>
      </w:tblPr>
      <w:tblGrid>
        <w:gridCol w:w="663"/>
        <w:gridCol w:w="3981"/>
        <w:gridCol w:w="1418"/>
        <w:gridCol w:w="1417"/>
        <w:gridCol w:w="1418"/>
      </w:tblGrid>
      <w:tr w:rsidR="005F2528" w:rsidRPr="00C968CE" w14:paraId="2345E087" w14:textId="77777777" w:rsidTr="005F2528">
        <w:tc>
          <w:tcPr>
            <w:tcW w:w="663" w:type="dxa"/>
            <w:vMerge w:val="restart"/>
            <w:tcBorders>
              <w:top w:val="single" w:sz="8" w:space="0" w:color="000000"/>
              <w:left w:val="single" w:sz="8" w:space="0" w:color="000000"/>
              <w:bottom w:val="single" w:sz="8" w:space="0" w:color="000000"/>
              <w:right w:val="nil"/>
            </w:tcBorders>
            <w:noWrap/>
            <w:tcMar>
              <w:top w:w="0" w:type="dxa"/>
              <w:left w:w="108" w:type="dxa"/>
              <w:bottom w:w="0" w:type="dxa"/>
              <w:right w:w="108" w:type="dxa"/>
            </w:tcMar>
            <w:hideMark/>
          </w:tcPr>
          <w:p w14:paraId="00A71F6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266CE41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Lp.</w:t>
            </w:r>
          </w:p>
        </w:tc>
        <w:tc>
          <w:tcPr>
            <w:tcW w:w="3981" w:type="dxa"/>
            <w:vMerge w:val="restart"/>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3A767A1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6E363A0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kruszywa</w:t>
            </w:r>
          </w:p>
        </w:tc>
        <w:tc>
          <w:tcPr>
            <w:tcW w:w="4253" w:type="dxa"/>
            <w:gridSpan w:val="3"/>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315DF2B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Wymagania w zależności </w:t>
            </w:r>
          </w:p>
          <w:p w14:paraId="7C35493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od kategorii ruchu</w:t>
            </w:r>
          </w:p>
        </w:tc>
      </w:tr>
      <w:tr w:rsidR="005F2528" w:rsidRPr="00C968CE" w14:paraId="28573A7E" w14:textId="77777777" w:rsidTr="005F2528">
        <w:tc>
          <w:tcPr>
            <w:tcW w:w="0" w:type="auto"/>
            <w:vMerge/>
            <w:tcBorders>
              <w:top w:val="single" w:sz="8" w:space="0" w:color="000000"/>
              <w:left w:val="single" w:sz="8" w:space="0" w:color="000000"/>
              <w:bottom w:val="single" w:sz="8" w:space="0" w:color="000000"/>
              <w:right w:val="nil"/>
            </w:tcBorders>
            <w:vAlign w:val="center"/>
            <w:hideMark/>
          </w:tcPr>
          <w:p w14:paraId="4AC35B1B" w14:textId="77777777" w:rsidR="005F2528" w:rsidRPr="00C968CE" w:rsidRDefault="005F2528" w:rsidP="00C968CE">
            <w:pPr>
              <w:spacing w:line="240" w:lineRule="auto"/>
              <w:rPr>
                <w:rFonts w:cs="Arial"/>
                <w:szCs w:val="20"/>
              </w:rPr>
            </w:pPr>
          </w:p>
        </w:tc>
        <w:tc>
          <w:tcPr>
            <w:tcW w:w="0" w:type="auto"/>
            <w:vMerge/>
            <w:tcBorders>
              <w:top w:val="single" w:sz="8" w:space="0" w:color="000000"/>
              <w:left w:val="nil"/>
              <w:bottom w:val="single" w:sz="8" w:space="0" w:color="000000"/>
              <w:right w:val="single" w:sz="8" w:space="0" w:color="000000"/>
            </w:tcBorders>
            <w:vAlign w:val="center"/>
            <w:hideMark/>
          </w:tcPr>
          <w:p w14:paraId="438B0043" w14:textId="77777777" w:rsidR="005F2528" w:rsidRPr="00C968CE" w:rsidRDefault="005F2528" w:rsidP="00C968CE">
            <w:pPr>
              <w:spacing w:line="240" w:lineRule="auto"/>
              <w:rPr>
                <w:rFonts w:cs="Arial"/>
                <w:szCs w:val="20"/>
              </w:rPr>
            </w:pPr>
          </w:p>
        </w:tc>
        <w:tc>
          <w:tcPr>
            <w:tcW w:w="141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695E1E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KR1 ¸ KR2</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F094E4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KR3 ¸ KR4</w:t>
            </w:r>
          </w:p>
        </w:tc>
        <w:tc>
          <w:tcPr>
            <w:tcW w:w="141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30C424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KR5 ¸ KR7</w:t>
            </w:r>
          </w:p>
        </w:tc>
      </w:tr>
      <w:tr w:rsidR="005F2528" w:rsidRPr="00C968CE" w14:paraId="1570AADC" w14:textId="77777777" w:rsidTr="005F2528">
        <w:tc>
          <w:tcPr>
            <w:tcW w:w="66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356BBD0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c>
          <w:tcPr>
            <w:tcW w:w="398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1408E4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Uziarnienie według PN-EN 933-1[6], wymagana kategoria:</w:t>
            </w:r>
          </w:p>
        </w:tc>
        <w:tc>
          <w:tcPr>
            <w:tcW w:w="4253"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249F7C4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F</w:t>
            </w:r>
            <w:r w:rsidRPr="00C968CE">
              <w:rPr>
                <w:rFonts w:cs="Arial"/>
                <w:szCs w:val="20"/>
              </w:rPr>
              <w:t>85 lub G</w:t>
            </w:r>
            <w:r w:rsidRPr="00C968CE">
              <w:rPr>
                <w:rFonts w:cs="Arial"/>
                <w:szCs w:val="20"/>
                <w:vertAlign w:val="subscript"/>
              </w:rPr>
              <w:t>A</w:t>
            </w:r>
            <w:r w:rsidRPr="00C968CE">
              <w:rPr>
                <w:rFonts w:cs="Arial"/>
                <w:szCs w:val="20"/>
              </w:rPr>
              <w:t>85</w:t>
            </w:r>
          </w:p>
        </w:tc>
      </w:tr>
      <w:tr w:rsidR="005F2528" w:rsidRPr="00C968CE" w14:paraId="3AE8FB58" w14:textId="77777777" w:rsidTr="005F2528">
        <w:tc>
          <w:tcPr>
            <w:tcW w:w="66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E5775D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398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C50152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Tolerancja uziarnienia; odchylenie nie większe niż według kategorii:</w:t>
            </w:r>
          </w:p>
        </w:tc>
        <w:tc>
          <w:tcPr>
            <w:tcW w:w="141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74948A9" w14:textId="77777777" w:rsidR="005F2528" w:rsidRPr="00C968CE" w:rsidRDefault="005F2528" w:rsidP="00C968CE">
            <w:pPr>
              <w:spacing w:before="120" w:after="100" w:afterAutospacing="1" w:line="240" w:lineRule="auto"/>
              <w:rPr>
                <w:rFonts w:cs="Arial"/>
                <w:szCs w:val="20"/>
              </w:rPr>
            </w:pPr>
            <w:r w:rsidRPr="00C968CE">
              <w:rPr>
                <w:rFonts w:cs="Arial"/>
                <w:szCs w:val="20"/>
              </w:rPr>
              <w:t>G</w:t>
            </w:r>
            <w:r w:rsidRPr="00C968CE">
              <w:rPr>
                <w:rFonts w:cs="Arial"/>
                <w:szCs w:val="20"/>
                <w:vertAlign w:val="subscript"/>
              </w:rPr>
              <w:t>TC</w:t>
            </w:r>
            <w:r w:rsidRPr="00C968CE">
              <w:rPr>
                <w:rFonts w:cs="Arial"/>
                <w:szCs w:val="20"/>
              </w:rPr>
              <w:t>NR</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1754D6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w:t>
            </w:r>
            <w:r w:rsidRPr="00C968CE">
              <w:rPr>
                <w:rFonts w:cs="Arial"/>
                <w:szCs w:val="20"/>
                <w:vertAlign w:val="subscript"/>
              </w:rPr>
              <w:t>TC</w:t>
            </w:r>
            <w:r w:rsidRPr="00C968CE">
              <w:rPr>
                <w:rFonts w:cs="Arial"/>
                <w:szCs w:val="20"/>
              </w:rPr>
              <w:t>20</w:t>
            </w:r>
          </w:p>
        </w:tc>
        <w:tc>
          <w:tcPr>
            <w:tcW w:w="141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C274E05" w14:textId="77777777" w:rsidR="005F2528" w:rsidRPr="00C968CE" w:rsidRDefault="005F2528" w:rsidP="00C968CE">
            <w:pPr>
              <w:spacing w:before="120" w:after="100" w:afterAutospacing="1" w:line="240" w:lineRule="auto"/>
              <w:rPr>
                <w:rFonts w:cs="Arial"/>
                <w:szCs w:val="20"/>
              </w:rPr>
            </w:pPr>
            <w:r w:rsidRPr="00C968CE">
              <w:rPr>
                <w:rFonts w:cs="Arial"/>
                <w:szCs w:val="20"/>
              </w:rPr>
              <w:t>G</w:t>
            </w:r>
            <w:r w:rsidRPr="00C968CE">
              <w:rPr>
                <w:rFonts w:cs="Arial"/>
                <w:szCs w:val="20"/>
                <w:vertAlign w:val="subscript"/>
              </w:rPr>
              <w:t>TC</w:t>
            </w:r>
            <w:r w:rsidRPr="00C968CE">
              <w:rPr>
                <w:rFonts w:cs="Arial"/>
                <w:szCs w:val="20"/>
              </w:rPr>
              <w:t>20</w:t>
            </w:r>
          </w:p>
        </w:tc>
      </w:tr>
      <w:tr w:rsidR="005F2528" w:rsidRPr="00C968CE" w14:paraId="073C1CA0" w14:textId="77777777" w:rsidTr="005F2528">
        <w:tc>
          <w:tcPr>
            <w:tcW w:w="66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6FF3D9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398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8EB269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pyłów według PN-EN 933-1 [6], kategoria nie wyższa niż:</w:t>
            </w:r>
          </w:p>
        </w:tc>
        <w:tc>
          <w:tcPr>
            <w:tcW w:w="4253"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5034736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r w:rsidRPr="00C968CE">
              <w:rPr>
                <w:rFonts w:cs="Arial"/>
                <w:szCs w:val="20"/>
                <w:vertAlign w:val="subscript"/>
              </w:rPr>
              <w:t>16</w:t>
            </w:r>
          </w:p>
        </w:tc>
      </w:tr>
      <w:tr w:rsidR="005F2528" w:rsidRPr="00C968CE" w14:paraId="51D2F277" w14:textId="77777777" w:rsidTr="005F2528">
        <w:tc>
          <w:tcPr>
            <w:tcW w:w="66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822D05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398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A9E4AA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Jakość pyłów według PN-EN 933-9 [11]; kategoria nie wyższa niż:</w:t>
            </w:r>
          </w:p>
        </w:tc>
        <w:tc>
          <w:tcPr>
            <w:tcW w:w="4253"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5A2CE5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MB</w:t>
            </w:r>
            <w:r w:rsidRPr="00C968CE">
              <w:rPr>
                <w:rFonts w:cs="Arial"/>
                <w:szCs w:val="20"/>
                <w:vertAlign w:val="subscript"/>
              </w:rPr>
              <w:t>F</w:t>
            </w:r>
            <w:r w:rsidRPr="00C968CE">
              <w:rPr>
                <w:rFonts w:cs="Arial"/>
                <w:szCs w:val="20"/>
              </w:rPr>
              <w:t>10</w:t>
            </w:r>
          </w:p>
        </w:tc>
      </w:tr>
      <w:tr w:rsidR="005F2528" w:rsidRPr="00C968CE" w14:paraId="70FCF9EB" w14:textId="77777777" w:rsidTr="005F2528">
        <w:tc>
          <w:tcPr>
            <w:tcW w:w="66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4AC99A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398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C90182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Kanciastość kruszywa drobnego według PN-EN 933-6 [10], rozdz. 8, kategoria nie niższa niż:</w:t>
            </w:r>
          </w:p>
        </w:tc>
        <w:tc>
          <w:tcPr>
            <w:tcW w:w="1418"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EFC552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E</w:t>
            </w:r>
            <w:r w:rsidRPr="00C968CE">
              <w:rPr>
                <w:rFonts w:cs="Arial"/>
                <w:szCs w:val="20"/>
                <w:vertAlign w:val="subscript"/>
              </w:rPr>
              <w:t>cs</w:t>
            </w:r>
            <w:r w:rsidRPr="00C968CE">
              <w:rPr>
                <w:rFonts w:cs="Arial"/>
                <w:szCs w:val="20"/>
              </w:rPr>
              <w:t>Deklaro-wana</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15ACA94"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E</w:t>
            </w:r>
            <w:r w:rsidRPr="00C968CE">
              <w:rPr>
                <w:rFonts w:cs="Arial"/>
                <w:i/>
                <w:iCs/>
                <w:szCs w:val="20"/>
                <w:vertAlign w:val="subscript"/>
              </w:rPr>
              <w:t>CS</w:t>
            </w:r>
            <w:r w:rsidRPr="00C968CE">
              <w:rPr>
                <w:rFonts w:cs="Arial"/>
                <w:szCs w:val="20"/>
              </w:rPr>
              <w:t>30</w:t>
            </w:r>
          </w:p>
        </w:tc>
        <w:tc>
          <w:tcPr>
            <w:tcW w:w="1418"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131A3F59"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E</w:t>
            </w:r>
            <w:r w:rsidRPr="00C968CE">
              <w:rPr>
                <w:rFonts w:cs="Arial"/>
                <w:i/>
                <w:iCs/>
                <w:szCs w:val="20"/>
                <w:vertAlign w:val="subscript"/>
              </w:rPr>
              <w:t>CS</w:t>
            </w:r>
            <w:r w:rsidRPr="00C968CE">
              <w:rPr>
                <w:rFonts w:cs="Arial"/>
                <w:szCs w:val="20"/>
              </w:rPr>
              <w:t>30</w:t>
            </w:r>
          </w:p>
        </w:tc>
      </w:tr>
      <w:tr w:rsidR="005F2528" w:rsidRPr="00C968CE" w14:paraId="7317DC3A" w14:textId="77777777" w:rsidTr="005F2528">
        <w:tc>
          <w:tcPr>
            <w:tcW w:w="66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340CA7B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c>
          <w:tcPr>
            <w:tcW w:w="398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48BED8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Gęstość ziaren według PN-EN 1097-6 [17], rozdz. 7, 8 lub 9:</w:t>
            </w:r>
          </w:p>
        </w:tc>
        <w:tc>
          <w:tcPr>
            <w:tcW w:w="4253"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724352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deklarowana przez producenta</w:t>
            </w:r>
          </w:p>
        </w:tc>
      </w:tr>
      <w:tr w:rsidR="005F2528" w:rsidRPr="00C968CE" w14:paraId="487774CF" w14:textId="77777777" w:rsidTr="005F2528">
        <w:tc>
          <w:tcPr>
            <w:tcW w:w="66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75688CB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w:t>
            </w:r>
          </w:p>
        </w:tc>
        <w:tc>
          <w:tcPr>
            <w:tcW w:w="398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6EB14D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Nasiąkliwość według PN-EN 1097-6 [17], rozdz. 7, 8 lub 9</w:t>
            </w:r>
          </w:p>
        </w:tc>
        <w:tc>
          <w:tcPr>
            <w:tcW w:w="4253"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38B0CD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deklarowana przez producenta</w:t>
            </w:r>
          </w:p>
        </w:tc>
      </w:tr>
      <w:tr w:rsidR="005F2528" w:rsidRPr="00C968CE" w14:paraId="0F15295C" w14:textId="77777777" w:rsidTr="005F2528">
        <w:tc>
          <w:tcPr>
            <w:tcW w:w="66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9C8FC9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398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E8F336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Grube zanieczyszczenia lekkie, według PN-EN 1744-1 [23], p. 14.2, kategoria nie wyższa niż:</w:t>
            </w:r>
          </w:p>
        </w:tc>
        <w:tc>
          <w:tcPr>
            <w:tcW w:w="4253"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76B4BF20"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m</w:t>
            </w:r>
            <w:r w:rsidRPr="00C968CE">
              <w:rPr>
                <w:rFonts w:cs="Arial"/>
                <w:szCs w:val="20"/>
                <w:vertAlign w:val="subscript"/>
              </w:rPr>
              <w:t>LPC</w:t>
            </w:r>
            <w:r w:rsidRPr="00C968CE">
              <w:rPr>
                <w:rFonts w:cs="Arial"/>
                <w:szCs w:val="20"/>
              </w:rPr>
              <w:t>0,1</w:t>
            </w:r>
          </w:p>
        </w:tc>
      </w:tr>
    </w:tbl>
    <w:p w14:paraId="39E0764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7326630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 Kruszywo o ciągłym uziarnieniu  do podbudowy  z betonu asfaltowego  powinno spełniać wymagania podane w tablicy  9.</w:t>
      </w:r>
    </w:p>
    <w:p w14:paraId="22B2BAB9" w14:textId="77777777" w:rsidR="005F2528" w:rsidRPr="00C968CE" w:rsidRDefault="005F2528" w:rsidP="00C968CE">
      <w:pPr>
        <w:spacing w:before="120" w:after="120" w:line="240" w:lineRule="auto"/>
        <w:ind w:left="1202" w:hanging="1202"/>
        <w:rPr>
          <w:rFonts w:cs="Arial"/>
          <w:szCs w:val="20"/>
        </w:rPr>
      </w:pPr>
      <w:r w:rsidRPr="00C968CE">
        <w:rPr>
          <w:rFonts w:cs="Arial"/>
          <w:szCs w:val="20"/>
        </w:rPr>
        <w:lastRenderedPageBreak/>
        <w:t>Tablica 9. Wymagane właściwości kruszywa o ciągłym uziarnieniu do podbudowy  z betonu asfaltowego</w:t>
      </w:r>
    </w:p>
    <w:tbl>
      <w:tblPr>
        <w:tblW w:w="0" w:type="auto"/>
        <w:tblInd w:w="108" w:type="dxa"/>
        <w:tblCellMar>
          <w:left w:w="0" w:type="dxa"/>
          <w:right w:w="0" w:type="dxa"/>
        </w:tblCellMar>
        <w:tblLook w:val="04A0" w:firstRow="1" w:lastRow="0" w:firstColumn="1" w:lastColumn="0" w:noHBand="0" w:noVBand="1"/>
      </w:tblPr>
      <w:tblGrid>
        <w:gridCol w:w="570"/>
        <w:gridCol w:w="15"/>
        <w:gridCol w:w="3960"/>
        <w:gridCol w:w="1425"/>
        <w:gridCol w:w="1417"/>
        <w:gridCol w:w="1569"/>
      </w:tblGrid>
      <w:tr w:rsidR="005F2528" w:rsidRPr="00C968CE" w14:paraId="23193BE2" w14:textId="77777777" w:rsidTr="005F2528">
        <w:tc>
          <w:tcPr>
            <w:tcW w:w="570" w:type="dxa"/>
            <w:vMerge w:val="restart"/>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14:paraId="3DB20C5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728F79B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Lp.</w:t>
            </w:r>
          </w:p>
        </w:tc>
        <w:tc>
          <w:tcPr>
            <w:tcW w:w="3975" w:type="dxa"/>
            <w:gridSpan w:val="2"/>
            <w:vMerge w:val="restart"/>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053CFF6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101DF20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kruszywa</w:t>
            </w:r>
          </w:p>
        </w:tc>
        <w:tc>
          <w:tcPr>
            <w:tcW w:w="4411" w:type="dxa"/>
            <w:gridSpan w:val="3"/>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67D9A19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Wymagania w zależności od kategorii ruchu</w:t>
            </w:r>
          </w:p>
        </w:tc>
      </w:tr>
      <w:tr w:rsidR="005F2528" w:rsidRPr="00C968CE" w14:paraId="6DC0E52F" w14:textId="77777777" w:rsidTr="005F2528">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A1B03A7" w14:textId="77777777" w:rsidR="005F2528" w:rsidRPr="00C968CE" w:rsidRDefault="005F2528" w:rsidP="00C968CE">
            <w:pPr>
              <w:spacing w:line="240" w:lineRule="auto"/>
              <w:rPr>
                <w:rFonts w:cs="Arial"/>
                <w:szCs w:val="20"/>
              </w:rPr>
            </w:pPr>
          </w:p>
        </w:tc>
        <w:tc>
          <w:tcPr>
            <w:tcW w:w="0" w:type="auto"/>
            <w:gridSpan w:val="2"/>
            <w:vMerge/>
            <w:tcBorders>
              <w:top w:val="single" w:sz="8" w:space="0" w:color="000000"/>
              <w:left w:val="nil"/>
              <w:bottom w:val="single" w:sz="8" w:space="0" w:color="000000"/>
              <w:right w:val="single" w:sz="8" w:space="0" w:color="000000"/>
            </w:tcBorders>
            <w:vAlign w:val="center"/>
            <w:hideMark/>
          </w:tcPr>
          <w:p w14:paraId="1967DA23" w14:textId="77777777" w:rsidR="005F2528" w:rsidRPr="00C968CE" w:rsidRDefault="005F2528" w:rsidP="00C968CE">
            <w:pPr>
              <w:spacing w:line="240" w:lineRule="auto"/>
              <w:rPr>
                <w:rFonts w:cs="Arial"/>
                <w:szCs w:val="20"/>
              </w:rPr>
            </w:pP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0283A9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KR1 ¸ KR2</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25CB6C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KR3 ¸ KR4</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9DDD1A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KR5 ¸ KR7</w:t>
            </w:r>
          </w:p>
        </w:tc>
      </w:tr>
      <w:tr w:rsidR="005F2528" w:rsidRPr="00C968CE" w14:paraId="6209997C"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C251D0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56D7978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Uziarnienie według PN-EN 933-1[6]; kategoria nie niższa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7DD8EF5" w14:textId="77777777" w:rsidR="005F2528" w:rsidRPr="00C968CE" w:rsidRDefault="005F2528" w:rsidP="00C968CE">
            <w:pPr>
              <w:spacing w:before="120" w:after="100" w:afterAutospacing="1" w:line="240" w:lineRule="auto"/>
              <w:rPr>
                <w:rFonts w:cs="Arial"/>
                <w:szCs w:val="20"/>
              </w:rPr>
            </w:pPr>
            <w:r w:rsidRPr="00C968CE">
              <w:rPr>
                <w:rFonts w:cs="Arial"/>
                <w:szCs w:val="20"/>
              </w:rPr>
              <w:t>G</w:t>
            </w:r>
            <w:r w:rsidRPr="00C968CE">
              <w:rPr>
                <w:rFonts w:cs="Arial"/>
                <w:szCs w:val="20"/>
                <w:vertAlign w:val="subscript"/>
              </w:rPr>
              <w:t>A</w:t>
            </w:r>
            <w:r w:rsidRPr="00C968CE">
              <w:rPr>
                <w:rFonts w:cs="Arial"/>
                <w:szCs w:val="20"/>
              </w:rPr>
              <w:t>85</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9C21036" w14:textId="77777777" w:rsidR="005F2528" w:rsidRPr="00C968CE" w:rsidRDefault="005F2528" w:rsidP="00C968CE">
            <w:pPr>
              <w:spacing w:before="120" w:after="100" w:afterAutospacing="1" w:line="240" w:lineRule="auto"/>
              <w:rPr>
                <w:rFonts w:cs="Arial"/>
                <w:szCs w:val="20"/>
              </w:rPr>
            </w:pPr>
            <w:r w:rsidRPr="00C968CE">
              <w:rPr>
                <w:rFonts w:cs="Arial"/>
                <w:szCs w:val="20"/>
              </w:rPr>
              <w:t>G</w:t>
            </w:r>
            <w:r w:rsidRPr="00C968CE">
              <w:rPr>
                <w:rFonts w:cs="Arial"/>
                <w:szCs w:val="20"/>
                <w:vertAlign w:val="subscript"/>
              </w:rPr>
              <w:t>A</w:t>
            </w:r>
            <w:r w:rsidRPr="00C968CE">
              <w:rPr>
                <w:rFonts w:cs="Arial"/>
                <w:szCs w:val="20"/>
              </w:rPr>
              <w:t>85</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4F4E533" w14:textId="77777777" w:rsidR="005F2528" w:rsidRPr="00C968CE" w:rsidRDefault="005F2528" w:rsidP="00C968CE">
            <w:pPr>
              <w:spacing w:before="120" w:after="100" w:afterAutospacing="1" w:line="240" w:lineRule="auto"/>
              <w:rPr>
                <w:rFonts w:cs="Arial"/>
                <w:szCs w:val="20"/>
              </w:rPr>
            </w:pPr>
            <w:r w:rsidRPr="00C968CE">
              <w:rPr>
                <w:rFonts w:cs="Arial"/>
                <w:szCs w:val="20"/>
              </w:rPr>
              <w:t>G</w:t>
            </w:r>
            <w:r w:rsidRPr="00C968CE">
              <w:rPr>
                <w:rFonts w:cs="Arial"/>
                <w:szCs w:val="20"/>
                <w:vertAlign w:val="subscript"/>
              </w:rPr>
              <w:t>A</w:t>
            </w:r>
            <w:r w:rsidRPr="00C968CE">
              <w:rPr>
                <w:rFonts w:cs="Arial"/>
                <w:szCs w:val="20"/>
              </w:rPr>
              <w:t>85</w:t>
            </w:r>
          </w:p>
        </w:tc>
      </w:tr>
      <w:tr w:rsidR="005F2528" w:rsidRPr="00C968CE" w14:paraId="3D6C66DD"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552209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5AB8DB9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pyłów według PN-EN 933-1 [6]; kategoria nie wyższa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0CD9D3C"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f</w:t>
            </w:r>
            <w:r w:rsidRPr="00C968CE">
              <w:rPr>
                <w:rFonts w:cs="Arial"/>
                <w:szCs w:val="20"/>
                <w:vertAlign w:val="subscript"/>
              </w:rPr>
              <w:t>16</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B15A4B1"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f</w:t>
            </w:r>
            <w:r w:rsidRPr="00C968CE">
              <w:rPr>
                <w:rFonts w:cs="Arial"/>
                <w:szCs w:val="20"/>
                <w:vertAlign w:val="subscript"/>
              </w:rPr>
              <w:t>16</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85C0659"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f</w:t>
            </w:r>
            <w:r w:rsidRPr="00C968CE">
              <w:rPr>
                <w:rFonts w:cs="Arial"/>
                <w:szCs w:val="20"/>
                <w:vertAlign w:val="subscript"/>
              </w:rPr>
              <w:t>16</w:t>
            </w:r>
          </w:p>
        </w:tc>
      </w:tr>
      <w:tr w:rsidR="005F2528" w:rsidRPr="00C968CE" w14:paraId="38A008E5"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02B300A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282CF4B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pyłów według PN-EN 933-9 [11]; kategoria nie wyższa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FB5C9FB" w14:textId="77777777" w:rsidR="005F2528" w:rsidRPr="00C968CE" w:rsidRDefault="005F2528" w:rsidP="00C968CE">
            <w:pPr>
              <w:spacing w:before="120" w:after="100" w:afterAutospacing="1" w:line="240" w:lineRule="auto"/>
              <w:rPr>
                <w:rFonts w:cs="Arial"/>
                <w:szCs w:val="20"/>
              </w:rPr>
            </w:pPr>
            <w:r w:rsidRPr="00C968CE">
              <w:rPr>
                <w:rFonts w:cs="Arial"/>
                <w:szCs w:val="20"/>
              </w:rPr>
              <w:t>MB</w:t>
            </w:r>
            <w:r w:rsidRPr="00C968CE">
              <w:rPr>
                <w:rFonts w:cs="Arial"/>
                <w:szCs w:val="20"/>
                <w:vertAlign w:val="subscript"/>
              </w:rPr>
              <w:t>F</w:t>
            </w:r>
            <w:r w:rsidRPr="00C968CE">
              <w:rPr>
                <w:rFonts w:cs="Arial"/>
                <w:szCs w:val="20"/>
              </w:rPr>
              <w:t>10</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C12926D" w14:textId="77777777" w:rsidR="005F2528" w:rsidRPr="00C968CE" w:rsidRDefault="005F2528" w:rsidP="00C968CE">
            <w:pPr>
              <w:spacing w:before="120" w:after="100" w:afterAutospacing="1" w:line="240" w:lineRule="auto"/>
              <w:rPr>
                <w:rFonts w:cs="Arial"/>
                <w:szCs w:val="20"/>
              </w:rPr>
            </w:pPr>
            <w:r w:rsidRPr="00C968CE">
              <w:rPr>
                <w:rFonts w:cs="Arial"/>
                <w:szCs w:val="20"/>
              </w:rPr>
              <w:t>MB</w:t>
            </w:r>
            <w:r w:rsidRPr="00C968CE">
              <w:rPr>
                <w:rFonts w:cs="Arial"/>
                <w:szCs w:val="20"/>
                <w:vertAlign w:val="subscript"/>
              </w:rPr>
              <w:t>F</w:t>
            </w:r>
            <w:r w:rsidRPr="00C968CE">
              <w:rPr>
                <w:rFonts w:cs="Arial"/>
                <w:szCs w:val="20"/>
              </w:rPr>
              <w:t>10</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F883D2F" w14:textId="77777777" w:rsidR="005F2528" w:rsidRPr="00C968CE" w:rsidRDefault="005F2528" w:rsidP="00C968CE">
            <w:pPr>
              <w:spacing w:before="120" w:after="100" w:afterAutospacing="1" w:line="240" w:lineRule="auto"/>
              <w:rPr>
                <w:rFonts w:cs="Arial"/>
                <w:szCs w:val="20"/>
              </w:rPr>
            </w:pPr>
            <w:r w:rsidRPr="00C968CE">
              <w:rPr>
                <w:rFonts w:cs="Arial"/>
                <w:szCs w:val="20"/>
              </w:rPr>
              <w:t>MB</w:t>
            </w:r>
            <w:r w:rsidRPr="00C968CE">
              <w:rPr>
                <w:rFonts w:cs="Arial"/>
                <w:szCs w:val="20"/>
                <w:vertAlign w:val="subscript"/>
              </w:rPr>
              <w:t>F</w:t>
            </w:r>
            <w:r w:rsidRPr="00C968CE">
              <w:rPr>
                <w:rFonts w:cs="Arial"/>
                <w:szCs w:val="20"/>
              </w:rPr>
              <w:t>10</w:t>
            </w:r>
          </w:p>
        </w:tc>
      </w:tr>
      <w:tr w:rsidR="005F2528" w:rsidRPr="00C968CE" w14:paraId="734755F2"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6E82045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CED84E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Kształt kruszywa według PN-EN 933-3[7] lub według PN-EN 933-4 [8]; kategoria nie wyższa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F1153BD"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26C632C2"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FI</w:t>
            </w:r>
            <w:r w:rsidRPr="00C968CE">
              <w:rPr>
                <w:rFonts w:cs="Arial"/>
                <w:i/>
                <w:iCs/>
                <w:szCs w:val="20"/>
                <w:vertAlign w:val="subscript"/>
              </w:rPr>
              <w:t>50</w:t>
            </w:r>
            <w:r w:rsidRPr="00C968CE">
              <w:rPr>
                <w:rFonts w:cs="Arial"/>
                <w:szCs w:val="20"/>
              </w:rPr>
              <w:t xml:space="preserve"> lub </w:t>
            </w:r>
            <w:r w:rsidRPr="00C968CE">
              <w:rPr>
                <w:rFonts w:cs="Arial"/>
                <w:i/>
                <w:iCs/>
                <w:szCs w:val="20"/>
              </w:rPr>
              <w:t>SI</w:t>
            </w:r>
            <w:r w:rsidRPr="00C968CE">
              <w:rPr>
                <w:rFonts w:cs="Arial"/>
                <w:i/>
                <w:iCs/>
                <w:szCs w:val="20"/>
                <w:vertAlign w:val="subscript"/>
              </w:rPr>
              <w:t>50</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C95FFB1"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417EDA27"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FI</w:t>
            </w:r>
            <w:r w:rsidRPr="00C968CE">
              <w:rPr>
                <w:rFonts w:cs="Arial"/>
                <w:i/>
                <w:iCs/>
                <w:szCs w:val="20"/>
                <w:vertAlign w:val="subscript"/>
              </w:rPr>
              <w:t>30</w:t>
            </w:r>
            <w:r w:rsidRPr="00C968CE">
              <w:rPr>
                <w:rFonts w:cs="Arial"/>
                <w:szCs w:val="20"/>
              </w:rPr>
              <w:t xml:space="preserve"> lub </w:t>
            </w:r>
            <w:r w:rsidRPr="00C968CE">
              <w:rPr>
                <w:rFonts w:cs="Arial"/>
                <w:i/>
                <w:iCs/>
                <w:szCs w:val="20"/>
              </w:rPr>
              <w:t>SI</w:t>
            </w:r>
            <w:r w:rsidRPr="00C968CE">
              <w:rPr>
                <w:rFonts w:cs="Arial"/>
                <w:i/>
                <w:iCs/>
                <w:szCs w:val="20"/>
                <w:vertAlign w:val="subscript"/>
              </w:rPr>
              <w:t>30</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A83F47E"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FI</w:t>
            </w:r>
            <w:r w:rsidRPr="00C968CE">
              <w:rPr>
                <w:rFonts w:cs="Arial"/>
                <w:i/>
                <w:iCs/>
                <w:szCs w:val="20"/>
                <w:vertAlign w:val="subscript"/>
              </w:rPr>
              <w:t>30</w:t>
            </w:r>
            <w:r w:rsidRPr="00C968CE">
              <w:rPr>
                <w:rFonts w:cs="Arial"/>
                <w:szCs w:val="20"/>
              </w:rPr>
              <w:t xml:space="preserve"> lub </w:t>
            </w:r>
            <w:r w:rsidRPr="00C968CE">
              <w:rPr>
                <w:rFonts w:cs="Arial"/>
                <w:i/>
                <w:iCs/>
                <w:szCs w:val="20"/>
              </w:rPr>
              <w:t>SI</w:t>
            </w:r>
            <w:r w:rsidRPr="00C968CE">
              <w:rPr>
                <w:rFonts w:cs="Arial"/>
                <w:i/>
                <w:iCs/>
                <w:szCs w:val="20"/>
                <w:vertAlign w:val="subscript"/>
              </w:rPr>
              <w:t>30</w:t>
            </w:r>
          </w:p>
        </w:tc>
      </w:tr>
      <w:tr w:rsidR="005F2528" w:rsidRPr="00C968CE" w14:paraId="1B745266"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2B90C6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01D2C5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Procentowa zawartość ziaren o powierzchni przekruszonej i łamanej w kruszywie grubym według PN-EN 933-5 [9]; kategoria nie niższa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A3A3761" w14:textId="77777777" w:rsidR="005F2528" w:rsidRPr="00C968CE" w:rsidRDefault="005F2528" w:rsidP="00C968CE">
            <w:pPr>
              <w:spacing w:before="120" w:after="100" w:afterAutospacing="1" w:line="240" w:lineRule="auto"/>
              <w:rPr>
                <w:rFonts w:cs="Arial"/>
                <w:szCs w:val="20"/>
              </w:rPr>
            </w:pPr>
            <w:r w:rsidRPr="00C968CE">
              <w:rPr>
                <w:rFonts w:cs="Arial"/>
                <w:szCs w:val="20"/>
              </w:rPr>
              <w:t> </w:t>
            </w:r>
          </w:p>
          <w:p w14:paraId="066B6C2B" w14:textId="77777777" w:rsidR="005F2528" w:rsidRPr="00C968CE" w:rsidRDefault="005F2528" w:rsidP="00C968CE">
            <w:pPr>
              <w:spacing w:before="120" w:after="100" w:afterAutospacing="1" w:line="240" w:lineRule="auto"/>
              <w:rPr>
                <w:rFonts w:cs="Arial"/>
                <w:szCs w:val="20"/>
              </w:rPr>
            </w:pPr>
            <w:r w:rsidRPr="00C968CE">
              <w:rPr>
                <w:rFonts w:cs="Arial"/>
                <w:szCs w:val="20"/>
              </w:rPr>
              <w:t>C</w:t>
            </w:r>
            <w:r w:rsidRPr="00C968CE">
              <w:rPr>
                <w:rFonts w:cs="Arial"/>
                <w:szCs w:val="20"/>
                <w:vertAlign w:val="subscript"/>
              </w:rPr>
              <w:t>Deklarowana</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2215E9F" w14:textId="77777777" w:rsidR="005F2528" w:rsidRPr="00C968CE" w:rsidRDefault="005F2528" w:rsidP="00C968CE">
            <w:pPr>
              <w:spacing w:before="120" w:after="100" w:afterAutospacing="1" w:line="240" w:lineRule="auto"/>
              <w:rPr>
                <w:rFonts w:cs="Arial"/>
                <w:szCs w:val="20"/>
              </w:rPr>
            </w:pPr>
            <w:r w:rsidRPr="00C968CE">
              <w:rPr>
                <w:rFonts w:cs="Arial"/>
                <w:b/>
                <w:bCs/>
                <w:szCs w:val="20"/>
              </w:rPr>
              <w:t> </w:t>
            </w:r>
          </w:p>
          <w:p w14:paraId="3537F206"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C</w:t>
            </w:r>
            <w:r w:rsidRPr="00C968CE">
              <w:rPr>
                <w:rFonts w:cs="Arial"/>
                <w:i/>
                <w:iCs/>
                <w:szCs w:val="20"/>
                <w:vertAlign w:val="subscript"/>
              </w:rPr>
              <w:t>50</w:t>
            </w:r>
            <w:r w:rsidRPr="00C968CE">
              <w:rPr>
                <w:rFonts w:cs="Arial"/>
                <w:szCs w:val="20"/>
                <w:vertAlign w:val="subscript"/>
              </w:rPr>
              <w:t>/30</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E4C981C"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C</w:t>
            </w:r>
            <w:r w:rsidRPr="00C968CE">
              <w:rPr>
                <w:rFonts w:cs="Arial"/>
                <w:i/>
                <w:iCs/>
                <w:szCs w:val="20"/>
                <w:vertAlign w:val="subscript"/>
              </w:rPr>
              <w:t>50</w:t>
            </w:r>
            <w:r w:rsidRPr="00C968CE">
              <w:rPr>
                <w:rFonts w:cs="Arial"/>
                <w:szCs w:val="20"/>
                <w:vertAlign w:val="subscript"/>
              </w:rPr>
              <w:t>/30</w:t>
            </w:r>
          </w:p>
        </w:tc>
      </w:tr>
      <w:tr w:rsidR="005F2528" w:rsidRPr="00C968CE" w14:paraId="0AC61750" w14:textId="77777777" w:rsidTr="005F2528">
        <w:trPr>
          <w:trHeight w:val="1501"/>
        </w:trPr>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889DFE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C60953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Odporność kruszywa na rozdrabnianie według normy PN-EN 1097-2 [13], badana na kruszywie o wymiarze 10/14, rozdział 5, kategoria nie wyższa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04A0E97"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 </w:t>
            </w:r>
          </w:p>
          <w:p w14:paraId="141E90FF"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LA</w:t>
            </w:r>
            <w:r w:rsidRPr="00C968CE">
              <w:rPr>
                <w:rFonts w:cs="Arial"/>
                <w:i/>
                <w:iCs/>
                <w:szCs w:val="20"/>
                <w:vertAlign w:val="subscript"/>
              </w:rPr>
              <w:t>50</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3AD4DD1"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 </w:t>
            </w:r>
          </w:p>
          <w:p w14:paraId="5A8F3A31"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LA</w:t>
            </w:r>
            <w:r w:rsidRPr="00C968CE">
              <w:rPr>
                <w:rFonts w:cs="Arial"/>
                <w:i/>
                <w:iCs/>
                <w:szCs w:val="20"/>
                <w:vertAlign w:val="subscript"/>
              </w:rPr>
              <w:t>40</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3B85FF6"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 </w:t>
            </w:r>
          </w:p>
          <w:p w14:paraId="13464B5E" w14:textId="77777777" w:rsidR="005F2528" w:rsidRPr="00C968CE" w:rsidRDefault="005F2528" w:rsidP="00C968CE">
            <w:pPr>
              <w:spacing w:before="120" w:after="100" w:afterAutospacing="1" w:line="240" w:lineRule="auto"/>
              <w:rPr>
                <w:rFonts w:cs="Arial"/>
                <w:szCs w:val="20"/>
              </w:rPr>
            </w:pPr>
            <w:r w:rsidRPr="00C968CE">
              <w:rPr>
                <w:rFonts w:cs="Arial"/>
                <w:i/>
                <w:iCs/>
                <w:szCs w:val="20"/>
              </w:rPr>
              <w:t>LA</w:t>
            </w:r>
            <w:r w:rsidRPr="00C968CE">
              <w:rPr>
                <w:rFonts w:cs="Arial"/>
                <w:szCs w:val="20"/>
                <w:vertAlign w:val="subscript"/>
              </w:rPr>
              <w:t>40</w:t>
            </w:r>
          </w:p>
        </w:tc>
      </w:tr>
      <w:tr w:rsidR="005F2528" w:rsidRPr="00C968CE" w14:paraId="10A17D98" w14:textId="77777777" w:rsidTr="005F2528">
        <w:trPr>
          <w:trHeight w:val="696"/>
        </w:trPr>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6C791A7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CF8851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Gęstość ziaren według PN-EN 1097-6 [17], rozdział 7, 8 lub 9:</w:t>
            </w:r>
          </w:p>
        </w:tc>
        <w:tc>
          <w:tcPr>
            <w:tcW w:w="4411"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515CE8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deklarowana przez producenta</w:t>
            </w:r>
            <w:r w:rsidRPr="00C968CE">
              <w:rPr>
                <w:rFonts w:cs="Arial"/>
                <w:b/>
                <w:bCs/>
                <w:szCs w:val="20"/>
              </w:rPr>
              <w:t> </w:t>
            </w:r>
          </w:p>
        </w:tc>
      </w:tr>
      <w:tr w:rsidR="005F2528" w:rsidRPr="00C968CE" w14:paraId="21A43BB4"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E5BF48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8C1B83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Nasiąkliwość według PN-EN 1097-6 [17], rozdział 7, 8 lub 9:</w:t>
            </w:r>
          </w:p>
        </w:tc>
        <w:tc>
          <w:tcPr>
            <w:tcW w:w="4411"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AC5CF0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deklarowana przez producenta</w:t>
            </w:r>
            <w:r w:rsidRPr="00C968CE">
              <w:rPr>
                <w:rFonts w:cs="Arial"/>
                <w:b/>
                <w:bCs/>
                <w:szCs w:val="20"/>
              </w:rPr>
              <w:t> </w:t>
            </w:r>
          </w:p>
        </w:tc>
      </w:tr>
      <w:tr w:rsidR="005F2528" w:rsidRPr="00C968CE" w14:paraId="0684C4B6"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34931B0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A8146B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Gęstość nasypowa wg PN-EN 1097-3 [14]</w:t>
            </w:r>
          </w:p>
        </w:tc>
        <w:tc>
          <w:tcPr>
            <w:tcW w:w="4411"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1C83C762" w14:textId="77777777" w:rsidR="005F2528" w:rsidRPr="00C968CE" w:rsidRDefault="005F2528" w:rsidP="00C968CE">
            <w:pPr>
              <w:spacing w:before="120" w:after="100" w:afterAutospacing="1" w:line="240" w:lineRule="auto"/>
              <w:rPr>
                <w:rFonts w:cs="Arial"/>
                <w:szCs w:val="20"/>
              </w:rPr>
            </w:pPr>
            <w:r w:rsidRPr="00C968CE">
              <w:rPr>
                <w:rFonts w:cs="Arial"/>
                <w:szCs w:val="20"/>
              </w:rPr>
              <w:t>deklarowana przez producenta</w:t>
            </w:r>
            <w:r w:rsidRPr="00C968CE">
              <w:rPr>
                <w:rFonts w:cs="Arial"/>
                <w:b/>
                <w:bCs/>
                <w:szCs w:val="20"/>
              </w:rPr>
              <w:t> </w:t>
            </w:r>
          </w:p>
        </w:tc>
      </w:tr>
      <w:tr w:rsidR="005F2528" w:rsidRPr="00C968CE" w14:paraId="760B4362"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E7B1FE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482E98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Mrozoodporność według PN-EN 1367-1 [19], badana na kruszywie 8/11, 11/16 lub 8/16; kategoria nie wyższa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D46DF39"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52EE8A76"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w:t>
            </w:r>
            <w:r w:rsidRPr="00C968CE">
              <w:rPr>
                <w:rFonts w:cs="Arial"/>
                <w:i/>
                <w:iCs/>
                <w:szCs w:val="20"/>
                <w:vertAlign w:val="subscript"/>
              </w:rPr>
              <w:t>4</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442BB58"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2F19D6B7"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w:t>
            </w:r>
            <w:r w:rsidRPr="00C968CE">
              <w:rPr>
                <w:rFonts w:cs="Arial"/>
                <w:i/>
                <w:iCs/>
                <w:szCs w:val="20"/>
                <w:vertAlign w:val="subscript"/>
              </w:rPr>
              <w:t>4</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D4F09B8"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2C348627"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F</w:t>
            </w:r>
            <w:r w:rsidRPr="00C968CE">
              <w:rPr>
                <w:rFonts w:cs="Arial"/>
                <w:i/>
                <w:iCs/>
                <w:szCs w:val="20"/>
                <w:vertAlign w:val="subscript"/>
              </w:rPr>
              <w:t>4</w:t>
            </w:r>
          </w:p>
        </w:tc>
      </w:tr>
      <w:tr w:rsidR="005F2528" w:rsidRPr="00C968CE" w14:paraId="0846EEEA"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924EFC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11</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910663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„Zgorzel słoneczna” bazaltu według </w:t>
            </w:r>
            <w:r w:rsidRPr="00C968CE">
              <w:rPr>
                <w:rFonts w:cs="Arial"/>
                <w:szCs w:val="20"/>
              </w:rPr>
              <w:br/>
              <w:t>PN-EN 1367-3 [20]; wymagana kategoria:</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52DFE2E"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607D1F5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SB</w:t>
            </w:r>
            <w:r w:rsidRPr="00C968CE">
              <w:rPr>
                <w:rFonts w:cs="Arial"/>
                <w:szCs w:val="20"/>
                <w:vertAlign w:val="subscript"/>
              </w:rPr>
              <w:t>LA</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B297899"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41044D70"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SB</w:t>
            </w:r>
            <w:r w:rsidRPr="00C968CE">
              <w:rPr>
                <w:rFonts w:cs="Arial"/>
                <w:szCs w:val="20"/>
                <w:vertAlign w:val="subscript"/>
              </w:rPr>
              <w:t>LA</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5D1BA2F1"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SB</w:t>
            </w:r>
            <w:r w:rsidRPr="00C968CE">
              <w:rPr>
                <w:rFonts w:cs="Arial"/>
                <w:szCs w:val="20"/>
                <w:vertAlign w:val="subscript"/>
              </w:rPr>
              <w:t>LA</w:t>
            </w:r>
          </w:p>
        </w:tc>
      </w:tr>
      <w:tr w:rsidR="005F2528" w:rsidRPr="00C968CE" w14:paraId="43A0658F"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448480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12</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400C15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Kanciastość kruszywa drobnego lub kruszywa 0/2 wydzielonego z kruszywa o drobnym uziarnieniu wg PN-EN 933-6 [10], rozdz. 8, kategoria nie niższa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C04E27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526FF4B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E</w:t>
            </w:r>
            <w:r w:rsidRPr="00C968CE">
              <w:rPr>
                <w:rFonts w:cs="Arial"/>
                <w:szCs w:val="20"/>
                <w:vertAlign w:val="subscript"/>
              </w:rPr>
              <w:t>CSDeklarowana</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C0C37B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6BC277D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E</w:t>
            </w:r>
            <w:r w:rsidRPr="00C968CE">
              <w:rPr>
                <w:rFonts w:cs="Arial"/>
                <w:szCs w:val="20"/>
                <w:vertAlign w:val="subscript"/>
              </w:rPr>
              <w:t>CS</w:t>
            </w:r>
            <w:r w:rsidRPr="00C968CE">
              <w:rPr>
                <w:rFonts w:cs="Arial"/>
                <w:szCs w:val="20"/>
              </w:rPr>
              <w:t>30</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E7D5A5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49FE80C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E</w:t>
            </w:r>
            <w:r w:rsidRPr="00C968CE">
              <w:rPr>
                <w:rFonts w:cs="Arial"/>
                <w:szCs w:val="20"/>
                <w:vertAlign w:val="subscript"/>
              </w:rPr>
              <w:t>CS</w:t>
            </w:r>
            <w:r w:rsidRPr="00C968CE">
              <w:rPr>
                <w:rFonts w:cs="Arial"/>
                <w:szCs w:val="20"/>
              </w:rPr>
              <w:t>30</w:t>
            </w:r>
          </w:p>
        </w:tc>
      </w:tr>
      <w:tr w:rsidR="005F2528" w:rsidRPr="00C968CE" w14:paraId="3FF3BDBC"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7B64E90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13</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94D8A3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Skład chemiczny – uproszczony opis petrograficzny według PN-EN 932-3 [5]</w:t>
            </w:r>
          </w:p>
        </w:tc>
        <w:tc>
          <w:tcPr>
            <w:tcW w:w="4411" w:type="dxa"/>
            <w:gridSpan w:val="3"/>
            <w:tcBorders>
              <w:top w:val="nil"/>
              <w:left w:val="nil"/>
              <w:bottom w:val="single" w:sz="8" w:space="0" w:color="000000"/>
              <w:right w:val="single" w:sz="8" w:space="0" w:color="000000"/>
            </w:tcBorders>
            <w:noWrap/>
            <w:tcMar>
              <w:top w:w="0" w:type="dxa"/>
              <w:left w:w="108" w:type="dxa"/>
              <w:bottom w:w="0" w:type="dxa"/>
              <w:right w:w="108" w:type="dxa"/>
            </w:tcMar>
            <w:hideMark/>
          </w:tcPr>
          <w:p w14:paraId="5EBC286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73681CF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deklarowany przez producenta</w:t>
            </w:r>
          </w:p>
          <w:p w14:paraId="7C2C061F" w14:textId="77777777" w:rsidR="005F2528" w:rsidRPr="00C968CE" w:rsidRDefault="005F2528" w:rsidP="00C968CE">
            <w:pPr>
              <w:spacing w:before="100" w:beforeAutospacing="1" w:after="100" w:afterAutospacing="1" w:line="240" w:lineRule="auto"/>
              <w:rPr>
                <w:rFonts w:cs="Arial"/>
                <w:szCs w:val="20"/>
              </w:rPr>
            </w:pPr>
            <w:r w:rsidRPr="00C968CE">
              <w:rPr>
                <w:rFonts w:cs="Arial"/>
                <w:b/>
                <w:bCs/>
                <w:szCs w:val="20"/>
              </w:rPr>
              <w:t> </w:t>
            </w:r>
          </w:p>
        </w:tc>
      </w:tr>
      <w:tr w:rsidR="005F2528" w:rsidRPr="00C968CE" w14:paraId="000185D2"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04C2B37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14</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C6C5BE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Grube zanieczyszczenia lekkie według PN-EN 1744-1 [23], p. 14.2; kategoria nie wyższa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40DE404"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43F12B0B"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m</w:t>
            </w:r>
            <w:r w:rsidRPr="00C968CE">
              <w:rPr>
                <w:rFonts w:cs="Arial"/>
                <w:szCs w:val="20"/>
                <w:vertAlign w:val="subscript"/>
              </w:rPr>
              <w:t>LPC</w:t>
            </w:r>
            <w:r w:rsidRPr="00C968CE">
              <w:rPr>
                <w:rFonts w:cs="Arial"/>
                <w:szCs w:val="20"/>
              </w:rPr>
              <w:t xml:space="preserve"> 0,1</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60D2AAD"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122AF4FC"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m</w:t>
            </w:r>
            <w:r w:rsidRPr="00C968CE">
              <w:rPr>
                <w:rFonts w:cs="Arial"/>
                <w:szCs w:val="20"/>
                <w:vertAlign w:val="subscript"/>
              </w:rPr>
              <w:t>LPC</w:t>
            </w:r>
            <w:r w:rsidRPr="00C968CE">
              <w:rPr>
                <w:rFonts w:cs="Arial"/>
                <w:szCs w:val="20"/>
              </w:rPr>
              <w:t xml:space="preserve"> 0,1</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15051BA0"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m</w:t>
            </w:r>
            <w:r w:rsidRPr="00C968CE">
              <w:rPr>
                <w:rFonts w:cs="Arial"/>
                <w:szCs w:val="20"/>
                <w:vertAlign w:val="subscript"/>
              </w:rPr>
              <w:t>LPC</w:t>
            </w:r>
            <w:r w:rsidRPr="00C968CE">
              <w:rPr>
                <w:rFonts w:cs="Arial"/>
                <w:szCs w:val="20"/>
              </w:rPr>
              <w:t xml:space="preserve"> 0,1</w:t>
            </w:r>
          </w:p>
        </w:tc>
      </w:tr>
      <w:tr w:rsidR="005F2528" w:rsidRPr="00C968CE" w14:paraId="5A55AA2E"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57781B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15</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4B7F45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Rozpad krzemianowy żużla wielkopie-cowego chłodzonego powietrzem według PN-EN 1744-1[23], p. 19.1:</w:t>
            </w:r>
          </w:p>
        </w:tc>
        <w:tc>
          <w:tcPr>
            <w:tcW w:w="4411"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0025916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3C4840E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wymagana odporność</w:t>
            </w:r>
          </w:p>
          <w:p w14:paraId="3AEE12D8" w14:textId="77777777" w:rsidR="005F2528" w:rsidRPr="00C968CE" w:rsidRDefault="005F2528" w:rsidP="00C968CE">
            <w:pPr>
              <w:spacing w:before="100" w:beforeAutospacing="1" w:after="100" w:afterAutospacing="1" w:line="240" w:lineRule="auto"/>
              <w:rPr>
                <w:rFonts w:cs="Arial"/>
                <w:szCs w:val="20"/>
              </w:rPr>
            </w:pPr>
            <w:r w:rsidRPr="00C968CE">
              <w:rPr>
                <w:rFonts w:cs="Arial"/>
                <w:b/>
                <w:bCs/>
                <w:szCs w:val="20"/>
              </w:rPr>
              <w:t> </w:t>
            </w:r>
          </w:p>
        </w:tc>
      </w:tr>
      <w:tr w:rsidR="005F2528" w:rsidRPr="00C968CE" w14:paraId="4304803A"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36E8C0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16</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2FE3F1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Rozpad żelazowy żużla wielkopie-cowego chłodzonego powietrzem według PN-EN 1744-1 [23], p. 19.2:</w:t>
            </w:r>
          </w:p>
        </w:tc>
        <w:tc>
          <w:tcPr>
            <w:tcW w:w="4411"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EC7DDD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6496D56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wymagana odporność</w:t>
            </w:r>
          </w:p>
          <w:p w14:paraId="0984B445" w14:textId="77777777" w:rsidR="005F2528" w:rsidRPr="00C968CE" w:rsidRDefault="005F2528" w:rsidP="00C968CE">
            <w:pPr>
              <w:spacing w:before="100" w:beforeAutospacing="1" w:after="100" w:afterAutospacing="1" w:line="240" w:lineRule="auto"/>
              <w:rPr>
                <w:rFonts w:cs="Arial"/>
                <w:szCs w:val="20"/>
              </w:rPr>
            </w:pPr>
            <w:r w:rsidRPr="00C968CE">
              <w:rPr>
                <w:rFonts w:cs="Arial"/>
                <w:b/>
                <w:bCs/>
                <w:szCs w:val="20"/>
              </w:rPr>
              <w:t> </w:t>
            </w:r>
          </w:p>
        </w:tc>
      </w:tr>
      <w:tr w:rsidR="005F2528" w:rsidRPr="00C968CE" w14:paraId="0A106A22" w14:textId="77777777" w:rsidTr="005F2528">
        <w:tc>
          <w:tcPr>
            <w:tcW w:w="585"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EB7FDA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17</w:t>
            </w:r>
          </w:p>
        </w:tc>
        <w:tc>
          <w:tcPr>
            <w:tcW w:w="3960"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138A953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Stałość objętości kruszywa z żużla stalowniczego według PN-EN 1744-1 [23], p. 19.3; kategoria nie wyższa niż:</w:t>
            </w:r>
          </w:p>
        </w:tc>
        <w:tc>
          <w:tcPr>
            <w:tcW w:w="1425"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68AEC2B"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5A93064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6,5</w:t>
            </w:r>
          </w:p>
        </w:tc>
        <w:tc>
          <w:tcPr>
            <w:tcW w:w="141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5640D9B"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 </w:t>
            </w:r>
          </w:p>
          <w:p w14:paraId="7A6AE845"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6,5</w:t>
            </w:r>
          </w:p>
        </w:tc>
        <w:tc>
          <w:tcPr>
            <w:tcW w:w="1569"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725D8DA8"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6,5</w:t>
            </w:r>
          </w:p>
        </w:tc>
      </w:tr>
      <w:tr w:rsidR="005F2528" w:rsidRPr="00C968CE" w14:paraId="3118F47C" w14:textId="77777777" w:rsidTr="005F2528">
        <w:tc>
          <w:tcPr>
            <w:tcW w:w="570" w:type="dxa"/>
            <w:vAlign w:val="center"/>
            <w:hideMark/>
          </w:tcPr>
          <w:p w14:paraId="32C456D2" w14:textId="77777777" w:rsidR="005F2528" w:rsidRPr="00C968CE" w:rsidRDefault="005F2528" w:rsidP="00C968CE">
            <w:pPr>
              <w:spacing w:line="240" w:lineRule="auto"/>
              <w:rPr>
                <w:rFonts w:cs="Arial"/>
                <w:szCs w:val="20"/>
                <w:lang w:eastAsia="en-US"/>
              </w:rPr>
            </w:pPr>
          </w:p>
        </w:tc>
        <w:tc>
          <w:tcPr>
            <w:tcW w:w="15" w:type="dxa"/>
            <w:vAlign w:val="center"/>
            <w:hideMark/>
          </w:tcPr>
          <w:p w14:paraId="3143802B" w14:textId="77777777" w:rsidR="005F2528" w:rsidRPr="00C968CE" w:rsidRDefault="005F2528" w:rsidP="00C968CE">
            <w:pPr>
              <w:spacing w:line="240" w:lineRule="auto"/>
              <w:rPr>
                <w:rFonts w:cs="Arial"/>
                <w:szCs w:val="20"/>
                <w:lang w:eastAsia="en-US"/>
              </w:rPr>
            </w:pPr>
          </w:p>
        </w:tc>
        <w:tc>
          <w:tcPr>
            <w:tcW w:w="3960" w:type="dxa"/>
            <w:vAlign w:val="center"/>
            <w:hideMark/>
          </w:tcPr>
          <w:p w14:paraId="0598CF36" w14:textId="77777777" w:rsidR="005F2528" w:rsidRPr="00C968CE" w:rsidRDefault="005F2528" w:rsidP="00C968CE">
            <w:pPr>
              <w:spacing w:line="240" w:lineRule="auto"/>
              <w:rPr>
                <w:rFonts w:cs="Arial"/>
                <w:szCs w:val="20"/>
                <w:lang w:eastAsia="en-US"/>
              </w:rPr>
            </w:pPr>
          </w:p>
        </w:tc>
        <w:tc>
          <w:tcPr>
            <w:tcW w:w="1425" w:type="dxa"/>
            <w:vAlign w:val="center"/>
            <w:hideMark/>
          </w:tcPr>
          <w:p w14:paraId="5251F912" w14:textId="77777777" w:rsidR="005F2528" w:rsidRPr="00C968CE" w:rsidRDefault="005F2528" w:rsidP="00C968CE">
            <w:pPr>
              <w:spacing w:line="240" w:lineRule="auto"/>
              <w:rPr>
                <w:rFonts w:cs="Arial"/>
                <w:szCs w:val="20"/>
                <w:lang w:eastAsia="en-US"/>
              </w:rPr>
            </w:pPr>
          </w:p>
        </w:tc>
        <w:tc>
          <w:tcPr>
            <w:tcW w:w="1417" w:type="dxa"/>
            <w:vAlign w:val="center"/>
            <w:hideMark/>
          </w:tcPr>
          <w:p w14:paraId="2DCD190F" w14:textId="77777777" w:rsidR="005F2528" w:rsidRPr="00C968CE" w:rsidRDefault="005F2528" w:rsidP="00C968CE">
            <w:pPr>
              <w:spacing w:line="240" w:lineRule="auto"/>
              <w:rPr>
                <w:rFonts w:cs="Arial"/>
                <w:szCs w:val="20"/>
                <w:lang w:eastAsia="en-US"/>
              </w:rPr>
            </w:pPr>
          </w:p>
        </w:tc>
        <w:tc>
          <w:tcPr>
            <w:tcW w:w="1569" w:type="dxa"/>
            <w:vAlign w:val="center"/>
            <w:hideMark/>
          </w:tcPr>
          <w:p w14:paraId="30470F0B" w14:textId="77777777" w:rsidR="005F2528" w:rsidRPr="00C968CE" w:rsidRDefault="005F2528" w:rsidP="00C968CE">
            <w:pPr>
              <w:spacing w:line="240" w:lineRule="auto"/>
              <w:rPr>
                <w:rFonts w:cs="Arial"/>
                <w:szCs w:val="20"/>
                <w:lang w:eastAsia="en-US"/>
              </w:rPr>
            </w:pPr>
          </w:p>
        </w:tc>
      </w:tr>
    </w:tbl>
    <w:p w14:paraId="25680A9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236A4E7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Uwaga: Dopuszcza się stosowanie kruszywa o ciągłym uziarnieniu jako jeden ze składników mieszanki mineralnej; dla KR3 ÷ KR7 nie dopuszcza się, aby kruszywo o ciągłym uziarnieniu stanowiło 100% zaprojektowanej mieszanki mineralnej.</w:t>
      </w:r>
    </w:p>
    <w:p w14:paraId="40520E3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26F92B87" w14:textId="77777777" w:rsidR="005F2528" w:rsidRPr="00C968CE" w:rsidRDefault="005F2528" w:rsidP="00C968CE">
      <w:pPr>
        <w:spacing w:line="240" w:lineRule="auto"/>
        <w:ind w:left="360" w:right="-57" w:hanging="360"/>
        <w:rPr>
          <w:rFonts w:cs="Arial"/>
          <w:szCs w:val="20"/>
        </w:rPr>
      </w:pPr>
      <w:r w:rsidRPr="00C968CE">
        <w:rPr>
          <w:rFonts w:cs="Arial"/>
          <w:szCs w:val="20"/>
        </w:rPr>
        <w:t>e) Do podbudowy z betonu asfaltowego, w zależności od kategorii ruchu,  należy stosować wypełniacz spełniający wymagania podane w tablicy 10.</w:t>
      </w:r>
    </w:p>
    <w:p w14:paraId="4007AD10" w14:textId="77777777" w:rsidR="005F2528" w:rsidRPr="00C968CE" w:rsidRDefault="005F2528" w:rsidP="00C968CE">
      <w:pPr>
        <w:spacing w:before="120" w:after="120" w:line="240" w:lineRule="auto"/>
        <w:rPr>
          <w:rFonts w:cs="Arial"/>
          <w:szCs w:val="20"/>
        </w:rPr>
      </w:pPr>
      <w:r w:rsidRPr="00C968CE">
        <w:rPr>
          <w:rFonts w:cs="Arial"/>
          <w:szCs w:val="20"/>
        </w:rPr>
        <w:t>Tablica 10. Wymagane właściwości wypełniacza*) do podbudowy  z betonu asfaltowego</w:t>
      </w:r>
    </w:p>
    <w:tbl>
      <w:tblPr>
        <w:tblW w:w="9073" w:type="dxa"/>
        <w:tblCellMar>
          <w:left w:w="0" w:type="dxa"/>
          <w:right w:w="0" w:type="dxa"/>
        </w:tblCellMar>
        <w:tblLook w:val="04A0" w:firstRow="1" w:lastRow="0" w:firstColumn="1" w:lastColumn="0" w:noHBand="0" w:noVBand="1"/>
      </w:tblPr>
      <w:tblGrid>
        <w:gridCol w:w="5028"/>
        <w:gridCol w:w="1320"/>
        <w:gridCol w:w="1389"/>
        <w:gridCol w:w="1336"/>
      </w:tblGrid>
      <w:tr w:rsidR="005F2528" w:rsidRPr="00C968CE" w14:paraId="42119517" w14:textId="77777777" w:rsidTr="005F2528">
        <w:tc>
          <w:tcPr>
            <w:tcW w:w="5028" w:type="dxa"/>
            <w:vMerge w:val="restart"/>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14:paraId="0187228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3844FF4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kruszywa</w:t>
            </w:r>
          </w:p>
        </w:tc>
        <w:tc>
          <w:tcPr>
            <w:tcW w:w="4045" w:type="dxa"/>
            <w:gridSpan w:val="3"/>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4A01CC9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Wymagania w zależności od kategorii ruchu</w:t>
            </w:r>
          </w:p>
        </w:tc>
      </w:tr>
      <w:tr w:rsidR="005F2528" w:rsidRPr="00C968CE" w14:paraId="00E1A774" w14:textId="77777777" w:rsidTr="005F2528">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79178F6" w14:textId="77777777" w:rsidR="005F2528" w:rsidRPr="00C968CE" w:rsidRDefault="005F2528" w:rsidP="00C968CE">
            <w:pPr>
              <w:spacing w:line="240" w:lineRule="auto"/>
              <w:rPr>
                <w:rFonts w:cs="Arial"/>
                <w:szCs w:val="20"/>
              </w:rPr>
            </w:pPr>
          </w:p>
        </w:tc>
        <w:tc>
          <w:tcPr>
            <w:tcW w:w="132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2DA348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KR1 ¸ KR2</w:t>
            </w:r>
          </w:p>
        </w:tc>
        <w:tc>
          <w:tcPr>
            <w:tcW w:w="138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81E23F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KR3 ¸ KR4</w:t>
            </w:r>
          </w:p>
        </w:tc>
        <w:tc>
          <w:tcPr>
            <w:tcW w:w="1336"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7569D6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KR5 ¸ KR7</w:t>
            </w:r>
          </w:p>
        </w:tc>
      </w:tr>
      <w:tr w:rsidR="005F2528" w:rsidRPr="00C968CE" w14:paraId="6D2DA8F9"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6BE1CC9A" w14:textId="77777777" w:rsidR="005F2528" w:rsidRPr="00C968CE" w:rsidRDefault="005F2528" w:rsidP="00C968CE">
            <w:pPr>
              <w:spacing w:before="120" w:after="100" w:afterAutospacing="1" w:line="240" w:lineRule="auto"/>
              <w:rPr>
                <w:rFonts w:cs="Arial"/>
                <w:szCs w:val="20"/>
              </w:rPr>
            </w:pPr>
            <w:r w:rsidRPr="00C968CE">
              <w:rPr>
                <w:rFonts w:cs="Arial"/>
                <w:szCs w:val="20"/>
              </w:rPr>
              <w:t>Uziarnienie według PN-EN 933-10 [12]</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50732A6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zgodnie z tablicą 24 w PN-EN 13043 [50]</w:t>
            </w:r>
          </w:p>
        </w:tc>
      </w:tr>
      <w:tr w:rsidR="005F2528" w:rsidRPr="00C968CE" w14:paraId="4C0B1F47"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0BB83B3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Jakość pyłów według PN-EN 933-9 [11]; kategoria nie wyższa niż:</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5C4700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MB</w:t>
            </w:r>
            <w:r w:rsidRPr="00C968CE">
              <w:rPr>
                <w:rFonts w:cs="Arial"/>
                <w:szCs w:val="20"/>
                <w:vertAlign w:val="subscript"/>
              </w:rPr>
              <w:t>F</w:t>
            </w:r>
            <w:r w:rsidRPr="00C968CE">
              <w:rPr>
                <w:rFonts w:cs="Arial"/>
                <w:szCs w:val="20"/>
              </w:rPr>
              <w:t>10</w:t>
            </w:r>
          </w:p>
        </w:tc>
      </w:tr>
      <w:tr w:rsidR="005F2528" w:rsidRPr="00C968CE" w14:paraId="2C451DF8"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61BBB2F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wody według PN-EN 1097-5 [16], nie wyższa niż:</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78CEB00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1 % (m/m)</w:t>
            </w:r>
          </w:p>
        </w:tc>
      </w:tr>
      <w:tr w:rsidR="005F2528" w:rsidRPr="00C968CE" w14:paraId="3F531C0D"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729B89EF" w14:textId="77777777" w:rsidR="005F2528" w:rsidRPr="00C968CE" w:rsidRDefault="005F2528" w:rsidP="00C968CE">
            <w:pPr>
              <w:spacing w:before="60" w:after="60" w:line="240" w:lineRule="auto"/>
              <w:rPr>
                <w:rFonts w:cs="Arial"/>
                <w:szCs w:val="20"/>
              </w:rPr>
            </w:pPr>
            <w:r w:rsidRPr="00C968CE">
              <w:rPr>
                <w:rFonts w:cs="Arial"/>
                <w:szCs w:val="20"/>
              </w:rPr>
              <w:t>Gęstość ziaren według PN-EN 1097-7 [18]</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540783AB" w14:textId="77777777" w:rsidR="005F2528" w:rsidRPr="00C968CE" w:rsidRDefault="005F2528" w:rsidP="00C968CE">
            <w:pPr>
              <w:spacing w:before="60" w:after="60" w:line="240" w:lineRule="auto"/>
              <w:rPr>
                <w:rFonts w:cs="Arial"/>
                <w:szCs w:val="20"/>
              </w:rPr>
            </w:pPr>
            <w:r w:rsidRPr="00C968CE">
              <w:rPr>
                <w:rFonts w:cs="Arial"/>
                <w:szCs w:val="20"/>
              </w:rPr>
              <w:t>deklarowana przez producenta</w:t>
            </w:r>
          </w:p>
        </w:tc>
      </w:tr>
      <w:tr w:rsidR="005F2528" w:rsidRPr="00C968CE" w14:paraId="62ED1E7D"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7267EBE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Wolne przestrzenie w suchym zagęszczonym wypełniaczu według PN-EN 1097-4 [15], wymagana kategoria:</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17D1B3D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V</w:t>
            </w:r>
            <w:r w:rsidRPr="00C968CE">
              <w:rPr>
                <w:rFonts w:cs="Arial"/>
                <w:szCs w:val="20"/>
                <w:vertAlign w:val="subscript"/>
              </w:rPr>
              <w:t>28/45</w:t>
            </w:r>
          </w:p>
        </w:tc>
      </w:tr>
      <w:tr w:rsidR="005F2528" w:rsidRPr="00C968CE" w14:paraId="5BD0F754"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3DB7840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Przyrost temperatury mięknienia według PN-EN 13179-1 [56], wymagana kategoria:</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445068C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w:t>
            </w:r>
            <w:r w:rsidRPr="00C968CE">
              <w:rPr>
                <w:rFonts w:cs="Arial"/>
                <w:szCs w:val="20"/>
                <w:vertAlign w:val="subscript"/>
              </w:rPr>
              <w:t>R&amp;B</w:t>
            </w:r>
            <w:r w:rsidRPr="00C968CE">
              <w:rPr>
                <w:rFonts w:cs="Arial"/>
                <w:szCs w:val="20"/>
              </w:rPr>
              <w:t>8/25</w:t>
            </w:r>
          </w:p>
        </w:tc>
      </w:tr>
      <w:tr w:rsidR="005F2528" w:rsidRPr="00C968CE" w14:paraId="5AF8A34F"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7AAD4B9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Rozpuszczalność w wodzie według PN-EN 1744-1 [23], kategoria nie wyższa niż:</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65391C1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WS</w:t>
            </w:r>
            <w:r w:rsidRPr="00C968CE">
              <w:rPr>
                <w:rFonts w:cs="Arial"/>
                <w:szCs w:val="20"/>
                <w:vertAlign w:val="subscript"/>
              </w:rPr>
              <w:t>10</w:t>
            </w:r>
          </w:p>
        </w:tc>
      </w:tr>
      <w:tr w:rsidR="005F2528" w:rsidRPr="00C968CE" w14:paraId="4A224E05"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0F9DE39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CaCO</w:t>
            </w:r>
            <w:r w:rsidRPr="00C968CE">
              <w:rPr>
                <w:rFonts w:cs="Arial"/>
                <w:szCs w:val="20"/>
                <w:vertAlign w:val="subscript"/>
              </w:rPr>
              <w:t>3</w:t>
            </w:r>
            <w:r w:rsidRPr="00C968CE">
              <w:rPr>
                <w:rFonts w:cs="Arial"/>
                <w:szCs w:val="20"/>
              </w:rPr>
              <w:t xml:space="preserve"> w wypełniaczu wapiennym według PN-EN 196-2 [3], kategoria nie niższa niż:</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73011A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CC</w:t>
            </w:r>
            <w:r w:rsidRPr="00C968CE">
              <w:rPr>
                <w:rFonts w:cs="Arial"/>
                <w:szCs w:val="20"/>
                <w:vertAlign w:val="subscript"/>
              </w:rPr>
              <w:t>70</w:t>
            </w:r>
          </w:p>
        </w:tc>
      </w:tr>
      <w:tr w:rsidR="005F2528" w:rsidRPr="00C968CE" w14:paraId="3534CDB9"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117F68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wodorotlenku wapnia w wypełniaczu mieszanym wg PN-EN 459-2 [4], wymagana kategoria:</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2F5A45C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w:t>
            </w:r>
            <w:r w:rsidRPr="00C968CE">
              <w:rPr>
                <w:rFonts w:cs="Arial"/>
                <w:szCs w:val="20"/>
                <w:vertAlign w:val="subscript"/>
              </w:rPr>
              <w:t>a</w:t>
            </w:r>
            <w:r w:rsidRPr="00C968CE">
              <w:rPr>
                <w:rFonts w:cs="Arial"/>
                <w:szCs w:val="20"/>
              </w:rPr>
              <w:t>Deklarowana</w:t>
            </w:r>
          </w:p>
        </w:tc>
      </w:tr>
      <w:tr w:rsidR="005F2528" w:rsidRPr="00C968CE" w14:paraId="25743EEE" w14:textId="77777777" w:rsidTr="005F2528">
        <w:tc>
          <w:tcPr>
            <w:tcW w:w="502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45C4FC8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„Liczba asfaltowa” według PN-EN 13179-2 [57], wymagana kategoria:</w:t>
            </w:r>
          </w:p>
        </w:tc>
        <w:tc>
          <w:tcPr>
            <w:tcW w:w="4045" w:type="dxa"/>
            <w:gridSpan w:val="3"/>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14:paraId="3118F4C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BN</w:t>
            </w:r>
            <w:r w:rsidRPr="00C968CE">
              <w:rPr>
                <w:rFonts w:cs="Arial"/>
                <w:szCs w:val="20"/>
                <w:vertAlign w:val="subscript"/>
              </w:rPr>
              <w:t>Deklarowana</w:t>
            </w:r>
          </w:p>
        </w:tc>
      </w:tr>
    </w:tbl>
    <w:p w14:paraId="779EFDDC" w14:textId="77777777" w:rsidR="005F2528" w:rsidRPr="00C968CE" w:rsidRDefault="005F2528" w:rsidP="00C968CE">
      <w:pPr>
        <w:spacing w:before="100" w:beforeAutospacing="1" w:after="100" w:afterAutospacing="1" w:line="240" w:lineRule="auto"/>
        <w:ind w:left="426" w:hanging="426"/>
        <w:rPr>
          <w:rFonts w:cs="Arial"/>
          <w:szCs w:val="20"/>
        </w:rPr>
      </w:pPr>
      <w:r w:rsidRPr="00C968CE">
        <w:rPr>
          <w:rFonts w:cs="Arial"/>
          <w:szCs w:val="20"/>
        </w:rPr>
        <w:t>*)    Można stosować pyły z odpylania, pod warunkiem spełniania wymagań jak dla wypełniacza zgodnie z pkt.5 PN-EN 13043 [50]. Proporcja pyłów i wypełniacza wapiennego powinna być tak dobrana, aby kategoria zawartości CaCO</w:t>
      </w:r>
      <w:r w:rsidRPr="00C968CE">
        <w:rPr>
          <w:rFonts w:cs="Arial"/>
          <w:szCs w:val="20"/>
          <w:vertAlign w:val="subscript"/>
        </w:rPr>
        <w:t>3</w:t>
      </w:r>
      <w:r w:rsidRPr="00C968CE">
        <w:rPr>
          <w:rFonts w:cs="Arial"/>
          <w:szCs w:val="20"/>
        </w:rPr>
        <w:t xml:space="preserve"> w mieszance pyłów i wypełniacza wapiennego była nie niższa niż CC</w:t>
      </w:r>
      <w:r w:rsidRPr="00C968CE">
        <w:rPr>
          <w:rFonts w:cs="Arial"/>
          <w:szCs w:val="20"/>
          <w:vertAlign w:val="subscript"/>
        </w:rPr>
        <w:t>70</w:t>
      </w:r>
      <w:r w:rsidRPr="00C968CE">
        <w:rPr>
          <w:rFonts w:cs="Arial"/>
          <w:szCs w:val="20"/>
        </w:rPr>
        <w:t xml:space="preserve">. </w:t>
      </w:r>
    </w:p>
    <w:p w14:paraId="297DD31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5B18D27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624F9571"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2.5. Środek adhezyjny</w:t>
      </w:r>
    </w:p>
    <w:p w14:paraId="22250B4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 [38], metoda C wynosiła co najmniej 80%.</w:t>
      </w:r>
    </w:p>
    <w:p w14:paraId="022FA7D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Środek adhezyjny powinien odpowiadać wymaganiom określonym przez producenta.</w:t>
      </w:r>
    </w:p>
    <w:p w14:paraId="7946001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            Składowanie środka adhezyjnego jest dozwolone tylko w oryginalnych opakowaniach, w warunkach określonych przez producenta.</w:t>
      </w:r>
    </w:p>
    <w:p w14:paraId="0D7FA77E"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2.6. Granulat asfaltowy</w:t>
      </w:r>
    </w:p>
    <w:p w14:paraId="75494B7C" w14:textId="77777777" w:rsidR="005F2528" w:rsidRPr="00C968CE" w:rsidRDefault="005F2528" w:rsidP="00C968CE">
      <w:pPr>
        <w:spacing w:before="100" w:beforeAutospacing="1" w:after="120" w:line="240" w:lineRule="auto"/>
        <w:rPr>
          <w:rFonts w:cs="Arial"/>
          <w:szCs w:val="20"/>
        </w:rPr>
      </w:pPr>
      <w:r w:rsidRPr="00C968CE">
        <w:rPr>
          <w:rFonts w:cs="Arial"/>
          <w:b/>
          <w:bCs/>
          <w:szCs w:val="20"/>
        </w:rPr>
        <w:t>2.6.1.</w:t>
      </w:r>
      <w:r w:rsidRPr="00C968CE">
        <w:rPr>
          <w:rFonts w:cs="Arial"/>
          <w:szCs w:val="20"/>
        </w:rPr>
        <w:t xml:space="preserve"> Właściwości granulatu asfaltowego </w:t>
      </w:r>
    </w:p>
    <w:p w14:paraId="17E1D587"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Granulat asfaltowy powinien spełniać wymagania podane w tablicy 11.</w:t>
      </w:r>
    </w:p>
    <w:p w14:paraId="4DC94AB9" w14:textId="77777777" w:rsidR="005F2528" w:rsidRPr="00C968CE" w:rsidRDefault="005F2528" w:rsidP="00C968CE">
      <w:pPr>
        <w:spacing w:before="120" w:after="120" w:line="240" w:lineRule="auto"/>
        <w:rPr>
          <w:rFonts w:cs="Arial"/>
          <w:szCs w:val="20"/>
        </w:rPr>
      </w:pPr>
      <w:r w:rsidRPr="00C968CE">
        <w:rPr>
          <w:rFonts w:cs="Arial"/>
          <w:szCs w:val="20"/>
        </w:rPr>
        <w:t>Tablica 11. Wymagania dotyczące granulatu asfaltowego</w:t>
      </w:r>
    </w:p>
    <w:tbl>
      <w:tblPr>
        <w:tblW w:w="0" w:type="auto"/>
        <w:tblCellMar>
          <w:left w:w="0" w:type="dxa"/>
          <w:right w:w="0" w:type="dxa"/>
        </w:tblCellMar>
        <w:tblLook w:val="04A0" w:firstRow="1" w:lastRow="0" w:firstColumn="1" w:lastColumn="0" w:noHBand="0" w:noVBand="1"/>
      </w:tblPr>
      <w:tblGrid>
        <w:gridCol w:w="2628"/>
        <w:gridCol w:w="741"/>
        <w:gridCol w:w="5499"/>
      </w:tblGrid>
      <w:tr w:rsidR="005F2528" w:rsidRPr="00C968CE" w14:paraId="14C6A439" w14:textId="77777777" w:rsidTr="005F2528">
        <w:tc>
          <w:tcPr>
            <w:tcW w:w="3369" w:type="dxa"/>
            <w:gridSpan w:val="2"/>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14:paraId="3E447B4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Wymagania</w:t>
            </w:r>
          </w:p>
        </w:tc>
        <w:tc>
          <w:tcPr>
            <w:tcW w:w="5499" w:type="dxa"/>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6439B44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Podbudowa </w:t>
            </w:r>
          </w:p>
        </w:tc>
      </w:tr>
      <w:tr w:rsidR="005F2528" w:rsidRPr="00C968CE" w14:paraId="5C00D259" w14:textId="77777777" w:rsidTr="005F2528">
        <w:tc>
          <w:tcPr>
            <w:tcW w:w="3369"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396E5A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minerałów obcych</w:t>
            </w:r>
          </w:p>
        </w:tc>
        <w:tc>
          <w:tcPr>
            <w:tcW w:w="54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EF5851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Kategoria FM</w:t>
            </w:r>
            <w:r w:rsidRPr="00C968CE">
              <w:rPr>
                <w:rFonts w:cs="Arial"/>
                <w:szCs w:val="20"/>
                <w:vertAlign w:val="subscript"/>
              </w:rPr>
              <w:t>1/01</w:t>
            </w:r>
          </w:p>
        </w:tc>
      </w:tr>
      <w:tr w:rsidR="005F2528" w:rsidRPr="00C968CE" w14:paraId="313863A3" w14:textId="77777777" w:rsidTr="005F2528">
        <w:tc>
          <w:tcPr>
            <w:tcW w:w="2628" w:type="dxa"/>
            <w:vMerge w:val="restart"/>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692835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lepiszcza odzyskanego w granulacie asfaltowym</w:t>
            </w:r>
            <w:r w:rsidRPr="00C968CE">
              <w:rPr>
                <w:rFonts w:cs="Arial"/>
                <w:szCs w:val="20"/>
                <w:vertAlign w:val="superscript"/>
              </w:rPr>
              <w:t>a)</w:t>
            </w:r>
          </w:p>
        </w:tc>
        <w:tc>
          <w:tcPr>
            <w:tcW w:w="74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DC46BE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PIK</w:t>
            </w:r>
          </w:p>
        </w:tc>
        <w:tc>
          <w:tcPr>
            <w:tcW w:w="54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36B6C1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Kategoria S</w:t>
            </w:r>
            <w:r w:rsidRPr="00C968CE">
              <w:rPr>
                <w:rFonts w:cs="Arial"/>
                <w:szCs w:val="20"/>
                <w:vertAlign w:val="subscript"/>
              </w:rPr>
              <w:t>70</w:t>
            </w:r>
          </w:p>
          <w:p w14:paraId="5B1E373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Wartość średnia temperatury mięknienia nie może być wyższa niż 70°C. Pojedyncze wartości temperatury mięknienia nie mogą przekraczać 77°C</w:t>
            </w:r>
          </w:p>
        </w:tc>
      </w:tr>
      <w:tr w:rsidR="005F2528" w:rsidRPr="00C968CE" w14:paraId="3FD18E29" w14:textId="77777777" w:rsidTr="005F2528">
        <w:tc>
          <w:tcPr>
            <w:tcW w:w="0" w:type="auto"/>
            <w:vMerge/>
            <w:tcBorders>
              <w:top w:val="nil"/>
              <w:left w:val="single" w:sz="8" w:space="0" w:color="000000"/>
              <w:bottom w:val="single" w:sz="8" w:space="0" w:color="000000"/>
              <w:right w:val="single" w:sz="8" w:space="0" w:color="000000"/>
            </w:tcBorders>
            <w:vAlign w:val="center"/>
            <w:hideMark/>
          </w:tcPr>
          <w:p w14:paraId="5B534253" w14:textId="77777777" w:rsidR="005F2528" w:rsidRPr="00C968CE" w:rsidRDefault="005F2528" w:rsidP="00C968CE">
            <w:pPr>
              <w:spacing w:line="240" w:lineRule="auto"/>
              <w:rPr>
                <w:rFonts w:cs="Arial"/>
                <w:szCs w:val="20"/>
              </w:rPr>
            </w:pPr>
          </w:p>
        </w:tc>
        <w:tc>
          <w:tcPr>
            <w:tcW w:w="741"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424496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Pen.</w:t>
            </w:r>
          </w:p>
        </w:tc>
        <w:tc>
          <w:tcPr>
            <w:tcW w:w="54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F202FA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Kategoria P</w:t>
            </w:r>
            <w:r w:rsidRPr="00C968CE">
              <w:rPr>
                <w:rFonts w:cs="Arial"/>
                <w:szCs w:val="20"/>
                <w:vertAlign w:val="subscript"/>
              </w:rPr>
              <w:t>15</w:t>
            </w:r>
          </w:p>
          <w:p w14:paraId="30D03D6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Wartość średnia nie może być mniejsza niż 15×0,1 mm. Pojedyncze wartości penetracji nie mogą być mniejsze niż 10×0,1 mm</w:t>
            </w:r>
          </w:p>
        </w:tc>
      </w:tr>
      <w:tr w:rsidR="005F2528" w:rsidRPr="00C968CE" w14:paraId="0368172D" w14:textId="77777777" w:rsidTr="005F2528">
        <w:tc>
          <w:tcPr>
            <w:tcW w:w="3369" w:type="dxa"/>
            <w:gridSpan w:val="2"/>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654795A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Jednorodność</w:t>
            </w:r>
          </w:p>
        </w:tc>
        <w:tc>
          <w:tcPr>
            <w:tcW w:w="54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644406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Wg tablicy 13</w:t>
            </w:r>
          </w:p>
        </w:tc>
      </w:tr>
      <w:tr w:rsidR="005F2528" w:rsidRPr="00C968CE" w14:paraId="01A6789D" w14:textId="77777777" w:rsidTr="005F2528">
        <w:tc>
          <w:tcPr>
            <w:tcW w:w="8868" w:type="dxa"/>
            <w:gridSpan w:val="3"/>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4B4DC5B4" w14:textId="77777777" w:rsidR="005F2528" w:rsidRPr="00C968CE" w:rsidRDefault="005F2528" w:rsidP="00C968CE">
            <w:pPr>
              <w:spacing w:before="100" w:beforeAutospacing="1" w:after="100" w:afterAutospacing="1" w:line="240" w:lineRule="auto"/>
              <w:ind w:left="227" w:hanging="227"/>
              <w:rPr>
                <w:rFonts w:cs="Arial"/>
                <w:szCs w:val="20"/>
              </w:rPr>
            </w:pPr>
            <w:r w:rsidRPr="00C968CE">
              <w:rPr>
                <w:rFonts w:cs="Arial"/>
                <w:szCs w:val="20"/>
              </w:rPr>
              <w:t>a) 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14:paraId="6A6DD9ED" w14:textId="77777777" w:rsidR="005F2528" w:rsidRPr="00C968CE" w:rsidRDefault="005F2528" w:rsidP="00C968CE">
      <w:pPr>
        <w:spacing w:before="120" w:after="100" w:afterAutospacing="1" w:line="240" w:lineRule="auto"/>
        <w:ind w:firstLine="709"/>
        <w:rPr>
          <w:rFonts w:cs="Arial"/>
          <w:szCs w:val="20"/>
        </w:rPr>
      </w:pPr>
      <w:r w:rsidRPr="00C968CE">
        <w:rPr>
          <w:rFonts w:cs="Arial"/>
          <w:szCs w:val="20"/>
        </w:rPr>
        <w:t xml:space="preserve">Zawartość materiałów obcych w granulacie asfaltowym, oznaczona wg PN-EN 12697-42 [48],  powinna spełniać wymagania podane w tablicy 12. </w:t>
      </w:r>
    </w:p>
    <w:p w14:paraId="134E5076" w14:textId="77777777" w:rsidR="005F2528" w:rsidRPr="00C968CE" w:rsidRDefault="005F2528" w:rsidP="00C968CE">
      <w:pPr>
        <w:spacing w:before="120" w:after="120" w:line="240" w:lineRule="auto"/>
        <w:rPr>
          <w:rFonts w:cs="Arial"/>
          <w:szCs w:val="20"/>
        </w:rPr>
      </w:pPr>
      <w:r w:rsidRPr="00C968CE">
        <w:rPr>
          <w:rFonts w:cs="Arial"/>
          <w:szCs w:val="20"/>
        </w:rPr>
        <w:t>Tablica 12. Zawartość materiałów obcych w granulacie asfaltowym</w:t>
      </w:r>
    </w:p>
    <w:tbl>
      <w:tblPr>
        <w:tblW w:w="0" w:type="auto"/>
        <w:tblCellMar>
          <w:left w:w="0" w:type="dxa"/>
          <w:right w:w="0" w:type="dxa"/>
        </w:tblCellMar>
        <w:tblLook w:val="04A0" w:firstRow="1" w:lastRow="0" w:firstColumn="1" w:lastColumn="0" w:noHBand="0" w:noVBand="1"/>
      </w:tblPr>
      <w:tblGrid>
        <w:gridCol w:w="2503"/>
        <w:gridCol w:w="2504"/>
        <w:gridCol w:w="2504"/>
      </w:tblGrid>
      <w:tr w:rsidR="005F2528" w:rsidRPr="00C968CE" w14:paraId="05D87374" w14:textId="77777777" w:rsidTr="005F2528">
        <w:tc>
          <w:tcPr>
            <w:tcW w:w="5007" w:type="dxa"/>
            <w:gridSpan w:val="2"/>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14:paraId="3E718B5F" w14:textId="77777777" w:rsidR="005F2528" w:rsidRPr="00C968CE" w:rsidRDefault="005F2528" w:rsidP="00C968CE">
            <w:pPr>
              <w:spacing w:before="60" w:after="60" w:line="240" w:lineRule="auto"/>
              <w:rPr>
                <w:rFonts w:cs="Arial"/>
                <w:szCs w:val="20"/>
              </w:rPr>
            </w:pPr>
            <w:r w:rsidRPr="00C968CE">
              <w:rPr>
                <w:rFonts w:cs="Arial"/>
                <w:szCs w:val="20"/>
              </w:rPr>
              <w:t>Materiały obce</w:t>
            </w:r>
            <w:r w:rsidRPr="00C968CE">
              <w:rPr>
                <w:rFonts w:cs="Arial"/>
                <w:szCs w:val="20"/>
                <w:vertAlign w:val="superscript"/>
              </w:rPr>
              <w:t>a)</w:t>
            </w:r>
          </w:p>
        </w:tc>
        <w:tc>
          <w:tcPr>
            <w:tcW w:w="2504" w:type="dxa"/>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24FC8073" w14:textId="77777777" w:rsidR="005F2528" w:rsidRPr="00C968CE" w:rsidRDefault="005F2528" w:rsidP="00C968CE">
            <w:pPr>
              <w:spacing w:before="60" w:after="60" w:line="240" w:lineRule="auto"/>
              <w:rPr>
                <w:rFonts w:cs="Arial"/>
                <w:szCs w:val="20"/>
              </w:rPr>
            </w:pPr>
            <w:r w:rsidRPr="00C968CE">
              <w:rPr>
                <w:rFonts w:cs="Arial"/>
                <w:szCs w:val="20"/>
              </w:rPr>
              <w:t>Kategoria</w:t>
            </w:r>
          </w:p>
        </w:tc>
      </w:tr>
      <w:tr w:rsidR="005F2528" w:rsidRPr="00C968CE" w14:paraId="1DA9C9BF" w14:textId="77777777" w:rsidTr="005F2528">
        <w:tc>
          <w:tcPr>
            <w:tcW w:w="250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BD1DB0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Grupa 1</w:t>
            </w:r>
          </w:p>
          <w:p w14:paraId="1CCD0DC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[%(m/m)]</w:t>
            </w:r>
          </w:p>
        </w:tc>
        <w:tc>
          <w:tcPr>
            <w:tcW w:w="250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196BB3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Grupa 2</w:t>
            </w:r>
          </w:p>
          <w:p w14:paraId="0E99666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[%(m/m)]</w:t>
            </w:r>
          </w:p>
        </w:tc>
        <w:tc>
          <w:tcPr>
            <w:tcW w:w="250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DFB52F2" w14:textId="77777777" w:rsidR="005F2528" w:rsidRPr="00C968CE" w:rsidRDefault="005F2528" w:rsidP="00C968CE">
            <w:pPr>
              <w:spacing w:before="120" w:after="100" w:afterAutospacing="1" w:line="240" w:lineRule="auto"/>
              <w:rPr>
                <w:rFonts w:cs="Arial"/>
                <w:szCs w:val="20"/>
              </w:rPr>
            </w:pPr>
            <w:r w:rsidRPr="00C968CE">
              <w:rPr>
                <w:rFonts w:cs="Arial"/>
                <w:szCs w:val="20"/>
              </w:rPr>
              <w:t>PM</w:t>
            </w:r>
          </w:p>
        </w:tc>
      </w:tr>
      <w:tr w:rsidR="005F2528" w:rsidRPr="00C968CE" w14:paraId="46483AF2" w14:textId="77777777" w:rsidTr="005F2528">
        <w:tc>
          <w:tcPr>
            <w:tcW w:w="250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5AD6C95" w14:textId="77777777" w:rsidR="005F2528" w:rsidRPr="00C968CE" w:rsidRDefault="005F2528" w:rsidP="00C968CE">
            <w:pPr>
              <w:spacing w:before="60" w:after="60" w:line="240" w:lineRule="auto"/>
              <w:rPr>
                <w:rFonts w:cs="Arial"/>
                <w:szCs w:val="20"/>
              </w:rPr>
            </w:pPr>
            <w:r w:rsidRPr="00C968CE">
              <w:rPr>
                <w:rFonts w:cs="Arial"/>
                <w:szCs w:val="20"/>
              </w:rPr>
              <w:t>&lt;1</w:t>
            </w:r>
          </w:p>
        </w:tc>
        <w:tc>
          <w:tcPr>
            <w:tcW w:w="250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92B5733" w14:textId="77777777" w:rsidR="005F2528" w:rsidRPr="00C968CE" w:rsidRDefault="005F2528" w:rsidP="00C968CE">
            <w:pPr>
              <w:spacing w:before="60" w:after="60" w:line="240" w:lineRule="auto"/>
              <w:rPr>
                <w:rFonts w:cs="Arial"/>
                <w:szCs w:val="20"/>
              </w:rPr>
            </w:pPr>
            <w:r w:rsidRPr="00C968CE">
              <w:rPr>
                <w:rFonts w:cs="Arial"/>
                <w:szCs w:val="20"/>
              </w:rPr>
              <w:t>&lt;0,1</w:t>
            </w:r>
          </w:p>
        </w:tc>
        <w:tc>
          <w:tcPr>
            <w:tcW w:w="250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EBD1129" w14:textId="77777777" w:rsidR="005F2528" w:rsidRPr="00C968CE" w:rsidRDefault="005F2528" w:rsidP="00C968CE">
            <w:pPr>
              <w:spacing w:before="60" w:after="60" w:line="240" w:lineRule="auto"/>
              <w:rPr>
                <w:rFonts w:cs="Arial"/>
                <w:szCs w:val="20"/>
              </w:rPr>
            </w:pPr>
            <w:r w:rsidRPr="00C968CE">
              <w:rPr>
                <w:rFonts w:cs="Arial"/>
                <w:szCs w:val="20"/>
              </w:rPr>
              <w:t>PM</w:t>
            </w:r>
            <w:r w:rsidRPr="00C968CE">
              <w:rPr>
                <w:rFonts w:cs="Arial"/>
                <w:szCs w:val="20"/>
                <w:vertAlign w:val="subscript"/>
              </w:rPr>
              <w:t>1/0,1</w:t>
            </w:r>
          </w:p>
        </w:tc>
      </w:tr>
      <w:tr w:rsidR="005F2528" w:rsidRPr="00C968CE" w14:paraId="41E36F17" w14:textId="77777777" w:rsidTr="005F2528">
        <w:tc>
          <w:tcPr>
            <w:tcW w:w="250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C0A22B7" w14:textId="77777777" w:rsidR="005F2528" w:rsidRPr="00C968CE" w:rsidRDefault="005F2528" w:rsidP="00C968CE">
            <w:pPr>
              <w:spacing w:before="60" w:after="60" w:line="240" w:lineRule="auto"/>
              <w:rPr>
                <w:rFonts w:cs="Arial"/>
                <w:szCs w:val="20"/>
              </w:rPr>
            </w:pPr>
            <w:r w:rsidRPr="00C968CE">
              <w:rPr>
                <w:rFonts w:cs="Arial"/>
                <w:szCs w:val="20"/>
              </w:rPr>
              <w:t>&lt;5</w:t>
            </w:r>
          </w:p>
        </w:tc>
        <w:tc>
          <w:tcPr>
            <w:tcW w:w="250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BE2A74B" w14:textId="77777777" w:rsidR="005F2528" w:rsidRPr="00C968CE" w:rsidRDefault="005F2528" w:rsidP="00C968CE">
            <w:pPr>
              <w:spacing w:before="60" w:after="60" w:line="240" w:lineRule="auto"/>
              <w:rPr>
                <w:rFonts w:cs="Arial"/>
                <w:szCs w:val="20"/>
              </w:rPr>
            </w:pPr>
            <w:r w:rsidRPr="00C968CE">
              <w:rPr>
                <w:rFonts w:cs="Arial"/>
                <w:szCs w:val="20"/>
              </w:rPr>
              <w:t>&lt;0,1</w:t>
            </w:r>
          </w:p>
        </w:tc>
        <w:tc>
          <w:tcPr>
            <w:tcW w:w="250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1388F70" w14:textId="77777777" w:rsidR="005F2528" w:rsidRPr="00C968CE" w:rsidRDefault="005F2528" w:rsidP="00C968CE">
            <w:pPr>
              <w:spacing w:before="60" w:after="60" w:line="240" w:lineRule="auto"/>
              <w:rPr>
                <w:rFonts w:cs="Arial"/>
                <w:szCs w:val="20"/>
              </w:rPr>
            </w:pPr>
            <w:r w:rsidRPr="00C968CE">
              <w:rPr>
                <w:rFonts w:cs="Arial"/>
                <w:szCs w:val="20"/>
              </w:rPr>
              <w:t>PM</w:t>
            </w:r>
            <w:r w:rsidRPr="00C968CE">
              <w:rPr>
                <w:rFonts w:cs="Arial"/>
                <w:szCs w:val="20"/>
                <w:vertAlign w:val="subscript"/>
              </w:rPr>
              <w:t>5/0,1</w:t>
            </w:r>
          </w:p>
        </w:tc>
      </w:tr>
      <w:tr w:rsidR="005F2528" w:rsidRPr="00C968CE" w14:paraId="505B1E9E" w14:textId="77777777" w:rsidTr="005F2528">
        <w:tc>
          <w:tcPr>
            <w:tcW w:w="2503"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4D29900F" w14:textId="77777777" w:rsidR="005F2528" w:rsidRPr="00C968CE" w:rsidRDefault="005F2528" w:rsidP="00C968CE">
            <w:pPr>
              <w:spacing w:before="60" w:after="60" w:line="240" w:lineRule="auto"/>
              <w:rPr>
                <w:rFonts w:cs="Arial"/>
                <w:szCs w:val="20"/>
              </w:rPr>
            </w:pPr>
            <w:r w:rsidRPr="00C968CE">
              <w:rPr>
                <w:rFonts w:cs="Arial"/>
                <w:szCs w:val="20"/>
              </w:rPr>
              <w:t>&gt;5</w:t>
            </w:r>
          </w:p>
        </w:tc>
        <w:tc>
          <w:tcPr>
            <w:tcW w:w="250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E886CF6" w14:textId="77777777" w:rsidR="005F2528" w:rsidRPr="00C968CE" w:rsidRDefault="005F2528" w:rsidP="00C968CE">
            <w:pPr>
              <w:spacing w:before="60" w:after="60" w:line="240" w:lineRule="auto"/>
              <w:rPr>
                <w:rFonts w:cs="Arial"/>
                <w:szCs w:val="20"/>
              </w:rPr>
            </w:pPr>
            <w:r w:rsidRPr="00C968CE">
              <w:rPr>
                <w:rFonts w:cs="Arial"/>
                <w:szCs w:val="20"/>
              </w:rPr>
              <w:t>&gt;0,1</w:t>
            </w:r>
          </w:p>
        </w:tc>
        <w:tc>
          <w:tcPr>
            <w:tcW w:w="2504"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2C8E737" w14:textId="77777777" w:rsidR="005F2528" w:rsidRPr="00C968CE" w:rsidRDefault="005F2528" w:rsidP="00C968CE">
            <w:pPr>
              <w:spacing w:before="60" w:after="60" w:line="240" w:lineRule="auto"/>
              <w:rPr>
                <w:rFonts w:cs="Arial"/>
                <w:szCs w:val="20"/>
              </w:rPr>
            </w:pPr>
            <w:r w:rsidRPr="00C968CE">
              <w:rPr>
                <w:rFonts w:cs="Arial"/>
                <w:szCs w:val="20"/>
              </w:rPr>
              <w:t>PM</w:t>
            </w:r>
            <w:r w:rsidRPr="00C968CE">
              <w:rPr>
                <w:rFonts w:cs="Arial"/>
                <w:szCs w:val="20"/>
                <w:vertAlign w:val="subscript"/>
              </w:rPr>
              <w:t>dec</w:t>
            </w:r>
          </w:p>
        </w:tc>
      </w:tr>
      <w:tr w:rsidR="005F2528" w:rsidRPr="00C968CE" w14:paraId="23184332" w14:textId="77777777" w:rsidTr="005F2528">
        <w:tc>
          <w:tcPr>
            <w:tcW w:w="7511" w:type="dxa"/>
            <w:gridSpan w:val="3"/>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2B273FB" w14:textId="77777777" w:rsidR="005F2528" w:rsidRPr="00C968CE" w:rsidRDefault="005F2528" w:rsidP="00C968CE">
            <w:pPr>
              <w:spacing w:before="60" w:after="60" w:line="240" w:lineRule="auto"/>
              <w:rPr>
                <w:rFonts w:cs="Arial"/>
                <w:szCs w:val="20"/>
              </w:rPr>
            </w:pPr>
            <w:r w:rsidRPr="00C968CE">
              <w:rPr>
                <w:rFonts w:cs="Arial"/>
                <w:szCs w:val="20"/>
              </w:rPr>
              <w:t>a) materiały obce grupy 1 i 2 zgodnie z pkt.4.1. normy PN-EN 13108-8 [53]</w:t>
            </w:r>
          </w:p>
        </w:tc>
      </w:tr>
    </w:tbl>
    <w:p w14:paraId="74D694E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671C380A"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Wymiar D kruszywa zawartego w granulacie asfaltowym nie może być większy od wymiaru D mieszanki mineralnej wchodzącej w skład mieszanki mineralno-asfaltowej. </w:t>
      </w:r>
    </w:p>
    <w:p w14:paraId="409EBFDC"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Do obliczania temperatury mięknienia mieszaniny lepiszcza z granulatu asfaltowego i dodanego asfaltu należy, zgodnie z PN-EN 13108-1[51], załącznik a,  pkt A.3,  stosować następujące równanie:</w:t>
      </w:r>
    </w:p>
    <w:p w14:paraId="253327C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w:t>
      </w:r>
      <w:r w:rsidRPr="00C968CE">
        <w:rPr>
          <w:rFonts w:cs="Arial"/>
          <w:szCs w:val="20"/>
          <w:vertAlign w:val="subscript"/>
        </w:rPr>
        <w:t xml:space="preserve">PiKmix </w:t>
      </w:r>
      <w:r w:rsidRPr="00C968CE">
        <w:rPr>
          <w:rFonts w:cs="Arial"/>
          <w:szCs w:val="20"/>
        </w:rPr>
        <w:t>= α · T</w:t>
      </w:r>
      <w:r w:rsidRPr="00C968CE">
        <w:rPr>
          <w:rFonts w:cs="Arial"/>
          <w:szCs w:val="20"/>
          <w:vertAlign w:val="subscript"/>
        </w:rPr>
        <w:t xml:space="preserve">PiK1 </w:t>
      </w:r>
      <w:r w:rsidRPr="00C968CE">
        <w:rPr>
          <w:rFonts w:cs="Arial"/>
          <w:szCs w:val="20"/>
        </w:rPr>
        <w:t>+b · T</w:t>
      </w:r>
      <w:r w:rsidRPr="00C968CE">
        <w:rPr>
          <w:rFonts w:cs="Arial"/>
          <w:szCs w:val="20"/>
          <w:vertAlign w:val="subscript"/>
        </w:rPr>
        <w:t>PiK2</w:t>
      </w:r>
    </w:p>
    <w:p w14:paraId="368AA4E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 którym:</w:t>
      </w:r>
    </w:p>
    <w:p w14:paraId="7FE461E4" w14:textId="77777777" w:rsidR="005F2528" w:rsidRPr="00C968CE" w:rsidRDefault="005F2528" w:rsidP="00C968CE">
      <w:pPr>
        <w:spacing w:before="100" w:beforeAutospacing="1" w:after="100" w:afterAutospacing="1" w:line="240" w:lineRule="auto"/>
        <w:ind w:left="960" w:hanging="960"/>
        <w:rPr>
          <w:rFonts w:cs="Arial"/>
          <w:szCs w:val="20"/>
        </w:rPr>
      </w:pPr>
      <w:r w:rsidRPr="00C968CE">
        <w:rPr>
          <w:rFonts w:cs="Arial"/>
          <w:szCs w:val="20"/>
        </w:rPr>
        <w:t>T</w:t>
      </w:r>
      <w:r w:rsidRPr="00C968CE">
        <w:rPr>
          <w:rFonts w:cs="Arial"/>
          <w:szCs w:val="20"/>
          <w:vertAlign w:val="subscript"/>
        </w:rPr>
        <w:t>PiKmix</w:t>
      </w:r>
      <w:r w:rsidRPr="00C968CE">
        <w:rPr>
          <w:rFonts w:cs="Arial"/>
          <w:szCs w:val="20"/>
        </w:rPr>
        <w:t>  - temperatura mięknienia mieszanki lepiszczy w mieszance mineralno-asfaltowej z dodatkiem granulatu asfaltowego, [°C],</w:t>
      </w:r>
    </w:p>
    <w:p w14:paraId="778C685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T</w:t>
      </w:r>
      <w:r w:rsidRPr="00C968CE">
        <w:rPr>
          <w:rFonts w:cs="Arial"/>
          <w:szCs w:val="20"/>
          <w:vertAlign w:val="subscript"/>
        </w:rPr>
        <w:t xml:space="preserve">PiK1       </w:t>
      </w:r>
      <w:r w:rsidRPr="00C968CE">
        <w:rPr>
          <w:rFonts w:cs="Arial"/>
          <w:szCs w:val="20"/>
        </w:rPr>
        <w:t>-  temperatura mięknienia lepiszcza odzyskanego z granulatu asfaltowego, [°C],</w:t>
      </w:r>
    </w:p>
    <w:p w14:paraId="608B4C2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w:t>
      </w:r>
      <w:r w:rsidRPr="00C968CE">
        <w:rPr>
          <w:rFonts w:cs="Arial"/>
          <w:szCs w:val="20"/>
          <w:vertAlign w:val="subscript"/>
        </w:rPr>
        <w:t xml:space="preserve">PiK2        - </w:t>
      </w:r>
      <w:r w:rsidRPr="00C968CE">
        <w:rPr>
          <w:rFonts w:cs="Arial"/>
          <w:szCs w:val="20"/>
        </w:rPr>
        <w:t> średnia temperatura mięknienia dodanego lepiszcza asfaltowego [°C],</w:t>
      </w:r>
    </w:p>
    <w:p w14:paraId="5AF4AAA9" w14:textId="77777777" w:rsidR="005F2528" w:rsidRPr="00C968CE" w:rsidRDefault="005F2528" w:rsidP="00C968CE">
      <w:pPr>
        <w:spacing w:before="100" w:beforeAutospacing="1" w:after="100" w:afterAutospacing="1" w:line="240" w:lineRule="auto"/>
        <w:ind w:left="960" w:hanging="960"/>
        <w:rPr>
          <w:rFonts w:cs="Arial"/>
          <w:szCs w:val="20"/>
        </w:rPr>
      </w:pPr>
      <w:r w:rsidRPr="00C968CE">
        <w:rPr>
          <w:rFonts w:cs="Arial"/>
          <w:szCs w:val="20"/>
        </w:rPr>
        <w:t xml:space="preserve">a i b       - udział masowy: lepiszcza z granulatu asfaltowego (a) i dodanego lepiszcza (b), przy </w:t>
      </w:r>
      <w:proofErr w:type="spellStart"/>
      <w:r w:rsidRPr="00C968CE">
        <w:rPr>
          <w:rFonts w:cs="Arial"/>
          <w:szCs w:val="20"/>
        </w:rPr>
        <w:t>a+b</w:t>
      </w:r>
      <w:proofErr w:type="spellEnd"/>
      <w:r w:rsidRPr="00C968CE">
        <w:rPr>
          <w:rFonts w:cs="Arial"/>
          <w:szCs w:val="20"/>
        </w:rPr>
        <w:t>=1</w:t>
      </w:r>
    </w:p>
    <w:p w14:paraId="77440E53" w14:textId="77777777" w:rsidR="005F2528" w:rsidRPr="00C968CE" w:rsidRDefault="005F2528" w:rsidP="00C968CE">
      <w:pPr>
        <w:spacing w:before="120" w:after="120" w:line="240" w:lineRule="auto"/>
        <w:rPr>
          <w:rFonts w:cs="Arial"/>
          <w:szCs w:val="20"/>
        </w:rPr>
      </w:pPr>
      <w:r w:rsidRPr="00C968CE">
        <w:rPr>
          <w:rFonts w:cs="Arial"/>
          <w:b/>
          <w:bCs/>
          <w:szCs w:val="20"/>
        </w:rPr>
        <w:t>2.6.2.</w:t>
      </w:r>
      <w:r w:rsidRPr="00C968CE">
        <w:rPr>
          <w:rFonts w:cs="Arial"/>
          <w:szCs w:val="20"/>
        </w:rPr>
        <w:t xml:space="preserve"> Jednorodność granulatu asfaltowego </w:t>
      </w:r>
    </w:p>
    <w:p w14:paraId="08E68CCD"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w:t>
      </w:r>
    </w:p>
    <w:p w14:paraId="0FB457B0"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Wymagane jest podanie zmierzonej wartości jednorodności rozstępu wyników badań właściwości przeprowadzonych na liczbie próbek </w:t>
      </w:r>
      <w:r w:rsidRPr="00C968CE">
        <w:rPr>
          <w:rFonts w:cs="Arial"/>
          <w:i/>
          <w:iCs/>
          <w:szCs w:val="20"/>
        </w:rPr>
        <w:t>n</w:t>
      </w:r>
      <w:r w:rsidRPr="00C968CE">
        <w:rPr>
          <w:rFonts w:cs="Arial"/>
          <w:szCs w:val="20"/>
        </w:rPr>
        <w:t xml:space="preserve">, przy czym </w:t>
      </w:r>
      <w:r w:rsidRPr="00C968CE">
        <w:rPr>
          <w:rFonts w:cs="Arial"/>
          <w:i/>
          <w:iCs/>
          <w:szCs w:val="20"/>
        </w:rPr>
        <w:t>n</w:t>
      </w:r>
      <w:r w:rsidRPr="00C968CE">
        <w:rPr>
          <w:rFonts w:cs="Arial"/>
          <w:szCs w:val="20"/>
        </w:rPr>
        <w:t xml:space="preserve"> powinno wynosić co najmniej 5. Liczbę próbek oblicza się, dzieląc masę materiału wyjściowego podanego w tonach [t], zaokrąglając w górę do pełnej liczby.</w:t>
      </w:r>
    </w:p>
    <w:p w14:paraId="1494ABCB"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Wymagania dotyczące dopuszczalnego rozstępu wyników badań granulatu asfaltowego podano w tablicy 13.</w:t>
      </w:r>
    </w:p>
    <w:p w14:paraId="268F4EB5" w14:textId="77777777" w:rsidR="005F2528" w:rsidRPr="00C968CE" w:rsidRDefault="005F2528" w:rsidP="00C968CE">
      <w:pPr>
        <w:spacing w:before="120" w:after="120" w:line="240" w:lineRule="auto"/>
        <w:rPr>
          <w:rFonts w:cs="Arial"/>
          <w:szCs w:val="20"/>
        </w:rPr>
      </w:pPr>
      <w:r w:rsidRPr="00C968CE">
        <w:rPr>
          <w:rFonts w:cs="Arial"/>
          <w:szCs w:val="20"/>
        </w:rPr>
        <w:t>Tablica 13. Dopuszczalny rozstęp wyników badań właściwości</w:t>
      </w:r>
    </w:p>
    <w:tbl>
      <w:tblPr>
        <w:tblW w:w="8868" w:type="dxa"/>
        <w:tblCellMar>
          <w:left w:w="0" w:type="dxa"/>
          <w:right w:w="0" w:type="dxa"/>
        </w:tblCellMar>
        <w:tblLook w:val="04A0" w:firstRow="1" w:lastRow="0" w:firstColumn="1" w:lastColumn="0" w:noHBand="0" w:noVBand="1"/>
      </w:tblPr>
      <w:tblGrid>
        <w:gridCol w:w="4548"/>
        <w:gridCol w:w="4320"/>
      </w:tblGrid>
      <w:tr w:rsidR="005F2528" w:rsidRPr="00C968CE" w14:paraId="3D49EB31" w14:textId="77777777" w:rsidTr="005F2528">
        <w:trPr>
          <w:trHeight w:val="1160"/>
        </w:trPr>
        <w:tc>
          <w:tcPr>
            <w:tcW w:w="4548" w:type="dxa"/>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14:paraId="62CB45E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2B467C9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4A25E75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Właściwość</w:t>
            </w:r>
          </w:p>
        </w:tc>
        <w:tc>
          <w:tcPr>
            <w:tcW w:w="4320" w:type="dxa"/>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2B281F6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Dopuszczalny rozstęp wyników badań (</w:t>
            </w:r>
            <w:proofErr w:type="spellStart"/>
            <w:r w:rsidRPr="00C968CE">
              <w:rPr>
                <w:rFonts w:cs="Arial"/>
                <w:szCs w:val="20"/>
              </w:rPr>
              <w:t>T</w:t>
            </w:r>
            <w:r w:rsidRPr="00C968CE">
              <w:rPr>
                <w:rFonts w:cs="Arial"/>
                <w:szCs w:val="20"/>
                <w:vertAlign w:val="subscript"/>
              </w:rPr>
              <w:t>roż</w:t>
            </w:r>
            <w:proofErr w:type="spellEnd"/>
            <w:r w:rsidRPr="00C968CE">
              <w:rPr>
                <w:rFonts w:cs="Arial"/>
                <w:szCs w:val="20"/>
              </w:rPr>
              <w:t>) partii granulatu asfaltowego do zastosowania w mieszance mineralno-asfaltowej przeznaczonej do warstwy podbudowy</w:t>
            </w:r>
          </w:p>
        </w:tc>
      </w:tr>
      <w:tr w:rsidR="005F2528" w:rsidRPr="00C968CE" w14:paraId="034779CC" w14:textId="77777777" w:rsidTr="005F2528">
        <w:tc>
          <w:tcPr>
            <w:tcW w:w="454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7D08DC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mięknienia lepiszcza odzyskanego, [°C]</w:t>
            </w:r>
          </w:p>
        </w:tc>
        <w:tc>
          <w:tcPr>
            <w:tcW w:w="432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6DC7A29" w14:textId="77777777" w:rsidR="005F2528" w:rsidRPr="00C968CE" w:rsidRDefault="005F2528" w:rsidP="00C968CE">
            <w:pPr>
              <w:spacing w:before="120" w:after="100" w:afterAutospacing="1" w:line="240" w:lineRule="auto"/>
              <w:rPr>
                <w:rFonts w:cs="Arial"/>
                <w:szCs w:val="20"/>
              </w:rPr>
            </w:pPr>
            <w:r w:rsidRPr="00C968CE">
              <w:rPr>
                <w:rFonts w:cs="Arial"/>
                <w:szCs w:val="20"/>
              </w:rPr>
              <w:t>8,0</w:t>
            </w:r>
          </w:p>
        </w:tc>
      </w:tr>
      <w:tr w:rsidR="005F2528" w:rsidRPr="00C968CE" w14:paraId="763ADF47" w14:textId="77777777" w:rsidTr="005F2528">
        <w:tc>
          <w:tcPr>
            <w:tcW w:w="454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6818472C" w14:textId="77777777" w:rsidR="005F2528" w:rsidRPr="00C968CE" w:rsidRDefault="005F2528" w:rsidP="00C968CE">
            <w:pPr>
              <w:spacing w:before="60" w:after="60" w:line="240" w:lineRule="auto"/>
              <w:rPr>
                <w:rFonts w:cs="Arial"/>
                <w:szCs w:val="20"/>
              </w:rPr>
            </w:pPr>
            <w:r w:rsidRPr="00C968CE">
              <w:rPr>
                <w:rFonts w:cs="Arial"/>
                <w:szCs w:val="20"/>
              </w:rPr>
              <w:t>Zawartość lepiszcza, [%(m/m)]</w:t>
            </w:r>
          </w:p>
        </w:tc>
        <w:tc>
          <w:tcPr>
            <w:tcW w:w="432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66F4872" w14:textId="77777777" w:rsidR="005F2528" w:rsidRPr="00C968CE" w:rsidRDefault="005F2528" w:rsidP="00C968CE">
            <w:pPr>
              <w:spacing w:before="60" w:after="60" w:line="240" w:lineRule="auto"/>
              <w:rPr>
                <w:rFonts w:cs="Arial"/>
                <w:szCs w:val="20"/>
              </w:rPr>
            </w:pPr>
            <w:r w:rsidRPr="00C968CE">
              <w:rPr>
                <w:rFonts w:cs="Arial"/>
                <w:szCs w:val="20"/>
              </w:rPr>
              <w:t>1,2</w:t>
            </w:r>
          </w:p>
        </w:tc>
      </w:tr>
      <w:tr w:rsidR="005F2528" w:rsidRPr="00C968CE" w14:paraId="66675046" w14:textId="77777777" w:rsidTr="005F2528">
        <w:tc>
          <w:tcPr>
            <w:tcW w:w="454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4B94AAE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Kruszywo o uziarnieniu poniżej 0,063 mm [%(m/m)]</w:t>
            </w:r>
          </w:p>
        </w:tc>
        <w:tc>
          <w:tcPr>
            <w:tcW w:w="432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16CCFA9" w14:textId="77777777" w:rsidR="005F2528" w:rsidRPr="00C968CE" w:rsidRDefault="005F2528" w:rsidP="00C968CE">
            <w:pPr>
              <w:spacing w:before="120" w:after="100" w:afterAutospacing="1" w:line="240" w:lineRule="auto"/>
              <w:rPr>
                <w:rFonts w:cs="Arial"/>
                <w:szCs w:val="20"/>
              </w:rPr>
            </w:pPr>
            <w:r w:rsidRPr="00C968CE">
              <w:rPr>
                <w:rFonts w:cs="Arial"/>
                <w:szCs w:val="20"/>
              </w:rPr>
              <w:t>10,0</w:t>
            </w:r>
          </w:p>
        </w:tc>
      </w:tr>
      <w:tr w:rsidR="005F2528" w:rsidRPr="00C968CE" w14:paraId="7C564194" w14:textId="77777777" w:rsidTr="005F2528">
        <w:tc>
          <w:tcPr>
            <w:tcW w:w="454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47F6B0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Kruszywo o uziarnieniu od 0,063 do 2 mm [%(m/m)]</w:t>
            </w:r>
          </w:p>
        </w:tc>
        <w:tc>
          <w:tcPr>
            <w:tcW w:w="432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7394D46" w14:textId="77777777" w:rsidR="005F2528" w:rsidRPr="00C968CE" w:rsidRDefault="005F2528" w:rsidP="00C968CE">
            <w:pPr>
              <w:spacing w:before="120" w:after="100" w:afterAutospacing="1" w:line="240" w:lineRule="auto"/>
              <w:rPr>
                <w:rFonts w:cs="Arial"/>
                <w:szCs w:val="20"/>
              </w:rPr>
            </w:pPr>
            <w:r w:rsidRPr="00C968CE">
              <w:rPr>
                <w:rFonts w:cs="Arial"/>
                <w:szCs w:val="20"/>
              </w:rPr>
              <w:t>16,0</w:t>
            </w:r>
          </w:p>
        </w:tc>
      </w:tr>
      <w:tr w:rsidR="005F2528" w:rsidRPr="00C968CE" w14:paraId="110A0CF3" w14:textId="77777777" w:rsidTr="005F2528">
        <w:tc>
          <w:tcPr>
            <w:tcW w:w="454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41ED21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Kruszywo o uziarnieniu powyżej 2 mm  [%(m/m)]</w:t>
            </w:r>
          </w:p>
        </w:tc>
        <w:tc>
          <w:tcPr>
            <w:tcW w:w="432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D6E71A0" w14:textId="77777777" w:rsidR="005F2528" w:rsidRPr="00C968CE" w:rsidRDefault="005F2528" w:rsidP="00C968CE">
            <w:pPr>
              <w:spacing w:before="120" w:after="100" w:afterAutospacing="1" w:line="240" w:lineRule="auto"/>
              <w:rPr>
                <w:rFonts w:cs="Arial"/>
                <w:szCs w:val="20"/>
              </w:rPr>
            </w:pPr>
            <w:r w:rsidRPr="00C968CE">
              <w:rPr>
                <w:rFonts w:cs="Arial"/>
                <w:szCs w:val="20"/>
              </w:rPr>
              <w:t>18,0</w:t>
            </w:r>
          </w:p>
        </w:tc>
      </w:tr>
    </w:tbl>
    <w:p w14:paraId="499F89A3" w14:textId="77777777" w:rsidR="005F2528" w:rsidRPr="00C968CE" w:rsidRDefault="005F2528" w:rsidP="00C968CE">
      <w:pPr>
        <w:spacing w:before="120" w:after="120" w:line="240" w:lineRule="auto"/>
        <w:rPr>
          <w:rFonts w:cs="Arial"/>
          <w:szCs w:val="20"/>
        </w:rPr>
      </w:pPr>
      <w:r w:rsidRPr="00C968CE">
        <w:rPr>
          <w:rFonts w:cs="Arial"/>
          <w:b/>
          <w:bCs/>
          <w:szCs w:val="20"/>
        </w:rPr>
        <w:t>2.6.3.</w:t>
      </w:r>
      <w:r w:rsidRPr="00C968CE">
        <w:rPr>
          <w:rFonts w:cs="Arial"/>
          <w:szCs w:val="20"/>
        </w:rPr>
        <w:t xml:space="preserve"> Deklarowanie właściwości w granulatu asfaltowego </w:t>
      </w:r>
    </w:p>
    <w:p w14:paraId="0870175F"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W opisie granulatu asfaltowego producent powinien zadeklarować:</w:t>
      </w:r>
    </w:p>
    <w:p w14:paraId="4F3D533B" w14:textId="77777777" w:rsidR="005F2528" w:rsidRPr="00C968CE" w:rsidRDefault="005F2528" w:rsidP="00C968CE">
      <w:pPr>
        <w:spacing w:before="100" w:beforeAutospacing="1" w:after="100" w:afterAutospacing="1" w:line="240" w:lineRule="auto"/>
        <w:ind w:left="454" w:hanging="397"/>
        <w:rPr>
          <w:rFonts w:cs="Arial"/>
          <w:szCs w:val="20"/>
        </w:rPr>
      </w:pPr>
      <w:r w:rsidRPr="00C968CE">
        <w:rPr>
          <w:rFonts w:cs="Arial"/>
          <w:szCs w:val="20"/>
        </w:rPr>
        <w:t>–         typ mieszanki lub mieszanek, z których pochodzi granulat (np. AC 16 S, droga DK 10), nie dopuszcza się do stosowania granulatu,  którego pochodzenia nie można udokumentować i zadeklarować,</w:t>
      </w:r>
    </w:p>
    <w:p w14:paraId="7EAECF5A" w14:textId="77777777" w:rsidR="005F2528" w:rsidRPr="00C968CE" w:rsidRDefault="005F2528" w:rsidP="00C968CE">
      <w:pPr>
        <w:spacing w:before="100" w:beforeAutospacing="1" w:after="100" w:afterAutospacing="1" w:line="240" w:lineRule="auto"/>
        <w:ind w:left="454" w:hanging="397"/>
        <w:rPr>
          <w:rFonts w:cs="Arial"/>
          <w:szCs w:val="20"/>
        </w:rPr>
      </w:pPr>
      <w:r w:rsidRPr="00C968CE">
        <w:rPr>
          <w:rFonts w:cs="Arial"/>
          <w:szCs w:val="20"/>
        </w:rPr>
        <w:t>–         rodzaj kruszywa i średnie uziarnienie,</w:t>
      </w:r>
    </w:p>
    <w:p w14:paraId="1355B67F" w14:textId="77777777" w:rsidR="005F2528" w:rsidRPr="00C968CE" w:rsidRDefault="005F2528" w:rsidP="00C968CE">
      <w:pPr>
        <w:spacing w:before="100" w:beforeAutospacing="1" w:after="100" w:afterAutospacing="1" w:line="240" w:lineRule="auto"/>
        <w:ind w:left="454" w:hanging="397"/>
        <w:rPr>
          <w:rFonts w:cs="Arial"/>
          <w:szCs w:val="20"/>
        </w:rPr>
      </w:pPr>
      <w:r w:rsidRPr="00C968CE">
        <w:rPr>
          <w:rFonts w:cs="Arial"/>
          <w:szCs w:val="20"/>
        </w:rPr>
        <w:t>–         typ lepiszcza, średnią zawartość lepiszcza i średnią temperaturę mięknienia lepiszcza odzyskanego,</w:t>
      </w:r>
    </w:p>
    <w:p w14:paraId="5A46D0EB" w14:textId="77777777" w:rsidR="005F2528" w:rsidRPr="00C968CE" w:rsidRDefault="005F2528" w:rsidP="00C968CE">
      <w:pPr>
        <w:spacing w:before="100" w:beforeAutospacing="1" w:after="100" w:afterAutospacing="1" w:line="240" w:lineRule="auto"/>
        <w:ind w:left="454" w:hanging="397"/>
        <w:rPr>
          <w:rFonts w:cs="Arial"/>
          <w:szCs w:val="20"/>
        </w:rPr>
      </w:pPr>
      <w:r w:rsidRPr="00C968CE">
        <w:rPr>
          <w:rFonts w:cs="Arial"/>
          <w:szCs w:val="20"/>
        </w:rPr>
        <w:t>–         maksymalną wielkość kawałków granulatu asfaltowego U GRA D/d.</w:t>
      </w:r>
    </w:p>
    <w:p w14:paraId="69C9BCB5"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Właściwości kruszywa z granulatu asfaltowego powinny spełniać wymagania określone dla kruszywa w danej mieszance mineralno-asfaltowej. </w:t>
      </w:r>
    </w:p>
    <w:p w14:paraId="7B5956D3"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Dopuszcza się deklarowanie właściwości kruszywa mineralnego w granulacie asfaltowym na podstawie udokumentowanego wcześniej zastosowania. </w:t>
      </w:r>
    </w:p>
    <w:p w14:paraId="2D64CC26" w14:textId="77777777" w:rsidR="005F2528" w:rsidRPr="00C968CE" w:rsidRDefault="005F2528" w:rsidP="00C968CE">
      <w:pPr>
        <w:spacing w:before="120" w:after="120" w:line="240" w:lineRule="auto"/>
        <w:rPr>
          <w:rFonts w:cs="Arial"/>
          <w:szCs w:val="20"/>
        </w:rPr>
      </w:pPr>
      <w:r w:rsidRPr="00C968CE">
        <w:rPr>
          <w:rFonts w:cs="Arial"/>
          <w:b/>
          <w:bCs/>
          <w:szCs w:val="20"/>
        </w:rPr>
        <w:t>2.6.4.</w:t>
      </w:r>
      <w:r w:rsidRPr="00C968CE">
        <w:rPr>
          <w:rFonts w:cs="Arial"/>
          <w:szCs w:val="20"/>
        </w:rPr>
        <w:t xml:space="preserve"> Warunki stosowania granulatu asfaltowego </w:t>
      </w:r>
    </w:p>
    <w:p w14:paraId="0EF88C13"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70226634"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lastRenderedPageBreak/>
        <w:t>Granulat dodawany na zimno wymaga wyższego podgrzewania kruszywa zgodnie z tablicą 14. Jeżeli granulat asfaltowy jest wilgotny to należy temperaturę kruszywa jeszcze podnieść o korektę z tablicy 15.  </w:t>
      </w:r>
    </w:p>
    <w:p w14:paraId="72B7C6A8" w14:textId="77777777" w:rsidR="005F2528" w:rsidRPr="00C968CE" w:rsidRDefault="005F2528" w:rsidP="00C968CE">
      <w:pPr>
        <w:spacing w:before="120" w:after="120" w:line="240" w:lineRule="auto"/>
        <w:ind w:left="1321" w:hanging="1321"/>
        <w:rPr>
          <w:rFonts w:cs="Arial"/>
          <w:szCs w:val="20"/>
        </w:rPr>
      </w:pPr>
      <w:r w:rsidRPr="00C968CE">
        <w:rPr>
          <w:rFonts w:cs="Arial"/>
          <w:szCs w:val="20"/>
        </w:rPr>
        <w:t>Tablica 14. Temperatura kruszywa w zależności od ilości zimnego i suchego granulatu asfaltowego</w:t>
      </w:r>
    </w:p>
    <w:p w14:paraId="0F4D1F48" w14:textId="7FC67610" w:rsidR="005F2528" w:rsidRPr="00C968CE" w:rsidRDefault="005F2528" w:rsidP="00C968CE">
      <w:pPr>
        <w:spacing w:after="120" w:line="240" w:lineRule="auto"/>
        <w:ind w:left="1321" w:hanging="1202"/>
        <w:rPr>
          <w:rFonts w:cs="Arial"/>
          <w:szCs w:val="20"/>
        </w:rPr>
      </w:pPr>
      <w:r w:rsidRPr="00C968CE">
        <w:rPr>
          <w:rFonts w:cs="Arial"/>
          <w:noProof/>
          <w:szCs w:val="20"/>
        </w:rPr>
        <w:drawing>
          <wp:inline distT="0" distB="0" distL="0" distR="0" wp14:anchorId="702C4CC9" wp14:editId="411939AD">
            <wp:extent cx="4676775" cy="3028950"/>
            <wp:effectExtent l="0" t="0" r="9525" b="0"/>
            <wp:docPr id="30" name="Obraz 30" descr="Opis: W:\SPECYFIKACJE TECHNICZNE\_2020 drogowe\ost\Podbudowy\d040701a2016_pliki\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pis: W:\SPECYFIKACJE TECHNICZNE\_2020 drogowe\ost\Podbudowy\d040701a2016_pliki\image002.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76775" cy="3028950"/>
                    </a:xfrm>
                    <a:prstGeom prst="rect">
                      <a:avLst/>
                    </a:prstGeom>
                    <a:noFill/>
                    <a:ln>
                      <a:noFill/>
                    </a:ln>
                  </pic:spPr>
                </pic:pic>
              </a:graphicData>
            </a:graphic>
          </wp:inline>
        </w:drawing>
      </w:r>
    </w:p>
    <w:p w14:paraId="1CB5D790"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Należy oznaczyć wilgotność granulatu asfaltowego i skorygować temperaturę produkcji mma zgodnie z tablicą 15 o tyle, aby nie została przekroczona dopuszczalna najwyższa temperatura lepiszcza asfaltowego w zbiorniku magazynowym (roboczym) (patrz pkt 2.3). </w:t>
      </w:r>
    </w:p>
    <w:p w14:paraId="071B70F4" w14:textId="77777777" w:rsidR="005F2528" w:rsidRPr="00C968CE" w:rsidRDefault="005F2528" w:rsidP="00C968CE">
      <w:pPr>
        <w:spacing w:before="120" w:after="120" w:line="240" w:lineRule="auto"/>
        <w:ind w:left="1134" w:hanging="1134"/>
        <w:rPr>
          <w:rFonts w:cs="Arial"/>
          <w:szCs w:val="20"/>
        </w:rPr>
      </w:pPr>
      <w:r w:rsidRPr="00C968CE">
        <w:rPr>
          <w:rFonts w:cs="Arial"/>
          <w:szCs w:val="20"/>
        </w:rPr>
        <w:t>Tablica15.   Korekta temperatury produkcji w zależności od wilgotności granulatu asfaltowego</w:t>
      </w:r>
    </w:p>
    <w:tbl>
      <w:tblPr>
        <w:tblW w:w="0" w:type="auto"/>
        <w:tblCellMar>
          <w:left w:w="0" w:type="dxa"/>
          <w:right w:w="0" w:type="dxa"/>
        </w:tblCellMar>
        <w:tblLook w:val="04A0" w:firstRow="1" w:lastRow="0" w:firstColumn="1" w:lastColumn="0" w:noHBand="0" w:noVBand="1"/>
      </w:tblPr>
      <w:tblGrid>
        <w:gridCol w:w="1284"/>
        <w:gridCol w:w="1068"/>
        <w:gridCol w:w="1067"/>
        <w:gridCol w:w="1067"/>
        <w:gridCol w:w="1067"/>
        <w:gridCol w:w="1067"/>
        <w:gridCol w:w="1067"/>
      </w:tblGrid>
      <w:tr w:rsidR="005F2528" w:rsidRPr="00C968CE" w14:paraId="32B92FDF" w14:textId="77777777" w:rsidTr="005F2528">
        <w:tc>
          <w:tcPr>
            <w:tcW w:w="1284" w:type="dxa"/>
            <w:vMerge w:val="restart"/>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14:paraId="42C8F89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Udział granulatu asfaltowego M[%]</w:t>
            </w:r>
          </w:p>
        </w:tc>
        <w:tc>
          <w:tcPr>
            <w:tcW w:w="6403" w:type="dxa"/>
            <w:gridSpan w:val="6"/>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32F66CD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Wilgotność granulatu asfaltowego [%]</w:t>
            </w:r>
          </w:p>
        </w:tc>
      </w:tr>
      <w:tr w:rsidR="005F2528" w:rsidRPr="00C968CE" w14:paraId="21E27040" w14:textId="77777777" w:rsidTr="005F2528">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56E3C5B" w14:textId="77777777" w:rsidR="005F2528" w:rsidRPr="00C968CE" w:rsidRDefault="005F2528" w:rsidP="00C968CE">
            <w:pPr>
              <w:spacing w:line="240" w:lineRule="auto"/>
              <w:rPr>
                <w:rFonts w:cs="Arial"/>
                <w:szCs w:val="20"/>
              </w:rPr>
            </w:pPr>
          </w:p>
        </w:tc>
        <w:tc>
          <w:tcPr>
            <w:tcW w:w="106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10E275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w:t>
            </w:r>
          </w:p>
        </w:tc>
        <w:tc>
          <w:tcPr>
            <w:tcW w:w="106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707AB2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106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C3E489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w:t>
            </w:r>
          </w:p>
        </w:tc>
        <w:tc>
          <w:tcPr>
            <w:tcW w:w="106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C73BCF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106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F264AF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106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B15E44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r>
      <w:tr w:rsidR="005F2528" w:rsidRPr="00C968CE" w14:paraId="373C01D8" w14:textId="77777777" w:rsidTr="005F2528">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6F90A8A" w14:textId="77777777" w:rsidR="005F2528" w:rsidRPr="00C968CE" w:rsidRDefault="005F2528" w:rsidP="00C968CE">
            <w:pPr>
              <w:spacing w:line="240" w:lineRule="auto"/>
              <w:rPr>
                <w:rFonts w:cs="Arial"/>
                <w:szCs w:val="20"/>
              </w:rPr>
            </w:pPr>
          </w:p>
        </w:tc>
        <w:tc>
          <w:tcPr>
            <w:tcW w:w="6403" w:type="dxa"/>
            <w:gridSpan w:val="6"/>
            <w:tcBorders>
              <w:top w:val="nil"/>
              <w:left w:val="nil"/>
              <w:bottom w:val="single" w:sz="8" w:space="0" w:color="000000"/>
              <w:right w:val="single" w:sz="8" w:space="0" w:color="000000"/>
            </w:tcBorders>
            <w:noWrap/>
            <w:tcMar>
              <w:top w:w="0" w:type="dxa"/>
              <w:left w:w="108" w:type="dxa"/>
              <w:bottom w:w="0" w:type="dxa"/>
              <w:right w:w="108" w:type="dxa"/>
            </w:tcMar>
            <w:hideMark/>
          </w:tcPr>
          <w:p w14:paraId="1B1607F5" w14:textId="77777777" w:rsidR="005F2528" w:rsidRPr="00C968CE" w:rsidRDefault="005F2528" w:rsidP="00C968CE">
            <w:pPr>
              <w:spacing w:before="120" w:after="100" w:afterAutospacing="1" w:line="240" w:lineRule="auto"/>
              <w:rPr>
                <w:rFonts w:cs="Arial"/>
                <w:szCs w:val="20"/>
              </w:rPr>
            </w:pPr>
            <w:r w:rsidRPr="00C968CE">
              <w:rPr>
                <w:rFonts w:cs="Arial"/>
                <w:szCs w:val="20"/>
              </w:rPr>
              <w:t>Korekta temperatury °C</w:t>
            </w:r>
          </w:p>
        </w:tc>
      </w:tr>
      <w:tr w:rsidR="005F2528" w:rsidRPr="00C968CE" w14:paraId="32830B6C" w14:textId="77777777" w:rsidTr="005F2528">
        <w:tc>
          <w:tcPr>
            <w:tcW w:w="1284"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41F8C0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1068" w:type="dxa"/>
            <w:tcBorders>
              <w:top w:val="nil"/>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194B596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1067" w:type="dxa"/>
            <w:tcBorders>
              <w:top w:val="nil"/>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7AB1D07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1067" w:type="dxa"/>
            <w:tcBorders>
              <w:top w:val="nil"/>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1297050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12</w:t>
            </w:r>
          </w:p>
        </w:tc>
        <w:tc>
          <w:tcPr>
            <w:tcW w:w="1067" w:type="dxa"/>
            <w:tcBorders>
              <w:top w:val="nil"/>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46A7AB7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16</w:t>
            </w:r>
          </w:p>
        </w:tc>
        <w:tc>
          <w:tcPr>
            <w:tcW w:w="1067" w:type="dxa"/>
            <w:tcBorders>
              <w:top w:val="nil"/>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2968CAB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20</w:t>
            </w:r>
          </w:p>
        </w:tc>
        <w:tc>
          <w:tcPr>
            <w:tcW w:w="1067" w:type="dxa"/>
            <w:tcBorders>
              <w:top w:val="nil"/>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3436B9C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24</w:t>
            </w:r>
          </w:p>
        </w:tc>
      </w:tr>
      <w:tr w:rsidR="005F2528" w:rsidRPr="00C968CE" w14:paraId="072193F8" w14:textId="77777777" w:rsidTr="005F2528">
        <w:tc>
          <w:tcPr>
            <w:tcW w:w="1284"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685A042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15</w:t>
            </w:r>
          </w:p>
        </w:tc>
        <w:tc>
          <w:tcPr>
            <w:tcW w:w="1068"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605F194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w:t>
            </w:r>
          </w:p>
        </w:tc>
        <w:tc>
          <w:tcPr>
            <w:tcW w:w="1067"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3B5A687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12</w:t>
            </w:r>
          </w:p>
        </w:tc>
        <w:tc>
          <w:tcPr>
            <w:tcW w:w="1067"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1666F16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18</w:t>
            </w:r>
          </w:p>
        </w:tc>
        <w:tc>
          <w:tcPr>
            <w:tcW w:w="1067"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0648CC0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24</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31C7CB7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30</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58D53A1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36</w:t>
            </w:r>
          </w:p>
        </w:tc>
      </w:tr>
      <w:tr w:rsidR="005F2528" w:rsidRPr="00C968CE" w14:paraId="62BA48E6" w14:textId="77777777" w:rsidTr="005F2528">
        <w:tc>
          <w:tcPr>
            <w:tcW w:w="1284"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E3632E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20</w:t>
            </w:r>
          </w:p>
        </w:tc>
        <w:tc>
          <w:tcPr>
            <w:tcW w:w="1068"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704B053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1067"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09148F5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16</w:t>
            </w:r>
          </w:p>
        </w:tc>
        <w:tc>
          <w:tcPr>
            <w:tcW w:w="1067"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4CAB2A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24</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1F355CA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32</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5D31642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40</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4ADB864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48</w:t>
            </w:r>
          </w:p>
        </w:tc>
      </w:tr>
      <w:tr w:rsidR="005F2528" w:rsidRPr="00C968CE" w14:paraId="41CF9D14" w14:textId="77777777" w:rsidTr="005F2528">
        <w:tc>
          <w:tcPr>
            <w:tcW w:w="1284"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F8B7ED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25</w:t>
            </w:r>
          </w:p>
        </w:tc>
        <w:tc>
          <w:tcPr>
            <w:tcW w:w="1068"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458EBFE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1067"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1065A03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20</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25BF616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30</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3A07771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40</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4B7097A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3977BE6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60</w:t>
            </w:r>
          </w:p>
        </w:tc>
      </w:tr>
      <w:tr w:rsidR="005F2528" w:rsidRPr="00C968CE" w14:paraId="51EFB1B2" w14:textId="77777777" w:rsidTr="005F2528">
        <w:tc>
          <w:tcPr>
            <w:tcW w:w="1284"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4C9DC2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30</w:t>
            </w:r>
          </w:p>
        </w:tc>
        <w:tc>
          <w:tcPr>
            <w:tcW w:w="1068"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5F10E1B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12</w:t>
            </w:r>
          </w:p>
        </w:tc>
        <w:tc>
          <w:tcPr>
            <w:tcW w:w="1067" w:type="dxa"/>
            <w:tcBorders>
              <w:top w:val="single" w:sz="8" w:space="0" w:color="000000"/>
              <w:left w:val="nil"/>
              <w:bottom w:val="single" w:sz="8" w:space="0" w:color="000000"/>
              <w:right w:val="single" w:sz="8" w:space="0" w:color="000000"/>
            </w:tcBorders>
            <w:shd w:val="clear" w:color="auto" w:fill="FFFFFF" w:themeFill="background1"/>
            <w:noWrap/>
            <w:tcMar>
              <w:top w:w="0" w:type="dxa"/>
              <w:left w:w="108" w:type="dxa"/>
              <w:bottom w:w="0" w:type="dxa"/>
              <w:right w:w="108" w:type="dxa"/>
            </w:tcMar>
            <w:hideMark/>
          </w:tcPr>
          <w:p w14:paraId="25AF55B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24</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5277FE1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605C4D9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5019766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1067" w:type="dxa"/>
            <w:tcBorders>
              <w:top w:val="nil"/>
              <w:left w:val="nil"/>
              <w:bottom w:val="single" w:sz="8" w:space="0" w:color="000000"/>
              <w:right w:val="single" w:sz="8" w:space="0" w:color="000000"/>
            </w:tcBorders>
            <w:shd w:val="clear" w:color="auto" w:fill="EEECE1"/>
            <w:noWrap/>
            <w:tcMar>
              <w:top w:w="0" w:type="dxa"/>
              <w:left w:w="108" w:type="dxa"/>
              <w:bottom w:w="0" w:type="dxa"/>
              <w:right w:w="108" w:type="dxa"/>
            </w:tcMar>
            <w:hideMark/>
          </w:tcPr>
          <w:p w14:paraId="7BDFC0A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r>
    </w:tbl>
    <w:p w14:paraId="7380D57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30898A2D"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Szare pola wskazują dodatek granulatu nieekonomiczny i niebezpieczny ze względu na duże ilości pary wodnej powstającej przy odparowaniu wody z wilgotnego granulatu. </w:t>
      </w:r>
    </w:p>
    <w:p w14:paraId="27869B51"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Dopuszcza się użycie granulatu asfaltowego w metodzie „na zimno”  (bez wstępnego ogrzewania) w ilości do 20% masy mieszanki mineralno-asfaltowej na podstawie wykazania spełnienia wymagań podanych powyżej oraz spełniania właściwości mma.</w:t>
      </w:r>
    </w:p>
    <w:p w14:paraId="72014A6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Uwaga: Stosowanie granulatu asfaltowego nie może obniżać właściwości mieszanek mineralno-asfaltowych.</w:t>
      </w:r>
    </w:p>
    <w:p w14:paraId="368FC19C"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Do produkcji mieszanek mineralno-asfaltowych z zastosowaniem granulatu nie dopuszcza się stosowania środków obniżających lepkość asfaltu.</w:t>
      </w:r>
    </w:p>
    <w:p w14:paraId="44034B13"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2.7. Materiały do uszczelnienia połączeń technologicznych i krawędzi</w:t>
      </w:r>
    </w:p>
    <w:p w14:paraId="4D63E3B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            Do uszczelnienia połączeń technologicznych (tj. złączy podłużnych i poprzecznych) z tego samego materiału wykonywanego w różnym czasie należy stosować elastyczne taśmy bitumiczne i pasty asfaltowe dobrane wg zasad przedstawionych w tablicy 16 oraz spełniające wymagania, w zależności od rodzaju materiału, wg tablic od 17 do 19. </w:t>
      </w:r>
    </w:p>
    <w:p w14:paraId="0C244FE2" w14:textId="77777777" w:rsidR="005F2528" w:rsidRPr="00C968CE" w:rsidRDefault="005F2528" w:rsidP="00C968CE">
      <w:pPr>
        <w:spacing w:before="120" w:after="120" w:line="240" w:lineRule="auto"/>
        <w:ind w:left="1276" w:hanging="1276"/>
        <w:rPr>
          <w:rFonts w:cs="Arial"/>
          <w:szCs w:val="20"/>
        </w:rPr>
      </w:pPr>
      <w:r w:rsidRPr="00C968CE">
        <w:rPr>
          <w:rFonts w:cs="Arial"/>
          <w:szCs w:val="20"/>
        </w:rPr>
        <w:lastRenderedPageBreak/>
        <w:t>Tablica 16.    Materiały do złączy podłużnych i porzecznych między fragmentami zagęszczonej MMA rozkładanej metodą „gorące przy zimnym”</w:t>
      </w:r>
    </w:p>
    <w:tbl>
      <w:tblPr>
        <w:tblW w:w="0" w:type="auto"/>
        <w:tblCellMar>
          <w:left w:w="0" w:type="dxa"/>
          <w:right w:w="0" w:type="dxa"/>
        </w:tblCellMar>
        <w:tblLook w:val="04A0" w:firstRow="1" w:lastRow="0" w:firstColumn="1" w:lastColumn="0" w:noHBand="0" w:noVBand="1"/>
      </w:tblPr>
      <w:tblGrid>
        <w:gridCol w:w="1785"/>
        <w:gridCol w:w="1785"/>
        <w:gridCol w:w="1785"/>
        <w:gridCol w:w="1786"/>
        <w:gridCol w:w="1786"/>
      </w:tblGrid>
      <w:tr w:rsidR="005F2528" w:rsidRPr="00C968CE" w14:paraId="12DB6A67" w14:textId="77777777" w:rsidTr="005F2528">
        <w:tc>
          <w:tcPr>
            <w:tcW w:w="1785"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6819477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Rodzaj warstwy</w:t>
            </w:r>
          </w:p>
        </w:tc>
        <w:tc>
          <w:tcPr>
            <w:tcW w:w="3570"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2CD8CE6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Złącze podłużne</w:t>
            </w:r>
          </w:p>
        </w:tc>
        <w:tc>
          <w:tcPr>
            <w:tcW w:w="3572"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1472CAD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Złącze poprzeczne</w:t>
            </w:r>
          </w:p>
        </w:tc>
      </w:tr>
      <w:tr w:rsidR="005F2528" w:rsidRPr="00C968CE" w14:paraId="52774FC7" w14:textId="77777777" w:rsidTr="005F2528">
        <w:tc>
          <w:tcPr>
            <w:tcW w:w="0" w:type="auto"/>
            <w:vMerge/>
            <w:tcBorders>
              <w:top w:val="single" w:sz="8" w:space="0" w:color="auto"/>
              <w:left w:val="single" w:sz="8" w:space="0" w:color="auto"/>
              <w:bottom w:val="single" w:sz="8" w:space="0" w:color="auto"/>
              <w:right w:val="single" w:sz="8" w:space="0" w:color="auto"/>
            </w:tcBorders>
            <w:vAlign w:val="center"/>
            <w:hideMark/>
          </w:tcPr>
          <w:p w14:paraId="068DA6EC" w14:textId="77777777" w:rsidR="005F2528" w:rsidRPr="00C968CE" w:rsidRDefault="005F2528" w:rsidP="00C968CE">
            <w:pPr>
              <w:spacing w:line="240" w:lineRule="auto"/>
              <w:rPr>
                <w:rFonts w:cs="Arial"/>
                <w:szCs w:val="20"/>
              </w:rPr>
            </w:pPr>
          </w:p>
        </w:tc>
        <w:tc>
          <w:tcPr>
            <w:tcW w:w="178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349536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Ruch</w:t>
            </w:r>
          </w:p>
        </w:tc>
        <w:tc>
          <w:tcPr>
            <w:tcW w:w="178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F1040B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Rodzaj materiału</w:t>
            </w:r>
          </w:p>
        </w:tc>
        <w:tc>
          <w:tcPr>
            <w:tcW w:w="178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D8FD18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Ruch</w:t>
            </w:r>
          </w:p>
        </w:tc>
        <w:tc>
          <w:tcPr>
            <w:tcW w:w="178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166DE9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Rodzaj materiału</w:t>
            </w:r>
          </w:p>
        </w:tc>
      </w:tr>
      <w:tr w:rsidR="005F2528" w:rsidRPr="00C968CE" w14:paraId="4F470A68" w14:textId="77777777" w:rsidTr="005F2528">
        <w:tc>
          <w:tcPr>
            <w:tcW w:w="1785" w:type="dxa"/>
            <w:vMerge w:val="restart"/>
            <w:tcBorders>
              <w:top w:val="single" w:sz="8" w:space="0" w:color="auto"/>
              <w:left w:val="single" w:sz="8" w:space="0" w:color="auto"/>
              <w:bottom w:val="single" w:sz="4" w:space="0" w:color="auto"/>
              <w:right w:val="single" w:sz="8" w:space="0" w:color="auto"/>
            </w:tcBorders>
            <w:noWrap/>
            <w:tcMar>
              <w:top w:w="0" w:type="dxa"/>
              <w:left w:w="108" w:type="dxa"/>
              <w:bottom w:w="0" w:type="dxa"/>
              <w:right w:w="108" w:type="dxa"/>
            </w:tcMar>
            <w:hideMark/>
          </w:tcPr>
          <w:p w14:paraId="463C733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Podbudowa</w:t>
            </w:r>
          </w:p>
        </w:tc>
        <w:tc>
          <w:tcPr>
            <w:tcW w:w="1785" w:type="dxa"/>
            <w:vMerge w:val="restart"/>
            <w:tcBorders>
              <w:top w:val="single" w:sz="8" w:space="0" w:color="auto"/>
              <w:left w:val="nil"/>
              <w:bottom w:val="single" w:sz="4" w:space="0" w:color="auto"/>
              <w:right w:val="single" w:sz="8" w:space="0" w:color="auto"/>
            </w:tcBorders>
            <w:noWrap/>
            <w:tcMar>
              <w:top w:w="0" w:type="dxa"/>
              <w:left w:w="108" w:type="dxa"/>
              <w:bottom w:w="0" w:type="dxa"/>
              <w:right w:w="108" w:type="dxa"/>
            </w:tcMar>
            <w:hideMark/>
          </w:tcPr>
          <w:p w14:paraId="181CCA5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 1-7</w:t>
            </w:r>
          </w:p>
        </w:tc>
        <w:tc>
          <w:tcPr>
            <w:tcW w:w="1785" w:type="dxa"/>
            <w:vMerge w:val="restart"/>
            <w:tcBorders>
              <w:top w:val="single" w:sz="8" w:space="0" w:color="auto"/>
              <w:left w:val="nil"/>
              <w:bottom w:val="single" w:sz="4" w:space="0" w:color="auto"/>
              <w:right w:val="single" w:sz="8" w:space="0" w:color="auto"/>
            </w:tcBorders>
            <w:noWrap/>
            <w:tcMar>
              <w:top w:w="0" w:type="dxa"/>
              <w:left w:w="108" w:type="dxa"/>
              <w:bottom w:w="0" w:type="dxa"/>
              <w:right w:w="108" w:type="dxa"/>
            </w:tcMar>
            <w:hideMark/>
          </w:tcPr>
          <w:p w14:paraId="238C334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Pasty asfaltowe lub elastyczne taśmy bitumiczne</w:t>
            </w:r>
          </w:p>
        </w:tc>
        <w:tc>
          <w:tcPr>
            <w:tcW w:w="1786"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54979D9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 1-2</w:t>
            </w:r>
          </w:p>
        </w:tc>
        <w:tc>
          <w:tcPr>
            <w:tcW w:w="1786" w:type="dxa"/>
            <w:tcBorders>
              <w:top w:val="nil"/>
              <w:left w:val="nil"/>
              <w:bottom w:val="single" w:sz="8" w:space="0" w:color="auto"/>
              <w:right w:val="single" w:sz="8" w:space="0" w:color="auto"/>
            </w:tcBorders>
            <w:noWrap/>
            <w:tcMar>
              <w:top w:w="0" w:type="dxa"/>
              <w:left w:w="108" w:type="dxa"/>
              <w:bottom w:w="0" w:type="dxa"/>
              <w:right w:w="108" w:type="dxa"/>
            </w:tcMar>
            <w:hideMark/>
          </w:tcPr>
          <w:p w14:paraId="57861E5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Pasty asfaltowe lub elastyczne taśmy bitumiczne</w:t>
            </w:r>
          </w:p>
        </w:tc>
      </w:tr>
      <w:tr w:rsidR="005F2528" w:rsidRPr="00C968CE" w14:paraId="44EA1A4B" w14:textId="77777777" w:rsidTr="005F2528">
        <w:tc>
          <w:tcPr>
            <w:tcW w:w="0" w:type="auto"/>
            <w:vMerge/>
            <w:tcBorders>
              <w:top w:val="single" w:sz="8" w:space="0" w:color="auto"/>
              <w:left w:val="single" w:sz="8" w:space="0" w:color="auto"/>
              <w:bottom w:val="single" w:sz="4" w:space="0" w:color="auto"/>
              <w:right w:val="single" w:sz="8" w:space="0" w:color="auto"/>
            </w:tcBorders>
            <w:vAlign w:val="center"/>
            <w:hideMark/>
          </w:tcPr>
          <w:p w14:paraId="73671BF5"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4" w:space="0" w:color="auto"/>
              <w:right w:val="single" w:sz="8" w:space="0" w:color="auto"/>
            </w:tcBorders>
            <w:vAlign w:val="center"/>
            <w:hideMark/>
          </w:tcPr>
          <w:p w14:paraId="55A88096" w14:textId="77777777" w:rsidR="005F2528" w:rsidRPr="00C968CE" w:rsidRDefault="005F2528" w:rsidP="00C968CE">
            <w:pPr>
              <w:spacing w:line="240" w:lineRule="auto"/>
              <w:rPr>
                <w:rFonts w:cs="Arial"/>
                <w:szCs w:val="20"/>
              </w:rPr>
            </w:pPr>
          </w:p>
        </w:tc>
        <w:tc>
          <w:tcPr>
            <w:tcW w:w="0" w:type="auto"/>
            <w:vMerge/>
            <w:tcBorders>
              <w:top w:val="single" w:sz="8" w:space="0" w:color="auto"/>
              <w:left w:val="nil"/>
              <w:bottom w:val="single" w:sz="4" w:space="0" w:color="auto"/>
              <w:right w:val="single" w:sz="8" w:space="0" w:color="auto"/>
            </w:tcBorders>
            <w:vAlign w:val="center"/>
            <w:hideMark/>
          </w:tcPr>
          <w:p w14:paraId="3C59DAA0" w14:textId="77777777" w:rsidR="005F2528" w:rsidRPr="00C968CE" w:rsidRDefault="005F2528" w:rsidP="00C968CE">
            <w:pPr>
              <w:spacing w:line="240" w:lineRule="auto"/>
              <w:rPr>
                <w:rFonts w:cs="Arial"/>
                <w:szCs w:val="20"/>
              </w:rPr>
            </w:pPr>
          </w:p>
        </w:tc>
        <w:tc>
          <w:tcPr>
            <w:tcW w:w="1786" w:type="dxa"/>
            <w:tcBorders>
              <w:top w:val="single" w:sz="8" w:space="0" w:color="auto"/>
              <w:left w:val="nil"/>
              <w:bottom w:val="single" w:sz="4" w:space="0" w:color="auto"/>
              <w:right w:val="single" w:sz="8" w:space="0" w:color="auto"/>
            </w:tcBorders>
            <w:noWrap/>
            <w:tcMar>
              <w:top w:w="0" w:type="dxa"/>
              <w:left w:w="108" w:type="dxa"/>
              <w:bottom w:w="0" w:type="dxa"/>
              <w:right w:w="108" w:type="dxa"/>
            </w:tcMar>
            <w:hideMark/>
          </w:tcPr>
          <w:p w14:paraId="5E2507B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 3-7</w:t>
            </w:r>
          </w:p>
        </w:tc>
        <w:tc>
          <w:tcPr>
            <w:tcW w:w="1786"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4DA4C36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Elastyczne taśmy bitumiczne</w:t>
            </w:r>
          </w:p>
        </w:tc>
      </w:tr>
      <w:tr w:rsidR="005F2528" w:rsidRPr="00C968CE" w14:paraId="0C939231" w14:textId="77777777" w:rsidTr="005F2528">
        <w:tc>
          <w:tcPr>
            <w:tcW w:w="0" w:type="auto"/>
            <w:tcBorders>
              <w:top w:val="single" w:sz="4" w:space="0" w:color="auto"/>
              <w:left w:val="single" w:sz="8" w:space="0" w:color="auto"/>
              <w:bottom w:val="single" w:sz="8" w:space="0" w:color="auto"/>
              <w:right w:val="single" w:sz="8" w:space="0" w:color="auto"/>
            </w:tcBorders>
            <w:vAlign w:val="center"/>
            <w:hideMark/>
          </w:tcPr>
          <w:p w14:paraId="63FF8616" w14:textId="77777777" w:rsidR="005F2528" w:rsidRPr="00C968CE" w:rsidRDefault="005F2528" w:rsidP="00C968CE">
            <w:pPr>
              <w:spacing w:line="240" w:lineRule="auto"/>
              <w:rPr>
                <w:rFonts w:cs="Arial"/>
                <w:szCs w:val="20"/>
                <w:lang w:eastAsia="en-US"/>
              </w:rPr>
            </w:pPr>
          </w:p>
        </w:tc>
        <w:tc>
          <w:tcPr>
            <w:tcW w:w="0" w:type="auto"/>
            <w:tcBorders>
              <w:top w:val="single" w:sz="4" w:space="0" w:color="auto"/>
              <w:left w:val="nil"/>
              <w:bottom w:val="single" w:sz="8" w:space="0" w:color="auto"/>
              <w:right w:val="single" w:sz="8" w:space="0" w:color="auto"/>
            </w:tcBorders>
            <w:vAlign w:val="center"/>
            <w:hideMark/>
          </w:tcPr>
          <w:p w14:paraId="5CC7E7D6" w14:textId="77777777" w:rsidR="005F2528" w:rsidRPr="00C968CE" w:rsidRDefault="005F2528" w:rsidP="00C968CE">
            <w:pPr>
              <w:spacing w:line="240" w:lineRule="auto"/>
              <w:rPr>
                <w:rFonts w:cs="Arial"/>
                <w:szCs w:val="20"/>
                <w:lang w:eastAsia="en-US"/>
              </w:rPr>
            </w:pPr>
          </w:p>
        </w:tc>
        <w:tc>
          <w:tcPr>
            <w:tcW w:w="0" w:type="auto"/>
            <w:tcBorders>
              <w:top w:val="single" w:sz="4" w:space="0" w:color="auto"/>
              <w:left w:val="nil"/>
              <w:bottom w:val="single" w:sz="8" w:space="0" w:color="auto"/>
              <w:right w:val="single" w:sz="8" w:space="0" w:color="auto"/>
            </w:tcBorders>
            <w:vAlign w:val="center"/>
            <w:hideMark/>
          </w:tcPr>
          <w:p w14:paraId="7C15E184" w14:textId="77777777" w:rsidR="005F2528" w:rsidRPr="00C968CE" w:rsidRDefault="005F2528" w:rsidP="00C968CE">
            <w:pPr>
              <w:spacing w:line="240" w:lineRule="auto"/>
              <w:rPr>
                <w:rFonts w:cs="Arial"/>
                <w:szCs w:val="20"/>
                <w:lang w:eastAsia="en-US"/>
              </w:rPr>
            </w:pPr>
          </w:p>
        </w:tc>
        <w:tc>
          <w:tcPr>
            <w:tcW w:w="1786" w:type="dxa"/>
            <w:tcBorders>
              <w:top w:val="single" w:sz="4" w:space="0" w:color="auto"/>
              <w:left w:val="nil"/>
              <w:bottom w:val="single" w:sz="8" w:space="0" w:color="auto"/>
              <w:right w:val="single" w:sz="8" w:space="0" w:color="auto"/>
            </w:tcBorders>
            <w:noWrap/>
            <w:tcMar>
              <w:top w:w="0" w:type="dxa"/>
              <w:left w:w="108" w:type="dxa"/>
              <w:bottom w:w="0" w:type="dxa"/>
              <w:right w:w="108" w:type="dxa"/>
            </w:tcMar>
            <w:hideMark/>
          </w:tcPr>
          <w:p w14:paraId="6E7990EB" w14:textId="77777777" w:rsidR="005F2528" w:rsidRPr="00C968CE" w:rsidRDefault="005F2528" w:rsidP="00C968CE">
            <w:pPr>
              <w:spacing w:line="240" w:lineRule="auto"/>
              <w:rPr>
                <w:rFonts w:cs="Arial"/>
                <w:szCs w:val="20"/>
                <w:lang w:eastAsia="en-US"/>
              </w:rPr>
            </w:pPr>
          </w:p>
        </w:tc>
        <w:tc>
          <w:tcPr>
            <w:tcW w:w="1786" w:type="dxa"/>
            <w:tcBorders>
              <w:top w:val="single" w:sz="8" w:space="0" w:color="auto"/>
              <w:left w:val="nil"/>
              <w:bottom w:val="single" w:sz="4" w:space="0" w:color="auto"/>
              <w:right w:val="single" w:sz="8" w:space="0" w:color="auto"/>
            </w:tcBorders>
            <w:noWrap/>
            <w:tcMar>
              <w:top w:w="0" w:type="dxa"/>
              <w:left w:w="108" w:type="dxa"/>
              <w:bottom w:w="0" w:type="dxa"/>
              <w:right w:w="108" w:type="dxa"/>
            </w:tcMar>
            <w:hideMark/>
          </w:tcPr>
          <w:p w14:paraId="48B96CE6" w14:textId="77777777" w:rsidR="005F2528" w:rsidRPr="00C968CE" w:rsidRDefault="005F2528" w:rsidP="00C968CE">
            <w:pPr>
              <w:spacing w:line="240" w:lineRule="auto"/>
              <w:rPr>
                <w:rFonts w:cs="Arial"/>
                <w:szCs w:val="20"/>
                <w:lang w:eastAsia="en-US"/>
              </w:rPr>
            </w:pPr>
          </w:p>
        </w:tc>
      </w:tr>
    </w:tbl>
    <w:p w14:paraId="145C2517" w14:textId="77777777" w:rsidR="005F2528" w:rsidRPr="00C968CE" w:rsidRDefault="005F2528" w:rsidP="00C968CE">
      <w:pPr>
        <w:spacing w:before="240" w:after="120" w:line="240" w:lineRule="auto"/>
        <w:rPr>
          <w:rFonts w:cs="Arial"/>
          <w:szCs w:val="20"/>
        </w:rPr>
      </w:pPr>
      <w:r w:rsidRPr="00C968CE">
        <w:rPr>
          <w:rFonts w:cs="Arial"/>
          <w:szCs w:val="20"/>
        </w:rPr>
        <w:t>Tablica 17. Wymagania wobec taśm bitumicznych</w:t>
      </w:r>
    </w:p>
    <w:tbl>
      <w:tblPr>
        <w:tblW w:w="0" w:type="auto"/>
        <w:tblCellMar>
          <w:left w:w="0" w:type="dxa"/>
          <w:right w:w="0" w:type="dxa"/>
        </w:tblCellMar>
        <w:tblLook w:val="04A0" w:firstRow="1" w:lastRow="0" w:firstColumn="1" w:lastColumn="0" w:noHBand="0" w:noVBand="1"/>
      </w:tblPr>
      <w:tblGrid>
        <w:gridCol w:w="2231"/>
        <w:gridCol w:w="2232"/>
        <w:gridCol w:w="2232"/>
        <w:gridCol w:w="2232"/>
      </w:tblGrid>
      <w:tr w:rsidR="005F2528" w:rsidRPr="00C968CE" w14:paraId="7FC9D0DC" w14:textId="77777777" w:rsidTr="005F2528">
        <w:tc>
          <w:tcPr>
            <w:tcW w:w="2231"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2E079B2E" w14:textId="77777777" w:rsidR="005F2528" w:rsidRPr="00C968CE" w:rsidRDefault="005F2528" w:rsidP="00C968CE">
            <w:pPr>
              <w:spacing w:before="120" w:after="120" w:line="240" w:lineRule="auto"/>
              <w:rPr>
                <w:rFonts w:cs="Arial"/>
                <w:szCs w:val="20"/>
              </w:rPr>
            </w:pPr>
            <w:r w:rsidRPr="00C968CE">
              <w:rPr>
                <w:rFonts w:cs="Arial"/>
                <w:szCs w:val="20"/>
              </w:rPr>
              <w:t>Właściwość</w:t>
            </w:r>
          </w:p>
        </w:tc>
        <w:tc>
          <w:tcPr>
            <w:tcW w:w="2232"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74D8F38C" w14:textId="77777777" w:rsidR="005F2528" w:rsidRPr="00C968CE" w:rsidRDefault="005F2528" w:rsidP="00C968CE">
            <w:pPr>
              <w:spacing w:before="120" w:after="120" w:line="240" w:lineRule="auto"/>
              <w:rPr>
                <w:rFonts w:cs="Arial"/>
                <w:szCs w:val="20"/>
              </w:rPr>
            </w:pPr>
            <w:r w:rsidRPr="00C968CE">
              <w:rPr>
                <w:rFonts w:cs="Arial"/>
                <w:szCs w:val="20"/>
              </w:rPr>
              <w:t>Metoda badawcza</w:t>
            </w:r>
          </w:p>
        </w:tc>
        <w:tc>
          <w:tcPr>
            <w:tcW w:w="2232"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420438C5" w14:textId="77777777" w:rsidR="005F2528" w:rsidRPr="00C968CE" w:rsidRDefault="005F2528" w:rsidP="00C968CE">
            <w:pPr>
              <w:spacing w:before="120" w:after="120" w:line="240" w:lineRule="auto"/>
              <w:rPr>
                <w:rFonts w:cs="Arial"/>
                <w:szCs w:val="20"/>
              </w:rPr>
            </w:pPr>
            <w:r w:rsidRPr="00C968CE">
              <w:rPr>
                <w:rFonts w:cs="Arial"/>
                <w:szCs w:val="20"/>
              </w:rPr>
              <w:t>Dodatkowy opis warunków badania</w:t>
            </w:r>
          </w:p>
        </w:tc>
        <w:tc>
          <w:tcPr>
            <w:tcW w:w="2232"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3702C199" w14:textId="77777777" w:rsidR="005F2528" w:rsidRPr="00C968CE" w:rsidRDefault="005F2528" w:rsidP="00C968CE">
            <w:pPr>
              <w:spacing w:before="120" w:after="120" w:line="240" w:lineRule="auto"/>
              <w:rPr>
                <w:rFonts w:cs="Arial"/>
                <w:szCs w:val="20"/>
              </w:rPr>
            </w:pPr>
            <w:r w:rsidRPr="00C968CE">
              <w:rPr>
                <w:rFonts w:cs="Arial"/>
                <w:szCs w:val="20"/>
              </w:rPr>
              <w:t>Wymaganie</w:t>
            </w:r>
          </w:p>
        </w:tc>
      </w:tr>
      <w:tr w:rsidR="005F2528" w:rsidRPr="00C968CE" w14:paraId="3DBC4080" w14:textId="77777777" w:rsidTr="005F2528">
        <w:tc>
          <w:tcPr>
            <w:tcW w:w="2231"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C5E96A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mięknienia PiK</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53C6AC4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1427 [22]</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07CC2CB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3EDCF55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≥90°C</w:t>
            </w:r>
          </w:p>
        </w:tc>
      </w:tr>
      <w:tr w:rsidR="005F2528" w:rsidRPr="00C968CE" w14:paraId="30545F85" w14:textId="77777777" w:rsidTr="005F2528">
        <w:tc>
          <w:tcPr>
            <w:tcW w:w="2231"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A03560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Penetracja stożkiem</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6D090B9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13880-2[71]</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0F0F464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5806D25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20 do 50</w:t>
            </w:r>
          </w:p>
          <w:p w14:paraId="18C09D0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1/10 mm</w:t>
            </w:r>
          </w:p>
        </w:tc>
      </w:tr>
      <w:tr w:rsidR="005F2528" w:rsidRPr="00C968CE" w14:paraId="136FBE5E" w14:textId="77777777" w:rsidTr="005F2528">
        <w:tc>
          <w:tcPr>
            <w:tcW w:w="2231"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FE14C9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Odprężenie sprężyste (odbojność)</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7143ACB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13880-3[72]</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4C46F33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58ECE73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 do 30%</w:t>
            </w:r>
          </w:p>
        </w:tc>
      </w:tr>
      <w:tr w:rsidR="005F2528" w:rsidRPr="00C968CE" w14:paraId="752D41B2" w14:textId="77777777" w:rsidTr="005F2528">
        <w:tc>
          <w:tcPr>
            <w:tcW w:w="2231"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40E6E04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Zginanie na zimno</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7436221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DIN 52123[76]</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5BC6853A"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 xml:space="preserve">test odcinka taśmy o długości 20 cm w temperaturze 0°C </w:t>
            </w:r>
          </w:p>
          <w:p w14:paraId="69F1D6D0"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 xml:space="preserve">badanie po 24 godzinnym </w:t>
            </w:r>
          </w:p>
          <w:p w14:paraId="7DCAD41B"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 xml:space="preserve">kondycjonowaniu </w:t>
            </w:r>
          </w:p>
          <w:p w14:paraId="69381B3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287A417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Bez pęknięcia</w:t>
            </w:r>
          </w:p>
        </w:tc>
      </w:tr>
      <w:tr w:rsidR="005F2528" w:rsidRPr="00C968CE" w14:paraId="79A368C4" w14:textId="77777777" w:rsidTr="005F2528">
        <w:tc>
          <w:tcPr>
            <w:tcW w:w="2231"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43E4BF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Możliwość wydłużenia oraz przyczepności taśmy</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44F517C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SNV 671 920</w:t>
            </w:r>
          </w:p>
          <w:p w14:paraId="099DE6F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13880-13 [75])</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09B34C8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W temperaturze </w:t>
            </w:r>
          </w:p>
          <w:p w14:paraId="3E8ACD7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-10°C</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6DF9884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p w14:paraId="18EDE62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 N/mm</w:t>
            </w:r>
            <w:r w:rsidRPr="00C968CE">
              <w:rPr>
                <w:rFonts w:cs="Arial"/>
                <w:szCs w:val="20"/>
                <w:vertAlign w:val="superscript"/>
              </w:rPr>
              <w:t>2</w:t>
            </w:r>
          </w:p>
        </w:tc>
      </w:tr>
      <w:tr w:rsidR="005F2528" w:rsidRPr="00C968CE" w14:paraId="20C9A7F5" w14:textId="77777777" w:rsidTr="005F2528">
        <w:tc>
          <w:tcPr>
            <w:tcW w:w="2231"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0CF7180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Możliwość wydłużenia oraz przyczepności taśmy po starzeniu termicznym</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7E624D1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SNV 671 920</w:t>
            </w:r>
          </w:p>
          <w:p w14:paraId="1C3539B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13880-13 [75])</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40F2DAF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W temperaturze </w:t>
            </w:r>
          </w:p>
          <w:p w14:paraId="3FC83C1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-10°C</w:t>
            </w:r>
          </w:p>
        </w:tc>
        <w:tc>
          <w:tcPr>
            <w:tcW w:w="2232" w:type="dxa"/>
            <w:tcBorders>
              <w:top w:val="nil"/>
              <w:left w:val="nil"/>
              <w:bottom w:val="single" w:sz="8" w:space="0" w:color="auto"/>
              <w:right w:val="single" w:sz="8" w:space="0" w:color="auto"/>
            </w:tcBorders>
            <w:noWrap/>
            <w:tcMar>
              <w:top w:w="0" w:type="dxa"/>
              <w:left w:w="108" w:type="dxa"/>
              <w:bottom w:w="0" w:type="dxa"/>
              <w:right w:w="108" w:type="dxa"/>
            </w:tcMar>
            <w:hideMark/>
          </w:tcPr>
          <w:p w14:paraId="7FB6BEF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Należy podać wynik</w:t>
            </w:r>
          </w:p>
        </w:tc>
      </w:tr>
    </w:tbl>
    <w:p w14:paraId="733D36BF" w14:textId="77777777" w:rsidR="005F2528" w:rsidRPr="00C968CE" w:rsidRDefault="005F2528" w:rsidP="00C968CE">
      <w:pPr>
        <w:spacing w:before="240" w:after="120" w:line="240" w:lineRule="auto"/>
        <w:rPr>
          <w:rFonts w:cs="Arial"/>
          <w:szCs w:val="20"/>
        </w:rPr>
      </w:pPr>
      <w:r w:rsidRPr="00C968CE">
        <w:rPr>
          <w:rFonts w:cs="Arial"/>
          <w:szCs w:val="20"/>
        </w:rPr>
        <w:t>Tablica 18. Wymagania wobec past asfaltowych na zimno na bazie emulsji</w:t>
      </w:r>
    </w:p>
    <w:tbl>
      <w:tblPr>
        <w:tblW w:w="0" w:type="auto"/>
        <w:tblCellMar>
          <w:left w:w="0" w:type="dxa"/>
          <w:right w:w="0" w:type="dxa"/>
        </w:tblCellMar>
        <w:tblLook w:val="04A0" w:firstRow="1" w:lastRow="0" w:firstColumn="1" w:lastColumn="0" w:noHBand="0" w:noVBand="1"/>
      </w:tblPr>
      <w:tblGrid>
        <w:gridCol w:w="2975"/>
        <w:gridCol w:w="2976"/>
        <w:gridCol w:w="2976"/>
      </w:tblGrid>
      <w:tr w:rsidR="005F2528" w:rsidRPr="00C968CE" w14:paraId="1939B0BC" w14:textId="77777777" w:rsidTr="005F2528">
        <w:tc>
          <w:tcPr>
            <w:tcW w:w="2975"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0E6A27F0" w14:textId="77777777" w:rsidR="005F2528" w:rsidRPr="00C968CE" w:rsidRDefault="005F2528" w:rsidP="00C968CE">
            <w:pPr>
              <w:spacing w:before="120" w:after="120" w:line="240" w:lineRule="auto"/>
              <w:rPr>
                <w:rFonts w:cs="Arial"/>
                <w:szCs w:val="20"/>
              </w:rPr>
            </w:pPr>
            <w:r w:rsidRPr="00C968CE">
              <w:rPr>
                <w:rFonts w:cs="Arial"/>
                <w:szCs w:val="20"/>
              </w:rPr>
              <w:t>Właściwość</w:t>
            </w:r>
          </w:p>
        </w:tc>
        <w:tc>
          <w:tcPr>
            <w:tcW w:w="2976"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198AE10E" w14:textId="77777777" w:rsidR="005F2528" w:rsidRPr="00C968CE" w:rsidRDefault="005F2528" w:rsidP="00C968CE">
            <w:pPr>
              <w:spacing w:before="120" w:after="120" w:line="240" w:lineRule="auto"/>
              <w:rPr>
                <w:rFonts w:cs="Arial"/>
                <w:szCs w:val="20"/>
              </w:rPr>
            </w:pPr>
            <w:r w:rsidRPr="00C968CE">
              <w:rPr>
                <w:rFonts w:cs="Arial"/>
                <w:szCs w:val="20"/>
              </w:rPr>
              <w:t>Metoda badawcza</w:t>
            </w:r>
          </w:p>
        </w:tc>
        <w:tc>
          <w:tcPr>
            <w:tcW w:w="2976"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7FE898C5" w14:textId="77777777" w:rsidR="005F2528" w:rsidRPr="00C968CE" w:rsidRDefault="005F2528" w:rsidP="00C968CE">
            <w:pPr>
              <w:spacing w:before="120" w:after="120" w:line="240" w:lineRule="auto"/>
              <w:rPr>
                <w:rFonts w:cs="Arial"/>
                <w:szCs w:val="20"/>
              </w:rPr>
            </w:pPr>
            <w:r w:rsidRPr="00C968CE">
              <w:rPr>
                <w:rFonts w:cs="Arial"/>
                <w:szCs w:val="20"/>
              </w:rPr>
              <w:t>Wymaganie</w:t>
            </w:r>
          </w:p>
        </w:tc>
      </w:tr>
      <w:tr w:rsidR="005F2528" w:rsidRPr="00C968CE" w14:paraId="08EC6D88"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53DD6D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Ocena organoleptyczna</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4066E47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1425 [77]</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4656BF0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Pasta</w:t>
            </w:r>
          </w:p>
        </w:tc>
      </w:tr>
      <w:tr w:rsidR="005F2528" w:rsidRPr="00C968CE" w14:paraId="13E1D16C"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132AE0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Odporność na spływanie</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404B488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13880-5 [73]</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2329C11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Nie spływa</w:t>
            </w:r>
          </w:p>
        </w:tc>
      </w:tr>
      <w:tr w:rsidR="005F2528" w:rsidRPr="00C968CE" w14:paraId="7FE088CA"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92BE0F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wody</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03616D0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1428 [78]</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4BA123A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 m/m</w:t>
            </w:r>
          </w:p>
        </w:tc>
      </w:tr>
      <w:tr w:rsidR="005F2528" w:rsidRPr="00C968CE" w14:paraId="0709050F" w14:textId="77777777" w:rsidTr="005F2528">
        <w:tc>
          <w:tcPr>
            <w:tcW w:w="8927" w:type="dxa"/>
            <w:gridSpan w:val="3"/>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3EC9B2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Właściwości odzyskanego i ustabilizowanego lepiszcza: PN-EN 13074-1 [79] lub PN-EN 13074-2 [80]</w:t>
            </w:r>
          </w:p>
        </w:tc>
      </w:tr>
      <w:tr w:rsidR="005F2528" w:rsidRPr="00C968CE" w14:paraId="35436AEA"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0013B46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mięknienia PiK</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0EFD278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1427[22]</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20E2BB9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≥70°C</w:t>
            </w:r>
          </w:p>
        </w:tc>
      </w:tr>
    </w:tbl>
    <w:p w14:paraId="76695936" w14:textId="77777777" w:rsidR="005F2528" w:rsidRPr="00C968CE" w:rsidRDefault="005F2528" w:rsidP="00C968CE">
      <w:pPr>
        <w:spacing w:before="240" w:after="120" w:line="240" w:lineRule="auto"/>
        <w:rPr>
          <w:rFonts w:cs="Arial"/>
          <w:szCs w:val="20"/>
        </w:rPr>
      </w:pPr>
      <w:r w:rsidRPr="00C968CE">
        <w:rPr>
          <w:rFonts w:cs="Arial"/>
          <w:szCs w:val="20"/>
        </w:rPr>
        <w:t>Tablica 19.    Wymagania wobec past asfaltowych na gorąco na bazie asfaltu modyfikowanego polimerami</w:t>
      </w:r>
    </w:p>
    <w:tbl>
      <w:tblPr>
        <w:tblW w:w="0" w:type="auto"/>
        <w:tblCellMar>
          <w:left w:w="0" w:type="dxa"/>
          <w:right w:w="0" w:type="dxa"/>
        </w:tblCellMar>
        <w:tblLook w:val="04A0" w:firstRow="1" w:lastRow="0" w:firstColumn="1" w:lastColumn="0" w:noHBand="0" w:noVBand="1"/>
      </w:tblPr>
      <w:tblGrid>
        <w:gridCol w:w="2975"/>
        <w:gridCol w:w="2976"/>
        <w:gridCol w:w="2976"/>
      </w:tblGrid>
      <w:tr w:rsidR="005F2528" w:rsidRPr="00C968CE" w14:paraId="4E35102E" w14:textId="77777777" w:rsidTr="005F2528">
        <w:tc>
          <w:tcPr>
            <w:tcW w:w="2975"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42907463" w14:textId="77777777" w:rsidR="005F2528" w:rsidRPr="00C968CE" w:rsidRDefault="005F2528" w:rsidP="00C968CE">
            <w:pPr>
              <w:spacing w:before="120" w:after="120" w:line="240" w:lineRule="auto"/>
              <w:rPr>
                <w:rFonts w:cs="Arial"/>
                <w:szCs w:val="20"/>
              </w:rPr>
            </w:pPr>
            <w:r w:rsidRPr="00C968CE">
              <w:rPr>
                <w:rFonts w:cs="Arial"/>
                <w:szCs w:val="20"/>
              </w:rPr>
              <w:t>Właściwość</w:t>
            </w:r>
          </w:p>
        </w:tc>
        <w:tc>
          <w:tcPr>
            <w:tcW w:w="2976"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3ACDD8E6" w14:textId="77777777" w:rsidR="005F2528" w:rsidRPr="00C968CE" w:rsidRDefault="005F2528" w:rsidP="00C968CE">
            <w:pPr>
              <w:spacing w:before="120" w:after="120" w:line="240" w:lineRule="auto"/>
              <w:rPr>
                <w:rFonts w:cs="Arial"/>
                <w:szCs w:val="20"/>
              </w:rPr>
            </w:pPr>
            <w:r w:rsidRPr="00C968CE">
              <w:rPr>
                <w:rFonts w:cs="Arial"/>
                <w:szCs w:val="20"/>
              </w:rPr>
              <w:t>Metoda badawcza</w:t>
            </w:r>
          </w:p>
        </w:tc>
        <w:tc>
          <w:tcPr>
            <w:tcW w:w="2976"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606CEB8" w14:textId="77777777" w:rsidR="005F2528" w:rsidRPr="00C968CE" w:rsidRDefault="005F2528" w:rsidP="00C968CE">
            <w:pPr>
              <w:spacing w:before="120" w:after="120" w:line="240" w:lineRule="auto"/>
              <w:rPr>
                <w:rFonts w:cs="Arial"/>
                <w:szCs w:val="20"/>
              </w:rPr>
            </w:pPr>
            <w:r w:rsidRPr="00C968CE">
              <w:rPr>
                <w:rFonts w:cs="Arial"/>
                <w:szCs w:val="20"/>
              </w:rPr>
              <w:t>Wymaganie</w:t>
            </w:r>
          </w:p>
        </w:tc>
      </w:tr>
      <w:tr w:rsidR="005F2528" w:rsidRPr="00C968CE" w14:paraId="098D21DF"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4BA9C6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Zachowanie przy temperaturze lejności</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660F50F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13880-6 [74]</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74A2185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Homogeniczny</w:t>
            </w:r>
          </w:p>
        </w:tc>
      </w:tr>
      <w:tr w:rsidR="005F2528" w:rsidRPr="00C968CE" w14:paraId="4C5BA8F3"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06590E2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Temperatura mięknienia PiK</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2180B31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1427 [22]</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6163CA7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≥80°C</w:t>
            </w:r>
          </w:p>
        </w:tc>
      </w:tr>
      <w:tr w:rsidR="005F2528" w:rsidRPr="00C968CE" w14:paraId="7154C558"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36D4B1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Penetracja stożkiem w 25°C, 5 s, 150 g</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42E5AE6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PN-EN 13880-2 [71]</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005FABF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30 do 60  0,1 mm</w:t>
            </w:r>
          </w:p>
        </w:tc>
      </w:tr>
      <w:tr w:rsidR="005F2528" w:rsidRPr="00C968CE" w14:paraId="719F0DD7"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C23BE0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Odporność na spływanie</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623DDA8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13880-5 [73]</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79F61C0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 mm</w:t>
            </w:r>
          </w:p>
        </w:tc>
      </w:tr>
      <w:tr w:rsidR="005F2528" w:rsidRPr="00C968CE" w14:paraId="7F23B305"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DE2D95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Odprężenie sprężyste (odbojność)</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02B85ED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13380-3 [72]</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761AD9D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10-50%</w:t>
            </w:r>
          </w:p>
        </w:tc>
      </w:tr>
      <w:tr w:rsidR="005F2528" w:rsidRPr="00C968CE" w14:paraId="59AACABC" w14:textId="77777777" w:rsidTr="005F2528">
        <w:tc>
          <w:tcPr>
            <w:tcW w:w="297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797B44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Wydłużenie nieciągłe (próba przyczepności ), po 5 h, -10°C</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31EC3CE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13880-13 [75]</w:t>
            </w:r>
          </w:p>
        </w:tc>
        <w:tc>
          <w:tcPr>
            <w:tcW w:w="2976" w:type="dxa"/>
            <w:tcBorders>
              <w:top w:val="nil"/>
              <w:left w:val="nil"/>
              <w:bottom w:val="single" w:sz="8" w:space="0" w:color="auto"/>
              <w:right w:val="single" w:sz="8" w:space="0" w:color="auto"/>
            </w:tcBorders>
            <w:noWrap/>
            <w:tcMar>
              <w:top w:w="0" w:type="dxa"/>
              <w:left w:w="108" w:type="dxa"/>
              <w:bottom w:w="0" w:type="dxa"/>
              <w:right w:w="108" w:type="dxa"/>
            </w:tcMar>
            <w:hideMark/>
          </w:tcPr>
          <w:p w14:paraId="4EE8F80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 mm</w:t>
            </w:r>
          </w:p>
          <w:p w14:paraId="5A7F1DE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≤0,75 N/mm</w:t>
            </w:r>
            <w:r w:rsidRPr="00C968CE">
              <w:rPr>
                <w:rFonts w:cs="Arial"/>
                <w:szCs w:val="20"/>
                <w:vertAlign w:val="superscript"/>
              </w:rPr>
              <w:t>2</w:t>
            </w:r>
          </w:p>
        </w:tc>
      </w:tr>
    </w:tbl>
    <w:p w14:paraId="08306165"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w:t>
      </w:r>
    </w:p>
    <w:p w14:paraId="43152407"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Składowanie materiałów termoplastycznych jest dozwolone tylko w oryginalnych opakowaniach producenta, w warunkach określonych w aprobacie technicznej.</w:t>
      </w:r>
    </w:p>
    <w:p w14:paraId="1D13ED32"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Do uszczelnienia krawędzi należy stosować asfalt drogowy wg PN-EN 12591 [24], asfalt modyfikowany polimerami wg PN-EN 14023 [66] „metoda na gorąco”. Dopuszcza się inne rodzaje lepiszcza wg norm lub aprobat technicznych.</w:t>
      </w:r>
    </w:p>
    <w:p w14:paraId="207F6A09"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2.8. Materiały do złączenia warstw konstrukcji</w:t>
      </w:r>
    </w:p>
    <w:p w14:paraId="5313B11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Do złączania warstw konstrukcji podbudowy należy stosować  kationowe emulsje asfaltowe niemodyfikowane lub kationowe emulsje modyfikowane polimerami według aktualnego wydania Załącznika krajowego NA do PN-EN 13808 [64].</w:t>
      </w:r>
    </w:p>
    <w:p w14:paraId="357C8BD4" w14:textId="77777777" w:rsidR="005F2528" w:rsidRPr="00C968CE" w:rsidRDefault="005F2528" w:rsidP="00C968CE">
      <w:pPr>
        <w:autoSpaceDN w:val="0"/>
        <w:spacing w:before="100" w:beforeAutospacing="1" w:after="100" w:afterAutospacing="1" w:line="240" w:lineRule="auto"/>
        <w:ind w:firstLine="709"/>
        <w:rPr>
          <w:rFonts w:cs="Arial"/>
          <w:szCs w:val="20"/>
        </w:rPr>
      </w:pPr>
      <w:r w:rsidRPr="00C968CE">
        <w:rPr>
          <w:rFonts w:cs="Arial"/>
          <w:szCs w:val="20"/>
        </w:rPr>
        <w:t xml:space="preserve">Spośród rodzajów emulsji wymienionych w Załączniku krajowym NA [64a] do normy PN-EN 13808 [64], należy stosować emulsje oznaczone kodem ZM. </w:t>
      </w:r>
    </w:p>
    <w:p w14:paraId="060D15C4"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Właściwości i przeznaczenie emulsji asfaltowych oraz sposób ich składowania opisano w SST D-04.03.01a [2]. </w:t>
      </w:r>
    </w:p>
    <w:p w14:paraId="3F08BA33"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 xml:space="preserve">2.9. Dodatki do mieszanki mineralno-asfaltowej </w:t>
      </w:r>
    </w:p>
    <w:p w14:paraId="4CDC00A2" w14:textId="77777777" w:rsidR="005F2528" w:rsidRPr="00C968CE" w:rsidRDefault="005F2528" w:rsidP="00C968CE">
      <w:pPr>
        <w:spacing w:before="100" w:beforeAutospacing="1" w:after="100" w:afterAutospacing="1" w:line="240" w:lineRule="auto"/>
        <w:ind w:right="-57" w:firstLine="709"/>
        <w:rPr>
          <w:rFonts w:cs="Arial"/>
          <w:szCs w:val="20"/>
        </w:rPr>
      </w:pPr>
      <w:r w:rsidRPr="00C968CE">
        <w:rPr>
          <w:rFonts w:cs="Arial"/>
          <w:szCs w:val="20"/>
        </w:rPr>
        <w:t xml:space="preserve">Mogą być stosowane dodatki stabilizujące lub modyfikujące. Pochodzenie, rodzaj i właściwości dodatków powinny być deklarowane. </w:t>
      </w:r>
    </w:p>
    <w:p w14:paraId="2F1112FB" w14:textId="77777777" w:rsidR="005F2528" w:rsidRPr="00C968CE" w:rsidRDefault="005F2528" w:rsidP="00C968CE">
      <w:pPr>
        <w:spacing w:before="100" w:beforeAutospacing="1" w:after="100" w:afterAutospacing="1" w:line="240" w:lineRule="auto"/>
        <w:ind w:right="-57"/>
        <w:rPr>
          <w:rFonts w:cs="Arial"/>
          <w:szCs w:val="20"/>
        </w:rPr>
      </w:pPr>
      <w:r w:rsidRPr="00C968CE">
        <w:rPr>
          <w:rFonts w:cs="Arial"/>
          <w:szCs w:val="20"/>
        </w:rPr>
        <w:t>Należy używać tylko materiałów składowych o ustalonej przydatności.</w:t>
      </w:r>
    </w:p>
    <w:p w14:paraId="3D11EFA4" w14:textId="77777777" w:rsidR="005F2528" w:rsidRPr="00C968CE" w:rsidRDefault="005F2528" w:rsidP="00C968CE">
      <w:pPr>
        <w:spacing w:before="100" w:beforeAutospacing="1" w:after="100" w:afterAutospacing="1" w:line="240" w:lineRule="auto"/>
        <w:ind w:right="-57" w:firstLine="709"/>
        <w:rPr>
          <w:rFonts w:cs="Arial"/>
          <w:szCs w:val="20"/>
        </w:rPr>
      </w:pPr>
      <w:r w:rsidRPr="00C968CE">
        <w:rPr>
          <w:rFonts w:cs="Arial"/>
          <w:szCs w:val="20"/>
        </w:rPr>
        <w:t xml:space="preserve">Ustalenie przydatności powinno wynikać co najmniej jednego z następujących dokumentów: </w:t>
      </w:r>
    </w:p>
    <w:p w14:paraId="742332DA" w14:textId="77777777" w:rsidR="005F2528" w:rsidRPr="00C968CE" w:rsidRDefault="005F2528" w:rsidP="00C968CE">
      <w:pPr>
        <w:spacing w:before="100" w:beforeAutospacing="1" w:after="100" w:afterAutospacing="1" w:line="240" w:lineRule="auto"/>
        <w:ind w:right="-57"/>
        <w:rPr>
          <w:rFonts w:cs="Arial"/>
          <w:szCs w:val="20"/>
        </w:rPr>
      </w:pPr>
      <w:r w:rsidRPr="00C968CE">
        <w:rPr>
          <w:rFonts w:cs="Arial"/>
          <w:szCs w:val="20"/>
        </w:rPr>
        <w:t>- Normy Europejskiej,</w:t>
      </w:r>
    </w:p>
    <w:p w14:paraId="0562D1F4" w14:textId="77777777" w:rsidR="005F2528" w:rsidRPr="00C968CE" w:rsidRDefault="005F2528" w:rsidP="00C968CE">
      <w:pPr>
        <w:spacing w:before="100" w:beforeAutospacing="1" w:after="100" w:afterAutospacing="1" w:line="240" w:lineRule="auto"/>
        <w:ind w:right="-57"/>
        <w:rPr>
          <w:rFonts w:cs="Arial"/>
          <w:szCs w:val="20"/>
        </w:rPr>
      </w:pPr>
      <w:r w:rsidRPr="00C968CE">
        <w:rPr>
          <w:rFonts w:cs="Arial"/>
          <w:szCs w:val="20"/>
        </w:rPr>
        <w:t>- europejskiej aprobaty technicznej,</w:t>
      </w:r>
    </w:p>
    <w:p w14:paraId="3B1D41C0" w14:textId="77777777" w:rsidR="005F2528" w:rsidRPr="00C968CE" w:rsidRDefault="005F2528" w:rsidP="00C968CE">
      <w:pPr>
        <w:spacing w:before="100" w:beforeAutospacing="1" w:after="100" w:afterAutospacing="1" w:line="240" w:lineRule="auto"/>
        <w:ind w:right="-57"/>
        <w:rPr>
          <w:rFonts w:cs="Arial"/>
          <w:szCs w:val="20"/>
        </w:rPr>
      </w:pPr>
      <w:r w:rsidRPr="00C968CE">
        <w:rPr>
          <w:rFonts w:cs="Arial"/>
          <w:szCs w:val="20"/>
        </w:rPr>
        <w:t>- specyfikacji materiałowych opartych na potwierdzonych pozytywnych zastosowaniach w nawierzchniach asfaltowych.  </w:t>
      </w:r>
    </w:p>
    <w:p w14:paraId="6C7040DC" w14:textId="77777777" w:rsidR="005F2528" w:rsidRPr="00C968CE" w:rsidRDefault="005F2528" w:rsidP="00C968CE">
      <w:pPr>
        <w:spacing w:before="100" w:beforeAutospacing="1" w:after="100" w:afterAutospacing="1" w:line="240" w:lineRule="auto"/>
        <w:ind w:right="-57" w:firstLine="709"/>
        <w:rPr>
          <w:rFonts w:cs="Arial"/>
          <w:szCs w:val="20"/>
        </w:rPr>
      </w:pPr>
      <w:r w:rsidRPr="00C968CE">
        <w:rPr>
          <w:rFonts w:cs="Arial"/>
          <w:szCs w:val="20"/>
        </w:rPr>
        <w:t>Wykaz należy dostarczyć w celu udowodnienia przydatności. Wykaz może być oparty na badaniach w połączeniu z dowodami w praktyce.</w:t>
      </w:r>
    </w:p>
    <w:p w14:paraId="29751728" w14:textId="77777777" w:rsidR="005F2528" w:rsidRPr="00C968CE" w:rsidRDefault="005F2528" w:rsidP="00C968CE">
      <w:pPr>
        <w:spacing w:before="100" w:beforeAutospacing="1" w:after="100" w:afterAutospacing="1" w:line="240" w:lineRule="auto"/>
        <w:ind w:right="-57" w:firstLine="709"/>
        <w:rPr>
          <w:rFonts w:cs="Arial"/>
          <w:szCs w:val="20"/>
        </w:rPr>
      </w:pPr>
      <w:r w:rsidRPr="00C968CE">
        <w:rPr>
          <w:rFonts w:cs="Arial"/>
          <w:szCs w:val="20"/>
        </w:rPr>
        <w:t>Zaleca się stosowanie do mieszanki mineralno-asfaltowej środka obniżającego temperaturę produkcji i układania.  </w:t>
      </w:r>
    </w:p>
    <w:p w14:paraId="0C062E47" w14:textId="77777777" w:rsidR="005F2528" w:rsidRPr="00C968CE" w:rsidRDefault="005F2528" w:rsidP="00C968CE">
      <w:pPr>
        <w:spacing w:before="100" w:beforeAutospacing="1" w:after="100" w:afterAutospacing="1" w:line="240" w:lineRule="auto"/>
        <w:ind w:right="-57" w:firstLine="709"/>
        <w:rPr>
          <w:rFonts w:cs="Arial"/>
          <w:szCs w:val="20"/>
        </w:rPr>
      </w:pPr>
      <w:r w:rsidRPr="00C968CE">
        <w:rPr>
          <w:rFonts w:cs="Arial"/>
          <w:szCs w:val="20"/>
        </w:rPr>
        <w:t xml:space="preserve">Do mieszanki mineralno-asfaltowej  może być stosowany dodatek asfaltu naturalnego wg PN-EN 13108-4 [52], załącznik B. </w:t>
      </w:r>
    </w:p>
    <w:p w14:paraId="642A1DFA"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 xml:space="preserve">2.10. Skład mieszanki mineralno-asfaltowej </w:t>
      </w:r>
    </w:p>
    <w:p w14:paraId="3ECCE4E6"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Skład mieszanki mineralno-asfaltowej powinien być ustalony na podstawie badań próbek wykonanych zgodnie z normą PN-EN 13108-20 [54], załącznik C oraz normami powiązanymi. </w:t>
      </w:r>
    </w:p>
    <w:p w14:paraId="557626AB"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Uziarnienie mieszanki mineralnej oraz minimalna zawartość lepiszcza podane są w tablicy 20. </w:t>
      </w:r>
    </w:p>
    <w:p w14:paraId="30B6432A"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Próbki powinny spełniać wymagania podane w tablicach 21, 22 i 23, w zależności od kategorii ruchu jak i zawartości asfaltu B</w:t>
      </w:r>
      <w:r w:rsidRPr="00C968CE">
        <w:rPr>
          <w:rFonts w:cs="Arial"/>
          <w:szCs w:val="20"/>
          <w:vertAlign w:val="subscript"/>
        </w:rPr>
        <w:t>min</w:t>
      </w:r>
      <w:r w:rsidRPr="00C968CE">
        <w:rPr>
          <w:rFonts w:cs="Arial"/>
          <w:szCs w:val="20"/>
        </w:rPr>
        <w:t xml:space="preserve"> i temperatur zagęszczania próbek. </w:t>
      </w:r>
    </w:p>
    <w:p w14:paraId="5B3B8251" w14:textId="77777777" w:rsidR="005F2528" w:rsidRPr="00C968CE" w:rsidRDefault="005F2528" w:rsidP="00C968CE">
      <w:pPr>
        <w:spacing w:before="120" w:after="120" w:line="240" w:lineRule="auto"/>
        <w:ind w:left="1134" w:hanging="1134"/>
        <w:rPr>
          <w:rFonts w:cs="Arial"/>
          <w:szCs w:val="20"/>
        </w:rPr>
      </w:pPr>
      <w:r w:rsidRPr="00C968CE">
        <w:rPr>
          <w:rFonts w:cs="Arial"/>
          <w:szCs w:val="20"/>
        </w:rPr>
        <w:lastRenderedPageBreak/>
        <w:t xml:space="preserve">Tablica 20.  Uziarnienie mieszanki mineralnej oraz zawartość lepiszcza do betonu asfaltowego do warstwy podbudowy dla ruchu KR1÷KR7 </w:t>
      </w:r>
    </w:p>
    <w:tbl>
      <w:tblPr>
        <w:tblW w:w="0" w:type="auto"/>
        <w:tblCellMar>
          <w:left w:w="0" w:type="dxa"/>
          <w:right w:w="0" w:type="dxa"/>
        </w:tblCellMar>
        <w:tblLook w:val="04A0" w:firstRow="1" w:lastRow="0" w:firstColumn="1" w:lastColumn="0" w:noHBand="0" w:noVBand="1"/>
      </w:tblPr>
      <w:tblGrid>
        <w:gridCol w:w="1900"/>
        <w:gridCol w:w="600"/>
        <w:gridCol w:w="700"/>
        <w:gridCol w:w="600"/>
        <w:gridCol w:w="700"/>
        <w:gridCol w:w="600"/>
        <w:gridCol w:w="700"/>
        <w:gridCol w:w="600"/>
        <w:gridCol w:w="700"/>
        <w:gridCol w:w="808"/>
        <w:gridCol w:w="720"/>
      </w:tblGrid>
      <w:tr w:rsidR="005F2528" w:rsidRPr="00C968CE" w14:paraId="1DA330EC" w14:textId="77777777" w:rsidTr="005F2528">
        <w:tc>
          <w:tcPr>
            <w:tcW w:w="1900"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hideMark/>
          </w:tcPr>
          <w:p w14:paraId="1503320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Właściwość</w:t>
            </w:r>
          </w:p>
        </w:tc>
        <w:tc>
          <w:tcPr>
            <w:tcW w:w="6728" w:type="dxa"/>
            <w:gridSpan w:val="10"/>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36A2C66E"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Przesiew,   [% (m/m)]</w:t>
            </w:r>
          </w:p>
        </w:tc>
      </w:tr>
      <w:tr w:rsidR="005F2528" w:rsidRPr="00C968CE" w14:paraId="7B1517CE" w14:textId="77777777" w:rsidTr="005F2528">
        <w:tc>
          <w:tcPr>
            <w:tcW w:w="0" w:type="auto"/>
            <w:vMerge/>
            <w:tcBorders>
              <w:top w:val="single" w:sz="8" w:space="0" w:color="auto"/>
              <w:left w:val="single" w:sz="8" w:space="0" w:color="auto"/>
              <w:bottom w:val="single" w:sz="8" w:space="0" w:color="auto"/>
              <w:right w:val="single" w:sz="8" w:space="0" w:color="auto"/>
            </w:tcBorders>
            <w:vAlign w:val="center"/>
            <w:hideMark/>
          </w:tcPr>
          <w:p w14:paraId="189881BD" w14:textId="77777777" w:rsidR="005F2528" w:rsidRPr="00C968CE" w:rsidRDefault="005F2528" w:rsidP="00C968CE">
            <w:pPr>
              <w:spacing w:line="240" w:lineRule="auto"/>
              <w:rPr>
                <w:rFonts w:cs="Arial"/>
                <w:szCs w:val="20"/>
              </w:rPr>
            </w:pPr>
          </w:p>
        </w:tc>
        <w:tc>
          <w:tcPr>
            <w:tcW w:w="1300"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2DB5E56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AC16P</w:t>
            </w:r>
          </w:p>
          <w:p w14:paraId="362DC38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KR1-KR2</w:t>
            </w:r>
          </w:p>
        </w:tc>
        <w:tc>
          <w:tcPr>
            <w:tcW w:w="1300"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14B22314"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AC22P</w:t>
            </w:r>
          </w:p>
          <w:p w14:paraId="10F8695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KR1-KR2</w:t>
            </w:r>
          </w:p>
        </w:tc>
        <w:tc>
          <w:tcPr>
            <w:tcW w:w="1300"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24EF105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AC16P</w:t>
            </w:r>
          </w:p>
          <w:p w14:paraId="0252C79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KR3-KR7</w:t>
            </w:r>
          </w:p>
        </w:tc>
        <w:tc>
          <w:tcPr>
            <w:tcW w:w="1300"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3CC02B4C"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AC22P</w:t>
            </w:r>
          </w:p>
          <w:p w14:paraId="3349DFF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KR3-KR7</w:t>
            </w:r>
          </w:p>
        </w:tc>
        <w:tc>
          <w:tcPr>
            <w:tcW w:w="1528"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34222A60"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AC32P</w:t>
            </w:r>
          </w:p>
          <w:p w14:paraId="1DC07354"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KR3-KR-7</w:t>
            </w:r>
          </w:p>
        </w:tc>
      </w:tr>
      <w:tr w:rsidR="005F2528" w:rsidRPr="00C968CE" w14:paraId="41A62722"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33F462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Wymiar sita #, [mm]</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5D740E6D" w14:textId="77777777" w:rsidR="005F2528" w:rsidRPr="00C968CE" w:rsidRDefault="005F2528" w:rsidP="00C968CE">
            <w:pPr>
              <w:spacing w:before="120" w:after="100" w:afterAutospacing="1" w:line="240" w:lineRule="auto"/>
              <w:rPr>
                <w:rFonts w:cs="Arial"/>
                <w:szCs w:val="20"/>
              </w:rPr>
            </w:pPr>
            <w:r w:rsidRPr="00C968CE">
              <w:rPr>
                <w:rFonts w:cs="Arial"/>
                <w:szCs w:val="20"/>
              </w:rPr>
              <w:t>od</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485A62F5" w14:textId="77777777" w:rsidR="005F2528" w:rsidRPr="00C968CE" w:rsidRDefault="005F2528" w:rsidP="00C968CE">
            <w:pPr>
              <w:spacing w:before="120" w:after="100" w:afterAutospacing="1" w:line="240" w:lineRule="auto"/>
              <w:rPr>
                <w:rFonts w:cs="Arial"/>
                <w:szCs w:val="20"/>
              </w:rPr>
            </w:pPr>
            <w:r w:rsidRPr="00C968CE">
              <w:rPr>
                <w:rFonts w:cs="Arial"/>
                <w:szCs w:val="20"/>
              </w:rPr>
              <w:t>do</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4E933868" w14:textId="77777777" w:rsidR="005F2528" w:rsidRPr="00C968CE" w:rsidRDefault="005F2528" w:rsidP="00C968CE">
            <w:pPr>
              <w:spacing w:before="120" w:after="100" w:afterAutospacing="1" w:line="240" w:lineRule="auto"/>
              <w:rPr>
                <w:rFonts w:cs="Arial"/>
                <w:szCs w:val="20"/>
              </w:rPr>
            </w:pPr>
            <w:r w:rsidRPr="00C968CE">
              <w:rPr>
                <w:rFonts w:cs="Arial"/>
                <w:szCs w:val="20"/>
              </w:rPr>
              <w:t>Od</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00E7BABD" w14:textId="77777777" w:rsidR="005F2528" w:rsidRPr="00C968CE" w:rsidRDefault="005F2528" w:rsidP="00C968CE">
            <w:pPr>
              <w:spacing w:before="120" w:line="240" w:lineRule="auto"/>
              <w:ind w:left="70"/>
              <w:rPr>
                <w:rFonts w:cs="Arial"/>
                <w:szCs w:val="20"/>
              </w:rPr>
            </w:pPr>
            <w:r w:rsidRPr="00C968CE">
              <w:rPr>
                <w:rFonts w:cs="Arial"/>
                <w:szCs w:val="20"/>
              </w:rPr>
              <w:t>Do</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54F386AD" w14:textId="77777777" w:rsidR="005F2528" w:rsidRPr="00C968CE" w:rsidRDefault="005F2528" w:rsidP="00C968CE">
            <w:pPr>
              <w:spacing w:before="120" w:after="100" w:afterAutospacing="1" w:line="240" w:lineRule="auto"/>
              <w:rPr>
                <w:rFonts w:cs="Arial"/>
                <w:szCs w:val="20"/>
              </w:rPr>
            </w:pPr>
            <w:r w:rsidRPr="00C968CE">
              <w:rPr>
                <w:rFonts w:cs="Arial"/>
                <w:szCs w:val="20"/>
              </w:rPr>
              <w:t>od</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1D828686" w14:textId="77777777" w:rsidR="005F2528" w:rsidRPr="00C968CE" w:rsidRDefault="005F2528" w:rsidP="00C968CE">
            <w:pPr>
              <w:spacing w:before="120" w:after="100" w:afterAutospacing="1" w:line="240" w:lineRule="auto"/>
              <w:rPr>
                <w:rFonts w:cs="Arial"/>
                <w:szCs w:val="20"/>
              </w:rPr>
            </w:pPr>
            <w:r w:rsidRPr="00C968CE">
              <w:rPr>
                <w:rFonts w:cs="Arial"/>
                <w:szCs w:val="20"/>
              </w:rPr>
              <w:t>do</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336F824B" w14:textId="77777777" w:rsidR="005F2528" w:rsidRPr="00C968CE" w:rsidRDefault="005F2528" w:rsidP="00C968CE">
            <w:pPr>
              <w:spacing w:before="120" w:after="100" w:afterAutospacing="1" w:line="240" w:lineRule="auto"/>
              <w:rPr>
                <w:rFonts w:cs="Arial"/>
                <w:szCs w:val="20"/>
              </w:rPr>
            </w:pPr>
            <w:r w:rsidRPr="00C968CE">
              <w:rPr>
                <w:rFonts w:cs="Arial"/>
                <w:szCs w:val="20"/>
              </w:rPr>
              <w:t>od</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57E65940" w14:textId="77777777" w:rsidR="005F2528" w:rsidRPr="00C968CE" w:rsidRDefault="005F2528" w:rsidP="00C968CE">
            <w:pPr>
              <w:spacing w:before="120" w:after="100" w:afterAutospacing="1" w:line="240" w:lineRule="auto"/>
              <w:rPr>
                <w:rFonts w:cs="Arial"/>
                <w:szCs w:val="20"/>
              </w:rPr>
            </w:pPr>
            <w:r w:rsidRPr="00C968CE">
              <w:rPr>
                <w:rFonts w:cs="Arial"/>
                <w:szCs w:val="20"/>
              </w:rPr>
              <w:t>Do</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3AFADC91" w14:textId="77777777" w:rsidR="005F2528" w:rsidRPr="00C968CE" w:rsidRDefault="005F2528" w:rsidP="00C968CE">
            <w:pPr>
              <w:autoSpaceDN w:val="0"/>
              <w:spacing w:before="120" w:after="100" w:afterAutospacing="1" w:line="240" w:lineRule="auto"/>
              <w:rPr>
                <w:rFonts w:cs="Arial"/>
                <w:szCs w:val="20"/>
              </w:rPr>
            </w:pPr>
            <w:r w:rsidRPr="00C968CE">
              <w:rPr>
                <w:rFonts w:cs="Arial"/>
                <w:szCs w:val="20"/>
              </w:rPr>
              <w:t>od</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44EC8B3B" w14:textId="77777777" w:rsidR="005F2528" w:rsidRPr="00C968CE" w:rsidRDefault="005F2528" w:rsidP="00C968CE">
            <w:pPr>
              <w:autoSpaceDN w:val="0"/>
              <w:spacing w:before="120" w:after="100" w:afterAutospacing="1" w:line="240" w:lineRule="auto"/>
              <w:rPr>
                <w:rFonts w:cs="Arial"/>
                <w:szCs w:val="20"/>
              </w:rPr>
            </w:pPr>
            <w:r w:rsidRPr="00C968CE">
              <w:rPr>
                <w:rFonts w:cs="Arial"/>
                <w:szCs w:val="20"/>
              </w:rPr>
              <w:t>do</w:t>
            </w:r>
          </w:p>
        </w:tc>
      </w:tr>
      <w:tr w:rsidR="005F2528" w:rsidRPr="00C968CE" w14:paraId="59C0DFC2"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E380EE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45</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679FAB2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7376A43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29873ED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44822B4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50C3EC1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0745BE6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19A6FD5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3650DC3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571D61B4"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100</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1D3A1EEB"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w:t>
            </w:r>
          </w:p>
        </w:tc>
      </w:tr>
      <w:tr w:rsidR="005F2528" w:rsidRPr="00C968CE" w14:paraId="40383C84"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754ECC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31,5</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700C0C7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1948303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016D895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623B8C2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217C861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41300D9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6B857A3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7AAFA56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3F69CE51"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90</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591CC82D"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100</w:t>
            </w:r>
          </w:p>
        </w:tc>
      </w:tr>
      <w:tr w:rsidR="005F2528" w:rsidRPr="00C968CE" w14:paraId="0EA185AF"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4876697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22,4</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01B81DE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0F60A29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094ACCC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159FEA0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100</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32E1FDA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22CD248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32FFD4C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1B924F1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100</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56F16180"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65</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0536492A"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90</w:t>
            </w:r>
          </w:p>
        </w:tc>
      </w:tr>
      <w:tr w:rsidR="005F2528" w:rsidRPr="00C968CE" w14:paraId="56D9D421"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592519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16</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395188A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07F3D38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100</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30075EC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25CBC59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93</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156929A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7E6E8FD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100</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7290946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2F9A0BE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90</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43C7B10D"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5EE01D88"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w:t>
            </w:r>
          </w:p>
        </w:tc>
      </w:tr>
      <w:tr w:rsidR="005F2528" w:rsidRPr="00C968CE" w14:paraId="21806230"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DABDB2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11,2</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4502D62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18DEB3E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92</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32A8193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75DCB96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2FC0D35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1378C2C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85</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1AD5A7D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1194782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07D29850"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3529D941"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w:t>
            </w:r>
          </w:p>
        </w:tc>
      </w:tr>
      <w:tr w:rsidR="005F2528" w:rsidRPr="00C968CE" w14:paraId="2F4929C0"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543A18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1E98ACE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622F0E1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85</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423C43D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42</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1D03BE3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72</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33A50A6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5D8D547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76</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11EDDF1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42</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6D93BC2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68</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57A74092"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33</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466517A7"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53</w:t>
            </w:r>
          </w:p>
        </w:tc>
      </w:tr>
      <w:tr w:rsidR="005F2528" w:rsidRPr="00C968CE" w14:paraId="06B371D2"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4D37A8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601137D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0F98B51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7067CF6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598B938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45</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5AA7936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25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69CEF62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50</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43C68CF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331B96A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45</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44708A12"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10</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2C6DADDB"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40</w:t>
            </w:r>
          </w:p>
        </w:tc>
      </w:tr>
      <w:tr w:rsidR="005F2528" w:rsidRPr="00C968CE" w14:paraId="08528169"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D222EC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0,125</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136A3A1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6D42CF4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13</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3717CC7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270B9EB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13</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03D48FC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5</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0C9C68B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12</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676ACAE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06F74BF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12</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5829740E"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4</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49562191"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12</w:t>
            </w:r>
          </w:p>
        </w:tc>
      </w:tr>
      <w:tr w:rsidR="005F2528" w:rsidRPr="00C968CE" w14:paraId="6B6F477F"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03B426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0,063</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5C70530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5C2DD79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65B4572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527F6B5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7D451CE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4,0</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5F739EC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600" w:type="dxa"/>
            <w:tcBorders>
              <w:top w:val="nil"/>
              <w:left w:val="nil"/>
              <w:bottom w:val="single" w:sz="8" w:space="0" w:color="auto"/>
              <w:right w:val="single" w:sz="8" w:space="0" w:color="auto"/>
            </w:tcBorders>
            <w:noWrap/>
            <w:tcMar>
              <w:top w:w="0" w:type="dxa"/>
              <w:left w:w="108" w:type="dxa"/>
              <w:bottom w:w="0" w:type="dxa"/>
              <w:right w:w="108" w:type="dxa"/>
            </w:tcMar>
            <w:hideMark/>
          </w:tcPr>
          <w:p w14:paraId="719EA9F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4</w:t>
            </w:r>
          </w:p>
        </w:tc>
        <w:tc>
          <w:tcPr>
            <w:tcW w:w="700" w:type="dxa"/>
            <w:tcBorders>
              <w:top w:val="nil"/>
              <w:left w:val="nil"/>
              <w:bottom w:val="single" w:sz="8" w:space="0" w:color="auto"/>
              <w:right w:val="single" w:sz="8" w:space="0" w:color="auto"/>
            </w:tcBorders>
            <w:noWrap/>
            <w:tcMar>
              <w:top w:w="0" w:type="dxa"/>
              <w:left w:w="108" w:type="dxa"/>
              <w:bottom w:w="0" w:type="dxa"/>
              <w:right w:w="108" w:type="dxa"/>
            </w:tcMar>
            <w:hideMark/>
          </w:tcPr>
          <w:p w14:paraId="6EEBE7C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8</w:t>
            </w:r>
          </w:p>
        </w:tc>
        <w:tc>
          <w:tcPr>
            <w:tcW w:w="808" w:type="dxa"/>
            <w:tcBorders>
              <w:top w:val="nil"/>
              <w:left w:val="nil"/>
              <w:bottom w:val="single" w:sz="8" w:space="0" w:color="auto"/>
              <w:right w:val="single" w:sz="8" w:space="0" w:color="auto"/>
            </w:tcBorders>
            <w:noWrap/>
            <w:tcMar>
              <w:top w:w="0" w:type="dxa"/>
              <w:left w:w="108" w:type="dxa"/>
              <w:bottom w:w="0" w:type="dxa"/>
              <w:right w:w="108" w:type="dxa"/>
            </w:tcMar>
            <w:hideMark/>
          </w:tcPr>
          <w:p w14:paraId="6B27EF8C"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3</w:t>
            </w:r>
          </w:p>
        </w:tc>
        <w:tc>
          <w:tcPr>
            <w:tcW w:w="720" w:type="dxa"/>
            <w:tcBorders>
              <w:top w:val="nil"/>
              <w:left w:val="nil"/>
              <w:bottom w:val="single" w:sz="8" w:space="0" w:color="auto"/>
              <w:right w:val="single" w:sz="8" w:space="0" w:color="auto"/>
            </w:tcBorders>
            <w:noWrap/>
            <w:tcMar>
              <w:top w:w="0" w:type="dxa"/>
              <w:left w:w="108" w:type="dxa"/>
              <w:bottom w:w="0" w:type="dxa"/>
              <w:right w:w="108" w:type="dxa"/>
            </w:tcMar>
            <w:hideMark/>
          </w:tcPr>
          <w:p w14:paraId="761DAC7E" w14:textId="77777777" w:rsidR="005F2528" w:rsidRPr="00C968CE" w:rsidRDefault="005F2528" w:rsidP="00C968CE">
            <w:pPr>
              <w:autoSpaceDN w:val="0"/>
              <w:spacing w:before="100" w:beforeAutospacing="1" w:after="100" w:afterAutospacing="1" w:line="240" w:lineRule="auto"/>
              <w:rPr>
                <w:rFonts w:cs="Arial"/>
                <w:szCs w:val="20"/>
              </w:rPr>
            </w:pPr>
            <w:r w:rsidRPr="00C968CE">
              <w:rPr>
                <w:rFonts w:cs="Arial"/>
                <w:szCs w:val="20"/>
              </w:rPr>
              <w:t>7</w:t>
            </w:r>
          </w:p>
        </w:tc>
      </w:tr>
      <w:tr w:rsidR="005F2528" w:rsidRPr="00C968CE" w14:paraId="5C2F670B" w14:textId="77777777" w:rsidTr="005F2528">
        <w:tc>
          <w:tcPr>
            <w:tcW w:w="190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716B85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lepiszcza, minimum</w:t>
            </w:r>
            <w:r w:rsidRPr="00C968CE">
              <w:rPr>
                <w:rFonts w:cs="Arial"/>
                <w:szCs w:val="20"/>
                <w:vertAlign w:val="superscript"/>
              </w:rPr>
              <w:t>*)</w:t>
            </w:r>
          </w:p>
        </w:tc>
        <w:tc>
          <w:tcPr>
            <w:tcW w:w="1300"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2DABB0E9" w14:textId="77777777" w:rsidR="005F2528" w:rsidRPr="00C968CE" w:rsidRDefault="005F2528" w:rsidP="00C968CE">
            <w:pPr>
              <w:spacing w:before="120" w:after="100" w:afterAutospacing="1" w:line="240" w:lineRule="auto"/>
              <w:rPr>
                <w:rFonts w:cs="Arial"/>
                <w:szCs w:val="20"/>
              </w:rPr>
            </w:pPr>
            <w:r w:rsidRPr="00C968CE">
              <w:rPr>
                <w:rFonts w:cs="Arial"/>
                <w:szCs w:val="20"/>
              </w:rPr>
              <w:t>B</w:t>
            </w:r>
            <w:r w:rsidRPr="00C968CE">
              <w:rPr>
                <w:rFonts w:cs="Arial"/>
                <w:szCs w:val="20"/>
                <w:vertAlign w:val="subscript"/>
              </w:rPr>
              <w:t>min4,4</w:t>
            </w:r>
          </w:p>
        </w:tc>
        <w:tc>
          <w:tcPr>
            <w:tcW w:w="1300"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2EAEAE6A" w14:textId="77777777" w:rsidR="005F2528" w:rsidRPr="00C968CE" w:rsidRDefault="005F2528" w:rsidP="00C968CE">
            <w:pPr>
              <w:spacing w:before="120" w:after="100" w:afterAutospacing="1" w:line="240" w:lineRule="auto"/>
              <w:rPr>
                <w:rFonts w:cs="Arial"/>
                <w:szCs w:val="20"/>
              </w:rPr>
            </w:pPr>
            <w:r w:rsidRPr="00C968CE">
              <w:rPr>
                <w:rFonts w:cs="Arial"/>
                <w:szCs w:val="20"/>
              </w:rPr>
              <w:t>B</w:t>
            </w:r>
            <w:r w:rsidRPr="00C968CE">
              <w:rPr>
                <w:rFonts w:cs="Arial"/>
                <w:szCs w:val="20"/>
                <w:vertAlign w:val="subscript"/>
              </w:rPr>
              <w:t>min4,2</w:t>
            </w:r>
          </w:p>
        </w:tc>
        <w:tc>
          <w:tcPr>
            <w:tcW w:w="1300"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7E65F531" w14:textId="77777777" w:rsidR="005F2528" w:rsidRPr="00C968CE" w:rsidRDefault="005F2528" w:rsidP="00C968CE">
            <w:pPr>
              <w:spacing w:before="120" w:after="100" w:afterAutospacing="1" w:line="240" w:lineRule="auto"/>
              <w:rPr>
                <w:rFonts w:cs="Arial"/>
                <w:szCs w:val="20"/>
              </w:rPr>
            </w:pPr>
            <w:r w:rsidRPr="00C968CE">
              <w:rPr>
                <w:rFonts w:cs="Arial"/>
                <w:szCs w:val="20"/>
              </w:rPr>
              <w:t>B</w:t>
            </w:r>
            <w:r w:rsidRPr="00C968CE">
              <w:rPr>
                <w:rFonts w:cs="Arial"/>
                <w:szCs w:val="20"/>
                <w:vertAlign w:val="subscript"/>
              </w:rPr>
              <w:t>min4,2</w:t>
            </w:r>
          </w:p>
        </w:tc>
        <w:tc>
          <w:tcPr>
            <w:tcW w:w="1300"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287C4D17" w14:textId="77777777" w:rsidR="005F2528" w:rsidRPr="00C968CE" w:rsidRDefault="005F2528" w:rsidP="00C968CE">
            <w:pPr>
              <w:spacing w:before="120" w:after="100" w:afterAutospacing="1" w:line="240" w:lineRule="auto"/>
              <w:rPr>
                <w:rFonts w:cs="Arial"/>
                <w:szCs w:val="20"/>
              </w:rPr>
            </w:pPr>
            <w:r w:rsidRPr="00C968CE">
              <w:rPr>
                <w:rFonts w:cs="Arial"/>
                <w:szCs w:val="20"/>
              </w:rPr>
              <w:t>B</w:t>
            </w:r>
            <w:r w:rsidRPr="00C968CE">
              <w:rPr>
                <w:rFonts w:cs="Arial"/>
                <w:szCs w:val="20"/>
                <w:vertAlign w:val="subscript"/>
              </w:rPr>
              <w:t>min4,0</w:t>
            </w:r>
          </w:p>
        </w:tc>
        <w:tc>
          <w:tcPr>
            <w:tcW w:w="1528"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43A64199" w14:textId="77777777" w:rsidR="005F2528" w:rsidRPr="00C968CE" w:rsidRDefault="005F2528" w:rsidP="00C968CE">
            <w:pPr>
              <w:autoSpaceDN w:val="0"/>
              <w:spacing w:before="100" w:beforeAutospacing="1" w:after="240" w:line="240" w:lineRule="auto"/>
              <w:rPr>
                <w:rFonts w:cs="Arial"/>
                <w:szCs w:val="20"/>
              </w:rPr>
            </w:pPr>
            <w:r w:rsidRPr="00C968CE">
              <w:rPr>
                <w:rFonts w:cs="Arial"/>
                <w:szCs w:val="20"/>
              </w:rPr>
              <w:t>B</w:t>
            </w:r>
            <w:r w:rsidRPr="00C968CE">
              <w:rPr>
                <w:rFonts w:cs="Arial"/>
                <w:szCs w:val="20"/>
                <w:vertAlign w:val="subscript"/>
              </w:rPr>
              <w:t>min3,8</w:t>
            </w:r>
          </w:p>
        </w:tc>
      </w:tr>
      <w:tr w:rsidR="005F2528" w:rsidRPr="00C968CE" w14:paraId="50629BD8" w14:textId="77777777" w:rsidTr="005F2528">
        <w:trPr>
          <w:trHeight w:val="656"/>
        </w:trPr>
        <w:tc>
          <w:tcPr>
            <w:tcW w:w="8628" w:type="dxa"/>
            <w:gridSpan w:val="11"/>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2190F062" w14:textId="42E3DBB5" w:rsidR="005F2528" w:rsidRPr="00C968CE" w:rsidRDefault="005F2528" w:rsidP="00C968CE">
            <w:pPr>
              <w:spacing w:before="120" w:after="120" w:line="240" w:lineRule="auto"/>
              <w:ind w:left="180" w:hanging="180"/>
              <w:rPr>
                <w:rFonts w:cs="Arial"/>
                <w:szCs w:val="20"/>
              </w:rPr>
            </w:pPr>
            <w:r w:rsidRPr="00C968CE">
              <w:rPr>
                <w:rFonts w:cs="Arial"/>
                <w:szCs w:val="20"/>
                <w:vertAlign w:val="superscript"/>
              </w:rPr>
              <w:t>*)</w:t>
            </w:r>
            <w:r w:rsidRPr="00C968CE">
              <w:rPr>
                <w:rFonts w:cs="Arial"/>
                <w:szCs w:val="20"/>
              </w:rPr>
              <w:t xml:space="preserve"> Minimalna zawartość lepiszcza jest określona przy założonej gęstości mieszanki mineralnej 2,650  Mg/m</w:t>
            </w:r>
            <w:r w:rsidRPr="00C968CE">
              <w:rPr>
                <w:rFonts w:cs="Arial"/>
                <w:szCs w:val="20"/>
                <w:vertAlign w:val="superscript"/>
              </w:rPr>
              <w:t>3</w:t>
            </w:r>
            <w:r w:rsidRPr="00C968CE">
              <w:rPr>
                <w:rFonts w:cs="Arial"/>
                <w:szCs w:val="20"/>
              </w:rPr>
              <w:t>. Jeżeli stosowana mieszanka mineralna ma inną gęstość (</w:t>
            </w:r>
            <w:r w:rsidRPr="00C968CE">
              <w:rPr>
                <w:rFonts w:cs="Arial"/>
                <w:i/>
                <w:iCs/>
                <w:szCs w:val="20"/>
              </w:rPr>
              <w:t>ρ</w:t>
            </w:r>
            <w:r w:rsidRPr="00C968CE">
              <w:rPr>
                <w:rFonts w:cs="Arial"/>
                <w:szCs w:val="20"/>
                <w:vertAlign w:val="subscript"/>
              </w:rPr>
              <w:t>d</w:t>
            </w:r>
            <w:r w:rsidRPr="00C968CE">
              <w:rPr>
                <w:rFonts w:cs="Arial"/>
                <w:szCs w:val="20"/>
              </w:rPr>
              <w:t xml:space="preserve">), to do wyznaczenia minimalnej zawartości lepiszcza podaną wartość należy pomnożyć przez współczynnik </w:t>
            </w:r>
            <w:r w:rsidRPr="00C968CE">
              <w:rPr>
                <w:rFonts w:cs="Arial"/>
                <w:noProof/>
                <w:szCs w:val="20"/>
                <w:vertAlign w:val="subscript"/>
              </w:rPr>
              <w:drawing>
                <wp:inline distT="0" distB="0" distL="0" distR="0" wp14:anchorId="6E8AACC2" wp14:editId="02D1BA47">
                  <wp:extent cx="152400" cy="142875"/>
                  <wp:effectExtent l="0" t="0" r="0" b="9525"/>
                  <wp:docPr id="29" name="Obraz 29" descr="Opis: W:\SPECYFIKACJE TECHNICZNE\_2020 drogowe\ost\Podbudowy\d040701a2016_pliki\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Opis: W:\SPECYFIKACJE TECHNICZNE\_2020 drogowe\ost\Podbudowy\d040701a2016_pliki\image003.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C968CE">
              <w:rPr>
                <w:rFonts w:cs="Arial"/>
                <w:szCs w:val="20"/>
              </w:rPr>
              <w:t xml:space="preserve"> według równania:  </w:t>
            </w:r>
            <w:r w:rsidRPr="00C968CE">
              <w:rPr>
                <w:rFonts w:cs="Arial"/>
                <w:noProof/>
                <w:szCs w:val="20"/>
                <w:vertAlign w:val="subscript"/>
              </w:rPr>
              <w:drawing>
                <wp:inline distT="0" distB="0" distL="0" distR="0" wp14:anchorId="5912847D" wp14:editId="1D564D16">
                  <wp:extent cx="561975" cy="428625"/>
                  <wp:effectExtent l="0" t="0" r="9525" b="9525"/>
                  <wp:docPr id="28" name="Obraz 28" descr="Opis: W:\SPECYFIKACJE TECHNICZNE\_2020 drogowe\ost\Podbudowy\d040701a2016_pliki\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W:\SPECYFIKACJE TECHNICZNE\_2020 drogowe\ost\Podbudowy\d040701a2016_pliki\image004.gif"/>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1975" cy="428625"/>
                          </a:xfrm>
                          <a:prstGeom prst="rect">
                            <a:avLst/>
                          </a:prstGeom>
                          <a:noFill/>
                          <a:ln>
                            <a:noFill/>
                          </a:ln>
                        </pic:spPr>
                      </pic:pic>
                    </a:graphicData>
                  </a:graphic>
                </wp:inline>
              </w:drawing>
            </w:r>
          </w:p>
        </w:tc>
      </w:tr>
    </w:tbl>
    <w:p w14:paraId="720188CE" w14:textId="77777777" w:rsidR="005F2528" w:rsidRPr="00C968CE" w:rsidRDefault="005F2528" w:rsidP="00C968CE">
      <w:pPr>
        <w:spacing w:before="240" w:after="120" w:line="240" w:lineRule="auto"/>
        <w:ind w:left="720" w:hanging="720"/>
        <w:outlineLvl w:val="1"/>
        <w:rPr>
          <w:rFonts w:cs="Arial"/>
          <w:b/>
          <w:bCs/>
          <w:szCs w:val="20"/>
        </w:rPr>
      </w:pPr>
      <w:r w:rsidRPr="00C968CE">
        <w:rPr>
          <w:rFonts w:cs="Arial"/>
          <w:b/>
          <w:bCs/>
          <w:szCs w:val="20"/>
        </w:rPr>
        <w:t>2.11. Właściwości mieszaki mineralno-asfaltowej do wykonania betonu asfaltowego do warstwy podbudowy</w:t>
      </w:r>
    </w:p>
    <w:p w14:paraId="3FEA30C9" w14:textId="77777777" w:rsidR="005F2528" w:rsidRPr="00C968CE" w:rsidRDefault="005F2528" w:rsidP="00C968CE">
      <w:pPr>
        <w:spacing w:before="100" w:beforeAutospacing="1" w:after="100" w:afterAutospacing="1" w:line="240" w:lineRule="auto"/>
        <w:ind w:firstLine="709"/>
        <w:rPr>
          <w:rFonts w:cs="Arial"/>
          <w:szCs w:val="20"/>
        </w:rPr>
      </w:pPr>
      <w:r w:rsidRPr="00C968CE">
        <w:rPr>
          <w:rFonts w:cs="Arial"/>
          <w:szCs w:val="20"/>
        </w:rPr>
        <w:t xml:space="preserve">Wymagane właściwości mieszanki mineralno-asfaltowej podane są w tablicach  21, 22 i 23. </w:t>
      </w:r>
    </w:p>
    <w:p w14:paraId="165E62DE" w14:textId="77777777" w:rsidR="005F2528" w:rsidRPr="00C968CE" w:rsidRDefault="005F2528" w:rsidP="00C968CE">
      <w:pPr>
        <w:spacing w:before="120" w:after="120" w:line="240" w:lineRule="auto"/>
        <w:ind w:left="1134" w:hanging="1134"/>
        <w:rPr>
          <w:rFonts w:cs="Arial"/>
          <w:szCs w:val="20"/>
        </w:rPr>
      </w:pPr>
      <w:r w:rsidRPr="00C968CE">
        <w:rPr>
          <w:rFonts w:cs="Arial"/>
          <w:szCs w:val="20"/>
        </w:rPr>
        <w:t>Tablica 21.  Wymagane właściwości mieszanki mineralno-asfaltowej do warstwy podbudowy, dla ruchu KR1 ÷ KR2</w:t>
      </w:r>
    </w:p>
    <w:tbl>
      <w:tblPr>
        <w:tblW w:w="8716" w:type="dxa"/>
        <w:tblCellMar>
          <w:left w:w="0" w:type="dxa"/>
          <w:right w:w="0" w:type="dxa"/>
        </w:tblCellMar>
        <w:tblLook w:val="04A0" w:firstRow="1" w:lastRow="0" w:firstColumn="1" w:lastColumn="0" w:noHBand="0" w:noVBand="1"/>
      </w:tblPr>
      <w:tblGrid>
        <w:gridCol w:w="2388"/>
        <w:gridCol w:w="1680"/>
        <w:gridCol w:w="2280"/>
        <w:gridCol w:w="1108"/>
        <w:gridCol w:w="1260"/>
      </w:tblGrid>
      <w:tr w:rsidR="005F2528" w:rsidRPr="00C968CE" w14:paraId="072A6159" w14:textId="77777777" w:rsidTr="005F2528">
        <w:tc>
          <w:tcPr>
            <w:tcW w:w="2388"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3E039BF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Właściwość</w:t>
            </w:r>
          </w:p>
        </w:tc>
        <w:tc>
          <w:tcPr>
            <w:tcW w:w="168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2B82365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Warunki zagęszczania wg PN-EN </w:t>
            </w:r>
          </w:p>
          <w:p w14:paraId="3D6C17A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13108-20 [54]</w:t>
            </w:r>
          </w:p>
        </w:tc>
        <w:tc>
          <w:tcPr>
            <w:tcW w:w="228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76D520C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Metoda i warunki badania</w:t>
            </w:r>
          </w:p>
        </w:tc>
        <w:tc>
          <w:tcPr>
            <w:tcW w:w="1108"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6957B02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AC16P</w:t>
            </w:r>
          </w:p>
        </w:tc>
        <w:tc>
          <w:tcPr>
            <w:tcW w:w="126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640DF98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AC22P</w:t>
            </w:r>
          </w:p>
        </w:tc>
      </w:tr>
      <w:tr w:rsidR="005F2528" w:rsidRPr="00C968CE" w14:paraId="6106B9D8" w14:textId="77777777" w:rsidTr="005F2528">
        <w:tc>
          <w:tcPr>
            <w:tcW w:w="238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7FE55AB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wolnych przestrzeni</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CD6E27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C.1.2,ubijanie, 2×50 uderzeń</w:t>
            </w:r>
          </w:p>
        </w:tc>
        <w:tc>
          <w:tcPr>
            <w:tcW w:w="22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ABAFF5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12697-8 [37], </w:t>
            </w:r>
          </w:p>
          <w:p w14:paraId="72E1AB9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 4</w:t>
            </w:r>
          </w:p>
        </w:tc>
        <w:tc>
          <w:tcPr>
            <w:tcW w:w="1108"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6802EF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min 4,0</w:t>
            </w:r>
          </w:p>
          <w:p w14:paraId="0E97CB9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max  8,0</w:t>
            </w:r>
          </w:p>
        </w:tc>
        <w:tc>
          <w:tcPr>
            <w:tcW w:w="12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0697F32"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min  4,0</w:t>
            </w:r>
          </w:p>
          <w:p w14:paraId="1A41953B"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max  8,0</w:t>
            </w:r>
          </w:p>
        </w:tc>
      </w:tr>
      <w:tr w:rsidR="005F2528" w:rsidRPr="00C968CE" w14:paraId="4B8BE51C" w14:textId="77777777" w:rsidTr="005F2528">
        <w:tc>
          <w:tcPr>
            <w:tcW w:w="238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5A14834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Wolne przestrzenie wypełnione lepiszczem</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FFC7B7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C.1.2,ubijanie, 2×50 uderzeń</w:t>
            </w:r>
          </w:p>
        </w:tc>
        <w:tc>
          <w:tcPr>
            <w:tcW w:w="22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419E4D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12697-8 [37], </w:t>
            </w:r>
          </w:p>
          <w:p w14:paraId="206DE18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 5</w:t>
            </w:r>
          </w:p>
        </w:tc>
        <w:tc>
          <w:tcPr>
            <w:tcW w:w="1108"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272D46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VFB</w:t>
            </w:r>
            <w:r w:rsidRPr="00C968CE">
              <w:rPr>
                <w:rFonts w:cs="Arial"/>
                <w:i/>
                <w:iCs/>
                <w:szCs w:val="20"/>
                <w:vertAlign w:val="subscript"/>
              </w:rPr>
              <w:t>min 50</w:t>
            </w:r>
          </w:p>
          <w:p w14:paraId="7A4A9E99"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VFB</w:t>
            </w:r>
            <w:r w:rsidRPr="00C968CE">
              <w:rPr>
                <w:rFonts w:cs="Arial"/>
                <w:i/>
                <w:iCs/>
                <w:szCs w:val="20"/>
                <w:vertAlign w:val="subscript"/>
              </w:rPr>
              <w:t>max 74</w:t>
            </w:r>
          </w:p>
        </w:tc>
        <w:tc>
          <w:tcPr>
            <w:tcW w:w="12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BB33C1C"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VFB</w:t>
            </w:r>
            <w:r w:rsidRPr="00C968CE">
              <w:rPr>
                <w:rFonts w:cs="Arial"/>
                <w:i/>
                <w:iCs/>
                <w:szCs w:val="20"/>
                <w:vertAlign w:val="subscript"/>
              </w:rPr>
              <w:t>min 50</w:t>
            </w:r>
          </w:p>
          <w:p w14:paraId="4615C0A2"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VFB</w:t>
            </w:r>
            <w:r w:rsidRPr="00C968CE">
              <w:rPr>
                <w:rFonts w:cs="Arial"/>
                <w:i/>
                <w:iCs/>
                <w:szCs w:val="20"/>
                <w:vertAlign w:val="subscript"/>
              </w:rPr>
              <w:t>max 74</w:t>
            </w:r>
          </w:p>
        </w:tc>
      </w:tr>
      <w:tr w:rsidR="005F2528" w:rsidRPr="00C968CE" w14:paraId="38296598" w14:textId="77777777" w:rsidTr="005F2528">
        <w:tc>
          <w:tcPr>
            <w:tcW w:w="238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50E1505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wolnych przestrzeni w mieszance mineralnej</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ED40C6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C.1.2,ubijanie, 2×50 uderzeń</w:t>
            </w:r>
          </w:p>
        </w:tc>
        <w:tc>
          <w:tcPr>
            <w:tcW w:w="22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7EC630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12697-8 [37], </w:t>
            </w:r>
          </w:p>
          <w:p w14:paraId="229F990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 5</w:t>
            </w:r>
          </w:p>
        </w:tc>
        <w:tc>
          <w:tcPr>
            <w:tcW w:w="1108"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FBF4038"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VMA</w:t>
            </w:r>
            <w:r w:rsidRPr="00C968CE">
              <w:rPr>
                <w:rFonts w:cs="Arial"/>
                <w:i/>
                <w:iCs/>
                <w:szCs w:val="20"/>
                <w:vertAlign w:val="subscript"/>
              </w:rPr>
              <w:t>min 14</w:t>
            </w:r>
          </w:p>
        </w:tc>
        <w:tc>
          <w:tcPr>
            <w:tcW w:w="12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70F7C89"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VMA</w:t>
            </w:r>
            <w:r w:rsidRPr="00C968CE">
              <w:rPr>
                <w:rFonts w:cs="Arial"/>
                <w:i/>
                <w:iCs/>
                <w:szCs w:val="20"/>
                <w:vertAlign w:val="subscript"/>
              </w:rPr>
              <w:t>min 14</w:t>
            </w:r>
          </w:p>
        </w:tc>
      </w:tr>
      <w:tr w:rsidR="005F2528" w:rsidRPr="00C968CE" w14:paraId="289C13EF" w14:textId="77777777" w:rsidTr="005F2528">
        <w:tc>
          <w:tcPr>
            <w:tcW w:w="238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272B392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Wrażliwość na działanie wody</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03D860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C.1.1,ubijanie, 2×35 uderzeń</w:t>
            </w:r>
          </w:p>
        </w:tc>
        <w:tc>
          <w:tcPr>
            <w:tcW w:w="22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34CB9F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12697-12 [39], przechowywanie w 40°C z jednym cyklem zamrażania, </w:t>
            </w:r>
            <w:r w:rsidRPr="00C968CE">
              <w:rPr>
                <w:rFonts w:cs="Arial"/>
                <w:szCs w:val="20"/>
                <w:vertAlign w:val="superscript"/>
              </w:rPr>
              <w:t>a)</w:t>
            </w:r>
          </w:p>
          <w:p w14:paraId="01868A9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badanie w 25°C</w:t>
            </w:r>
          </w:p>
        </w:tc>
        <w:tc>
          <w:tcPr>
            <w:tcW w:w="1108"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17F0771"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ITSR</w:t>
            </w:r>
            <w:r w:rsidRPr="00C968CE">
              <w:rPr>
                <w:rFonts w:cs="Arial"/>
                <w:i/>
                <w:iCs/>
                <w:szCs w:val="20"/>
                <w:vertAlign w:val="subscript"/>
              </w:rPr>
              <w:t>70</w:t>
            </w:r>
          </w:p>
        </w:tc>
        <w:tc>
          <w:tcPr>
            <w:tcW w:w="12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14D2BF5"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ITSR</w:t>
            </w:r>
            <w:r w:rsidRPr="00C968CE">
              <w:rPr>
                <w:rFonts w:cs="Arial"/>
                <w:szCs w:val="20"/>
                <w:vertAlign w:val="subscript"/>
              </w:rPr>
              <w:t>70</w:t>
            </w:r>
          </w:p>
        </w:tc>
      </w:tr>
    </w:tbl>
    <w:p w14:paraId="06B58351" w14:textId="77777777" w:rsidR="005F2528" w:rsidRPr="00C968CE" w:rsidRDefault="005F2528" w:rsidP="00C968CE">
      <w:pPr>
        <w:spacing w:before="120" w:after="120" w:line="240" w:lineRule="auto"/>
        <w:ind w:left="142" w:hanging="142"/>
        <w:rPr>
          <w:rFonts w:cs="Arial"/>
          <w:szCs w:val="20"/>
        </w:rPr>
      </w:pPr>
      <w:r w:rsidRPr="00C968CE">
        <w:rPr>
          <w:rFonts w:cs="Arial"/>
          <w:szCs w:val="20"/>
          <w:vertAlign w:val="superscript"/>
        </w:rPr>
        <w:t>a)</w:t>
      </w:r>
      <w:r w:rsidRPr="00C968CE">
        <w:rPr>
          <w:rFonts w:cs="Arial"/>
          <w:szCs w:val="20"/>
        </w:rPr>
        <w:t xml:space="preserve"> Ujednoliconą procedurę badania odporności na działanie wody podano w WT-2 2014 [82] w załączniku 1.</w:t>
      </w:r>
    </w:p>
    <w:p w14:paraId="7C7B8131" w14:textId="77777777" w:rsidR="005F2528" w:rsidRPr="00C968CE" w:rsidRDefault="005F2528" w:rsidP="00C968CE">
      <w:pPr>
        <w:spacing w:before="120" w:after="120" w:line="240" w:lineRule="auto"/>
        <w:ind w:left="1134" w:hanging="1134"/>
        <w:rPr>
          <w:rFonts w:cs="Arial"/>
          <w:szCs w:val="20"/>
        </w:rPr>
      </w:pPr>
      <w:r w:rsidRPr="00C968CE">
        <w:rPr>
          <w:rFonts w:cs="Arial"/>
          <w:szCs w:val="20"/>
        </w:rPr>
        <w:t>Tablica 22.  Wymagane właściwości mieszanki mineralno-asfaltowej do warstwy podbudowy, dla ruchu KR3 ÷ KR4</w:t>
      </w:r>
    </w:p>
    <w:tbl>
      <w:tblPr>
        <w:tblW w:w="8868" w:type="dxa"/>
        <w:tblCellMar>
          <w:left w:w="0" w:type="dxa"/>
          <w:right w:w="0" w:type="dxa"/>
        </w:tblCellMar>
        <w:tblLook w:val="04A0" w:firstRow="1" w:lastRow="0" w:firstColumn="1" w:lastColumn="0" w:noHBand="0" w:noVBand="1"/>
      </w:tblPr>
      <w:tblGrid>
        <w:gridCol w:w="2028"/>
        <w:gridCol w:w="1680"/>
        <w:gridCol w:w="2520"/>
        <w:gridCol w:w="1320"/>
        <w:gridCol w:w="1320"/>
      </w:tblGrid>
      <w:tr w:rsidR="005F2528" w:rsidRPr="00C968CE" w14:paraId="49B04FB8" w14:textId="77777777" w:rsidTr="005F2528">
        <w:tc>
          <w:tcPr>
            <w:tcW w:w="2028"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2918374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Właściwość</w:t>
            </w:r>
          </w:p>
        </w:tc>
        <w:tc>
          <w:tcPr>
            <w:tcW w:w="168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210DE52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Warunki zagęszczania </w:t>
            </w:r>
            <w:r w:rsidRPr="00C968CE">
              <w:rPr>
                <w:rFonts w:cs="Arial"/>
                <w:szCs w:val="20"/>
              </w:rPr>
              <w:lastRenderedPageBreak/>
              <w:t xml:space="preserve">wg PN-EN </w:t>
            </w:r>
          </w:p>
          <w:p w14:paraId="2D1BF54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13108-20  [54]</w:t>
            </w:r>
          </w:p>
        </w:tc>
        <w:tc>
          <w:tcPr>
            <w:tcW w:w="252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249CCFC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Metoda i warunki badania</w:t>
            </w:r>
          </w:p>
        </w:tc>
        <w:tc>
          <w:tcPr>
            <w:tcW w:w="132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2EDACC5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AC16P</w:t>
            </w:r>
          </w:p>
        </w:tc>
        <w:tc>
          <w:tcPr>
            <w:tcW w:w="132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1ADF274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AC22P</w:t>
            </w:r>
          </w:p>
          <w:p w14:paraId="7DF20B8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AC32P</w:t>
            </w:r>
          </w:p>
        </w:tc>
      </w:tr>
      <w:tr w:rsidR="005F2528" w:rsidRPr="00C968CE" w14:paraId="0E934E1C" w14:textId="77777777" w:rsidTr="005F2528">
        <w:tc>
          <w:tcPr>
            <w:tcW w:w="202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0BEF296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lastRenderedPageBreak/>
              <w:t>Zawartość wolnych przestrzeni</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hideMark/>
          </w:tcPr>
          <w:p w14:paraId="7114FD6E"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C.1.3,ubijanie, 2×75 uderzeń</w:t>
            </w:r>
          </w:p>
        </w:tc>
        <w:tc>
          <w:tcPr>
            <w:tcW w:w="2520" w:type="dxa"/>
            <w:tcBorders>
              <w:top w:val="nil"/>
              <w:left w:val="nil"/>
              <w:bottom w:val="single" w:sz="8" w:space="0" w:color="auto"/>
              <w:right w:val="single" w:sz="8" w:space="0" w:color="auto"/>
            </w:tcBorders>
            <w:noWrap/>
            <w:tcMar>
              <w:top w:w="0" w:type="dxa"/>
              <w:left w:w="108" w:type="dxa"/>
              <w:bottom w:w="0" w:type="dxa"/>
              <w:right w:w="108" w:type="dxa"/>
            </w:tcMar>
            <w:hideMark/>
          </w:tcPr>
          <w:p w14:paraId="4D4B661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12697-8 [37], </w:t>
            </w:r>
          </w:p>
          <w:p w14:paraId="60974C7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 4</w:t>
            </w:r>
          </w:p>
        </w:tc>
        <w:tc>
          <w:tcPr>
            <w:tcW w:w="1320" w:type="dxa"/>
            <w:tcBorders>
              <w:top w:val="nil"/>
              <w:left w:val="nil"/>
              <w:bottom w:val="single" w:sz="8" w:space="0" w:color="auto"/>
              <w:right w:val="single" w:sz="8" w:space="0" w:color="auto"/>
            </w:tcBorders>
            <w:noWrap/>
            <w:tcMar>
              <w:top w:w="0" w:type="dxa"/>
              <w:left w:w="108" w:type="dxa"/>
              <w:bottom w:w="0" w:type="dxa"/>
              <w:right w:w="108" w:type="dxa"/>
            </w:tcMar>
            <w:hideMark/>
          </w:tcPr>
          <w:p w14:paraId="275CD369"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min 4,0</w:t>
            </w:r>
          </w:p>
          <w:p w14:paraId="2F2731B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max 7,0</w:t>
            </w:r>
          </w:p>
        </w:tc>
        <w:tc>
          <w:tcPr>
            <w:tcW w:w="1320" w:type="dxa"/>
            <w:tcBorders>
              <w:top w:val="nil"/>
              <w:left w:val="nil"/>
              <w:bottom w:val="single" w:sz="8" w:space="0" w:color="auto"/>
              <w:right w:val="single" w:sz="8" w:space="0" w:color="auto"/>
            </w:tcBorders>
            <w:noWrap/>
            <w:tcMar>
              <w:top w:w="0" w:type="dxa"/>
              <w:left w:w="108" w:type="dxa"/>
              <w:bottom w:w="0" w:type="dxa"/>
              <w:right w:w="108" w:type="dxa"/>
            </w:tcMar>
            <w:hideMark/>
          </w:tcPr>
          <w:p w14:paraId="0DAC349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min 4,0</w:t>
            </w:r>
          </w:p>
          <w:p w14:paraId="226B6F2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max 7,0</w:t>
            </w:r>
          </w:p>
        </w:tc>
      </w:tr>
      <w:tr w:rsidR="005F2528" w:rsidRPr="00C968CE" w14:paraId="63382DB2" w14:textId="77777777" w:rsidTr="005F2528">
        <w:tc>
          <w:tcPr>
            <w:tcW w:w="202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44284B1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Odporność na deformacje trwałe </w:t>
            </w:r>
            <w:r w:rsidRPr="00C968CE">
              <w:rPr>
                <w:rFonts w:cs="Arial"/>
                <w:szCs w:val="20"/>
                <w:vertAlign w:val="superscript"/>
              </w:rPr>
              <w:t>a)c)</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hideMark/>
          </w:tcPr>
          <w:p w14:paraId="58D5465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08F825B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C.1.20, wałowanie,</w:t>
            </w:r>
          </w:p>
          <w:p w14:paraId="32CA9F9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w:t>
            </w:r>
            <w:r w:rsidRPr="00C968CE">
              <w:rPr>
                <w:rFonts w:cs="Arial"/>
                <w:szCs w:val="20"/>
                <w:vertAlign w:val="subscript"/>
              </w:rPr>
              <w:t>98</w:t>
            </w:r>
            <w:r w:rsidRPr="00C968CE">
              <w:rPr>
                <w:rFonts w:cs="Arial"/>
                <w:szCs w:val="20"/>
              </w:rPr>
              <w:t>-P</w:t>
            </w:r>
            <w:r w:rsidRPr="00C968CE">
              <w:rPr>
                <w:rFonts w:cs="Arial"/>
                <w:szCs w:val="20"/>
                <w:vertAlign w:val="subscript"/>
              </w:rPr>
              <w:t>100</w:t>
            </w:r>
          </w:p>
        </w:tc>
        <w:tc>
          <w:tcPr>
            <w:tcW w:w="2520" w:type="dxa"/>
            <w:tcBorders>
              <w:top w:val="nil"/>
              <w:left w:val="nil"/>
              <w:bottom w:val="single" w:sz="8" w:space="0" w:color="auto"/>
              <w:right w:val="single" w:sz="8" w:space="0" w:color="auto"/>
            </w:tcBorders>
            <w:noWrap/>
            <w:tcMar>
              <w:top w:w="0" w:type="dxa"/>
              <w:left w:w="108" w:type="dxa"/>
              <w:bottom w:w="0" w:type="dxa"/>
              <w:right w:w="108" w:type="dxa"/>
            </w:tcMar>
            <w:hideMark/>
          </w:tcPr>
          <w:p w14:paraId="225A193D"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12697-22 [41], metoda B       </w:t>
            </w:r>
          </w:p>
          <w:p w14:paraId="7586EC6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w powietrzu, </w:t>
            </w:r>
          </w:p>
          <w:p w14:paraId="54285B4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13108-20, </w:t>
            </w:r>
          </w:p>
          <w:p w14:paraId="2B42724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D.1.6 [54], 60°C, </w:t>
            </w:r>
          </w:p>
          <w:p w14:paraId="2F26220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10 000 cykli</w:t>
            </w:r>
          </w:p>
        </w:tc>
        <w:tc>
          <w:tcPr>
            <w:tcW w:w="132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4F4F88E"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WTS</w:t>
            </w:r>
            <w:r w:rsidRPr="00C968CE">
              <w:rPr>
                <w:rFonts w:cs="Arial"/>
                <w:szCs w:val="20"/>
                <w:vertAlign w:val="subscript"/>
              </w:rPr>
              <w:t>AIR,0,30</w:t>
            </w:r>
          </w:p>
          <w:p w14:paraId="24F04364"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PRD</w:t>
            </w:r>
            <w:r w:rsidRPr="00C968CE">
              <w:rPr>
                <w:rFonts w:cs="Arial"/>
                <w:szCs w:val="20"/>
                <w:vertAlign w:val="subscript"/>
              </w:rPr>
              <w:t>AIR 9,0</w:t>
            </w:r>
          </w:p>
        </w:tc>
        <w:tc>
          <w:tcPr>
            <w:tcW w:w="132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0562B12"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WTS</w:t>
            </w:r>
            <w:r w:rsidRPr="00C968CE">
              <w:rPr>
                <w:rFonts w:cs="Arial"/>
                <w:szCs w:val="20"/>
                <w:vertAlign w:val="subscript"/>
              </w:rPr>
              <w:t>AIR,0,3</w:t>
            </w:r>
          </w:p>
          <w:p w14:paraId="74BF1FE9"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PRD</w:t>
            </w:r>
            <w:r w:rsidRPr="00C968CE">
              <w:rPr>
                <w:rFonts w:cs="Arial"/>
                <w:szCs w:val="20"/>
                <w:vertAlign w:val="subscript"/>
              </w:rPr>
              <w:t>AIR 9,0</w:t>
            </w:r>
          </w:p>
        </w:tc>
      </w:tr>
      <w:tr w:rsidR="005F2528" w:rsidRPr="00C968CE" w14:paraId="0CD5933A" w14:textId="77777777" w:rsidTr="005F2528">
        <w:tc>
          <w:tcPr>
            <w:tcW w:w="202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7D3DEFD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Wrażliwość na działanie wody</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hideMark/>
          </w:tcPr>
          <w:p w14:paraId="4C26CD57"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w:t>
            </w:r>
          </w:p>
          <w:p w14:paraId="07A0725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C.1.1,ubijanie, 2×35 uderzeń</w:t>
            </w:r>
          </w:p>
        </w:tc>
        <w:tc>
          <w:tcPr>
            <w:tcW w:w="2520" w:type="dxa"/>
            <w:tcBorders>
              <w:top w:val="nil"/>
              <w:left w:val="nil"/>
              <w:bottom w:val="single" w:sz="8" w:space="0" w:color="auto"/>
              <w:right w:val="single" w:sz="8" w:space="0" w:color="auto"/>
            </w:tcBorders>
            <w:noWrap/>
            <w:tcMar>
              <w:top w:w="0" w:type="dxa"/>
              <w:left w:w="108" w:type="dxa"/>
              <w:bottom w:w="0" w:type="dxa"/>
              <w:right w:w="108" w:type="dxa"/>
            </w:tcMar>
            <w:hideMark/>
          </w:tcPr>
          <w:p w14:paraId="314EAD5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12697-12 [39], przechowywanie w 40°C z jednym cyklem zamrażania, </w:t>
            </w:r>
          </w:p>
          <w:p w14:paraId="325C1475"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badanie w 25°C </w:t>
            </w:r>
            <w:r w:rsidRPr="00C968CE">
              <w:rPr>
                <w:rFonts w:cs="Arial"/>
                <w:szCs w:val="20"/>
                <w:vertAlign w:val="superscript"/>
              </w:rPr>
              <w:t>b)</w:t>
            </w:r>
          </w:p>
        </w:tc>
        <w:tc>
          <w:tcPr>
            <w:tcW w:w="132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189950A"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ITSR</w:t>
            </w:r>
            <w:r w:rsidRPr="00C968CE">
              <w:rPr>
                <w:rFonts w:cs="Arial"/>
                <w:i/>
                <w:iCs/>
                <w:szCs w:val="20"/>
                <w:vertAlign w:val="subscript"/>
              </w:rPr>
              <w:t>70</w:t>
            </w:r>
          </w:p>
        </w:tc>
        <w:tc>
          <w:tcPr>
            <w:tcW w:w="132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6274D83"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ITSR</w:t>
            </w:r>
            <w:r w:rsidRPr="00C968CE">
              <w:rPr>
                <w:rFonts w:cs="Arial"/>
                <w:i/>
                <w:iCs/>
                <w:szCs w:val="20"/>
                <w:vertAlign w:val="subscript"/>
              </w:rPr>
              <w:t>70</w:t>
            </w:r>
          </w:p>
        </w:tc>
      </w:tr>
    </w:tbl>
    <w:p w14:paraId="787DDC7A" w14:textId="77777777" w:rsidR="005F2528" w:rsidRPr="00C968CE" w:rsidRDefault="005F2528" w:rsidP="00C968CE">
      <w:pPr>
        <w:spacing w:before="100" w:beforeAutospacing="1" w:after="100" w:afterAutospacing="1" w:line="240" w:lineRule="auto"/>
        <w:ind w:left="227" w:hanging="227"/>
        <w:rPr>
          <w:rFonts w:cs="Arial"/>
          <w:szCs w:val="20"/>
        </w:rPr>
      </w:pPr>
      <w:r w:rsidRPr="00C968CE">
        <w:rPr>
          <w:rFonts w:cs="Arial"/>
          <w:szCs w:val="20"/>
          <w:vertAlign w:val="superscript"/>
        </w:rPr>
        <w:t>a)</w:t>
      </w:r>
      <w:r w:rsidRPr="00C968CE">
        <w:rPr>
          <w:rFonts w:cs="Arial"/>
          <w:szCs w:val="20"/>
        </w:rPr>
        <w:t>   grubość płyty: AC16P, AC22P 60mm, AC32P 80mm,</w:t>
      </w:r>
    </w:p>
    <w:p w14:paraId="0F802E4F" w14:textId="77777777" w:rsidR="005F2528" w:rsidRPr="00C968CE" w:rsidRDefault="005F2528" w:rsidP="00C968CE">
      <w:pPr>
        <w:spacing w:before="100" w:beforeAutospacing="1" w:after="100" w:afterAutospacing="1" w:line="240" w:lineRule="auto"/>
        <w:ind w:left="227" w:hanging="227"/>
        <w:rPr>
          <w:rFonts w:cs="Arial"/>
          <w:szCs w:val="20"/>
        </w:rPr>
      </w:pPr>
      <w:r w:rsidRPr="00C968CE">
        <w:rPr>
          <w:rFonts w:cs="Arial"/>
          <w:szCs w:val="20"/>
          <w:vertAlign w:val="superscript"/>
        </w:rPr>
        <w:t xml:space="preserve">b)    </w:t>
      </w:r>
      <w:r w:rsidRPr="00C968CE">
        <w:rPr>
          <w:rFonts w:cs="Arial"/>
          <w:szCs w:val="20"/>
        </w:rPr>
        <w:t>ujednoliconą procedurę badania odporności na działanie wody podano w WT-2 2014 [82] w załączniku 1,</w:t>
      </w:r>
    </w:p>
    <w:p w14:paraId="437D3516" w14:textId="77777777" w:rsidR="005F2528" w:rsidRPr="00C968CE" w:rsidRDefault="005F2528" w:rsidP="00C968CE">
      <w:pPr>
        <w:spacing w:before="100" w:beforeAutospacing="1" w:after="100" w:afterAutospacing="1" w:line="240" w:lineRule="auto"/>
        <w:ind w:left="227" w:hanging="227"/>
        <w:rPr>
          <w:rFonts w:cs="Arial"/>
          <w:szCs w:val="20"/>
        </w:rPr>
      </w:pPr>
      <w:r w:rsidRPr="00C968CE">
        <w:rPr>
          <w:rFonts w:cs="Arial"/>
          <w:szCs w:val="20"/>
          <w:vertAlign w:val="superscript"/>
        </w:rPr>
        <w:t>c)</w:t>
      </w:r>
      <w:r w:rsidRPr="00C968CE">
        <w:rPr>
          <w:rFonts w:cs="Arial"/>
          <w:szCs w:val="20"/>
        </w:rPr>
        <w:t>   procedurę kondycjonowania krótkoterminowego mma przed zagęszczeniem próbek podano w WT-2 2014 [82] w załączniku 2.</w:t>
      </w:r>
    </w:p>
    <w:p w14:paraId="356A6329" w14:textId="77777777" w:rsidR="005F2528" w:rsidRPr="00C968CE" w:rsidRDefault="005F2528" w:rsidP="00C968CE">
      <w:pPr>
        <w:spacing w:before="120" w:after="120" w:line="240" w:lineRule="auto"/>
        <w:ind w:left="1112" w:hanging="1112"/>
        <w:rPr>
          <w:rFonts w:cs="Arial"/>
          <w:szCs w:val="20"/>
        </w:rPr>
      </w:pPr>
      <w:r w:rsidRPr="00C968CE">
        <w:rPr>
          <w:rFonts w:cs="Arial"/>
          <w:szCs w:val="20"/>
        </w:rPr>
        <w:t xml:space="preserve">Tablica 23. Wymagane właściwości mieszanki mineralno-asfaltowej do warstwy podbudowy, dla ruchu KR5 ÷ KR7 </w:t>
      </w:r>
    </w:p>
    <w:tbl>
      <w:tblPr>
        <w:tblW w:w="8188" w:type="dxa"/>
        <w:tblCellMar>
          <w:left w:w="0" w:type="dxa"/>
          <w:right w:w="0" w:type="dxa"/>
        </w:tblCellMar>
        <w:tblLook w:val="04A0" w:firstRow="1" w:lastRow="0" w:firstColumn="1" w:lastColumn="0" w:noHBand="0" w:noVBand="1"/>
      </w:tblPr>
      <w:tblGrid>
        <w:gridCol w:w="1951"/>
        <w:gridCol w:w="1701"/>
        <w:gridCol w:w="2835"/>
        <w:gridCol w:w="1701"/>
      </w:tblGrid>
      <w:tr w:rsidR="005F2528" w:rsidRPr="00C968CE" w14:paraId="2DFE2C5D" w14:textId="77777777" w:rsidTr="005F2528">
        <w:tc>
          <w:tcPr>
            <w:tcW w:w="1951"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4D6AF16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Właściwość</w:t>
            </w:r>
          </w:p>
        </w:tc>
        <w:tc>
          <w:tcPr>
            <w:tcW w:w="170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1ABB467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Warunki zagęszczania wg PN-EN </w:t>
            </w:r>
          </w:p>
          <w:p w14:paraId="1D8B4BD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13108-20  [54]</w:t>
            </w:r>
          </w:p>
        </w:tc>
        <w:tc>
          <w:tcPr>
            <w:tcW w:w="2835"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3E8BC84"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Metoda i warunki badania</w:t>
            </w:r>
          </w:p>
        </w:tc>
        <w:tc>
          <w:tcPr>
            <w:tcW w:w="170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1294C5C9"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AC16P</w:t>
            </w:r>
          </w:p>
          <w:p w14:paraId="70745B7A"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AC22P</w:t>
            </w:r>
          </w:p>
          <w:p w14:paraId="3AE63EA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AC32P</w:t>
            </w:r>
          </w:p>
        </w:tc>
      </w:tr>
      <w:tr w:rsidR="005F2528" w:rsidRPr="00C968CE" w14:paraId="1F983316" w14:textId="77777777" w:rsidTr="005F2528">
        <w:tc>
          <w:tcPr>
            <w:tcW w:w="1951"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0AF8BF42"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Zawartość wolnych przestrzeni</w:t>
            </w:r>
          </w:p>
        </w:tc>
        <w:tc>
          <w:tcPr>
            <w:tcW w:w="170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3CE07C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C.1.3,ubijanie, 2×75 uderzeń</w:t>
            </w:r>
          </w:p>
        </w:tc>
        <w:tc>
          <w:tcPr>
            <w:tcW w:w="283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20DAEC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12697-8 [37], p. 4</w:t>
            </w:r>
          </w:p>
        </w:tc>
        <w:tc>
          <w:tcPr>
            <w:tcW w:w="170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1F7767E"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min 4,0</w:t>
            </w:r>
          </w:p>
          <w:p w14:paraId="7D8983F4"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V</w:t>
            </w:r>
            <w:r w:rsidRPr="00C968CE">
              <w:rPr>
                <w:rFonts w:cs="Arial"/>
                <w:szCs w:val="20"/>
                <w:vertAlign w:val="subscript"/>
              </w:rPr>
              <w:t>max 7,0</w:t>
            </w:r>
          </w:p>
        </w:tc>
      </w:tr>
      <w:tr w:rsidR="005F2528" w:rsidRPr="00C968CE" w14:paraId="41F065DE" w14:textId="77777777" w:rsidTr="005F2528">
        <w:tc>
          <w:tcPr>
            <w:tcW w:w="1951"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2CEC87D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Odporność na deformacje trwałe </w:t>
            </w:r>
            <w:r w:rsidRPr="00C968CE">
              <w:rPr>
                <w:rFonts w:cs="Arial"/>
                <w:szCs w:val="20"/>
                <w:vertAlign w:val="superscript"/>
              </w:rPr>
              <w:t>a</w:t>
            </w:r>
            <w:r w:rsidRPr="00C968CE">
              <w:rPr>
                <w:rFonts w:cs="Arial"/>
                <w:szCs w:val="20"/>
              </w:rPr>
              <w:t>)</w:t>
            </w:r>
            <w:r w:rsidRPr="00C968CE">
              <w:rPr>
                <w:rFonts w:cs="Arial"/>
                <w:szCs w:val="20"/>
                <w:vertAlign w:val="superscript"/>
              </w:rPr>
              <w:t>c)</w:t>
            </w:r>
          </w:p>
        </w:tc>
        <w:tc>
          <w:tcPr>
            <w:tcW w:w="170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92338F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C.1.20, wałowanie,</w:t>
            </w:r>
          </w:p>
          <w:p w14:paraId="274C2B20"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w:t>
            </w:r>
            <w:r w:rsidRPr="00C968CE">
              <w:rPr>
                <w:rFonts w:cs="Arial"/>
                <w:szCs w:val="20"/>
                <w:vertAlign w:val="subscript"/>
              </w:rPr>
              <w:t>98</w:t>
            </w:r>
            <w:r w:rsidRPr="00C968CE">
              <w:rPr>
                <w:rFonts w:cs="Arial"/>
                <w:szCs w:val="20"/>
              </w:rPr>
              <w:t>-P</w:t>
            </w:r>
            <w:r w:rsidRPr="00C968CE">
              <w:rPr>
                <w:rFonts w:cs="Arial"/>
                <w:szCs w:val="20"/>
                <w:vertAlign w:val="subscript"/>
              </w:rPr>
              <w:t>100</w:t>
            </w:r>
          </w:p>
        </w:tc>
        <w:tc>
          <w:tcPr>
            <w:tcW w:w="283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01F3F98"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12697-22 [41], metoda B  w powietrzu, </w:t>
            </w:r>
          </w:p>
          <w:p w14:paraId="39D7834F"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PN-EN 13108-20, D.1.6 [54] 60°C, 10 000 cykli</w:t>
            </w:r>
          </w:p>
        </w:tc>
        <w:tc>
          <w:tcPr>
            <w:tcW w:w="170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BD5466B"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WTS</w:t>
            </w:r>
            <w:r w:rsidRPr="00C968CE">
              <w:rPr>
                <w:rFonts w:cs="Arial"/>
                <w:szCs w:val="20"/>
                <w:vertAlign w:val="subscript"/>
              </w:rPr>
              <w:t>AIR 0,15</w:t>
            </w:r>
          </w:p>
          <w:p w14:paraId="5FFB2CBE"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PRD</w:t>
            </w:r>
            <w:r w:rsidRPr="00C968CE">
              <w:rPr>
                <w:rFonts w:cs="Arial"/>
                <w:szCs w:val="20"/>
                <w:vertAlign w:val="subscript"/>
              </w:rPr>
              <w:t>AIR 7,0</w:t>
            </w:r>
          </w:p>
        </w:tc>
      </w:tr>
      <w:tr w:rsidR="005F2528" w:rsidRPr="00C968CE" w14:paraId="79582522" w14:textId="77777777" w:rsidTr="005F2528">
        <w:tc>
          <w:tcPr>
            <w:tcW w:w="1951"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3E80BE41"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Wrażliwość na działanie wody</w:t>
            </w:r>
          </w:p>
        </w:tc>
        <w:tc>
          <w:tcPr>
            <w:tcW w:w="170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C0F9DD3"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C.1.1,ubijanie, 2×35 uderzeń</w:t>
            </w:r>
          </w:p>
        </w:tc>
        <w:tc>
          <w:tcPr>
            <w:tcW w:w="283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E269C2B"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PN-EN 12697-12 [39], przechowywanie w 40°C z jednym cyklem zamrażania, </w:t>
            </w:r>
          </w:p>
          <w:p w14:paraId="1A41E27C"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xml:space="preserve">badanie w 25°C </w:t>
            </w:r>
            <w:r w:rsidRPr="00C968CE">
              <w:rPr>
                <w:rFonts w:cs="Arial"/>
                <w:szCs w:val="20"/>
                <w:vertAlign w:val="superscript"/>
              </w:rPr>
              <w:t>b)</w:t>
            </w:r>
          </w:p>
        </w:tc>
        <w:tc>
          <w:tcPr>
            <w:tcW w:w="170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C9A5FBF" w14:textId="77777777" w:rsidR="005F2528" w:rsidRPr="00C968CE" w:rsidRDefault="005F2528" w:rsidP="00C968CE">
            <w:pPr>
              <w:spacing w:before="100" w:beforeAutospacing="1" w:after="100" w:afterAutospacing="1" w:line="240" w:lineRule="auto"/>
              <w:rPr>
                <w:rFonts w:cs="Arial"/>
                <w:szCs w:val="20"/>
              </w:rPr>
            </w:pPr>
            <w:r w:rsidRPr="00C968CE">
              <w:rPr>
                <w:rFonts w:cs="Arial"/>
                <w:i/>
                <w:iCs/>
                <w:szCs w:val="20"/>
              </w:rPr>
              <w:t>ITSR</w:t>
            </w:r>
            <w:r w:rsidRPr="00C968CE">
              <w:rPr>
                <w:rFonts w:cs="Arial"/>
                <w:i/>
                <w:iCs/>
                <w:szCs w:val="20"/>
                <w:vertAlign w:val="subscript"/>
              </w:rPr>
              <w:t>70</w:t>
            </w:r>
          </w:p>
        </w:tc>
      </w:tr>
    </w:tbl>
    <w:p w14:paraId="45958835" w14:textId="77777777" w:rsidR="005F2528" w:rsidRPr="00C968CE" w:rsidRDefault="005F2528" w:rsidP="00C968CE">
      <w:pPr>
        <w:spacing w:before="100" w:beforeAutospacing="1" w:after="100" w:afterAutospacing="1" w:line="240" w:lineRule="auto"/>
        <w:ind w:left="227" w:hanging="227"/>
        <w:rPr>
          <w:rFonts w:cs="Arial"/>
          <w:szCs w:val="20"/>
        </w:rPr>
      </w:pPr>
      <w:r w:rsidRPr="00C968CE">
        <w:rPr>
          <w:rFonts w:cs="Arial"/>
          <w:szCs w:val="20"/>
          <w:vertAlign w:val="superscript"/>
        </w:rPr>
        <w:t>a)</w:t>
      </w:r>
      <w:r w:rsidRPr="00C968CE">
        <w:rPr>
          <w:rFonts w:cs="Arial"/>
          <w:szCs w:val="20"/>
        </w:rPr>
        <w:t>  grubość płyty: AC16P, AC22P 60mm, AC32P 80mm</w:t>
      </w:r>
    </w:p>
    <w:p w14:paraId="149720AA" w14:textId="77777777" w:rsidR="005F2528" w:rsidRPr="00C968CE" w:rsidRDefault="005F2528" w:rsidP="00C968CE">
      <w:pPr>
        <w:spacing w:before="100" w:beforeAutospacing="1" w:after="100" w:afterAutospacing="1" w:line="240" w:lineRule="auto"/>
        <w:ind w:left="227" w:hanging="227"/>
        <w:rPr>
          <w:rFonts w:cs="Arial"/>
          <w:szCs w:val="20"/>
        </w:rPr>
      </w:pPr>
      <w:r w:rsidRPr="00C968CE">
        <w:rPr>
          <w:rFonts w:cs="Arial"/>
          <w:szCs w:val="20"/>
          <w:vertAlign w:val="superscript"/>
        </w:rPr>
        <w:t>b)</w:t>
      </w:r>
      <w:r w:rsidRPr="00C968CE">
        <w:rPr>
          <w:rFonts w:cs="Arial"/>
          <w:szCs w:val="20"/>
        </w:rPr>
        <w:t>  ujednoliconą procedurę badania odporności na działanie wody podano w WT-2 2014 [82] w załączniku 1.</w:t>
      </w:r>
    </w:p>
    <w:p w14:paraId="04CCD135" w14:textId="77777777" w:rsidR="005F2528" w:rsidRPr="00C968CE" w:rsidRDefault="005F2528" w:rsidP="00C968CE">
      <w:pPr>
        <w:spacing w:before="100" w:beforeAutospacing="1" w:after="100" w:afterAutospacing="1" w:line="240" w:lineRule="auto"/>
        <w:ind w:left="227" w:hanging="227"/>
        <w:rPr>
          <w:rFonts w:cs="Arial"/>
          <w:szCs w:val="20"/>
        </w:rPr>
      </w:pPr>
      <w:r w:rsidRPr="00C968CE">
        <w:rPr>
          <w:rFonts w:cs="Arial"/>
          <w:szCs w:val="20"/>
          <w:vertAlign w:val="superscript"/>
        </w:rPr>
        <w:t>c)</w:t>
      </w:r>
      <w:r w:rsidRPr="00C968CE">
        <w:rPr>
          <w:rFonts w:cs="Arial"/>
          <w:szCs w:val="20"/>
        </w:rPr>
        <w:t>  procedurę kondycjonowania krótkoterminowego mma przed zagęszczeniem próbek podano w WT-2 2014 [82] w załączniku 2.</w:t>
      </w:r>
    </w:p>
    <w:p w14:paraId="4082A19D" w14:textId="77777777" w:rsidR="005F2528" w:rsidRPr="00C968CE" w:rsidRDefault="005F2528" w:rsidP="00C968CE">
      <w:pPr>
        <w:spacing w:before="100" w:beforeAutospacing="1" w:after="100" w:afterAutospacing="1" w:line="240" w:lineRule="auto"/>
        <w:outlineLvl w:val="0"/>
        <w:rPr>
          <w:rFonts w:cs="Arial"/>
          <w:b/>
          <w:bCs/>
          <w:kern w:val="36"/>
          <w:szCs w:val="20"/>
        </w:rPr>
      </w:pPr>
      <w:bookmarkStart w:id="919" w:name="_Toc413234105"/>
      <w:bookmarkStart w:id="920" w:name="_Toc461543720"/>
      <w:r w:rsidRPr="00C968CE">
        <w:rPr>
          <w:rFonts w:cs="Arial"/>
          <w:b/>
          <w:bCs/>
          <w:kern w:val="36"/>
          <w:szCs w:val="20"/>
        </w:rPr>
        <w:t>3. Sprzęt</w:t>
      </w:r>
      <w:bookmarkEnd w:id="919"/>
      <w:bookmarkEnd w:id="920"/>
    </w:p>
    <w:p w14:paraId="6E7EE930"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lastRenderedPageBreak/>
        <w:t>3.1. Ogólne wymagania dotyczące sprzętu</w:t>
      </w:r>
    </w:p>
    <w:p w14:paraId="15C4B88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Ogólne wymagania dotyczące sprzętu podano w SST  D-M-00.00.00 „Wymagania ogólne” [1] pkt 3.</w:t>
      </w:r>
    </w:p>
    <w:p w14:paraId="36E79751" w14:textId="77777777" w:rsidR="005F2528" w:rsidRPr="00C968CE" w:rsidRDefault="005F2528" w:rsidP="00C968CE">
      <w:pPr>
        <w:spacing w:before="100" w:beforeAutospacing="1" w:after="100" w:afterAutospacing="1" w:line="240" w:lineRule="auto"/>
        <w:outlineLvl w:val="1"/>
        <w:rPr>
          <w:rFonts w:cs="Arial"/>
          <w:b/>
          <w:bCs/>
          <w:szCs w:val="20"/>
        </w:rPr>
      </w:pPr>
      <w:r w:rsidRPr="00C968CE">
        <w:rPr>
          <w:rFonts w:cs="Arial"/>
          <w:b/>
          <w:bCs/>
          <w:szCs w:val="20"/>
        </w:rPr>
        <w:t>3.2. Sprzęt stosowany do wykonania robót</w:t>
      </w:r>
    </w:p>
    <w:p w14:paraId="6DA4BF76" w14:textId="77777777" w:rsidR="005F2528" w:rsidRPr="00C968CE" w:rsidRDefault="005F2528" w:rsidP="00C968CE">
      <w:pPr>
        <w:spacing w:before="100" w:beforeAutospacing="1" w:after="100" w:afterAutospacing="1" w:line="240" w:lineRule="auto"/>
        <w:rPr>
          <w:rFonts w:cs="Arial"/>
          <w:szCs w:val="20"/>
        </w:rPr>
      </w:pPr>
      <w:r w:rsidRPr="00C968CE">
        <w:rPr>
          <w:rFonts w:cs="Arial"/>
          <w:szCs w:val="20"/>
        </w:rPr>
        <w:t>            Przy wykonywaniu robót Wykonawca w zależności od potrzeb, powinien wykazać się możliwością korzystania ze sprzętu dostosowanego do przyjętej metody robót, jak:</w:t>
      </w:r>
    </w:p>
    <w:p w14:paraId="6452052E" w14:textId="77777777" w:rsidR="005F2528" w:rsidRPr="00C968CE" w:rsidRDefault="005F2528" w:rsidP="00C968CE">
      <w:pPr>
        <w:spacing w:before="100" w:beforeAutospacing="1" w:after="100" w:afterAutospacing="1" w:line="240" w:lineRule="auto"/>
        <w:ind w:left="360" w:hanging="360"/>
        <w:rPr>
          <w:rFonts w:cs="Arial"/>
          <w:szCs w:val="20"/>
        </w:rPr>
      </w:pPr>
      <w:r w:rsidRPr="00C968CE">
        <w:rPr>
          <w:rFonts w:cs="Arial"/>
          <w:szCs w:val="20"/>
        </w:rPr>
        <w:t>a) wytwórnia (otaczarka</w:t>
      </w:r>
      <w:r w:rsidRPr="00C968CE">
        <w:rPr>
          <w:rFonts w:cs="Arial"/>
          <w:b/>
          <w:bCs/>
          <w:szCs w:val="20"/>
        </w:rPr>
        <w:t>)</w:t>
      </w:r>
      <w:r w:rsidRPr="00C968CE">
        <w:rPr>
          <w:rFonts w:cs="Arial"/>
          <w:szCs w:val="20"/>
        </w:rPr>
        <w:t xml:space="preserve"> o mieszaniu cyklicznym lub ciągłym, z automatycznym komputerowym sterowaniem produkcji, do wytwarzania mieszanek mineralno-asfaltowych,  </w:t>
      </w:r>
    </w:p>
    <w:p w14:paraId="399DA488" w14:textId="77777777" w:rsidR="005F2528" w:rsidRPr="00C968CE" w:rsidRDefault="005F2528" w:rsidP="00C968CE">
      <w:pPr>
        <w:spacing w:before="100" w:beforeAutospacing="1" w:after="100" w:afterAutospacing="1" w:line="240" w:lineRule="auto"/>
        <w:ind w:left="360"/>
        <w:rPr>
          <w:rFonts w:cs="Arial"/>
          <w:szCs w:val="20"/>
        </w:rPr>
      </w:pPr>
      <w:r w:rsidRPr="00C968CE">
        <w:rPr>
          <w:rFonts w:cs="Arial"/>
          <w:szCs w:val="20"/>
        </w:rP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p>
    <w:p w14:paraId="6FBDC1AE" w14:textId="77777777" w:rsidR="005F2528" w:rsidRPr="00C968CE" w:rsidRDefault="005F2528" w:rsidP="00C968CE">
      <w:pPr>
        <w:spacing w:before="100" w:beforeAutospacing="1" w:after="100" w:afterAutospacing="1" w:line="240" w:lineRule="auto"/>
        <w:ind w:left="360"/>
        <w:rPr>
          <w:rFonts w:cs="Arial"/>
          <w:szCs w:val="20"/>
        </w:rPr>
      </w:pPr>
      <w:r w:rsidRPr="00C968CE">
        <w:rPr>
          <w:rFonts w:cs="Arial"/>
          <w:szCs w:val="20"/>
        </w:rPr>
        <w:t>Wytwórnia powinna być wyposażona w termometry (urządzenia pomiarowe) pozwalające na ciągłe monitorowanie temperatury poszczególnych materiałów, na różnych etapach przygotowywania materiałów, jak i na wyjściu z mieszalnika.</w:t>
      </w:r>
    </w:p>
    <w:p w14:paraId="5DBC2CF7" w14:textId="77777777" w:rsidR="005F2528" w:rsidRPr="00C968CE" w:rsidRDefault="005F2528" w:rsidP="00C968CE">
      <w:pPr>
        <w:spacing w:before="100" w:beforeAutospacing="1" w:after="100" w:afterAutospacing="1" w:line="240" w:lineRule="auto"/>
        <w:ind w:left="1363" w:hanging="1363"/>
        <w:rPr>
          <w:rFonts w:cs="Arial"/>
          <w:szCs w:val="20"/>
        </w:rPr>
      </w:pPr>
      <w:r w:rsidRPr="00C968CE">
        <w:rPr>
          <w:rFonts w:cs="Arial"/>
          <w:szCs w:val="20"/>
        </w:rPr>
        <w:t>b)      układarka gąsienicowa, z elektronicznym sterowaniem równości układanej warstwy,</w:t>
      </w:r>
    </w:p>
    <w:p w14:paraId="1715EA35" w14:textId="77777777" w:rsidR="005F2528" w:rsidRPr="00C968CE" w:rsidRDefault="005F2528" w:rsidP="00C968CE">
      <w:pPr>
        <w:spacing w:before="100" w:beforeAutospacing="1" w:after="100" w:afterAutospacing="1" w:line="240" w:lineRule="auto"/>
        <w:ind w:left="1363" w:hanging="1363"/>
        <w:rPr>
          <w:rFonts w:cs="Arial"/>
          <w:szCs w:val="20"/>
        </w:rPr>
      </w:pPr>
      <w:r w:rsidRPr="00C968CE">
        <w:rPr>
          <w:rFonts w:cs="Arial"/>
          <w:szCs w:val="20"/>
        </w:rPr>
        <w:t>c)      skrapiarka,</w:t>
      </w:r>
    </w:p>
    <w:p w14:paraId="3EC6AB00" w14:textId="77777777" w:rsidR="005F2528" w:rsidRPr="00C968CE" w:rsidRDefault="005F2528" w:rsidP="00C968CE">
      <w:pPr>
        <w:spacing w:before="100" w:beforeAutospacing="1" w:after="100" w:afterAutospacing="1" w:line="240" w:lineRule="auto"/>
        <w:ind w:left="1363" w:hanging="1363"/>
        <w:rPr>
          <w:rFonts w:cs="Arial"/>
          <w:szCs w:val="20"/>
        </w:rPr>
      </w:pPr>
      <w:r w:rsidRPr="00C968CE">
        <w:rPr>
          <w:rFonts w:cs="Arial"/>
          <w:szCs w:val="20"/>
        </w:rPr>
        <w:t xml:space="preserve">d)     walce stalowe gładkie, </w:t>
      </w:r>
    </w:p>
    <w:p w14:paraId="669AFE3B" w14:textId="77777777" w:rsidR="005F2528" w:rsidRPr="00C968CE" w:rsidRDefault="005F2528" w:rsidP="00C968CE">
      <w:pPr>
        <w:spacing w:before="100" w:beforeAutospacing="1" w:after="100" w:afterAutospacing="1" w:line="240" w:lineRule="auto"/>
        <w:ind w:left="1363" w:hanging="1363"/>
        <w:rPr>
          <w:rFonts w:cs="Arial"/>
          <w:szCs w:val="20"/>
        </w:rPr>
      </w:pPr>
      <w:r w:rsidRPr="00C968CE">
        <w:rPr>
          <w:rFonts w:cs="Arial"/>
          <w:szCs w:val="20"/>
        </w:rPr>
        <w:t>e)      lekka rozsypywarka kruszywa,</w:t>
      </w:r>
    </w:p>
    <w:p w14:paraId="63181877" w14:textId="77777777" w:rsidR="005F2528" w:rsidRPr="00C968CE" w:rsidRDefault="005F2528" w:rsidP="00C968CE">
      <w:pPr>
        <w:spacing w:before="100" w:beforeAutospacing="1" w:after="100" w:afterAutospacing="1" w:line="240" w:lineRule="auto"/>
        <w:ind w:left="1363" w:hanging="1363"/>
        <w:rPr>
          <w:rFonts w:cs="Arial"/>
          <w:szCs w:val="20"/>
        </w:rPr>
      </w:pPr>
      <w:r w:rsidRPr="00C968CE">
        <w:rPr>
          <w:rFonts w:cs="Arial"/>
          <w:szCs w:val="20"/>
        </w:rPr>
        <w:t>f)       szczotki mechaniczne i/lub inne urządzenia czyszczące,</w:t>
      </w:r>
    </w:p>
    <w:p w14:paraId="2E6F70D0" w14:textId="77777777" w:rsidR="005F2528" w:rsidRPr="00C968CE" w:rsidRDefault="005F2528" w:rsidP="00C968CE">
      <w:pPr>
        <w:spacing w:before="100" w:beforeAutospacing="1" w:after="100" w:afterAutospacing="1" w:line="240" w:lineRule="auto"/>
        <w:ind w:left="1363" w:hanging="1363"/>
        <w:rPr>
          <w:rFonts w:cs="Arial"/>
          <w:szCs w:val="20"/>
        </w:rPr>
      </w:pPr>
      <w:r w:rsidRPr="00C968CE">
        <w:rPr>
          <w:rFonts w:cs="Arial"/>
          <w:szCs w:val="20"/>
        </w:rPr>
        <w:t>g)      samochody samowyładowcze z przykryciem brezentowym lub termosami,</w:t>
      </w:r>
    </w:p>
    <w:p w14:paraId="04479E67" w14:textId="77777777" w:rsidR="005F2528" w:rsidRPr="00C968CE" w:rsidRDefault="005F2528" w:rsidP="00C968CE">
      <w:pPr>
        <w:spacing w:before="100" w:beforeAutospacing="1" w:after="100" w:afterAutospacing="1" w:line="240" w:lineRule="auto"/>
        <w:ind w:left="1363" w:hanging="1363"/>
        <w:rPr>
          <w:rFonts w:cs="Arial"/>
          <w:szCs w:val="20"/>
        </w:rPr>
      </w:pPr>
      <w:r w:rsidRPr="00C968CE">
        <w:rPr>
          <w:rFonts w:cs="Arial"/>
          <w:szCs w:val="20"/>
        </w:rPr>
        <w:t>h)      sprzęt drobny.</w:t>
      </w:r>
    </w:p>
    <w:p w14:paraId="4A9489CB" w14:textId="77777777" w:rsidR="005F2528" w:rsidRPr="00C968CE" w:rsidRDefault="005F2528" w:rsidP="00C968CE">
      <w:pPr>
        <w:spacing w:before="100" w:beforeAutospacing="1" w:after="100" w:afterAutospacing="1" w:line="240" w:lineRule="auto"/>
        <w:outlineLvl w:val="0"/>
        <w:rPr>
          <w:rFonts w:cs="Arial"/>
          <w:b/>
          <w:bCs/>
          <w:kern w:val="36"/>
          <w:szCs w:val="20"/>
        </w:rPr>
      </w:pPr>
      <w:bookmarkStart w:id="921" w:name="_Toc413234106"/>
      <w:bookmarkStart w:id="922" w:name="_Toc461543721"/>
      <w:r w:rsidRPr="00C968CE">
        <w:rPr>
          <w:rFonts w:cs="Arial"/>
          <w:b/>
          <w:bCs/>
          <w:kern w:val="36"/>
          <w:szCs w:val="20"/>
        </w:rPr>
        <w:t>4. Transport</w:t>
      </w:r>
      <w:bookmarkEnd w:id="921"/>
      <w:bookmarkEnd w:id="922"/>
    </w:p>
    <w:p w14:paraId="644C00C1"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4.1. Ogólne wymagania dotyczące transportu</w:t>
      </w:r>
    </w:p>
    <w:p w14:paraId="52C5CB3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            Ogólne wymagania dotyczące transportu podano w SST D-M-00.00.00 „Wymagania ogólne” [1] pkt 4.            </w:t>
      </w:r>
    </w:p>
    <w:p w14:paraId="09112A43"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 xml:space="preserve">4.2. Transport materiałów </w:t>
      </w:r>
    </w:p>
    <w:p w14:paraId="728F11C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75AAA78E"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Kruszywa można przewozić dowolnymi środkami transportu, w warunkach zabezpieczających je przed zanieczyszczeniem, zmieszaniem z innymi materiałami i nadmiernym zawilgoceniem. </w:t>
      </w:r>
    </w:p>
    <w:p w14:paraId="2EEAFAE2"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07A7732B"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Środek adhezyjny, w opakowaniu producenta, może być przewożony dowolnymi środkami transportu z uwzględnieniem zaleceń producenta. Opakowanie powinno być zabezpieczone tak, aby nie uległo uszkodzeniu. </w:t>
      </w:r>
    </w:p>
    <w:p w14:paraId="3DF9DB8A"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Emulsja asfaltowa może być transportowana w zamkniętych cysternach, autocysternach, beczkach i innych opakowaniach pod warunkiem, że nie będą korodowały pod wpływem emulsji i nie będą powodowały jej rozpadu. Cysterny </w:t>
      </w:r>
      <w:r w:rsidRPr="00C968CE">
        <w:rPr>
          <w:rFonts w:cs="Arial"/>
          <w:szCs w:val="20"/>
        </w:rPr>
        <w:lastRenderedPageBreak/>
        <w:t>powinny być wyposażone w przegrody. Nie należy używać do transportu opakowań z metali lekkich (może zachodzić wydzielanie wodoru i groźba wybuchu przy emulsjach o pH ≤ 4).</w:t>
      </w:r>
    </w:p>
    <w:p w14:paraId="35680956"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733AF7AA" w14:textId="77777777" w:rsidR="00FC279F" w:rsidRPr="00C968CE" w:rsidRDefault="00FC279F" w:rsidP="00C968CE">
      <w:pPr>
        <w:spacing w:before="100" w:beforeAutospacing="1" w:after="100" w:afterAutospacing="1" w:line="240" w:lineRule="auto"/>
        <w:ind w:firstLine="709"/>
        <w:rPr>
          <w:rFonts w:cs="Arial"/>
          <w:szCs w:val="20"/>
        </w:rPr>
      </w:pPr>
      <w:bookmarkStart w:id="923" w:name="_Toc413234107"/>
      <w:r w:rsidRPr="00C968CE">
        <w:rPr>
          <w:rFonts w:cs="Arial"/>
          <w:szCs w:val="20"/>
        </w:rPr>
        <w:t>Powierzchnie pojemników używanych do transportu mieszanki powinny być czyste, a do zwilżania tych powierzchni można używać tylko środki antyadhezyjne niewpływające szkodliwie na mieszankę</w:t>
      </w:r>
      <w:bookmarkEnd w:id="923"/>
      <w:r w:rsidRPr="00C968CE">
        <w:rPr>
          <w:rFonts w:cs="Arial"/>
          <w:szCs w:val="20"/>
        </w:rPr>
        <w:t xml:space="preserve">. Zabrania się skrapiania skrzyń olejem napędowym lub innymi środkami ropopochodnymi. </w:t>
      </w:r>
    </w:p>
    <w:p w14:paraId="383C2347" w14:textId="77777777" w:rsidR="00FC279F" w:rsidRPr="00C968CE" w:rsidRDefault="00FC279F" w:rsidP="00C968CE">
      <w:pPr>
        <w:spacing w:before="100" w:beforeAutospacing="1" w:after="100" w:afterAutospacing="1" w:line="240" w:lineRule="auto"/>
        <w:outlineLvl w:val="0"/>
        <w:rPr>
          <w:rFonts w:cs="Arial"/>
          <w:b/>
          <w:bCs/>
          <w:kern w:val="36"/>
          <w:szCs w:val="20"/>
        </w:rPr>
      </w:pPr>
      <w:bookmarkStart w:id="924" w:name="_Toc461543722"/>
      <w:r w:rsidRPr="00C968CE">
        <w:rPr>
          <w:rFonts w:cs="Arial"/>
          <w:b/>
          <w:bCs/>
          <w:kern w:val="36"/>
          <w:szCs w:val="20"/>
        </w:rPr>
        <w:t>5. Wykonanie robót</w:t>
      </w:r>
      <w:bookmarkEnd w:id="924"/>
    </w:p>
    <w:p w14:paraId="762231A2"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5.1. Ogólne zasady wykonania robót</w:t>
      </w:r>
    </w:p>
    <w:p w14:paraId="18D701B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Ogólne zasady wykonania robót podano w SST D-M-00.00.00 „Wymagania ogólne” [1] pkt 5.</w:t>
      </w:r>
    </w:p>
    <w:p w14:paraId="0B68EE99"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5.2. Projektowanie mieszanki mineralno-asfaltowej</w:t>
      </w:r>
    </w:p>
    <w:p w14:paraId="53960A65" w14:textId="77777777" w:rsidR="00FC279F" w:rsidRPr="00C968CE" w:rsidRDefault="00FC279F" w:rsidP="00C968CE">
      <w:pPr>
        <w:spacing w:before="100" w:beforeAutospacing="1" w:after="100" w:afterAutospacing="1" w:line="240" w:lineRule="auto"/>
        <w:ind w:right="-59"/>
        <w:rPr>
          <w:rFonts w:cs="Arial"/>
          <w:szCs w:val="20"/>
        </w:rPr>
      </w:pPr>
      <w:r w:rsidRPr="00C968CE">
        <w:rPr>
          <w:rFonts w:cs="Arial"/>
          <w:szCs w:val="20"/>
        </w:rPr>
        <w:t>            Przed przystąpieniem do robót Wykonawca dostarczy Inżynierowi do akceptacji projekt składu mieszanki mineralno-asfaltowej (AC16P, AC22P, AC32P),</w:t>
      </w:r>
      <w:r w:rsidRPr="00C968CE">
        <w:rPr>
          <w:rFonts w:cs="Arial"/>
          <w:color w:val="000000"/>
          <w:szCs w:val="20"/>
        </w:rPr>
        <w:t xml:space="preserve"> wyniki badań laboratoryjnych oraz próbki materiałów pobrane w obecności Inżyniera do wykonania badań kontrolnych przez Zamawiającego.</w:t>
      </w:r>
    </w:p>
    <w:p w14:paraId="3E19A1FA" w14:textId="77777777" w:rsidR="00FC279F" w:rsidRPr="00C968CE" w:rsidRDefault="00FC279F" w:rsidP="00C968CE">
      <w:pPr>
        <w:spacing w:before="100" w:beforeAutospacing="1" w:after="100" w:afterAutospacing="1" w:line="240" w:lineRule="auto"/>
        <w:ind w:right="-59" w:firstLine="709"/>
        <w:rPr>
          <w:rFonts w:cs="Arial"/>
          <w:szCs w:val="20"/>
        </w:rPr>
      </w:pPr>
      <w:r w:rsidRPr="00C968CE">
        <w:rPr>
          <w:rFonts w:cs="Arial"/>
          <w:color w:val="000000"/>
          <w:szCs w:val="20"/>
        </w:rPr>
        <w:t xml:space="preserve">Projekt mieszanki mineralno-asfaltowej powinien określać: </w:t>
      </w:r>
    </w:p>
    <w:p w14:paraId="7867D320" w14:textId="77777777" w:rsidR="00FC279F" w:rsidRPr="00C968CE" w:rsidRDefault="00FC279F" w:rsidP="00C968CE">
      <w:pPr>
        <w:autoSpaceDN w:val="0"/>
        <w:spacing w:line="240" w:lineRule="auto"/>
        <w:ind w:left="425" w:right="-59" w:hanging="425"/>
        <w:rPr>
          <w:rFonts w:cs="Arial"/>
          <w:szCs w:val="20"/>
        </w:rPr>
      </w:pPr>
      <w:r w:rsidRPr="00C968CE">
        <w:rPr>
          <w:rFonts w:cs="Arial"/>
          <w:szCs w:val="20"/>
        </w:rPr>
        <w:t xml:space="preserve">-          </w:t>
      </w:r>
      <w:r w:rsidRPr="00C968CE">
        <w:rPr>
          <w:rFonts w:cs="Arial"/>
          <w:color w:val="000000"/>
          <w:szCs w:val="20"/>
        </w:rPr>
        <w:t>źródło wszystkich zastosowanych materiałów,</w:t>
      </w:r>
    </w:p>
    <w:p w14:paraId="421B74A0" w14:textId="77777777" w:rsidR="00FC279F" w:rsidRPr="00C968CE" w:rsidRDefault="00FC279F" w:rsidP="00C968CE">
      <w:pPr>
        <w:autoSpaceDN w:val="0"/>
        <w:spacing w:line="240" w:lineRule="auto"/>
        <w:ind w:left="425" w:right="-59" w:hanging="425"/>
        <w:rPr>
          <w:rFonts w:cs="Arial"/>
          <w:szCs w:val="20"/>
        </w:rPr>
      </w:pPr>
      <w:r w:rsidRPr="00C968CE">
        <w:rPr>
          <w:rFonts w:cs="Arial"/>
          <w:szCs w:val="20"/>
        </w:rPr>
        <w:t xml:space="preserve">-          </w:t>
      </w:r>
      <w:r w:rsidRPr="00C968CE">
        <w:rPr>
          <w:rFonts w:cs="Arial"/>
          <w:color w:val="000000"/>
          <w:szCs w:val="20"/>
        </w:rPr>
        <w:t>proporcje wszystkich składników mieszanki mineralnej,</w:t>
      </w:r>
    </w:p>
    <w:p w14:paraId="3255FDA9" w14:textId="77777777" w:rsidR="00FC279F" w:rsidRPr="00C968CE" w:rsidRDefault="00FC279F" w:rsidP="00C968CE">
      <w:pPr>
        <w:autoSpaceDN w:val="0"/>
        <w:spacing w:line="240" w:lineRule="auto"/>
        <w:ind w:left="425" w:right="-59" w:hanging="425"/>
        <w:rPr>
          <w:rFonts w:cs="Arial"/>
          <w:szCs w:val="20"/>
        </w:rPr>
      </w:pPr>
      <w:r w:rsidRPr="00C968CE">
        <w:rPr>
          <w:rFonts w:cs="Arial"/>
          <w:szCs w:val="20"/>
        </w:rPr>
        <w:t xml:space="preserve">-          </w:t>
      </w:r>
      <w:r w:rsidRPr="00C968CE">
        <w:rPr>
          <w:rFonts w:cs="Arial"/>
          <w:color w:val="000000"/>
          <w:szCs w:val="20"/>
        </w:rPr>
        <w:t>punkty graniczne uziarnienia,</w:t>
      </w:r>
    </w:p>
    <w:p w14:paraId="27F10693" w14:textId="77777777" w:rsidR="00FC279F" w:rsidRPr="00C968CE" w:rsidRDefault="00FC279F" w:rsidP="00C968CE">
      <w:pPr>
        <w:autoSpaceDN w:val="0"/>
        <w:spacing w:line="240" w:lineRule="auto"/>
        <w:ind w:left="425" w:right="-59" w:hanging="425"/>
        <w:rPr>
          <w:rFonts w:cs="Arial"/>
          <w:szCs w:val="20"/>
        </w:rPr>
      </w:pPr>
      <w:r w:rsidRPr="00C968CE">
        <w:rPr>
          <w:rFonts w:cs="Arial"/>
          <w:szCs w:val="20"/>
        </w:rPr>
        <w:t xml:space="preserve">-          </w:t>
      </w:r>
      <w:r w:rsidRPr="00C968CE">
        <w:rPr>
          <w:rFonts w:cs="Arial"/>
          <w:color w:val="000000"/>
          <w:szCs w:val="20"/>
        </w:rPr>
        <w:t>wyniki badań przeprowadzonych w celu określenia właściwości mieszanki i porównanie ich z wymaganiami specyfikacji,</w:t>
      </w:r>
    </w:p>
    <w:p w14:paraId="6496087F" w14:textId="77777777" w:rsidR="00FC279F" w:rsidRPr="00C968CE" w:rsidRDefault="00FC279F" w:rsidP="00C968CE">
      <w:pPr>
        <w:autoSpaceDN w:val="0"/>
        <w:spacing w:line="240" w:lineRule="auto"/>
        <w:ind w:left="425" w:right="-59" w:hanging="425"/>
        <w:rPr>
          <w:rFonts w:cs="Arial"/>
          <w:szCs w:val="20"/>
        </w:rPr>
      </w:pPr>
      <w:r w:rsidRPr="00C968CE">
        <w:rPr>
          <w:rFonts w:cs="Arial"/>
          <w:szCs w:val="20"/>
        </w:rPr>
        <w:t xml:space="preserve">-          </w:t>
      </w:r>
      <w:r w:rsidRPr="00C968CE">
        <w:rPr>
          <w:rFonts w:cs="Arial"/>
          <w:color w:val="000000"/>
          <w:szCs w:val="20"/>
        </w:rPr>
        <w:t xml:space="preserve">wyniki badań dotyczących fizycznych właściwości kruszywa, </w:t>
      </w:r>
    </w:p>
    <w:p w14:paraId="6AD0DAD5" w14:textId="77777777" w:rsidR="00FC279F" w:rsidRPr="00C968CE" w:rsidRDefault="00FC279F" w:rsidP="00C968CE">
      <w:pPr>
        <w:autoSpaceDN w:val="0"/>
        <w:spacing w:line="240" w:lineRule="auto"/>
        <w:ind w:left="425" w:right="-59" w:hanging="425"/>
        <w:rPr>
          <w:rFonts w:cs="Arial"/>
          <w:szCs w:val="20"/>
        </w:rPr>
      </w:pPr>
      <w:r w:rsidRPr="00C968CE">
        <w:rPr>
          <w:rFonts w:cs="Arial"/>
          <w:szCs w:val="20"/>
        </w:rPr>
        <w:t xml:space="preserve">-          </w:t>
      </w:r>
      <w:r w:rsidRPr="00C968CE">
        <w:rPr>
          <w:rFonts w:cs="Arial"/>
          <w:color w:val="000000"/>
          <w:szCs w:val="20"/>
        </w:rPr>
        <w:t xml:space="preserve">temperaturę wytwarzania i układania mieszanki. </w:t>
      </w:r>
    </w:p>
    <w:p w14:paraId="69681064"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W zagęszczaniu próbek laboratoryjnych mieszanek mineralno-asfaltowych należy stosować następujące temperatury mieszanki w zależności stosowanego asfaltu: </w:t>
      </w:r>
    </w:p>
    <w:p w14:paraId="5849C5A3" w14:textId="77777777" w:rsidR="00FC279F" w:rsidRPr="00C968CE" w:rsidRDefault="00FC279F" w:rsidP="00C968CE">
      <w:pPr>
        <w:spacing w:before="100" w:beforeAutospacing="1" w:after="100" w:afterAutospacing="1" w:line="240" w:lineRule="auto"/>
        <w:ind w:left="360" w:hanging="303"/>
        <w:rPr>
          <w:rFonts w:cs="Arial"/>
          <w:szCs w:val="20"/>
        </w:rPr>
      </w:pPr>
      <w:r w:rsidRPr="00C968CE">
        <w:rPr>
          <w:rFonts w:cs="Arial"/>
          <w:szCs w:val="20"/>
        </w:rPr>
        <w:t>–      35/50 i 50/70: 135°C±5°C,</w:t>
      </w:r>
    </w:p>
    <w:p w14:paraId="212FDAFA" w14:textId="77777777" w:rsidR="00FC279F" w:rsidRPr="00C968CE" w:rsidRDefault="00FC279F" w:rsidP="00C968CE">
      <w:pPr>
        <w:spacing w:before="100" w:beforeAutospacing="1" w:after="100" w:afterAutospacing="1" w:line="240" w:lineRule="auto"/>
        <w:ind w:left="360" w:hanging="303"/>
        <w:rPr>
          <w:rFonts w:cs="Arial"/>
          <w:szCs w:val="20"/>
        </w:rPr>
      </w:pPr>
      <w:r w:rsidRPr="00C968CE">
        <w:rPr>
          <w:rFonts w:cs="Arial"/>
          <w:szCs w:val="20"/>
        </w:rPr>
        <w:t>–      MG 50/70-54/64 I MG 35/50-57/69: 140</w:t>
      </w:r>
      <w:r w:rsidRPr="00C968CE">
        <w:rPr>
          <w:rFonts w:cs="Arial"/>
          <w:color w:val="000000"/>
          <w:spacing w:val="1"/>
          <w:szCs w:val="20"/>
        </w:rPr>
        <w:t>°</w:t>
      </w:r>
      <w:r w:rsidRPr="00C968CE">
        <w:rPr>
          <w:rFonts w:cs="Arial"/>
          <w:szCs w:val="20"/>
        </w:rPr>
        <w:t>C</w:t>
      </w:r>
      <w:r w:rsidRPr="00C968CE">
        <w:rPr>
          <w:rFonts w:cs="Arial"/>
          <w:color w:val="000000"/>
          <w:spacing w:val="1"/>
          <w:szCs w:val="20"/>
        </w:rPr>
        <w:t>±5°C,</w:t>
      </w:r>
      <w:r w:rsidRPr="00C968CE">
        <w:rPr>
          <w:rFonts w:cs="Arial"/>
          <w:szCs w:val="20"/>
        </w:rPr>
        <w:t xml:space="preserve"> </w:t>
      </w:r>
    </w:p>
    <w:p w14:paraId="43F07DB7" w14:textId="77777777" w:rsidR="00FC279F" w:rsidRPr="00C968CE" w:rsidRDefault="00FC279F" w:rsidP="00C968CE">
      <w:pPr>
        <w:spacing w:before="100" w:beforeAutospacing="1" w:after="100" w:afterAutospacing="1" w:line="240" w:lineRule="auto"/>
        <w:ind w:left="360" w:hanging="303"/>
        <w:rPr>
          <w:rFonts w:cs="Arial"/>
          <w:szCs w:val="20"/>
        </w:rPr>
      </w:pPr>
      <w:r w:rsidRPr="00C968CE">
        <w:rPr>
          <w:rFonts w:cs="Arial"/>
          <w:szCs w:val="20"/>
        </w:rPr>
        <w:t>–      PMB 25/ 55-60, PMB 25/55-80: 145</w:t>
      </w:r>
      <w:r w:rsidRPr="00C968CE">
        <w:rPr>
          <w:rFonts w:cs="Arial"/>
          <w:color w:val="000000"/>
          <w:spacing w:val="1"/>
          <w:szCs w:val="20"/>
        </w:rPr>
        <w:t>°</w:t>
      </w:r>
      <w:r w:rsidRPr="00C968CE">
        <w:rPr>
          <w:rFonts w:cs="Arial"/>
          <w:szCs w:val="20"/>
        </w:rPr>
        <w:t>C</w:t>
      </w:r>
      <w:r w:rsidRPr="00C968CE">
        <w:rPr>
          <w:rFonts w:cs="Arial"/>
          <w:color w:val="000000"/>
          <w:spacing w:val="1"/>
          <w:szCs w:val="20"/>
        </w:rPr>
        <w:t xml:space="preserve">±5°C. </w:t>
      </w:r>
    </w:p>
    <w:p w14:paraId="7C13A799"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Recepta powinna być zaprojektowana dla konkretnych materiałów, zaakceptowanych przez Inżyniera, do wbudowania i przy wykorzystaniu reprezentatywnych próbek tych materiałów.  </w:t>
      </w:r>
    </w:p>
    <w:p w14:paraId="19119BC9"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Jeżeli mieszanka mineralno-asfaltowa jest dostarczana z kilku wytwórni lub od kilku producentów, to należy zapewnić zgodność typu i wymiaru mieszanki oraz spełnienie wymaganej dokumentacji projektowej.</w:t>
      </w:r>
    </w:p>
    <w:p w14:paraId="53922398"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Każda zmiana składników mieszanki w czasie trwania robót wymaga akceptacji Inżyniera oraz opracowania nowej recepty i jej zatwierdzenia.  </w:t>
      </w:r>
    </w:p>
    <w:p w14:paraId="286C5330"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5EC03187"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lastRenderedPageBreak/>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0E38E0C3"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Zaakceptowana recepta stanowi ważną podstawę produkcji.</w:t>
      </w:r>
    </w:p>
    <w:p w14:paraId="37134EB7"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5.3. Wytwarzanie mieszanki mineralno-asfaltowej</w:t>
      </w:r>
    </w:p>
    <w:p w14:paraId="7ABF8CF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C968CE">
        <w:rPr>
          <w:rFonts w:cs="Arial"/>
          <w:szCs w:val="20"/>
        </w:rPr>
        <w:noBreakHyphen/>
        <w:t xml:space="preserve">EN 13108-21 [55]. </w:t>
      </w:r>
    </w:p>
    <w:p w14:paraId="218F81F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197A07C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w pkcie 2.2.</w:t>
      </w:r>
    </w:p>
    <w:p w14:paraId="7987FF81" w14:textId="77777777" w:rsidR="00FC279F" w:rsidRPr="00C968CE" w:rsidRDefault="00FC279F" w:rsidP="00C968CE">
      <w:pPr>
        <w:spacing w:before="100" w:beforeAutospacing="1" w:after="100" w:afterAutospacing="1" w:line="240" w:lineRule="auto"/>
        <w:ind w:firstLine="708"/>
        <w:rPr>
          <w:rFonts w:cs="Arial"/>
          <w:szCs w:val="20"/>
        </w:rPr>
      </w:pPr>
      <w:r w:rsidRPr="00C968CE">
        <w:rPr>
          <w:rFonts w:cs="Arial"/>
          <w:szCs w:val="20"/>
        </w:rPr>
        <w:t>Kruszywo (ewentualnie z wypełniaczem) powinno być wysuszone i podgrzane tak, aby mieszanka mineralna uzyskała temperaturę właściwą do otoczenia lepiszczem asfaltowym. Temperatura mieszanki mineralnej nie powinna być wyższa o więcej niż 30°C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7161DEE3" w14:textId="77777777" w:rsidR="00FC279F" w:rsidRPr="00C968CE" w:rsidRDefault="00FC279F" w:rsidP="00C968CE">
      <w:pPr>
        <w:spacing w:before="120" w:after="120" w:line="240" w:lineRule="auto"/>
        <w:rPr>
          <w:rFonts w:cs="Arial"/>
          <w:szCs w:val="20"/>
        </w:rPr>
      </w:pPr>
      <w:r w:rsidRPr="00C968CE">
        <w:rPr>
          <w:rFonts w:cs="Arial"/>
          <w:szCs w:val="20"/>
        </w:rPr>
        <w:t xml:space="preserve">Tablica 24. Najwyższa i najniższa temperatura mieszanki AC </w:t>
      </w:r>
    </w:p>
    <w:tbl>
      <w:tblPr>
        <w:tblW w:w="0" w:type="auto"/>
        <w:tblInd w:w="113" w:type="dxa"/>
        <w:tblCellMar>
          <w:left w:w="0" w:type="dxa"/>
          <w:right w:w="0" w:type="dxa"/>
        </w:tblCellMar>
        <w:tblLook w:val="04A0" w:firstRow="1" w:lastRow="0" w:firstColumn="1" w:lastColumn="0" w:noHBand="0" w:noVBand="1"/>
      </w:tblPr>
      <w:tblGrid>
        <w:gridCol w:w="2371"/>
        <w:gridCol w:w="2590"/>
      </w:tblGrid>
      <w:tr w:rsidR="00FC279F" w:rsidRPr="00C968CE" w14:paraId="73076190" w14:textId="77777777" w:rsidTr="00FC279F">
        <w:tc>
          <w:tcPr>
            <w:tcW w:w="2371"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hideMark/>
          </w:tcPr>
          <w:p w14:paraId="52B0A160" w14:textId="77777777" w:rsidR="00FC279F" w:rsidRPr="00C968CE" w:rsidRDefault="00FC279F" w:rsidP="00C968CE">
            <w:pPr>
              <w:spacing w:before="60" w:after="60" w:line="240" w:lineRule="auto"/>
              <w:rPr>
                <w:rFonts w:cs="Arial"/>
                <w:szCs w:val="20"/>
              </w:rPr>
            </w:pPr>
            <w:r w:rsidRPr="00C968CE">
              <w:rPr>
                <w:rFonts w:cs="Arial"/>
                <w:szCs w:val="20"/>
              </w:rPr>
              <w:t>Lepiszcze asfaltowe</w:t>
            </w:r>
          </w:p>
        </w:tc>
        <w:tc>
          <w:tcPr>
            <w:tcW w:w="2590"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5D2BC3E7" w14:textId="77777777" w:rsidR="00FC279F" w:rsidRPr="00C968CE" w:rsidRDefault="00FC279F" w:rsidP="00C968CE">
            <w:pPr>
              <w:spacing w:before="60" w:after="60" w:line="240" w:lineRule="auto"/>
              <w:rPr>
                <w:rFonts w:cs="Arial"/>
                <w:szCs w:val="20"/>
              </w:rPr>
            </w:pPr>
            <w:r w:rsidRPr="00C968CE">
              <w:rPr>
                <w:rFonts w:cs="Arial"/>
                <w:szCs w:val="20"/>
              </w:rPr>
              <w:t>Temperatura mieszanki [°C]</w:t>
            </w:r>
          </w:p>
        </w:tc>
      </w:tr>
      <w:tr w:rsidR="00FC279F" w:rsidRPr="00C968CE" w14:paraId="05324713" w14:textId="77777777" w:rsidTr="00FC279F">
        <w:tc>
          <w:tcPr>
            <w:tcW w:w="2371"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D36B9AF" w14:textId="77777777" w:rsidR="00FC279F" w:rsidRPr="00C968CE" w:rsidRDefault="00FC279F" w:rsidP="00C968CE">
            <w:pPr>
              <w:spacing w:before="60" w:after="100" w:afterAutospacing="1" w:line="240" w:lineRule="auto"/>
              <w:rPr>
                <w:rFonts w:cs="Arial"/>
                <w:szCs w:val="20"/>
                <w:lang w:val="en-US"/>
              </w:rPr>
            </w:pPr>
            <w:r w:rsidRPr="00C968CE">
              <w:rPr>
                <w:rFonts w:cs="Arial"/>
                <w:szCs w:val="20"/>
                <w:lang w:val="en-US"/>
              </w:rPr>
              <w:t>Asfalt 35/50</w:t>
            </w:r>
          </w:p>
          <w:p w14:paraId="377E6FD4" w14:textId="77777777" w:rsidR="00FC279F" w:rsidRPr="00C968CE" w:rsidRDefault="00FC279F" w:rsidP="00C968CE">
            <w:pPr>
              <w:spacing w:before="60" w:after="100" w:afterAutospacing="1" w:line="240" w:lineRule="auto"/>
              <w:rPr>
                <w:rFonts w:cs="Arial"/>
                <w:szCs w:val="20"/>
                <w:lang w:val="en-US"/>
              </w:rPr>
            </w:pPr>
            <w:r w:rsidRPr="00C968CE">
              <w:rPr>
                <w:rFonts w:cs="Arial"/>
                <w:szCs w:val="20"/>
                <w:lang w:val="en-US"/>
              </w:rPr>
              <w:t>Asfalt 50/70</w:t>
            </w:r>
          </w:p>
          <w:p w14:paraId="0894D83C" w14:textId="77777777" w:rsidR="00FC279F" w:rsidRPr="00C968CE" w:rsidRDefault="00FC279F" w:rsidP="00C968CE">
            <w:pPr>
              <w:spacing w:before="60" w:after="100" w:afterAutospacing="1" w:line="240" w:lineRule="auto"/>
              <w:rPr>
                <w:rFonts w:cs="Arial"/>
                <w:szCs w:val="20"/>
                <w:lang w:val="en-US"/>
              </w:rPr>
            </w:pPr>
            <w:r w:rsidRPr="00C968CE">
              <w:rPr>
                <w:rFonts w:cs="Arial"/>
                <w:szCs w:val="20"/>
                <w:lang w:val="en-US"/>
              </w:rPr>
              <w:t>PMB 25/55-60</w:t>
            </w:r>
          </w:p>
          <w:p w14:paraId="51381C76" w14:textId="77777777" w:rsidR="00FC279F" w:rsidRPr="00C968CE" w:rsidRDefault="00FC279F" w:rsidP="00C968CE">
            <w:pPr>
              <w:spacing w:before="60" w:after="100" w:afterAutospacing="1" w:line="240" w:lineRule="auto"/>
              <w:rPr>
                <w:rFonts w:cs="Arial"/>
                <w:szCs w:val="20"/>
                <w:lang w:val="en-US"/>
              </w:rPr>
            </w:pPr>
            <w:r w:rsidRPr="00C968CE">
              <w:rPr>
                <w:rFonts w:cs="Arial"/>
                <w:szCs w:val="20"/>
                <w:lang w:val="en-US"/>
              </w:rPr>
              <w:t>PMB 25/55-80</w:t>
            </w:r>
          </w:p>
          <w:p w14:paraId="70A8AA37" w14:textId="77777777" w:rsidR="00FC279F" w:rsidRPr="00C968CE" w:rsidRDefault="00FC279F" w:rsidP="00C968CE">
            <w:pPr>
              <w:spacing w:before="60" w:after="100" w:afterAutospacing="1" w:line="240" w:lineRule="auto"/>
              <w:rPr>
                <w:rFonts w:cs="Arial"/>
                <w:szCs w:val="20"/>
                <w:lang w:val="en-US"/>
              </w:rPr>
            </w:pPr>
            <w:r w:rsidRPr="00C968CE">
              <w:rPr>
                <w:rFonts w:cs="Arial"/>
                <w:szCs w:val="20"/>
                <w:lang w:val="en-US"/>
              </w:rPr>
              <w:t>MG 50/70-54/64</w:t>
            </w:r>
          </w:p>
          <w:p w14:paraId="1196E789" w14:textId="77777777" w:rsidR="00FC279F" w:rsidRPr="00C968CE" w:rsidRDefault="00FC279F" w:rsidP="00C968CE">
            <w:pPr>
              <w:spacing w:before="60" w:after="100" w:afterAutospacing="1" w:line="240" w:lineRule="auto"/>
              <w:rPr>
                <w:rFonts w:cs="Arial"/>
                <w:szCs w:val="20"/>
              </w:rPr>
            </w:pPr>
            <w:r w:rsidRPr="00C968CE">
              <w:rPr>
                <w:rFonts w:cs="Arial"/>
                <w:szCs w:val="20"/>
                <w:lang w:val="en-US"/>
              </w:rPr>
              <w:t>MG 35/50-57/69</w:t>
            </w:r>
          </w:p>
        </w:tc>
        <w:tc>
          <w:tcPr>
            <w:tcW w:w="2590" w:type="dxa"/>
            <w:tcBorders>
              <w:top w:val="nil"/>
              <w:left w:val="nil"/>
              <w:bottom w:val="single" w:sz="8" w:space="0" w:color="auto"/>
              <w:right w:val="single" w:sz="8" w:space="0" w:color="auto"/>
            </w:tcBorders>
            <w:noWrap/>
            <w:tcMar>
              <w:top w:w="0" w:type="dxa"/>
              <w:left w:w="108" w:type="dxa"/>
              <w:bottom w:w="0" w:type="dxa"/>
              <w:right w:w="108" w:type="dxa"/>
            </w:tcMar>
            <w:hideMark/>
          </w:tcPr>
          <w:p w14:paraId="653D2771" w14:textId="77777777" w:rsidR="00FC279F" w:rsidRPr="00C968CE" w:rsidRDefault="00FC279F" w:rsidP="00C968CE">
            <w:pPr>
              <w:spacing w:before="60" w:after="100" w:afterAutospacing="1" w:line="240" w:lineRule="auto"/>
              <w:rPr>
                <w:rFonts w:cs="Arial"/>
                <w:szCs w:val="20"/>
              </w:rPr>
            </w:pPr>
            <w:r w:rsidRPr="00C968CE">
              <w:rPr>
                <w:rFonts w:cs="Arial"/>
                <w:szCs w:val="20"/>
              </w:rPr>
              <w:t>od 150 do 190</w:t>
            </w:r>
          </w:p>
          <w:p w14:paraId="761F0E7D" w14:textId="77777777" w:rsidR="00FC279F" w:rsidRPr="00C968CE" w:rsidRDefault="00FC279F" w:rsidP="00C968CE">
            <w:pPr>
              <w:spacing w:before="60" w:after="100" w:afterAutospacing="1" w:line="240" w:lineRule="auto"/>
              <w:rPr>
                <w:rFonts w:cs="Arial"/>
                <w:szCs w:val="20"/>
              </w:rPr>
            </w:pPr>
            <w:r w:rsidRPr="00C968CE">
              <w:rPr>
                <w:rFonts w:cs="Arial"/>
                <w:szCs w:val="20"/>
              </w:rPr>
              <w:t>od 140 do 180</w:t>
            </w:r>
          </w:p>
          <w:p w14:paraId="207BB597" w14:textId="77777777" w:rsidR="00FC279F" w:rsidRPr="00C968CE" w:rsidRDefault="00FC279F" w:rsidP="00C968CE">
            <w:pPr>
              <w:spacing w:before="60" w:after="100" w:afterAutospacing="1" w:line="240" w:lineRule="auto"/>
              <w:rPr>
                <w:rFonts w:cs="Arial"/>
                <w:szCs w:val="20"/>
              </w:rPr>
            </w:pPr>
            <w:r w:rsidRPr="00C968CE">
              <w:rPr>
                <w:rFonts w:cs="Arial"/>
                <w:szCs w:val="20"/>
              </w:rPr>
              <w:t>wg wskazań producenta</w:t>
            </w:r>
          </w:p>
          <w:p w14:paraId="44F23626" w14:textId="77777777" w:rsidR="00FC279F" w:rsidRPr="00C968CE" w:rsidRDefault="00FC279F" w:rsidP="00C968CE">
            <w:pPr>
              <w:spacing w:before="60" w:after="100" w:afterAutospacing="1" w:line="240" w:lineRule="auto"/>
              <w:rPr>
                <w:rFonts w:cs="Arial"/>
                <w:szCs w:val="20"/>
              </w:rPr>
            </w:pPr>
            <w:r w:rsidRPr="00C968CE">
              <w:rPr>
                <w:rFonts w:cs="Arial"/>
                <w:szCs w:val="20"/>
              </w:rPr>
              <w:t>wg wskazań producenta</w:t>
            </w:r>
          </w:p>
          <w:p w14:paraId="1B1436E9" w14:textId="77777777" w:rsidR="00FC279F" w:rsidRPr="00C968CE" w:rsidRDefault="00FC279F" w:rsidP="00C968CE">
            <w:pPr>
              <w:spacing w:before="60" w:after="100" w:afterAutospacing="1" w:line="240" w:lineRule="auto"/>
              <w:rPr>
                <w:rFonts w:cs="Arial"/>
                <w:szCs w:val="20"/>
              </w:rPr>
            </w:pPr>
            <w:r w:rsidRPr="00C968CE">
              <w:rPr>
                <w:rFonts w:cs="Arial"/>
                <w:szCs w:val="20"/>
              </w:rPr>
              <w:t>wg wskazań producenta</w:t>
            </w:r>
          </w:p>
          <w:p w14:paraId="718B39B8" w14:textId="77777777" w:rsidR="00FC279F" w:rsidRPr="00C968CE" w:rsidRDefault="00FC279F" w:rsidP="00C968CE">
            <w:pPr>
              <w:spacing w:before="60" w:after="100" w:afterAutospacing="1" w:line="240" w:lineRule="auto"/>
              <w:rPr>
                <w:rFonts w:cs="Arial"/>
                <w:szCs w:val="20"/>
              </w:rPr>
            </w:pPr>
            <w:r w:rsidRPr="00C968CE">
              <w:rPr>
                <w:rFonts w:cs="Arial"/>
                <w:szCs w:val="20"/>
              </w:rPr>
              <w:t>wg wskazań producenta</w:t>
            </w:r>
          </w:p>
        </w:tc>
      </w:tr>
    </w:tbl>
    <w:p w14:paraId="74DD67DC" w14:textId="77777777" w:rsidR="00FC279F" w:rsidRPr="00C968CE" w:rsidRDefault="00FC279F" w:rsidP="00C968CE">
      <w:pPr>
        <w:spacing w:before="120" w:after="100" w:afterAutospacing="1" w:line="240" w:lineRule="auto"/>
        <w:ind w:firstLine="709"/>
        <w:rPr>
          <w:rFonts w:cs="Arial"/>
          <w:szCs w:val="20"/>
        </w:rPr>
      </w:pPr>
      <w:r w:rsidRPr="00C968CE">
        <w:rPr>
          <w:rFonts w:cs="Arial"/>
          <w:szCs w:val="20"/>
        </w:rPr>
        <w:t>Podana temperatura nie znajduje zastosowania do mieszanek mineralno-asfaltowych, do których jest dodawany dodatek w celu obniżenia temperatury jej wytwarzania i wbudowania lub gdy stosowane lepiszcze asfaltowe zawiera taki środek.</w:t>
      </w:r>
    </w:p>
    <w:p w14:paraId="6CE65975" w14:textId="77777777" w:rsidR="00FC279F" w:rsidRPr="00C968CE" w:rsidRDefault="00FC279F" w:rsidP="00C968CE">
      <w:pPr>
        <w:spacing w:before="100" w:beforeAutospacing="1" w:after="100" w:afterAutospacing="1" w:line="240" w:lineRule="auto"/>
        <w:ind w:firstLine="708"/>
        <w:rPr>
          <w:rFonts w:cs="Arial"/>
          <w:szCs w:val="20"/>
        </w:rPr>
      </w:pPr>
      <w:r w:rsidRPr="00C968CE">
        <w:rPr>
          <w:rFonts w:cs="Arial"/>
          <w:szCs w:val="20"/>
        </w:rPr>
        <w:t>Sposób i czas mieszania należy tak dobrać, aby wszystkie kruszywa zostały w całości, równomiernie otoczone lepiszczem i aby dodatki wmieszały się, tworząc jednolitą mieszankę, kolejność dozowania materiałów do mieszalnika ma duże znaczenie dla jakości produkowanej mieszanki.</w:t>
      </w:r>
    </w:p>
    <w:p w14:paraId="5C02C52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Dopuszcza się dostawy mieszanek mineralno-asfaltowych z kilku wytwórni, pod warunkiem skoordynowania między sobą deklarowanych przydatności mieszanek (m.in.: typ, rodzaj składników, właściwości objętościowe) z zachowaniem dopuszczalnych różnic ich składu:</w:t>
      </w:r>
    </w:p>
    <w:p w14:paraId="715164EB"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zawartość lepiszcza: 0,3% (m/m),</w:t>
      </w:r>
    </w:p>
    <w:p w14:paraId="5A9974B8"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zawartość kruszywa drobnego: 3,0% (m/m),</w:t>
      </w:r>
    </w:p>
    <w:p w14:paraId="4C1F9FAB"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zawartość wypełniacza: 1,0% (m/m).</w:t>
      </w:r>
    </w:p>
    <w:p w14:paraId="743D4161"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lastRenderedPageBreak/>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6D021368" w14:textId="77777777" w:rsidR="00FC279F" w:rsidRPr="00C968CE" w:rsidRDefault="00FC279F" w:rsidP="00C968CE">
      <w:pPr>
        <w:spacing w:before="100" w:beforeAutospacing="1" w:after="100" w:afterAutospacing="1" w:line="240" w:lineRule="auto"/>
        <w:ind w:firstLine="708"/>
        <w:rPr>
          <w:rFonts w:cs="Arial"/>
          <w:szCs w:val="20"/>
        </w:rPr>
      </w:pPr>
      <w:r w:rsidRPr="00C968CE">
        <w:rPr>
          <w:rFonts w:cs="Arial"/>
          <w:szCs w:val="20"/>
        </w:rPr>
        <w:t xml:space="preserve">Produkcja powinna być tak zaplanowana, aby nie dopuścić do zbyt długiego przechowywania mieszanki w silosach; należy wykluczyć możliwość szkodliwych zmian. </w:t>
      </w:r>
    </w:p>
    <w:p w14:paraId="03AF6FA6" w14:textId="77777777" w:rsidR="00FC279F" w:rsidRPr="00C968CE" w:rsidRDefault="00FC279F" w:rsidP="00C968CE">
      <w:pPr>
        <w:spacing w:before="100" w:beforeAutospacing="1" w:after="100" w:afterAutospacing="1" w:line="240" w:lineRule="auto"/>
        <w:ind w:firstLine="708"/>
        <w:rPr>
          <w:rFonts w:cs="Arial"/>
          <w:szCs w:val="20"/>
        </w:rPr>
      </w:pPr>
      <w:r w:rsidRPr="00C968CE">
        <w:rPr>
          <w:rFonts w:cs="Arial"/>
          <w:szCs w:val="20"/>
        </w:rPr>
        <w:t>Czas przechowywania – magazynowania mieszanki  MMA powinien uwzględniać możliwości wytwórni (sposób podgrzewania silosów gotowej mieszanki MMA i rodzaj izolacji), warunki atmosferyczne  oraz czas transportu na budowę.</w:t>
      </w:r>
    </w:p>
    <w:p w14:paraId="7C5AF84F"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5.4. Przygotowanie podłoża</w:t>
      </w:r>
    </w:p>
    <w:p w14:paraId="48F4FA1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Podłoże (podbudowa z kruszywa niezwiązanego lub związanego) pod warstwę podbudowy z betonu asfaltowego powinno być na całej powierzchni:</w:t>
      </w:r>
    </w:p>
    <w:p w14:paraId="792A3251"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ustabilizowane i nośne,</w:t>
      </w:r>
    </w:p>
    <w:p w14:paraId="62D94CF4"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czyste, bez zanieczyszczenia lub pozostałości luźnego kruszywa,</w:t>
      </w:r>
    </w:p>
    <w:p w14:paraId="456A0C79"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wyprofilowane, równe i bez kolein,</w:t>
      </w:r>
    </w:p>
    <w:p w14:paraId="106D6403"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suche,</w:t>
      </w:r>
    </w:p>
    <w:p w14:paraId="4FA289B3"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skropione emulsją asfaltową lub asfaltem zapewniającym powiązanie warstw.</w:t>
      </w:r>
    </w:p>
    <w:p w14:paraId="2989843A"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Maksymalne nierówności podłoża pod warstwę podbudowy, nie powinny przekraczać wartości podanych w tablicy 25.</w:t>
      </w:r>
    </w:p>
    <w:p w14:paraId="1BA263A3" w14:textId="77777777" w:rsidR="00FC279F" w:rsidRPr="00C968CE" w:rsidRDefault="00FC279F" w:rsidP="00C968CE">
      <w:pPr>
        <w:spacing w:before="120" w:after="120" w:line="240" w:lineRule="auto"/>
        <w:ind w:left="1320" w:hanging="1320"/>
        <w:rPr>
          <w:rFonts w:cs="Arial"/>
          <w:szCs w:val="20"/>
        </w:rPr>
      </w:pPr>
      <w:r w:rsidRPr="00C968CE">
        <w:rPr>
          <w:rFonts w:cs="Arial"/>
          <w:szCs w:val="20"/>
        </w:rPr>
        <w:t xml:space="preserve">Tablica 25.     Maksymalne nierówności podłoża pod warstwę podbudowy z betonu asfaltowego (pomiar łatą 4-metrową lub równoważną metodą) </w:t>
      </w:r>
    </w:p>
    <w:tbl>
      <w:tblPr>
        <w:tblW w:w="0" w:type="auto"/>
        <w:tblCellMar>
          <w:left w:w="0" w:type="dxa"/>
          <w:right w:w="0" w:type="dxa"/>
        </w:tblCellMar>
        <w:tblLook w:val="04A0" w:firstRow="1" w:lastRow="0" w:firstColumn="1" w:lastColumn="0" w:noHBand="0" w:noVBand="1"/>
      </w:tblPr>
      <w:tblGrid>
        <w:gridCol w:w="1242"/>
        <w:gridCol w:w="5226"/>
        <w:gridCol w:w="2535"/>
      </w:tblGrid>
      <w:tr w:rsidR="00FC279F" w:rsidRPr="00C968CE" w14:paraId="7F5A84C6" w14:textId="77777777" w:rsidTr="00FC279F">
        <w:tc>
          <w:tcPr>
            <w:tcW w:w="1242"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hideMark/>
          </w:tcPr>
          <w:p w14:paraId="3FD5316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70D4A69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Klasa drogi</w:t>
            </w:r>
          </w:p>
        </w:tc>
        <w:tc>
          <w:tcPr>
            <w:tcW w:w="5226"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2908B45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4DFB6F9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Element nawierzchni</w:t>
            </w:r>
          </w:p>
        </w:tc>
        <w:tc>
          <w:tcPr>
            <w:tcW w:w="2535"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41F56CC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Maksymalna nierówność podłoża pod warstwę podbudowy [mm]</w:t>
            </w:r>
          </w:p>
        </w:tc>
      </w:tr>
      <w:tr w:rsidR="00FC279F" w:rsidRPr="00C968CE" w14:paraId="247E06C2" w14:textId="77777777" w:rsidTr="00FC279F">
        <w:tc>
          <w:tcPr>
            <w:tcW w:w="1242"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4EA49D82"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A, S, GP</w:t>
            </w:r>
          </w:p>
        </w:tc>
        <w:tc>
          <w:tcPr>
            <w:tcW w:w="5226" w:type="dxa"/>
            <w:tcBorders>
              <w:top w:val="nil"/>
              <w:left w:val="nil"/>
              <w:bottom w:val="single" w:sz="8" w:space="0" w:color="auto"/>
              <w:right w:val="single" w:sz="8" w:space="0" w:color="auto"/>
            </w:tcBorders>
            <w:noWrap/>
            <w:tcMar>
              <w:top w:w="0" w:type="dxa"/>
              <w:left w:w="108" w:type="dxa"/>
              <w:bottom w:w="0" w:type="dxa"/>
              <w:right w:w="108" w:type="dxa"/>
            </w:tcMar>
            <w:hideMark/>
          </w:tcPr>
          <w:p w14:paraId="1C3B6E8D"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Pasy ruchu zasadnicze, awaryjne, dodatkowe, </w:t>
            </w:r>
          </w:p>
          <w:p w14:paraId="2F0CE766"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włączenia i wyłączenia, jezdnie łącznic, </w:t>
            </w:r>
          </w:p>
          <w:p w14:paraId="1D15F52B"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utwardzone pobocza </w:t>
            </w:r>
          </w:p>
        </w:tc>
        <w:tc>
          <w:tcPr>
            <w:tcW w:w="2535" w:type="dxa"/>
            <w:tcBorders>
              <w:top w:val="nil"/>
              <w:left w:val="nil"/>
              <w:bottom w:val="single" w:sz="8" w:space="0" w:color="auto"/>
              <w:right w:val="single" w:sz="8" w:space="0" w:color="auto"/>
            </w:tcBorders>
            <w:noWrap/>
            <w:tcMar>
              <w:top w:w="0" w:type="dxa"/>
              <w:left w:w="108" w:type="dxa"/>
              <w:bottom w:w="0" w:type="dxa"/>
              <w:right w:w="108" w:type="dxa"/>
            </w:tcMar>
            <w:hideMark/>
          </w:tcPr>
          <w:p w14:paraId="6E6B468A" w14:textId="77777777" w:rsidR="00FC279F" w:rsidRPr="00C968CE" w:rsidRDefault="00FC279F" w:rsidP="00C968CE">
            <w:pPr>
              <w:spacing w:before="120" w:after="100" w:afterAutospacing="1" w:line="240" w:lineRule="auto"/>
              <w:rPr>
                <w:rFonts w:cs="Arial"/>
                <w:szCs w:val="20"/>
              </w:rPr>
            </w:pPr>
            <w:r w:rsidRPr="00C968CE">
              <w:rPr>
                <w:rFonts w:cs="Arial"/>
                <w:szCs w:val="20"/>
              </w:rPr>
              <w:t>12</w:t>
            </w:r>
          </w:p>
        </w:tc>
      </w:tr>
      <w:tr w:rsidR="00FC279F" w:rsidRPr="00C968CE" w14:paraId="7CCA10D6"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11D6063D" w14:textId="77777777" w:rsidR="00FC279F" w:rsidRPr="00C968CE" w:rsidRDefault="00FC279F" w:rsidP="00C968CE">
            <w:pPr>
              <w:spacing w:line="240" w:lineRule="auto"/>
              <w:rPr>
                <w:rFonts w:cs="Arial"/>
                <w:szCs w:val="20"/>
              </w:rPr>
            </w:pPr>
          </w:p>
        </w:tc>
        <w:tc>
          <w:tcPr>
            <w:tcW w:w="5226" w:type="dxa"/>
            <w:tcBorders>
              <w:top w:val="nil"/>
              <w:left w:val="nil"/>
              <w:bottom w:val="single" w:sz="8" w:space="0" w:color="auto"/>
              <w:right w:val="single" w:sz="8" w:space="0" w:color="auto"/>
            </w:tcBorders>
            <w:noWrap/>
            <w:tcMar>
              <w:top w:w="0" w:type="dxa"/>
              <w:left w:w="108" w:type="dxa"/>
              <w:bottom w:w="0" w:type="dxa"/>
              <w:right w:w="108" w:type="dxa"/>
            </w:tcMar>
            <w:hideMark/>
          </w:tcPr>
          <w:p w14:paraId="5ABA09C1" w14:textId="77777777" w:rsidR="00FC279F" w:rsidRPr="00C968CE" w:rsidRDefault="00FC279F" w:rsidP="00C968CE">
            <w:pPr>
              <w:spacing w:before="60" w:after="60" w:line="240" w:lineRule="auto"/>
              <w:rPr>
                <w:rFonts w:cs="Arial"/>
                <w:szCs w:val="20"/>
              </w:rPr>
            </w:pPr>
            <w:r w:rsidRPr="00C968CE">
              <w:rPr>
                <w:rFonts w:cs="Arial"/>
                <w:szCs w:val="20"/>
              </w:rPr>
              <w:t>Jezdnie MOP</w:t>
            </w:r>
          </w:p>
        </w:tc>
        <w:tc>
          <w:tcPr>
            <w:tcW w:w="2535" w:type="dxa"/>
            <w:tcBorders>
              <w:top w:val="nil"/>
              <w:left w:val="nil"/>
              <w:bottom w:val="single" w:sz="8" w:space="0" w:color="auto"/>
              <w:right w:val="single" w:sz="8" w:space="0" w:color="auto"/>
            </w:tcBorders>
            <w:noWrap/>
            <w:tcMar>
              <w:top w:w="0" w:type="dxa"/>
              <w:left w:w="108" w:type="dxa"/>
              <w:bottom w:w="0" w:type="dxa"/>
              <w:right w:w="108" w:type="dxa"/>
            </w:tcMar>
            <w:hideMark/>
          </w:tcPr>
          <w:p w14:paraId="2E1528C6" w14:textId="77777777" w:rsidR="00FC279F" w:rsidRPr="00C968CE" w:rsidRDefault="00FC279F" w:rsidP="00C968CE">
            <w:pPr>
              <w:spacing w:before="60" w:after="60" w:line="240" w:lineRule="auto"/>
              <w:rPr>
                <w:rFonts w:cs="Arial"/>
                <w:szCs w:val="20"/>
              </w:rPr>
            </w:pPr>
            <w:r w:rsidRPr="00C968CE">
              <w:rPr>
                <w:rFonts w:cs="Arial"/>
                <w:szCs w:val="20"/>
              </w:rPr>
              <w:t>15</w:t>
            </w:r>
          </w:p>
        </w:tc>
      </w:tr>
      <w:tr w:rsidR="00FC279F" w:rsidRPr="00C968CE" w14:paraId="6183326F" w14:textId="77777777" w:rsidTr="00FC279F">
        <w:tc>
          <w:tcPr>
            <w:tcW w:w="1242"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EF4EAEF"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G, Z</w:t>
            </w:r>
          </w:p>
        </w:tc>
        <w:tc>
          <w:tcPr>
            <w:tcW w:w="5226" w:type="dxa"/>
            <w:tcBorders>
              <w:top w:val="nil"/>
              <w:left w:val="nil"/>
              <w:bottom w:val="single" w:sz="8" w:space="0" w:color="auto"/>
              <w:right w:val="single" w:sz="8" w:space="0" w:color="auto"/>
            </w:tcBorders>
            <w:noWrap/>
            <w:tcMar>
              <w:top w:w="0" w:type="dxa"/>
              <w:left w:w="108" w:type="dxa"/>
              <w:bottom w:w="0" w:type="dxa"/>
              <w:right w:w="108" w:type="dxa"/>
            </w:tcMar>
            <w:hideMark/>
          </w:tcPr>
          <w:p w14:paraId="44E5C324"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Pasy ruchu zasadnicze, </w:t>
            </w:r>
          </w:p>
          <w:p w14:paraId="3D7C20B5"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dodatkowe, włączenia </w:t>
            </w:r>
          </w:p>
          <w:p w14:paraId="5DFF976B"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i wyłączenia, postojowe, </w:t>
            </w:r>
          </w:p>
          <w:p w14:paraId="3160D1A4"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utwardzone pobocza </w:t>
            </w:r>
          </w:p>
          <w:p w14:paraId="6A575E63"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w:t>
            </w:r>
          </w:p>
        </w:tc>
        <w:tc>
          <w:tcPr>
            <w:tcW w:w="2535" w:type="dxa"/>
            <w:tcBorders>
              <w:top w:val="nil"/>
              <w:left w:val="nil"/>
              <w:bottom w:val="single" w:sz="8" w:space="0" w:color="auto"/>
              <w:right w:val="single" w:sz="8" w:space="0" w:color="auto"/>
            </w:tcBorders>
            <w:noWrap/>
            <w:tcMar>
              <w:top w:w="0" w:type="dxa"/>
              <w:left w:w="108" w:type="dxa"/>
              <w:bottom w:w="0" w:type="dxa"/>
              <w:right w:w="108" w:type="dxa"/>
            </w:tcMar>
            <w:hideMark/>
          </w:tcPr>
          <w:p w14:paraId="34CCE5B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3394761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15</w:t>
            </w:r>
          </w:p>
        </w:tc>
      </w:tr>
      <w:tr w:rsidR="00FC279F" w:rsidRPr="00C968CE" w14:paraId="20D9AB32" w14:textId="77777777" w:rsidTr="00FC279F">
        <w:tc>
          <w:tcPr>
            <w:tcW w:w="1242"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0132C39D"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L, D, place, parkingi</w:t>
            </w:r>
          </w:p>
        </w:tc>
        <w:tc>
          <w:tcPr>
            <w:tcW w:w="5226" w:type="dxa"/>
            <w:tcBorders>
              <w:top w:val="nil"/>
              <w:left w:val="nil"/>
              <w:bottom w:val="single" w:sz="8" w:space="0" w:color="auto"/>
              <w:right w:val="single" w:sz="8" w:space="0" w:color="auto"/>
            </w:tcBorders>
            <w:noWrap/>
            <w:tcMar>
              <w:top w:w="0" w:type="dxa"/>
              <w:left w:w="108" w:type="dxa"/>
              <w:bottom w:w="0" w:type="dxa"/>
              <w:right w:w="108" w:type="dxa"/>
            </w:tcMar>
            <w:hideMark/>
          </w:tcPr>
          <w:p w14:paraId="1387181C"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Wszystkie pasy ruchu </w:t>
            </w:r>
          </w:p>
          <w:p w14:paraId="40B494E2"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i powierzchnie </w:t>
            </w:r>
          </w:p>
          <w:p w14:paraId="6AC0759B"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przeznaczone do ruchu </w:t>
            </w:r>
          </w:p>
          <w:p w14:paraId="746CB92F"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i postoju pojazdów </w:t>
            </w:r>
          </w:p>
        </w:tc>
        <w:tc>
          <w:tcPr>
            <w:tcW w:w="2535" w:type="dxa"/>
            <w:tcBorders>
              <w:top w:val="nil"/>
              <w:left w:val="nil"/>
              <w:bottom w:val="single" w:sz="8" w:space="0" w:color="auto"/>
              <w:right w:val="single" w:sz="8" w:space="0" w:color="auto"/>
            </w:tcBorders>
            <w:noWrap/>
            <w:tcMar>
              <w:top w:w="0" w:type="dxa"/>
              <w:left w:w="108" w:type="dxa"/>
              <w:bottom w:w="0" w:type="dxa"/>
              <w:right w:w="108" w:type="dxa"/>
            </w:tcMar>
            <w:hideMark/>
          </w:tcPr>
          <w:p w14:paraId="0A094646" w14:textId="77777777" w:rsidR="00FC279F" w:rsidRPr="00C968CE" w:rsidRDefault="00FC279F" w:rsidP="00C968CE">
            <w:pPr>
              <w:spacing w:before="60" w:after="60" w:line="240" w:lineRule="auto"/>
              <w:rPr>
                <w:rFonts w:cs="Arial"/>
                <w:szCs w:val="20"/>
              </w:rPr>
            </w:pPr>
            <w:r w:rsidRPr="00C968CE">
              <w:rPr>
                <w:rFonts w:cs="Arial"/>
                <w:szCs w:val="20"/>
              </w:rPr>
              <w:t>18</w:t>
            </w:r>
          </w:p>
        </w:tc>
      </w:tr>
    </w:tbl>
    <w:p w14:paraId="598966BE" w14:textId="77777777" w:rsidR="00FC279F" w:rsidRPr="00C968CE" w:rsidRDefault="00FC279F" w:rsidP="00C968CE">
      <w:pPr>
        <w:spacing w:before="120" w:after="100" w:afterAutospacing="1" w:line="240" w:lineRule="auto"/>
        <w:ind w:firstLine="709"/>
        <w:rPr>
          <w:rFonts w:cs="Arial"/>
          <w:szCs w:val="20"/>
        </w:rPr>
      </w:pPr>
      <w:r w:rsidRPr="00C968CE">
        <w:rPr>
          <w:rFonts w:cs="Arial"/>
          <w:szCs w:val="20"/>
        </w:rPr>
        <w:t>Jeżeli nierówności  są większe niż dopuszczalne, to należy wyrównać podłoże.</w:t>
      </w:r>
    </w:p>
    <w:p w14:paraId="07376F1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lastRenderedPageBreak/>
        <w:t>            Rzędne wysokościowe podłoża oraz urządzeń usytuowanych w nawierzchni lub ją ograniczających powinny być zgodne z dokumentacją projektową. Z podłoża powinien być zapewniony odpływ wody.</w:t>
      </w:r>
    </w:p>
    <w:p w14:paraId="74ADF76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50F85A9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 celu polepszenia połączenia między warstwami technologicznymi nawierzchni powierzchnia podłoża powinna być w ocenie wizualnej chropowata.</w:t>
      </w:r>
    </w:p>
    <w:p w14:paraId="62B94E8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Szerokie szczeliny w podłożu należy wypełnić odpowiednim materiałem, np. zalewami drogowymi według PN-EN 14188-1 [67] lub PN-EN 14188-2 [68] albo innymi materiałami według norm lub aprobat technicznych.</w:t>
      </w:r>
    </w:p>
    <w:p w14:paraId="7A06061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5424FFB7"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Przygotowanie podłoża do skropienia emulsją należy wykonać zgodnie z SST D-04.03.01a [2].</w:t>
      </w:r>
    </w:p>
    <w:p w14:paraId="2A72FB74"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 xml:space="preserve">5.5. Próba technologiczna </w:t>
      </w:r>
    </w:p>
    <w:p w14:paraId="1825612B"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6D0D61C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Nie dopuszcza się oceniania dokładności pracy otaczarki oraz prawidłowości składu mieszanki mineralnej na podstawie tzw. suchego zarobu, z uwagi na możliwą segregację kruszywa.</w:t>
      </w:r>
    </w:p>
    <w:p w14:paraId="356DAB46"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Do próby technologicznej Wykonawca użyje takich materiałów, jakie będą stosowane do wykonania właściwej mieszanki mineralno-asfaltowej. </w:t>
      </w:r>
    </w:p>
    <w:p w14:paraId="4B506017"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65832D04"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7462EA6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Mieszankę wyprodukowaną po ustabilizowaniu się pracy otaczarki należy zgromadzić w silosie lub załadować na samochód. Próbki do badań należy pobierać ze skrzyni samochodu zgodnie z metodą określoną w PN-EN 12697-27 [44].</w:t>
      </w:r>
    </w:p>
    <w:p w14:paraId="11C7B6E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Na podstawie uzyskanych wyników Inżynier podejmuje decyzję o wykonaniu odcinka próbnego.</w:t>
      </w:r>
    </w:p>
    <w:p w14:paraId="35C19ACF"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5.6. Odcinek próbny</w:t>
      </w:r>
    </w:p>
    <w:p w14:paraId="5F5CC293"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[44]. </w:t>
      </w:r>
    </w:p>
    <w:p w14:paraId="04A17745"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 przypadku braku innych uzgodnień z Inżynierem, Wykonawca powinien wykonać odcinek próbny co najmniej na trzy dni przed rozpoczęciem robót, w celu:</w:t>
      </w:r>
    </w:p>
    <w:p w14:paraId="41693AD4" w14:textId="77777777" w:rsidR="00FC279F" w:rsidRPr="00C968CE" w:rsidRDefault="00FC279F" w:rsidP="00C968CE">
      <w:pPr>
        <w:spacing w:line="240" w:lineRule="auto"/>
        <w:ind w:left="454" w:hanging="397"/>
        <w:rPr>
          <w:rFonts w:cs="Arial"/>
          <w:szCs w:val="20"/>
        </w:rPr>
      </w:pPr>
      <w:r w:rsidRPr="00C968CE">
        <w:rPr>
          <w:rFonts w:cs="Arial"/>
          <w:szCs w:val="20"/>
        </w:rPr>
        <w:t>–         sprawdzenia czy użyty sprzęt jest właściwy,</w:t>
      </w:r>
    </w:p>
    <w:p w14:paraId="7D02A9A8" w14:textId="77777777" w:rsidR="00FC279F" w:rsidRPr="00C968CE" w:rsidRDefault="00FC279F" w:rsidP="00C968CE">
      <w:pPr>
        <w:spacing w:line="240" w:lineRule="auto"/>
        <w:ind w:left="454" w:hanging="397"/>
        <w:rPr>
          <w:rFonts w:cs="Arial"/>
          <w:szCs w:val="20"/>
        </w:rPr>
      </w:pPr>
      <w:r w:rsidRPr="00C968CE">
        <w:rPr>
          <w:rFonts w:cs="Arial"/>
          <w:szCs w:val="20"/>
        </w:rPr>
        <w:t>–         określenia grubości warstwy mieszanki mineralno-asfaltowej przed zagęszczeniem, koniecznej do uzyskania wymaganej w kontrakcie grubości warstwy,</w:t>
      </w:r>
    </w:p>
    <w:p w14:paraId="6A339FA5" w14:textId="77777777" w:rsidR="00FC279F" w:rsidRPr="00C968CE" w:rsidRDefault="00FC279F" w:rsidP="00C968CE">
      <w:pPr>
        <w:spacing w:line="240" w:lineRule="auto"/>
        <w:ind w:left="454" w:hanging="397"/>
        <w:rPr>
          <w:rFonts w:cs="Arial"/>
          <w:szCs w:val="20"/>
        </w:rPr>
      </w:pPr>
      <w:r w:rsidRPr="00C968CE">
        <w:rPr>
          <w:rFonts w:cs="Arial"/>
          <w:szCs w:val="20"/>
        </w:rPr>
        <w:lastRenderedPageBreak/>
        <w:t>–         określenia potrzebnej liczby przejść walców dla uzyskania prawidłowego zagęszczenia warstwy.</w:t>
      </w:r>
    </w:p>
    <w:p w14:paraId="59806278"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Do takiej próby Wykonawca powinien użyć takich materiałów oraz sprzętu, jaki stosowany będzie do wykonania warstwy nawierzchni. </w:t>
      </w:r>
    </w:p>
    <w:p w14:paraId="2D4E742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Odcinek próbny powinien być zlokalizowany w miejscu uzgodnionym z Inżynierem. Powierzchnia odcinka próbnego powinna wynosić co najmniej 500 m</w:t>
      </w:r>
      <w:r w:rsidRPr="00C968CE">
        <w:rPr>
          <w:rFonts w:cs="Arial"/>
          <w:szCs w:val="20"/>
          <w:vertAlign w:val="superscript"/>
        </w:rPr>
        <w:t>2</w:t>
      </w:r>
      <w:r w:rsidRPr="00C968CE">
        <w:rPr>
          <w:rFonts w:cs="Arial"/>
          <w:szCs w:val="20"/>
        </w:rPr>
        <w:t>, a długość co najmniej 50 m i powinny być tak dobrane, aby na jego podstawie możliwa była ocena prawidłowości wbudowania i zagęszczenia mieszanki mineralno-asfaltowej.</w:t>
      </w:r>
    </w:p>
    <w:p w14:paraId="35CADED9"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Grubość układanej warstwy powinna być zgodna z grubością podaną w dokumentacji projektowej. Ilość  próbek (rdzeni) pobrana z odcinka próbnego powinna być uzgodniona z Inżynierem i oceniona pod względem zgodności z wymaganiami niniejszej specyfikacji. Należy pobrać minimum w dwóch przekrojach poprzecznych po dwie próbki (rdzenie). </w:t>
      </w:r>
    </w:p>
    <w:p w14:paraId="42D40D23"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Dopuszcza się, aby za zgodą Inżyniera, odcinek próbny zlokalizowany był w ciągu zasadniczych prac nawierzchniowych objętych danym kontraktem.</w:t>
      </w:r>
    </w:p>
    <w:p w14:paraId="5C08DD8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Wykonawca może przystąpić do realizacji robót po zaakceptowaniu przez Inżyniera technologii wbudowania oraz wyników z odcinka próbnego.</w:t>
      </w:r>
    </w:p>
    <w:p w14:paraId="5B27F190"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5.7. Połączenie międzywarstwowe</w:t>
      </w:r>
    </w:p>
    <w:p w14:paraId="266B19E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Uzyskanie wymaganej trwałości nawierzchni jest uzależnione od zapewnienia połączenia między warstwami i ich współpracy w przenoszeniu obciążenia nawierzchni ruchem.</w:t>
      </w:r>
    </w:p>
    <w:p w14:paraId="75CC63D0"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Podłoże powinno być skropione lepiszczem. Ma to na celu zwiększenie połączenia między warstwami konstrukcyjnymi oraz zabezpieczenie przed wnikaniem i zaleganiem wody między warstwami. Można odstąpić od wykonania skropienia przy rozkładaniu dwóch warstw asfaltowych w jednym cyklu technologicznym (tzw. połączenia gorące na gorące).</w:t>
      </w:r>
    </w:p>
    <w:p w14:paraId="3D1E20A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Warunki wykonania połączenia międzywarstwowego oraz kontrola wykonania skropienia zostały przedstawione w SST D-04.03.01a [2].</w:t>
      </w:r>
    </w:p>
    <w:p w14:paraId="47D80E92"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 xml:space="preserve">5.8. Wbudowanie mieszanki mineralno-asfaltowej </w:t>
      </w:r>
    </w:p>
    <w:p w14:paraId="46B3D7B2"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Przy doborze rodzaju mieszanki mineralno-asfaltowej do układu warstw konstrukcyjnych należy zachować zasadę mówiącą, że grubość warstwy musi być co najmniej dwuipółkrotnie większa od wymiaru D kruszywa danej mieszanki (h ≥ 2,5xD).</w:t>
      </w:r>
    </w:p>
    <w:p w14:paraId="7C66ADA3" w14:textId="77777777" w:rsidR="00FC279F" w:rsidRPr="00C968CE" w:rsidRDefault="00FC279F" w:rsidP="00C968CE">
      <w:pPr>
        <w:autoSpaceDN w:val="0"/>
        <w:spacing w:before="100" w:beforeAutospacing="1" w:after="100" w:afterAutospacing="1" w:line="240" w:lineRule="auto"/>
        <w:ind w:firstLine="709"/>
        <w:rPr>
          <w:rFonts w:cs="Arial"/>
          <w:szCs w:val="20"/>
        </w:rPr>
      </w:pPr>
      <w:r w:rsidRPr="00C968CE">
        <w:rPr>
          <w:rFonts w:cs="Arial"/>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0A204E97"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Mieszankę mineralno-asfaltową można wbudowywać na podłożu przygotowanym zgodnie z zapisami w punktach 5.4 i 5.7. </w:t>
      </w:r>
    </w:p>
    <w:p w14:paraId="14739A73"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Temperatura podłoża pod rozkładaną warstwę nie może być niższa niż  +5°C.</w:t>
      </w:r>
    </w:p>
    <w:p w14:paraId="31F8EBF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            Transport mieszanki mineralno-asfaltowej asfaltowej powinien być zgodny z zaleceniami podanymi w punkcie 4.2. </w:t>
      </w:r>
    </w:p>
    <w:p w14:paraId="358159CB"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Prace związane z wbudowaniem mieszanki mineralno-asfaltowej należy tak zaplanować, </w:t>
      </w:r>
    </w:p>
    <w:p w14:paraId="3E5E8C46" w14:textId="77777777" w:rsidR="00FC279F" w:rsidRPr="00C968CE" w:rsidRDefault="00FC279F" w:rsidP="00C968CE">
      <w:pPr>
        <w:autoSpaceDN w:val="0"/>
        <w:spacing w:before="100" w:beforeAutospacing="1" w:after="100" w:afterAutospacing="1" w:line="240" w:lineRule="auto"/>
        <w:rPr>
          <w:rFonts w:cs="Arial"/>
          <w:szCs w:val="20"/>
        </w:rPr>
      </w:pPr>
      <w:r w:rsidRPr="00C968CE">
        <w:rPr>
          <w:rFonts w:cs="Arial"/>
          <w:szCs w:val="20"/>
        </w:rPr>
        <w:t xml:space="preserve">aby: </w:t>
      </w:r>
    </w:p>
    <w:p w14:paraId="4C3836DD" w14:textId="77777777" w:rsidR="00FC279F" w:rsidRPr="00C968CE" w:rsidRDefault="00FC279F" w:rsidP="00C968CE">
      <w:pPr>
        <w:autoSpaceDN w:val="0"/>
        <w:spacing w:before="100" w:beforeAutospacing="1" w:after="100" w:afterAutospacing="1" w:line="240" w:lineRule="auto"/>
        <w:ind w:left="284" w:hanging="218"/>
        <w:rPr>
          <w:rFonts w:cs="Arial"/>
          <w:szCs w:val="20"/>
        </w:rPr>
      </w:pPr>
      <w:r w:rsidRPr="00C968CE">
        <w:rPr>
          <w:rFonts w:cs="Arial"/>
          <w:szCs w:val="20"/>
        </w:rPr>
        <w:t xml:space="preserve">–     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239DA988" w14:textId="77777777" w:rsidR="00FC279F" w:rsidRPr="00C968CE" w:rsidRDefault="00FC279F" w:rsidP="00C968CE">
      <w:pPr>
        <w:autoSpaceDN w:val="0"/>
        <w:spacing w:before="100" w:beforeAutospacing="1" w:after="100" w:afterAutospacing="1" w:line="240" w:lineRule="auto"/>
        <w:ind w:left="284" w:hanging="218"/>
        <w:rPr>
          <w:rFonts w:cs="Arial"/>
          <w:szCs w:val="20"/>
        </w:rPr>
      </w:pPr>
      <w:r w:rsidRPr="00C968CE">
        <w:rPr>
          <w:rFonts w:cs="Arial"/>
          <w:szCs w:val="20"/>
        </w:rPr>
        <w:t xml:space="preserve">–     dzienne działki robocze (tj. odcinki nawierzchni na których mieszanka mineralno-asfaltowa jest wbudowywana jednego dnia) powinny być możliwie jak najdłuższe min. 200 m, </w:t>
      </w:r>
    </w:p>
    <w:p w14:paraId="727D99CC" w14:textId="77777777" w:rsidR="00FC279F" w:rsidRPr="00C968CE" w:rsidRDefault="00FC279F" w:rsidP="00C968CE">
      <w:pPr>
        <w:autoSpaceDN w:val="0"/>
        <w:spacing w:before="100" w:beforeAutospacing="1" w:after="100" w:afterAutospacing="1" w:line="240" w:lineRule="auto"/>
        <w:ind w:left="284" w:hanging="218"/>
        <w:rPr>
          <w:rFonts w:cs="Arial"/>
          <w:szCs w:val="20"/>
        </w:rPr>
      </w:pPr>
      <w:r w:rsidRPr="00C968CE">
        <w:rPr>
          <w:rFonts w:cs="Arial"/>
          <w:szCs w:val="20"/>
        </w:rPr>
        <w:lastRenderedPageBreak/>
        <w:t xml:space="preserve">–     organizacja dostaw mieszanki powinna zapewnić pracę rozkładarki bez zatrzymań. </w:t>
      </w:r>
    </w:p>
    <w:p w14:paraId="57822DAE"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Mieszankę mineralno-asfaltową asfaltową należy wbudowywać w odpowiednich warunkach atmosferycznych.  Nie wolno wbudowywać betonu asfaltowego  gdy na podłożu tworzy się zamknięty film wodny. </w:t>
      </w:r>
    </w:p>
    <w:p w14:paraId="381F4EBE"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Temperatura otoczenia w ciągu doby nie powinna być niższa od temperatury podanej w tablicy 26. Temperatura otoczenia może być niższa w wypadku stosowania ogrzewania podłoża i obramowania (np. promienniki podczerwieni, urządzenia mikrofalowe). </w:t>
      </w:r>
      <w:r w:rsidRPr="00C968CE">
        <w:rPr>
          <w:rFonts w:cs="Arial"/>
          <w:color w:val="000000"/>
          <w:szCs w:val="20"/>
        </w:rPr>
        <w:t>Temperatura powietrza powinna być mierzona co najmniej 3 razy dziennie: przed przystąpieniem do robót oraz podczas ich wykonywania w okresach równomiernie rozłożonych w planowanym czasie realizacji dziennej działki roboczej.</w:t>
      </w:r>
      <w:r w:rsidRPr="00C968CE">
        <w:rPr>
          <w:rFonts w:cs="Arial"/>
          <w:szCs w:val="20"/>
        </w:rPr>
        <w:t xml:space="preserve"> Nie dopuszcza się układania mieszanki mineralno-asfaltowej asfaltowej podczas silnego wiatru (V &gt; 16 m/s) oraz opadów atmosferycznych.</w:t>
      </w:r>
    </w:p>
    <w:p w14:paraId="241CA36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Podczas budowy nawierzchni należy dążyć do ułożenia wszystkich warstw przed sezonem zimowym, aby zapewnić szczelność nawierzchni i jej odporność na działanie wody i mrozu. Jeżeli w wyjątkowym przypadku zachodzi konieczność pozostawienia na zimę warstwy podbudowy, to należy ją powierzchniowo uszczelnić w celu zabezpieczenia przed szkodliwym działaniem wody, mrozu i ewentualnie środków odladzających.</w:t>
      </w:r>
    </w:p>
    <w:p w14:paraId="79B52165"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W wypadku stosowania mieszanek mineralno-asfaltowych z dodatkiem obniżającym temperaturę mieszania i wbudowania należy indywidualnie określić wymagane warunki otoczenia. </w:t>
      </w:r>
    </w:p>
    <w:p w14:paraId="34CF1960" w14:textId="77777777" w:rsidR="00FC279F" w:rsidRPr="00C968CE" w:rsidRDefault="00FC279F" w:rsidP="00C968CE">
      <w:pPr>
        <w:spacing w:before="120" w:after="120" w:line="240" w:lineRule="auto"/>
        <w:ind w:left="1200" w:hanging="1200"/>
        <w:rPr>
          <w:rFonts w:cs="Arial"/>
          <w:szCs w:val="20"/>
        </w:rPr>
      </w:pPr>
      <w:r w:rsidRPr="00C968CE">
        <w:rPr>
          <w:rFonts w:cs="Arial"/>
          <w:szCs w:val="20"/>
        </w:rPr>
        <w:t>Tablica 26. Minimalna temperatura otoczenia na wysokości 2 m podczas wykonywania warstw asfaltowych</w:t>
      </w:r>
    </w:p>
    <w:tbl>
      <w:tblPr>
        <w:tblW w:w="0" w:type="auto"/>
        <w:tblInd w:w="108" w:type="dxa"/>
        <w:tblCellMar>
          <w:left w:w="0" w:type="dxa"/>
          <w:right w:w="0" w:type="dxa"/>
        </w:tblCellMar>
        <w:tblLook w:val="04A0" w:firstRow="1" w:lastRow="0" w:firstColumn="1" w:lastColumn="0" w:noHBand="0" w:noVBand="1"/>
      </w:tblPr>
      <w:tblGrid>
        <w:gridCol w:w="3960"/>
        <w:gridCol w:w="4111"/>
      </w:tblGrid>
      <w:tr w:rsidR="00FC279F" w:rsidRPr="00C968CE" w14:paraId="15F3816F" w14:textId="77777777" w:rsidTr="00FC279F">
        <w:trPr>
          <w:trHeight w:val="562"/>
        </w:trPr>
        <w:tc>
          <w:tcPr>
            <w:tcW w:w="396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080D511E" w14:textId="77777777" w:rsidR="00FC279F" w:rsidRPr="00C968CE" w:rsidRDefault="00FC279F" w:rsidP="00C968CE">
            <w:pPr>
              <w:spacing w:before="120" w:after="120" w:line="240" w:lineRule="auto"/>
              <w:rPr>
                <w:rFonts w:cs="Arial"/>
                <w:szCs w:val="20"/>
              </w:rPr>
            </w:pPr>
            <w:r w:rsidRPr="00C968CE">
              <w:rPr>
                <w:rFonts w:cs="Arial"/>
                <w:szCs w:val="20"/>
              </w:rPr>
              <w:t>Rodzaj robót</w:t>
            </w:r>
          </w:p>
        </w:tc>
        <w:tc>
          <w:tcPr>
            <w:tcW w:w="411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1EDAC31" w14:textId="77777777" w:rsidR="00FC279F" w:rsidRPr="00C968CE" w:rsidRDefault="00FC279F" w:rsidP="00C968CE">
            <w:pPr>
              <w:spacing w:before="120" w:after="120" w:line="240" w:lineRule="auto"/>
              <w:rPr>
                <w:rFonts w:cs="Arial"/>
                <w:szCs w:val="20"/>
              </w:rPr>
            </w:pPr>
            <w:r w:rsidRPr="00C968CE">
              <w:rPr>
                <w:rFonts w:cs="Arial"/>
                <w:szCs w:val="20"/>
              </w:rPr>
              <w:t>Minimalna temperatura powietrza  [°C]</w:t>
            </w:r>
          </w:p>
        </w:tc>
      </w:tr>
      <w:tr w:rsidR="00FC279F" w:rsidRPr="00C968CE" w14:paraId="5B556077" w14:textId="77777777" w:rsidTr="00FC279F">
        <w:tc>
          <w:tcPr>
            <w:tcW w:w="3960"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39B94A8E" w14:textId="77777777" w:rsidR="00FC279F" w:rsidRPr="00C968CE" w:rsidRDefault="00FC279F" w:rsidP="00C968CE">
            <w:pPr>
              <w:spacing w:before="40" w:after="40" w:line="240" w:lineRule="auto"/>
              <w:rPr>
                <w:rFonts w:cs="Arial"/>
                <w:szCs w:val="20"/>
              </w:rPr>
            </w:pPr>
            <w:r w:rsidRPr="00C968CE">
              <w:rPr>
                <w:rFonts w:cs="Arial"/>
                <w:szCs w:val="20"/>
              </w:rPr>
              <w:t>Podbudowa</w:t>
            </w:r>
          </w:p>
        </w:tc>
        <w:tc>
          <w:tcPr>
            <w:tcW w:w="4111" w:type="dxa"/>
            <w:tcBorders>
              <w:top w:val="nil"/>
              <w:left w:val="nil"/>
              <w:bottom w:val="single" w:sz="8" w:space="0" w:color="auto"/>
              <w:right w:val="single" w:sz="8" w:space="0" w:color="auto"/>
            </w:tcBorders>
            <w:noWrap/>
            <w:tcMar>
              <w:top w:w="0" w:type="dxa"/>
              <w:left w:w="108" w:type="dxa"/>
              <w:bottom w:w="0" w:type="dxa"/>
              <w:right w:w="108" w:type="dxa"/>
            </w:tcMar>
            <w:hideMark/>
          </w:tcPr>
          <w:p w14:paraId="146E0227" w14:textId="77777777" w:rsidR="00FC279F" w:rsidRPr="00C968CE" w:rsidRDefault="00FC279F" w:rsidP="00C968CE">
            <w:pPr>
              <w:spacing w:before="60" w:after="60" w:line="240" w:lineRule="auto"/>
              <w:rPr>
                <w:rFonts w:cs="Arial"/>
                <w:szCs w:val="20"/>
              </w:rPr>
            </w:pPr>
            <w:r w:rsidRPr="00C968CE">
              <w:rPr>
                <w:rFonts w:cs="Arial"/>
                <w:szCs w:val="20"/>
              </w:rPr>
              <w:t>0°C (-3°C*)  </w:t>
            </w:r>
          </w:p>
        </w:tc>
      </w:tr>
    </w:tbl>
    <w:p w14:paraId="7562AE50" w14:textId="77777777" w:rsidR="00FC279F" w:rsidRPr="00C968CE" w:rsidRDefault="00FC279F" w:rsidP="00C968CE">
      <w:pPr>
        <w:spacing w:before="100" w:beforeAutospacing="1" w:after="100" w:afterAutospacing="1" w:line="240" w:lineRule="auto"/>
        <w:ind w:left="284" w:hanging="284"/>
        <w:rPr>
          <w:rFonts w:cs="Arial"/>
          <w:szCs w:val="20"/>
        </w:rPr>
      </w:pPr>
      <w:r w:rsidRPr="00C968CE">
        <w:rPr>
          <w:rFonts w:cs="Arial"/>
          <w:szCs w:val="20"/>
        </w:rPr>
        <w:t xml:space="preserve">*) Do decyzji Inżyniera, przy czym temperatura podłoża powinna wynosić co najmniej 5°C.      </w:t>
      </w:r>
    </w:p>
    <w:p w14:paraId="65C62148" w14:textId="77777777" w:rsidR="00FC279F" w:rsidRPr="00C968CE" w:rsidRDefault="00FC279F" w:rsidP="00C968CE">
      <w:pPr>
        <w:spacing w:before="120" w:after="100" w:afterAutospacing="1" w:line="240" w:lineRule="auto"/>
        <w:ind w:firstLine="709"/>
        <w:rPr>
          <w:rFonts w:cs="Arial"/>
          <w:szCs w:val="20"/>
        </w:rPr>
      </w:pPr>
      <w:r w:rsidRPr="00C968CE">
        <w:rPr>
          <w:rFonts w:cs="Arial"/>
          <w:szCs w:val="20"/>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w:t>
      </w:r>
    </w:p>
    <w:p w14:paraId="7CF7A87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Grubość wykonywanej warstwy powinna być sprawdzana co 25 m, w co najmniej trzech miejscach (w osi i przy brzegach warstwy).</w:t>
      </w:r>
    </w:p>
    <w:p w14:paraId="44079B6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            Warstwy wałowane powinny być równomiernie zagęszczone ciężkimi walcami drogowymi. Do warstw z betonu asfaltowego należy stosować walce drogowe stalowe gładkie z możliwością wibracji, oscylacji lub walce ogumione. </w:t>
      </w:r>
    </w:p>
    <w:p w14:paraId="72E0954D"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Po wykonanych warstwach podbudowy i warstwie wiążącej powinien odbywać się wyłącznie ruch pojazdów związanych z układaniem następnej warstwy. W przypadku konieczności dopuszczenia innego ruchu należy zastosować zabiegi zabezpieczające uzyskanie wymaganego połączenia międzywarstwowego.</w:t>
      </w:r>
    </w:p>
    <w:p w14:paraId="2CCCAC9A" w14:textId="77777777" w:rsidR="00FC279F" w:rsidRPr="00C968CE" w:rsidRDefault="00FC279F" w:rsidP="00C968CE">
      <w:pPr>
        <w:spacing w:before="100" w:beforeAutospacing="1" w:after="100" w:afterAutospacing="1" w:line="240" w:lineRule="auto"/>
        <w:outlineLvl w:val="1"/>
        <w:rPr>
          <w:rFonts w:cs="Arial"/>
          <w:b/>
          <w:bCs/>
          <w:szCs w:val="20"/>
        </w:rPr>
      </w:pPr>
      <w:bookmarkStart w:id="925" w:name="_Toc413234108"/>
      <w:r w:rsidRPr="00C968CE">
        <w:rPr>
          <w:rFonts w:cs="Arial"/>
          <w:b/>
          <w:bCs/>
          <w:szCs w:val="20"/>
        </w:rPr>
        <w:t>5.9. Połączenia technologiczne</w:t>
      </w:r>
      <w:bookmarkEnd w:id="925"/>
    </w:p>
    <w:p w14:paraId="43064CB6"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Połączenia technologiczne należy wykonywać jako</w:t>
      </w:r>
    </w:p>
    <w:p w14:paraId="63B9C7DE" w14:textId="77777777" w:rsidR="00FC279F" w:rsidRPr="00C968CE" w:rsidRDefault="00FC279F" w:rsidP="00C968CE">
      <w:pPr>
        <w:spacing w:before="100" w:beforeAutospacing="1" w:after="100" w:afterAutospacing="1" w:line="240" w:lineRule="auto"/>
        <w:ind w:left="454" w:hanging="397"/>
        <w:rPr>
          <w:rFonts w:cs="Arial"/>
          <w:szCs w:val="20"/>
        </w:rPr>
      </w:pPr>
      <w:r w:rsidRPr="00C968CE">
        <w:rPr>
          <w:rFonts w:cs="Arial"/>
          <w:szCs w:val="20"/>
        </w:rPr>
        <w:t>–         złącza podłużne i poprzeczne (wg definicji p. 1.4.17.),</w:t>
      </w:r>
    </w:p>
    <w:p w14:paraId="6935831C"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Połączenia technologiczne powinny być jednorodne i szczelne.   </w:t>
      </w:r>
    </w:p>
    <w:p w14:paraId="44F3C5DA" w14:textId="77777777" w:rsidR="00FC279F" w:rsidRPr="00C968CE" w:rsidRDefault="00FC279F" w:rsidP="00C968CE">
      <w:pPr>
        <w:spacing w:before="120" w:after="120" w:line="240" w:lineRule="auto"/>
        <w:rPr>
          <w:rFonts w:cs="Arial"/>
          <w:szCs w:val="20"/>
        </w:rPr>
      </w:pPr>
      <w:r w:rsidRPr="00C968CE">
        <w:rPr>
          <w:rFonts w:cs="Arial"/>
          <w:b/>
          <w:bCs/>
          <w:szCs w:val="20"/>
        </w:rPr>
        <w:t>5.9.1.</w:t>
      </w:r>
      <w:r w:rsidRPr="00C968CE">
        <w:rPr>
          <w:rFonts w:cs="Arial"/>
          <w:szCs w:val="20"/>
        </w:rPr>
        <w:t xml:space="preserve"> Wykonanie złączy</w:t>
      </w:r>
    </w:p>
    <w:p w14:paraId="56FA1FA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5.9.1.1. Sposób wykonania złączy - wymagania ogólne</w:t>
      </w:r>
    </w:p>
    <w:p w14:paraId="549C1863"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Złącza w warstwach nawierzchni powinny być wykonywane w linii prostej.</w:t>
      </w:r>
    </w:p>
    <w:p w14:paraId="036070F3"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Złącza podłużnego nie można umiejscawiać w śladach kół. Złącza podłużne między pasami kolejnych warstw technologicznych należy przesuwać względem siebie co najmniej 30 cm w kierunku poprzecznym do osi jezdni. Złącza </w:t>
      </w:r>
      <w:r w:rsidRPr="00C968CE">
        <w:rPr>
          <w:rFonts w:cs="Arial"/>
          <w:szCs w:val="20"/>
        </w:rPr>
        <w:lastRenderedPageBreak/>
        <w:t>poprzeczne między działkami roboczymi układanych pasów kolejnych warstw technologicznych należy przesunąć względem siebie o co najmniej 2 m w kierunku podłużnym do osi jezdni.</w:t>
      </w:r>
    </w:p>
    <w:p w14:paraId="25D9CBBB"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Złącza powinny być całkowicie związane, a powierzchnie przylegających warstw powinny być w jednym poziomie.</w:t>
      </w:r>
    </w:p>
    <w:p w14:paraId="2F699A47" w14:textId="77777777" w:rsidR="00FC279F" w:rsidRPr="00C968CE" w:rsidRDefault="00FC279F" w:rsidP="00C968CE">
      <w:pPr>
        <w:spacing w:before="120" w:after="120" w:line="240" w:lineRule="auto"/>
        <w:rPr>
          <w:rFonts w:cs="Arial"/>
          <w:szCs w:val="20"/>
        </w:rPr>
      </w:pPr>
      <w:r w:rsidRPr="00C968CE">
        <w:rPr>
          <w:rFonts w:cs="Arial"/>
          <w:szCs w:val="20"/>
        </w:rPr>
        <w:t>5.9.1.2. Technologia rozkładania „gorące przy gorącym”</w:t>
      </w:r>
    </w:p>
    <w:p w14:paraId="01506B5D"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053392E6"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Walce zagęszczające mieszankę za każdą rozkładarką powinny być o zbliżonych parametrach. Zagęszczanie każdego z pasów należy rozpoczynać od zewnętrznej krawędzi pasa i stopniowo zagęszczać pas w kierunku złącza.</w:t>
      </w:r>
    </w:p>
    <w:p w14:paraId="2697394E"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Przy tej metodzie nie stosuje się dodatkowych materiałów do złączy.</w:t>
      </w:r>
    </w:p>
    <w:p w14:paraId="127E29B5" w14:textId="77777777" w:rsidR="00FC279F" w:rsidRPr="00C968CE" w:rsidRDefault="00FC279F" w:rsidP="00C968CE">
      <w:pPr>
        <w:spacing w:before="120" w:after="120" w:line="240" w:lineRule="auto"/>
        <w:rPr>
          <w:rFonts w:cs="Arial"/>
          <w:szCs w:val="20"/>
        </w:rPr>
      </w:pPr>
      <w:r w:rsidRPr="00C968CE">
        <w:rPr>
          <w:rFonts w:cs="Arial"/>
          <w:szCs w:val="20"/>
        </w:rPr>
        <w:t xml:space="preserve"> 5.9.1.3. Technologia rozkładania „gorące przy zimnym” </w:t>
      </w:r>
    </w:p>
    <w:p w14:paraId="0D12BA12"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2278EDF0"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Wcześniej wykonany pas warstwy technologicznej powinien mieć wyprofilowaną krawędź równomiernie zagęszczoną, bez pęknięć. Krawędź ta nie może być pionowa, lecz powinna być skośna (pochylenie około 3:1 </w:t>
      </w:r>
      <w:proofErr w:type="spellStart"/>
      <w:r w:rsidRPr="00C968CE">
        <w:rPr>
          <w:rFonts w:cs="Arial"/>
          <w:szCs w:val="20"/>
        </w:rPr>
        <w:t>tj.pod</w:t>
      </w:r>
      <w:proofErr w:type="spellEnd"/>
      <w:r w:rsidRPr="00C968CE">
        <w:rPr>
          <w:rFonts w:cs="Arial"/>
          <w:szCs w:val="20"/>
        </w:rPr>
        <w:t xml:space="preserve"> kątem 70-80˚ w stosunku do warstwy niżej leżącej). Skos wykonany „na gorąco”, powinien być uformowany podczas układania pierwszego pasa ruchu, przy zastosowaniu rolki dociskowej lub noża talerzowego.</w:t>
      </w:r>
    </w:p>
    <w:p w14:paraId="144CE486"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Jeżeli skos nie został uformowany „na gorąco”, należy uzyskać go przez frezowanie zimnego pasa, z zachowaniem wymaganego kąta. Powierzchnia styku powinna być czysta i sucha. Przed ułożeniem sąsiedniego pasa całą powierzchnię styku należy pokryć przylepną taśmą bitumiczną lub pastą zgodnie z wymaganiami i w ilości podanej w punktach 5.9.1.5.  i 5.9.1.6.</w:t>
      </w:r>
    </w:p>
    <w:p w14:paraId="64E799B8"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Drugi pas powinien być wykonywany z zakładem 2-3 cm licząc od górnej krawędzi złącza, zachodzącym na pas wykonany wcześniej.</w:t>
      </w:r>
    </w:p>
    <w:p w14:paraId="24011069" w14:textId="77777777" w:rsidR="00FC279F" w:rsidRPr="00C968CE" w:rsidRDefault="00FC279F" w:rsidP="00C968CE">
      <w:pPr>
        <w:spacing w:before="120" w:after="120" w:line="240" w:lineRule="auto"/>
        <w:rPr>
          <w:rFonts w:cs="Arial"/>
          <w:szCs w:val="20"/>
        </w:rPr>
      </w:pPr>
      <w:r w:rsidRPr="00C968CE">
        <w:rPr>
          <w:rFonts w:cs="Arial"/>
          <w:szCs w:val="20"/>
        </w:rPr>
        <w:t xml:space="preserve">5.9.1.4. Zakończenie działki roboczej </w:t>
      </w:r>
    </w:p>
    <w:p w14:paraId="57DF3ECC"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Zakończenie działki roboczej należy wykonać w sposób i przy pomocy urządzeń zapewniających uzyskanie nieregularnej powierzchni spoiny (przy pomocy wstawianej kantówki lub frezarki). Zakończenie działki roboczej należy wykonać prostopadle do osi drogi. Krawędź działki roboczej jest równocześnie krawędzią poprzeczną złącza.</w:t>
      </w:r>
    </w:p>
    <w:p w14:paraId="2A78E9DC"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Złącza poprzeczne między działkami roboczymi układanych pasów kolejnych warstw technologicznych należy przesunąć względem siebie o co najmniej 3 m w kierunku podłużnym do osi jezdni.</w:t>
      </w:r>
    </w:p>
    <w:p w14:paraId="7BB056EA" w14:textId="77777777" w:rsidR="00FC279F" w:rsidRPr="00C968CE" w:rsidRDefault="00FC279F" w:rsidP="00C968CE">
      <w:pPr>
        <w:spacing w:before="120" w:after="120" w:line="240" w:lineRule="auto"/>
        <w:rPr>
          <w:rFonts w:cs="Arial"/>
          <w:szCs w:val="20"/>
        </w:rPr>
      </w:pPr>
      <w:r w:rsidRPr="00C968CE">
        <w:rPr>
          <w:rFonts w:cs="Arial"/>
          <w:szCs w:val="20"/>
        </w:rPr>
        <w:t>5.9.1.5.</w:t>
      </w:r>
      <w:r w:rsidRPr="00C968CE">
        <w:rPr>
          <w:rFonts w:cs="Arial"/>
          <w:b/>
          <w:bCs/>
          <w:szCs w:val="20"/>
        </w:rPr>
        <w:t xml:space="preserve"> </w:t>
      </w:r>
      <w:r w:rsidRPr="00C968CE">
        <w:rPr>
          <w:rFonts w:cs="Arial"/>
          <w:szCs w:val="20"/>
        </w:rPr>
        <w:t>Wymagania wobec wbudowania taśm bitumicznych</w:t>
      </w:r>
    </w:p>
    <w:p w14:paraId="37033F7A"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Minimalna wysokość taśmy wynosi 4 cm. Grubość taśmy powinna wynosić 10 mm.</w:t>
      </w:r>
    </w:p>
    <w:p w14:paraId="12A6F787"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Krawędź boczna złącza podłużnego powinna być uformowana zgodnie z opisem w punkcie 5.9.1.3. Krawędź boczna złącza poprzecznego powinna być uformowana w taki sposób i za pomocą urządzeń umożliwiających uzyskanie nieregularnej powierzchni.</w:t>
      </w:r>
    </w:p>
    <w:p w14:paraId="2A729F1B"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14:paraId="0A4E96F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taśmy.</w:t>
      </w:r>
    </w:p>
    <w:p w14:paraId="04025880"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lastRenderedPageBreak/>
        <w:t>Taśma bitumiczna powinna być wstępnie przyklejona do zimnej krawędzi złącza pokrywając 2/3 wysokości warstwy licząc od górnej powierzchni.</w:t>
      </w:r>
    </w:p>
    <w:p w14:paraId="6909E703" w14:textId="77777777" w:rsidR="00FC279F" w:rsidRPr="00C968CE" w:rsidRDefault="00FC279F" w:rsidP="00C968CE">
      <w:pPr>
        <w:spacing w:before="120" w:after="120" w:line="240" w:lineRule="auto"/>
        <w:rPr>
          <w:rFonts w:cs="Arial"/>
          <w:szCs w:val="20"/>
        </w:rPr>
      </w:pPr>
      <w:r w:rsidRPr="00C968CE">
        <w:rPr>
          <w:rFonts w:cs="Arial"/>
          <w:szCs w:val="20"/>
        </w:rPr>
        <w:t>5.9.1.6.</w:t>
      </w:r>
      <w:r w:rsidRPr="00C968CE">
        <w:rPr>
          <w:rFonts w:cs="Arial"/>
          <w:b/>
          <w:bCs/>
          <w:szCs w:val="20"/>
        </w:rPr>
        <w:t xml:space="preserve"> </w:t>
      </w:r>
      <w:r w:rsidRPr="00C968CE">
        <w:rPr>
          <w:rFonts w:cs="Arial"/>
          <w:szCs w:val="20"/>
        </w:rPr>
        <w:t>Wymagania wobec wbudowywania past bitumicznych</w:t>
      </w:r>
    </w:p>
    <w:p w14:paraId="3BF046FD"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Przygotowanie krawędzi bocznych jak w przypadku stosowania taśm bitumicznych.</w:t>
      </w:r>
    </w:p>
    <w:p w14:paraId="0BE03D24"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Pasta powinna być nanoszona mechanicznie z zapewnieniem równomiernego jej rozprowadzenia na bocznej krawędzi w ilości 3 - 4 kg/m</w:t>
      </w:r>
      <w:r w:rsidRPr="00C968CE">
        <w:rPr>
          <w:rFonts w:cs="Arial"/>
          <w:szCs w:val="20"/>
          <w:vertAlign w:val="superscript"/>
        </w:rPr>
        <w:t>2</w:t>
      </w:r>
      <w:r w:rsidRPr="00C968CE">
        <w:rPr>
          <w:rFonts w:cs="Arial"/>
          <w:szCs w:val="20"/>
        </w:rPr>
        <w:t xml:space="preserve"> (warstwa o grubości 3 - 4 mm przy gęstości około 1,0 g/cm</w:t>
      </w:r>
      <w:r w:rsidRPr="00C968CE">
        <w:rPr>
          <w:rFonts w:cs="Arial"/>
          <w:szCs w:val="20"/>
          <w:vertAlign w:val="superscript"/>
        </w:rPr>
        <w:t>3</w:t>
      </w:r>
      <w:r w:rsidRPr="00C968CE">
        <w:rPr>
          <w:rFonts w:cs="Arial"/>
          <w:szCs w:val="20"/>
        </w:rPr>
        <w:t>).</w:t>
      </w:r>
    </w:p>
    <w:p w14:paraId="349650C4"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Dopuszcza się ręczne nanoszenie past w miejscach niedostępnych.</w:t>
      </w:r>
    </w:p>
    <w:p w14:paraId="05A53C02"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 xml:space="preserve">5.10. Krawędzie </w:t>
      </w:r>
    </w:p>
    <w:p w14:paraId="2EFBD32C"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C968CE">
        <w:rPr>
          <w:rFonts w:cs="Arial"/>
          <w:szCs w:val="20"/>
        </w:rPr>
        <w:t>tzw</w:t>
      </w:r>
      <w:proofErr w:type="spellEnd"/>
      <w:r w:rsidRPr="00C968CE">
        <w:rPr>
          <w:rFonts w:cs="Arial"/>
          <w:szCs w:val="20"/>
        </w:rPr>
        <w:t xml:space="preserve"> „buta” („na gorąco”).</w:t>
      </w:r>
    </w:p>
    <w:p w14:paraId="0DE10C8A"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Jeżeli krawędzie nie zostały uformowane na gorąco krawędzie należy wyfrezować na zimno.</w:t>
      </w:r>
    </w:p>
    <w:p w14:paraId="0DAABD89"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Po wykonaniu nawierzchni asfaltowej o jednostronnym nachyleniu jezdni należy uszczelnić krawędź położoną wyżej (niżej położona krawędź powinna zostać nieuszczelniona).</w:t>
      </w:r>
    </w:p>
    <w:p w14:paraId="6A35FB79"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 przypadku nawierzchni o dwustronnym nachyleniu (przekrój daszkowy) decyzję o potrzebie i sposobie uszczelnienia krawędzi zewnętrznych podejmie Projektant w uzgodnieniu z Inżynierem.</w:t>
      </w:r>
    </w:p>
    <w:p w14:paraId="33FD2E78"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Krawędzie zewnętrzne oraz powierzchnie odsadzek poziomych należy uszczelnić przez pokrycie gorącym asfaltem w ilości:</w:t>
      </w:r>
    </w:p>
    <w:p w14:paraId="12EC7F73" w14:textId="77777777" w:rsidR="00FC279F" w:rsidRPr="00C968CE" w:rsidRDefault="00FC279F" w:rsidP="00C968CE">
      <w:pPr>
        <w:spacing w:before="100" w:beforeAutospacing="1" w:after="100" w:afterAutospacing="1" w:line="240" w:lineRule="auto"/>
        <w:ind w:left="426" w:hanging="360"/>
        <w:rPr>
          <w:rFonts w:cs="Arial"/>
          <w:szCs w:val="20"/>
        </w:rPr>
      </w:pPr>
      <w:r w:rsidRPr="00C968CE">
        <w:rPr>
          <w:rFonts w:cs="Arial"/>
          <w:szCs w:val="20"/>
        </w:rPr>
        <w:t>–         powierzchnie odsadzek - 1,5 kg/m2,</w:t>
      </w:r>
    </w:p>
    <w:p w14:paraId="15E207B1" w14:textId="77777777" w:rsidR="00FC279F" w:rsidRPr="00C968CE" w:rsidRDefault="00FC279F" w:rsidP="00C968CE">
      <w:pPr>
        <w:spacing w:before="100" w:beforeAutospacing="1" w:after="100" w:afterAutospacing="1" w:line="240" w:lineRule="auto"/>
        <w:ind w:left="426" w:hanging="360"/>
        <w:rPr>
          <w:rFonts w:cs="Arial"/>
          <w:szCs w:val="20"/>
        </w:rPr>
      </w:pPr>
      <w:r w:rsidRPr="00C968CE">
        <w:rPr>
          <w:rFonts w:cs="Arial"/>
          <w:szCs w:val="20"/>
        </w:rPr>
        <w:t>–         krawędzie zewnętrzne - 4 kg/m2.</w:t>
      </w:r>
    </w:p>
    <w:p w14:paraId="1B4DCB86"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Gorący asfalt może być nanoszony w kilku przejściach roboczych. Do uszczelniania krawędzi zewnętrznych należy stosować asfalt drogowy według PN-EN 12591 [24], asfalt modyfikowany polimerami według PN-EN 14023[66], asfalt wielorodzajowy wg PN-EN 13924-2[65], albo inne lepiszcza według norm lub aprobat technicznych. Uszczelnienie krawędzi zewnętrznej należy wykonać gorącym lepiszczem.</w:t>
      </w:r>
    </w:p>
    <w:p w14:paraId="12858C54"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Lepiszcze powinno być naniesione odpowiednio szybko tak, aby krawędzie nie uległy zabrudzeniu. Niżej położona krawędź (z wyjątkiem strefy zmiany przechyłki) powinna pozostać nieuszczelniona. </w:t>
      </w:r>
    </w:p>
    <w:p w14:paraId="28653248"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w:t>
      </w:r>
    </w:p>
    <w:p w14:paraId="4D46BDBC" w14:textId="77777777" w:rsidR="00FC279F" w:rsidRPr="00C968CE" w:rsidRDefault="00FC279F" w:rsidP="00C968CE">
      <w:pPr>
        <w:spacing w:before="100" w:beforeAutospacing="1" w:after="100" w:afterAutospacing="1" w:line="240" w:lineRule="auto"/>
        <w:outlineLvl w:val="0"/>
        <w:rPr>
          <w:rFonts w:cs="Arial"/>
          <w:b/>
          <w:bCs/>
          <w:kern w:val="36"/>
          <w:szCs w:val="20"/>
        </w:rPr>
      </w:pPr>
      <w:bookmarkStart w:id="926" w:name="_Toc461543723"/>
      <w:r w:rsidRPr="00C968CE">
        <w:rPr>
          <w:rFonts w:cs="Arial"/>
          <w:b/>
          <w:bCs/>
          <w:kern w:val="36"/>
          <w:szCs w:val="20"/>
        </w:rPr>
        <w:t>6. Kontrola jakości robót</w:t>
      </w:r>
      <w:bookmarkEnd w:id="926"/>
    </w:p>
    <w:p w14:paraId="2DE9BD60"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6.1. Ogólne zasady kontroli jakości robót</w:t>
      </w:r>
    </w:p>
    <w:p w14:paraId="7B12CAD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Ogólne zasady kontroli jakości robót podano w SST   D-M-00.00.00 „Wymagania ogólne” [1] pkt 6.</w:t>
      </w:r>
    </w:p>
    <w:p w14:paraId="1AFB7D95"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6.2. Badania przed przystąpieniem do robót</w:t>
      </w:r>
    </w:p>
    <w:p w14:paraId="3D0D85E3" w14:textId="77777777" w:rsidR="00FC279F" w:rsidRPr="00C968CE" w:rsidRDefault="00FC279F" w:rsidP="00C968CE">
      <w:pPr>
        <w:spacing w:before="100" w:beforeAutospacing="1" w:after="120" w:line="240" w:lineRule="auto"/>
        <w:rPr>
          <w:rFonts w:cs="Arial"/>
          <w:szCs w:val="20"/>
        </w:rPr>
      </w:pPr>
      <w:r w:rsidRPr="00C968CE">
        <w:rPr>
          <w:rFonts w:cs="Arial"/>
          <w:b/>
          <w:bCs/>
          <w:szCs w:val="20"/>
        </w:rPr>
        <w:t>6.2.1.</w:t>
      </w:r>
      <w:r w:rsidRPr="00C968CE">
        <w:rPr>
          <w:rFonts w:cs="Arial"/>
          <w:szCs w:val="20"/>
        </w:rPr>
        <w:t xml:space="preserve"> Dokumenty i wyniki badań materiałów</w:t>
      </w:r>
    </w:p>
    <w:p w14:paraId="4AD61740"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Przed przystąpieniem do robót Wykonawca powinien: </w:t>
      </w:r>
    </w:p>
    <w:p w14:paraId="1246DE86"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lastRenderedPageBreak/>
        <w:t>-      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3D38037"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ew. wykonać własne badania właściwości materiałów przeznaczonych do wykonania robót, określone przez Inżyniera.</w:t>
      </w:r>
    </w:p>
    <w:p w14:paraId="23EA870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Wszystkie dokumenty oraz wyniki badań Wykonawca przedstawia Inżynierowi do akceptacji.</w:t>
      </w:r>
    </w:p>
    <w:p w14:paraId="774B41ED" w14:textId="77777777" w:rsidR="00FC279F" w:rsidRPr="00C968CE" w:rsidRDefault="00FC279F" w:rsidP="00C968CE">
      <w:pPr>
        <w:spacing w:before="100" w:beforeAutospacing="1" w:after="100" w:afterAutospacing="1" w:line="240" w:lineRule="auto"/>
        <w:ind w:right="-57" w:firstLine="709"/>
        <w:rPr>
          <w:rFonts w:cs="Arial"/>
          <w:szCs w:val="20"/>
        </w:rPr>
      </w:pPr>
      <w:r w:rsidRPr="00C968CE">
        <w:rPr>
          <w:rFonts w:cs="Arial"/>
          <w:color w:val="000000"/>
          <w:szCs w:val="20"/>
        </w:rPr>
        <w:t>W przypadku zmiany rodzaju i właściwości materiałów budowlanych należy ponownie wykazać ich przydatność do przewidywanego celu.  </w:t>
      </w:r>
    </w:p>
    <w:p w14:paraId="1D2D2340" w14:textId="77777777" w:rsidR="00FC279F" w:rsidRPr="00C968CE" w:rsidRDefault="00FC279F" w:rsidP="00C968CE">
      <w:pPr>
        <w:spacing w:before="120" w:after="120" w:line="240" w:lineRule="auto"/>
        <w:rPr>
          <w:rFonts w:cs="Arial"/>
          <w:szCs w:val="20"/>
        </w:rPr>
      </w:pPr>
      <w:r w:rsidRPr="00C968CE">
        <w:rPr>
          <w:rFonts w:cs="Arial"/>
          <w:b/>
          <w:bCs/>
          <w:szCs w:val="20"/>
        </w:rPr>
        <w:t>6.2.2.</w:t>
      </w:r>
      <w:r w:rsidRPr="00C968CE">
        <w:rPr>
          <w:rFonts w:cs="Arial"/>
          <w:szCs w:val="20"/>
        </w:rPr>
        <w:t xml:space="preserve"> Badanie typu </w:t>
      </w:r>
    </w:p>
    <w:p w14:paraId="67AE155B"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1C762C5C"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Badanie typu powinno zawierać:</w:t>
      </w:r>
    </w:p>
    <w:p w14:paraId="7C90994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 informacje ogólne:</w:t>
      </w:r>
    </w:p>
    <w:p w14:paraId="5254A95B"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nazwę i adres producenta mieszanki mineralno-asfaltowej,</w:t>
      </w:r>
    </w:p>
    <w:p w14:paraId="14F1F861"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datę wydania,</w:t>
      </w:r>
    </w:p>
    <w:p w14:paraId="21D25F6E"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nazwę wytwórni produkującej mieszankę mineralno –asfaltową,</w:t>
      </w:r>
    </w:p>
    <w:p w14:paraId="1EA3CFA9"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określenie typu mieszanki i kategorii, z którymi jest deklarowana zgodność,</w:t>
      </w:r>
    </w:p>
    <w:p w14:paraId="0D6251ED"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zestawienie metod przygotowania próbek oraz metod i warunków badania poszczególnych właściwości,</w:t>
      </w:r>
    </w:p>
    <w:p w14:paraId="0FEDA82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 informacje o składnikach:</w:t>
      </w:r>
    </w:p>
    <w:p w14:paraId="2B5966DE"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każdy wymiar kruszywa: źródło i rodzaj</w:t>
      </w:r>
    </w:p>
    <w:p w14:paraId="1FCC260C"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lepiszcze: typ i rodzaj,</w:t>
      </w:r>
    </w:p>
    <w:p w14:paraId="75DC5433"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wypełniacz: źródło i rodzaj,</w:t>
      </w:r>
    </w:p>
    <w:p w14:paraId="2097316C"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dodatki: źródło i rodzaj,</w:t>
      </w:r>
    </w:p>
    <w:p w14:paraId="634FD0AD"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wszystkie składniki: wyniki badań zgodnie z zestawieniem podanym w tablicy 27,</w:t>
      </w:r>
    </w:p>
    <w:p w14:paraId="080571E4" w14:textId="77777777" w:rsidR="00FC279F" w:rsidRPr="00C968CE" w:rsidRDefault="00FC279F" w:rsidP="00C968CE">
      <w:pPr>
        <w:spacing w:before="120" w:after="120" w:line="240" w:lineRule="auto"/>
        <w:rPr>
          <w:rFonts w:cs="Arial"/>
          <w:szCs w:val="20"/>
        </w:rPr>
      </w:pPr>
      <w:r w:rsidRPr="00C968CE">
        <w:rPr>
          <w:rFonts w:cs="Arial"/>
          <w:szCs w:val="20"/>
        </w:rPr>
        <w:t>Tablica 27. Rodzaj i liczba badań składników mieszanki mineralno-asfaltowej</w:t>
      </w:r>
    </w:p>
    <w:tbl>
      <w:tblPr>
        <w:tblW w:w="0" w:type="auto"/>
        <w:tblCellMar>
          <w:left w:w="0" w:type="dxa"/>
          <w:right w:w="0" w:type="dxa"/>
        </w:tblCellMar>
        <w:tblLook w:val="04A0" w:firstRow="1" w:lastRow="0" w:firstColumn="1" w:lastColumn="0" w:noHBand="0" w:noVBand="1"/>
      </w:tblPr>
      <w:tblGrid>
        <w:gridCol w:w="2268"/>
        <w:gridCol w:w="1920"/>
        <w:gridCol w:w="2760"/>
        <w:gridCol w:w="1878"/>
      </w:tblGrid>
      <w:tr w:rsidR="00FC279F" w:rsidRPr="00C968CE" w14:paraId="7A9754FA" w14:textId="77777777" w:rsidTr="00FC279F">
        <w:tc>
          <w:tcPr>
            <w:tcW w:w="2268"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hideMark/>
          </w:tcPr>
          <w:p w14:paraId="53EEE0AA" w14:textId="77777777" w:rsidR="00FC279F" w:rsidRPr="00C968CE" w:rsidRDefault="00FC279F" w:rsidP="00C968CE">
            <w:pPr>
              <w:spacing w:before="60" w:after="60" w:line="240" w:lineRule="auto"/>
              <w:rPr>
                <w:rFonts w:cs="Arial"/>
                <w:szCs w:val="20"/>
              </w:rPr>
            </w:pPr>
            <w:r w:rsidRPr="00C968CE">
              <w:rPr>
                <w:rFonts w:cs="Arial"/>
                <w:szCs w:val="20"/>
              </w:rPr>
              <w:t>Składnik</w:t>
            </w:r>
          </w:p>
        </w:tc>
        <w:tc>
          <w:tcPr>
            <w:tcW w:w="1920"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0E2DB360" w14:textId="77777777" w:rsidR="00FC279F" w:rsidRPr="00C968CE" w:rsidRDefault="00FC279F" w:rsidP="00C968CE">
            <w:pPr>
              <w:spacing w:before="60" w:after="60" w:line="240" w:lineRule="auto"/>
              <w:rPr>
                <w:rFonts w:cs="Arial"/>
                <w:szCs w:val="20"/>
              </w:rPr>
            </w:pPr>
            <w:r w:rsidRPr="00C968CE">
              <w:rPr>
                <w:rFonts w:cs="Arial"/>
                <w:szCs w:val="20"/>
              </w:rPr>
              <w:t>Właściwość</w:t>
            </w:r>
          </w:p>
        </w:tc>
        <w:tc>
          <w:tcPr>
            <w:tcW w:w="2760"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0A4726A5" w14:textId="77777777" w:rsidR="00FC279F" w:rsidRPr="00C968CE" w:rsidRDefault="00FC279F" w:rsidP="00C968CE">
            <w:pPr>
              <w:spacing w:before="60" w:after="60" w:line="240" w:lineRule="auto"/>
              <w:rPr>
                <w:rFonts w:cs="Arial"/>
                <w:szCs w:val="20"/>
              </w:rPr>
            </w:pPr>
            <w:r w:rsidRPr="00C968CE">
              <w:rPr>
                <w:rFonts w:cs="Arial"/>
                <w:szCs w:val="20"/>
              </w:rPr>
              <w:t>Metoda badania</w:t>
            </w:r>
          </w:p>
        </w:tc>
        <w:tc>
          <w:tcPr>
            <w:tcW w:w="1878"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66A24754" w14:textId="77777777" w:rsidR="00FC279F" w:rsidRPr="00C968CE" w:rsidRDefault="00FC279F" w:rsidP="00C968CE">
            <w:pPr>
              <w:spacing w:before="60" w:after="60" w:line="240" w:lineRule="auto"/>
              <w:rPr>
                <w:rFonts w:cs="Arial"/>
                <w:szCs w:val="20"/>
              </w:rPr>
            </w:pPr>
            <w:r w:rsidRPr="00C968CE">
              <w:rPr>
                <w:rFonts w:cs="Arial"/>
                <w:szCs w:val="20"/>
              </w:rPr>
              <w:t>Liczba badań</w:t>
            </w:r>
          </w:p>
        </w:tc>
      </w:tr>
      <w:tr w:rsidR="00FC279F" w:rsidRPr="00C968CE" w14:paraId="4CD458D4" w14:textId="77777777" w:rsidTr="00FC279F">
        <w:tc>
          <w:tcPr>
            <w:tcW w:w="2268"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AA3F78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Kruszywo</w:t>
            </w:r>
          </w:p>
          <w:p w14:paraId="1F5ACCE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13043 [50])</w:t>
            </w: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7974A1B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Uziarnienie</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0A6D193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933-1 [6]</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166C1E5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 na frakcję</w:t>
            </w:r>
          </w:p>
        </w:tc>
      </w:tr>
      <w:tr w:rsidR="00FC279F" w:rsidRPr="00C968CE" w14:paraId="0F635B2B"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09608E77" w14:textId="77777777" w:rsidR="00FC279F" w:rsidRPr="00C968CE" w:rsidRDefault="00FC279F" w:rsidP="00C968CE">
            <w:pPr>
              <w:spacing w:line="240" w:lineRule="auto"/>
              <w:rPr>
                <w:rFonts w:cs="Arial"/>
                <w:szCs w:val="20"/>
              </w:rPr>
            </w:pP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58462FB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Gęstość</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17A15A1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1097-6 [17]</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24092F2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 na frakcję</w:t>
            </w:r>
          </w:p>
        </w:tc>
      </w:tr>
      <w:tr w:rsidR="00FC279F" w:rsidRPr="00C968CE" w14:paraId="2CB18070" w14:textId="77777777" w:rsidTr="00FC279F">
        <w:tc>
          <w:tcPr>
            <w:tcW w:w="2268"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1AD2C3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Lepiszcze </w:t>
            </w:r>
          </w:p>
          <w:p w14:paraId="1B86A25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12591 [24], PN-EN 13924-2[65], PN-EN 14023 [66])</w:t>
            </w: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170E7B1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Penetracja lub temperatura mięknienia</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2193C2A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1426 [21] lub</w:t>
            </w:r>
          </w:p>
          <w:p w14:paraId="3C9FFA4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1427 [22]</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60506B2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082C75D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1D7F0907"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30991F88" w14:textId="77777777" w:rsidR="00FC279F" w:rsidRPr="00C968CE" w:rsidRDefault="00FC279F" w:rsidP="00C968CE">
            <w:pPr>
              <w:spacing w:line="240" w:lineRule="auto"/>
              <w:rPr>
                <w:rFonts w:cs="Arial"/>
                <w:szCs w:val="20"/>
              </w:rPr>
            </w:pP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7D5B6BE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Nawrót sprężysty</w:t>
            </w:r>
            <w:r w:rsidRPr="00C968CE">
              <w:rPr>
                <w:rFonts w:cs="Arial"/>
                <w:szCs w:val="20"/>
                <w:vertAlign w:val="superscript"/>
              </w:rPr>
              <w:t>*)</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3746C83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13398 [58]</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317CD834" w14:textId="77777777" w:rsidR="00FC279F" w:rsidRPr="00C968CE" w:rsidRDefault="00FC279F" w:rsidP="00C968CE">
            <w:pPr>
              <w:spacing w:before="120" w:after="100" w:afterAutospacing="1" w:line="240" w:lineRule="auto"/>
              <w:rPr>
                <w:rFonts w:cs="Arial"/>
                <w:szCs w:val="20"/>
              </w:rPr>
            </w:pPr>
            <w:r w:rsidRPr="00C968CE">
              <w:rPr>
                <w:rFonts w:cs="Arial"/>
                <w:szCs w:val="20"/>
              </w:rPr>
              <w:t>1</w:t>
            </w:r>
          </w:p>
        </w:tc>
      </w:tr>
      <w:tr w:rsidR="00FC279F" w:rsidRPr="00C968CE" w14:paraId="536A5DE2" w14:textId="77777777" w:rsidTr="00FC279F">
        <w:tc>
          <w:tcPr>
            <w:tcW w:w="2268"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D8A059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Wypełniacz </w:t>
            </w:r>
          </w:p>
          <w:p w14:paraId="2306617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13043 [50])</w:t>
            </w: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46D57DE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Uziarnienie</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074CBE5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933-10 [12]</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262E25B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5495E0EF"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32A096F8" w14:textId="77777777" w:rsidR="00FC279F" w:rsidRPr="00C968CE" w:rsidRDefault="00FC279F" w:rsidP="00C968CE">
            <w:pPr>
              <w:spacing w:line="240" w:lineRule="auto"/>
              <w:rPr>
                <w:rFonts w:cs="Arial"/>
                <w:szCs w:val="20"/>
              </w:rPr>
            </w:pP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55CC893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Gęstość</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22B852F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1097-7 [18]</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145323E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4994361F" w14:textId="77777777" w:rsidTr="00FC279F">
        <w:tc>
          <w:tcPr>
            <w:tcW w:w="2268"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4E3269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Dodatki</w:t>
            </w: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694D1D3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Typ</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4E65B79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2F401C8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tc>
      </w:tr>
      <w:tr w:rsidR="00FC279F" w:rsidRPr="00C968CE" w14:paraId="3D5E6703" w14:textId="77777777" w:rsidTr="00FC279F">
        <w:tc>
          <w:tcPr>
            <w:tcW w:w="2268"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5ED287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lastRenderedPageBreak/>
              <w:t>Granulat asfaltowy**)</w:t>
            </w: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06372C7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Uziarnienie</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0DB177A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12697-2 [32]</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6C48BBE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1AED3A01"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69A2B7ED" w14:textId="77777777" w:rsidR="00FC279F" w:rsidRPr="00C968CE" w:rsidRDefault="00FC279F" w:rsidP="00C968CE">
            <w:pPr>
              <w:spacing w:line="240" w:lineRule="auto"/>
              <w:rPr>
                <w:rFonts w:cs="Arial"/>
                <w:szCs w:val="20"/>
              </w:rPr>
            </w:pP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2276F72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Zawartość lepiszcza</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48F3ACBE" w14:textId="77777777" w:rsidR="00FC279F" w:rsidRPr="00C968CE" w:rsidRDefault="00FC279F" w:rsidP="00C968CE">
            <w:pPr>
              <w:spacing w:before="120" w:after="100" w:afterAutospacing="1" w:line="240" w:lineRule="auto"/>
              <w:rPr>
                <w:rFonts w:cs="Arial"/>
                <w:szCs w:val="20"/>
              </w:rPr>
            </w:pPr>
            <w:r w:rsidRPr="00C968CE">
              <w:rPr>
                <w:rFonts w:cs="Arial"/>
                <w:szCs w:val="20"/>
              </w:rPr>
              <w:t>PN-EN 12697-1 [31]</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4736C340" w14:textId="77777777" w:rsidR="00FC279F" w:rsidRPr="00C968CE" w:rsidRDefault="00FC279F" w:rsidP="00C968CE">
            <w:pPr>
              <w:spacing w:before="120" w:after="100" w:afterAutospacing="1" w:line="240" w:lineRule="auto"/>
              <w:rPr>
                <w:rFonts w:cs="Arial"/>
                <w:szCs w:val="20"/>
              </w:rPr>
            </w:pPr>
            <w:r w:rsidRPr="00C968CE">
              <w:rPr>
                <w:rFonts w:cs="Arial"/>
                <w:szCs w:val="20"/>
              </w:rPr>
              <w:t>1</w:t>
            </w:r>
          </w:p>
        </w:tc>
      </w:tr>
      <w:tr w:rsidR="00FC279F" w:rsidRPr="00C968CE" w14:paraId="378173E3"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19D70458" w14:textId="77777777" w:rsidR="00FC279F" w:rsidRPr="00C968CE" w:rsidRDefault="00FC279F" w:rsidP="00C968CE">
            <w:pPr>
              <w:spacing w:line="240" w:lineRule="auto"/>
              <w:rPr>
                <w:rFonts w:cs="Arial"/>
                <w:szCs w:val="20"/>
              </w:rPr>
            </w:pP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68CE5E7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Penetracja odzyskanego lepiszcza</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500BB5E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12697-3 [33] lub PN-EN 12697-4 [34] oraz PN-EN 1426 [21]</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6C4F411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5A4AF23F"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7C47A59A" w14:textId="77777777" w:rsidR="00FC279F" w:rsidRPr="00C968CE" w:rsidRDefault="00FC279F" w:rsidP="00C968CE">
            <w:pPr>
              <w:spacing w:line="240" w:lineRule="auto"/>
              <w:rPr>
                <w:rFonts w:cs="Arial"/>
                <w:szCs w:val="20"/>
              </w:rPr>
            </w:pP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63A8F27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Temperatura mięknienia lepiszcza</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636B94D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12697-3 [33] lub PN-EN 12697-4 [34] oraz PN-EN 1427 [22]</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313966A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0224D6A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024A7FB4"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083C3C3A" w14:textId="77777777" w:rsidR="00FC279F" w:rsidRPr="00C968CE" w:rsidRDefault="00FC279F" w:rsidP="00C968CE">
            <w:pPr>
              <w:spacing w:line="240" w:lineRule="auto"/>
              <w:rPr>
                <w:rFonts w:cs="Arial"/>
                <w:szCs w:val="20"/>
              </w:rPr>
            </w:pPr>
          </w:p>
        </w:tc>
        <w:tc>
          <w:tcPr>
            <w:tcW w:w="1920" w:type="dxa"/>
            <w:tcBorders>
              <w:top w:val="nil"/>
              <w:left w:val="nil"/>
              <w:bottom w:val="single" w:sz="8" w:space="0" w:color="auto"/>
              <w:right w:val="single" w:sz="8" w:space="0" w:color="auto"/>
            </w:tcBorders>
            <w:noWrap/>
            <w:tcMar>
              <w:top w:w="0" w:type="dxa"/>
              <w:left w:w="108" w:type="dxa"/>
              <w:bottom w:w="0" w:type="dxa"/>
              <w:right w:w="108" w:type="dxa"/>
            </w:tcMar>
            <w:hideMark/>
          </w:tcPr>
          <w:p w14:paraId="09DF1F5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gęstość</w:t>
            </w:r>
          </w:p>
        </w:tc>
        <w:tc>
          <w:tcPr>
            <w:tcW w:w="2760" w:type="dxa"/>
            <w:tcBorders>
              <w:top w:val="nil"/>
              <w:left w:val="nil"/>
              <w:bottom w:val="single" w:sz="8" w:space="0" w:color="auto"/>
              <w:right w:val="single" w:sz="8" w:space="0" w:color="auto"/>
            </w:tcBorders>
            <w:noWrap/>
            <w:tcMar>
              <w:top w:w="0" w:type="dxa"/>
              <w:left w:w="108" w:type="dxa"/>
              <w:bottom w:w="0" w:type="dxa"/>
              <w:right w:w="108" w:type="dxa"/>
            </w:tcMar>
            <w:hideMark/>
          </w:tcPr>
          <w:p w14:paraId="4FC11A4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12697-5 [35]</w:t>
            </w:r>
          </w:p>
        </w:tc>
        <w:tc>
          <w:tcPr>
            <w:tcW w:w="1878" w:type="dxa"/>
            <w:tcBorders>
              <w:top w:val="nil"/>
              <w:left w:val="nil"/>
              <w:bottom w:val="single" w:sz="8" w:space="0" w:color="auto"/>
              <w:right w:val="single" w:sz="8" w:space="0" w:color="auto"/>
            </w:tcBorders>
            <w:noWrap/>
            <w:tcMar>
              <w:top w:w="0" w:type="dxa"/>
              <w:left w:w="108" w:type="dxa"/>
              <w:bottom w:w="0" w:type="dxa"/>
              <w:right w:w="108" w:type="dxa"/>
            </w:tcMar>
            <w:hideMark/>
          </w:tcPr>
          <w:p w14:paraId="3E19E3F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bl>
    <w:p w14:paraId="7F11C61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    dotyczy jedynie lepiszczy wg PN-EN 14023 [66],                                 </w:t>
      </w:r>
    </w:p>
    <w:p w14:paraId="67EA9A22" w14:textId="77777777" w:rsidR="00FC279F" w:rsidRPr="00C968CE" w:rsidRDefault="00FC279F" w:rsidP="00C968CE">
      <w:pPr>
        <w:spacing w:before="100" w:beforeAutospacing="1" w:after="100" w:afterAutospacing="1" w:line="240" w:lineRule="auto"/>
        <w:ind w:left="480" w:hanging="480"/>
        <w:rPr>
          <w:rFonts w:cs="Arial"/>
          <w:szCs w:val="20"/>
        </w:rPr>
      </w:pPr>
      <w:r w:rsidRPr="00C968CE">
        <w:rPr>
          <w:rFonts w:cs="Arial"/>
          <w:szCs w:val="20"/>
        </w:rPr>
        <w:t>**) sprawdzane właściwości powinny być odpowiednie do procentowego dodatku; przy małym procentowym dodatku stosuje się minimum wymagań.</w:t>
      </w:r>
    </w:p>
    <w:p w14:paraId="2E27F979" w14:textId="77777777" w:rsidR="00FC279F" w:rsidRPr="00C968CE" w:rsidRDefault="00FC279F" w:rsidP="00C968CE">
      <w:pPr>
        <w:spacing w:before="120" w:after="100" w:afterAutospacing="1" w:line="240" w:lineRule="auto"/>
        <w:rPr>
          <w:rFonts w:cs="Arial"/>
          <w:szCs w:val="20"/>
        </w:rPr>
      </w:pPr>
      <w:r w:rsidRPr="00C968CE">
        <w:rPr>
          <w:rFonts w:cs="Arial"/>
          <w:szCs w:val="20"/>
        </w:rPr>
        <w:t>c) informacje o mieszance mineralno-asfaltowej:</w:t>
      </w:r>
    </w:p>
    <w:p w14:paraId="4E9A58BE"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skład mieszaki podany jako wejściowy (w przypadku walidacji w laboratorium) lub wyjściowy skład (w wypadku walidacji produkcji),</w:t>
      </w:r>
    </w:p>
    <w:p w14:paraId="124B5D4C" w14:textId="77777777" w:rsidR="00FC279F" w:rsidRPr="00C968CE" w:rsidRDefault="00FC279F" w:rsidP="00C968CE">
      <w:pPr>
        <w:spacing w:before="100" w:beforeAutospacing="1" w:after="100" w:afterAutospacing="1" w:line="240" w:lineRule="auto"/>
        <w:ind w:left="720" w:hanging="360"/>
        <w:rPr>
          <w:rFonts w:cs="Arial"/>
          <w:szCs w:val="20"/>
        </w:rPr>
      </w:pPr>
      <w:r w:rsidRPr="00C968CE">
        <w:rPr>
          <w:rFonts w:cs="Arial"/>
          <w:szCs w:val="20"/>
        </w:rPr>
        <w:t>–         wyniki badań zgodnie z zestawieniem podanym w tablicy 28.</w:t>
      </w:r>
    </w:p>
    <w:p w14:paraId="7046F224" w14:textId="77777777" w:rsidR="00FC279F" w:rsidRPr="00C968CE" w:rsidRDefault="00FC279F" w:rsidP="00C968CE">
      <w:pPr>
        <w:spacing w:before="120" w:after="120" w:line="240" w:lineRule="auto"/>
        <w:rPr>
          <w:rFonts w:cs="Arial"/>
          <w:szCs w:val="20"/>
        </w:rPr>
      </w:pPr>
      <w:r w:rsidRPr="00C968CE">
        <w:rPr>
          <w:rFonts w:cs="Arial"/>
          <w:szCs w:val="20"/>
        </w:rPr>
        <w:t>Tablica 28. Rodzaj i liczba badań mieszanki mineralno-asfaltowej</w:t>
      </w:r>
    </w:p>
    <w:tbl>
      <w:tblPr>
        <w:tblW w:w="8868" w:type="dxa"/>
        <w:tblCellMar>
          <w:left w:w="0" w:type="dxa"/>
          <w:right w:w="0" w:type="dxa"/>
        </w:tblCellMar>
        <w:tblLook w:val="04A0" w:firstRow="1" w:lastRow="0" w:firstColumn="1" w:lastColumn="0" w:noHBand="0" w:noVBand="1"/>
      </w:tblPr>
      <w:tblGrid>
        <w:gridCol w:w="3936"/>
        <w:gridCol w:w="3260"/>
        <w:gridCol w:w="1672"/>
      </w:tblGrid>
      <w:tr w:rsidR="00FC279F" w:rsidRPr="00C968CE" w14:paraId="17CE245A" w14:textId="77777777" w:rsidTr="00FC279F">
        <w:tc>
          <w:tcPr>
            <w:tcW w:w="3936"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hideMark/>
          </w:tcPr>
          <w:p w14:paraId="6CC43E7E" w14:textId="77777777" w:rsidR="00FC279F" w:rsidRPr="00C968CE" w:rsidRDefault="00FC279F" w:rsidP="00C968CE">
            <w:pPr>
              <w:spacing w:before="60" w:after="60" w:line="240" w:lineRule="auto"/>
              <w:rPr>
                <w:rFonts w:cs="Arial"/>
                <w:szCs w:val="20"/>
              </w:rPr>
            </w:pPr>
            <w:r w:rsidRPr="00C968CE">
              <w:rPr>
                <w:rFonts w:cs="Arial"/>
                <w:szCs w:val="20"/>
              </w:rPr>
              <w:t>Właściwość</w:t>
            </w:r>
          </w:p>
        </w:tc>
        <w:tc>
          <w:tcPr>
            <w:tcW w:w="3260"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3F9E6BDF" w14:textId="77777777" w:rsidR="00FC279F" w:rsidRPr="00C968CE" w:rsidRDefault="00FC279F" w:rsidP="00C968CE">
            <w:pPr>
              <w:spacing w:before="60" w:after="60" w:line="240" w:lineRule="auto"/>
              <w:rPr>
                <w:rFonts w:cs="Arial"/>
                <w:szCs w:val="20"/>
              </w:rPr>
            </w:pPr>
            <w:r w:rsidRPr="00C968CE">
              <w:rPr>
                <w:rFonts w:cs="Arial"/>
                <w:szCs w:val="20"/>
              </w:rPr>
              <w:t>Metoda badania</w:t>
            </w:r>
          </w:p>
        </w:tc>
        <w:tc>
          <w:tcPr>
            <w:tcW w:w="1672"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3B9D2CD8" w14:textId="77777777" w:rsidR="00FC279F" w:rsidRPr="00C968CE" w:rsidRDefault="00FC279F" w:rsidP="00C968CE">
            <w:pPr>
              <w:spacing w:before="60" w:after="60" w:line="240" w:lineRule="auto"/>
              <w:rPr>
                <w:rFonts w:cs="Arial"/>
                <w:szCs w:val="20"/>
              </w:rPr>
            </w:pPr>
            <w:r w:rsidRPr="00C968CE">
              <w:rPr>
                <w:rFonts w:cs="Arial"/>
                <w:szCs w:val="20"/>
              </w:rPr>
              <w:t>Liczba badań</w:t>
            </w:r>
          </w:p>
        </w:tc>
      </w:tr>
      <w:tr w:rsidR="00FC279F" w:rsidRPr="00C968CE" w14:paraId="3548BB38" w14:textId="77777777" w:rsidTr="00FC279F">
        <w:tc>
          <w:tcPr>
            <w:tcW w:w="393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A5547E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Zawartość lepiszcza (obowiązkowa)</w:t>
            </w:r>
          </w:p>
        </w:tc>
        <w:tc>
          <w:tcPr>
            <w:tcW w:w="3260" w:type="dxa"/>
            <w:tcBorders>
              <w:top w:val="nil"/>
              <w:left w:val="nil"/>
              <w:bottom w:val="single" w:sz="8" w:space="0" w:color="auto"/>
              <w:right w:val="single" w:sz="8" w:space="0" w:color="auto"/>
            </w:tcBorders>
            <w:noWrap/>
            <w:tcMar>
              <w:top w:w="0" w:type="dxa"/>
              <w:left w:w="108" w:type="dxa"/>
              <w:bottom w:w="0" w:type="dxa"/>
              <w:right w:w="108" w:type="dxa"/>
            </w:tcMar>
            <w:hideMark/>
          </w:tcPr>
          <w:p w14:paraId="14B4D73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12697-1[31]</w:t>
            </w:r>
          </w:p>
          <w:p w14:paraId="78B03DF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12697-39 [46]</w:t>
            </w:r>
          </w:p>
        </w:tc>
        <w:tc>
          <w:tcPr>
            <w:tcW w:w="1672" w:type="dxa"/>
            <w:tcBorders>
              <w:top w:val="nil"/>
              <w:left w:val="nil"/>
              <w:bottom w:val="single" w:sz="8" w:space="0" w:color="auto"/>
              <w:right w:val="single" w:sz="8" w:space="0" w:color="auto"/>
            </w:tcBorders>
            <w:noWrap/>
            <w:tcMar>
              <w:top w:w="0" w:type="dxa"/>
              <w:left w:w="108" w:type="dxa"/>
              <w:bottom w:w="0" w:type="dxa"/>
              <w:right w:w="108" w:type="dxa"/>
            </w:tcMar>
            <w:hideMark/>
          </w:tcPr>
          <w:p w14:paraId="1C459A9A" w14:textId="77777777" w:rsidR="00FC279F" w:rsidRPr="00C968CE" w:rsidRDefault="00FC279F" w:rsidP="00C968CE">
            <w:pPr>
              <w:spacing w:before="120" w:after="100" w:afterAutospacing="1" w:line="240" w:lineRule="auto"/>
              <w:rPr>
                <w:rFonts w:cs="Arial"/>
                <w:szCs w:val="20"/>
              </w:rPr>
            </w:pPr>
            <w:r w:rsidRPr="00C968CE">
              <w:rPr>
                <w:rFonts w:cs="Arial"/>
                <w:szCs w:val="20"/>
              </w:rPr>
              <w:t>1</w:t>
            </w:r>
          </w:p>
        </w:tc>
      </w:tr>
      <w:tr w:rsidR="00FC279F" w:rsidRPr="00C968CE" w14:paraId="05E254BB" w14:textId="77777777" w:rsidTr="00FC279F">
        <w:tc>
          <w:tcPr>
            <w:tcW w:w="393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424332CD" w14:textId="77777777" w:rsidR="00FC279F" w:rsidRPr="00C968CE" w:rsidRDefault="00FC279F" w:rsidP="00C968CE">
            <w:pPr>
              <w:spacing w:before="60" w:after="60" w:line="240" w:lineRule="auto"/>
              <w:rPr>
                <w:rFonts w:cs="Arial"/>
                <w:szCs w:val="20"/>
              </w:rPr>
            </w:pPr>
            <w:r w:rsidRPr="00C968CE">
              <w:rPr>
                <w:rFonts w:cs="Arial"/>
                <w:szCs w:val="20"/>
              </w:rPr>
              <w:t>Uziarnienie (obowiązkowa)</w:t>
            </w:r>
          </w:p>
        </w:tc>
        <w:tc>
          <w:tcPr>
            <w:tcW w:w="3260" w:type="dxa"/>
            <w:tcBorders>
              <w:top w:val="nil"/>
              <w:left w:val="nil"/>
              <w:bottom w:val="single" w:sz="8" w:space="0" w:color="auto"/>
              <w:right w:val="single" w:sz="8" w:space="0" w:color="auto"/>
            </w:tcBorders>
            <w:noWrap/>
            <w:tcMar>
              <w:top w:w="0" w:type="dxa"/>
              <w:left w:w="108" w:type="dxa"/>
              <w:bottom w:w="0" w:type="dxa"/>
              <w:right w:w="108" w:type="dxa"/>
            </w:tcMar>
            <w:hideMark/>
          </w:tcPr>
          <w:p w14:paraId="2700CC0C" w14:textId="77777777" w:rsidR="00FC279F" w:rsidRPr="00C968CE" w:rsidRDefault="00FC279F" w:rsidP="00C968CE">
            <w:pPr>
              <w:spacing w:before="60" w:after="60" w:line="240" w:lineRule="auto"/>
              <w:rPr>
                <w:rFonts w:cs="Arial"/>
                <w:szCs w:val="20"/>
              </w:rPr>
            </w:pPr>
            <w:r w:rsidRPr="00C968CE">
              <w:rPr>
                <w:rFonts w:cs="Arial"/>
                <w:szCs w:val="20"/>
              </w:rPr>
              <w:t>PN-EN 12697-2 [32]</w:t>
            </w:r>
          </w:p>
        </w:tc>
        <w:tc>
          <w:tcPr>
            <w:tcW w:w="1672" w:type="dxa"/>
            <w:tcBorders>
              <w:top w:val="nil"/>
              <w:left w:val="nil"/>
              <w:bottom w:val="single" w:sz="8" w:space="0" w:color="auto"/>
              <w:right w:val="single" w:sz="8" w:space="0" w:color="auto"/>
            </w:tcBorders>
            <w:noWrap/>
            <w:tcMar>
              <w:top w:w="0" w:type="dxa"/>
              <w:left w:w="108" w:type="dxa"/>
              <w:bottom w:w="0" w:type="dxa"/>
              <w:right w:w="108" w:type="dxa"/>
            </w:tcMar>
            <w:hideMark/>
          </w:tcPr>
          <w:p w14:paraId="64A0BF93" w14:textId="77777777" w:rsidR="00FC279F" w:rsidRPr="00C968CE" w:rsidRDefault="00FC279F" w:rsidP="00C968CE">
            <w:pPr>
              <w:spacing w:before="60" w:after="60" w:line="240" w:lineRule="auto"/>
              <w:rPr>
                <w:rFonts w:cs="Arial"/>
                <w:szCs w:val="20"/>
              </w:rPr>
            </w:pPr>
            <w:r w:rsidRPr="00C968CE">
              <w:rPr>
                <w:rFonts w:cs="Arial"/>
                <w:szCs w:val="20"/>
              </w:rPr>
              <w:t>1</w:t>
            </w:r>
          </w:p>
        </w:tc>
      </w:tr>
      <w:tr w:rsidR="00FC279F" w:rsidRPr="00C968CE" w14:paraId="222C2F8B" w14:textId="77777777" w:rsidTr="00FC279F">
        <w:tc>
          <w:tcPr>
            <w:tcW w:w="393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6D933B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Zawartość wolnych przestrzeni łącznie z VFB i VMA przy wymaganej zawartości wolnych przestrzeni V</w:t>
            </w:r>
            <w:r w:rsidRPr="00C968CE">
              <w:rPr>
                <w:rFonts w:cs="Arial"/>
                <w:szCs w:val="20"/>
                <w:vertAlign w:val="subscript"/>
              </w:rPr>
              <w:t>max</w:t>
            </w:r>
            <w:r w:rsidRPr="00C968CE">
              <w:rPr>
                <w:rFonts w:cs="Arial"/>
                <w:szCs w:val="20"/>
              </w:rPr>
              <w:t>≤7% (obowiązkowa)</w:t>
            </w:r>
          </w:p>
        </w:tc>
        <w:tc>
          <w:tcPr>
            <w:tcW w:w="3260" w:type="dxa"/>
            <w:tcBorders>
              <w:top w:val="nil"/>
              <w:left w:val="nil"/>
              <w:bottom w:val="single" w:sz="8" w:space="0" w:color="auto"/>
              <w:right w:val="single" w:sz="8" w:space="0" w:color="auto"/>
            </w:tcBorders>
            <w:noWrap/>
            <w:tcMar>
              <w:top w:w="0" w:type="dxa"/>
              <w:left w:w="108" w:type="dxa"/>
              <w:bottom w:w="0" w:type="dxa"/>
              <w:right w:w="108" w:type="dxa"/>
            </w:tcMar>
            <w:hideMark/>
          </w:tcPr>
          <w:p w14:paraId="65A2E77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12697-8[37]</w:t>
            </w:r>
          </w:p>
          <w:p w14:paraId="3597ED6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Gęstość objętościowa wg PN-EN 12697-6 [36], metoda B, w stanie nasyconym powierzch-niowo suchym.</w:t>
            </w:r>
          </w:p>
          <w:p w14:paraId="207C0C7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Gęstość wg PN-EN 12697-5 [35], metoda A w wodzie</w:t>
            </w:r>
          </w:p>
        </w:tc>
        <w:tc>
          <w:tcPr>
            <w:tcW w:w="1672" w:type="dxa"/>
            <w:tcBorders>
              <w:top w:val="nil"/>
              <w:left w:val="nil"/>
              <w:bottom w:val="single" w:sz="8" w:space="0" w:color="auto"/>
              <w:right w:val="single" w:sz="8" w:space="0" w:color="auto"/>
            </w:tcBorders>
            <w:noWrap/>
            <w:tcMar>
              <w:top w:w="0" w:type="dxa"/>
              <w:left w:w="108" w:type="dxa"/>
              <w:bottom w:w="0" w:type="dxa"/>
              <w:right w:w="108" w:type="dxa"/>
            </w:tcMar>
            <w:hideMark/>
          </w:tcPr>
          <w:p w14:paraId="51F829D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3869344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3707839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364F7AF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27C1371D" w14:textId="77777777" w:rsidTr="00FC279F">
        <w:tc>
          <w:tcPr>
            <w:tcW w:w="393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4289F9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Wrażliwość na działanie wody (powiązana funkcjonalnie)</w:t>
            </w:r>
          </w:p>
        </w:tc>
        <w:tc>
          <w:tcPr>
            <w:tcW w:w="3260" w:type="dxa"/>
            <w:tcBorders>
              <w:top w:val="nil"/>
              <w:left w:val="nil"/>
              <w:bottom w:val="single" w:sz="8" w:space="0" w:color="auto"/>
              <w:right w:val="single" w:sz="8" w:space="0" w:color="auto"/>
            </w:tcBorders>
            <w:noWrap/>
            <w:tcMar>
              <w:top w:w="0" w:type="dxa"/>
              <w:left w:w="108" w:type="dxa"/>
              <w:bottom w:w="0" w:type="dxa"/>
              <w:right w:w="108" w:type="dxa"/>
            </w:tcMar>
            <w:hideMark/>
          </w:tcPr>
          <w:p w14:paraId="75804C1C" w14:textId="77777777" w:rsidR="00FC279F" w:rsidRPr="00C968CE" w:rsidRDefault="00FC279F" w:rsidP="00C968CE">
            <w:pPr>
              <w:spacing w:before="120" w:after="100" w:afterAutospacing="1" w:line="240" w:lineRule="auto"/>
              <w:rPr>
                <w:rFonts w:cs="Arial"/>
                <w:szCs w:val="20"/>
              </w:rPr>
            </w:pPr>
            <w:r w:rsidRPr="00C968CE">
              <w:rPr>
                <w:rFonts w:cs="Arial"/>
                <w:szCs w:val="20"/>
              </w:rPr>
              <w:t>PN-EN 12697-12 [39]</w:t>
            </w:r>
          </w:p>
        </w:tc>
        <w:tc>
          <w:tcPr>
            <w:tcW w:w="1672" w:type="dxa"/>
            <w:tcBorders>
              <w:top w:val="nil"/>
              <w:left w:val="nil"/>
              <w:bottom w:val="single" w:sz="8" w:space="0" w:color="auto"/>
              <w:right w:val="single" w:sz="8" w:space="0" w:color="auto"/>
            </w:tcBorders>
            <w:noWrap/>
            <w:tcMar>
              <w:top w:w="0" w:type="dxa"/>
              <w:left w:w="108" w:type="dxa"/>
              <w:bottom w:w="0" w:type="dxa"/>
              <w:right w:w="108" w:type="dxa"/>
            </w:tcMar>
            <w:hideMark/>
          </w:tcPr>
          <w:p w14:paraId="55F4B499" w14:textId="77777777" w:rsidR="00FC279F" w:rsidRPr="00C968CE" w:rsidRDefault="00FC279F" w:rsidP="00C968CE">
            <w:pPr>
              <w:spacing w:before="120" w:after="100" w:afterAutospacing="1" w:line="240" w:lineRule="auto"/>
              <w:rPr>
                <w:rFonts w:cs="Arial"/>
                <w:szCs w:val="20"/>
              </w:rPr>
            </w:pPr>
            <w:r w:rsidRPr="00C968CE">
              <w:rPr>
                <w:rFonts w:cs="Arial"/>
                <w:szCs w:val="20"/>
              </w:rPr>
              <w:t>1</w:t>
            </w:r>
          </w:p>
        </w:tc>
      </w:tr>
      <w:tr w:rsidR="00FC279F" w:rsidRPr="00C968CE" w14:paraId="78BC7144" w14:textId="77777777" w:rsidTr="00FC279F">
        <w:tc>
          <w:tcPr>
            <w:tcW w:w="393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3A6C0BB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Odporność na deformacje trwałe (powiązana funkcjonalnie), dotyczy betonu asfaltowego zaprojekto-wanego do maksymalnego obciążenia osi poniżej 130 kN</w:t>
            </w:r>
          </w:p>
        </w:tc>
        <w:tc>
          <w:tcPr>
            <w:tcW w:w="3260" w:type="dxa"/>
            <w:tcBorders>
              <w:top w:val="nil"/>
              <w:left w:val="nil"/>
              <w:bottom w:val="single" w:sz="8" w:space="0" w:color="auto"/>
              <w:right w:val="single" w:sz="8" w:space="0" w:color="auto"/>
            </w:tcBorders>
            <w:noWrap/>
            <w:tcMar>
              <w:top w:w="0" w:type="dxa"/>
              <w:left w:w="108" w:type="dxa"/>
              <w:bottom w:w="0" w:type="dxa"/>
              <w:right w:w="108" w:type="dxa"/>
            </w:tcMar>
            <w:hideMark/>
          </w:tcPr>
          <w:p w14:paraId="5E0AE79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12697-22 [41]</w:t>
            </w:r>
          </w:p>
          <w:p w14:paraId="6364545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mały aparat, metoda B w powietrzu, przy wymaganej temperaturze</w:t>
            </w:r>
          </w:p>
        </w:tc>
        <w:tc>
          <w:tcPr>
            <w:tcW w:w="1672" w:type="dxa"/>
            <w:tcBorders>
              <w:top w:val="nil"/>
              <w:left w:val="nil"/>
              <w:bottom w:val="single" w:sz="8" w:space="0" w:color="auto"/>
              <w:right w:val="single" w:sz="8" w:space="0" w:color="auto"/>
            </w:tcBorders>
            <w:noWrap/>
            <w:tcMar>
              <w:top w:w="0" w:type="dxa"/>
              <w:left w:w="108" w:type="dxa"/>
              <w:bottom w:w="0" w:type="dxa"/>
              <w:right w:w="108" w:type="dxa"/>
            </w:tcMar>
            <w:hideMark/>
          </w:tcPr>
          <w:p w14:paraId="1B04737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14CD3D6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20B91DE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404E3537" w14:textId="77777777" w:rsidTr="00FC279F">
        <w:tc>
          <w:tcPr>
            <w:tcW w:w="393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0523BC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Sztywność (funkcjonalna)</w:t>
            </w:r>
          </w:p>
        </w:tc>
        <w:tc>
          <w:tcPr>
            <w:tcW w:w="3260" w:type="dxa"/>
            <w:tcBorders>
              <w:top w:val="nil"/>
              <w:left w:val="nil"/>
              <w:bottom w:val="single" w:sz="8" w:space="0" w:color="auto"/>
              <w:right w:val="single" w:sz="8" w:space="0" w:color="auto"/>
            </w:tcBorders>
            <w:noWrap/>
            <w:tcMar>
              <w:top w:w="0" w:type="dxa"/>
              <w:left w:w="108" w:type="dxa"/>
              <w:bottom w:w="0" w:type="dxa"/>
              <w:right w:w="108" w:type="dxa"/>
            </w:tcMar>
            <w:hideMark/>
          </w:tcPr>
          <w:p w14:paraId="1DCD42A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12697-26 [43]</w:t>
            </w:r>
          </w:p>
        </w:tc>
        <w:tc>
          <w:tcPr>
            <w:tcW w:w="1672" w:type="dxa"/>
            <w:tcBorders>
              <w:top w:val="nil"/>
              <w:left w:val="nil"/>
              <w:bottom w:val="single" w:sz="8" w:space="0" w:color="auto"/>
              <w:right w:val="single" w:sz="8" w:space="0" w:color="auto"/>
            </w:tcBorders>
            <w:noWrap/>
            <w:tcMar>
              <w:top w:w="0" w:type="dxa"/>
              <w:left w:w="108" w:type="dxa"/>
              <w:bottom w:w="0" w:type="dxa"/>
              <w:right w:w="108" w:type="dxa"/>
            </w:tcMar>
            <w:hideMark/>
          </w:tcPr>
          <w:p w14:paraId="6682BB0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1B8DF2A7" w14:textId="77777777" w:rsidTr="00FC279F">
        <w:tc>
          <w:tcPr>
            <w:tcW w:w="393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35C5CD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Zmęczenie (funkcjonalna) do nawierzchni zaprojektowanych wg kryterium opartym na cztero-punktowym zginaniu </w:t>
            </w:r>
          </w:p>
        </w:tc>
        <w:tc>
          <w:tcPr>
            <w:tcW w:w="3260" w:type="dxa"/>
            <w:tcBorders>
              <w:top w:val="nil"/>
              <w:left w:val="nil"/>
              <w:bottom w:val="single" w:sz="8" w:space="0" w:color="auto"/>
              <w:right w:val="single" w:sz="8" w:space="0" w:color="auto"/>
            </w:tcBorders>
            <w:noWrap/>
            <w:tcMar>
              <w:top w:w="0" w:type="dxa"/>
              <w:left w:w="108" w:type="dxa"/>
              <w:bottom w:w="0" w:type="dxa"/>
              <w:right w:w="108" w:type="dxa"/>
            </w:tcMar>
            <w:hideMark/>
          </w:tcPr>
          <w:p w14:paraId="59637AFA" w14:textId="77777777" w:rsidR="00FC279F" w:rsidRPr="00C968CE" w:rsidRDefault="00FC279F" w:rsidP="00C968CE">
            <w:pPr>
              <w:spacing w:before="240" w:after="100" w:afterAutospacing="1" w:line="240" w:lineRule="auto"/>
              <w:rPr>
                <w:rFonts w:cs="Arial"/>
                <w:szCs w:val="20"/>
              </w:rPr>
            </w:pPr>
            <w:r w:rsidRPr="00C968CE">
              <w:rPr>
                <w:rFonts w:cs="Arial"/>
                <w:szCs w:val="20"/>
              </w:rPr>
              <w:t>PN-EN 12697-24 [42] Załącznik D</w:t>
            </w:r>
          </w:p>
        </w:tc>
        <w:tc>
          <w:tcPr>
            <w:tcW w:w="1672" w:type="dxa"/>
            <w:tcBorders>
              <w:top w:val="nil"/>
              <w:left w:val="nil"/>
              <w:bottom w:val="single" w:sz="8" w:space="0" w:color="auto"/>
              <w:right w:val="single" w:sz="8" w:space="0" w:color="auto"/>
            </w:tcBorders>
            <w:noWrap/>
            <w:tcMar>
              <w:top w:w="0" w:type="dxa"/>
              <w:left w:w="108" w:type="dxa"/>
              <w:bottom w:w="0" w:type="dxa"/>
              <w:right w:w="108" w:type="dxa"/>
            </w:tcMar>
            <w:hideMark/>
          </w:tcPr>
          <w:p w14:paraId="5871A9D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r w:rsidR="00FC279F" w:rsidRPr="00C968CE" w14:paraId="503ABE7B" w14:textId="77777777" w:rsidTr="00FC279F">
        <w:tc>
          <w:tcPr>
            <w:tcW w:w="393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FA2BE1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Odporność na paliwo (powiązana funkcjonalnie)</w:t>
            </w:r>
          </w:p>
        </w:tc>
        <w:tc>
          <w:tcPr>
            <w:tcW w:w="3260" w:type="dxa"/>
            <w:tcBorders>
              <w:top w:val="nil"/>
              <w:left w:val="nil"/>
              <w:bottom w:val="single" w:sz="8" w:space="0" w:color="auto"/>
              <w:right w:val="single" w:sz="8" w:space="0" w:color="auto"/>
            </w:tcBorders>
            <w:noWrap/>
            <w:tcMar>
              <w:top w:w="0" w:type="dxa"/>
              <w:left w:w="108" w:type="dxa"/>
              <w:bottom w:w="0" w:type="dxa"/>
              <w:right w:w="108" w:type="dxa"/>
            </w:tcMar>
            <w:hideMark/>
          </w:tcPr>
          <w:p w14:paraId="1162845F" w14:textId="77777777" w:rsidR="00FC279F" w:rsidRPr="00C968CE" w:rsidRDefault="00FC279F" w:rsidP="00C968CE">
            <w:pPr>
              <w:spacing w:before="120" w:after="100" w:afterAutospacing="1" w:line="240" w:lineRule="auto"/>
              <w:rPr>
                <w:rFonts w:cs="Arial"/>
                <w:szCs w:val="20"/>
              </w:rPr>
            </w:pPr>
            <w:r w:rsidRPr="00C968CE">
              <w:rPr>
                <w:rFonts w:cs="Arial"/>
                <w:szCs w:val="20"/>
              </w:rPr>
              <w:t>PN-EN 12697-43 [49]</w:t>
            </w:r>
          </w:p>
        </w:tc>
        <w:tc>
          <w:tcPr>
            <w:tcW w:w="1672" w:type="dxa"/>
            <w:tcBorders>
              <w:top w:val="nil"/>
              <w:left w:val="nil"/>
              <w:bottom w:val="single" w:sz="8" w:space="0" w:color="auto"/>
              <w:right w:val="single" w:sz="8" w:space="0" w:color="auto"/>
            </w:tcBorders>
            <w:noWrap/>
            <w:tcMar>
              <w:top w:w="0" w:type="dxa"/>
              <w:left w:w="108" w:type="dxa"/>
              <w:bottom w:w="0" w:type="dxa"/>
              <w:right w:w="108" w:type="dxa"/>
            </w:tcMar>
            <w:hideMark/>
          </w:tcPr>
          <w:p w14:paraId="0B7CDD19" w14:textId="77777777" w:rsidR="00FC279F" w:rsidRPr="00C968CE" w:rsidRDefault="00FC279F" w:rsidP="00C968CE">
            <w:pPr>
              <w:spacing w:before="120" w:after="100" w:afterAutospacing="1" w:line="240" w:lineRule="auto"/>
              <w:rPr>
                <w:rFonts w:cs="Arial"/>
                <w:szCs w:val="20"/>
              </w:rPr>
            </w:pPr>
            <w:r w:rsidRPr="00C968CE">
              <w:rPr>
                <w:rFonts w:cs="Arial"/>
                <w:szCs w:val="20"/>
              </w:rPr>
              <w:t>1</w:t>
            </w:r>
          </w:p>
        </w:tc>
      </w:tr>
      <w:tr w:rsidR="00FC279F" w:rsidRPr="00C968CE" w14:paraId="659EC6D5" w14:textId="77777777" w:rsidTr="00FC279F">
        <w:tc>
          <w:tcPr>
            <w:tcW w:w="3936"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8AA499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Odporność na środki odladzające (powiązana funkcjonalnie)</w:t>
            </w:r>
          </w:p>
        </w:tc>
        <w:tc>
          <w:tcPr>
            <w:tcW w:w="3260" w:type="dxa"/>
            <w:tcBorders>
              <w:top w:val="nil"/>
              <w:left w:val="nil"/>
              <w:bottom w:val="single" w:sz="8" w:space="0" w:color="auto"/>
              <w:right w:val="single" w:sz="8" w:space="0" w:color="auto"/>
            </w:tcBorders>
            <w:noWrap/>
            <w:tcMar>
              <w:top w:w="0" w:type="dxa"/>
              <w:left w:w="108" w:type="dxa"/>
              <w:bottom w:w="0" w:type="dxa"/>
              <w:right w:w="108" w:type="dxa"/>
            </w:tcMar>
            <w:hideMark/>
          </w:tcPr>
          <w:p w14:paraId="37D584E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12697-41 [47]</w:t>
            </w:r>
          </w:p>
        </w:tc>
        <w:tc>
          <w:tcPr>
            <w:tcW w:w="1672" w:type="dxa"/>
            <w:tcBorders>
              <w:top w:val="nil"/>
              <w:left w:val="nil"/>
              <w:bottom w:val="single" w:sz="8" w:space="0" w:color="auto"/>
              <w:right w:val="single" w:sz="8" w:space="0" w:color="auto"/>
            </w:tcBorders>
            <w:noWrap/>
            <w:tcMar>
              <w:top w:w="0" w:type="dxa"/>
              <w:left w:w="108" w:type="dxa"/>
              <w:bottom w:w="0" w:type="dxa"/>
              <w:right w:w="108" w:type="dxa"/>
            </w:tcMar>
            <w:hideMark/>
          </w:tcPr>
          <w:p w14:paraId="1557D54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r>
    </w:tbl>
    <w:p w14:paraId="173ECDBF" w14:textId="77777777" w:rsidR="00FC279F" w:rsidRPr="00C968CE" w:rsidRDefault="00FC279F" w:rsidP="00C968CE">
      <w:pPr>
        <w:spacing w:before="120" w:after="100" w:afterAutospacing="1" w:line="240" w:lineRule="auto"/>
        <w:ind w:firstLine="709"/>
        <w:rPr>
          <w:rFonts w:cs="Arial"/>
          <w:szCs w:val="20"/>
        </w:rPr>
      </w:pPr>
      <w:r w:rsidRPr="00C968CE">
        <w:rPr>
          <w:rFonts w:cs="Arial"/>
          <w:szCs w:val="20"/>
        </w:rPr>
        <w:t xml:space="preserve">Badanie typu należy przeprowadzić zgodnie z PN-EN 13108-20 [54] przy pierwszym wprowadzeniu mieszanek mineralno-asfaltowych do obrotu i powinno być powtórzone w wypadku: </w:t>
      </w:r>
    </w:p>
    <w:p w14:paraId="5F67CF3C"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t>-          upływu trzech lat,</w:t>
      </w:r>
    </w:p>
    <w:p w14:paraId="2C860924"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t>-          zmiany złoża kruszywa,</w:t>
      </w:r>
    </w:p>
    <w:p w14:paraId="2D19637A"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lastRenderedPageBreak/>
        <w:t>-          zmiany rodzaju kruszywa (typu petrograficznego),</w:t>
      </w:r>
    </w:p>
    <w:p w14:paraId="4209F80B"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t>-          zmiany kategorii kruszywa grubego, jak definiowano w PN-EN 13043 [50], jednej z następujących właściwości: kształtu, udziału ziaren częściowo przekruszonych, odporności na rozdrabnianie, odporności na ścieranie lub kanciastości kruszywa drobnego,</w:t>
      </w:r>
    </w:p>
    <w:p w14:paraId="137D84BB"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t>-          zmiany gęstości ziaren (średnia ważona) o więcej niż 0,05 Mg/m</w:t>
      </w:r>
      <w:r w:rsidRPr="00C968CE">
        <w:rPr>
          <w:rFonts w:cs="Arial"/>
          <w:color w:val="000000"/>
          <w:szCs w:val="20"/>
          <w:vertAlign w:val="superscript"/>
        </w:rPr>
        <w:t>3</w:t>
      </w:r>
      <w:r w:rsidRPr="00C968CE">
        <w:rPr>
          <w:rFonts w:cs="Arial"/>
          <w:color w:val="000000"/>
          <w:szCs w:val="20"/>
        </w:rPr>
        <w:t>,</w:t>
      </w:r>
    </w:p>
    <w:p w14:paraId="5159BF64"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t>-          zmiany rodzaju lepiszcza,</w:t>
      </w:r>
    </w:p>
    <w:p w14:paraId="7B1047C6"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t>-          zmiany typu mineralogicznego wypełniacza.</w:t>
      </w:r>
    </w:p>
    <w:p w14:paraId="3A9E7F13"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6D7DD763"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6.3. Badania w czasie robót</w:t>
      </w:r>
    </w:p>
    <w:p w14:paraId="0FBCE8DA" w14:textId="77777777" w:rsidR="00FC279F" w:rsidRPr="00C968CE" w:rsidRDefault="00FC279F" w:rsidP="00C968CE">
      <w:pPr>
        <w:spacing w:before="100" w:beforeAutospacing="1" w:after="120" w:line="240" w:lineRule="auto"/>
        <w:rPr>
          <w:rFonts w:cs="Arial"/>
          <w:szCs w:val="20"/>
        </w:rPr>
      </w:pPr>
      <w:r w:rsidRPr="00C968CE">
        <w:rPr>
          <w:rFonts w:cs="Arial"/>
          <w:b/>
          <w:bCs/>
          <w:szCs w:val="20"/>
        </w:rPr>
        <w:t xml:space="preserve">6.3.1. </w:t>
      </w:r>
      <w:r w:rsidRPr="00C968CE">
        <w:rPr>
          <w:rFonts w:cs="Arial"/>
          <w:szCs w:val="20"/>
        </w:rPr>
        <w:t>Uwagi ogólne</w:t>
      </w:r>
    </w:p>
    <w:p w14:paraId="5D3DBEA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Badania dzielą się na:</w:t>
      </w:r>
    </w:p>
    <w:p w14:paraId="24C7BCC6"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badania Wykonawcy (w ramach własnego nadzoru),</w:t>
      </w:r>
    </w:p>
    <w:p w14:paraId="1DA1C2EF"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badania kontrolne (w ramach nadzoru Zleceniodawcy – Inżyniera).</w:t>
      </w:r>
    </w:p>
    <w:p w14:paraId="61C01DD8" w14:textId="77777777" w:rsidR="00FC279F" w:rsidRPr="00C968CE" w:rsidRDefault="00FC279F" w:rsidP="00C968CE">
      <w:pPr>
        <w:spacing w:before="100" w:beforeAutospacing="1" w:after="100" w:afterAutospacing="1" w:line="240" w:lineRule="auto"/>
        <w:ind w:left="397" w:hanging="37"/>
        <w:rPr>
          <w:rFonts w:cs="Arial"/>
          <w:szCs w:val="20"/>
        </w:rPr>
      </w:pPr>
      <w:r w:rsidRPr="00C968CE">
        <w:rPr>
          <w:rFonts w:cs="Arial"/>
          <w:szCs w:val="20"/>
        </w:rPr>
        <w:t>–        dodatkowe,</w:t>
      </w:r>
    </w:p>
    <w:p w14:paraId="2245CB33" w14:textId="77777777" w:rsidR="00FC279F" w:rsidRPr="00C968CE" w:rsidRDefault="00FC279F" w:rsidP="00C968CE">
      <w:pPr>
        <w:spacing w:before="100" w:beforeAutospacing="1" w:after="100" w:afterAutospacing="1" w:line="240" w:lineRule="auto"/>
        <w:ind w:left="397" w:hanging="37"/>
        <w:rPr>
          <w:rFonts w:cs="Arial"/>
          <w:szCs w:val="20"/>
        </w:rPr>
      </w:pPr>
      <w:r w:rsidRPr="00C968CE">
        <w:rPr>
          <w:rFonts w:cs="Arial"/>
          <w:szCs w:val="20"/>
        </w:rPr>
        <w:t>–        arbitrażowe.</w:t>
      </w:r>
    </w:p>
    <w:p w14:paraId="6A91344C" w14:textId="77777777" w:rsidR="00FC279F" w:rsidRPr="00C968CE" w:rsidRDefault="00FC279F" w:rsidP="00C968CE">
      <w:pPr>
        <w:spacing w:before="120" w:after="120" w:line="240" w:lineRule="auto"/>
        <w:rPr>
          <w:rFonts w:cs="Arial"/>
          <w:szCs w:val="20"/>
        </w:rPr>
      </w:pPr>
      <w:r w:rsidRPr="00C968CE">
        <w:rPr>
          <w:rFonts w:cs="Arial"/>
          <w:b/>
          <w:bCs/>
          <w:szCs w:val="20"/>
        </w:rPr>
        <w:t xml:space="preserve">6.3.2. </w:t>
      </w:r>
      <w:r w:rsidRPr="00C968CE">
        <w:rPr>
          <w:rFonts w:cs="Arial"/>
          <w:szCs w:val="20"/>
        </w:rPr>
        <w:t>Badania Wykonawcy</w:t>
      </w:r>
    </w:p>
    <w:p w14:paraId="5F904078" w14:textId="77777777" w:rsidR="00FC279F" w:rsidRPr="00C968CE" w:rsidRDefault="00FC279F" w:rsidP="00C968CE">
      <w:pPr>
        <w:spacing w:before="100" w:beforeAutospacing="1" w:after="120" w:line="240" w:lineRule="auto"/>
        <w:rPr>
          <w:rFonts w:cs="Arial"/>
          <w:szCs w:val="20"/>
        </w:rPr>
      </w:pPr>
      <w:r w:rsidRPr="00C968CE">
        <w:rPr>
          <w:rFonts w:cs="Arial"/>
          <w:szCs w:val="20"/>
        </w:rPr>
        <w:t xml:space="preserve">6.3.2.1. Badania w czasie wytwarzania mieszanki mineralno-asfaltowej </w:t>
      </w:r>
    </w:p>
    <w:p w14:paraId="3C0614E9"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Badania Wykonawcy w czasie wytwarzania mieszanki mineralno–asfaltowej powinny być wykonywane w ramach zakładowej kontroli produkcji, zgodnie z normą PN-EN 13108-21 [55].</w:t>
      </w:r>
    </w:p>
    <w:p w14:paraId="505CF5E7"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Zakres badań Wykonawcy w systemie zakładowej kontroli produkcji obejmuje:</w:t>
      </w:r>
    </w:p>
    <w:p w14:paraId="19526ECB" w14:textId="77777777" w:rsidR="00FC279F" w:rsidRPr="00C968CE" w:rsidRDefault="00FC279F" w:rsidP="00C968CE">
      <w:pPr>
        <w:spacing w:before="100" w:beforeAutospacing="1" w:after="100" w:afterAutospacing="1" w:line="240" w:lineRule="auto"/>
        <w:ind w:left="454" w:hanging="397"/>
        <w:rPr>
          <w:rFonts w:cs="Arial"/>
          <w:szCs w:val="20"/>
        </w:rPr>
      </w:pPr>
      <w:r w:rsidRPr="00C968CE">
        <w:rPr>
          <w:rFonts w:cs="Arial"/>
          <w:szCs w:val="20"/>
        </w:rPr>
        <w:t xml:space="preserve">–         badania materiałów wsadowych do mieszanki mineralno-asfaltowej (asfaltów, kruszyw wypełniacza  i dodatków), </w:t>
      </w:r>
    </w:p>
    <w:p w14:paraId="0A712D5A" w14:textId="77777777" w:rsidR="00FC279F" w:rsidRPr="00C968CE" w:rsidRDefault="00FC279F" w:rsidP="00C968CE">
      <w:pPr>
        <w:spacing w:before="100" w:beforeAutospacing="1" w:after="100" w:afterAutospacing="1" w:line="240" w:lineRule="auto"/>
        <w:ind w:left="454" w:hanging="397"/>
        <w:rPr>
          <w:rFonts w:cs="Arial"/>
          <w:szCs w:val="20"/>
        </w:rPr>
      </w:pPr>
      <w:r w:rsidRPr="00C968CE">
        <w:rPr>
          <w:rFonts w:cs="Arial"/>
          <w:szCs w:val="20"/>
        </w:rPr>
        <w:t>–         badanie składu i właściwości mieszanki mineralno-asfaltowej.</w:t>
      </w:r>
    </w:p>
    <w:p w14:paraId="32E593BD"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Częstotliwość oraz zakres badań i pomiarów w czasie wytwarzania mieszanki mineralno-asfaltowej powinno być zgodne z certyfikowanym systemem ZKP. </w:t>
      </w:r>
    </w:p>
    <w:p w14:paraId="2C617C6C" w14:textId="77777777" w:rsidR="00FC279F" w:rsidRPr="00C968CE" w:rsidRDefault="00FC279F" w:rsidP="00C968CE">
      <w:pPr>
        <w:spacing w:before="120" w:after="120" w:line="240" w:lineRule="auto"/>
        <w:rPr>
          <w:rFonts w:cs="Arial"/>
          <w:szCs w:val="20"/>
        </w:rPr>
      </w:pPr>
      <w:r w:rsidRPr="00C968CE">
        <w:rPr>
          <w:rFonts w:cs="Arial"/>
          <w:szCs w:val="20"/>
        </w:rPr>
        <w:t xml:space="preserve">6.3.2.2.  Badania w czasie wykonywania warstwy asfaltowej i badania gotowej warstwy           </w:t>
      </w:r>
    </w:p>
    <w:p w14:paraId="32EF0F01"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181F760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0A009EA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Wyniki badań Wykonawcy należy przekazywać Inżynierowi na jego żądanie. Inżynier może zdecydować o dokonaniu odbioru na podstawie badań Wykonawcy. W razie zastrzeżeń Inżynier może przeprowadzić badania kontrolne według pktu 6.5.</w:t>
      </w:r>
    </w:p>
    <w:p w14:paraId="54D31C8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Zakres badań Wykonawcy związany z wykonywaniem nawierzchni:</w:t>
      </w:r>
    </w:p>
    <w:p w14:paraId="41FB0352"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pomiar temperatury powietrza,</w:t>
      </w:r>
    </w:p>
    <w:p w14:paraId="55BB402C"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lastRenderedPageBreak/>
        <w:t>–         pomiar temperatury mieszanki mineralno-asfaltowej podczas wykonywania nawierzchni (wg PN-EN 12697-13 [40]),</w:t>
      </w:r>
    </w:p>
    <w:p w14:paraId="0B99BA98"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ocena wizualna mieszanki mineralno-asfaltowej,</w:t>
      </w:r>
    </w:p>
    <w:p w14:paraId="23980E32"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wykaz ilości materiałów lub grubości wykonanej warstwy,</w:t>
      </w:r>
    </w:p>
    <w:p w14:paraId="1B6557C0"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pomiar spadku poprzecznego warstwy asfaltowej,</w:t>
      </w:r>
    </w:p>
    <w:p w14:paraId="19E43473"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pomiar równości warstwy asfaltowej (wg pktu 6.5.4),</w:t>
      </w:r>
    </w:p>
    <w:p w14:paraId="62BCCF21"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pomiar parametrów geometrycznych poboczy,</w:t>
      </w:r>
    </w:p>
    <w:p w14:paraId="00631D67"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ocena wizualna jednorodności powierzchni warstwy,</w:t>
      </w:r>
    </w:p>
    <w:p w14:paraId="756BA7EB"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ocena wizualna jakości wykonania połączeń technologicznych.</w:t>
      </w:r>
    </w:p>
    <w:p w14:paraId="3E15E8B8" w14:textId="77777777" w:rsidR="00FC279F" w:rsidRPr="00C968CE" w:rsidRDefault="00FC279F" w:rsidP="00C968CE">
      <w:pPr>
        <w:spacing w:before="120" w:after="120" w:line="240" w:lineRule="auto"/>
        <w:rPr>
          <w:rFonts w:cs="Arial"/>
          <w:szCs w:val="20"/>
        </w:rPr>
      </w:pPr>
      <w:r w:rsidRPr="00C968CE">
        <w:rPr>
          <w:rFonts w:cs="Arial"/>
          <w:b/>
          <w:bCs/>
          <w:szCs w:val="20"/>
        </w:rPr>
        <w:t>6.3.3.  </w:t>
      </w:r>
      <w:r w:rsidRPr="00C968CE">
        <w:rPr>
          <w:rFonts w:cs="Arial"/>
          <w:szCs w:val="20"/>
        </w:rPr>
        <w:t>Badania kontrolne Zamawiającego</w:t>
      </w:r>
    </w:p>
    <w:p w14:paraId="698DB6E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7CAFAB5D" w14:textId="77777777" w:rsidR="00FC279F" w:rsidRPr="00C968CE" w:rsidRDefault="00FC279F" w:rsidP="00C968CE">
      <w:pPr>
        <w:spacing w:line="240" w:lineRule="auto"/>
        <w:ind w:firstLine="709"/>
        <w:rPr>
          <w:rFonts w:cs="Arial"/>
          <w:szCs w:val="20"/>
        </w:rPr>
      </w:pPr>
      <w:r w:rsidRPr="00C968CE">
        <w:rPr>
          <w:rFonts w:cs="Arial"/>
          <w:szCs w:val="20"/>
        </w:rPr>
        <w:t xml:space="preserve">Rodzaj i zakres badań kontrolnych Zamawiającego mieszanki mineralno-asfaltowej i wykonanej warstwy jest następujący: </w:t>
      </w:r>
    </w:p>
    <w:p w14:paraId="7A4E05FE"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badania materiałów wsadowych do mieszanki mineralno-asfaltowej (asfaltów, kruszyw, wypełniacza  i dodatków).</w:t>
      </w:r>
    </w:p>
    <w:p w14:paraId="1E48E12E" w14:textId="77777777" w:rsidR="00FC279F" w:rsidRPr="00C968CE" w:rsidRDefault="00FC279F" w:rsidP="00C968CE">
      <w:pPr>
        <w:spacing w:line="240" w:lineRule="auto"/>
        <w:ind w:firstLine="709"/>
        <w:rPr>
          <w:rFonts w:cs="Arial"/>
          <w:szCs w:val="20"/>
        </w:rPr>
      </w:pPr>
      <w:r w:rsidRPr="00C968CE">
        <w:rPr>
          <w:rFonts w:cs="Arial"/>
          <w:szCs w:val="20"/>
        </w:rPr>
        <w:t xml:space="preserve">Mieszanka mineralno-asfaltowa </w:t>
      </w:r>
      <w:r w:rsidRPr="00C968CE">
        <w:rPr>
          <w:rFonts w:cs="Arial"/>
          <w:szCs w:val="20"/>
          <w:vertAlign w:val="superscript"/>
        </w:rPr>
        <w:t>a)</w:t>
      </w:r>
      <w:r w:rsidRPr="00C968CE">
        <w:rPr>
          <w:rFonts w:cs="Arial"/>
          <w:szCs w:val="20"/>
        </w:rPr>
        <w:t>:</w:t>
      </w:r>
    </w:p>
    <w:p w14:paraId="6CF35795" w14:textId="77777777" w:rsidR="00FC279F" w:rsidRPr="00C968CE" w:rsidRDefault="00FC279F" w:rsidP="00C968CE">
      <w:pPr>
        <w:spacing w:line="240" w:lineRule="auto"/>
        <w:ind w:left="360" w:hanging="360"/>
        <w:rPr>
          <w:rFonts w:cs="Arial"/>
          <w:szCs w:val="20"/>
        </w:rPr>
      </w:pPr>
      <w:r w:rsidRPr="00C968CE">
        <w:rPr>
          <w:rFonts w:cs="Arial"/>
          <w:szCs w:val="20"/>
        </w:rPr>
        <w:t>-          uziarnienie,</w:t>
      </w:r>
    </w:p>
    <w:p w14:paraId="4E73DFF8" w14:textId="77777777" w:rsidR="00FC279F" w:rsidRPr="00C968CE" w:rsidRDefault="00FC279F" w:rsidP="00C968CE">
      <w:pPr>
        <w:spacing w:line="240" w:lineRule="auto"/>
        <w:ind w:left="360" w:hanging="360"/>
        <w:rPr>
          <w:rFonts w:cs="Arial"/>
          <w:szCs w:val="20"/>
        </w:rPr>
      </w:pPr>
      <w:r w:rsidRPr="00C968CE">
        <w:rPr>
          <w:rFonts w:cs="Arial"/>
          <w:szCs w:val="20"/>
        </w:rPr>
        <w:t>-          zawartość lepiszcza,</w:t>
      </w:r>
    </w:p>
    <w:p w14:paraId="4E641C36" w14:textId="77777777" w:rsidR="00FC279F" w:rsidRPr="00C968CE" w:rsidRDefault="00FC279F" w:rsidP="00C968CE">
      <w:pPr>
        <w:spacing w:line="240" w:lineRule="auto"/>
        <w:ind w:left="360" w:hanging="360"/>
        <w:rPr>
          <w:rFonts w:cs="Arial"/>
          <w:szCs w:val="20"/>
        </w:rPr>
      </w:pPr>
      <w:r w:rsidRPr="00C968CE">
        <w:rPr>
          <w:rFonts w:cs="Arial"/>
          <w:szCs w:val="20"/>
        </w:rPr>
        <w:t>-          temperatura mięknienia odzyskanego lepiszcza,</w:t>
      </w:r>
    </w:p>
    <w:p w14:paraId="719B2BC4" w14:textId="77777777" w:rsidR="00FC279F" w:rsidRPr="00C968CE" w:rsidRDefault="00FC279F" w:rsidP="00C968CE">
      <w:pPr>
        <w:spacing w:line="240" w:lineRule="auto"/>
        <w:ind w:left="360" w:hanging="360"/>
        <w:rPr>
          <w:rFonts w:cs="Arial"/>
          <w:szCs w:val="20"/>
        </w:rPr>
      </w:pPr>
      <w:r w:rsidRPr="00C968CE">
        <w:rPr>
          <w:rFonts w:cs="Arial"/>
          <w:szCs w:val="20"/>
        </w:rPr>
        <w:t>-          gęstość i zawartość wolnych przestrzeni próbki.</w:t>
      </w:r>
    </w:p>
    <w:p w14:paraId="68EAEA79"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Warunki technologiczne wbudowywania mieszanki mineralno-asfaltowej:</w:t>
      </w:r>
    </w:p>
    <w:p w14:paraId="17320FEE"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pomiar temperatury powietrza podczas pobrania  próby do badań,</w:t>
      </w:r>
    </w:p>
    <w:p w14:paraId="7699ED7B"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pomiar temperatury mieszanki mineralno-asfaltowej,</w:t>
      </w:r>
    </w:p>
    <w:p w14:paraId="0A388797" w14:textId="77777777" w:rsidR="00FC279F" w:rsidRPr="00C968CE" w:rsidRDefault="00FC279F" w:rsidP="00C968CE">
      <w:pPr>
        <w:spacing w:before="100" w:beforeAutospacing="1" w:after="100" w:afterAutospacing="1" w:line="240" w:lineRule="auto"/>
        <w:ind w:left="397" w:hanging="397"/>
        <w:rPr>
          <w:rFonts w:cs="Arial"/>
          <w:szCs w:val="20"/>
        </w:rPr>
      </w:pPr>
      <w:r w:rsidRPr="00C968CE">
        <w:rPr>
          <w:rFonts w:cs="Arial"/>
          <w:szCs w:val="20"/>
        </w:rPr>
        <w:t>-           ocena wizualna dostarczonej mieszanki mineralno-asfaltowej.</w:t>
      </w:r>
    </w:p>
    <w:p w14:paraId="35B661BB"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Wykonana warstwa:</w:t>
      </w:r>
    </w:p>
    <w:p w14:paraId="30D00D6A" w14:textId="77777777" w:rsidR="00FC279F" w:rsidRPr="00C968CE" w:rsidRDefault="00FC279F" w:rsidP="00C968CE">
      <w:pPr>
        <w:spacing w:line="240" w:lineRule="auto"/>
        <w:ind w:left="360" w:hanging="360"/>
        <w:rPr>
          <w:rFonts w:cs="Arial"/>
          <w:szCs w:val="20"/>
        </w:rPr>
      </w:pPr>
      <w:r w:rsidRPr="00C968CE">
        <w:rPr>
          <w:rFonts w:cs="Arial"/>
          <w:szCs w:val="20"/>
        </w:rPr>
        <w:t>-          wskaźnik zagęszczenia</w:t>
      </w:r>
    </w:p>
    <w:p w14:paraId="389F641D" w14:textId="77777777" w:rsidR="00FC279F" w:rsidRPr="00C968CE" w:rsidRDefault="00FC279F" w:rsidP="00C968CE">
      <w:pPr>
        <w:spacing w:line="240" w:lineRule="auto"/>
        <w:ind w:left="360" w:hanging="360"/>
        <w:rPr>
          <w:rFonts w:cs="Arial"/>
          <w:szCs w:val="20"/>
        </w:rPr>
      </w:pPr>
      <w:r w:rsidRPr="00C968CE">
        <w:rPr>
          <w:rFonts w:cs="Arial"/>
          <w:szCs w:val="20"/>
        </w:rPr>
        <w:t>-          grubość warstwy lub ilość zużytego materiału,</w:t>
      </w:r>
    </w:p>
    <w:p w14:paraId="55D086BF" w14:textId="77777777" w:rsidR="00FC279F" w:rsidRPr="00C968CE" w:rsidRDefault="00FC279F" w:rsidP="00C968CE">
      <w:pPr>
        <w:spacing w:line="240" w:lineRule="auto"/>
        <w:ind w:left="360" w:hanging="360"/>
        <w:rPr>
          <w:rFonts w:cs="Arial"/>
          <w:szCs w:val="20"/>
        </w:rPr>
      </w:pPr>
      <w:r w:rsidRPr="00C968CE">
        <w:rPr>
          <w:rFonts w:cs="Arial"/>
          <w:szCs w:val="20"/>
        </w:rPr>
        <w:t>-          równość podłużna i poprzeczna,</w:t>
      </w:r>
    </w:p>
    <w:p w14:paraId="3BCE41E7" w14:textId="77777777" w:rsidR="00FC279F" w:rsidRPr="00C968CE" w:rsidRDefault="00FC279F" w:rsidP="00C968CE">
      <w:pPr>
        <w:spacing w:line="240" w:lineRule="auto"/>
        <w:ind w:left="360" w:hanging="360"/>
        <w:rPr>
          <w:rFonts w:cs="Arial"/>
          <w:szCs w:val="20"/>
        </w:rPr>
      </w:pPr>
      <w:r w:rsidRPr="00C968CE">
        <w:rPr>
          <w:rFonts w:cs="Arial"/>
          <w:szCs w:val="20"/>
        </w:rPr>
        <w:t>-          spadki poprzeczne,</w:t>
      </w:r>
    </w:p>
    <w:p w14:paraId="72C2FFB3" w14:textId="77777777" w:rsidR="00FC279F" w:rsidRPr="00C968CE" w:rsidRDefault="00FC279F" w:rsidP="00C968CE">
      <w:pPr>
        <w:spacing w:line="240" w:lineRule="auto"/>
        <w:ind w:left="360" w:hanging="360"/>
        <w:rPr>
          <w:rFonts w:cs="Arial"/>
          <w:szCs w:val="20"/>
        </w:rPr>
      </w:pPr>
      <w:r w:rsidRPr="00C968CE">
        <w:rPr>
          <w:rFonts w:cs="Arial"/>
          <w:szCs w:val="20"/>
        </w:rPr>
        <w:t>-          zawartość wolnych przestrzeni,</w:t>
      </w:r>
    </w:p>
    <w:p w14:paraId="3DD86C7D" w14:textId="77777777" w:rsidR="00FC279F" w:rsidRPr="00C968CE" w:rsidRDefault="00FC279F" w:rsidP="00C968CE">
      <w:pPr>
        <w:spacing w:line="240" w:lineRule="auto"/>
        <w:ind w:left="360" w:hanging="360"/>
        <w:rPr>
          <w:rFonts w:cs="Arial"/>
          <w:szCs w:val="20"/>
        </w:rPr>
      </w:pPr>
      <w:r w:rsidRPr="00C968CE">
        <w:rPr>
          <w:rFonts w:cs="Arial"/>
          <w:szCs w:val="20"/>
        </w:rPr>
        <w:t>-          złącza technologiczne,</w:t>
      </w:r>
    </w:p>
    <w:p w14:paraId="32C6D7FE" w14:textId="77777777" w:rsidR="00FC279F" w:rsidRPr="00C968CE" w:rsidRDefault="00FC279F" w:rsidP="00C968CE">
      <w:pPr>
        <w:spacing w:line="240" w:lineRule="auto"/>
        <w:ind w:left="360" w:hanging="360"/>
        <w:rPr>
          <w:rFonts w:cs="Arial"/>
          <w:szCs w:val="20"/>
        </w:rPr>
      </w:pPr>
      <w:r w:rsidRPr="00C968CE">
        <w:rPr>
          <w:rFonts w:cs="Arial"/>
          <w:szCs w:val="20"/>
        </w:rPr>
        <w:t>-          szerokość warstwy,</w:t>
      </w:r>
    </w:p>
    <w:p w14:paraId="11590A49" w14:textId="77777777" w:rsidR="00FC279F" w:rsidRPr="00C968CE" w:rsidRDefault="00FC279F" w:rsidP="00C968CE">
      <w:pPr>
        <w:spacing w:line="240" w:lineRule="auto"/>
        <w:ind w:left="360" w:hanging="360"/>
        <w:rPr>
          <w:rFonts w:cs="Arial"/>
          <w:szCs w:val="20"/>
        </w:rPr>
      </w:pPr>
      <w:r w:rsidRPr="00C968CE">
        <w:rPr>
          <w:rFonts w:cs="Arial"/>
          <w:szCs w:val="20"/>
        </w:rPr>
        <w:t>-          rzędne wysokościowe,</w:t>
      </w:r>
    </w:p>
    <w:p w14:paraId="1FEC5249" w14:textId="77777777" w:rsidR="00FC279F" w:rsidRPr="00C968CE" w:rsidRDefault="00FC279F" w:rsidP="00C968CE">
      <w:pPr>
        <w:spacing w:line="240" w:lineRule="auto"/>
        <w:ind w:left="360" w:hanging="360"/>
        <w:rPr>
          <w:rFonts w:cs="Arial"/>
          <w:szCs w:val="20"/>
        </w:rPr>
      </w:pPr>
      <w:r w:rsidRPr="00C968CE">
        <w:rPr>
          <w:rFonts w:cs="Arial"/>
          <w:szCs w:val="20"/>
        </w:rPr>
        <w:t>-          ukształtowanie osi w planie,</w:t>
      </w:r>
    </w:p>
    <w:p w14:paraId="481D8419" w14:textId="77777777" w:rsidR="00FC279F" w:rsidRPr="00C968CE" w:rsidRDefault="00FC279F" w:rsidP="00C968CE">
      <w:pPr>
        <w:spacing w:line="240" w:lineRule="auto"/>
        <w:ind w:left="360" w:hanging="360"/>
        <w:rPr>
          <w:rFonts w:cs="Arial"/>
          <w:szCs w:val="20"/>
        </w:rPr>
      </w:pPr>
      <w:r w:rsidRPr="00C968CE">
        <w:rPr>
          <w:rFonts w:cs="Arial"/>
          <w:szCs w:val="20"/>
        </w:rPr>
        <w:t>-          ocena wizualna warstwy.</w:t>
      </w:r>
    </w:p>
    <w:p w14:paraId="2F619B29" w14:textId="77777777" w:rsidR="00FC279F" w:rsidRPr="00C968CE" w:rsidRDefault="00FC279F" w:rsidP="00C968CE">
      <w:pPr>
        <w:keepNext/>
        <w:spacing w:before="100" w:beforeAutospacing="1" w:after="100" w:afterAutospacing="1" w:line="240" w:lineRule="auto"/>
        <w:rPr>
          <w:rFonts w:cs="Arial"/>
          <w:szCs w:val="20"/>
        </w:rPr>
      </w:pPr>
      <w:r w:rsidRPr="00C968CE">
        <w:rPr>
          <w:rFonts w:cs="Arial"/>
          <w:szCs w:val="20"/>
          <w:vertAlign w:val="superscript"/>
        </w:rPr>
        <w:lastRenderedPageBreak/>
        <w:t>a)</w:t>
      </w:r>
      <w:r w:rsidRPr="00C968CE">
        <w:rPr>
          <w:rFonts w:cs="Arial"/>
          <w:szCs w:val="20"/>
        </w:rPr>
        <w:t>   w razie potrzeby specjalne kruszywa i dodatki.</w:t>
      </w:r>
    </w:p>
    <w:p w14:paraId="4E8A32D5" w14:textId="77777777" w:rsidR="00FC279F" w:rsidRPr="00C968CE" w:rsidRDefault="00FC279F" w:rsidP="00C968CE">
      <w:pPr>
        <w:keepNext/>
        <w:spacing w:before="120" w:after="120" w:line="240" w:lineRule="auto"/>
        <w:rPr>
          <w:rFonts w:cs="Arial"/>
          <w:szCs w:val="20"/>
        </w:rPr>
      </w:pPr>
      <w:r w:rsidRPr="00C968CE">
        <w:rPr>
          <w:rFonts w:cs="Arial"/>
          <w:b/>
          <w:bCs/>
          <w:color w:val="000000"/>
          <w:szCs w:val="20"/>
        </w:rPr>
        <w:t>6.3.4.</w:t>
      </w:r>
      <w:r w:rsidRPr="00C968CE">
        <w:rPr>
          <w:rFonts w:cs="Arial"/>
          <w:color w:val="000000"/>
          <w:szCs w:val="20"/>
        </w:rPr>
        <w:t xml:space="preserve"> </w:t>
      </w:r>
      <w:r w:rsidRPr="00C968CE">
        <w:rPr>
          <w:rFonts w:cs="Arial"/>
          <w:b/>
          <w:bCs/>
          <w:color w:val="000000"/>
          <w:szCs w:val="20"/>
        </w:rPr>
        <w:t> </w:t>
      </w:r>
      <w:r w:rsidRPr="00C968CE">
        <w:rPr>
          <w:rFonts w:cs="Arial"/>
          <w:color w:val="000000"/>
          <w:szCs w:val="20"/>
        </w:rPr>
        <w:t>Badanie materiałów wsadowych</w:t>
      </w:r>
    </w:p>
    <w:p w14:paraId="26CD0566"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Właściwości materiałów wsadowych należy oceniać na podstawie badań pobranych próbek w miejscu produkcji  mieszanki mineralno-asfaltowej. </w:t>
      </w:r>
    </w:p>
    <w:p w14:paraId="2254E2BD"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Do oceny jakości materiałów wsadowych mieszanki mineralno-asfaltowej, za zgodą nadzoru i Zamawiającego mogą posłużyć wyniki badań wykonanych w ramach zakładowej kontroli produkcji. </w:t>
      </w:r>
    </w:p>
    <w:p w14:paraId="2D8B277B" w14:textId="77777777" w:rsidR="00FC279F" w:rsidRPr="00C968CE" w:rsidRDefault="00FC279F" w:rsidP="00C968CE">
      <w:pPr>
        <w:spacing w:before="120" w:after="120" w:line="240" w:lineRule="auto"/>
        <w:ind w:right="-57"/>
        <w:rPr>
          <w:rFonts w:cs="Arial"/>
          <w:szCs w:val="20"/>
        </w:rPr>
      </w:pPr>
      <w:r w:rsidRPr="00C968CE">
        <w:rPr>
          <w:rFonts w:cs="Arial"/>
          <w:b/>
          <w:bCs/>
          <w:color w:val="000000"/>
          <w:szCs w:val="20"/>
        </w:rPr>
        <w:t>6.3.5.</w:t>
      </w:r>
      <w:r w:rsidRPr="00C968CE">
        <w:rPr>
          <w:rFonts w:cs="Arial"/>
          <w:color w:val="000000"/>
          <w:szCs w:val="20"/>
        </w:rPr>
        <w:t xml:space="preserve"> </w:t>
      </w:r>
      <w:r w:rsidRPr="00C968CE">
        <w:rPr>
          <w:rFonts w:cs="Arial"/>
          <w:b/>
          <w:bCs/>
          <w:color w:val="000000"/>
          <w:szCs w:val="20"/>
        </w:rPr>
        <w:t> </w:t>
      </w:r>
      <w:r w:rsidRPr="00C968CE">
        <w:rPr>
          <w:rFonts w:cs="Arial"/>
          <w:color w:val="000000"/>
          <w:szCs w:val="20"/>
        </w:rPr>
        <w:t>Kruszywa i wypełniacz</w:t>
      </w:r>
    </w:p>
    <w:p w14:paraId="4E7663B6" w14:textId="77777777" w:rsidR="00FC279F" w:rsidRPr="00C968CE" w:rsidRDefault="00FC279F" w:rsidP="00C968CE">
      <w:pPr>
        <w:spacing w:before="100" w:beforeAutospacing="1" w:after="100" w:afterAutospacing="1" w:line="240" w:lineRule="auto"/>
        <w:ind w:right="-57" w:firstLine="709"/>
        <w:rPr>
          <w:rFonts w:cs="Arial"/>
          <w:szCs w:val="20"/>
        </w:rPr>
      </w:pPr>
      <w:r w:rsidRPr="00C968CE">
        <w:rPr>
          <w:rFonts w:cs="Arial"/>
          <w:color w:val="000000"/>
          <w:szCs w:val="20"/>
        </w:rPr>
        <w:t xml:space="preserve">Z kruszywa należy pobrać i zbadać średnie próbki. Wielkość pobranej średniej próbki nie może być mniejsza niż: </w:t>
      </w:r>
    </w:p>
    <w:p w14:paraId="2EDC28A4"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t>-          wypełniacz                                                         2 kg,</w:t>
      </w:r>
    </w:p>
    <w:p w14:paraId="4F0FE827"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t>-          kruszywa o uziarnieniu do 8 mm                       5 kg,</w:t>
      </w:r>
    </w:p>
    <w:p w14:paraId="304A126F" w14:textId="77777777" w:rsidR="00FC279F" w:rsidRPr="00C968CE" w:rsidRDefault="00FC279F" w:rsidP="00C968CE">
      <w:pPr>
        <w:autoSpaceDN w:val="0"/>
        <w:spacing w:line="240" w:lineRule="auto"/>
        <w:ind w:left="426" w:right="-57" w:hanging="426"/>
        <w:rPr>
          <w:rFonts w:cs="Arial"/>
          <w:szCs w:val="20"/>
        </w:rPr>
      </w:pPr>
      <w:r w:rsidRPr="00C968CE">
        <w:rPr>
          <w:rFonts w:cs="Arial"/>
          <w:color w:val="000000"/>
          <w:szCs w:val="20"/>
        </w:rPr>
        <w:t>-          kruszywa o uziarnieniu powyżej 8 mm            15 kg.</w:t>
      </w:r>
    </w:p>
    <w:p w14:paraId="24B2063D" w14:textId="77777777" w:rsidR="00FC279F" w:rsidRPr="00C968CE" w:rsidRDefault="00FC279F" w:rsidP="00C968CE">
      <w:pPr>
        <w:autoSpaceDN w:val="0"/>
        <w:spacing w:before="100" w:beforeAutospacing="1" w:after="100" w:afterAutospacing="1" w:line="240" w:lineRule="auto"/>
        <w:ind w:right="-57"/>
        <w:rPr>
          <w:rFonts w:cs="Arial"/>
          <w:szCs w:val="20"/>
        </w:rPr>
      </w:pPr>
      <w:r w:rsidRPr="00C968CE">
        <w:rPr>
          <w:rFonts w:cs="Arial"/>
          <w:color w:val="000000"/>
          <w:szCs w:val="20"/>
        </w:rPr>
        <w:t>            Wypełniacz i kruszywa powinny spełniać wymagania podane w pkcie  2.4.</w:t>
      </w:r>
    </w:p>
    <w:p w14:paraId="5CA62ACD" w14:textId="77777777" w:rsidR="00FC279F" w:rsidRPr="00C968CE" w:rsidRDefault="00FC279F" w:rsidP="00C968CE">
      <w:pPr>
        <w:spacing w:before="120" w:after="120" w:line="240" w:lineRule="auto"/>
        <w:ind w:right="-57"/>
        <w:rPr>
          <w:rFonts w:cs="Arial"/>
          <w:szCs w:val="20"/>
        </w:rPr>
      </w:pPr>
      <w:r w:rsidRPr="00C968CE">
        <w:rPr>
          <w:rFonts w:cs="Arial"/>
          <w:b/>
          <w:bCs/>
          <w:color w:val="000000"/>
          <w:szCs w:val="20"/>
        </w:rPr>
        <w:t>6.3.6.</w:t>
      </w:r>
      <w:r w:rsidRPr="00C968CE">
        <w:rPr>
          <w:rFonts w:cs="Arial"/>
          <w:color w:val="000000"/>
          <w:szCs w:val="20"/>
        </w:rPr>
        <w:t xml:space="preserve">  Lepiszcze </w:t>
      </w:r>
    </w:p>
    <w:p w14:paraId="6DC4CFBD" w14:textId="77777777" w:rsidR="00FC279F" w:rsidRPr="00C968CE" w:rsidRDefault="00FC279F" w:rsidP="00C968CE">
      <w:pPr>
        <w:spacing w:before="100" w:beforeAutospacing="1" w:after="100" w:afterAutospacing="1" w:line="240" w:lineRule="auto"/>
        <w:ind w:right="-57" w:firstLine="709"/>
        <w:rPr>
          <w:rFonts w:cs="Arial"/>
          <w:szCs w:val="20"/>
        </w:rPr>
      </w:pPr>
      <w:r w:rsidRPr="00C968CE">
        <w:rPr>
          <w:rFonts w:cs="Arial"/>
          <w:color w:val="000000"/>
          <w:szCs w:val="20"/>
        </w:rPr>
        <w:t>Z lepiszcza należy pobrać próbkę średnią składająca się z 3 próbek częściowych po 2 kg. Z tego jedną próbkę częściową należy poddać badaniom. Ponadto należy  zbadać kolejną próbkę, jeżeli wygląd zewnętrzny (jednolitość, kolor, zapach, zanieczyszczenia) może budzić obawy.</w:t>
      </w:r>
    </w:p>
    <w:p w14:paraId="32627AA0" w14:textId="77777777" w:rsidR="00FC279F" w:rsidRPr="00C968CE" w:rsidRDefault="00FC279F" w:rsidP="00C968CE">
      <w:pPr>
        <w:spacing w:before="100" w:beforeAutospacing="1" w:after="100" w:afterAutospacing="1" w:line="240" w:lineRule="auto"/>
        <w:ind w:right="-57" w:firstLine="709"/>
        <w:rPr>
          <w:rFonts w:cs="Arial"/>
          <w:szCs w:val="20"/>
        </w:rPr>
      </w:pPr>
      <w:r w:rsidRPr="00C968CE">
        <w:rPr>
          <w:rFonts w:cs="Arial"/>
          <w:color w:val="000000"/>
          <w:szCs w:val="20"/>
        </w:rPr>
        <w:t>Asfalty powinny spełniać wymagania podane w pkcie 2.3.</w:t>
      </w:r>
    </w:p>
    <w:p w14:paraId="0707146F" w14:textId="77777777" w:rsidR="00FC279F" w:rsidRPr="00C968CE" w:rsidRDefault="00FC279F" w:rsidP="00C968CE">
      <w:pPr>
        <w:spacing w:before="120" w:after="120" w:line="240" w:lineRule="auto"/>
        <w:ind w:right="-57"/>
        <w:rPr>
          <w:rFonts w:cs="Arial"/>
          <w:szCs w:val="20"/>
        </w:rPr>
      </w:pPr>
      <w:r w:rsidRPr="00C968CE">
        <w:rPr>
          <w:rFonts w:cs="Arial"/>
          <w:b/>
          <w:bCs/>
          <w:color w:val="000000"/>
          <w:szCs w:val="20"/>
        </w:rPr>
        <w:t>6.3.7.</w:t>
      </w:r>
      <w:r w:rsidRPr="00C968CE">
        <w:rPr>
          <w:rFonts w:cs="Arial"/>
          <w:color w:val="000000"/>
          <w:szCs w:val="20"/>
        </w:rPr>
        <w:t xml:space="preserve">  Materiały do uszczelniania połączeń </w:t>
      </w:r>
    </w:p>
    <w:p w14:paraId="35A7A4AA" w14:textId="77777777" w:rsidR="00FC279F" w:rsidRPr="00C968CE" w:rsidRDefault="00FC279F" w:rsidP="00C968CE">
      <w:pPr>
        <w:spacing w:before="100" w:beforeAutospacing="1" w:after="100" w:afterAutospacing="1" w:line="240" w:lineRule="auto"/>
        <w:ind w:right="-57" w:firstLine="709"/>
        <w:rPr>
          <w:rFonts w:cs="Arial"/>
          <w:szCs w:val="20"/>
        </w:rPr>
      </w:pPr>
      <w:r w:rsidRPr="00C968CE">
        <w:rPr>
          <w:rFonts w:cs="Arial"/>
          <w:szCs w:val="20"/>
        </w:rPr>
        <w:t>Z lepiszcza lub materiałów termoplastycznych należy pobrać próbki średnie składające się z 3 próbek częściowych po 2 kg. Z tego jedną próbkę częściową należy</w:t>
      </w:r>
      <w:r w:rsidRPr="00C968CE">
        <w:rPr>
          <w:rFonts w:cs="Arial"/>
          <w:color w:val="000000"/>
          <w:szCs w:val="20"/>
        </w:rPr>
        <w:t xml:space="preserve"> poddać badaniom. Ponadto należy pobrać i zbadać kolejną próbkę, jeżeli zewnętrzny wygląd (jednolitość, kolor, połysk, zapach, zanieczyszczenia) może budzić obawy.</w:t>
      </w:r>
    </w:p>
    <w:p w14:paraId="7B64EC64" w14:textId="77777777" w:rsidR="00FC279F" w:rsidRPr="00C968CE" w:rsidRDefault="00FC279F" w:rsidP="00C968CE">
      <w:pPr>
        <w:spacing w:before="100" w:beforeAutospacing="1" w:after="100" w:afterAutospacing="1" w:line="240" w:lineRule="auto"/>
        <w:ind w:right="-57" w:firstLine="709"/>
        <w:rPr>
          <w:rFonts w:cs="Arial"/>
          <w:szCs w:val="20"/>
        </w:rPr>
      </w:pPr>
      <w:r w:rsidRPr="00C968CE">
        <w:rPr>
          <w:rFonts w:cs="Arial"/>
          <w:color w:val="000000"/>
          <w:szCs w:val="20"/>
        </w:rPr>
        <w:t>Materiały do uszczelniania połączeń powinny spełniać wymagania podane w pkcie 2.7.</w:t>
      </w:r>
    </w:p>
    <w:p w14:paraId="69CDA1FA"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 xml:space="preserve">6.4.  Badania mieszanki mineralno-asfaltowej  </w:t>
      </w:r>
    </w:p>
    <w:p w14:paraId="10CBD229"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764A164E"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Do oceny jakości mieszanki mineralno-asfaltowej za zgodą nadzoru i Zamawiającego mogą posłużyć wyniki badań wykonanych w ramach zakładowej kontroli produkcji.  </w:t>
      </w:r>
    </w:p>
    <w:p w14:paraId="13469D02"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17021425"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Właściwości materiałów budowlanych należy określać dla każdej warstwy technologicznej, a metody badań powinny być zgodne z wymaganiami podanymi poniżej, chyba że ST lub dokumentacja projektowa podają inaczej. </w:t>
      </w:r>
    </w:p>
    <w:p w14:paraId="45CB8EAE" w14:textId="77777777" w:rsidR="00FC279F" w:rsidRPr="00C968CE" w:rsidRDefault="00FC279F" w:rsidP="00C968CE">
      <w:pPr>
        <w:keepNext/>
        <w:spacing w:before="120" w:after="120" w:line="240" w:lineRule="auto"/>
        <w:rPr>
          <w:rFonts w:cs="Arial"/>
          <w:szCs w:val="20"/>
        </w:rPr>
      </w:pPr>
      <w:r w:rsidRPr="00C968CE">
        <w:rPr>
          <w:rFonts w:cs="Arial"/>
          <w:b/>
          <w:bCs/>
          <w:szCs w:val="20"/>
        </w:rPr>
        <w:t>6.4.1.</w:t>
      </w:r>
      <w:r w:rsidRPr="00C968CE">
        <w:rPr>
          <w:rFonts w:cs="Arial"/>
          <w:szCs w:val="20"/>
        </w:rPr>
        <w:t xml:space="preserve"> Uziarnienie </w:t>
      </w:r>
    </w:p>
    <w:p w14:paraId="2D2D8EBE" w14:textId="77777777" w:rsidR="00FC279F" w:rsidRPr="00C968CE" w:rsidRDefault="00FC279F" w:rsidP="00C968CE">
      <w:pPr>
        <w:spacing w:before="100" w:beforeAutospacing="1" w:after="100" w:afterAutospacing="1" w:line="240" w:lineRule="auto"/>
        <w:ind w:right="-57" w:firstLine="709"/>
        <w:rPr>
          <w:rFonts w:cs="Arial"/>
          <w:szCs w:val="20"/>
        </w:rPr>
      </w:pPr>
      <w:r w:rsidRPr="00C968CE">
        <w:rPr>
          <w:rFonts w:cs="Arial"/>
          <w:color w:val="000000"/>
          <w:szCs w:val="20"/>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14:paraId="47C9C738" w14:textId="77777777" w:rsidR="00FC279F" w:rsidRPr="00C968CE" w:rsidRDefault="00FC279F" w:rsidP="00C968CE">
      <w:pPr>
        <w:spacing w:before="120" w:after="120" w:line="240" w:lineRule="auto"/>
        <w:ind w:left="1321" w:hanging="1321"/>
        <w:rPr>
          <w:rFonts w:cs="Arial"/>
          <w:szCs w:val="20"/>
        </w:rPr>
      </w:pPr>
      <w:r w:rsidRPr="00C968CE">
        <w:rPr>
          <w:rFonts w:cs="Arial"/>
          <w:color w:val="000000"/>
          <w:szCs w:val="20"/>
        </w:rPr>
        <w:t xml:space="preserve">Tablica 29. Dopuszczalne odchyłki dotyczące pojedynczego wyniku badania i średniej arytmetycznej wyników badań zawartości kruszywa  </w:t>
      </w:r>
    </w:p>
    <w:tbl>
      <w:tblPr>
        <w:tblW w:w="0" w:type="auto"/>
        <w:tblCellMar>
          <w:left w:w="0" w:type="dxa"/>
          <w:right w:w="0" w:type="dxa"/>
        </w:tblCellMar>
        <w:tblLook w:val="04A0" w:firstRow="1" w:lastRow="0" w:firstColumn="1" w:lastColumn="0" w:noHBand="0" w:noVBand="1"/>
      </w:tblPr>
      <w:tblGrid>
        <w:gridCol w:w="3468"/>
        <w:gridCol w:w="730"/>
        <w:gridCol w:w="999"/>
        <w:gridCol w:w="999"/>
        <w:gridCol w:w="999"/>
        <w:gridCol w:w="999"/>
        <w:gridCol w:w="648"/>
      </w:tblGrid>
      <w:tr w:rsidR="00FC279F" w:rsidRPr="00C968CE" w14:paraId="1AE29972" w14:textId="77777777" w:rsidTr="00FC279F">
        <w:tc>
          <w:tcPr>
            <w:tcW w:w="3468" w:type="dxa"/>
            <w:vMerge w:val="restart"/>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14:paraId="22EC9207"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lastRenderedPageBreak/>
              <w:t> </w:t>
            </w:r>
          </w:p>
          <w:p w14:paraId="68AAD27C"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Kruszywo o wymiarze</w:t>
            </w:r>
          </w:p>
        </w:tc>
        <w:tc>
          <w:tcPr>
            <w:tcW w:w="5374" w:type="dxa"/>
            <w:gridSpan w:val="6"/>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14:paraId="7C59C4DF"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Liczba wyników badań</w:t>
            </w:r>
          </w:p>
        </w:tc>
      </w:tr>
      <w:tr w:rsidR="00FC279F" w:rsidRPr="00C968CE" w14:paraId="1CB25D17" w14:textId="77777777" w:rsidTr="00FC279F">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2257CC4" w14:textId="77777777" w:rsidR="00FC279F" w:rsidRPr="00C968CE" w:rsidRDefault="00FC279F" w:rsidP="00C968CE">
            <w:pPr>
              <w:spacing w:line="240" w:lineRule="auto"/>
              <w:rPr>
                <w:rFonts w:cs="Arial"/>
                <w:szCs w:val="20"/>
              </w:rPr>
            </w:pPr>
          </w:p>
        </w:tc>
        <w:tc>
          <w:tcPr>
            <w:tcW w:w="73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3301037"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1</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5EB03D9"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2</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3FF5B98"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 xml:space="preserve">od 3 </w:t>
            </w:r>
          </w:p>
          <w:p w14:paraId="2669C62A"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do 4</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2E3FB1F"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 xml:space="preserve">od 5 </w:t>
            </w:r>
          </w:p>
          <w:p w14:paraId="3F25A123"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do 8</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1A3A37E"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 xml:space="preserve">od 9 </w:t>
            </w:r>
          </w:p>
          <w:p w14:paraId="1DC3E235"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do 19</w:t>
            </w:r>
          </w:p>
        </w:tc>
        <w:tc>
          <w:tcPr>
            <w:tcW w:w="64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EC9BF07"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≥20</w:t>
            </w:r>
          </w:p>
        </w:tc>
      </w:tr>
      <w:tr w:rsidR="00FC279F" w:rsidRPr="00C968CE" w14:paraId="616BE6E7" w14:textId="77777777" w:rsidTr="00FC279F">
        <w:tc>
          <w:tcPr>
            <w:tcW w:w="34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01AA046A" w14:textId="77777777" w:rsidR="00FC279F" w:rsidRPr="00C968CE" w:rsidRDefault="00FC279F" w:rsidP="00C968CE">
            <w:pPr>
              <w:spacing w:before="100" w:beforeAutospacing="1" w:after="100" w:afterAutospacing="1" w:line="240" w:lineRule="auto"/>
              <w:rPr>
                <w:rFonts w:cs="Arial"/>
                <w:szCs w:val="20"/>
              </w:rPr>
            </w:pPr>
            <w:r w:rsidRPr="00C968CE">
              <w:rPr>
                <w:rFonts w:cs="Arial"/>
                <w:color w:val="000000"/>
                <w:szCs w:val="20"/>
              </w:rPr>
              <w:t xml:space="preserve">&lt;0,063 mm [%(m/m) – </w:t>
            </w:r>
          </w:p>
          <w:p w14:paraId="72780DCD" w14:textId="77777777" w:rsidR="00FC279F" w:rsidRPr="00C968CE" w:rsidRDefault="00FC279F" w:rsidP="00C968CE">
            <w:pPr>
              <w:spacing w:before="100" w:beforeAutospacing="1" w:after="100" w:afterAutospacing="1" w:line="240" w:lineRule="auto"/>
              <w:rPr>
                <w:rFonts w:cs="Arial"/>
                <w:szCs w:val="20"/>
              </w:rPr>
            </w:pPr>
            <w:r w:rsidRPr="00C968CE">
              <w:rPr>
                <w:rFonts w:cs="Arial"/>
                <w:color w:val="000000"/>
                <w:szCs w:val="20"/>
              </w:rPr>
              <w:t>mieszanki gruboziarniste</w:t>
            </w:r>
          </w:p>
        </w:tc>
        <w:tc>
          <w:tcPr>
            <w:tcW w:w="73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2B673A1" w14:textId="77777777" w:rsidR="00FC279F" w:rsidRPr="00C968CE" w:rsidRDefault="00FC279F" w:rsidP="00C968CE">
            <w:pPr>
              <w:spacing w:before="60" w:after="60" w:line="240" w:lineRule="auto"/>
              <w:rPr>
                <w:rFonts w:cs="Arial"/>
                <w:szCs w:val="20"/>
              </w:rPr>
            </w:pPr>
            <w:r w:rsidRPr="00C968CE">
              <w:rPr>
                <w:rFonts w:cs="Arial"/>
                <w:color w:val="000000"/>
                <w:szCs w:val="20"/>
              </w:rPr>
              <w:t>±4,0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C7E93C6" w14:textId="77777777" w:rsidR="00FC279F" w:rsidRPr="00C968CE" w:rsidRDefault="00FC279F" w:rsidP="00C968CE">
            <w:pPr>
              <w:spacing w:before="60" w:after="60" w:line="240" w:lineRule="auto"/>
              <w:rPr>
                <w:rFonts w:cs="Arial"/>
                <w:szCs w:val="20"/>
              </w:rPr>
            </w:pPr>
            <w:r w:rsidRPr="00C968CE">
              <w:rPr>
                <w:rFonts w:cs="Arial"/>
                <w:color w:val="000000"/>
                <w:szCs w:val="20"/>
              </w:rPr>
              <w:t>±3,6</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EF7D3D3" w14:textId="77777777" w:rsidR="00FC279F" w:rsidRPr="00C968CE" w:rsidRDefault="00FC279F" w:rsidP="00C968CE">
            <w:pPr>
              <w:spacing w:before="60" w:after="60" w:line="240" w:lineRule="auto"/>
              <w:rPr>
                <w:rFonts w:cs="Arial"/>
                <w:szCs w:val="20"/>
              </w:rPr>
            </w:pPr>
            <w:r w:rsidRPr="00C968CE">
              <w:rPr>
                <w:rFonts w:cs="Arial"/>
                <w:color w:val="000000"/>
                <w:szCs w:val="20"/>
              </w:rPr>
              <w:t>±3,2</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485F54E" w14:textId="77777777" w:rsidR="00FC279F" w:rsidRPr="00C968CE" w:rsidRDefault="00FC279F" w:rsidP="00C968CE">
            <w:pPr>
              <w:spacing w:before="60" w:after="60" w:line="240" w:lineRule="auto"/>
              <w:rPr>
                <w:rFonts w:cs="Arial"/>
                <w:szCs w:val="20"/>
              </w:rPr>
            </w:pPr>
            <w:r w:rsidRPr="00C968CE">
              <w:rPr>
                <w:rFonts w:cs="Arial"/>
                <w:color w:val="000000"/>
                <w:szCs w:val="20"/>
              </w:rPr>
              <w:t>±2,9</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2209F42" w14:textId="77777777" w:rsidR="00FC279F" w:rsidRPr="00C968CE" w:rsidRDefault="00FC279F" w:rsidP="00C968CE">
            <w:pPr>
              <w:spacing w:before="60" w:after="60" w:line="240" w:lineRule="auto"/>
              <w:rPr>
                <w:rFonts w:cs="Arial"/>
                <w:szCs w:val="20"/>
              </w:rPr>
            </w:pPr>
            <w:r w:rsidRPr="00C968CE">
              <w:rPr>
                <w:rFonts w:cs="Arial"/>
                <w:color w:val="000000"/>
                <w:szCs w:val="20"/>
              </w:rPr>
              <w:t>±2,4</w:t>
            </w:r>
          </w:p>
        </w:tc>
        <w:tc>
          <w:tcPr>
            <w:tcW w:w="64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88A6C5D" w14:textId="77777777" w:rsidR="00FC279F" w:rsidRPr="00C968CE" w:rsidRDefault="00FC279F" w:rsidP="00C968CE">
            <w:pPr>
              <w:spacing w:before="60" w:after="60" w:line="240" w:lineRule="auto"/>
              <w:rPr>
                <w:rFonts w:cs="Arial"/>
                <w:szCs w:val="20"/>
              </w:rPr>
            </w:pPr>
            <w:r w:rsidRPr="00C968CE">
              <w:rPr>
                <w:rFonts w:cs="Arial"/>
                <w:color w:val="000000"/>
                <w:szCs w:val="20"/>
              </w:rPr>
              <w:t>±2,0</w:t>
            </w:r>
          </w:p>
        </w:tc>
      </w:tr>
      <w:tr w:rsidR="00FC279F" w:rsidRPr="00C968CE" w14:paraId="11AF7041" w14:textId="77777777" w:rsidTr="00FC279F">
        <w:tc>
          <w:tcPr>
            <w:tcW w:w="34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038611D3" w14:textId="77777777" w:rsidR="00FC279F" w:rsidRPr="00C968CE" w:rsidRDefault="00FC279F" w:rsidP="00C968CE">
            <w:pPr>
              <w:spacing w:before="100" w:beforeAutospacing="1" w:after="100" w:afterAutospacing="1" w:line="240" w:lineRule="auto"/>
              <w:rPr>
                <w:rFonts w:cs="Arial"/>
                <w:szCs w:val="20"/>
              </w:rPr>
            </w:pPr>
            <w:r w:rsidRPr="00C968CE">
              <w:rPr>
                <w:rFonts w:cs="Arial"/>
                <w:color w:val="000000"/>
                <w:szCs w:val="20"/>
              </w:rPr>
              <w:t xml:space="preserve">&lt;0,063 mm [%(m/m) – </w:t>
            </w:r>
          </w:p>
          <w:p w14:paraId="49668054" w14:textId="77777777" w:rsidR="00FC279F" w:rsidRPr="00C968CE" w:rsidRDefault="00FC279F" w:rsidP="00C968CE">
            <w:pPr>
              <w:spacing w:before="100" w:beforeAutospacing="1" w:after="100" w:afterAutospacing="1" w:line="240" w:lineRule="auto"/>
              <w:rPr>
                <w:rFonts w:cs="Arial"/>
                <w:szCs w:val="20"/>
              </w:rPr>
            </w:pPr>
            <w:r w:rsidRPr="00C968CE">
              <w:rPr>
                <w:rFonts w:cs="Arial"/>
                <w:color w:val="000000"/>
                <w:szCs w:val="20"/>
              </w:rPr>
              <w:t>mieszanki drobnoziarniste</w:t>
            </w:r>
          </w:p>
        </w:tc>
        <w:tc>
          <w:tcPr>
            <w:tcW w:w="73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C55E496" w14:textId="77777777" w:rsidR="00FC279F" w:rsidRPr="00C968CE" w:rsidRDefault="00FC279F" w:rsidP="00C968CE">
            <w:pPr>
              <w:spacing w:before="60" w:after="60" w:line="240" w:lineRule="auto"/>
              <w:rPr>
                <w:rFonts w:cs="Arial"/>
                <w:szCs w:val="20"/>
              </w:rPr>
            </w:pPr>
            <w:r w:rsidRPr="00C968CE">
              <w:rPr>
                <w:rFonts w:cs="Arial"/>
                <w:color w:val="000000"/>
                <w:szCs w:val="20"/>
              </w:rPr>
              <w:t>±3,0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62F590A" w14:textId="77777777" w:rsidR="00FC279F" w:rsidRPr="00C968CE" w:rsidRDefault="00FC279F" w:rsidP="00C968CE">
            <w:pPr>
              <w:spacing w:before="60" w:after="60" w:line="240" w:lineRule="auto"/>
              <w:rPr>
                <w:rFonts w:cs="Arial"/>
                <w:szCs w:val="20"/>
              </w:rPr>
            </w:pPr>
            <w:r w:rsidRPr="00C968CE">
              <w:rPr>
                <w:rFonts w:cs="Arial"/>
                <w:color w:val="000000"/>
                <w:szCs w:val="20"/>
              </w:rPr>
              <w:t>±2,7</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1778290" w14:textId="77777777" w:rsidR="00FC279F" w:rsidRPr="00C968CE" w:rsidRDefault="00FC279F" w:rsidP="00C968CE">
            <w:pPr>
              <w:spacing w:before="60" w:after="60" w:line="240" w:lineRule="auto"/>
              <w:rPr>
                <w:rFonts w:cs="Arial"/>
                <w:szCs w:val="20"/>
              </w:rPr>
            </w:pPr>
            <w:r w:rsidRPr="00C968CE">
              <w:rPr>
                <w:rFonts w:cs="Arial"/>
                <w:color w:val="000000"/>
                <w:szCs w:val="20"/>
              </w:rPr>
              <w:t>±2,4</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0D8B56A" w14:textId="77777777" w:rsidR="00FC279F" w:rsidRPr="00C968CE" w:rsidRDefault="00FC279F" w:rsidP="00C968CE">
            <w:pPr>
              <w:spacing w:before="60" w:after="60" w:line="240" w:lineRule="auto"/>
              <w:rPr>
                <w:rFonts w:cs="Arial"/>
                <w:szCs w:val="20"/>
              </w:rPr>
            </w:pPr>
            <w:r w:rsidRPr="00C968CE">
              <w:rPr>
                <w:rFonts w:cs="Arial"/>
                <w:color w:val="000000"/>
                <w:szCs w:val="20"/>
              </w:rPr>
              <w:t>±2,1</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4B47AF3" w14:textId="77777777" w:rsidR="00FC279F" w:rsidRPr="00C968CE" w:rsidRDefault="00FC279F" w:rsidP="00C968CE">
            <w:pPr>
              <w:spacing w:before="60" w:after="60" w:line="240" w:lineRule="auto"/>
              <w:rPr>
                <w:rFonts w:cs="Arial"/>
                <w:szCs w:val="20"/>
              </w:rPr>
            </w:pPr>
            <w:r w:rsidRPr="00C968CE">
              <w:rPr>
                <w:rFonts w:cs="Arial"/>
                <w:color w:val="000000"/>
                <w:szCs w:val="20"/>
              </w:rPr>
              <w:t>±1,8</w:t>
            </w:r>
          </w:p>
        </w:tc>
        <w:tc>
          <w:tcPr>
            <w:tcW w:w="64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ADD9525" w14:textId="77777777" w:rsidR="00FC279F" w:rsidRPr="00C968CE" w:rsidRDefault="00FC279F" w:rsidP="00C968CE">
            <w:pPr>
              <w:spacing w:before="60" w:after="60" w:line="240" w:lineRule="auto"/>
              <w:rPr>
                <w:rFonts w:cs="Arial"/>
                <w:szCs w:val="20"/>
              </w:rPr>
            </w:pPr>
            <w:r w:rsidRPr="00C968CE">
              <w:rPr>
                <w:rFonts w:cs="Arial"/>
                <w:color w:val="000000"/>
                <w:szCs w:val="20"/>
              </w:rPr>
              <w:t>±1,5</w:t>
            </w:r>
          </w:p>
        </w:tc>
      </w:tr>
      <w:tr w:rsidR="00FC279F" w:rsidRPr="00C968CE" w14:paraId="13130F26" w14:textId="77777777" w:rsidTr="00FC279F">
        <w:tc>
          <w:tcPr>
            <w:tcW w:w="34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12722FDA" w14:textId="77777777" w:rsidR="00FC279F" w:rsidRPr="00C968CE" w:rsidRDefault="00FC279F" w:rsidP="00C968CE">
            <w:pPr>
              <w:spacing w:before="100" w:beforeAutospacing="1" w:after="100" w:afterAutospacing="1" w:line="240" w:lineRule="auto"/>
              <w:rPr>
                <w:rFonts w:cs="Arial"/>
                <w:szCs w:val="20"/>
              </w:rPr>
            </w:pPr>
            <w:r w:rsidRPr="00C968CE">
              <w:rPr>
                <w:rFonts w:cs="Arial"/>
                <w:color w:val="000000"/>
                <w:szCs w:val="20"/>
              </w:rPr>
              <w:t>&lt;0,125 mm, [%(m/m)] -  mieszanki gruboziarniste</w:t>
            </w:r>
          </w:p>
        </w:tc>
        <w:tc>
          <w:tcPr>
            <w:tcW w:w="73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1A2878D" w14:textId="77777777" w:rsidR="00FC279F" w:rsidRPr="00C968CE" w:rsidRDefault="00FC279F" w:rsidP="00C968CE">
            <w:pPr>
              <w:spacing w:before="60" w:after="60" w:line="240" w:lineRule="auto"/>
              <w:rPr>
                <w:rFonts w:cs="Arial"/>
                <w:szCs w:val="20"/>
              </w:rPr>
            </w:pPr>
            <w:r w:rsidRPr="00C968CE">
              <w:rPr>
                <w:rFonts w:cs="Arial"/>
                <w:color w:val="000000"/>
                <w:szCs w:val="20"/>
              </w:rPr>
              <w:t>±5,0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336FF65" w14:textId="77777777" w:rsidR="00FC279F" w:rsidRPr="00C968CE" w:rsidRDefault="00FC279F" w:rsidP="00C968CE">
            <w:pPr>
              <w:spacing w:before="60" w:after="60" w:line="240" w:lineRule="auto"/>
              <w:rPr>
                <w:rFonts w:cs="Arial"/>
                <w:szCs w:val="20"/>
              </w:rPr>
            </w:pPr>
            <w:r w:rsidRPr="00C968CE">
              <w:rPr>
                <w:rFonts w:cs="Arial"/>
                <w:color w:val="000000"/>
                <w:szCs w:val="20"/>
              </w:rPr>
              <w:t>±4,4</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FF090FF" w14:textId="77777777" w:rsidR="00FC279F" w:rsidRPr="00C968CE" w:rsidRDefault="00FC279F" w:rsidP="00C968CE">
            <w:pPr>
              <w:spacing w:before="60" w:after="60" w:line="240" w:lineRule="auto"/>
              <w:rPr>
                <w:rFonts w:cs="Arial"/>
                <w:szCs w:val="20"/>
              </w:rPr>
            </w:pPr>
            <w:r w:rsidRPr="00C968CE">
              <w:rPr>
                <w:rFonts w:cs="Arial"/>
                <w:color w:val="000000"/>
                <w:szCs w:val="20"/>
              </w:rPr>
              <w:t>±3,9</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AF74F2C" w14:textId="77777777" w:rsidR="00FC279F" w:rsidRPr="00C968CE" w:rsidRDefault="00FC279F" w:rsidP="00C968CE">
            <w:pPr>
              <w:spacing w:before="60" w:after="60" w:line="240" w:lineRule="auto"/>
              <w:rPr>
                <w:rFonts w:cs="Arial"/>
                <w:szCs w:val="20"/>
              </w:rPr>
            </w:pPr>
            <w:r w:rsidRPr="00C968CE">
              <w:rPr>
                <w:rFonts w:cs="Arial"/>
                <w:color w:val="000000"/>
                <w:szCs w:val="20"/>
              </w:rPr>
              <w:t>±3,4</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CA4F7DE" w14:textId="77777777" w:rsidR="00FC279F" w:rsidRPr="00C968CE" w:rsidRDefault="00FC279F" w:rsidP="00C968CE">
            <w:pPr>
              <w:spacing w:before="60" w:after="60" w:line="240" w:lineRule="auto"/>
              <w:rPr>
                <w:rFonts w:cs="Arial"/>
                <w:szCs w:val="20"/>
              </w:rPr>
            </w:pPr>
            <w:r w:rsidRPr="00C968CE">
              <w:rPr>
                <w:rFonts w:cs="Arial"/>
                <w:color w:val="000000"/>
                <w:szCs w:val="20"/>
              </w:rPr>
              <w:t>±2,7</w:t>
            </w:r>
          </w:p>
        </w:tc>
        <w:tc>
          <w:tcPr>
            <w:tcW w:w="64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FC5D1EB" w14:textId="77777777" w:rsidR="00FC279F" w:rsidRPr="00C968CE" w:rsidRDefault="00FC279F" w:rsidP="00C968CE">
            <w:pPr>
              <w:spacing w:before="60" w:after="60" w:line="240" w:lineRule="auto"/>
              <w:rPr>
                <w:rFonts w:cs="Arial"/>
                <w:szCs w:val="20"/>
              </w:rPr>
            </w:pPr>
            <w:r w:rsidRPr="00C968CE">
              <w:rPr>
                <w:rFonts w:cs="Arial"/>
                <w:color w:val="000000"/>
                <w:szCs w:val="20"/>
              </w:rPr>
              <w:t>±2,0</w:t>
            </w:r>
          </w:p>
        </w:tc>
      </w:tr>
      <w:tr w:rsidR="00FC279F" w:rsidRPr="00C968CE" w14:paraId="31EB6007" w14:textId="77777777" w:rsidTr="00FC279F">
        <w:tc>
          <w:tcPr>
            <w:tcW w:w="34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D38D223" w14:textId="77777777" w:rsidR="00FC279F" w:rsidRPr="00C968CE" w:rsidRDefault="00FC279F" w:rsidP="00C968CE">
            <w:pPr>
              <w:spacing w:before="100" w:beforeAutospacing="1" w:after="100" w:afterAutospacing="1" w:line="240" w:lineRule="auto"/>
              <w:rPr>
                <w:rFonts w:cs="Arial"/>
                <w:szCs w:val="20"/>
              </w:rPr>
            </w:pPr>
            <w:r w:rsidRPr="00C968CE">
              <w:rPr>
                <w:rFonts w:cs="Arial"/>
                <w:color w:val="000000"/>
                <w:szCs w:val="20"/>
              </w:rPr>
              <w:t>&lt;0,125 mm, [%(m/m)] -  mieszanki drobnoziarniste</w:t>
            </w:r>
          </w:p>
        </w:tc>
        <w:tc>
          <w:tcPr>
            <w:tcW w:w="73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7E25E6E" w14:textId="77777777" w:rsidR="00FC279F" w:rsidRPr="00C968CE" w:rsidRDefault="00FC279F" w:rsidP="00C968CE">
            <w:pPr>
              <w:spacing w:before="60" w:after="60" w:line="240" w:lineRule="auto"/>
              <w:rPr>
                <w:rFonts w:cs="Arial"/>
                <w:szCs w:val="20"/>
              </w:rPr>
            </w:pPr>
            <w:r w:rsidRPr="00C968CE">
              <w:rPr>
                <w:rFonts w:cs="Arial"/>
                <w:color w:val="000000"/>
                <w:szCs w:val="20"/>
              </w:rPr>
              <w:t>±4,0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24D9A5E" w14:textId="77777777" w:rsidR="00FC279F" w:rsidRPr="00C968CE" w:rsidRDefault="00FC279F" w:rsidP="00C968CE">
            <w:pPr>
              <w:spacing w:before="60" w:after="60" w:line="240" w:lineRule="auto"/>
              <w:rPr>
                <w:rFonts w:cs="Arial"/>
                <w:szCs w:val="20"/>
              </w:rPr>
            </w:pPr>
            <w:r w:rsidRPr="00C968CE">
              <w:rPr>
                <w:rFonts w:cs="Arial"/>
                <w:color w:val="000000"/>
                <w:szCs w:val="20"/>
              </w:rPr>
              <w:t>±3,6</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6280462" w14:textId="77777777" w:rsidR="00FC279F" w:rsidRPr="00C968CE" w:rsidRDefault="00FC279F" w:rsidP="00C968CE">
            <w:pPr>
              <w:spacing w:before="60" w:after="60" w:line="240" w:lineRule="auto"/>
              <w:rPr>
                <w:rFonts w:cs="Arial"/>
                <w:szCs w:val="20"/>
              </w:rPr>
            </w:pPr>
            <w:r w:rsidRPr="00C968CE">
              <w:rPr>
                <w:rFonts w:cs="Arial"/>
                <w:color w:val="000000"/>
                <w:szCs w:val="20"/>
              </w:rPr>
              <w:t>±3,3</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83CDD5F" w14:textId="77777777" w:rsidR="00FC279F" w:rsidRPr="00C968CE" w:rsidRDefault="00FC279F" w:rsidP="00C968CE">
            <w:pPr>
              <w:spacing w:before="60" w:after="60" w:line="240" w:lineRule="auto"/>
              <w:rPr>
                <w:rFonts w:cs="Arial"/>
                <w:szCs w:val="20"/>
              </w:rPr>
            </w:pPr>
            <w:r w:rsidRPr="00C968CE">
              <w:rPr>
                <w:rFonts w:cs="Arial"/>
                <w:color w:val="000000"/>
                <w:szCs w:val="20"/>
              </w:rPr>
              <w:t>±2,9</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2056114" w14:textId="77777777" w:rsidR="00FC279F" w:rsidRPr="00C968CE" w:rsidRDefault="00FC279F" w:rsidP="00C968CE">
            <w:pPr>
              <w:spacing w:before="60" w:after="60" w:line="240" w:lineRule="auto"/>
              <w:rPr>
                <w:rFonts w:cs="Arial"/>
                <w:szCs w:val="20"/>
              </w:rPr>
            </w:pPr>
            <w:r w:rsidRPr="00C968CE">
              <w:rPr>
                <w:rFonts w:cs="Arial"/>
                <w:color w:val="000000"/>
                <w:szCs w:val="20"/>
              </w:rPr>
              <w:t>±2,5</w:t>
            </w:r>
          </w:p>
        </w:tc>
        <w:tc>
          <w:tcPr>
            <w:tcW w:w="64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369EE65" w14:textId="77777777" w:rsidR="00FC279F" w:rsidRPr="00C968CE" w:rsidRDefault="00FC279F" w:rsidP="00C968CE">
            <w:pPr>
              <w:spacing w:before="60" w:after="60" w:line="240" w:lineRule="auto"/>
              <w:rPr>
                <w:rFonts w:cs="Arial"/>
                <w:szCs w:val="20"/>
              </w:rPr>
            </w:pPr>
            <w:r w:rsidRPr="00C968CE">
              <w:rPr>
                <w:rFonts w:cs="Arial"/>
                <w:color w:val="000000"/>
                <w:szCs w:val="20"/>
              </w:rPr>
              <w:t>±2,0</w:t>
            </w:r>
          </w:p>
        </w:tc>
      </w:tr>
      <w:tr w:rsidR="00FC279F" w:rsidRPr="00C968CE" w14:paraId="48F0BF3D" w14:textId="77777777" w:rsidTr="00FC279F">
        <w:tc>
          <w:tcPr>
            <w:tcW w:w="34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2DCFB407" w14:textId="77777777" w:rsidR="00FC279F" w:rsidRPr="00C968CE" w:rsidRDefault="00FC279F" w:rsidP="00C968CE">
            <w:pPr>
              <w:spacing w:before="60" w:after="60" w:line="240" w:lineRule="auto"/>
              <w:rPr>
                <w:rFonts w:cs="Arial"/>
                <w:szCs w:val="20"/>
              </w:rPr>
            </w:pPr>
            <w:r w:rsidRPr="00C968CE">
              <w:rPr>
                <w:rFonts w:cs="Arial"/>
                <w:color w:val="000000"/>
                <w:szCs w:val="20"/>
              </w:rPr>
              <w:t>Od 0,063 mm do 2 mm</w:t>
            </w:r>
          </w:p>
        </w:tc>
        <w:tc>
          <w:tcPr>
            <w:tcW w:w="73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43A2EF6" w14:textId="77777777" w:rsidR="00FC279F" w:rsidRPr="00C968CE" w:rsidRDefault="00FC279F" w:rsidP="00C968CE">
            <w:pPr>
              <w:spacing w:before="60" w:after="60" w:line="240" w:lineRule="auto"/>
              <w:rPr>
                <w:rFonts w:cs="Arial"/>
                <w:szCs w:val="20"/>
              </w:rPr>
            </w:pPr>
            <w:r w:rsidRPr="00C968CE">
              <w:rPr>
                <w:rFonts w:cs="Arial"/>
                <w:color w:val="000000"/>
                <w:szCs w:val="20"/>
              </w:rPr>
              <w:t>±8</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728529C" w14:textId="77777777" w:rsidR="00FC279F" w:rsidRPr="00C968CE" w:rsidRDefault="00FC279F" w:rsidP="00C968CE">
            <w:pPr>
              <w:spacing w:before="60" w:after="60" w:line="240" w:lineRule="auto"/>
              <w:rPr>
                <w:rFonts w:cs="Arial"/>
                <w:szCs w:val="20"/>
              </w:rPr>
            </w:pPr>
            <w:r w:rsidRPr="00C968CE">
              <w:rPr>
                <w:rFonts w:cs="Arial"/>
                <w:color w:val="000000"/>
                <w:szCs w:val="20"/>
              </w:rPr>
              <w:t>±6,1</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0F5E9D7" w14:textId="77777777" w:rsidR="00FC279F" w:rsidRPr="00C968CE" w:rsidRDefault="00FC279F" w:rsidP="00C968CE">
            <w:pPr>
              <w:spacing w:before="60" w:after="60" w:line="240" w:lineRule="auto"/>
              <w:rPr>
                <w:rFonts w:cs="Arial"/>
                <w:szCs w:val="20"/>
              </w:rPr>
            </w:pPr>
            <w:r w:rsidRPr="00C968CE">
              <w:rPr>
                <w:rFonts w:cs="Arial"/>
                <w:color w:val="000000"/>
                <w:szCs w:val="20"/>
              </w:rPr>
              <w:t>±5,0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518954C" w14:textId="77777777" w:rsidR="00FC279F" w:rsidRPr="00C968CE" w:rsidRDefault="00FC279F" w:rsidP="00C968CE">
            <w:pPr>
              <w:spacing w:before="60" w:after="60" w:line="240" w:lineRule="auto"/>
              <w:rPr>
                <w:rFonts w:cs="Arial"/>
                <w:szCs w:val="20"/>
              </w:rPr>
            </w:pPr>
            <w:r w:rsidRPr="00C968CE">
              <w:rPr>
                <w:rFonts w:cs="Arial"/>
                <w:color w:val="000000"/>
                <w:szCs w:val="20"/>
              </w:rPr>
              <w:t>±4,1</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B248DA7" w14:textId="77777777" w:rsidR="00FC279F" w:rsidRPr="00C968CE" w:rsidRDefault="00FC279F" w:rsidP="00C968CE">
            <w:pPr>
              <w:spacing w:before="60" w:after="60" w:line="240" w:lineRule="auto"/>
              <w:rPr>
                <w:rFonts w:cs="Arial"/>
                <w:szCs w:val="20"/>
              </w:rPr>
            </w:pPr>
            <w:r w:rsidRPr="00C968CE">
              <w:rPr>
                <w:rFonts w:cs="Arial"/>
                <w:color w:val="000000"/>
                <w:szCs w:val="20"/>
              </w:rPr>
              <w:t>±3,3</w:t>
            </w:r>
          </w:p>
        </w:tc>
        <w:tc>
          <w:tcPr>
            <w:tcW w:w="64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45B2D96" w14:textId="77777777" w:rsidR="00FC279F" w:rsidRPr="00C968CE" w:rsidRDefault="00FC279F" w:rsidP="00C968CE">
            <w:pPr>
              <w:spacing w:before="60" w:after="60" w:line="240" w:lineRule="auto"/>
              <w:rPr>
                <w:rFonts w:cs="Arial"/>
                <w:szCs w:val="20"/>
              </w:rPr>
            </w:pPr>
            <w:r w:rsidRPr="00C968CE">
              <w:rPr>
                <w:rFonts w:cs="Arial"/>
                <w:color w:val="000000"/>
                <w:szCs w:val="20"/>
              </w:rPr>
              <w:t>±3,0</w:t>
            </w:r>
          </w:p>
        </w:tc>
      </w:tr>
      <w:tr w:rsidR="00FC279F" w:rsidRPr="00C968CE" w14:paraId="1A357275" w14:textId="77777777" w:rsidTr="00FC279F">
        <w:tc>
          <w:tcPr>
            <w:tcW w:w="34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56E568A4" w14:textId="77777777" w:rsidR="00FC279F" w:rsidRPr="00C968CE" w:rsidRDefault="00FC279F" w:rsidP="00C968CE">
            <w:pPr>
              <w:spacing w:before="60" w:after="60" w:line="240" w:lineRule="auto"/>
              <w:rPr>
                <w:rFonts w:cs="Arial"/>
                <w:szCs w:val="20"/>
              </w:rPr>
            </w:pPr>
            <w:r w:rsidRPr="00C968CE">
              <w:rPr>
                <w:rFonts w:cs="Arial"/>
                <w:color w:val="000000"/>
                <w:szCs w:val="20"/>
              </w:rPr>
              <w:t xml:space="preserve">&gt;2 mm </w:t>
            </w:r>
          </w:p>
        </w:tc>
        <w:tc>
          <w:tcPr>
            <w:tcW w:w="73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9EC417B" w14:textId="77777777" w:rsidR="00FC279F" w:rsidRPr="00C968CE" w:rsidRDefault="00FC279F" w:rsidP="00C968CE">
            <w:pPr>
              <w:spacing w:before="60" w:after="60" w:line="240" w:lineRule="auto"/>
              <w:rPr>
                <w:rFonts w:cs="Arial"/>
                <w:szCs w:val="20"/>
              </w:rPr>
            </w:pPr>
            <w:r w:rsidRPr="00C968CE">
              <w:rPr>
                <w:rFonts w:cs="Arial"/>
                <w:color w:val="000000"/>
                <w:szCs w:val="20"/>
              </w:rPr>
              <w:t>±8</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798E6B9" w14:textId="77777777" w:rsidR="00FC279F" w:rsidRPr="00C968CE" w:rsidRDefault="00FC279F" w:rsidP="00C968CE">
            <w:pPr>
              <w:spacing w:before="60" w:after="60" w:line="240" w:lineRule="auto"/>
              <w:rPr>
                <w:rFonts w:cs="Arial"/>
                <w:szCs w:val="20"/>
              </w:rPr>
            </w:pPr>
            <w:r w:rsidRPr="00C968CE">
              <w:rPr>
                <w:rFonts w:cs="Arial"/>
                <w:color w:val="000000"/>
                <w:szCs w:val="20"/>
              </w:rPr>
              <w:t>±6,1</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FD81547" w14:textId="77777777" w:rsidR="00FC279F" w:rsidRPr="00C968CE" w:rsidRDefault="00FC279F" w:rsidP="00C968CE">
            <w:pPr>
              <w:spacing w:before="60" w:after="60" w:line="240" w:lineRule="auto"/>
              <w:rPr>
                <w:rFonts w:cs="Arial"/>
                <w:szCs w:val="20"/>
              </w:rPr>
            </w:pPr>
            <w:r w:rsidRPr="00C968CE">
              <w:rPr>
                <w:rFonts w:cs="Arial"/>
                <w:color w:val="000000"/>
                <w:szCs w:val="20"/>
              </w:rPr>
              <w:t>±5,0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1FB54F56" w14:textId="77777777" w:rsidR="00FC279F" w:rsidRPr="00C968CE" w:rsidRDefault="00FC279F" w:rsidP="00C968CE">
            <w:pPr>
              <w:spacing w:before="60" w:after="60" w:line="240" w:lineRule="auto"/>
              <w:rPr>
                <w:rFonts w:cs="Arial"/>
                <w:szCs w:val="20"/>
              </w:rPr>
            </w:pPr>
            <w:r w:rsidRPr="00C968CE">
              <w:rPr>
                <w:rFonts w:cs="Arial"/>
                <w:color w:val="000000"/>
                <w:szCs w:val="20"/>
              </w:rPr>
              <w:t>±4,1</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9B16A8A" w14:textId="77777777" w:rsidR="00FC279F" w:rsidRPr="00C968CE" w:rsidRDefault="00FC279F" w:rsidP="00C968CE">
            <w:pPr>
              <w:spacing w:before="60" w:after="60" w:line="240" w:lineRule="auto"/>
              <w:rPr>
                <w:rFonts w:cs="Arial"/>
                <w:szCs w:val="20"/>
              </w:rPr>
            </w:pPr>
            <w:r w:rsidRPr="00C968CE">
              <w:rPr>
                <w:rFonts w:cs="Arial"/>
                <w:color w:val="000000"/>
                <w:szCs w:val="20"/>
              </w:rPr>
              <w:t>±3,3</w:t>
            </w:r>
          </w:p>
        </w:tc>
        <w:tc>
          <w:tcPr>
            <w:tcW w:w="64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650F0DE" w14:textId="77777777" w:rsidR="00FC279F" w:rsidRPr="00C968CE" w:rsidRDefault="00FC279F" w:rsidP="00C968CE">
            <w:pPr>
              <w:spacing w:before="60" w:after="60" w:line="240" w:lineRule="auto"/>
              <w:rPr>
                <w:rFonts w:cs="Arial"/>
                <w:szCs w:val="20"/>
              </w:rPr>
            </w:pPr>
            <w:r w:rsidRPr="00C968CE">
              <w:rPr>
                <w:rFonts w:cs="Arial"/>
                <w:color w:val="000000"/>
                <w:szCs w:val="20"/>
              </w:rPr>
              <w:t>±3,0</w:t>
            </w:r>
          </w:p>
        </w:tc>
      </w:tr>
      <w:tr w:rsidR="00FC279F" w:rsidRPr="00C968CE" w14:paraId="075E09A8" w14:textId="77777777" w:rsidTr="00FC279F">
        <w:tc>
          <w:tcPr>
            <w:tcW w:w="34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0F74A515"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 xml:space="preserve">Ziarna grube </w:t>
            </w:r>
          </w:p>
          <w:p w14:paraId="08EDE169"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(mieszanki drobnoziarniste)</w:t>
            </w:r>
          </w:p>
        </w:tc>
        <w:tc>
          <w:tcPr>
            <w:tcW w:w="73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8ED3743"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-8    +5</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F6DCF12"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-6,7   +4,7</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22ADB531"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-5,8   +4,5</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D0CCF7F"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-5,1   +4,3</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6F812BE7"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-4,4   +4,1</w:t>
            </w:r>
          </w:p>
        </w:tc>
        <w:tc>
          <w:tcPr>
            <w:tcW w:w="64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97E24FE" w14:textId="77777777" w:rsidR="00FC279F" w:rsidRPr="00C968CE" w:rsidRDefault="00FC279F" w:rsidP="00C968CE">
            <w:pPr>
              <w:spacing w:before="120" w:line="240" w:lineRule="auto"/>
              <w:ind w:right="-57"/>
              <w:rPr>
                <w:rFonts w:cs="Arial"/>
                <w:szCs w:val="20"/>
              </w:rPr>
            </w:pPr>
            <w:r w:rsidRPr="00C968CE">
              <w:rPr>
                <w:rFonts w:cs="Arial"/>
                <w:color w:val="000000"/>
                <w:szCs w:val="20"/>
              </w:rPr>
              <w:t>±4,0</w:t>
            </w:r>
          </w:p>
        </w:tc>
      </w:tr>
      <w:tr w:rsidR="00FC279F" w:rsidRPr="00C968CE" w14:paraId="1450F847" w14:textId="77777777" w:rsidTr="00FC279F">
        <w:tc>
          <w:tcPr>
            <w:tcW w:w="3468"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14:paraId="3DA51C4B"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 xml:space="preserve">Ziarna grube </w:t>
            </w:r>
          </w:p>
          <w:p w14:paraId="023B2DCF"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(mieszanki gruboziarniste)</w:t>
            </w:r>
          </w:p>
        </w:tc>
        <w:tc>
          <w:tcPr>
            <w:tcW w:w="730"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33591965"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-9 +5,0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C2FFE33"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-7,6 +5,0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5837D872"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-6,8 +5,0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7177793C"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-6,1 +5,0</w:t>
            </w:r>
          </w:p>
        </w:tc>
        <w:tc>
          <w:tcPr>
            <w:tcW w:w="999"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0F72DB40"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-5,5 +5,0</w:t>
            </w:r>
          </w:p>
        </w:tc>
        <w:tc>
          <w:tcPr>
            <w:tcW w:w="648" w:type="dxa"/>
            <w:tcBorders>
              <w:top w:val="nil"/>
              <w:left w:val="nil"/>
              <w:bottom w:val="single" w:sz="8" w:space="0" w:color="000000"/>
              <w:right w:val="single" w:sz="8" w:space="0" w:color="000000"/>
            </w:tcBorders>
            <w:noWrap/>
            <w:tcMar>
              <w:top w:w="0" w:type="dxa"/>
              <w:left w:w="108" w:type="dxa"/>
              <w:bottom w:w="0" w:type="dxa"/>
              <w:right w:w="108" w:type="dxa"/>
            </w:tcMar>
            <w:hideMark/>
          </w:tcPr>
          <w:p w14:paraId="4451E1D1" w14:textId="77777777" w:rsidR="00FC279F" w:rsidRPr="00C968CE" w:rsidRDefault="00FC279F" w:rsidP="00C968CE">
            <w:pPr>
              <w:spacing w:before="120" w:line="240" w:lineRule="auto"/>
              <w:ind w:right="-57"/>
              <w:rPr>
                <w:rFonts w:cs="Arial"/>
                <w:szCs w:val="20"/>
              </w:rPr>
            </w:pPr>
            <w:r w:rsidRPr="00C968CE">
              <w:rPr>
                <w:rFonts w:cs="Arial"/>
                <w:color w:val="000000"/>
                <w:szCs w:val="20"/>
              </w:rPr>
              <w:t>±5,0</w:t>
            </w:r>
          </w:p>
        </w:tc>
      </w:tr>
    </w:tbl>
    <w:p w14:paraId="01517E1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2E5FA222" w14:textId="77777777" w:rsidR="00FC279F" w:rsidRPr="00C968CE" w:rsidRDefault="00FC279F" w:rsidP="00C968CE">
      <w:pPr>
        <w:spacing w:before="100" w:beforeAutospacing="1" w:after="120" w:line="240" w:lineRule="auto"/>
        <w:rPr>
          <w:rFonts w:cs="Arial"/>
          <w:szCs w:val="20"/>
        </w:rPr>
      </w:pPr>
      <w:r w:rsidRPr="00C968CE">
        <w:rPr>
          <w:rFonts w:cs="Arial"/>
          <w:b/>
          <w:bCs/>
          <w:color w:val="000000"/>
          <w:szCs w:val="20"/>
        </w:rPr>
        <w:t>6.4.2.</w:t>
      </w:r>
      <w:r w:rsidRPr="00C968CE">
        <w:rPr>
          <w:rFonts w:cs="Arial"/>
          <w:color w:val="000000"/>
          <w:szCs w:val="20"/>
        </w:rPr>
        <w:t xml:space="preserve">  Zawartość lepiszcza </w:t>
      </w:r>
    </w:p>
    <w:p w14:paraId="25DBC167" w14:textId="77777777" w:rsidR="00FC279F" w:rsidRPr="00C968CE" w:rsidRDefault="00FC279F" w:rsidP="00C968CE">
      <w:pPr>
        <w:spacing w:before="100" w:beforeAutospacing="1" w:after="100" w:afterAutospacing="1" w:line="240" w:lineRule="auto"/>
        <w:ind w:right="-57" w:firstLine="709"/>
        <w:rPr>
          <w:rFonts w:cs="Arial"/>
          <w:szCs w:val="20"/>
        </w:rPr>
      </w:pPr>
      <w:r w:rsidRPr="00C968CE">
        <w:rPr>
          <w:rFonts w:cs="Arial"/>
          <w:color w:val="00000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14:paraId="7A976398" w14:textId="77777777" w:rsidR="00FC279F" w:rsidRPr="00C968CE" w:rsidRDefault="00FC279F" w:rsidP="00C968CE">
      <w:pPr>
        <w:spacing w:before="120" w:after="120" w:line="240" w:lineRule="auto"/>
        <w:ind w:left="1200" w:right="-57" w:hanging="1200"/>
        <w:rPr>
          <w:rFonts w:cs="Arial"/>
          <w:szCs w:val="20"/>
        </w:rPr>
      </w:pPr>
      <w:r w:rsidRPr="00C968CE">
        <w:rPr>
          <w:rFonts w:cs="Arial"/>
          <w:color w:val="000000"/>
          <w:szCs w:val="20"/>
        </w:rPr>
        <w:t>Tablica 30. Dopuszczalne odchyłki pojedynczego wyniku badania i średniej arytmetycznej wyników badań zawartości lepiszcza rozpuszczalnego [%(m/m)]</w:t>
      </w:r>
    </w:p>
    <w:tbl>
      <w:tblPr>
        <w:tblW w:w="0" w:type="auto"/>
        <w:tblCellMar>
          <w:left w:w="0" w:type="dxa"/>
          <w:right w:w="0" w:type="dxa"/>
        </w:tblCellMar>
        <w:tblLook w:val="04A0" w:firstRow="1" w:lastRow="0" w:firstColumn="1" w:lastColumn="0" w:noHBand="0" w:noVBand="1"/>
      </w:tblPr>
      <w:tblGrid>
        <w:gridCol w:w="1652"/>
        <w:gridCol w:w="970"/>
        <w:gridCol w:w="1002"/>
        <w:gridCol w:w="1164"/>
        <w:gridCol w:w="1320"/>
        <w:gridCol w:w="1440"/>
        <w:gridCol w:w="1002"/>
      </w:tblGrid>
      <w:tr w:rsidR="00FC279F" w:rsidRPr="00C968CE" w14:paraId="2E5AFB80" w14:textId="77777777" w:rsidTr="00FC279F">
        <w:tc>
          <w:tcPr>
            <w:tcW w:w="1652" w:type="dxa"/>
            <w:vMerge w:val="restar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CD4B83E" w14:textId="77777777" w:rsidR="00FC279F" w:rsidRPr="00C968CE" w:rsidRDefault="00FC279F" w:rsidP="00C968CE">
            <w:pPr>
              <w:spacing w:before="120" w:line="240" w:lineRule="auto"/>
              <w:ind w:right="-57"/>
              <w:rPr>
                <w:rFonts w:cs="Arial"/>
                <w:szCs w:val="20"/>
              </w:rPr>
            </w:pPr>
            <w:r w:rsidRPr="00C968CE">
              <w:rPr>
                <w:rFonts w:cs="Arial"/>
                <w:color w:val="000000"/>
                <w:szCs w:val="20"/>
              </w:rPr>
              <w:t>Rodzaj mieszanki</w:t>
            </w:r>
          </w:p>
        </w:tc>
        <w:tc>
          <w:tcPr>
            <w:tcW w:w="6898" w:type="dxa"/>
            <w:gridSpan w:val="6"/>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27ACE1B1"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Liczba wyników badań</w:t>
            </w:r>
          </w:p>
        </w:tc>
      </w:tr>
      <w:tr w:rsidR="00FC279F" w:rsidRPr="00C968CE" w14:paraId="38836CD7" w14:textId="77777777" w:rsidTr="00FC279F">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36F19D1" w14:textId="77777777" w:rsidR="00FC279F" w:rsidRPr="00C968CE" w:rsidRDefault="00FC279F" w:rsidP="00C968CE">
            <w:pPr>
              <w:spacing w:line="240" w:lineRule="auto"/>
              <w:rPr>
                <w:rFonts w:cs="Arial"/>
                <w:szCs w:val="20"/>
              </w:rPr>
            </w:pPr>
          </w:p>
        </w:tc>
        <w:tc>
          <w:tcPr>
            <w:tcW w:w="970" w:type="dxa"/>
            <w:tcBorders>
              <w:top w:val="nil"/>
              <w:left w:val="nil"/>
              <w:bottom w:val="single" w:sz="8" w:space="0" w:color="000000"/>
              <w:right w:val="single" w:sz="8" w:space="0" w:color="000000"/>
            </w:tcBorders>
            <w:tcMar>
              <w:top w:w="0" w:type="dxa"/>
              <w:left w:w="108" w:type="dxa"/>
              <w:bottom w:w="0" w:type="dxa"/>
              <w:right w:w="108" w:type="dxa"/>
            </w:tcMar>
            <w:hideMark/>
          </w:tcPr>
          <w:p w14:paraId="083E493C"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1</w:t>
            </w:r>
          </w:p>
        </w:tc>
        <w:tc>
          <w:tcPr>
            <w:tcW w:w="1002" w:type="dxa"/>
            <w:tcBorders>
              <w:top w:val="nil"/>
              <w:left w:val="nil"/>
              <w:bottom w:val="single" w:sz="8" w:space="0" w:color="000000"/>
              <w:right w:val="single" w:sz="8" w:space="0" w:color="000000"/>
            </w:tcBorders>
            <w:tcMar>
              <w:top w:w="0" w:type="dxa"/>
              <w:left w:w="108" w:type="dxa"/>
              <w:bottom w:w="0" w:type="dxa"/>
              <w:right w:w="108" w:type="dxa"/>
            </w:tcMar>
            <w:hideMark/>
          </w:tcPr>
          <w:p w14:paraId="588C4243"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2</w:t>
            </w:r>
          </w:p>
        </w:tc>
        <w:tc>
          <w:tcPr>
            <w:tcW w:w="1164" w:type="dxa"/>
            <w:tcBorders>
              <w:top w:val="nil"/>
              <w:left w:val="nil"/>
              <w:bottom w:val="single" w:sz="8" w:space="0" w:color="000000"/>
              <w:right w:val="single" w:sz="8" w:space="0" w:color="000000"/>
            </w:tcBorders>
            <w:tcMar>
              <w:top w:w="0" w:type="dxa"/>
              <w:left w:w="108" w:type="dxa"/>
              <w:bottom w:w="0" w:type="dxa"/>
              <w:right w:w="108" w:type="dxa"/>
            </w:tcMar>
            <w:hideMark/>
          </w:tcPr>
          <w:p w14:paraId="17D6D86A"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od 3 do 4</w:t>
            </w:r>
          </w:p>
        </w:tc>
        <w:tc>
          <w:tcPr>
            <w:tcW w:w="1320" w:type="dxa"/>
            <w:tcBorders>
              <w:top w:val="nil"/>
              <w:left w:val="nil"/>
              <w:bottom w:val="single" w:sz="8" w:space="0" w:color="000000"/>
              <w:right w:val="single" w:sz="8" w:space="0" w:color="000000"/>
            </w:tcBorders>
            <w:tcMar>
              <w:top w:w="0" w:type="dxa"/>
              <w:left w:w="108" w:type="dxa"/>
              <w:bottom w:w="0" w:type="dxa"/>
              <w:right w:w="108" w:type="dxa"/>
            </w:tcMar>
            <w:hideMark/>
          </w:tcPr>
          <w:p w14:paraId="28390658"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od 5 do 8</w:t>
            </w:r>
            <w:r w:rsidRPr="00C968CE">
              <w:rPr>
                <w:rFonts w:cs="Arial"/>
                <w:color w:val="000000"/>
                <w:szCs w:val="20"/>
                <w:vertAlign w:val="superscript"/>
              </w:rPr>
              <w:t>a)</w:t>
            </w:r>
          </w:p>
        </w:tc>
        <w:tc>
          <w:tcPr>
            <w:tcW w:w="1440" w:type="dxa"/>
            <w:tcBorders>
              <w:top w:val="nil"/>
              <w:left w:val="nil"/>
              <w:bottom w:val="single" w:sz="8" w:space="0" w:color="000000"/>
              <w:right w:val="single" w:sz="8" w:space="0" w:color="000000"/>
            </w:tcBorders>
            <w:tcMar>
              <w:top w:w="0" w:type="dxa"/>
              <w:left w:w="108" w:type="dxa"/>
              <w:bottom w:w="0" w:type="dxa"/>
              <w:right w:w="108" w:type="dxa"/>
            </w:tcMar>
            <w:hideMark/>
          </w:tcPr>
          <w:p w14:paraId="2EB51B69"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od 9 do 19</w:t>
            </w:r>
            <w:r w:rsidRPr="00C968CE">
              <w:rPr>
                <w:rFonts w:cs="Arial"/>
                <w:color w:val="000000"/>
                <w:szCs w:val="20"/>
                <w:vertAlign w:val="superscript"/>
              </w:rPr>
              <w:t>a)</w:t>
            </w:r>
          </w:p>
        </w:tc>
        <w:tc>
          <w:tcPr>
            <w:tcW w:w="1002" w:type="dxa"/>
            <w:tcBorders>
              <w:top w:val="nil"/>
              <w:left w:val="nil"/>
              <w:bottom w:val="single" w:sz="8" w:space="0" w:color="000000"/>
              <w:right w:val="single" w:sz="8" w:space="0" w:color="000000"/>
            </w:tcBorders>
            <w:tcMar>
              <w:top w:w="0" w:type="dxa"/>
              <w:left w:w="108" w:type="dxa"/>
              <w:bottom w:w="0" w:type="dxa"/>
              <w:right w:w="108" w:type="dxa"/>
            </w:tcMar>
            <w:hideMark/>
          </w:tcPr>
          <w:p w14:paraId="74E962E2"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≥20</w:t>
            </w:r>
          </w:p>
        </w:tc>
      </w:tr>
      <w:tr w:rsidR="00FC279F" w:rsidRPr="00C968CE" w14:paraId="31F34042" w14:textId="77777777" w:rsidTr="00FC279F">
        <w:tc>
          <w:tcPr>
            <w:tcW w:w="165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24F34DF2"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Mieszanki gruboziarniste</w:t>
            </w:r>
          </w:p>
        </w:tc>
        <w:tc>
          <w:tcPr>
            <w:tcW w:w="970" w:type="dxa"/>
            <w:tcBorders>
              <w:top w:val="nil"/>
              <w:left w:val="nil"/>
              <w:bottom w:val="single" w:sz="8" w:space="0" w:color="000000"/>
              <w:right w:val="single" w:sz="8" w:space="0" w:color="000000"/>
            </w:tcBorders>
            <w:tcMar>
              <w:top w:w="0" w:type="dxa"/>
              <w:left w:w="108" w:type="dxa"/>
              <w:bottom w:w="0" w:type="dxa"/>
              <w:right w:w="108" w:type="dxa"/>
            </w:tcMar>
            <w:hideMark/>
          </w:tcPr>
          <w:p w14:paraId="25020E96" w14:textId="77777777" w:rsidR="00FC279F" w:rsidRPr="00C968CE" w:rsidRDefault="00FC279F" w:rsidP="00C968CE">
            <w:pPr>
              <w:spacing w:before="120" w:line="240" w:lineRule="auto"/>
              <w:ind w:right="-57"/>
              <w:rPr>
                <w:rFonts w:cs="Arial"/>
                <w:szCs w:val="20"/>
              </w:rPr>
            </w:pPr>
            <w:r w:rsidRPr="00C968CE">
              <w:rPr>
                <w:rFonts w:cs="Arial"/>
                <w:color w:val="000000"/>
                <w:szCs w:val="20"/>
              </w:rPr>
              <w:t>±0,6</w:t>
            </w:r>
          </w:p>
        </w:tc>
        <w:tc>
          <w:tcPr>
            <w:tcW w:w="1002" w:type="dxa"/>
            <w:tcBorders>
              <w:top w:val="nil"/>
              <w:left w:val="nil"/>
              <w:bottom w:val="single" w:sz="8" w:space="0" w:color="000000"/>
              <w:right w:val="single" w:sz="8" w:space="0" w:color="000000"/>
            </w:tcBorders>
            <w:tcMar>
              <w:top w:w="0" w:type="dxa"/>
              <w:left w:w="108" w:type="dxa"/>
              <w:bottom w:w="0" w:type="dxa"/>
              <w:right w:w="108" w:type="dxa"/>
            </w:tcMar>
            <w:hideMark/>
          </w:tcPr>
          <w:p w14:paraId="5AF669E1" w14:textId="77777777" w:rsidR="00FC279F" w:rsidRPr="00C968CE" w:rsidRDefault="00FC279F" w:rsidP="00C968CE">
            <w:pPr>
              <w:spacing w:before="120" w:line="240" w:lineRule="auto"/>
              <w:ind w:right="-57"/>
              <w:rPr>
                <w:rFonts w:cs="Arial"/>
                <w:szCs w:val="20"/>
              </w:rPr>
            </w:pPr>
            <w:r w:rsidRPr="00C968CE">
              <w:rPr>
                <w:rFonts w:cs="Arial"/>
                <w:color w:val="000000"/>
                <w:szCs w:val="20"/>
              </w:rPr>
              <w:t>±0,55</w:t>
            </w:r>
          </w:p>
        </w:tc>
        <w:tc>
          <w:tcPr>
            <w:tcW w:w="1164" w:type="dxa"/>
            <w:tcBorders>
              <w:top w:val="nil"/>
              <w:left w:val="nil"/>
              <w:bottom w:val="single" w:sz="8" w:space="0" w:color="000000"/>
              <w:right w:val="single" w:sz="8" w:space="0" w:color="000000"/>
            </w:tcBorders>
            <w:tcMar>
              <w:top w:w="0" w:type="dxa"/>
              <w:left w:w="108" w:type="dxa"/>
              <w:bottom w:w="0" w:type="dxa"/>
              <w:right w:w="108" w:type="dxa"/>
            </w:tcMar>
            <w:hideMark/>
          </w:tcPr>
          <w:p w14:paraId="3A48D154" w14:textId="77777777" w:rsidR="00FC279F" w:rsidRPr="00C968CE" w:rsidRDefault="00FC279F" w:rsidP="00C968CE">
            <w:pPr>
              <w:spacing w:before="120" w:line="240" w:lineRule="auto"/>
              <w:ind w:right="-57"/>
              <w:rPr>
                <w:rFonts w:cs="Arial"/>
                <w:szCs w:val="20"/>
              </w:rPr>
            </w:pPr>
            <w:r w:rsidRPr="00C968CE">
              <w:rPr>
                <w:rFonts w:cs="Arial"/>
                <w:color w:val="000000"/>
                <w:szCs w:val="20"/>
              </w:rPr>
              <w:t>±0,50</w:t>
            </w:r>
          </w:p>
        </w:tc>
        <w:tc>
          <w:tcPr>
            <w:tcW w:w="1320" w:type="dxa"/>
            <w:tcBorders>
              <w:top w:val="nil"/>
              <w:left w:val="nil"/>
              <w:bottom w:val="single" w:sz="8" w:space="0" w:color="000000"/>
              <w:right w:val="single" w:sz="8" w:space="0" w:color="000000"/>
            </w:tcBorders>
            <w:tcMar>
              <w:top w:w="0" w:type="dxa"/>
              <w:left w:w="108" w:type="dxa"/>
              <w:bottom w:w="0" w:type="dxa"/>
              <w:right w:w="108" w:type="dxa"/>
            </w:tcMar>
            <w:hideMark/>
          </w:tcPr>
          <w:p w14:paraId="16934F45" w14:textId="77777777" w:rsidR="00FC279F" w:rsidRPr="00C968CE" w:rsidRDefault="00FC279F" w:rsidP="00C968CE">
            <w:pPr>
              <w:spacing w:before="120" w:line="240" w:lineRule="auto"/>
              <w:ind w:right="-57"/>
              <w:rPr>
                <w:rFonts w:cs="Arial"/>
                <w:szCs w:val="20"/>
              </w:rPr>
            </w:pPr>
            <w:r w:rsidRPr="00C968CE">
              <w:rPr>
                <w:rFonts w:cs="Arial"/>
                <w:color w:val="000000"/>
                <w:szCs w:val="20"/>
              </w:rPr>
              <w:t>±0,40</w:t>
            </w:r>
          </w:p>
        </w:tc>
        <w:tc>
          <w:tcPr>
            <w:tcW w:w="1440" w:type="dxa"/>
            <w:tcBorders>
              <w:top w:val="nil"/>
              <w:left w:val="nil"/>
              <w:bottom w:val="single" w:sz="8" w:space="0" w:color="000000"/>
              <w:right w:val="single" w:sz="8" w:space="0" w:color="000000"/>
            </w:tcBorders>
            <w:tcMar>
              <w:top w:w="0" w:type="dxa"/>
              <w:left w:w="108" w:type="dxa"/>
              <w:bottom w:w="0" w:type="dxa"/>
              <w:right w:w="108" w:type="dxa"/>
            </w:tcMar>
            <w:hideMark/>
          </w:tcPr>
          <w:p w14:paraId="2C54D60C" w14:textId="77777777" w:rsidR="00FC279F" w:rsidRPr="00C968CE" w:rsidRDefault="00FC279F" w:rsidP="00C968CE">
            <w:pPr>
              <w:spacing w:before="120" w:line="240" w:lineRule="auto"/>
              <w:ind w:right="-57"/>
              <w:rPr>
                <w:rFonts w:cs="Arial"/>
                <w:szCs w:val="20"/>
              </w:rPr>
            </w:pPr>
            <w:r w:rsidRPr="00C968CE">
              <w:rPr>
                <w:rFonts w:cs="Arial"/>
                <w:color w:val="000000"/>
                <w:szCs w:val="20"/>
              </w:rPr>
              <w:t>±0,35</w:t>
            </w:r>
          </w:p>
        </w:tc>
        <w:tc>
          <w:tcPr>
            <w:tcW w:w="1002" w:type="dxa"/>
            <w:tcBorders>
              <w:top w:val="nil"/>
              <w:left w:val="nil"/>
              <w:bottom w:val="single" w:sz="8" w:space="0" w:color="000000"/>
              <w:right w:val="single" w:sz="8" w:space="0" w:color="000000"/>
            </w:tcBorders>
            <w:tcMar>
              <w:top w:w="0" w:type="dxa"/>
              <w:left w:w="108" w:type="dxa"/>
              <w:bottom w:w="0" w:type="dxa"/>
              <w:right w:w="108" w:type="dxa"/>
            </w:tcMar>
            <w:hideMark/>
          </w:tcPr>
          <w:p w14:paraId="4DA444E1" w14:textId="77777777" w:rsidR="00FC279F" w:rsidRPr="00C968CE" w:rsidRDefault="00FC279F" w:rsidP="00C968CE">
            <w:pPr>
              <w:spacing w:before="120" w:line="240" w:lineRule="auto"/>
              <w:ind w:right="-57"/>
              <w:rPr>
                <w:rFonts w:cs="Arial"/>
                <w:szCs w:val="20"/>
              </w:rPr>
            </w:pPr>
            <w:r w:rsidRPr="00C968CE">
              <w:rPr>
                <w:rFonts w:cs="Arial"/>
                <w:color w:val="000000"/>
                <w:szCs w:val="20"/>
              </w:rPr>
              <w:t>±0,30</w:t>
            </w:r>
          </w:p>
        </w:tc>
      </w:tr>
      <w:tr w:rsidR="00FC279F" w:rsidRPr="00C968CE" w14:paraId="756EAADB" w14:textId="77777777" w:rsidTr="00FC279F">
        <w:tc>
          <w:tcPr>
            <w:tcW w:w="165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5BF4F99E"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Mieszanki drobnoziarniste</w:t>
            </w:r>
          </w:p>
        </w:tc>
        <w:tc>
          <w:tcPr>
            <w:tcW w:w="970" w:type="dxa"/>
            <w:tcBorders>
              <w:top w:val="nil"/>
              <w:left w:val="nil"/>
              <w:bottom w:val="single" w:sz="8" w:space="0" w:color="000000"/>
              <w:right w:val="single" w:sz="8" w:space="0" w:color="000000"/>
            </w:tcBorders>
            <w:tcMar>
              <w:top w:w="0" w:type="dxa"/>
              <w:left w:w="108" w:type="dxa"/>
              <w:bottom w:w="0" w:type="dxa"/>
              <w:right w:w="108" w:type="dxa"/>
            </w:tcMar>
            <w:hideMark/>
          </w:tcPr>
          <w:p w14:paraId="601913D7" w14:textId="77777777" w:rsidR="00FC279F" w:rsidRPr="00C968CE" w:rsidRDefault="00FC279F" w:rsidP="00C968CE">
            <w:pPr>
              <w:spacing w:before="120" w:line="240" w:lineRule="auto"/>
              <w:ind w:right="-57"/>
              <w:rPr>
                <w:rFonts w:cs="Arial"/>
                <w:szCs w:val="20"/>
              </w:rPr>
            </w:pPr>
            <w:r w:rsidRPr="00C968CE">
              <w:rPr>
                <w:rFonts w:cs="Arial"/>
                <w:color w:val="000000"/>
                <w:szCs w:val="20"/>
              </w:rPr>
              <w:t>±0,5</w:t>
            </w:r>
          </w:p>
        </w:tc>
        <w:tc>
          <w:tcPr>
            <w:tcW w:w="1002" w:type="dxa"/>
            <w:tcBorders>
              <w:top w:val="nil"/>
              <w:left w:val="nil"/>
              <w:bottom w:val="single" w:sz="8" w:space="0" w:color="000000"/>
              <w:right w:val="single" w:sz="8" w:space="0" w:color="000000"/>
            </w:tcBorders>
            <w:tcMar>
              <w:top w:w="0" w:type="dxa"/>
              <w:left w:w="108" w:type="dxa"/>
              <w:bottom w:w="0" w:type="dxa"/>
              <w:right w:w="108" w:type="dxa"/>
            </w:tcMar>
            <w:hideMark/>
          </w:tcPr>
          <w:p w14:paraId="3D1AF918" w14:textId="77777777" w:rsidR="00FC279F" w:rsidRPr="00C968CE" w:rsidRDefault="00FC279F" w:rsidP="00C968CE">
            <w:pPr>
              <w:spacing w:before="120" w:line="240" w:lineRule="auto"/>
              <w:ind w:right="-57"/>
              <w:rPr>
                <w:rFonts w:cs="Arial"/>
                <w:szCs w:val="20"/>
              </w:rPr>
            </w:pPr>
            <w:r w:rsidRPr="00C968CE">
              <w:rPr>
                <w:rFonts w:cs="Arial"/>
                <w:color w:val="000000"/>
                <w:szCs w:val="20"/>
              </w:rPr>
              <w:t>±0,45</w:t>
            </w:r>
          </w:p>
        </w:tc>
        <w:tc>
          <w:tcPr>
            <w:tcW w:w="1164" w:type="dxa"/>
            <w:tcBorders>
              <w:top w:val="nil"/>
              <w:left w:val="nil"/>
              <w:bottom w:val="single" w:sz="8" w:space="0" w:color="000000"/>
              <w:right w:val="single" w:sz="8" w:space="0" w:color="000000"/>
            </w:tcBorders>
            <w:tcMar>
              <w:top w:w="0" w:type="dxa"/>
              <w:left w:w="108" w:type="dxa"/>
              <w:bottom w:w="0" w:type="dxa"/>
              <w:right w:w="108" w:type="dxa"/>
            </w:tcMar>
            <w:hideMark/>
          </w:tcPr>
          <w:p w14:paraId="4ED2ED54" w14:textId="77777777" w:rsidR="00FC279F" w:rsidRPr="00C968CE" w:rsidRDefault="00FC279F" w:rsidP="00C968CE">
            <w:pPr>
              <w:spacing w:before="120" w:line="240" w:lineRule="auto"/>
              <w:ind w:right="-57"/>
              <w:rPr>
                <w:rFonts w:cs="Arial"/>
                <w:szCs w:val="20"/>
              </w:rPr>
            </w:pPr>
            <w:r w:rsidRPr="00C968CE">
              <w:rPr>
                <w:rFonts w:cs="Arial"/>
                <w:color w:val="000000"/>
                <w:szCs w:val="20"/>
              </w:rPr>
              <w:t>±0,40</w:t>
            </w:r>
          </w:p>
        </w:tc>
        <w:tc>
          <w:tcPr>
            <w:tcW w:w="1320" w:type="dxa"/>
            <w:tcBorders>
              <w:top w:val="nil"/>
              <w:left w:val="nil"/>
              <w:bottom w:val="single" w:sz="8" w:space="0" w:color="000000"/>
              <w:right w:val="single" w:sz="8" w:space="0" w:color="000000"/>
            </w:tcBorders>
            <w:tcMar>
              <w:top w:w="0" w:type="dxa"/>
              <w:left w:w="108" w:type="dxa"/>
              <w:bottom w:w="0" w:type="dxa"/>
              <w:right w:w="108" w:type="dxa"/>
            </w:tcMar>
            <w:hideMark/>
          </w:tcPr>
          <w:p w14:paraId="0CE780AB" w14:textId="77777777" w:rsidR="00FC279F" w:rsidRPr="00C968CE" w:rsidRDefault="00FC279F" w:rsidP="00C968CE">
            <w:pPr>
              <w:spacing w:before="120" w:line="240" w:lineRule="auto"/>
              <w:ind w:right="-57"/>
              <w:rPr>
                <w:rFonts w:cs="Arial"/>
                <w:szCs w:val="20"/>
              </w:rPr>
            </w:pPr>
            <w:r w:rsidRPr="00C968CE">
              <w:rPr>
                <w:rFonts w:cs="Arial"/>
                <w:color w:val="000000"/>
                <w:szCs w:val="20"/>
              </w:rPr>
              <w:t>±0,40</w:t>
            </w:r>
          </w:p>
        </w:tc>
        <w:tc>
          <w:tcPr>
            <w:tcW w:w="1440" w:type="dxa"/>
            <w:tcBorders>
              <w:top w:val="nil"/>
              <w:left w:val="nil"/>
              <w:bottom w:val="single" w:sz="8" w:space="0" w:color="000000"/>
              <w:right w:val="single" w:sz="8" w:space="0" w:color="000000"/>
            </w:tcBorders>
            <w:tcMar>
              <w:top w:w="0" w:type="dxa"/>
              <w:left w:w="108" w:type="dxa"/>
              <w:bottom w:w="0" w:type="dxa"/>
              <w:right w:w="108" w:type="dxa"/>
            </w:tcMar>
            <w:hideMark/>
          </w:tcPr>
          <w:p w14:paraId="283FC8BC" w14:textId="77777777" w:rsidR="00FC279F" w:rsidRPr="00C968CE" w:rsidRDefault="00FC279F" w:rsidP="00C968CE">
            <w:pPr>
              <w:spacing w:before="120" w:line="240" w:lineRule="auto"/>
              <w:ind w:right="-57"/>
              <w:rPr>
                <w:rFonts w:cs="Arial"/>
                <w:szCs w:val="20"/>
              </w:rPr>
            </w:pPr>
            <w:r w:rsidRPr="00C968CE">
              <w:rPr>
                <w:rFonts w:cs="Arial"/>
                <w:color w:val="000000"/>
                <w:szCs w:val="20"/>
              </w:rPr>
              <w:t>±0,35</w:t>
            </w:r>
          </w:p>
        </w:tc>
        <w:tc>
          <w:tcPr>
            <w:tcW w:w="1002" w:type="dxa"/>
            <w:tcBorders>
              <w:top w:val="nil"/>
              <w:left w:val="nil"/>
              <w:bottom w:val="single" w:sz="8" w:space="0" w:color="000000"/>
              <w:right w:val="single" w:sz="8" w:space="0" w:color="000000"/>
            </w:tcBorders>
            <w:tcMar>
              <w:top w:w="0" w:type="dxa"/>
              <w:left w:w="108" w:type="dxa"/>
              <w:bottom w:w="0" w:type="dxa"/>
              <w:right w:w="108" w:type="dxa"/>
            </w:tcMar>
            <w:hideMark/>
          </w:tcPr>
          <w:p w14:paraId="32049902" w14:textId="77777777" w:rsidR="00FC279F" w:rsidRPr="00C968CE" w:rsidRDefault="00FC279F" w:rsidP="00C968CE">
            <w:pPr>
              <w:spacing w:before="120" w:line="240" w:lineRule="auto"/>
              <w:ind w:right="-57"/>
              <w:rPr>
                <w:rFonts w:cs="Arial"/>
                <w:szCs w:val="20"/>
              </w:rPr>
            </w:pPr>
            <w:r w:rsidRPr="00C968CE">
              <w:rPr>
                <w:rFonts w:cs="Arial"/>
                <w:color w:val="000000"/>
                <w:szCs w:val="20"/>
              </w:rPr>
              <w:t>±0,30</w:t>
            </w:r>
          </w:p>
        </w:tc>
      </w:tr>
      <w:tr w:rsidR="00FC279F" w:rsidRPr="00C968CE" w14:paraId="0118A12F" w14:textId="77777777" w:rsidTr="00FC279F">
        <w:tc>
          <w:tcPr>
            <w:tcW w:w="8550" w:type="dxa"/>
            <w:gridSpan w:val="7"/>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19D7830" w14:textId="77777777" w:rsidR="00FC279F" w:rsidRPr="00C968CE" w:rsidRDefault="00FC279F" w:rsidP="00C968CE">
            <w:pPr>
              <w:autoSpaceDN w:val="0"/>
              <w:spacing w:line="240" w:lineRule="auto"/>
              <w:ind w:left="310" w:right="-57" w:hanging="285"/>
              <w:rPr>
                <w:rFonts w:cs="Arial"/>
                <w:szCs w:val="20"/>
              </w:rPr>
            </w:pPr>
            <w:r w:rsidRPr="00C968CE">
              <w:rPr>
                <w:rFonts w:cs="Arial"/>
                <w:color w:val="000000"/>
                <w:szCs w:val="20"/>
              </w:rPr>
              <w:t>a) 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28EC3016" w14:textId="05679DA2" w:rsidR="00FC279F" w:rsidRPr="00C968CE" w:rsidRDefault="00FC279F" w:rsidP="00C968CE">
      <w:pPr>
        <w:spacing w:before="100" w:beforeAutospacing="1" w:after="100" w:afterAutospacing="1" w:line="240" w:lineRule="auto"/>
        <w:rPr>
          <w:rFonts w:cs="Arial"/>
          <w:szCs w:val="20"/>
        </w:rPr>
      </w:pPr>
    </w:p>
    <w:p w14:paraId="07FD95B0" w14:textId="77777777" w:rsidR="00FC279F" w:rsidRPr="00C968CE" w:rsidRDefault="00FC279F" w:rsidP="00C968CE">
      <w:pPr>
        <w:spacing w:before="100" w:beforeAutospacing="1" w:after="120" w:line="240" w:lineRule="auto"/>
        <w:rPr>
          <w:rFonts w:cs="Arial"/>
          <w:szCs w:val="20"/>
        </w:rPr>
      </w:pPr>
      <w:r w:rsidRPr="00C968CE">
        <w:rPr>
          <w:rFonts w:cs="Arial"/>
          <w:b/>
          <w:bCs/>
          <w:color w:val="000000"/>
          <w:szCs w:val="20"/>
        </w:rPr>
        <w:t>6.4.3.</w:t>
      </w:r>
      <w:r w:rsidRPr="00C968CE">
        <w:rPr>
          <w:rFonts w:cs="Arial"/>
          <w:color w:val="000000"/>
          <w:szCs w:val="20"/>
        </w:rPr>
        <w:t xml:space="preserve">  Temperatura mięknienia lepiszcza </w:t>
      </w:r>
    </w:p>
    <w:p w14:paraId="266429D0"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Dla asfaltów drogowych zgodnych z PN-EN 12591[24] oraz wielorodzajowych zgodnych z PN-EN 13924-2 [65] [65a],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6BA4DA7A"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Jeżeli w składzie mieszanki mineralno-asfaltowej jest grantulat asfaltowy, to temperatura mięknienia wyekstrahowanego lepiszcza nie może przekroczyć temperatur mięknienia T</w:t>
      </w:r>
      <w:r w:rsidRPr="00C968CE">
        <w:rPr>
          <w:rFonts w:cs="Arial"/>
          <w:szCs w:val="20"/>
          <w:vertAlign w:val="subscript"/>
        </w:rPr>
        <w:t>R&amp;Bmix</w:t>
      </w:r>
      <w:r w:rsidRPr="00C968CE">
        <w:rPr>
          <w:rFonts w:cs="Arial"/>
          <w:szCs w:val="20"/>
        </w:rPr>
        <w:t>, podanej w badaniu typu o więcej niż 8°C.</w:t>
      </w:r>
    </w:p>
    <w:p w14:paraId="2E5E6E93"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lastRenderedPageBreak/>
        <w:t>Temperatura mięknienia polimeroasfaltu wyekstrahowanego z mieszanki mineralno asfaltowej nie powinna przekroczyć wartości dopuszczalnych podanych w tablicy 31</w:t>
      </w:r>
    </w:p>
    <w:p w14:paraId="77C4BD03" w14:textId="77777777" w:rsidR="00FC279F" w:rsidRPr="00C968CE" w:rsidRDefault="00FC279F" w:rsidP="00C968CE">
      <w:pPr>
        <w:spacing w:before="120" w:after="120" w:line="240" w:lineRule="auto"/>
        <w:ind w:left="1276" w:hanging="1276"/>
        <w:rPr>
          <w:rFonts w:cs="Arial"/>
          <w:szCs w:val="20"/>
        </w:rPr>
      </w:pPr>
      <w:r w:rsidRPr="00C968CE">
        <w:rPr>
          <w:rFonts w:cs="Arial"/>
          <w:color w:val="000000"/>
          <w:szCs w:val="20"/>
        </w:rPr>
        <w:t>Tablica 31.    Najwyższa temperatura mięknienia wyekstrahowanego polimeroasfaltu drogowego</w:t>
      </w:r>
    </w:p>
    <w:tbl>
      <w:tblPr>
        <w:tblW w:w="0" w:type="auto"/>
        <w:tblCellMar>
          <w:left w:w="0" w:type="dxa"/>
          <w:right w:w="0" w:type="dxa"/>
        </w:tblCellMar>
        <w:tblLook w:val="04A0" w:firstRow="1" w:lastRow="0" w:firstColumn="1" w:lastColumn="0" w:noHBand="0" w:noVBand="1"/>
      </w:tblPr>
      <w:tblGrid>
        <w:gridCol w:w="3755"/>
        <w:gridCol w:w="3756"/>
      </w:tblGrid>
      <w:tr w:rsidR="00FC279F" w:rsidRPr="00C968CE" w14:paraId="42F238D8" w14:textId="77777777" w:rsidTr="00FC279F">
        <w:tc>
          <w:tcPr>
            <w:tcW w:w="3755"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51942475"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Rodzaj lepiszcza</w:t>
            </w:r>
          </w:p>
        </w:tc>
        <w:tc>
          <w:tcPr>
            <w:tcW w:w="3756"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3B478CD2"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Najwyższa temperatura mięknienia, °C</w:t>
            </w:r>
          </w:p>
        </w:tc>
      </w:tr>
      <w:tr w:rsidR="00FC279F" w:rsidRPr="00C968CE" w14:paraId="41C5B73E" w14:textId="77777777" w:rsidTr="00FC279F">
        <w:tc>
          <w:tcPr>
            <w:tcW w:w="375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17B872A"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PMB-25/55-60</w:t>
            </w:r>
          </w:p>
        </w:tc>
        <w:tc>
          <w:tcPr>
            <w:tcW w:w="3756" w:type="dxa"/>
            <w:tcBorders>
              <w:top w:val="nil"/>
              <w:left w:val="nil"/>
              <w:bottom w:val="single" w:sz="8" w:space="0" w:color="auto"/>
              <w:right w:val="single" w:sz="8" w:space="0" w:color="auto"/>
            </w:tcBorders>
            <w:noWrap/>
            <w:tcMar>
              <w:top w:w="0" w:type="dxa"/>
              <w:left w:w="108" w:type="dxa"/>
              <w:bottom w:w="0" w:type="dxa"/>
              <w:right w:w="108" w:type="dxa"/>
            </w:tcMar>
            <w:hideMark/>
          </w:tcPr>
          <w:p w14:paraId="5AFD4826"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78</w:t>
            </w:r>
          </w:p>
        </w:tc>
      </w:tr>
      <w:tr w:rsidR="00FC279F" w:rsidRPr="00C968CE" w14:paraId="7EB0AF8D" w14:textId="77777777" w:rsidTr="00FC279F">
        <w:tc>
          <w:tcPr>
            <w:tcW w:w="3755"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9138C68"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PMB 25/55-80</w:t>
            </w:r>
          </w:p>
        </w:tc>
        <w:tc>
          <w:tcPr>
            <w:tcW w:w="3756" w:type="dxa"/>
            <w:tcBorders>
              <w:top w:val="nil"/>
              <w:left w:val="nil"/>
              <w:bottom w:val="single" w:sz="8" w:space="0" w:color="auto"/>
              <w:right w:val="single" w:sz="8" w:space="0" w:color="auto"/>
            </w:tcBorders>
            <w:noWrap/>
            <w:tcMar>
              <w:top w:w="0" w:type="dxa"/>
              <w:left w:w="108" w:type="dxa"/>
              <w:bottom w:w="0" w:type="dxa"/>
              <w:right w:w="108" w:type="dxa"/>
            </w:tcMar>
            <w:hideMark/>
          </w:tcPr>
          <w:p w14:paraId="5DFE452D"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color w:val="000000"/>
                <w:szCs w:val="20"/>
              </w:rPr>
              <w:t>Nie dotyczy</w:t>
            </w:r>
          </w:p>
        </w:tc>
      </w:tr>
    </w:tbl>
    <w:p w14:paraId="5B4BBD1E" w14:textId="77777777" w:rsidR="00FC279F" w:rsidRPr="00C968CE" w:rsidRDefault="00FC279F" w:rsidP="00C968CE">
      <w:pPr>
        <w:spacing w:before="120" w:after="100" w:afterAutospacing="1" w:line="240" w:lineRule="auto"/>
        <w:ind w:firstLine="709"/>
        <w:rPr>
          <w:rFonts w:cs="Arial"/>
          <w:szCs w:val="20"/>
        </w:rPr>
      </w:pPr>
      <w:r w:rsidRPr="00C968CE">
        <w:rPr>
          <w:rFonts w:cs="Arial"/>
          <w:szCs w:val="20"/>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03A2FC5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najwyższa dopuszczalna temperatura mięknienia wyekstrahowanego polimeroasfaltu =</w:t>
      </w:r>
    </w:p>
    <w:p w14:paraId="1EB78AA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temperatura mięknienia zbadanej dostawy na wytwornię + dopuszczalny wg Załącznika</w:t>
      </w:r>
    </w:p>
    <w:p w14:paraId="024EAB25" w14:textId="77777777" w:rsidR="00FC279F" w:rsidRPr="00C968CE" w:rsidRDefault="00FC279F" w:rsidP="00C968CE">
      <w:pPr>
        <w:spacing w:before="100" w:beforeAutospacing="1" w:after="100" w:afterAutospacing="1" w:line="240" w:lineRule="auto"/>
        <w:ind w:right="-57"/>
        <w:rPr>
          <w:rFonts w:cs="Arial"/>
          <w:szCs w:val="20"/>
        </w:rPr>
      </w:pPr>
      <w:r w:rsidRPr="00C968CE">
        <w:rPr>
          <w:rFonts w:cs="Arial"/>
          <w:szCs w:val="20"/>
        </w:rPr>
        <w:t>krajowego NA do PN-EN 14023 [66] [66a] wzrost temperatury mięknienia po starzeniu RTFOT.</w:t>
      </w:r>
    </w:p>
    <w:p w14:paraId="1F085DB2"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[58]).</w:t>
      </w:r>
    </w:p>
    <w:p w14:paraId="1EFF3270" w14:textId="77777777" w:rsidR="00FC279F" w:rsidRPr="00C968CE" w:rsidRDefault="00FC279F" w:rsidP="00C968CE">
      <w:pPr>
        <w:spacing w:before="120" w:after="120" w:line="240" w:lineRule="auto"/>
        <w:ind w:right="-57"/>
        <w:rPr>
          <w:rFonts w:cs="Arial"/>
          <w:szCs w:val="20"/>
        </w:rPr>
      </w:pPr>
      <w:r w:rsidRPr="00C968CE">
        <w:rPr>
          <w:rFonts w:cs="Arial"/>
          <w:b/>
          <w:bCs/>
          <w:color w:val="000000"/>
          <w:szCs w:val="20"/>
        </w:rPr>
        <w:t>6.4.4.</w:t>
      </w:r>
      <w:r w:rsidRPr="00C968CE">
        <w:rPr>
          <w:rFonts w:cs="Arial"/>
          <w:color w:val="000000"/>
          <w:szCs w:val="20"/>
        </w:rPr>
        <w:t xml:space="preserve">  Gęstość i zawartość wolnych przestrzeni</w:t>
      </w:r>
    </w:p>
    <w:p w14:paraId="3F3EA2B8" w14:textId="77777777" w:rsidR="00FC279F" w:rsidRPr="00C968CE" w:rsidRDefault="00FC279F" w:rsidP="00C968CE">
      <w:pPr>
        <w:spacing w:before="100" w:beforeAutospacing="1" w:after="100" w:afterAutospacing="1" w:line="240" w:lineRule="auto"/>
        <w:ind w:right="-57" w:firstLine="709"/>
        <w:rPr>
          <w:rFonts w:cs="Arial"/>
          <w:szCs w:val="20"/>
        </w:rPr>
      </w:pPr>
      <w:r w:rsidRPr="00C968CE">
        <w:rPr>
          <w:rFonts w:cs="Arial"/>
          <w:color w:val="000000"/>
          <w:szCs w:val="20"/>
        </w:rPr>
        <w:t>Zawartość wolnych przestrzeni w próbce Marshalla pobranej z mieszanki mineralno-asfaltowej lub wyjątkowo powtórnie rozgrzanej próbki pobranej z nawierzchni nie może wykroczyć poza wartości podane w pkcie 2.11 o więcej niż 2,0% (v/v).</w:t>
      </w:r>
    </w:p>
    <w:p w14:paraId="60F530E1" w14:textId="77777777" w:rsidR="00FC279F" w:rsidRPr="00C968CE" w:rsidRDefault="00FC279F" w:rsidP="00C968CE">
      <w:pPr>
        <w:spacing w:before="120" w:after="120" w:line="240" w:lineRule="auto"/>
        <w:rPr>
          <w:rFonts w:cs="Arial"/>
          <w:szCs w:val="20"/>
        </w:rPr>
      </w:pPr>
      <w:r w:rsidRPr="00C968CE">
        <w:rPr>
          <w:rFonts w:cs="Arial"/>
          <w:b/>
          <w:bCs/>
          <w:szCs w:val="20"/>
        </w:rPr>
        <w:t xml:space="preserve">6.4.5. </w:t>
      </w:r>
      <w:r w:rsidRPr="00C968CE">
        <w:rPr>
          <w:rFonts w:cs="Arial"/>
          <w:szCs w:val="20"/>
        </w:rPr>
        <w:t xml:space="preserve">Warunki technologiczne wbudowywania mieszanki mineralno-asfaltowej </w:t>
      </w:r>
    </w:p>
    <w:p w14:paraId="3960FEE1"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Temperatura powietrza powinna być mierzona przed i w czasie robót; nie powinna być mniejsza niż podano w tablicy 26.  </w:t>
      </w:r>
    </w:p>
    <w:p w14:paraId="591EE118"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10AE2A04"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Pomiar temperatury mieszanki  mineralno-asfaltowej należy wykonać zgodnie z wymaganiami normy PN-EN 12697-13 [40]. </w:t>
      </w:r>
    </w:p>
    <w:p w14:paraId="048E9C32"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6E0ADB3D"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6.5. Wykonana warstwa</w:t>
      </w:r>
    </w:p>
    <w:p w14:paraId="3189B264" w14:textId="77777777" w:rsidR="00FC279F" w:rsidRPr="00C968CE" w:rsidRDefault="00FC279F" w:rsidP="00C968CE">
      <w:pPr>
        <w:spacing w:after="120" w:line="240" w:lineRule="auto"/>
        <w:ind w:right="-57"/>
        <w:rPr>
          <w:rFonts w:cs="Arial"/>
          <w:szCs w:val="20"/>
        </w:rPr>
      </w:pPr>
      <w:r w:rsidRPr="00C968CE">
        <w:rPr>
          <w:rFonts w:cs="Arial"/>
          <w:b/>
          <w:bCs/>
          <w:color w:val="000000"/>
          <w:szCs w:val="20"/>
        </w:rPr>
        <w:t>6.5.1.</w:t>
      </w:r>
      <w:r w:rsidRPr="00C968CE">
        <w:rPr>
          <w:rFonts w:cs="Arial"/>
          <w:color w:val="000000"/>
          <w:szCs w:val="20"/>
        </w:rPr>
        <w:t xml:space="preserve"> Wskaźnik zagęszczenia i zawartość wolnych przestrzeni </w:t>
      </w:r>
    </w:p>
    <w:p w14:paraId="0A8D6A4B"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color w:val="000000"/>
          <w:szCs w:val="20"/>
        </w:rPr>
        <w:t xml:space="preserve">Zagęszczenie wykonanej warstwy wyrażone wskaźnikiem zagęszczenia oraz zawartością wolnych przestrzeni nie może przekroczyć wartości dopuszczalnych  podanych w tablicy 32. </w:t>
      </w:r>
      <w:r w:rsidRPr="00C968CE">
        <w:rPr>
          <w:rFonts w:cs="Arial"/>
          <w:szCs w:val="20"/>
        </w:rPr>
        <w:t>Dotyczy to każdego pojedynczego oznaczenia danej właściwości.</w:t>
      </w:r>
    </w:p>
    <w:p w14:paraId="6E33690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Określenie gęstości objętościowej należy wykonywać według PN-EN 12697-6 [36].</w:t>
      </w:r>
    </w:p>
    <w:p w14:paraId="45522590" w14:textId="77777777" w:rsidR="00FC279F" w:rsidRPr="00C968CE" w:rsidRDefault="00FC279F" w:rsidP="00C968CE">
      <w:pPr>
        <w:spacing w:before="120" w:after="120" w:line="240" w:lineRule="auto"/>
        <w:rPr>
          <w:rFonts w:cs="Arial"/>
          <w:szCs w:val="20"/>
        </w:rPr>
      </w:pPr>
      <w:r w:rsidRPr="00C968CE">
        <w:rPr>
          <w:rFonts w:cs="Arial"/>
          <w:szCs w:val="20"/>
        </w:rPr>
        <w:t xml:space="preserve">Tablica 32. Właściwości warstwy AC </w:t>
      </w:r>
    </w:p>
    <w:tbl>
      <w:tblPr>
        <w:tblW w:w="0" w:type="auto"/>
        <w:tblCellMar>
          <w:left w:w="0" w:type="dxa"/>
          <w:right w:w="0" w:type="dxa"/>
        </w:tblCellMar>
        <w:tblLook w:val="04A0" w:firstRow="1" w:lastRow="0" w:firstColumn="1" w:lastColumn="0" w:noHBand="0" w:noVBand="1"/>
      </w:tblPr>
      <w:tblGrid>
        <w:gridCol w:w="1589"/>
        <w:gridCol w:w="1589"/>
        <w:gridCol w:w="1469"/>
        <w:gridCol w:w="2131"/>
      </w:tblGrid>
      <w:tr w:rsidR="00FC279F" w:rsidRPr="00C968CE" w14:paraId="72F47501" w14:textId="77777777" w:rsidTr="00FC279F">
        <w:tc>
          <w:tcPr>
            <w:tcW w:w="1589"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7B77D94E" w14:textId="77777777" w:rsidR="00FC279F" w:rsidRPr="00C968CE" w:rsidRDefault="00FC279F" w:rsidP="00C968CE">
            <w:pPr>
              <w:spacing w:before="120" w:after="100" w:afterAutospacing="1" w:line="240" w:lineRule="auto"/>
              <w:rPr>
                <w:rFonts w:cs="Arial"/>
                <w:szCs w:val="20"/>
              </w:rPr>
            </w:pPr>
            <w:r w:rsidRPr="00C968CE">
              <w:rPr>
                <w:rFonts w:cs="Arial"/>
                <w:szCs w:val="20"/>
              </w:rPr>
              <w:lastRenderedPageBreak/>
              <w:t>Warstwa</w:t>
            </w:r>
          </w:p>
        </w:tc>
        <w:tc>
          <w:tcPr>
            <w:tcW w:w="1589"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3FD876E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6E574A0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Typ i wymiar mieszanki</w:t>
            </w:r>
          </w:p>
        </w:tc>
        <w:tc>
          <w:tcPr>
            <w:tcW w:w="1469"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25BF9F8C" w14:textId="77777777" w:rsidR="00FC279F" w:rsidRPr="00C968CE" w:rsidRDefault="00FC279F" w:rsidP="00C968CE">
            <w:pPr>
              <w:spacing w:before="120" w:after="100" w:afterAutospacing="1" w:line="240" w:lineRule="auto"/>
              <w:rPr>
                <w:rFonts w:cs="Arial"/>
                <w:szCs w:val="20"/>
              </w:rPr>
            </w:pPr>
            <w:r w:rsidRPr="00C968CE">
              <w:rPr>
                <w:rFonts w:cs="Arial"/>
                <w:szCs w:val="20"/>
              </w:rPr>
              <w:t>Wskaźnik zagęszczenia</w:t>
            </w:r>
          </w:p>
          <w:p w14:paraId="43588FE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t>
            </w:r>
          </w:p>
        </w:tc>
        <w:tc>
          <w:tcPr>
            <w:tcW w:w="213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37958D2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Zawartość wolnych przestrzeni w warstwie</w:t>
            </w:r>
          </w:p>
          <w:p w14:paraId="7F54CAC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[%(v/v)]</w:t>
            </w:r>
          </w:p>
        </w:tc>
      </w:tr>
      <w:tr w:rsidR="00FC279F" w:rsidRPr="00C968CE" w14:paraId="1090E8F9" w14:textId="77777777" w:rsidTr="00FC279F">
        <w:tc>
          <w:tcPr>
            <w:tcW w:w="1589"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2739AE76" w14:textId="77777777" w:rsidR="00FC279F" w:rsidRPr="00C968CE" w:rsidRDefault="00FC279F" w:rsidP="00C968CE">
            <w:pPr>
              <w:spacing w:before="60" w:after="60" w:line="240" w:lineRule="auto"/>
              <w:rPr>
                <w:rFonts w:cs="Arial"/>
                <w:szCs w:val="20"/>
              </w:rPr>
            </w:pPr>
            <w:r w:rsidRPr="00C968CE">
              <w:rPr>
                <w:rFonts w:cs="Arial"/>
                <w:szCs w:val="20"/>
              </w:rPr>
              <w:t>Podbudowa</w:t>
            </w:r>
          </w:p>
        </w:tc>
        <w:tc>
          <w:tcPr>
            <w:tcW w:w="1589" w:type="dxa"/>
            <w:tcBorders>
              <w:top w:val="nil"/>
              <w:left w:val="nil"/>
              <w:bottom w:val="single" w:sz="8" w:space="0" w:color="auto"/>
              <w:right w:val="single" w:sz="8" w:space="0" w:color="auto"/>
            </w:tcBorders>
            <w:noWrap/>
            <w:tcMar>
              <w:top w:w="0" w:type="dxa"/>
              <w:left w:w="108" w:type="dxa"/>
              <w:bottom w:w="0" w:type="dxa"/>
              <w:right w:w="108" w:type="dxa"/>
            </w:tcMar>
            <w:hideMark/>
          </w:tcPr>
          <w:p w14:paraId="6AE6AB86" w14:textId="77777777" w:rsidR="00FC279F" w:rsidRPr="00C968CE" w:rsidRDefault="00FC279F" w:rsidP="00C968CE">
            <w:pPr>
              <w:spacing w:before="60" w:after="60" w:line="240" w:lineRule="auto"/>
              <w:rPr>
                <w:rFonts w:cs="Arial"/>
                <w:szCs w:val="20"/>
              </w:rPr>
            </w:pPr>
            <w:r w:rsidRPr="00C968CE">
              <w:rPr>
                <w:rFonts w:cs="Arial"/>
                <w:szCs w:val="20"/>
              </w:rPr>
              <w:t>AC 16 P, KR1-KR2</w:t>
            </w:r>
          </w:p>
        </w:tc>
        <w:tc>
          <w:tcPr>
            <w:tcW w:w="1469" w:type="dxa"/>
            <w:tcBorders>
              <w:top w:val="nil"/>
              <w:left w:val="nil"/>
              <w:bottom w:val="single" w:sz="8" w:space="0" w:color="auto"/>
              <w:right w:val="single" w:sz="8" w:space="0" w:color="auto"/>
            </w:tcBorders>
            <w:noWrap/>
            <w:tcMar>
              <w:top w:w="0" w:type="dxa"/>
              <w:left w:w="108" w:type="dxa"/>
              <w:bottom w:w="0" w:type="dxa"/>
              <w:right w:w="108" w:type="dxa"/>
            </w:tcMar>
            <w:hideMark/>
          </w:tcPr>
          <w:p w14:paraId="2E4F1889" w14:textId="77777777" w:rsidR="00FC279F" w:rsidRPr="00C968CE" w:rsidRDefault="00FC279F" w:rsidP="00C968CE">
            <w:pPr>
              <w:spacing w:before="120" w:after="60" w:line="240" w:lineRule="auto"/>
              <w:rPr>
                <w:rFonts w:cs="Arial"/>
                <w:szCs w:val="20"/>
              </w:rPr>
            </w:pPr>
            <w:r w:rsidRPr="00C968CE">
              <w:rPr>
                <w:rFonts w:cs="Arial"/>
                <w:szCs w:val="20"/>
              </w:rPr>
              <w:t>≥ 98</w:t>
            </w:r>
          </w:p>
        </w:tc>
        <w:tc>
          <w:tcPr>
            <w:tcW w:w="2131" w:type="dxa"/>
            <w:tcBorders>
              <w:top w:val="nil"/>
              <w:left w:val="nil"/>
              <w:bottom w:val="single" w:sz="8" w:space="0" w:color="auto"/>
              <w:right w:val="single" w:sz="8" w:space="0" w:color="auto"/>
            </w:tcBorders>
            <w:noWrap/>
            <w:tcMar>
              <w:top w:w="0" w:type="dxa"/>
              <w:left w:w="108" w:type="dxa"/>
              <w:bottom w:w="0" w:type="dxa"/>
              <w:right w:w="108" w:type="dxa"/>
            </w:tcMar>
            <w:hideMark/>
          </w:tcPr>
          <w:p w14:paraId="2B6D0621" w14:textId="77777777" w:rsidR="00FC279F" w:rsidRPr="00C968CE" w:rsidRDefault="00FC279F" w:rsidP="00C968CE">
            <w:pPr>
              <w:spacing w:before="120" w:after="60" w:line="240" w:lineRule="auto"/>
              <w:rPr>
                <w:rFonts w:cs="Arial"/>
                <w:szCs w:val="20"/>
              </w:rPr>
            </w:pPr>
            <w:r w:rsidRPr="00C968CE">
              <w:rPr>
                <w:rFonts w:cs="Arial"/>
                <w:szCs w:val="20"/>
              </w:rPr>
              <w:t>3,0÷9,0</w:t>
            </w:r>
          </w:p>
        </w:tc>
      </w:tr>
      <w:tr w:rsidR="00FC279F" w:rsidRPr="00C968CE" w14:paraId="2B450031"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224648CA" w14:textId="77777777" w:rsidR="00FC279F" w:rsidRPr="00C968CE" w:rsidRDefault="00FC279F" w:rsidP="00C968CE">
            <w:pPr>
              <w:spacing w:line="240" w:lineRule="auto"/>
              <w:rPr>
                <w:rFonts w:cs="Arial"/>
                <w:szCs w:val="20"/>
              </w:rPr>
            </w:pPr>
          </w:p>
        </w:tc>
        <w:tc>
          <w:tcPr>
            <w:tcW w:w="1589" w:type="dxa"/>
            <w:tcBorders>
              <w:top w:val="nil"/>
              <w:left w:val="nil"/>
              <w:bottom w:val="single" w:sz="8" w:space="0" w:color="auto"/>
              <w:right w:val="single" w:sz="8" w:space="0" w:color="auto"/>
            </w:tcBorders>
            <w:noWrap/>
            <w:tcMar>
              <w:top w:w="0" w:type="dxa"/>
              <w:left w:w="108" w:type="dxa"/>
              <w:bottom w:w="0" w:type="dxa"/>
              <w:right w:w="108" w:type="dxa"/>
            </w:tcMar>
            <w:hideMark/>
          </w:tcPr>
          <w:p w14:paraId="7D6326ED" w14:textId="77777777" w:rsidR="00FC279F" w:rsidRPr="00C968CE" w:rsidRDefault="00FC279F" w:rsidP="00C968CE">
            <w:pPr>
              <w:spacing w:before="60" w:after="60" w:line="240" w:lineRule="auto"/>
              <w:rPr>
                <w:rFonts w:cs="Arial"/>
                <w:szCs w:val="20"/>
              </w:rPr>
            </w:pPr>
            <w:r w:rsidRPr="00C968CE">
              <w:rPr>
                <w:rFonts w:cs="Arial"/>
                <w:szCs w:val="20"/>
              </w:rPr>
              <w:t>AC 22 P, KR1-KR2</w:t>
            </w:r>
          </w:p>
        </w:tc>
        <w:tc>
          <w:tcPr>
            <w:tcW w:w="1469" w:type="dxa"/>
            <w:tcBorders>
              <w:top w:val="nil"/>
              <w:left w:val="nil"/>
              <w:bottom w:val="single" w:sz="8" w:space="0" w:color="auto"/>
              <w:right w:val="single" w:sz="8" w:space="0" w:color="auto"/>
            </w:tcBorders>
            <w:noWrap/>
            <w:tcMar>
              <w:top w:w="0" w:type="dxa"/>
              <w:left w:w="108" w:type="dxa"/>
              <w:bottom w:w="0" w:type="dxa"/>
              <w:right w:w="108" w:type="dxa"/>
            </w:tcMar>
            <w:hideMark/>
          </w:tcPr>
          <w:p w14:paraId="5FD93F1E" w14:textId="77777777" w:rsidR="00FC279F" w:rsidRPr="00C968CE" w:rsidRDefault="00FC279F" w:rsidP="00C968CE">
            <w:pPr>
              <w:spacing w:before="120" w:after="60" w:line="240" w:lineRule="auto"/>
              <w:rPr>
                <w:rFonts w:cs="Arial"/>
                <w:szCs w:val="20"/>
              </w:rPr>
            </w:pPr>
            <w:r w:rsidRPr="00C968CE">
              <w:rPr>
                <w:rFonts w:cs="Arial"/>
                <w:szCs w:val="20"/>
              </w:rPr>
              <w:t>≥ 98</w:t>
            </w:r>
          </w:p>
        </w:tc>
        <w:tc>
          <w:tcPr>
            <w:tcW w:w="2131" w:type="dxa"/>
            <w:tcBorders>
              <w:top w:val="nil"/>
              <w:left w:val="nil"/>
              <w:bottom w:val="single" w:sz="8" w:space="0" w:color="auto"/>
              <w:right w:val="single" w:sz="8" w:space="0" w:color="auto"/>
            </w:tcBorders>
            <w:noWrap/>
            <w:tcMar>
              <w:top w:w="0" w:type="dxa"/>
              <w:left w:w="108" w:type="dxa"/>
              <w:bottom w:w="0" w:type="dxa"/>
              <w:right w:w="108" w:type="dxa"/>
            </w:tcMar>
            <w:hideMark/>
          </w:tcPr>
          <w:p w14:paraId="2C5746D4" w14:textId="77777777" w:rsidR="00FC279F" w:rsidRPr="00C968CE" w:rsidRDefault="00FC279F" w:rsidP="00C968CE">
            <w:pPr>
              <w:spacing w:before="120" w:after="100" w:afterAutospacing="1" w:line="240" w:lineRule="auto"/>
              <w:rPr>
                <w:rFonts w:cs="Arial"/>
                <w:szCs w:val="20"/>
              </w:rPr>
            </w:pPr>
            <w:r w:rsidRPr="00C968CE">
              <w:rPr>
                <w:rFonts w:cs="Arial"/>
                <w:szCs w:val="20"/>
              </w:rPr>
              <w:t>3,0÷9,0</w:t>
            </w:r>
          </w:p>
        </w:tc>
      </w:tr>
      <w:tr w:rsidR="00FC279F" w:rsidRPr="00C968CE" w14:paraId="2E118490"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11253517" w14:textId="77777777" w:rsidR="00FC279F" w:rsidRPr="00C968CE" w:rsidRDefault="00FC279F" w:rsidP="00C968CE">
            <w:pPr>
              <w:spacing w:line="240" w:lineRule="auto"/>
              <w:rPr>
                <w:rFonts w:cs="Arial"/>
                <w:szCs w:val="20"/>
              </w:rPr>
            </w:pPr>
          </w:p>
        </w:tc>
        <w:tc>
          <w:tcPr>
            <w:tcW w:w="1589" w:type="dxa"/>
            <w:tcBorders>
              <w:top w:val="nil"/>
              <w:left w:val="nil"/>
              <w:bottom w:val="single" w:sz="8" w:space="0" w:color="auto"/>
              <w:right w:val="single" w:sz="8" w:space="0" w:color="auto"/>
            </w:tcBorders>
            <w:noWrap/>
            <w:tcMar>
              <w:top w:w="0" w:type="dxa"/>
              <w:left w:w="108" w:type="dxa"/>
              <w:bottom w:w="0" w:type="dxa"/>
              <w:right w:w="108" w:type="dxa"/>
            </w:tcMar>
            <w:hideMark/>
          </w:tcPr>
          <w:p w14:paraId="5B726C4D" w14:textId="77777777" w:rsidR="00FC279F" w:rsidRPr="00C968CE" w:rsidRDefault="00FC279F" w:rsidP="00C968CE">
            <w:pPr>
              <w:spacing w:before="60" w:after="60" w:line="240" w:lineRule="auto"/>
              <w:rPr>
                <w:rFonts w:cs="Arial"/>
                <w:szCs w:val="20"/>
              </w:rPr>
            </w:pPr>
            <w:r w:rsidRPr="00C968CE">
              <w:rPr>
                <w:rFonts w:cs="Arial"/>
                <w:szCs w:val="20"/>
              </w:rPr>
              <w:t>AC 16 P, KR3-KR7</w:t>
            </w:r>
          </w:p>
        </w:tc>
        <w:tc>
          <w:tcPr>
            <w:tcW w:w="1469" w:type="dxa"/>
            <w:tcBorders>
              <w:top w:val="nil"/>
              <w:left w:val="nil"/>
              <w:bottom w:val="single" w:sz="8" w:space="0" w:color="auto"/>
              <w:right w:val="single" w:sz="8" w:space="0" w:color="auto"/>
            </w:tcBorders>
            <w:noWrap/>
            <w:tcMar>
              <w:top w:w="0" w:type="dxa"/>
              <w:left w:w="108" w:type="dxa"/>
              <w:bottom w:w="0" w:type="dxa"/>
              <w:right w:w="108" w:type="dxa"/>
            </w:tcMar>
            <w:hideMark/>
          </w:tcPr>
          <w:p w14:paraId="4FB1A19C" w14:textId="77777777" w:rsidR="00FC279F" w:rsidRPr="00C968CE" w:rsidRDefault="00FC279F" w:rsidP="00C968CE">
            <w:pPr>
              <w:spacing w:before="120" w:after="60" w:line="240" w:lineRule="auto"/>
              <w:rPr>
                <w:rFonts w:cs="Arial"/>
                <w:szCs w:val="20"/>
              </w:rPr>
            </w:pPr>
            <w:r w:rsidRPr="00C968CE">
              <w:rPr>
                <w:rFonts w:cs="Arial"/>
                <w:szCs w:val="20"/>
              </w:rPr>
              <w:t>≥ 98</w:t>
            </w:r>
          </w:p>
        </w:tc>
        <w:tc>
          <w:tcPr>
            <w:tcW w:w="2131" w:type="dxa"/>
            <w:tcBorders>
              <w:top w:val="nil"/>
              <w:left w:val="nil"/>
              <w:bottom w:val="single" w:sz="8" w:space="0" w:color="auto"/>
              <w:right w:val="single" w:sz="8" w:space="0" w:color="auto"/>
            </w:tcBorders>
            <w:noWrap/>
            <w:tcMar>
              <w:top w:w="0" w:type="dxa"/>
              <w:left w:w="108" w:type="dxa"/>
              <w:bottom w:w="0" w:type="dxa"/>
              <w:right w:w="108" w:type="dxa"/>
            </w:tcMar>
            <w:hideMark/>
          </w:tcPr>
          <w:p w14:paraId="6C91BD21" w14:textId="77777777" w:rsidR="00FC279F" w:rsidRPr="00C968CE" w:rsidRDefault="00FC279F" w:rsidP="00C968CE">
            <w:pPr>
              <w:spacing w:before="120" w:after="100" w:afterAutospacing="1" w:line="240" w:lineRule="auto"/>
              <w:rPr>
                <w:rFonts w:cs="Arial"/>
                <w:szCs w:val="20"/>
              </w:rPr>
            </w:pPr>
            <w:r w:rsidRPr="00C968CE">
              <w:rPr>
                <w:rFonts w:cs="Arial"/>
                <w:szCs w:val="20"/>
              </w:rPr>
              <w:t>3,0÷8,0</w:t>
            </w:r>
          </w:p>
        </w:tc>
      </w:tr>
      <w:tr w:rsidR="00FC279F" w:rsidRPr="00C968CE" w14:paraId="7BEC86FD"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71175F9A" w14:textId="77777777" w:rsidR="00FC279F" w:rsidRPr="00C968CE" w:rsidRDefault="00FC279F" w:rsidP="00C968CE">
            <w:pPr>
              <w:spacing w:line="240" w:lineRule="auto"/>
              <w:rPr>
                <w:rFonts w:cs="Arial"/>
                <w:szCs w:val="20"/>
              </w:rPr>
            </w:pPr>
          </w:p>
        </w:tc>
        <w:tc>
          <w:tcPr>
            <w:tcW w:w="1589" w:type="dxa"/>
            <w:tcBorders>
              <w:top w:val="nil"/>
              <w:left w:val="nil"/>
              <w:bottom w:val="single" w:sz="8" w:space="0" w:color="auto"/>
              <w:right w:val="single" w:sz="8" w:space="0" w:color="auto"/>
            </w:tcBorders>
            <w:noWrap/>
            <w:tcMar>
              <w:top w:w="0" w:type="dxa"/>
              <w:left w:w="108" w:type="dxa"/>
              <w:bottom w:w="0" w:type="dxa"/>
              <w:right w:w="108" w:type="dxa"/>
            </w:tcMar>
            <w:hideMark/>
          </w:tcPr>
          <w:p w14:paraId="28BB883D" w14:textId="77777777" w:rsidR="00FC279F" w:rsidRPr="00C968CE" w:rsidRDefault="00FC279F" w:rsidP="00C968CE">
            <w:pPr>
              <w:spacing w:before="60" w:after="60" w:line="240" w:lineRule="auto"/>
              <w:rPr>
                <w:rFonts w:cs="Arial"/>
                <w:szCs w:val="20"/>
              </w:rPr>
            </w:pPr>
            <w:r w:rsidRPr="00C968CE">
              <w:rPr>
                <w:rFonts w:cs="Arial"/>
                <w:szCs w:val="20"/>
              </w:rPr>
              <w:t>AC 22 P, KR3-KR7</w:t>
            </w:r>
          </w:p>
        </w:tc>
        <w:tc>
          <w:tcPr>
            <w:tcW w:w="1469" w:type="dxa"/>
            <w:tcBorders>
              <w:top w:val="nil"/>
              <w:left w:val="nil"/>
              <w:bottom w:val="single" w:sz="8" w:space="0" w:color="auto"/>
              <w:right w:val="single" w:sz="8" w:space="0" w:color="auto"/>
            </w:tcBorders>
            <w:noWrap/>
            <w:tcMar>
              <w:top w:w="0" w:type="dxa"/>
              <w:left w:w="108" w:type="dxa"/>
              <w:bottom w:w="0" w:type="dxa"/>
              <w:right w:w="108" w:type="dxa"/>
            </w:tcMar>
            <w:hideMark/>
          </w:tcPr>
          <w:p w14:paraId="3D665836" w14:textId="77777777" w:rsidR="00FC279F" w:rsidRPr="00C968CE" w:rsidRDefault="00FC279F" w:rsidP="00C968CE">
            <w:pPr>
              <w:spacing w:before="120" w:after="60" w:line="240" w:lineRule="auto"/>
              <w:rPr>
                <w:rFonts w:cs="Arial"/>
                <w:szCs w:val="20"/>
              </w:rPr>
            </w:pPr>
            <w:r w:rsidRPr="00C968CE">
              <w:rPr>
                <w:rFonts w:cs="Arial"/>
                <w:szCs w:val="20"/>
              </w:rPr>
              <w:t>≥ 98</w:t>
            </w:r>
          </w:p>
        </w:tc>
        <w:tc>
          <w:tcPr>
            <w:tcW w:w="2131" w:type="dxa"/>
            <w:tcBorders>
              <w:top w:val="nil"/>
              <w:left w:val="nil"/>
              <w:bottom w:val="single" w:sz="8" w:space="0" w:color="auto"/>
              <w:right w:val="single" w:sz="8" w:space="0" w:color="auto"/>
            </w:tcBorders>
            <w:noWrap/>
            <w:tcMar>
              <w:top w:w="0" w:type="dxa"/>
              <w:left w:w="108" w:type="dxa"/>
              <w:bottom w:w="0" w:type="dxa"/>
              <w:right w:w="108" w:type="dxa"/>
            </w:tcMar>
            <w:hideMark/>
          </w:tcPr>
          <w:p w14:paraId="1A52F778" w14:textId="77777777" w:rsidR="00FC279F" w:rsidRPr="00C968CE" w:rsidRDefault="00FC279F" w:rsidP="00C968CE">
            <w:pPr>
              <w:spacing w:before="120" w:after="100" w:afterAutospacing="1" w:line="240" w:lineRule="auto"/>
              <w:rPr>
                <w:rFonts w:cs="Arial"/>
                <w:szCs w:val="20"/>
              </w:rPr>
            </w:pPr>
            <w:r w:rsidRPr="00C968CE">
              <w:rPr>
                <w:rFonts w:cs="Arial"/>
                <w:szCs w:val="20"/>
              </w:rPr>
              <w:t>3,0÷8,0</w:t>
            </w:r>
          </w:p>
        </w:tc>
      </w:tr>
      <w:tr w:rsidR="00FC279F" w:rsidRPr="00C968CE" w14:paraId="0992014D"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3C03944B" w14:textId="77777777" w:rsidR="00FC279F" w:rsidRPr="00C968CE" w:rsidRDefault="00FC279F" w:rsidP="00C968CE">
            <w:pPr>
              <w:spacing w:line="240" w:lineRule="auto"/>
              <w:rPr>
                <w:rFonts w:cs="Arial"/>
                <w:szCs w:val="20"/>
              </w:rPr>
            </w:pPr>
          </w:p>
        </w:tc>
        <w:tc>
          <w:tcPr>
            <w:tcW w:w="1589" w:type="dxa"/>
            <w:tcBorders>
              <w:top w:val="nil"/>
              <w:left w:val="nil"/>
              <w:bottom w:val="single" w:sz="8" w:space="0" w:color="auto"/>
              <w:right w:val="single" w:sz="8" w:space="0" w:color="auto"/>
            </w:tcBorders>
            <w:noWrap/>
            <w:tcMar>
              <w:top w:w="0" w:type="dxa"/>
              <w:left w:w="108" w:type="dxa"/>
              <w:bottom w:w="0" w:type="dxa"/>
              <w:right w:w="108" w:type="dxa"/>
            </w:tcMar>
            <w:hideMark/>
          </w:tcPr>
          <w:p w14:paraId="705CC8CD" w14:textId="77777777" w:rsidR="00FC279F" w:rsidRPr="00C968CE" w:rsidRDefault="00FC279F" w:rsidP="00C968CE">
            <w:pPr>
              <w:spacing w:before="60" w:after="60" w:line="240" w:lineRule="auto"/>
              <w:rPr>
                <w:rFonts w:cs="Arial"/>
                <w:szCs w:val="20"/>
              </w:rPr>
            </w:pPr>
            <w:r w:rsidRPr="00C968CE">
              <w:rPr>
                <w:rFonts w:cs="Arial"/>
                <w:szCs w:val="20"/>
              </w:rPr>
              <w:t>AC 32 P, KR3-KR7</w:t>
            </w:r>
          </w:p>
        </w:tc>
        <w:tc>
          <w:tcPr>
            <w:tcW w:w="1469" w:type="dxa"/>
            <w:tcBorders>
              <w:top w:val="nil"/>
              <w:left w:val="nil"/>
              <w:bottom w:val="single" w:sz="8" w:space="0" w:color="auto"/>
              <w:right w:val="single" w:sz="8" w:space="0" w:color="auto"/>
            </w:tcBorders>
            <w:noWrap/>
            <w:tcMar>
              <w:top w:w="0" w:type="dxa"/>
              <w:left w:w="108" w:type="dxa"/>
              <w:bottom w:w="0" w:type="dxa"/>
              <w:right w:w="108" w:type="dxa"/>
            </w:tcMar>
            <w:hideMark/>
          </w:tcPr>
          <w:p w14:paraId="32904C38" w14:textId="77777777" w:rsidR="00FC279F" w:rsidRPr="00C968CE" w:rsidRDefault="00FC279F" w:rsidP="00C968CE">
            <w:pPr>
              <w:spacing w:before="120" w:after="60" w:line="240" w:lineRule="auto"/>
              <w:rPr>
                <w:rFonts w:cs="Arial"/>
                <w:szCs w:val="20"/>
              </w:rPr>
            </w:pPr>
            <w:r w:rsidRPr="00C968CE">
              <w:rPr>
                <w:rFonts w:cs="Arial"/>
                <w:szCs w:val="20"/>
              </w:rPr>
              <w:t>≥ 98</w:t>
            </w:r>
          </w:p>
        </w:tc>
        <w:tc>
          <w:tcPr>
            <w:tcW w:w="2131" w:type="dxa"/>
            <w:tcBorders>
              <w:top w:val="nil"/>
              <w:left w:val="nil"/>
              <w:bottom w:val="single" w:sz="8" w:space="0" w:color="auto"/>
              <w:right w:val="single" w:sz="8" w:space="0" w:color="auto"/>
            </w:tcBorders>
            <w:noWrap/>
            <w:tcMar>
              <w:top w:w="0" w:type="dxa"/>
              <w:left w:w="108" w:type="dxa"/>
              <w:bottom w:w="0" w:type="dxa"/>
              <w:right w:w="108" w:type="dxa"/>
            </w:tcMar>
            <w:hideMark/>
          </w:tcPr>
          <w:p w14:paraId="64C8E1F9" w14:textId="77777777" w:rsidR="00FC279F" w:rsidRPr="00C968CE" w:rsidRDefault="00FC279F" w:rsidP="00C968CE">
            <w:pPr>
              <w:spacing w:before="120" w:after="100" w:afterAutospacing="1" w:line="240" w:lineRule="auto"/>
              <w:rPr>
                <w:rFonts w:cs="Arial"/>
                <w:szCs w:val="20"/>
              </w:rPr>
            </w:pPr>
            <w:r w:rsidRPr="00C968CE">
              <w:rPr>
                <w:rFonts w:cs="Arial"/>
                <w:szCs w:val="20"/>
              </w:rPr>
              <w:t>3,0÷8,0</w:t>
            </w:r>
          </w:p>
        </w:tc>
      </w:tr>
    </w:tbl>
    <w:p w14:paraId="41489368" w14:textId="77777777" w:rsidR="00FC279F" w:rsidRPr="00C968CE" w:rsidRDefault="00FC279F" w:rsidP="00C968CE">
      <w:pPr>
        <w:spacing w:after="120" w:line="240" w:lineRule="auto"/>
        <w:ind w:right="-57"/>
        <w:rPr>
          <w:rFonts w:cs="Arial"/>
          <w:szCs w:val="20"/>
        </w:rPr>
      </w:pPr>
      <w:r w:rsidRPr="00C968CE">
        <w:rPr>
          <w:rFonts w:cs="Arial"/>
          <w:color w:val="000000"/>
          <w:szCs w:val="20"/>
        </w:rPr>
        <w:t> </w:t>
      </w:r>
    </w:p>
    <w:p w14:paraId="184BCB9C" w14:textId="77777777" w:rsidR="00FC279F" w:rsidRPr="00C968CE" w:rsidRDefault="00FC279F" w:rsidP="00C968CE">
      <w:pPr>
        <w:spacing w:after="120" w:line="240" w:lineRule="auto"/>
        <w:ind w:right="-57" w:firstLine="709"/>
        <w:rPr>
          <w:rFonts w:cs="Arial"/>
          <w:szCs w:val="20"/>
        </w:rPr>
      </w:pPr>
      <w:r w:rsidRPr="00C968CE">
        <w:rPr>
          <w:rFonts w:cs="Arial"/>
          <w:color w:val="000000"/>
          <w:szCs w:val="20"/>
        </w:rPr>
        <w:t>Wskaźnik zagęszczenia i zawartość wolnych przestrzeni  należy badać dla każdej warstwy i na każde rozpoczęte 6000 m</w:t>
      </w:r>
      <w:r w:rsidRPr="00C968CE">
        <w:rPr>
          <w:rFonts w:cs="Arial"/>
          <w:color w:val="000000"/>
          <w:szCs w:val="20"/>
          <w:vertAlign w:val="superscript"/>
        </w:rPr>
        <w:t>2</w:t>
      </w:r>
      <w:r w:rsidRPr="00C968CE">
        <w:rPr>
          <w:rFonts w:cs="Arial"/>
          <w:color w:val="000000"/>
          <w:szCs w:val="20"/>
        </w:rPr>
        <w:t xml:space="preserve"> nawierzchni jedna próbka; w razie potrzeby liczba próbek może zostać zwiększona (np. nawierzchnie dróg w terenie zabudowy, nawierzchnie mostowe). </w:t>
      </w:r>
    </w:p>
    <w:p w14:paraId="2ECED672" w14:textId="77777777" w:rsidR="00FC279F" w:rsidRPr="00C968CE" w:rsidRDefault="00FC279F" w:rsidP="00C968CE">
      <w:pPr>
        <w:spacing w:after="120" w:line="240" w:lineRule="auto"/>
        <w:ind w:right="-57"/>
        <w:rPr>
          <w:rFonts w:cs="Arial"/>
          <w:szCs w:val="20"/>
        </w:rPr>
      </w:pPr>
      <w:r w:rsidRPr="00C968CE">
        <w:rPr>
          <w:rFonts w:cs="Arial"/>
          <w:b/>
          <w:bCs/>
          <w:color w:val="000000"/>
          <w:szCs w:val="20"/>
        </w:rPr>
        <w:t> 6.5.2.</w:t>
      </w:r>
      <w:r w:rsidRPr="00C968CE">
        <w:rPr>
          <w:rFonts w:cs="Arial"/>
          <w:color w:val="000000"/>
          <w:szCs w:val="20"/>
        </w:rPr>
        <w:t xml:space="preserve"> Grubość warstwy </w:t>
      </w:r>
    </w:p>
    <w:p w14:paraId="5005A4C9"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[45] mogą odbiegać od projektu o wartości podane w tablicy 33.</w:t>
      </w:r>
    </w:p>
    <w:p w14:paraId="038F96E7" w14:textId="77777777" w:rsidR="00FC279F" w:rsidRPr="00C968CE" w:rsidRDefault="00FC279F" w:rsidP="00C968CE">
      <w:pPr>
        <w:spacing w:before="120" w:after="120" w:line="240" w:lineRule="auto"/>
        <w:ind w:left="992" w:hanging="992"/>
        <w:rPr>
          <w:rFonts w:cs="Arial"/>
          <w:szCs w:val="20"/>
        </w:rPr>
      </w:pPr>
      <w:r w:rsidRPr="00C968CE">
        <w:rPr>
          <w:rFonts w:cs="Arial"/>
          <w:szCs w:val="20"/>
        </w:rPr>
        <w:t xml:space="preserve">Tablica 33. Dopuszczalne odchyłki grubości warstwy [%] </w:t>
      </w:r>
    </w:p>
    <w:tbl>
      <w:tblPr>
        <w:tblW w:w="9239" w:type="dxa"/>
        <w:tblCellMar>
          <w:left w:w="0" w:type="dxa"/>
          <w:right w:w="0" w:type="dxa"/>
        </w:tblCellMar>
        <w:tblLook w:val="04A0" w:firstRow="1" w:lastRow="0" w:firstColumn="1" w:lastColumn="0" w:noHBand="0" w:noVBand="1"/>
      </w:tblPr>
      <w:tblGrid>
        <w:gridCol w:w="4644"/>
        <w:gridCol w:w="2264"/>
        <w:gridCol w:w="2331"/>
      </w:tblGrid>
      <w:tr w:rsidR="00FC279F" w:rsidRPr="00C968CE" w14:paraId="6BE38DC0" w14:textId="77777777" w:rsidTr="00FC279F">
        <w:tc>
          <w:tcPr>
            <w:tcW w:w="464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369CD44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Warunki oceny</w:t>
            </w:r>
          </w:p>
        </w:tc>
        <w:tc>
          <w:tcPr>
            <w:tcW w:w="2264"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3987FEF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Pakiet: warstwa ścieralna+wiążąca +podbudowa asfaltowa razem</w:t>
            </w:r>
          </w:p>
        </w:tc>
        <w:tc>
          <w:tcPr>
            <w:tcW w:w="233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314CD71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Warstwa podbudowy</w:t>
            </w:r>
          </w:p>
        </w:tc>
      </w:tr>
      <w:tr w:rsidR="00FC279F" w:rsidRPr="00C968CE" w14:paraId="274843B2" w14:textId="77777777" w:rsidTr="00FC279F">
        <w:trPr>
          <w:trHeight w:val="608"/>
        </w:trPr>
        <w:tc>
          <w:tcPr>
            <w:tcW w:w="4644"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3C1F225" w14:textId="77777777" w:rsidR="00FC279F" w:rsidRPr="00C968CE" w:rsidRDefault="00FC279F" w:rsidP="00C968CE">
            <w:pPr>
              <w:spacing w:before="100" w:beforeAutospacing="1" w:after="100" w:afterAutospacing="1" w:line="240" w:lineRule="auto"/>
              <w:ind w:left="426" w:hanging="426"/>
              <w:rPr>
                <w:rFonts w:cs="Arial"/>
                <w:szCs w:val="20"/>
              </w:rPr>
            </w:pPr>
            <w:r w:rsidRPr="00C968CE">
              <w:rPr>
                <w:rFonts w:cs="Arial"/>
                <w:szCs w:val="20"/>
              </w:rPr>
              <w:t>Dla wartości średniej grubości wbudowanej warstwy z całego odcinka budowy</w:t>
            </w:r>
          </w:p>
        </w:tc>
        <w:tc>
          <w:tcPr>
            <w:tcW w:w="2264" w:type="dxa"/>
            <w:tcBorders>
              <w:top w:val="nil"/>
              <w:left w:val="nil"/>
              <w:bottom w:val="single" w:sz="8" w:space="0" w:color="auto"/>
              <w:right w:val="single" w:sz="8" w:space="0" w:color="auto"/>
            </w:tcBorders>
            <w:noWrap/>
            <w:tcMar>
              <w:top w:w="0" w:type="dxa"/>
              <w:left w:w="108" w:type="dxa"/>
              <w:bottom w:w="0" w:type="dxa"/>
              <w:right w:w="108" w:type="dxa"/>
            </w:tcMar>
            <w:hideMark/>
          </w:tcPr>
          <w:p w14:paraId="12731E6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Nie dopuszcza się zaniżenia grubości</w:t>
            </w:r>
          </w:p>
        </w:tc>
        <w:tc>
          <w:tcPr>
            <w:tcW w:w="2331" w:type="dxa"/>
            <w:tcBorders>
              <w:top w:val="nil"/>
              <w:left w:val="nil"/>
              <w:bottom w:val="single" w:sz="8" w:space="0" w:color="auto"/>
              <w:right w:val="single" w:sz="8" w:space="0" w:color="auto"/>
            </w:tcBorders>
            <w:noWrap/>
            <w:tcMar>
              <w:top w:w="0" w:type="dxa"/>
              <w:left w:w="108" w:type="dxa"/>
              <w:bottom w:w="0" w:type="dxa"/>
              <w:right w:w="108" w:type="dxa"/>
            </w:tcMar>
            <w:hideMark/>
          </w:tcPr>
          <w:p w14:paraId="6563232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Nie dopuszcza się zaniżenia grubości</w:t>
            </w:r>
          </w:p>
        </w:tc>
      </w:tr>
      <w:tr w:rsidR="00FC279F" w:rsidRPr="00C968CE" w14:paraId="410EE192" w14:textId="77777777" w:rsidTr="00FC279F">
        <w:tc>
          <w:tcPr>
            <w:tcW w:w="4644"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A59C3CE" w14:textId="77777777" w:rsidR="00FC279F" w:rsidRPr="00C968CE" w:rsidRDefault="00FC279F" w:rsidP="00C968CE">
            <w:pPr>
              <w:spacing w:before="60" w:after="60" w:line="240" w:lineRule="auto"/>
              <w:rPr>
                <w:rFonts w:cs="Arial"/>
                <w:szCs w:val="20"/>
              </w:rPr>
            </w:pPr>
            <w:r w:rsidRPr="00C968CE">
              <w:rPr>
                <w:rFonts w:cs="Arial"/>
                <w:szCs w:val="20"/>
              </w:rPr>
              <w:t>Dla wartości pojedynczych wyników pomiarów grubości wbudowanej warstwy</w:t>
            </w:r>
          </w:p>
        </w:tc>
        <w:tc>
          <w:tcPr>
            <w:tcW w:w="2264" w:type="dxa"/>
            <w:tcBorders>
              <w:top w:val="nil"/>
              <w:left w:val="nil"/>
              <w:bottom w:val="single" w:sz="8" w:space="0" w:color="auto"/>
              <w:right w:val="single" w:sz="8" w:space="0" w:color="auto"/>
            </w:tcBorders>
            <w:noWrap/>
            <w:tcMar>
              <w:top w:w="0" w:type="dxa"/>
              <w:left w:w="108" w:type="dxa"/>
              <w:bottom w:w="0" w:type="dxa"/>
              <w:right w:w="108" w:type="dxa"/>
            </w:tcMar>
            <w:hideMark/>
          </w:tcPr>
          <w:p w14:paraId="00B97BE6" w14:textId="77777777" w:rsidR="00FC279F" w:rsidRPr="00C968CE" w:rsidRDefault="00FC279F" w:rsidP="00C968CE">
            <w:pPr>
              <w:spacing w:before="60" w:after="60" w:line="240" w:lineRule="auto"/>
              <w:rPr>
                <w:rFonts w:cs="Arial"/>
                <w:szCs w:val="20"/>
              </w:rPr>
            </w:pPr>
            <w:r w:rsidRPr="00C968CE">
              <w:rPr>
                <w:rFonts w:cs="Arial"/>
                <w:szCs w:val="20"/>
              </w:rPr>
              <w:t>0÷10%, ale nie więcej niż 1,0 cm</w:t>
            </w:r>
          </w:p>
        </w:tc>
        <w:tc>
          <w:tcPr>
            <w:tcW w:w="2331" w:type="dxa"/>
            <w:tcBorders>
              <w:top w:val="nil"/>
              <w:left w:val="nil"/>
              <w:bottom w:val="single" w:sz="8" w:space="0" w:color="auto"/>
              <w:right w:val="single" w:sz="8" w:space="0" w:color="auto"/>
            </w:tcBorders>
            <w:noWrap/>
            <w:tcMar>
              <w:top w:w="0" w:type="dxa"/>
              <w:left w:w="108" w:type="dxa"/>
              <w:bottom w:w="0" w:type="dxa"/>
              <w:right w:w="108" w:type="dxa"/>
            </w:tcMar>
            <w:hideMark/>
          </w:tcPr>
          <w:p w14:paraId="66D2D3A9" w14:textId="77777777" w:rsidR="00FC279F" w:rsidRPr="00C968CE" w:rsidRDefault="00FC279F" w:rsidP="00C968CE">
            <w:pPr>
              <w:spacing w:before="60" w:after="60" w:line="240" w:lineRule="auto"/>
              <w:rPr>
                <w:rFonts w:cs="Arial"/>
                <w:szCs w:val="20"/>
              </w:rPr>
            </w:pPr>
            <w:r w:rsidRPr="00C968CE">
              <w:rPr>
                <w:rFonts w:cs="Arial"/>
                <w:szCs w:val="20"/>
              </w:rPr>
              <w:t>0÷10%</w:t>
            </w:r>
          </w:p>
        </w:tc>
      </w:tr>
    </w:tbl>
    <w:p w14:paraId="72F087E9" w14:textId="77777777" w:rsidR="00FC279F" w:rsidRPr="00C968CE" w:rsidRDefault="00FC279F" w:rsidP="00C968CE">
      <w:pPr>
        <w:spacing w:before="120" w:after="100" w:afterAutospacing="1" w:line="240" w:lineRule="auto"/>
        <w:ind w:firstLine="709"/>
        <w:rPr>
          <w:rFonts w:cs="Arial"/>
          <w:szCs w:val="20"/>
        </w:rPr>
      </w:pPr>
      <w:r w:rsidRPr="00C968CE">
        <w:rPr>
          <w:rFonts w:cs="Arial"/>
          <w:szCs w:val="20"/>
        </w:rPr>
        <w:t>Zwiększone grubości poszczególnych warstw będą zaliczane jako wyrównanie ewentualnych niedoborów niżej leżącej warstwy.</w:t>
      </w:r>
    </w:p>
    <w:p w14:paraId="109AE8BD"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Należy sprawdzić zachowanie zasady mówiącej, że grubość warstwy musi być co najmniej dwuipółkrotnie większa od wymiaru D kruszywa danej mieszanki (h ≥ 2,5×D).</w:t>
      </w:r>
    </w:p>
    <w:p w14:paraId="21DF4E23"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 przypadku warstwy podbudowy wykonywanej z mieszanki mineralno-asfaltowej o projektowanej grubości powyżej 14 cm dopuszcza się wykonywanie warstwy w dwóch warstwach technologicznych. Warstwy technologiczne muszą być wykonywane z tej samej mieszanki mineralno-asfaltowej, a grubości tych warstw muszą być zbliżone. Pomiędzy warstwami technologicznymi musi być zachowana czepność międzywarstwowa zgodnie z SST D-04.03.01a [2]. Wszystkie wymagane wartości parametrów warstwy podbudowy wykonanej w jednym cyklu (warstwy technologicznej) muszą spełniać wymagania stawiane warstwie podbudowy.</w:t>
      </w:r>
    </w:p>
    <w:p w14:paraId="0EC56664" w14:textId="77777777" w:rsidR="00FC279F" w:rsidRPr="00C968CE" w:rsidRDefault="00FC279F" w:rsidP="00C968CE">
      <w:pPr>
        <w:keepNext/>
        <w:spacing w:before="120" w:after="120" w:line="240" w:lineRule="auto"/>
        <w:rPr>
          <w:rFonts w:cs="Arial"/>
          <w:szCs w:val="20"/>
        </w:rPr>
      </w:pPr>
      <w:r w:rsidRPr="00C968CE">
        <w:rPr>
          <w:rFonts w:cs="Arial"/>
          <w:b/>
          <w:bCs/>
          <w:szCs w:val="20"/>
        </w:rPr>
        <w:t>6.5.3.</w:t>
      </w:r>
      <w:r w:rsidRPr="00C968CE">
        <w:rPr>
          <w:rFonts w:cs="Arial"/>
          <w:szCs w:val="20"/>
        </w:rPr>
        <w:t xml:space="preserve"> Spadki poprzeczne</w:t>
      </w:r>
    </w:p>
    <w:p w14:paraId="45F5BD5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Spadki poprzeczne nawierzchni należy badać nie rzadziej niż co 20 m oraz w punktach głównych łuków poziomych.</w:t>
      </w:r>
    </w:p>
    <w:p w14:paraId="7F6E1A48"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 xml:space="preserve">Spadki poprzeczne powinny być zgodne z dokumentacją projektową, z tolerancją       </w:t>
      </w:r>
      <w:r w:rsidRPr="00C968CE">
        <w:rPr>
          <w:rFonts w:cs="Arial"/>
          <w:color w:val="000000"/>
          <w:szCs w:val="20"/>
        </w:rPr>
        <w:t>± 0,5%.  </w:t>
      </w:r>
    </w:p>
    <w:p w14:paraId="3DF32E46" w14:textId="77777777" w:rsidR="00FC279F" w:rsidRPr="00C968CE" w:rsidRDefault="00FC279F" w:rsidP="00C968CE">
      <w:pPr>
        <w:spacing w:before="120" w:after="120" w:line="240" w:lineRule="auto"/>
        <w:rPr>
          <w:rFonts w:cs="Arial"/>
          <w:szCs w:val="20"/>
        </w:rPr>
      </w:pPr>
      <w:r w:rsidRPr="00C968CE">
        <w:rPr>
          <w:rFonts w:cs="Arial"/>
          <w:b/>
          <w:bCs/>
          <w:szCs w:val="20"/>
        </w:rPr>
        <w:t>6.5.4.</w:t>
      </w:r>
      <w:r w:rsidRPr="00C968CE">
        <w:rPr>
          <w:rFonts w:cs="Arial"/>
          <w:szCs w:val="20"/>
        </w:rPr>
        <w:t xml:space="preserve"> Równość podłużna i poprzeczna</w:t>
      </w:r>
    </w:p>
    <w:p w14:paraId="3542FF7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lastRenderedPageBreak/>
        <w:t xml:space="preserve">a) Równość podłużna </w:t>
      </w:r>
    </w:p>
    <w:p w14:paraId="664FF988"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Do oceny równości podłużnej podbudowy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kółek jezdnych urządzenia a mierzoną powierzchnią warstwy [mm].</w:t>
      </w:r>
    </w:p>
    <w:p w14:paraId="2524CD2B"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 miejscach niedostępnych dla planografu pomiar równości podłużnej warstw nawierzchni należy wykonać w sposób ciągły z użyciem łaty i klina. Długość łaty w pomiarze równości podłużnej powinna wynosić 4 m.</w:t>
      </w:r>
    </w:p>
    <w:p w14:paraId="0FDFC0A4"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Maksymalne wartości odchyleń równości podłużnej dla warstwy oznaczone pomiarem ciągłym równoważnym użyciu łaty i klina np. z wykorzystaniem planografu, łaty i klina określa tablica 34.</w:t>
      </w:r>
    </w:p>
    <w:p w14:paraId="15EE1B23" w14:textId="77777777" w:rsidR="00FC279F" w:rsidRPr="00C968CE" w:rsidRDefault="00FC279F" w:rsidP="00C968CE">
      <w:pPr>
        <w:spacing w:before="120" w:after="120" w:line="240" w:lineRule="auto"/>
        <w:ind w:left="1276" w:hanging="1276"/>
        <w:rPr>
          <w:rFonts w:cs="Arial"/>
          <w:szCs w:val="20"/>
        </w:rPr>
      </w:pPr>
      <w:r w:rsidRPr="00C968CE">
        <w:rPr>
          <w:rFonts w:cs="Arial"/>
          <w:szCs w:val="20"/>
        </w:rPr>
        <w:t>Tablica 34.    Maksymalne wartości odchyleń równości podłużnej dla podbudowy określone za pomocą pomiaru ciągłego, łaty i klina</w:t>
      </w:r>
    </w:p>
    <w:tbl>
      <w:tblPr>
        <w:tblW w:w="0" w:type="auto"/>
        <w:tblCellMar>
          <w:left w:w="0" w:type="dxa"/>
          <w:right w:w="0" w:type="dxa"/>
        </w:tblCellMar>
        <w:tblLook w:val="04A0" w:firstRow="1" w:lastRow="0" w:firstColumn="1" w:lastColumn="0" w:noHBand="0" w:noVBand="1"/>
      </w:tblPr>
      <w:tblGrid>
        <w:gridCol w:w="1809"/>
        <w:gridCol w:w="4395"/>
        <w:gridCol w:w="2693"/>
      </w:tblGrid>
      <w:tr w:rsidR="00FC279F" w:rsidRPr="00C968CE" w14:paraId="75A02A04" w14:textId="77777777" w:rsidTr="00FC279F">
        <w:tc>
          <w:tcPr>
            <w:tcW w:w="1809"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6A93D31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Klasa drogi</w:t>
            </w:r>
          </w:p>
        </w:tc>
        <w:tc>
          <w:tcPr>
            <w:tcW w:w="4395"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4416479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Element nawierzchni</w:t>
            </w:r>
          </w:p>
        </w:tc>
        <w:tc>
          <w:tcPr>
            <w:tcW w:w="2693"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25C4453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Maksymalne wartości odchyleń równości podłużnej warstwy [mm] dla podbudowy</w:t>
            </w:r>
          </w:p>
        </w:tc>
      </w:tr>
      <w:tr w:rsidR="00FC279F" w:rsidRPr="00C968CE" w14:paraId="154C35D6" w14:textId="77777777" w:rsidTr="00FC279F">
        <w:tc>
          <w:tcPr>
            <w:tcW w:w="1809"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C78CFE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A,S,GP</w:t>
            </w:r>
          </w:p>
        </w:tc>
        <w:tc>
          <w:tcPr>
            <w:tcW w:w="4395" w:type="dxa"/>
            <w:tcBorders>
              <w:top w:val="nil"/>
              <w:left w:val="nil"/>
              <w:bottom w:val="single" w:sz="8" w:space="0" w:color="auto"/>
              <w:right w:val="single" w:sz="8" w:space="0" w:color="auto"/>
            </w:tcBorders>
            <w:noWrap/>
            <w:tcMar>
              <w:top w:w="0" w:type="dxa"/>
              <w:left w:w="108" w:type="dxa"/>
              <w:bottom w:w="0" w:type="dxa"/>
              <w:right w:w="108" w:type="dxa"/>
            </w:tcMar>
            <w:hideMark/>
          </w:tcPr>
          <w:p w14:paraId="61CC422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Pasy ruchu zasadnicze, awaryjne,</w:t>
            </w:r>
          </w:p>
          <w:p w14:paraId="7412DAA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dodatkowe, włączenia i wyłączenia,</w:t>
            </w:r>
          </w:p>
          <w:p w14:paraId="125C69D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jezdnie łącznic, utwardzone pobocza</w:t>
            </w:r>
          </w:p>
        </w:tc>
        <w:tc>
          <w:tcPr>
            <w:tcW w:w="2693" w:type="dxa"/>
            <w:tcBorders>
              <w:top w:val="nil"/>
              <w:left w:val="nil"/>
              <w:bottom w:val="single" w:sz="8" w:space="0" w:color="auto"/>
              <w:right w:val="single" w:sz="8" w:space="0" w:color="auto"/>
            </w:tcBorders>
            <w:noWrap/>
            <w:tcMar>
              <w:top w:w="0" w:type="dxa"/>
              <w:left w:w="108" w:type="dxa"/>
              <w:bottom w:w="0" w:type="dxa"/>
              <w:right w:w="108" w:type="dxa"/>
            </w:tcMar>
            <w:hideMark/>
          </w:tcPr>
          <w:p w14:paraId="7E54C66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9</w:t>
            </w:r>
          </w:p>
        </w:tc>
      </w:tr>
      <w:tr w:rsidR="00FC279F" w:rsidRPr="00C968CE" w14:paraId="6918FD91"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27BA131B" w14:textId="77777777" w:rsidR="00FC279F" w:rsidRPr="00C968CE" w:rsidRDefault="00FC279F" w:rsidP="00C968CE">
            <w:pPr>
              <w:spacing w:line="240" w:lineRule="auto"/>
              <w:rPr>
                <w:rFonts w:cs="Arial"/>
                <w:szCs w:val="20"/>
              </w:rPr>
            </w:pPr>
          </w:p>
        </w:tc>
        <w:tc>
          <w:tcPr>
            <w:tcW w:w="4395" w:type="dxa"/>
            <w:tcBorders>
              <w:top w:val="nil"/>
              <w:left w:val="nil"/>
              <w:bottom w:val="single" w:sz="8" w:space="0" w:color="auto"/>
              <w:right w:val="single" w:sz="8" w:space="0" w:color="auto"/>
            </w:tcBorders>
            <w:noWrap/>
            <w:tcMar>
              <w:top w:w="0" w:type="dxa"/>
              <w:left w:w="108" w:type="dxa"/>
              <w:bottom w:w="0" w:type="dxa"/>
              <w:right w:w="108" w:type="dxa"/>
            </w:tcMar>
            <w:hideMark/>
          </w:tcPr>
          <w:p w14:paraId="287BCDC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Jezdnie MOP</w:t>
            </w:r>
          </w:p>
        </w:tc>
        <w:tc>
          <w:tcPr>
            <w:tcW w:w="2693" w:type="dxa"/>
            <w:tcBorders>
              <w:top w:val="nil"/>
              <w:left w:val="nil"/>
              <w:bottom w:val="single" w:sz="8" w:space="0" w:color="auto"/>
              <w:right w:val="single" w:sz="8" w:space="0" w:color="auto"/>
            </w:tcBorders>
            <w:noWrap/>
            <w:tcMar>
              <w:top w:w="0" w:type="dxa"/>
              <w:left w:w="108" w:type="dxa"/>
              <w:bottom w:w="0" w:type="dxa"/>
              <w:right w:w="108" w:type="dxa"/>
            </w:tcMar>
            <w:hideMark/>
          </w:tcPr>
          <w:p w14:paraId="3091EC0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12</w:t>
            </w:r>
          </w:p>
        </w:tc>
      </w:tr>
      <w:tr w:rsidR="00FC279F" w:rsidRPr="00C968CE" w14:paraId="0C52A033" w14:textId="77777777" w:rsidTr="00FC279F">
        <w:tc>
          <w:tcPr>
            <w:tcW w:w="180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7EC49DE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G,Z</w:t>
            </w:r>
          </w:p>
        </w:tc>
        <w:tc>
          <w:tcPr>
            <w:tcW w:w="4395" w:type="dxa"/>
            <w:tcBorders>
              <w:top w:val="nil"/>
              <w:left w:val="nil"/>
              <w:bottom w:val="single" w:sz="8" w:space="0" w:color="auto"/>
              <w:right w:val="single" w:sz="8" w:space="0" w:color="auto"/>
            </w:tcBorders>
            <w:noWrap/>
            <w:tcMar>
              <w:top w:w="0" w:type="dxa"/>
              <w:left w:w="108" w:type="dxa"/>
              <w:bottom w:w="0" w:type="dxa"/>
              <w:right w:w="108" w:type="dxa"/>
            </w:tcMar>
            <w:hideMark/>
          </w:tcPr>
          <w:p w14:paraId="57E9CAC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Pasy ruchu zasadnicze, dodatkowe,</w:t>
            </w:r>
          </w:p>
          <w:p w14:paraId="3F143E6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włączenia i wyłączenia, postojowe,</w:t>
            </w:r>
          </w:p>
          <w:p w14:paraId="06ABE68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jezdnie łącznic, utwardzone pobocza</w:t>
            </w:r>
          </w:p>
        </w:tc>
        <w:tc>
          <w:tcPr>
            <w:tcW w:w="2693" w:type="dxa"/>
            <w:tcBorders>
              <w:top w:val="nil"/>
              <w:left w:val="nil"/>
              <w:bottom w:val="single" w:sz="8" w:space="0" w:color="auto"/>
              <w:right w:val="single" w:sz="8" w:space="0" w:color="auto"/>
            </w:tcBorders>
            <w:noWrap/>
            <w:tcMar>
              <w:top w:w="0" w:type="dxa"/>
              <w:left w:w="108" w:type="dxa"/>
              <w:bottom w:w="0" w:type="dxa"/>
              <w:right w:w="108" w:type="dxa"/>
            </w:tcMar>
            <w:hideMark/>
          </w:tcPr>
          <w:p w14:paraId="0BB726A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12</w:t>
            </w:r>
          </w:p>
        </w:tc>
      </w:tr>
      <w:tr w:rsidR="00FC279F" w:rsidRPr="00C968CE" w14:paraId="434A655A" w14:textId="77777777" w:rsidTr="00FC279F">
        <w:tc>
          <w:tcPr>
            <w:tcW w:w="180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8D87B9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L,D, place parkingi, </w:t>
            </w:r>
          </w:p>
        </w:tc>
        <w:tc>
          <w:tcPr>
            <w:tcW w:w="4395" w:type="dxa"/>
            <w:tcBorders>
              <w:top w:val="nil"/>
              <w:left w:val="nil"/>
              <w:bottom w:val="single" w:sz="8" w:space="0" w:color="auto"/>
              <w:right w:val="single" w:sz="8" w:space="0" w:color="auto"/>
            </w:tcBorders>
            <w:noWrap/>
            <w:tcMar>
              <w:top w:w="0" w:type="dxa"/>
              <w:left w:w="108" w:type="dxa"/>
              <w:bottom w:w="0" w:type="dxa"/>
              <w:right w:w="108" w:type="dxa"/>
            </w:tcMar>
            <w:hideMark/>
          </w:tcPr>
          <w:p w14:paraId="040A89D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Wszystkie pasy ruchu i powierzchnie przeznaczone do ruchu i postoju pojazdów</w:t>
            </w:r>
          </w:p>
        </w:tc>
        <w:tc>
          <w:tcPr>
            <w:tcW w:w="2693" w:type="dxa"/>
            <w:tcBorders>
              <w:top w:val="nil"/>
              <w:left w:val="nil"/>
              <w:bottom w:val="single" w:sz="8" w:space="0" w:color="auto"/>
              <w:right w:val="single" w:sz="8" w:space="0" w:color="auto"/>
            </w:tcBorders>
            <w:noWrap/>
            <w:tcMar>
              <w:top w:w="0" w:type="dxa"/>
              <w:left w:w="108" w:type="dxa"/>
              <w:bottom w:w="0" w:type="dxa"/>
              <w:right w:w="108" w:type="dxa"/>
            </w:tcMar>
            <w:hideMark/>
          </w:tcPr>
          <w:p w14:paraId="23565D6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15</w:t>
            </w:r>
          </w:p>
        </w:tc>
      </w:tr>
    </w:tbl>
    <w:p w14:paraId="181F103B" w14:textId="77777777" w:rsidR="00FC279F" w:rsidRPr="00C968CE" w:rsidRDefault="00FC279F" w:rsidP="00C968CE">
      <w:pPr>
        <w:spacing w:before="120" w:line="240" w:lineRule="auto"/>
        <w:ind w:left="66"/>
        <w:rPr>
          <w:rFonts w:cs="Arial"/>
          <w:szCs w:val="20"/>
        </w:rPr>
      </w:pPr>
      <w:r w:rsidRPr="00C968CE">
        <w:rPr>
          <w:rFonts w:cs="Arial"/>
          <w:szCs w:val="20"/>
        </w:rPr>
        <w:t>b) Równość poprzeczna</w:t>
      </w:r>
    </w:p>
    <w:p w14:paraId="7ABE5570"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72E097C1"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2D2AC0E0"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Maksymalne wartości odchyleń równości poprzecznej określa tablica 35.</w:t>
      </w:r>
    </w:p>
    <w:p w14:paraId="5C360B4B" w14:textId="77777777" w:rsidR="00FC279F" w:rsidRPr="00C968CE" w:rsidRDefault="00FC279F" w:rsidP="00C968CE">
      <w:pPr>
        <w:spacing w:before="120" w:after="120" w:line="240" w:lineRule="auto"/>
        <w:rPr>
          <w:rFonts w:cs="Arial"/>
          <w:szCs w:val="20"/>
        </w:rPr>
      </w:pPr>
      <w:r w:rsidRPr="00C968CE">
        <w:rPr>
          <w:rFonts w:cs="Arial"/>
          <w:szCs w:val="20"/>
        </w:rPr>
        <w:t>Tablica 35. Maksymalne wartości odchyleń równości poprzecznej dla podbudowy</w:t>
      </w:r>
    </w:p>
    <w:tbl>
      <w:tblPr>
        <w:tblW w:w="0" w:type="auto"/>
        <w:tblCellMar>
          <w:left w:w="0" w:type="dxa"/>
          <w:right w:w="0" w:type="dxa"/>
        </w:tblCellMar>
        <w:tblLook w:val="04A0" w:firstRow="1" w:lastRow="0" w:firstColumn="1" w:lastColumn="0" w:noHBand="0" w:noVBand="1"/>
      </w:tblPr>
      <w:tblGrid>
        <w:gridCol w:w="1809"/>
        <w:gridCol w:w="4395"/>
        <w:gridCol w:w="2693"/>
      </w:tblGrid>
      <w:tr w:rsidR="00FC279F" w:rsidRPr="00C968CE" w14:paraId="56AA5468" w14:textId="77777777" w:rsidTr="00FC279F">
        <w:tc>
          <w:tcPr>
            <w:tcW w:w="1809"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205C25B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Klasa drogi</w:t>
            </w:r>
          </w:p>
        </w:tc>
        <w:tc>
          <w:tcPr>
            <w:tcW w:w="4395"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A20E0A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Element nawierzchni</w:t>
            </w:r>
          </w:p>
        </w:tc>
        <w:tc>
          <w:tcPr>
            <w:tcW w:w="2693"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2A56954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Maksymalne wartości odchyleń równości poprzecznej warstwy [mm] dla podbudowy</w:t>
            </w:r>
          </w:p>
        </w:tc>
      </w:tr>
      <w:tr w:rsidR="00FC279F" w:rsidRPr="00C968CE" w14:paraId="58161CC7" w14:textId="77777777" w:rsidTr="00FC279F">
        <w:tc>
          <w:tcPr>
            <w:tcW w:w="1809"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5F7504C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A,S,GP</w:t>
            </w:r>
          </w:p>
        </w:tc>
        <w:tc>
          <w:tcPr>
            <w:tcW w:w="4395" w:type="dxa"/>
            <w:tcBorders>
              <w:top w:val="nil"/>
              <w:left w:val="nil"/>
              <w:bottom w:val="single" w:sz="8" w:space="0" w:color="auto"/>
              <w:right w:val="single" w:sz="8" w:space="0" w:color="auto"/>
            </w:tcBorders>
            <w:noWrap/>
            <w:tcMar>
              <w:top w:w="0" w:type="dxa"/>
              <w:left w:w="108" w:type="dxa"/>
              <w:bottom w:w="0" w:type="dxa"/>
              <w:right w:w="108" w:type="dxa"/>
            </w:tcMar>
            <w:hideMark/>
          </w:tcPr>
          <w:p w14:paraId="27452ED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Pasy ruchu zasadnicze, awaryjne,</w:t>
            </w:r>
          </w:p>
          <w:p w14:paraId="2421F0A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dodatkowe, włączenia i wyłączenia,</w:t>
            </w:r>
          </w:p>
          <w:p w14:paraId="451AF42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jezdnie łącznic, utwardzone pobocza</w:t>
            </w:r>
          </w:p>
        </w:tc>
        <w:tc>
          <w:tcPr>
            <w:tcW w:w="2693" w:type="dxa"/>
            <w:tcBorders>
              <w:top w:val="nil"/>
              <w:left w:val="nil"/>
              <w:bottom w:val="single" w:sz="8" w:space="0" w:color="auto"/>
              <w:right w:val="single" w:sz="8" w:space="0" w:color="auto"/>
            </w:tcBorders>
            <w:noWrap/>
            <w:tcMar>
              <w:top w:w="0" w:type="dxa"/>
              <w:left w:w="108" w:type="dxa"/>
              <w:bottom w:w="0" w:type="dxa"/>
              <w:right w:w="108" w:type="dxa"/>
            </w:tcMar>
            <w:hideMark/>
          </w:tcPr>
          <w:p w14:paraId="3614D40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9</w:t>
            </w:r>
          </w:p>
        </w:tc>
      </w:tr>
      <w:tr w:rsidR="00FC279F" w:rsidRPr="00C968CE" w14:paraId="64929A2E" w14:textId="77777777" w:rsidTr="00FC279F">
        <w:tc>
          <w:tcPr>
            <w:tcW w:w="0" w:type="auto"/>
            <w:vMerge/>
            <w:tcBorders>
              <w:top w:val="nil"/>
              <w:left w:val="single" w:sz="8" w:space="0" w:color="auto"/>
              <w:bottom w:val="single" w:sz="8" w:space="0" w:color="auto"/>
              <w:right w:val="single" w:sz="8" w:space="0" w:color="auto"/>
            </w:tcBorders>
            <w:vAlign w:val="center"/>
            <w:hideMark/>
          </w:tcPr>
          <w:p w14:paraId="635AE624" w14:textId="77777777" w:rsidR="00FC279F" w:rsidRPr="00C968CE" w:rsidRDefault="00FC279F" w:rsidP="00C968CE">
            <w:pPr>
              <w:spacing w:line="240" w:lineRule="auto"/>
              <w:rPr>
                <w:rFonts w:cs="Arial"/>
                <w:szCs w:val="20"/>
              </w:rPr>
            </w:pPr>
          </w:p>
        </w:tc>
        <w:tc>
          <w:tcPr>
            <w:tcW w:w="4395" w:type="dxa"/>
            <w:tcBorders>
              <w:top w:val="nil"/>
              <w:left w:val="nil"/>
              <w:bottom w:val="single" w:sz="8" w:space="0" w:color="auto"/>
              <w:right w:val="single" w:sz="8" w:space="0" w:color="auto"/>
            </w:tcBorders>
            <w:noWrap/>
            <w:tcMar>
              <w:top w:w="0" w:type="dxa"/>
              <w:left w:w="108" w:type="dxa"/>
              <w:bottom w:w="0" w:type="dxa"/>
              <w:right w:w="108" w:type="dxa"/>
            </w:tcMar>
            <w:hideMark/>
          </w:tcPr>
          <w:p w14:paraId="313BE9D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Jezdnie MOP</w:t>
            </w:r>
          </w:p>
        </w:tc>
        <w:tc>
          <w:tcPr>
            <w:tcW w:w="2693" w:type="dxa"/>
            <w:tcBorders>
              <w:top w:val="nil"/>
              <w:left w:val="nil"/>
              <w:bottom w:val="single" w:sz="8" w:space="0" w:color="auto"/>
              <w:right w:val="single" w:sz="8" w:space="0" w:color="auto"/>
            </w:tcBorders>
            <w:noWrap/>
            <w:tcMar>
              <w:top w:w="0" w:type="dxa"/>
              <w:left w:w="108" w:type="dxa"/>
              <w:bottom w:w="0" w:type="dxa"/>
              <w:right w:w="108" w:type="dxa"/>
            </w:tcMar>
            <w:hideMark/>
          </w:tcPr>
          <w:p w14:paraId="6286B31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12</w:t>
            </w:r>
          </w:p>
        </w:tc>
      </w:tr>
      <w:tr w:rsidR="00FC279F" w:rsidRPr="00C968CE" w14:paraId="48554A0D" w14:textId="77777777" w:rsidTr="00FC279F">
        <w:tc>
          <w:tcPr>
            <w:tcW w:w="180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731C27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lastRenderedPageBreak/>
              <w:t>G,Z</w:t>
            </w:r>
          </w:p>
        </w:tc>
        <w:tc>
          <w:tcPr>
            <w:tcW w:w="4395" w:type="dxa"/>
            <w:tcBorders>
              <w:top w:val="nil"/>
              <w:left w:val="nil"/>
              <w:bottom w:val="single" w:sz="8" w:space="0" w:color="auto"/>
              <w:right w:val="single" w:sz="8" w:space="0" w:color="auto"/>
            </w:tcBorders>
            <w:noWrap/>
            <w:tcMar>
              <w:top w:w="0" w:type="dxa"/>
              <w:left w:w="108" w:type="dxa"/>
              <w:bottom w:w="0" w:type="dxa"/>
              <w:right w:w="108" w:type="dxa"/>
            </w:tcMar>
            <w:hideMark/>
          </w:tcPr>
          <w:p w14:paraId="7AFDE3F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Pasy ruchu zasadnicze, dodatkowe,</w:t>
            </w:r>
          </w:p>
          <w:p w14:paraId="7920207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włączenia i wyłączenia, postojowe,</w:t>
            </w:r>
          </w:p>
          <w:p w14:paraId="6089B6D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jezdnie łącznic, utwardzone pobocza</w:t>
            </w:r>
          </w:p>
        </w:tc>
        <w:tc>
          <w:tcPr>
            <w:tcW w:w="2693" w:type="dxa"/>
            <w:tcBorders>
              <w:top w:val="nil"/>
              <w:left w:val="nil"/>
              <w:bottom w:val="single" w:sz="8" w:space="0" w:color="auto"/>
              <w:right w:val="single" w:sz="8" w:space="0" w:color="auto"/>
            </w:tcBorders>
            <w:noWrap/>
            <w:tcMar>
              <w:top w:w="0" w:type="dxa"/>
              <w:left w:w="108" w:type="dxa"/>
              <w:bottom w:w="0" w:type="dxa"/>
              <w:right w:w="108" w:type="dxa"/>
            </w:tcMar>
            <w:hideMark/>
          </w:tcPr>
          <w:p w14:paraId="1E373E1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12</w:t>
            </w:r>
          </w:p>
        </w:tc>
      </w:tr>
      <w:tr w:rsidR="00FC279F" w:rsidRPr="00C968CE" w14:paraId="399E6A0E" w14:textId="77777777" w:rsidTr="00FC279F">
        <w:tc>
          <w:tcPr>
            <w:tcW w:w="180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0B06A4D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L,D, place parkingi, </w:t>
            </w:r>
          </w:p>
        </w:tc>
        <w:tc>
          <w:tcPr>
            <w:tcW w:w="4395" w:type="dxa"/>
            <w:tcBorders>
              <w:top w:val="nil"/>
              <w:left w:val="nil"/>
              <w:bottom w:val="single" w:sz="8" w:space="0" w:color="auto"/>
              <w:right w:val="single" w:sz="8" w:space="0" w:color="auto"/>
            </w:tcBorders>
            <w:noWrap/>
            <w:tcMar>
              <w:top w:w="0" w:type="dxa"/>
              <w:left w:w="108" w:type="dxa"/>
              <w:bottom w:w="0" w:type="dxa"/>
              <w:right w:w="108" w:type="dxa"/>
            </w:tcMar>
            <w:hideMark/>
          </w:tcPr>
          <w:p w14:paraId="18EDECC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Wszystkie pasy ruchu i powierzchnie przeznaczone do ruchu i postoju pojazdów</w:t>
            </w:r>
          </w:p>
        </w:tc>
        <w:tc>
          <w:tcPr>
            <w:tcW w:w="2693" w:type="dxa"/>
            <w:tcBorders>
              <w:top w:val="nil"/>
              <w:left w:val="nil"/>
              <w:bottom w:val="single" w:sz="8" w:space="0" w:color="auto"/>
              <w:right w:val="single" w:sz="8" w:space="0" w:color="auto"/>
            </w:tcBorders>
            <w:noWrap/>
            <w:tcMar>
              <w:top w:w="0" w:type="dxa"/>
              <w:left w:w="108" w:type="dxa"/>
              <w:bottom w:w="0" w:type="dxa"/>
              <w:right w:w="108" w:type="dxa"/>
            </w:tcMar>
            <w:hideMark/>
          </w:tcPr>
          <w:p w14:paraId="7AA2262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15</w:t>
            </w:r>
          </w:p>
        </w:tc>
      </w:tr>
    </w:tbl>
    <w:p w14:paraId="0D57647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t>
      </w:r>
    </w:p>
    <w:p w14:paraId="6CB51638" w14:textId="77777777" w:rsidR="00FC279F" w:rsidRPr="00C968CE" w:rsidRDefault="00FC279F" w:rsidP="00C968CE">
      <w:pPr>
        <w:spacing w:before="100" w:beforeAutospacing="1" w:after="100" w:afterAutospacing="1" w:line="240" w:lineRule="auto"/>
        <w:rPr>
          <w:rFonts w:cs="Arial"/>
          <w:szCs w:val="20"/>
        </w:rPr>
      </w:pPr>
      <w:r w:rsidRPr="00C968CE">
        <w:rPr>
          <w:rFonts w:cs="Arial"/>
          <w:b/>
          <w:bCs/>
          <w:szCs w:val="20"/>
        </w:rPr>
        <w:t>6.5.5.</w:t>
      </w:r>
      <w:r w:rsidRPr="00C968CE">
        <w:rPr>
          <w:rFonts w:cs="Arial"/>
          <w:szCs w:val="20"/>
        </w:rPr>
        <w:t xml:space="preserve"> Złącza technologiczne </w:t>
      </w:r>
    </w:p>
    <w:p w14:paraId="7A225402"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Złącza podłużne i poprzeczne, sprawdzone wizualnie, powinny być równe i związane, wykonane w linii prostej, równolegle lub prostopadle do osi drogi. Przylegające warstwy powinny być w jednym poziomie.</w:t>
      </w:r>
    </w:p>
    <w:p w14:paraId="11FDBFB3" w14:textId="77777777" w:rsidR="00FC279F" w:rsidRPr="00C968CE" w:rsidRDefault="00FC279F" w:rsidP="00C968CE">
      <w:pPr>
        <w:keepNext/>
        <w:spacing w:before="120" w:after="120" w:line="240" w:lineRule="auto"/>
        <w:rPr>
          <w:rFonts w:cs="Arial"/>
          <w:szCs w:val="20"/>
        </w:rPr>
      </w:pPr>
      <w:r w:rsidRPr="00C968CE">
        <w:rPr>
          <w:rFonts w:cs="Arial"/>
          <w:b/>
          <w:bCs/>
          <w:szCs w:val="20"/>
        </w:rPr>
        <w:t>6.5.6.</w:t>
      </w:r>
      <w:r w:rsidRPr="00C968CE">
        <w:rPr>
          <w:rFonts w:cs="Arial"/>
          <w:szCs w:val="20"/>
        </w:rPr>
        <w:t xml:space="preserve"> Szerokość warstwy </w:t>
      </w:r>
    </w:p>
    <w:p w14:paraId="4EAFE9F4"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Szerokość warstwy, mierzona 10 razy na 1 km każdej jezdni powinna być zgodna z dokumentacją projektową, z tolerancją  w zakresie od 0</w:t>
      </w:r>
      <w:r w:rsidRPr="00C968CE">
        <w:rPr>
          <w:rFonts w:cs="Arial"/>
          <w:color w:val="000000"/>
          <w:szCs w:val="20"/>
        </w:rPr>
        <w:t xml:space="preserve"> do </w:t>
      </w:r>
      <w:r w:rsidRPr="00C968CE">
        <w:rPr>
          <w:rFonts w:cs="Arial"/>
          <w:szCs w:val="20"/>
        </w:rPr>
        <w:t>+5 cm, przy czym szerokość warstwy wiążącej powinna być odpowiednio szersza, tak aby stanowiła odsadzkę dla warstwy ścieralnej. W przypadku wyprofilowanej ukośnej krawędzi szerokość należy mierzyć w środku linii skosu.</w:t>
      </w:r>
    </w:p>
    <w:p w14:paraId="4DAF0AC2" w14:textId="77777777" w:rsidR="00FC279F" w:rsidRPr="00C968CE" w:rsidRDefault="00FC279F" w:rsidP="00C968CE">
      <w:pPr>
        <w:spacing w:before="120" w:after="120" w:line="240" w:lineRule="auto"/>
        <w:rPr>
          <w:rFonts w:cs="Arial"/>
          <w:szCs w:val="20"/>
        </w:rPr>
      </w:pPr>
      <w:r w:rsidRPr="00C968CE">
        <w:rPr>
          <w:rFonts w:cs="Arial"/>
          <w:b/>
          <w:bCs/>
          <w:szCs w:val="20"/>
        </w:rPr>
        <w:t>6.5.7.</w:t>
      </w:r>
      <w:r w:rsidRPr="00C968CE">
        <w:rPr>
          <w:rFonts w:cs="Arial"/>
          <w:szCs w:val="20"/>
        </w:rPr>
        <w:t xml:space="preserve"> Rzędne wysokościowe </w:t>
      </w:r>
    </w:p>
    <w:p w14:paraId="4F3C9B81"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14:paraId="63267456" w14:textId="77777777" w:rsidR="00FC279F" w:rsidRPr="00C968CE" w:rsidRDefault="00FC279F" w:rsidP="00C968CE">
      <w:pPr>
        <w:keepNext/>
        <w:spacing w:before="120" w:after="120" w:line="240" w:lineRule="auto"/>
        <w:rPr>
          <w:rFonts w:cs="Arial"/>
          <w:szCs w:val="20"/>
        </w:rPr>
      </w:pPr>
      <w:r w:rsidRPr="00C968CE">
        <w:rPr>
          <w:rFonts w:cs="Arial"/>
          <w:b/>
          <w:bCs/>
          <w:szCs w:val="20"/>
        </w:rPr>
        <w:t>6.5. 8.</w:t>
      </w:r>
      <w:r w:rsidRPr="00C968CE">
        <w:rPr>
          <w:rFonts w:cs="Arial"/>
          <w:szCs w:val="20"/>
        </w:rPr>
        <w:t xml:space="preserve"> Ukształtowanie osi w planie </w:t>
      </w:r>
    </w:p>
    <w:p w14:paraId="5549E43A"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Ukształtowanie osi w planie, mierzone co 100 m, nie powinno różnić się od dokumentacji projektowej o więcej niż ± 5 cm.</w:t>
      </w:r>
    </w:p>
    <w:p w14:paraId="0EC56EDF" w14:textId="77777777" w:rsidR="00FC279F" w:rsidRPr="00C968CE" w:rsidRDefault="00FC279F" w:rsidP="00C968CE">
      <w:pPr>
        <w:spacing w:before="120" w:after="120" w:line="240" w:lineRule="auto"/>
        <w:rPr>
          <w:rFonts w:cs="Arial"/>
          <w:szCs w:val="20"/>
        </w:rPr>
      </w:pPr>
      <w:r w:rsidRPr="00C968CE">
        <w:rPr>
          <w:rFonts w:cs="Arial"/>
          <w:b/>
          <w:bCs/>
          <w:szCs w:val="20"/>
        </w:rPr>
        <w:t>6.5.9.</w:t>
      </w:r>
      <w:r w:rsidRPr="00C968CE">
        <w:rPr>
          <w:rFonts w:cs="Arial"/>
          <w:szCs w:val="20"/>
        </w:rPr>
        <w:t xml:space="preserve"> Ocena wizualna warstwy </w:t>
      </w:r>
    </w:p>
    <w:p w14:paraId="473B26C5" w14:textId="77777777" w:rsidR="00FC279F" w:rsidRPr="00C968CE" w:rsidRDefault="00FC279F" w:rsidP="00C968CE">
      <w:pPr>
        <w:spacing w:before="100" w:beforeAutospacing="1" w:after="100" w:afterAutospacing="1" w:line="240" w:lineRule="auto"/>
        <w:ind w:firstLine="709"/>
        <w:rPr>
          <w:rFonts w:cs="Arial"/>
          <w:szCs w:val="20"/>
        </w:rPr>
      </w:pPr>
      <w:r w:rsidRPr="00C968CE">
        <w:rPr>
          <w:rFonts w:cs="Arial"/>
          <w:szCs w:val="20"/>
        </w:rPr>
        <w:t>Wygląd zewnętrzny warstwy, sprawdzony wizualnie, powinien być jednorodny, bez spękań, deformacji, plam i wykruszeń.</w:t>
      </w:r>
    </w:p>
    <w:p w14:paraId="434B3187"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6.6. Badania kontrolne dodatkowe</w:t>
      </w:r>
    </w:p>
    <w:p w14:paraId="36B7D95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W wypadku uznania, że jeden z wyników badań kontrolnych nie jest reprezentatywny dla ocenianego odcinka budowy, Wykonawca ma prawo żądać przeprowadzenia badań kontrolnych dodatkowych.</w:t>
      </w:r>
    </w:p>
    <w:p w14:paraId="4619BB8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643B99C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Do odbioru uwzględniane są wyniki badań kontrolnych i badań kontrolnych dodatkowych do wyznaczonych odcinków częściowych.</w:t>
      </w:r>
    </w:p>
    <w:p w14:paraId="5D877DE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Koszty badań kontrolnych dodatkowych zażądanych przez Wykonawcę ponosi Wykonawca.</w:t>
      </w:r>
    </w:p>
    <w:p w14:paraId="31F5BE24"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6.7. Badania arbitrażowe</w:t>
      </w:r>
    </w:p>
    <w:p w14:paraId="3B8C3FE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Badania arbitrażowe są powtórzeniem badań kontrolnych, co do których istnieją uzasadnione wątpliwości ze strony Inżyniera lub Wykonawcy (np. na podstawie własnych badań).</w:t>
      </w:r>
    </w:p>
    <w:p w14:paraId="0E7C25B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Badania arbitrażowe wykonuje na wniosek strony kontraktu niezależne laboratorium, które nie wykonywało badań kontrolnych.</w:t>
      </w:r>
    </w:p>
    <w:p w14:paraId="4BBF71B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lastRenderedPageBreak/>
        <w:t>            Koszty badań arbitrażowych wraz ze wszystkimi kosztami ubocznymi ponosi strona, na której niekorzyść przemawia wynik badania.</w:t>
      </w:r>
    </w:p>
    <w:p w14:paraId="0A7A2E9C" w14:textId="77777777" w:rsidR="00FC279F" w:rsidRPr="00C968CE" w:rsidRDefault="00FC279F" w:rsidP="00C968CE">
      <w:pPr>
        <w:spacing w:before="100" w:beforeAutospacing="1" w:after="100" w:afterAutospacing="1" w:line="240" w:lineRule="auto"/>
        <w:outlineLvl w:val="0"/>
        <w:rPr>
          <w:rFonts w:cs="Arial"/>
          <w:b/>
          <w:bCs/>
          <w:kern w:val="36"/>
          <w:szCs w:val="20"/>
        </w:rPr>
      </w:pPr>
      <w:bookmarkStart w:id="927" w:name="_Toc413234109"/>
      <w:bookmarkStart w:id="928" w:name="_Toc461543724"/>
      <w:r w:rsidRPr="00C968CE">
        <w:rPr>
          <w:rFonts w:cs="Arial"/>
          <w:b/>
          <w:bCs/>
          <w:kern w:val="36"/>
          <w:szCs w:val="20"/>
        </w:rPr>
        <w:t>7. Obmiar robót</w:t>
      </w:r>
      <w:bookmarkEnd w:id="927"/>
      <w:bookmarkEnd w:id="928"/>
    </w:p>
    <w:p w14:paraId="0C5AC1D6"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7.1. Ogólne zasady obmiaru robót</w:t>
      </w:r>
    </w:p>
    <w:p w14:paraId="10CAD3D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Ogólne zasady obmiaru robót podano w SST  D-M-00.00.00 „Wymagania ogólne” [1] pkt 7.</w:t>
      </w:r>
    </w:p>
    <w:p w14:paraId="502D68D8"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7.2. Jednostka obmiarowa</w:t>
      </w:r>
    </w:p>
    <w:p w14:paraId="791C17D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Jednostką obmiarową jest m</w:t>
      </w:r>
      <w:r w:rsidRPr="00C968CE">
        <w:rPr>
          <w:rFonts w:cs="Arial"/>
          <w:szCs w:val="20"/>
          <w:vertAlign w:val="superscript"/>
        </w:rPr>
        <w:t>2</w:t>
      </w:r>
      <w:r w:rsidRPr="00C968CE">
        <w:rPr>
          <w:rFonts w:cs="Arial"/>
          <w:szCs w:val="20"/>
        </w:rPr>
        <w:t xml:space="preserve"> (metr kwadratowy) wykonanej warstwy podbudowy z betonu asfaltowego (ACP).</w:t>
      </w:r>
    </w:p>
    <w:p w14:paraId="45CB3FC3" w14:textId="77777777" w:rsidR="00FC279F" w:rsidRPr="00C968CE" w:rsidRDefault="00FC279F" w:rsidP="00C968CE">
      <w:pPr>
        <w:spacing w:before="100" w:beforeAutospacing="1" w:after="100" w:afterAutospacing="1" w:line="240" w:lineRule="auto"/>
        <w:outlineLvl w:val="0"/>
        <w:rPr>
          <w:rFonts w:cs="Arial"/>
          <w:b/>
          <w:bCs/>
          <w:kern w:val="36"/>
          <w:szCs w:val="20"/>
        </w:rPr>
      </w:pPr>
      <w:bookmarkStart w:id="929" w:name="_Toc413234110"/>
      <w:bookmarkStart w:id="930" w:name="_Toc461543725"/>
      <w:r w:rsidRPr="00C968CE">
        <w:rPr>
          <w:rFonts w:cs="Arial"/>
          <w:b/>
          <w:bCs/>
          <w:kern w:val="36"/>
          <w:szCs w:val="20"/>
        </w:rPr>
        <w:t>8. Odbiór robót</w:t>
      </w:r>
      <w:bookmarkEnd w:id="929"/>
      <w:bookmarkEnd w:id="930"/>
    </w:p>
    <w:p w14:paraId="2159FF9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Ogólne zasady odbioru robót podano w SST  D-M-00.00.00 „Wymagania ogólne” [1], pkt 8.</w:t>
      </w:r>
    </w:p>
    <w:p w14:paraId="14AE54D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Roboty uznaje się za wykonane zgodnie z dokumentacją projektową, ST i wymaganiami Inżyniera, jeżeli wszystkie pomiary i badania z zachowaniem tolerancji według pktu 6 dały wyniki pozytywne.</w:t>
      </w:r>
    </w:p>
    <w:p w14:paraId="7EF8820E" w14:textId="77777777" w:rsidR="00FC279F" w:rsidRPr="00C968CE" w:rsidRDefault="00FC279F" w:rsidP="00C968CE">
      <w:pPr>
        <w:spacing w:before="100" w:beforeAutospacing="1" w:after="100" w:afterAutospacing="1" w:line="240" w:lineRule="auto"/>
        <w:outlineLvl w:val="0"/>
        <w:rPr>
          <w:rFonts w:cs="Arial"/>
          <w:b/>
          <w:bCs/>
          <w:kern w:val="36"/>
          <w:szCs w:val="20"/>
        </w:rPr>
      </w:pPr>
      <w:bookmarkStart w:id="931" w:name="_Toc413234111"/>
      <w:bookmarkStart w:id="932" w:name="_Toc461543726"/>
      <w:r w:rsidRPr="00C968CE">
        <w:rPr>
          <w:rFonts w:cs="Arial"/>
          <w:b/>
          <w:bCs/>
          <w:kern w:val="36"/>
          <w:szCs w:val="20"/>
        </w:rPr>
        <w:t>9. Podstawa płatności</w:t>
      </w:r>
      <w:bookmarkEnd w:id="931"/>
      <w:bookmarkEnd w:id="932"/>
    </w:p>
    <w:p w14:paraId="1EA252C4"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9.1. Ogólne ustalenia dotyczące podstawy płatności</w:t>
      </w:r>
    </w:p>
    <w:p w14:paraId="544DF07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Ogólne ustalenia dotyczące podstawy płatności podano w SST D-M-00.00.00 „Wymagania ogólne” [1] pkt 9.</w:t>
      </w:r>
    </w:p>
    <w:p w14:paraId="4D0EAEBE"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9.2. Cena jednostki obmiarowej</w:t>
      </w:r>
    </w:p>
    <w:p w14:paraId="47527AA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Cena wykonania 1 m</w:t>
      </w:r>
      <w:r w:rsidRPr="00C968CE">
        <w:rPr>
          <w:rFonts w:cs="Arial"/>
          <w:szCs w:val="20"/>
          <w:vertAlign w:val="superscript"/>
        </w:rPr>
        <w:t>2</w:t>
      </w:r>
      <w:r w:rsidRPr="00C968CE">
        <w:rPr>
          <w:rFonts w:cs="Arial"/>
          <w:szCs w:val="20"/>
        </w:rPr>
        <w:t xml:space="preserve"> warstwy podbudowy z betonu asfaltowego (AC P) obejmuje:</w:t>
      </w:r>
    </w:p>
    <w:p w14:paraId="42373087"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prace pomiarowe i roboty przygotowawcze,</w:t>
      </w:r>
    </w:p>
    <w:p w14:paraId="5A4D942B"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oznakowanie robót,</w:t>
      </w:r>
    </w:p>
    <w:p w14:paraId="6D3A0963"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oczyszczenie i skropienie podłoża,</w:t>
      </w:r>
    </w:p>
    <w:p w14:paraId="66871E03"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dostarczenie materiałów i sprzętu,</w:t>
      </w:r>
    </w:p>
    <w:p w14:paraId="68974D74"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opracowanie recepty laboratoryjnej,</w:t>
      </w:r>
    </w:p>
    <w:p w14:paraId="0F83385B"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wykonanie próby technologicznej i odcinka próbnego,</w:t>
      </w:r>
    </w:p>
    <w:p w14:paraId="3815AD09"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wyprodukowanie mieszanki betonu asfaltowego i jej transport na miejsce wbudowania,</w:t>
      </w:r>
    </w:p>
    <w:p w14:paraId="329C1207"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posmarowanie lepiszczem lub pokrycie taśmą asfaltową krawędzi urządzeń obcych i krawężników,</w:t>
      </w:r>
    </w:p>
    <w:p w14:paraId="286C75A1"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rozłożenie i zagęszczenie mieszanki betonu asfaltowego,</w:t>
      </w:r>
    </w:p>
    <w:p w14:paraId="63E96838"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obcięcie krawędzi i posmarowanie lepiszczem,</w:t>
      </w:r>
    </w:p>
    <w:p w14:paraId="0C50182B"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przeprowadzenie pomiarów i badań  wymaganych w specyfikacji technicznej,</w:t>
      </w:r>
    </w:p>
    <w:p w14:paraId="77BBEBB4"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odwiezienie sprzętu.</w:t>
      </w:r>
    </w:p>
    <w:p w14:paraId="7F4E6088"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9.3. Sposób rozliczenia robót tymczasowych i prac towarzyszących</w:t>
      </w:r>
    </w:p>
    <w:p w14:paraId="7CDA434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Cena wykonania robót określonych niniejszą SST obejmuje:</w:t>
      </w:r>
    </w:p>
    <w:p w14:paraId="5C530C92"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lastRenderedPageBreak/>
        <w:t>-      roboty tymczasowe, które są potrzebne do wykonania robót podstawowych, ale nie są przekazywane Zamawiającemu i są usuwane po wykonaniu robót podstawowych,</w:t>
      </w:r>
    </w:p>
    <w:p w14:paraId="791635E5" w14:textId="77777777" w:rsidR="00FC279F" w:rsidRPr="00C968CE" w:rsidRDefault="00FC279F" w:rsidP="00C968CE">
      <w:pPr>
        <w:spacing w:before="100" w:beforeAutospacing="1" w:after="100" w:afterAutospacing="1" w:line="240" w:lineRule="auto"/>
        <w:ind w:left="283" w:hanging="283"/>
        <w:rPr>
          <w:rFonts w:cs="Arial"/>
          <w:szCs w:val="20"/>
        </w:rPr>
      </w:pPr>
      <w:r w:rsidRPr="00C968CE">
        <w:rPr>
          <w:rFonts w:cs="Arial"/>
          <w:szCs w:val="20"/>
        </w:rPr>
        <w:t>-      prace towarzyszące, które są niezbędne do wykonania robót podstawowych, niezaliczane do robót tymczasowych, jak geodezyjne wytyczenie robót itd.</w:t>
      </w:r>
    </w:p>
    <w:p w14:paraId="641E91DE" w14:textId="77777777" w:rsidR="00FC279F" w:rsidRPr="00C968CE" w:rsidRDefault="00FC279F" w:rsidP="00C968CE">
      <w:pPr>
        <w:spacing w:before="100" w:beforeAutospacing="1" w:after="100" w:afterAutospacing="1" w:line="240" w:lineRule="auto"/>
        <w:outlineLvl w:val="0"/>
        <w:rPr>
          <w:rFonts w:cs="Arial"/>
          <w:b/>
          <w:bCs/>
          <w:kern w:val="36"/>
          <w:szCs w:val="20"/>
        </w:rPr>
      </w:pPr>
      <w:bookmarkStart w:id="933" w:name="_Toc413234112"/>
      <w:bookmarkStart w:id="934" w:name="_Toc461543727"/>
      <w:r w:rsidRPr="00C968CE">
        <w:rPr>
          <w:rFonts w:cs="Arial"/>
          <w:b/>
          <w:bCs/>
          <w:kern w:val="36"/>
          <w:szCs w:val="20"/>
        </w:rPr>
        <w:t>10. Przepisy związane</w:t>
      </w:r>
      <w:bookmarkEnd w:id="933"/>
      <w:bookmarkEnd w:id="934"/>
    </w:p>
    <w:p w14:paraId="03CEDF46"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10.1. Ogólne specyfikacje techniczne (SST)</w:t>
      </w:r>
    </w:p>
    <w:tbl>
      <w:tblPr>
        <w:tblW w:w="0" w:type="auto"/>
        <w:tblCellMar>
          <w:left w:w="0" w:type="dxa"/>
          <w:right w:w="0" w:type="dxa"/>
        </w:tblCellMar>
        <w:tblLook w:val="04A0" w:firstRow="1" w:lastRow="0" w:firstColumn="1" w:lastColumn="0" w:noHBand="0" w:noVBand="1"/>
      </w:tblPr>
      <w:tblGrid>
        <w:gridCol w:w="591"/>
        <w:gridCol w:w="1824"/>
        <w:gridCol w:w="6797"/>
      </w:tblGrid>
      <w:tr w:rsidR="00FC279F" w:rsidRPr="00C968CE" w14:paraId="2C05D42A" w14:textId="77777777" w:rsidTr="00FC279F">
        <w:tc>
          <w:tcPr>
            <w:tcW w:w="591" w:type="dxa"/>
            <w:tcMar>
              <w:top w:w="0" w:type="dxa"/>
              <w:left w:w="70" w:type="dxa"/>
              <w:bottom w:w="0" w:type="dxa"/>
              <w:right w:w="70" w:type="dxa"/>
            </w:tcMar>
            <w:hideMark/>
          </w:tcPr>
          <w:p w14:paraId="325829F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w:t>
            </w:r>
          </w:p>
        </w:tc>
        <w:tc>
          <w:tcPr>
            <w:tcW w:w="1824" w:type="dxa"/>
            <w:tcMar>
              <w:top w:w="0" w:type="dxa"/>
              <w:left w:w="70" w:type="dxa"/>
              <w:bottom w:w="0" w:type="dxa"/>
              <w:right w:w="70" w:type="dxa"/>
            </w:tcMar>
            <w:hideMark/>
          </w:tcPr>
          <w:p w14:paraId="7B4DCE2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D-M-00.00.00</w:t>
            </w:r>
          </w:p>
        </w:tc>
        <w:tc>
          <w:tcPr>
            <w:tcW w:w="6797" w:type="dxa"/>
            <w:tcMar>
              <w:top w:w="0" w:type="dxa"/>
              <w:left w:w="70" w:type="dxa"/>
              <w:bottom w:w="0" w:type="dxa"/>
              <w:right w:w="70" w:type="dxa"/>
            </w:tcMar>
            <w:hideMark/>
          </w:tcPr>
          <w:p w14:paraId="72EA929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Wymagania ogólne</w:t>
            </w:r>
          </w:p>
        </w:tc>
      </w:tr>
      <w:tr w:rsidR="00FC279F" w:rsidRPr="00C968CE" w14:paraId="535E409C" w14:textId="77777777" w:rsidTr="00FC279F">
        <w:tc>
          <w:tcPr>
            <w:tcW w:w="591" w:type="dxa"/>
            <w:tcMar>
              <w:top w:w="0" w:type="dxa"/>
              <w:left w:w="70" w:type="dxa"/>
              <w:bottom w:w="0" w:type="dxa"/>
              <w:right w:w="70" w:type="dxa"/>
            </w:tcMar>
            <w:hideMark/>
          </w:tcPr>
          <w:p w14:paraId="76A9231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w:t>
            </w:r>
          </w:p>
        </w:tc>
        <w:tc>
          <w:tcPr>
            <w:tcW w:w="1824" w:type="dxa"/>
            <w:tcMar>
              <w:top w:w="0" w:type="dxa"/>
              <w:left w:w="70" w:type="dxa"/>
              <w:bottom w:w="0" w:type="dxa"/>
              <w:right w:w="70" w:type="dxa"/>
            </w:tcMar>
            <w:hideMark/>
          </w:tcPr>
          <w:p w14:paraId="51B4801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D-04.03.01a</w:t>
            </w:r>
          </w:p>
        </w:tc>
        <w:tc>
          <w:tcPr>
            <w:tcW w:w="6797" w:type="dxa"/>
            <w:tcMar>
              <w:top w:w="0" w:type="dxa"/>
              <w:left w:w="70" w:type="dxa"/>
              <w:bottom w:w="0" w:type="dxa"/>
              <w:right w:w="70" w:type="dxa"/>
            </w:tcMar>
            <w:hideMark/>
          </w:tcPr>
          <w:p w14:paraId="14A32F6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Połączenie międzywarstwowe nawierzchni drogowej emulsją asfaltową</w:t>
            </w:r>
          </w:p>
        </w:tc>
      </w:tr>
    </w:tbl>
    <w:p w14:paraId="61E1715E"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10.2. Normy</w:t>
      </w:r>
    </w:p>
    <w:p w14:paraId="20C7150B" w14:textId="77777777" w:rsidR="00FC279F" w:rsidRPr="00C968CE" w:rsidRDefault="00FC279F" w:rsidP="00C968CE">
      <w:pPr>
        <w:spacing w:before="100" w:beforeAutospacing="1" w:after="120" w:line="240" w:lineRule="auto"/>
        <w:rPr>
          <w:rFonts w:cs="Arial"/>
          <w:szCs w:val="20"/>
        </w:rPr>
      </w:pPr>
      <w:r w:rsidRPr="00C968CE">
        <w:rPr>
          <w:rFonts w:cs="Arial"/>
          <w:szCs w:val="20"/>
        </w:rPr>
        <w:t>(Zestawienie zawiera dodatkowo normy PN-EN związane z badaniami materiałów występujących w niniejszej SST)</w:t>
      </w:r>
    </w:p>
    <w:tbl>
      <w:tblPr>
        <w:tblW w:w="0" w:type="auto"/>
        <w:tblCellMar>
          <w:left w:w="0" w:type="dxa"/>
          <w:right w:w="0" w:type="dxa"/>
        </w:tblCellMar>
        <w:tblLook w:val="04A0" w:firstRow="1" w:lastRow="0" w:firstColumn="1" w:lastColumn="0" w:noHBand="0" w:noVBand="1"/>
      </w:tblPr>
      <w:tblGrid>
        <w:gridCol w:w="664"/>
        <w:gridCol w:w="1944"/>
        <w:gridCol w:w="6680"/>
      </w:tblGrid>
      <w:tr w:rsidR="00FC279F" w:rsidRPr="00C968CE" w14:paraId="1860B1C6" w14:textId="77777777" w:rsidTr="00FC279F">
        <w:tc>
          <w:tcPr>
            <w:tcW w:w="664" w:type="dxa"/>
            <w:tcMar>
              <w:top w:w="0" w:type="dxa"/>
              <w:left w:w="108" w:type="dxa"/>
              <w:bottom w:w="0" w:type="dxa"/>
              <w:right w:w="108" w:type="dxa"/>
            </w:tcMar>
            <w:hideMark/>
          </w:tcPr>
          <w:p w14:paraId="107EFE1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w:t>
            </w:r>
          </w:p>
        </w:tc>
        <w:tc>
          <w:tcPr>
            <w:tcW w:w="1944" w:type="dxa"/>
            <w:tcMar>
              <w:top w:w="0" w:type="dxa"/>
              <w:left w:w="108" w:type="dxa"/>
              <w:bottom w:w="0" w:type="dxa"/>
              <w:right w:w="108" w:type="dxa"/>
            </w:tcMar>
            <w:hideMark/>
          </w:tcPr>
          <w:p w14:paraId="72E5BF6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196-2</w:t>
            </w:r>
          </w:p>
        </w:tc>
        <w:tc>
          <w:tcPr>
            <w:tcW w:w="6680" w:type="dxa"/>
            <w:tcMar>
              <w:top w:w="0" w:type="dxa"/>
              <w:left w:w="108" w:type="dxa"/>
              <w:bottom w:w="0" w:type="dxa"/>
              <w:right w:w="108" w:type="dxa"/>
            </w:tcMar>
            <w:hideMark/>
          </w:tcPr>
          <w:p w14:paraId="72ED65A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Metody badania cementu - Część 2: Analiza chemiczna cementu</w:t>
            </w:r>
          </w:p>
        </w:tc>
      </w:tr>
      <w:tr w:rsidR="00FC279F" w:rsidRPr="00C968CE" w14:paraId="1E03A437" w14:textId="77777777" w:rsidTr="00FC279F">
        <w:tc>
          <w:tcPr>
            <w:tcW w:w="664" w:type="dxa"/>
            <w:tcMar>
              <w:top w:w="0" w:type="dxa"/>
              <w:left w:w="108" w:type="dxa"/>
              <w:bottom w:w="0" w:type="dxa"/>
              <w:right w:w="108" w:type="dxa"/>
            </w:tcMar>
            <w:hideMark/>
          </w:tcPr>
          <w:p w14:paraId="5090BC2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w:t>
            </w:r>
          </w:p>
        </w:tc>
        <w:tc>
          <w:tcPr>
            <w:tcW w:w="1944" w:type="dxa"/>
            <w:tcMar>
              <w:top w:w="0" w:type="dxa"/>
              <w:left w:w="108" w:type="dxa"/>
              <w:bottom w:w="0" w:type="dxa"/>
              <w:right w:w="108" w:type="dxa"/>
            </w:tcMar>
            <w:hideMark/>
          </w:tcPr>
          <w:p w14:paraId="5B8E884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459-2</w:t>
            </w:r>
          </w:p>
        </w:tc>
        <w:tc>
          <w:tcPr>
            <w:tcW w:w="6680" w:type="dxa"/>
            <w:tcMar>
              <w:top w:w="0" w:type="dxa"/>
              <w:left w:w="108" w:type="dxa"/>
              <w:bottom w:w="0" w:type="dxa"/>
              <w:right w:w="108" w:type="dxa"/>
            </w:tcMar>
            <w:hideMark/>
          </w:tcPr>
          <w:p w14:paraId="060F8F9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Wapno budowlane – Część 2: Metody badań</w:t>
            </w:r>
          </w:p>
        </w:tc>
      </w:tr>
      <w:tr w:rsidR="00FC279F" w:rsidRPr="00C968CE" w14:paraId="09DE43CB" w14:textId="77777777" w:rsidTr="00FC279F">
        <w:tc>
          <w:tcPr>
            <w:tcW w:w="664" w:type="dxa"/>
            <w:tcMar>
              <w:top w:w="0" w:type="dxa"/>
              <w:left w:w="108" w:type="dxa"/>
              <w:bottom w:w="0" w:type="dxa"/>
              <w:right w:w="108" w:type="dxa"/>
            </w:tcMar>
            <w:hideMark/>
          </w:tcPr>
          <w:p w14:paraId="0CBF931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w:t>
            </w:r>
          </w:p>
        </w:tc>
        <w:tc>
          <w:tcPr>
            <w:tcW w:w="1944" w:type="dxa"/>
            <w:tcMar>
              <w:top w:w="0" w:type="dxa"/>
              <w:left w:w="108" w:type="dxa"/>
              <w:bottom w:w="0" w:type="dxa"/>
              <w:right w:w="108" w:type="dxa"/>
            </w:tcMar>
            <w:hideMark/>
          </w:tcPr>
          <w:p w14:paraId="2C7AD3A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932-3</w:t>
            </w:r>
          </w:p>
        </w:tc>
        <w:tc>
          <w:tcPr>
            <w:tcW w:w="6680" w:type="dxa"/>
            <w:tcMar>
              <w:top w:w="0" w:type="dxa"/>
              <w:left w:w="108" w:type="dxa"/>
              <w:bottom w:w="0" w:type="dxa"/>
              <w:right w:w="108" w:type="dxa"/>
            </w:tcMar>
            <w:hideMark/>
          </w:tcPr>
          <w:p w14:paraId="7F15FED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podstawowych właściwości kruszyw – Procedura i terminologia uproszczonego opisu petrograficznego</w:t>
            </w:r>
          </w:p>
        </w:tc>
      </w:tr>
      <w:tr w:rsidR="00FC279F" w:rsidRPr="00C968CE" w14:paraId="5B12CB6A" w14:textId="77777777" w:rsidTr="00FC279F">
        <w:tc>
          <w:tcPr>
            <w:tcW w:w="664" w:type="dxa"/>
            <w:tcMar>
              <w:top w:w="0" w:type="dxa"/>
              <w:left w:w="108" w:type="dxa"/>
              <w:bottom w:w="0" w:type="dxa"/>
              <w:right w:w="108" w:type="dxa"/>
            </w:tcMar>
            <w:hideMark/>
          </w:tcPr>
          <w:p w14:paraId="2EDB738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w:t>
            </w:r>
          </w:p>
        </w:tc>
        <w:tc>
          <w:tcPr>
            <w:tcW w:w="1944" w:type="dxa"/>
            <w:tcMar>
              <w:top w:w="0" w:type="dxa"/>
              <w:left w:w="108" w:type="dxa"/>
              <w:bottom w:w="0" w:type="dxa"/>
              <w:right w:w="108" w:type="dxa"/>
            </w:tcMar>
            <w:hideMark/>
          </w:tcPr>
          <w:p w14:paraId="33EBBF0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933-1</w:t>
            </w:r>
          </w:p>
        </w:tc>
        <w:tc>
          <w:tcPr>
            <w:tcW w:w="6680" w:type="dxa"/>
            <w:tcMar>
              <w:top w:w="0" w:type="dxa"/>
              <w:left w:w="108" w:type="dxa"/>
              <w:bottom w:w="0" w:type="dxa"/>
              <w:right w:w="108" w:type="dxa"/>
            </w:tcMar>
            <w:hideMark/>
          </w:tcPr>
          <w:p w14:paraId="760C909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geometrycznych właściwości kruszyw – Część 1: Oznaczanie składu ziarnowego – Metoda przesiewania</w:t>
            </w:r>
          </w:p>
        </w:tc>
      </w:tr>
      <w:tr w:rsidR="00FC279F" w:rsidRPr="00C968CE" w14:paraId="1ABDE598" w14:textId="77777777" w:rsidTr="00FC279F">
        <w:tc>
          <w:tcPr>
            <w:tcW w:w="664" w:type="dxa"/>
            <w:tcMar>
              <w:top w:w="0" w:type="dxa"/>
              <w:left w:w="108" w:type="dxa"/>
              <w:bottom w:w="0" w:type="dxa"/>
              <w:right w:w="108" w:type="dxa"/>
            </w:tcMar>
            <w:hideMark/>
          </w:tcPr>
          <w:p w14:paraId="7B1278F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w:t>
            </w:r>
          </w:p>
        </w:tc>
        <w:tc>
          <w:tcPr>
            <w:tcW w:w="1944" w:type="dxa"/>
            <w:tcMar>
              <w:top w:w="0" w:type="dxa"/>
              <w:left w:w="108" w:type="dxa"/>
              <w:bottom w:w="0" w:type="dxa"/>
              <w:right w:w="108" w:type="dxa"/>
            </w:tcMar>
            <w:hideMark/>
          </w:tcPr>
          <w:p w14:paraId="0EB6DB2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933-3</w:t>
            </w:r>
          </w:p>
        </w:tc>
        <w:tc>
          <w:tcPr>
            <w:tcW w:w="6680" w:type="dxa"/>
            <w:tcMar>
              <w:top w:w="0" w:type="dxa"/>
              <w:left w:w="108" w:type="dxa"/>
              <w:bottom w:w="0" w:type="dxa"/>
              <w:right w:w="108" w:type="dxa"/>
            </w:tcMar>
            <w:hideMark/>
          </w:tcPr>
          <w:p w14:paraId="1801DE6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geometrycznych właściwości kruszyw – Część 3: Oznaczanie kształtu ziarn za pomocą wskaźnika płaskości</w:t>
            </w:r>
          </w:p>
        </w:tc>
      </w:tr>
      <w:tr w:rsidR="00FC279F" w:rsidRPr="00C968CE" w14:paraId="42DBC1FC" w14:textId="77777777" w:rsidTr="00FC279F">
        <w:tc>
          <w:tcPr>
            <w:tcW w:w="664" w:type="dxa"/>
            <w:tcMar>
              <w:top w:w="0" w:type="dxa"/>
              <w:left w:w="108" w:type="dxa"/>
              <w:bottom w:w="0" w:type="dxa"/>
              <w:right w:w="108" w:type="dxa"/>
            </w:tcMar>
            <w:hideMark/>
          </w:tcPr>
          <w:p w14:paraId="021DB95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8.</w:t>
            </w:r>
          </w:p>
        </w:tc>
        <w:tc>
          <w:tcPr>
            <w:tcW w:w="1944" w:type="dxa"/>
            <w:tcMar>
              <w:top w:w="0" w:type="dxa"/>
              <w:left w:w="108" w:type="dxa"/>
              <w:bottom w:w="0" w:type="dxa"/>
              <w:right w:w="108" w:type="dxa"/>
            </w:tcMar>
            <w:hideMark/>
          </w:tcPr>
          <w:p w14:paraId="495BC5C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933-4</w:t>
            </w:r>
          </w:p>
        </w:tc>
        <w:tc>
          <w:tcPr>
            <w:tcW w:w="6680" w:type="dxa"/>
            <w:tcMar>
              <w:top w:w="0" w:type="dxa"/>
              <w:left w:w="108" w:type="dxa"/>
              <w:bottom w:w="0" w:type="dxa"/>
              <w:right w:w="108" w:type="dxa"/>
            </w:tcMar>
            <w:hideMark/>
          </w:tcPr>
          <w:p w14:paraId="60C00DB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geometrycznych właściwości kruszyw – Część 4: Oznaczanie kształtu ziarn – Wskaźnik kształtu</w:t>
            </w:r>
          </w:p>
        </w:tc>
      </w:tr>
      <w:tr w:rsidR="00FC279F" w:rsidRPr="00C968CE" w14:paraId="5962674B" w14:textId="77777777" w:rsidTr="00FC279F">
        <w:tc>
          <w:tcPr>
            <w:tcW w:w="664" w:type="dxa"/>
            <w:tcMar>
              <w:top w:w="0" w:type="dxa"/>
              <w:left w:w="108" w:type="dxa"/>
              <w:bottom w:w="0" w:type="dxa"/>
              <w:right w:w="108" w:type="dxa"/>
            </w:tcMar>
            <w:hideMark/>
          </w:tcPr>
          <w:p w14:paraId="03ADAE7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9.</w:t>
            </w:r>
          </w:p>
        </w:tc>
        <w:tc>
          <w:tcPr>
            <w:tcW w:w="1944" w:type="dxa"/>
            <w:tcMar>
              <w:top w:w="0" w:type="dxa"/>
              <w:left w:w="108" w:type="dxa"/>
              <w:bottom w:w="0" w:type="dxa"/>
              <w:right w:w="108" w:type="dxa"/>
            </w:tcMar>
            <w:hideMark/>
          </w:tcPr>
          <w:p w14:paraId="390B2E3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933-5</w:t>
            </w:r>
          </w:p>
        </w:tc>
        <w:tc>
          <w:tcPr>
            <w:tcW w:w="6680" w:type="dxa"/>
            <w:tcMar>
              <w:top w:w="0" w:type="dxa"/>
              <w:left w:w="108" w:type="dxa"/>
              <w:bottom w:w="0" w:type="dxa"/>
              <w:right w:w="108" w:type="dxa"/>
            </w:tcMar>
            <w:hideMark/>
          </w:tcPr>
          <w:p w14:paraId="7CF836F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geometrycznych właściwości kruszyw – Oznaczanie procentowej zawartości ziarn o powierzchniach powstałych w wyniku przekruszenia lub łamania kruszyw grubych</w:t>
            </w:r>
          </w:p>
        </w:tc>
      </w:tr>
      <w:tr w:rsidR="00FC279F" w:rsidRPr="00C968CE" w14:paraId="34C4EDF5" w14:textId="77777777" w:rsidTr="00FC279F">
        <w:tc>
          <w:tcPr>
            <w:tcW w:w="664" w:type="dxa"/>
            <w:tcMar>
              <w:top w:w="0" w:type="dxa"/>
              <w:left w:w="108" w:type="dxa"/>
              <w:bottom w:w="0" w:type="dxa"/>
              <w:right w:w="108" w:type="dxa"/>
            </w:tcMar>
            <w:hideMark/>
          </w:tcPr>
          <w:p w14:paraId="2F218AE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10.</w:t>
            </w:r>
          </w:p>
        </w:tc>
        <w:tc>
          <w:tcPr>
            <w:tcW w:w="1944" w:type="dxa"/>
            <w:tcMar>
              <w:top w:w="0" w:type="dxa"/>
              <w:left w:w="108" w:type="dxa"/>
              <w:bottom w:w="0" w:type="dxa"/>
              <w:right w:w="108" w:type="dxa"/>
            </w:tcMar>
            <w:hideMark/>
          </w:tcPr>
          <w:p w14:paraId="34DB886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933-6</w:t>
            </w:r>
          </w:p>
        </w:tc>
        <w:tc>
          <w:tcPr>
            <w:tcW w:w="6680" w:type="dxa"/>
            <w:tcMar>
              <w:top w:w="0" w:type="dxa"/>
              <w:left w:w="108" w:type="dxa"/>
              <w:bottom w:w="0" w:type="dxa"/>
              <w:right w:w="108" w:type="dxa"/>
            </w:tcMar>
            <w:hideMark/>
          </w:tcPr>
          <w:p w14:paraId="650CBD3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geometrycznych właściwości kruszyw – Część 6: Ocena właściwości powierzchni – Wskaźnik przepływu kruszyw</w:t>
            </w:r>
          </w:p>
        </w:tc>
      </w:tr>
      <w:tr w:rsidR="00FC279F" w:rsidRPr="00C968CE" w14:paraId="390E6F24" w14:textId="77777777" w:rsidTr="00FC279F">
        <w:tc>
          <w:tcPr>
            <w:tcW w:w="664" w:type="dxa"/>
            <w:tcMar>
              <w:top w:w="0" w:type="dxa"/>
              <w:left w:w="108" w:type="dxa"/>
              <w:bottom w:w="0" w:type="dxa"/>
              <w:right w:w="108" w:type="dxa"/>
            </w:tcMar>
            <w:hideMark/>
          </w:tcPr>
          <w:p w14:paraId="01E9A23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11.</w:t>
            </w:r>
          </w:p>
        </w:tc>
        <w:tc>
          <w:tcPr>
            <w:tcW w:w="1944" w:type="dxa"/>
            <w:tcMar>
              <w:top w:w="0" w:type="dxa"/>
              <w:left w:w="108" w:type="dxa"/>
              <w:bottom w:w="0" w:type="dxa"/>
              <w:right w:w="108" w:type="dxa"/>
            </w:tcMar>
            <w:hideMark/>
          </w:tcPr>
          <w:p w14:paraId="7B00625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933-9</w:t>
            </w:r>
          </w:p>
        </w:tc>
        <w:tc>
          <w:tcPr>
            <w:tcW w:w="6680" w:type="dxa"/>
            <w:tcMar>
              <w:top w:w="0" w:type="dxa"/>
              <w:left w:w="108" w:type="dxa"/>
              <w:bottom w:w="0" w:type="dxa"/>
              <w:right w:w="108" w:type="dxa"/>
            </w:tcMar>
            <w:hideMark/>
          </w:tcPr>
          <w:p w14:paraId="58C92E9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geometrycznych właściwości kruszyw – Część 9: Ocena zawartości drobnych cząstek – Badania błękitem metylenowym</w:t>
            </w:r>
          </w:p>
        </w:tc>
      </w:tr>
      <w:tr w:rsidR="00FC279F" w:rsidRPr="00C968CE" w14:paraId="2C2B041F" w14:textId="77777777" w:rsidTr="00FC279F">
        <w:tc>
          <w:tcPr>
            <w:tcW w:w="664" w:type="dxa"/>
            <w:tcMar>
              <w:top w:w="0" w:type="dxa"/>
              <w:left w:w="108" w:type="dxa"/>
              <w:bottom w:w="0" w:type="dxa"/>
              <w:right w:w="108" w:type="dxa"/>
            </w:tcMar>
            <w:hideMark/>
          </w:tcPr>
          <w:p w14:paraId="79CA88B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12.</w:t>
            </w:r>
          </w:p>
        </w:tc>
        <w:tc>
          <w:tcPr>
            <w:tcW w:w="1944" w:type="dxa"/>
            <w:tcMar>
              <w:top w:w="0" w:type="dxa"/>
              <w:left w:w="108" w:type="dxa"/>
              <w:bottom w:w="0" w:type="dxa"/>
              <w:right w:w="108" w:type="dxa"/>
            </w:tcMar>
            <w:hideMark/>
          </w:tcPr>
          <w:p w14:paraId="69EB25F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933-10</w:t>
            </w:r>
          </w:p>
        </w:tc>
        <w:tc>
          <w:tcPr>
            <w:tcW w:w="6680" w:type="dxa"/>
            <w:tcMar>
              <w:top w:w="0" w:type="dxa"/>
              <w:left w:w="108" w:type="dxa"/>
              <w:bottom w:w="0" w:type="dxa"/>
              <w:right w:w="108" w:type="dxa"/>
            </w:tcMar>
            <w:hideMark/>
          </w:tcPr>
          <w:p w14:paraId="7D1BBCE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geometrycznych właściwości kruszyw – Część 10: Ocena zawartości drobnych cząstek – Uziarnienie wypełniaczy (przesiewanie w strumieniu powietrza)</w:t>
            </w:r>
          </w:p>
        </w:tc>
      </w:tr>
      <w:tr w:rsidR="00FC279F" w:rsidRPr="00C968CE" w14:paraId="318C7888" w14:textId="77777777" w:rsidTr="00FC279F">
        <w:tc>
          <w:tcPr>
            <w:tcW w:w="664" w:type="dxa"/>
            <w:tcMar>
              <w:top w:w="0" w:type="dxa"/>
              <w:left w:w="108" w:type="dxa"/>
              <w:bottom w:w="0" w:type="dxa"/>
              <w:right w:w="108" w:type="dxa"/>
            </w:tcMar>
            <w:hideMark/>
          </w:tcPr>
          <w:p w14:paraId="0949EC3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13.</w:t>
            </w:r>
          </w:p>
        </w:tc>
        <w:tc>
          <w:tcPr>
            <w:tcW w:w="1944" w:type="dxa"/>
            <w:tcMar>
              <w:top w:w="0" w:type="dxa"/>
              <w:left w:w="108" w:type="dxa"/>
              <w:bottom w:w="0" w:type="dxa"/>
              <w:right w:w="108" w:type="dxa"/>
            </w:tcMar>
            <w:hideMark/>
          </w:tcPr>
          <w:p w14:paraId="73F78A0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1097-2</w:t>
            </w:r>
          </w:p>
        </w:tc>
        <w:tc>
          <w:tcPr>
            <w:tcW w:w="6680" w:type="dxa"/>
            <w:tcMar>
              <w:top w:w="0" w:type="dxa"/>
              <w:left w:w="108" w:type="dxa"/>
              <w:bottom w:w="0" w:type="dxa"/>
              <w:right w:w="108" w:type="dxa"/>
            </w:tcMar>
            <w:hideMark/>
          </w:tcPr>
          <w:p w14:paraId="7A76905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mechanicznych i fizycznych właściwości kruszyw - Część 2: Metody oznaczania odporności na rozdrabnianie</w:t>
            </w:r>
          </w:p>
        </w:tc>
      </w:tr>
      <w:tr w:rsidR="00FC279F" w:rsidRPr="00C968CE" w14:paraId="36512730" w14:textId="77777777" w:rsidTr="00FC279F">
        <w:tc>
          <w:tcPr>
            <w:tcW w:w="664" w:type="dxa"/>
            <w:tcMar>
              <w:top w:w="0" w:type="dxa"/>
              <w:left w:w="108" w:type="dxa"/>
              <w:bottom w:w="0" w:type="dxa"/>
              <w:right w:w="108" w:type="dxa"/>
            </w:tcMar>
            <w:hideMark/>
          </w:tcPr>
          <w:p w14:paraId="74F8B6E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14.</w:t>
            </w:r>
          </w:p>
        </w:tc>
        <w:tc>
          <w:tcPr>
            <w:tcW w:w="1944" w:type="dxa"/>
            <w:tcMar>
              <w:top w:w="0" w:type="dxa"/>
              <w:left w:w="108" w:type="dxa"/>
              <w:bottom w:w="0" w:type="dxa"/>
              <w:right w:w="108" w:type="dxa"/>
            </w:tcMar>
            <w:hideMark/>
          </w:tcPr>
          <w:p w14:paraId="048E5A7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1097-3</w:t>
            </w:r>
          </w:p>
        </w:tc>
        <w:tc>
          <w:tcPr>
            <w:tcW w:w="6680" w:type="dxa"/>
            <w:tcMar>
              <w:top w:w="0" w:type="dxa"/>
              <w:left w:w="108" w:type="dxa"/>
              <w:bottom w:w="0" w:type="dxa"/>
              <w:right w:w="108" w:type="dxa"/>
            </w:tcMar>
            <w:hideMark/>
          </w:tcPr>
          <w:p w14:paraId="643091A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mechanicznych i fizycznych właściwości kruszyw - Oznaczanie gęstości nasypowej i jamistości</w:t>
            </w:r>
          </w:p>
        </w:tc>
      </w:tr>
      <w:tr w:rsidR="00FC279F" w:rsidRPr="00C968CE" w14:paraId="1CE49DA5" w14:textId="77777777" w:rsidTr="00FC279F">
        <w:tc>
          <w:tcPr>
            <w:tcW w:w="664" w:type="dxa"/>
            <w:tcMar>
              <w:top w:w="0" w:type="dxa"/>
              <w:left w:w="108" w:type="dxa"/>
              <w:bottom w:w="0" w:type="dxa"/>
              <w:right w:w="108" w:type="dxa"/>
            </w:tcMar>
            <w:hideMark/>
          </w:tcPr>
          <w:p w14:paraId="62591CA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15.</w:t>
            </w:r>
          </w:p>
        </w:tc>
        <w:tc>
          <w:tcPr>
            <w:tcW w:w="1944" w:type="dxa"/>
            <w:tcMar>
              <w:top w:w="0" w:type="dxa"/>
              <w:left w:w="108" w:type="dxa"/>
              <w:bottom w:w="0" w:type="dxa"/>
              <w:right w:w="108" w:type="dxa"/>
            </w:tcMar>
            <w:hideMark/>
          </w:tcPr>
          <w:p w14:paraId="0FACFFB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1097-4</w:t>
            </w:r>
          </w:p>
        </w:tc>
        <w:tc>
          <w:tcPr>
            <w:tcW w:w="6680" w:type="dxa"/>
            <w:tcMar>
              <w:top w:w="0" w:type="dxa"/>
              <w:left w:w="108" w:type="dxa"/>
              <w:bottom w:w="0" w:type="dxa"/>
              <w:right w:w="108" w:type="dxa"/>
            </w:tcMar>
            <w:hideMark/>
          </w:tcPr>
          <w:p w14:paraId="7ADA1F0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mechanicznych i fizycznych właściwości kruszyw – Część 4: Oznaczanie pustych przestrzeni suchego, zagęszczonego wypełniacza</w:t>
            </w:r>
          </w:p>
        </w:tc>
      </w:tr>
      <w:tr w:rsidR="00FC279F" w:rsidRPr="00C968CE" w14:paraId="352926EF" w14:textId="77777777" w:rsidTr="00FC279F">
        <w:tc>
          <w:tcPr>
            <w:tcW w:w="664" w:type="dxa"/>
            <w:tcMar>
              <w:top w:w="0" w:type="dxa"/>
              <w:left w:w="108" w:type="dxa"/>
              <w:bottom w:w="0" w:type="dxa"/>
              <w:right w:w="108" w:type="dxa"/>
            </w:tcMar>
            <w:hideMark/>
          </w:tcPr>
          <w:p w14:paraId="0980779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16.</w:t>
            </w:r>
          </w:p>
        </w:tc>
        <w:tc>
          <w:tcPr>
            <w:tcW w:w="1944" w:type="dxa"/>
            <w:tcMar>
              <w:top w:w="0" w:type="dxa"/>
              <w:left w:w="108" w:type="dxa"/>
              <w:bottom w:w="0" w:type="dxa"/>
              <w:right w:w="108" w:type="dxa"/>
            </w:tcMar>
            <w:hideMark/>
          </w:tcPr>
          <w:p w14:paraId="2079B67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1097-5</w:t>
            </w:r>
          </w:p>
        </w:tc>
        <w:tc>
          <w:tcPr>
            <w:tcW w:w="6680" w:type="dxa"/>
            <w:tcMar>
              <w:top w:w="0" w:type="dxa"/>
              <w:left w:w="108" w:type="dxa"/>
              <w:bottom w:w="0" w:type="dxa"/>
              <w:right w:w="108" w:type="dxa"/>
            </w:tcMar>
            <w:hideMark/>
          </w:tcPr>
          <w:p w14:paraId="785A242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mechanicznych i fizycznych właściwości kruszyw – Część 5: Oznaczanie zawartości wody przez suszenie w suszarce z wentylacją</w:t>
            </w:r>
          </w:p>
        </w:tc>
      </w:tr>
      <w:tr w:rsidR="00FC279F" w:rsidRPr="00C968CE" w14:paraId="4F7FB7F4" w14:textId="77777777" w:rsidTr="00FC279F">
        <w:tc>
          <w:tcPr>
            <w:tcW w:w="664" w:type="dxa"/>
            <w:tcMar>
              <w:top w:w="0" w:type="dxa"/>
              <w:left w:w="108" w:type="dxa"/>
              <w:bottom w:w="0" w:type="dxa"/>
              <w:right w:w="108" w:type="dxa"/>
            </w:tcMar>
            <w:hideMark/>
          </w:tcPr>
          <w:p w14:paraId="06C77EF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17.</w:t>
            </w:r>
          </w:p>
        </w:tc>
        <w:tc>
          <w:tcPr>
            <w:tcW w:w="1944" w:type="dxa"/>
            <w:tcMar>
              <w:top w:w="0" w:type="dxa"/>
              <w:left w:w="108" w:type="dxa"/>
              <w:bottom w:w="0" w:type="dxa"/>
              <w:right w:w="108" w:type="dxa"/>
            </w:tcMar>
            <w:hideMark/>
          </w:tcPr>
          <w:p w14:paraId="2E5E589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1097-6</w:t>
            </w:r>
          </w:p>
        </w:tc>
        <w:tc>
          <w:tcPr>
            <w:tcW w:w="6680" w:type="dxa"/>
            <w:tcMar>
              <w:top w:w="0" w:type="dxa"/>
              <w:left w:w="108" w:type="dxa"/>
              <w:bottom w:w="0" w:type="dxa"/>
              <w:right w:w="108" w:type="dxa"/>
            </w:tcMar>
            <w:hideMark/>
          </w:tcPr>
          <w:p w14:paraId="74788B2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mechanicznych i fizycznych właściwości kruszyw –Część 6: Oznaczanie gęstości ziarn i nasiąkliwości</w:t>
            </w:r>
          </w:p>
        </w:tc>
      </w:tr>
      <w:tr w:rsidR="00FC279F" w:rsidRPr="00C968CE" w14:paraId="26B406A3" w14:textId="77777777" w:rsidTr="00FC279F">
        <w:tc>
          <w:tcPr>
            <w:tcW w:w="664" w:type="dxa"/>
            <w:tcMar>
              <w:top w:w="0" w:type="dxa"/>
              <w:left w:w="108" w:type="dxa"/>
              <w:bottom w:w="0" w:type="dxa"/>
              <w:right w:w="108" w:type="dxa"/>
            </w:tcMar>
            <w:hideMark/>
          </w:tcPr>
          <w:p w14:paraId="71C0E27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18.</w:t>
            </w:r>
          </w:p>
        </w:tc>
        <w:tc>
          <w:tcPr>
            <w:tcW w:w="1944" w:type="dxa"/>
            <w:tcMar>
              <w:top w:w="0" w:type="dxa"/>
              <w:left w:w="108" w:type="dxa"/>
              <w:bottom w:w="0" w:type="dxa"/>
              <w:right w:w="108" w:type="dxa"/>
            </w:tcMar>
            <w:hideMark/>
          </w:tcPr>
          <w:p w14:paraId="0FBD768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1097-7</w:t>
            </w:r>
          </w:p>
        </w:tc>
        <w:tc>
          <w:tcPr>
            <w:tcW w:w="6680" w:type="dxa"/>
            <w:tcMar>
              <w:top w:w="0" w:type="dxa"/>
              <w:left w:w="108" w:type="dxa"/>
              <w:bottom w:w="0" w:type="dxa"/>
              <w:right w:w="108" w:type="dxa"/>
            </w:tcMar>
            <w:hideMark/>
          </w:tcPr>
          <w:p w14:paraId="7278FDF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mechanicznych i fizycznych właściwości kruszyw – Część 7: Oznaczanie gęstości wypełniacza – Metoda piknometryczna</w:t>
            </w:r>
          </w:p>
        </w:tc>
      </w:tr>
      <w:tr w:rsidR="00FC279F" w:rsidRPr="00C968CE" w14:paraId="030616CB" w14:textId="77777777" w:rsidTr="00FC279F">
        <w:tc>
          <w:tcPr>
            <w:tcW w:w="664" w:type="dxa"/>
            <w:tcMar>
              <w:top w:w="0" w:type="dxa"/>
              <w:left w:w="108" w:type="dxa"/>
              <w:bottom w:w="0" w:type="dxa"/>
              <w:right w:w="108" w:type="dxa"/>
            </w:tcMar>
            <w:hideMark/>
          </w:tcPr>
          <w:p w14:paraId="636F524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19.</w:t>
            </w:r>
          </w:p>
        </w:tc>
        <w:tc>
          <w:tcPr>
            <w:tcW w:w="1944" w:type="dxa"/>
            <w:tcMar>
              <w:top w:w="0" w:type="dxa"/>
              <w:left w:w="108" w:type="dxa"/>
              <w:bottom w:w="0" w:type="dxa"/>
              <w:right w:w="108" w:type="dxa"/>
            </w:tcMar>
            <w:hideMark/>
          </w:tcPr>
          <w:p w14:paraId="40B4A7C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1367-1</w:t>
            </w:r>
          </w:p>
        </w:tc>
        <w:tc>
          <w:tcPr>
            <w:tcW w:w="6680" w:type="dxa"/>
            <w:tcMar>
              <w:top w:w="0" w:type="dxa"/>
              <w:left w:w="108" w:type="dxa"/>
              <w:bottom w:w="0" w:type="dxa"/>
              <w:right w:w="108" w:type="dxa"/>
            </w:tcMar>
            <w:hideMark/>
          </w:tcPr>
          <w:p w14:paraId="6D94DD9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właściwości cieplnych i odporności kruszyw na działanie czynników atmosferycznych – Część 1: Oznaczanie mrozoodporności</w:t>
            </w:r>
          </w:p>
        </w:tc>
      </w:tr>
      <w:tr w:rsidR="00FC279F" w:rsidRPr="00C968CE" w14:paraId="233D2589" w14:textId="77777777" w:rsidTr="00FC279F">
        <w:tc>
          <w:tcPr>
            <w:tcW w:w="664" w:type="dxa"/>
            <w:tcMar>
              <w:top w:w="0" w:type="dxa"/>
              <w:left w:w="108" w:type="dxa"/>
              <w:bottom w:w="0" w:type="dxa"/>
              <w:right w:w="108" w:type="dxa"/>
            </w:tcMar>
            <w:hideMark/>
          </w:tcPr>
          <w:p w14:paraId="1BA525E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20.</w:t>
            </w:r>
          </w:p>
        </w:tc>
        <w:tc>
          <w:tcPr>
            <w:tcW w:w="1944" w:type="dxa"/>
            <w:tcMar>
              <w:top w:w="0" w:type="dxa"/>
              <w:left w:w="108" w:type="dxa"/>
              <w:bottom w:w="0" w:type="dxa"/>
              <w:right w:w="108" w:type="dxa"/>
            </w:tcMar>
            <w:hideMark/>
          </w:tcPr>
          <w:p w14:paraId="29AC566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1367-3</w:t>
            </w:r>
          </w:p>
        </w:tc>
        <w:tc>
          <w:tcPr>
            <w:tcW w:w="6680" w:type="dxa"/>
            <w:tcMar>
              <w:top w:w="0" w:type="dxa"/>
              <w:left w:w="108" w:type="dxa"/>
              <w:bottom w:w="0" w:type="dxa"/>
              <w:right w:w="108" w:type="dxa"/>
            </w:tcMar>
            <w:hideMark/>
          </w:tcPr>
          <w:p w14:paraId="537AA5F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właściwości cieplnych i odporności kruszyw na działanie czynników atmosferycznych – Część 3: Badanie bazaltowej zgorzeli słonecznej metodą gotowania</w:t>
            </w:r>
          </w:p>
        </w:tc>
      </w:tr>
      <w:tr w:rsidR="00FC279F" w:rsidRPr="00C968CE" w14:paraId="25BFA150" w14:textId="77777777" w:rsidTr="00FC279F">
        <w:tc>
          <w:tcPr>
            <w:tcW w:w="664" w:type="dxa"/>
            <w:tcMar>
              <w:top w:w="0" w:type="dxa"/>
              <w:left w:w="108" w:type="dxa"/>
              <w:bottom w:w="0" w:type="dxa"/>
              <w:right w:w="108" w:type="dxa"/>
            </w:tcMar>
            <w:hideMark/>
          </w:tcPr>
          <w:p w14:paraId="7BD5AC7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21.</w:t>
            </w:r>
          </w:p>
        </w:tc>
        <w:tc>
          <w:tcPr>
            <w:tcW w:w="1944" w:type="dxa"/>
            <w:tcMar>
              <w:top w:w="0" w:type="dxa"/>
              <w:left w:w="108" w:type="dxa"/>
              <w:bottom w:w="0" w:type="dxa"/>
              <w:right w:w="108" w:type="dxa"/>
            </w:tcMar>
            <w:hideMark/>
          </w:tcPr>
          <w:p w14:paraId="4F465E2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1426</w:t>
            </w:r>
          </w:p>
        </w:tc>
        <w:tc>
          <w:tcPr>
            <w:tcW w:w="6680" w:type="dxa"/>
            <w:tcMar>
              <w:top w:w="0" w:type="dxa"/>
              <w:left w:w="108" w:type="dxa"/>
              <w:bottom w:w="0" w:type="dxa"/>
              <w:right w:w="108" w:type="dxa"/>
            </w:tcMar>
            <w:hideMark/>
          </w:tcPr>
          <w:p w14:paraId="59978B1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produkty asfaltowe – Oznaczanie penetracji igłą</w:t>
            </w:r>
          </w:p>
        </w:tc>
      </w:tr>
      <w:tr w:rsidR="00FC279F" w:rsidRPr="00C968CE" w14:paraId="52B40940" w14:textId="77777777" w:rsidTr="00FC279F">
        <w:tc>
          <w:tcPr>
            <w:tcW w:w="664" w:type="dxa"/>
            <w:tcMar>
              <w:top w:w="0" w:type="dxa"/>
              <w:left w:w="108" w:type="dxa"/>
              <w:bottom w:w="0" w:type="dxa"/>
              <w:right w:w="108" w:type="dxa"/>
            </w:tcMar>
            <w:hideMark/>
          </w:tcPr>
          <w:p w14:paraId="439C372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22. </w:t>
            </w:r>
          </w:p>
        </w:tc>
        <w:tc>
          <w:tcPr>
            <w:tcW w:w="1944" w:type="dxa"/>
            <w:tcMar>
              <w:top w:w="0" w:type="dxa"/>
              <w:left w:w="108" w:type="dxa"/>
              <w:bottom w:w="0" w:type="dxa"/>
              <w:right w:w="108" w:type="dxa"/>
            </w:tcMar>
            <w:hideMark/>
          </w:tcPr>
          <w:p w14:paraId="5AFBC84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1427</w:t>
            </w:r>
          </w:p>
        </w:tc>
        <w:tc>
          <w:tcPr>
            <w:tcW w:w="6680" w:type="dxa"/>
            <w:tcMar>
              <w:top w:w="0" w:type="dxa"/>
              <w:left w:w="108" w:type="dxa"/>
              <w:bottom w:w="0" w:type="dxa"/>
              <w:right w:w="108" w:type="dxa"/>
            </w:tcMar>
            <w:hideMark/>
          </w:tcPr>
          <w:p w14:paraId="083E223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produkty asfaltowe – Oznaczanie temperatury mięknienia – Metoda Pierścień i Kula</w:t>
            </w:r>
          </w:p>
        </w:tc>
      </w:tr>
      <w:tr w:rsidR="00FC279F" w:rsidRPr="00C968CE" w14:paraId="7EA3F5E1" w14:textId="77777777" w:rsidTr="00FC279F">
        <w:tc>
          <w:tcPr>
            <w:tcW w:w="664" w:type="dxa"/>
            <w:tcMar>
              <w:top w:w="0" w:type="dxa"/>
              <w:left w:w="108" w:type="dxa"/>
              <w:bottom w:w="0" w:type="dxa"/>
              <w:right w:w="108" w:type="dxa"/>
            </w:tcMar>
            <w:hideMark/>
          </w:tcPr>
          <w:p w14:paraId="5FD3B19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23.</w:t>
            </w:r>
          </w:p>
        </w:tc>
        <w:tc>
          <w:tcPr>
            <w:tcW w:w="1944" w:type="dxa"/>
            <w:tcMar>
              <w:top w:w="0" w:type="dxa"/>
              <w:left w:w="108" w:type="dxa"/>
              <w:bottom w:w="0" w:type="dxa"/>
              <w:right w:w="108" w:type="dxa"/>
            </w:tcMar>
            <w:hideMark/>
          </w:tcPr>
          <w:p w14:paraId="5750E9C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1744-1</w:t>
            </w:r>
          </w:p>
        </w:tc>
        <w:tc>
          <w:tcPr>
            <w:tcW w:w="6680" w:type="dxa"/>
            <w:tcMar>
              <w:top w:w="0" w:type="dxa"/>
              <w:left w:w="108" w:type="dxa"/>
              <w:bottom w:w="0" w:type="dxa"/>
              <w:right w:w="108" w:type="dxa"/>
            </w:tcMar>
            <w:hideMark/>
          </w:tcPr>
          <w:p w14:paraId="5625AE7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chemicznych właściwości kruszyw – Analiza chemiczna</w:t>
            </w:r>
          </w:p>
        </w:tc>
      </w:tr>
      <w:tr w:rsidR="00FC279F" w:rsidRPr="00C968CE" w14:paraId="1C9BF8AC" w14:textId="77777777" w:rsidTr="00FC279F">
        <w:tc>
          <w:tcPr>
            <w:tcW w:w="664" w:type="dxa"/>
            <w:tcMar>
              <w:top w:w="0" w:type="dxa"/>
              <w:left w:w="108" w:type="dxa"/>
              <w:bottom w:w="0" w:type="dxa"/>
              <w:right w:w="108" w:type="dxa"/>
            </w:tcMar>
            <w:hideMark/>
          </w:tcPr>
          <w:p w14:paraId="731CBE5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24.</w:t>
            </w:r>
          </w:p>
        </w:tc>
        <w:tc>
          <w:tcPr>
            <w:tcW w:w="1944" w:type="dxa"/>
            <w:tcMar>
              <w:top w:w="0" w:type="dxa"/>
              <w:left w:w="108" w:type="dxa"/>
              <w:bottom w:w="0" w:type="dxa"/>
              <w:right w:w="108" w:type="dxa"/>
            </w:tcMar>
            <w:hideMark/>
          </w:tcPr>
          <w:p w14:paraId="30BEBDF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12591</w:t>
            </w:r>
          </w:p>
        </w:tc>
        <w:tc>
          <w:tcPr>
            <w:tcW w:w="6680" w:type="dxa"/>
            <w:tcMar>
              <w:top w:w="0" w:type="dxa"/>
              <w:left w:w="108" w:type="dxa"/>
              <w:bottom w:w="0" w:type="dxa"/>
              <w:right w:w="108" w:type="dxa"/>
            </w:tcMar>
            <w:hideMark/>
          </w:tcPr>
          <w:p w14:paraId="208B572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produkty asfaltowe – Wymagania dla asfaltów drogowych</w:t>
            </w:r>
          </w:p>
        </w:tc>
      </w:tr>
      <w:tr w:rsidR="00FC279F" w:rsidRPr="00C968CE" w14:paraId="19C15DB4" w14:textId="77777777" w:rsidTr="00FC279F">
        <w:tc>
          <w:tcPr>
            <w:tcW w:w="664" w:type="dxa"/>
            <w:tcMar>
              <w:top w:w="0" w:type="dxa"/>
              <w:left w:w="108" w:type="dxa"/>
              <w:bottom w:w="0" w:type="dxa"/>
              <w:right w:w="108" w:type="dxa"/>
            </w:tcMar>
            <w:hideMark/>
          </w:tcPr>
          <w:p w14:paraId="269F8F1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25.</w:t>
            </w:r>
          </w:p>
        </w:tc>
        <w:tc>
          <w:tcPr>
            <w:tcW w:w="1944" w:type="dxa"/>
            <w:tcMar>
              <w:top w:w="0" w:type="dxa"/>
              <w:left w:w="108" w:type="dxa"/>
              <w:bottom w:w="0" w:type="dxa"/>
              <w:right w:w="108" w:type="dxa"/>
            </w:tcMar>
            <w:hideMark/>
          </w:tcPr>
          <w:p w14:paraId="524220F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12592</w:t>
            </w:r>
          </w:p>
        </w:tc>
        <w:tc>
          <w:tcPr>
            <w:tcW w:w="6680" w:type="dxa"/>
            <w:tcMar>
              <w:top w:w="0" w:type="dxa"/>
              <w:left w:w="108" w:type="dxa"/>
              <w:bottom w:w="0" w:type="dxa"/>
              <w:right w:w="108" w:type="dxa"/>
            </w:tcMar>
            <w:hideMark/>
          </w:tcPr>
          <w:p w14:paraId="4DF70D2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produkty asfaltowe – Oznaczanie rozpuszczalności</w:t>
            </w:r>
          </w:p>
        </w:tc>
      </w:tr>
      <w:tr w:rsidR="00FC279F" w:rsidRPr="00C968CE" w14:paraId="7FBE6581" w14:textId="77777777" w:rsidTr="00FC279F">
        <w:tc>
          <w:tcPr>
            <w:tcW w:w="664" w:type="dxa"/>
            <w:tcMar>
              <w:top w:w="0" w:type="dxa"/>
              <w:left w:w="108" w:type="dxa"/>
              <w:bottom w:w="0" w:type="dxa"/>
              <w:right w:w="108" w:type="dxa"/>
            </w:tcMar>
            <w:hideMark/>
          </w:tcPr>
          <w:p w14:paraId="2A347A8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26.</w:t>
            </w:r>
          </w:p>
        </w:tc>
        <w:tc>
          <w:tcPr>
            <w:tcW w:w="1944" w:type="dxa"/>
            <w:tcMar>
              <w:top w:w="0" w:type="dxa"/>
              <w:left w:w="108" w:type="dxa"/>
              <w:bottom w:w="0" w:type="dxa"/>
              <w:right w:w="108" w:type="dxa"/>
            </w:tcMar>
            <w:hideMark/>
          </w:tcPr>
          <w:p w14:paraId="3A4CCF4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12593</w:t>
            </w:r>
          </w:p>
        </w:tc>
        <w:tc>
          <w:tcPr>
            <w:tcW w:w="6680" w:type="dxa"/>
            <w:tcMar>
              <w:top w:w="0" w:type="dxa"/>
              <w:left w:w="108" w:type="dxa"/>
              <w:bottom w:w="0" w:type="dxa"/>
              <w:right w:w="108" w:type="dxa"/>
            </w:tcMar>
            <w:hideMark/>
          </w:tcPr>
          <w:p w14:paraId="2FB9A36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produkty asfaltowe – Oznaczanie temperatury łamliwości Fraassa</w:t>
            </w:r>
          </w:p>
        </w:tc>
      </w:tr>
      <w:tr w:rsidR="00FC279F" w:rsidRPr="00C968CE" w14:paraId="19AFA5BE" w14:textId="77777777" w:rsidTr="00FC279F">
        <w:tc>
          <w:tcPr>
            <w:tcW w:w="664" w:type="dxa"/>
            <w:tcMar>
              <w:top w:w="0" w:type="dxa"/>
              <w:left w:w="108" w:type="dxa"/>
              <w:bottom w:w="0" w:type="dxa"/>
              <w:right w:w="108" w:type="dxa"/>
            </w:tcMar>
            <w:hideMark/>
          </w:tcPr>
          <w:p w14:paraId="464903D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27.</w:t>
            </w:r>
          </w:p>
        </w:tc>
        <w:tc>
          <w:tcPr>
            <w:tcW w:w="1944" w:type="dxa"/>
            <w:tcMar>
              <w:top w:w="0" w:type="dxa"/>
              <w:left w:w="108" w:type="dxa"/>
              <w:bottom w:w="0" w:type="dxa"/>
              <w:right w:w="108" w:type="dxa"/>
            </w:tcMar>
            <w:hideMark/>
          </w:tcPr>
          <w:p w14:paraId="7A244FC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12595</w:t>
            </w:r>
          </w:p>
        </w:tc>
        <w:tc>
          <w:tcPr>
            <w:tcW w:w="6680" w:type="dxa"/>
            <w:tcMar>
              <w:top w:w="0" w:type="dxa"/>
              <w:left w:w="108" w:type="dxa"/>
              <w:bottom w:w="0" w:type="dxa"/>
              <w:right w:w="108" w:type="dxa"/>
            </w:tcMar>
            <w:hideMark/>
          </w:tcPr>
          <w:p w14:paraId="5E16545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Oznaczanie lepkości kinematycznej</w:t>
            </w:r>
          </w:p>
        </w:tc>
      </w:tr>
      <w:tr w:rsidR="00FC279F" w:rsidRPr="00C968CE" w14:paraId="178B7F42" w14:textId="77777777" w:rsidTr="00FC279F">
        <w:tc>
          <w:tcPr>
            <w:tcW w:w="664" w:type="dxa"/>
            <w:tcMar>
              <w:top w:w="0" w:type="dxa"/>
              <w:left w:w="108" w:type="dxa"/>
              <w:bottom w:w="0" w:type="dxa"/>
              <w:right w:w="108" w:type="dxa"/>
            </w:tcMar>
            <w:hideMark/>
          </w:tcPr>
          <w:p w14:paraId="02762CB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lastRenderedPageBreak/>
              <w:t>28.</w:t>
            </w:r>
          </w:p>
        </w:tc>
        <w:tc>
          <w:tcPr>
            <w:tcW w:w="1944" w:type="dxa"/>
            <w:tcMar>
              <w:top w:w="0" w:type="dxa"/>
              <w:left w:w="108" w:type="dxa"/>
              <w:bottom w:w="0" w:type="dxa"/>
              <w:right w:w="108" w:type="dxa"/>
            </w:tcMar>
            <w:hideMark/>
          </w:tcPr>
          <w:p w14:paraId="0A9E0EE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12596</w:t>
            </w:r>
          </w:p>
        </w:tc>
        <w:tc>
          <w:tcPr>
            <w:tcW w:w="6680" w:type="dxa"/>
            <w:tcMar>
              <w:top w:w="0" w:type="dxa"/>
              <w:left w:w="108" w:type="dxa"/>
              <w:bottom w:w="0" w:type="dxa"/>
              <w:right w:w="108" w:type="dxa"/>
            </w:tcMar>
            <w:hideMark/>
          </w:tcPr>
          <w:p w14:paraId="6CAF2E2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Oznaczanie lepkości dynamicznej metodą próżniowej kapilary</w:t>
            </w:r>
          </w:p>
        </w:tc>
      </w:tr>
      <w:tr w:rsidR="00FC279F" w:rsidRPr="00C968CE" w14:paraId="6D9365FC" w14:textId="77777777" w:rsidTr="00FC279F">
        <w:tc>
          <w:tcPr>
            <w:tcW w:w="664" w:type="dxa"/>
            <w:tcMar>
              <w:top w:w="0" w:type="dxa"/>
              <w:left w:w="108" w:type="dxa"/>
              <w:bottom w:w="0" w:type="dxa"/>
              <w:right w:w="108" w:type="dxa"/>
            </w:tcMar>
            <w:hideMark/>
          </w:tcPr>
          <w:p w14:paraId="5D9DC88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29.</w:t>
            </w:r>
          </w:p>
        </w:tc>
        <w:tc>
          <w:tcPr>
            <w:tcW w:w="1944" w:type="dxa"/>
            <w:tcMar>
              <w:top w:w="0" w:type="dxa"/>
              <w:left w:w="108" w:type="dxa"/>
              <w:bottom w:w="0" w:type="dxa"/>
              <w:right w:w="108" w:type="dxa"/>
            </w:tcMar>
            <w:hideMark/>
          </w:tcPr>
          <w:p w14:paraId="09232D8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12607-1</w:t>
            </w:r>
          </w:p>
        </w:tc>
        <w:tc>
          <w:tcPr>
            <w:tcW w:w="6680" w:type="dxa"/>
            <w:tcMar>
              <w:top w:w="0" w:type="dxa"/>
              <w:left w:w="108" w:type="dxa"/>
              <w:bottom w:w="0" w:type="dxa"/>
              <w:right w:w="108" w:type="dxa"/>
            </w:tcMar>
            <w:hideMark/>
          </w:tcPr>
          <w:p w14:paraId="2595596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Asfalty i produkty asfaltowe – Oznaczanie odporności na twardnienie pod wpływem ciepła i powietrza – Część 1: Metoda RTFOT </w:t>
            </w:r>
          </w:p>
        </w:tc>
      </w:tr>
      <w:tr w:rsidR="00FC279F" w:rsidRPr="00C968CE" w14:paraId="1033AC5C" w14:textId="77777777" w:rsidTr="00FC279F">
        <w:tc>
          <w:tcPr>
            <w:tcW w:w="664" w:type="dxa"/>
            <w:tcMar>
              <w:top w:w="0" w:type="dxa"/>
              <w:left w:w="108" w:type="dxa"/>
              <w:bottom w:w="0" w:type="dxa"/>
              <w:right w:w="108" w:type="dxa"/>
            </w:tcMar>
            <w:hideMark/>
          </w:tcPr>
          <w:p w14:paraId="4ABC5CC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30.</w:t>
            </w:r>
          </w:p>
        </w:tc>
        <w:tc>
          <w:tcPr>
            <w:tcW w:w="1944" w:type="dxa"/>
            <w:tcMar>
              <w:top w:w="0" w:type="dxa"/>
              <w:left w:w="108" w:type="dxa"/>
              <w:bottom w:w="0" w:type="dxa"/>
              <w:right w:w="108" w:type="dxa"/>
            </w:tcMar>
            <w:hideMark/>
          </w:tcPr>
          <w:p w14:paraId="373FE4E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12607-3</w:t>
            </w:r>
          </w:p>
        </w:tc>
        <w:tc>
          <w:tcPr>
            <w:tcW w:w="6680" w:type="dxa"/>
            <w:tcMar>
              <w:top w:w="0" w:type="dxa"/>
              <w:left w:w="108" w:type="dxa"/>
              <w:bottom w:w="0" w:type="dxa"/>
              <w:right w:w="108" w:type="dxa"/>
            </w:tcMar>
            <w:hideMark/>
          </w:tcPr>
          <w:p w14:paraId="293C7A7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produkty asfaltowe – Oznaczanie odporności na twardnienie pod wpływem ciepła i powietrza – Część 3: Metoda RFT</w:t>
            </w:r>
          </w:p>
        </w:tc>
      </w:tr>
      <w:tr w:rsidR="00FC279F" w:rsidRPr="00C968CE" w14:paraId="6AE999EA" w14:textId="77777777" w:rsidTr="00FC279F">
        <w:tc>
          <w:tcPr>
            <w:tcW w:w="664" w:type="dxa"/>
            <w:tcMar>
              <w:top w:w="0" w:type="dxa"/>
              <w:left w:w="108" w:type="dxa"/>
              <w:bottom w:w="0" w:type="dxa"/>
              <w:right w:w="108" w:type="dxa"/>
            </w:tcMar>
            <w:hideMark/>
          </w:tcPr>
          <w:p w14:paraId="2967F99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31.</w:t>
            </w:r>
          </w:p>
        </w:tc>
        <w:tc>
          <w:tcPr>
            <w:tcW w:w="1944" w:type="dxa"/>
            <w:tcMar>
              <w:top w:w="0" w:type="dxa"/>
              <w:left w:w="108" w:type="dxa"/>
              <w:bottom w:w="0" w:type="dxa"/>
              <w:right w:w="108" w:type="dxa"/>
            </w:tcMar>
            <w:hideMark/>
          </w:tcPr>
          <w:p w14:paraId="14DE401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12697-1</w:t>
            </w:r>
          </w:p>
        </w:tc>
        <w:tc>
          <w:tcPr>
            <w:tcW w:w="6680" w:type="dxa"/>
            <w:tcMar>
              <w:top w:w="0" w:type="dxa"/>
              <w:left w:w="108" w:type="dxa"/>
              <w:bottom w:w="0" w:type="dxa"/>
              <w:right w:w="108" w:type="dxa"/>
            </w:tcMar>
            <w:hideMark/>
          </w:tcPr>
          <w:p w14:paraId="2D4C807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1: Zawartość lepiszcza rozpuszczalnego</w:t>
            </w:r>
          </w:p>
        </w:tc>
      </w:tr>
      <w:tr w:rsidR="00FC279F" w:rsidRPr="00C968CE" w14:paraId="41D3A695" w14:textId="77777777" w:rsidTr="00FC279F">
        <w:tc>
          <w:tcPr>
            <w:tcW w:w="664" w:type="dxa"/>
            <w:tcMar>
              <w:top w:w="0" w:type="dxa"/>
              <w:left w:w="108" w:type="dxa"/>
              <w:bottom w:w="0" w:type="dxa"/>
              <w:right w:w="108" w:type="dxa"/>
            </w:tcMar>
            <w:hideMark/>
          </w:tcPr>
          <w:p w14:paraId="1EC29EC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32.</w:t>
            </w:r>
          </w:p>
        </w:tc>
        <w:tc>
          <w:tcPr>
            <w:tcW w:w="1944" w:type="dxa"/>
            <w:tcMar>
              <w:top w:w="0" w:type="dxa"/>
              <w:left w:w="108" w:type="dxa"/>
              <w:bottom w:w="0" w:type="dxa"/>
              <w:right w:w="108" w:type="dxa"/>
            </w:tcMar>
            <w:hideMark/>
          </w:tcPr>
          <w:p w14:paraId="2B52A41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12697-2</w:t>
            </w:r>
          </w:p>
        </w:tc>
        <w:tc>
          <w:tcPr>
            <w:tcW w:w="6680" w:type="dxa"/>
            <w:tcMar>
              <w:top w:w="0" w:type="dxa"/>
              <w:left w:w="108" w:type="dxa"/>
              <w:bottom w:w="0" w:type="dxa"/>
              <w:right w:w="108" w:type="dxa"/>
            </w:tcMar>
            <w:hideMark/>
          </w:tcPr>
          <w:p w14:paraId="1C6DF81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2: Oznaczanie składu ziarnowego</w:t>
            </w:r>
          </w:p>
        </w:tc>
      </w:tr>
      <w:tr w:rsidR="00FC279F" w:rsidRPr="00C968CE" w14:paraId="2B257A65" w14:textId="77777777" w:rsidTr="00FC279F">
        <w:tc>
          <w:tcPr>
            <w:tcW w:w="664" w:type="dxa"/>
            <w:tcMar>
              <w:top w:w="0" w:type="dxa"/>
              <w:left w:w="108" w:type="dxa"/>
              <w:bottom w:w="0" w:type="dxa"/>
              <w:right w:w="108" w:type="dxa"/>
            </w:tcMar>
            <w:hideMark/>
          </w:tcPr>
          <w:p w14:paraId="6FAA714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33.</w:t>
            </w:r>
          </w:p>
        </w:tc>
        <w:tc>
          <w:tcPr>
            <w:tcW w:w="1944" w:type="dxa"/>
            <w:tcMar>
              <w:top w:w="0" w:type="dxa"/>
              <w:left w:w="108" w:type="dxa"/>
              <w:bottom w:w="0" w:type="dxa"/>
              <w:right w:w="108" w:type="dxa"/>
            </w:tcMar>
            <w:hideMark/>
          </w:tcPr>
          <w:p w14:paraId="78C79D4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12697-3</w:t>
            </w:r>
          </w:p>
        </w:tc>
        <w:tc>
          <w:tcPr>
            <w:tcW w:w="6680" w:type="dxa"/>
            <w:tcMar>
              <w:top w:w="0" w:type="dxa"/>
              <w:left w:w="108" w:type="dxa"/>
              <w:bottom w:w="0" w:type="dxa"/>
              <w:right w:w="108" w:type="dxa"/>
            </w:tcMar>
            <w:hideMark/>
          </w:tcPr>
          <w:p w14:paraId="1CE8D44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3: Odzyskiwanie asfaltu: Wyparka obrotowa</w:t>
            </w:r>
          </w:p>
        </w:tc>
      </w:tr>
      <w:tr w:rsidR="00FC279F" w:rsidRPr="00C968CE" w14:paraId="34736306" w14:textId="77777777" w:rsidTr="00FC279F">
        <w:tc>
          <w:tcPr>
            <w:tcW w:w="664" w:type="dxa"/>
            <w:tcMar>
              <w:top w:w="0" w:type="dxa"/>
              <w:left w:w="108" w:type="dxa"/>
              <w:bottom w:w="0" w:type="dxa"/>
              <w:right w:w="108" w:type="dxa"/>
            </w:tcMar>
            <w:hideMark/>
          </w:tcPr>
          <w:p w14:paraId="57D5482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34.</w:t>
            </w:r>
          </w:p>
        </w:tc>
        <w:tc>
          <w:tcPr>
            <w:tcW w:w="1944" w:type="dxa"/>
            <w:tcMar>
              <w:top w:w="0" w:type="dxa"/>
              <w:left w:w="108" w:type="dxa"/>
              <w:bottom w:w="0" w:type="dxa"/>
              <w:right w:w="108" w:type="dxa"/>
            </w:tcMar>
            <w:hideMark/>
          </w:tcPr>
          <w:p w14:paraId="2C3E341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12697-4</w:t>
            </w:r>
          </w:p>
        </w:tc>
        <w:tc>
          <w:tcPr>
            <w:tcW w:w="6680" w:type="dxa"/>
            <w:tcMar>
              <w:top w:w="0" w:type="dxa"/>
              <w:left w:w="108" w:type="dxa"/>
              <w:bottom w:w="0" w:type="dxa"/>
              <w:right w:w="108" w:type="dxa"/>
            </w:tcMar>
            <w:hideMark/>
          </w:tcPr>
          <w:p w14:paraId="696074F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4: Odzyskiwanie asfaltu -- Kolumna do destylacji frakcyjnej</w:t>
            </w:r>
          </w:p>
        </w:tc>
      </w:tr>
      <w:tr w:rsidR="00FC279F" w:rsidRPr="00C968CE" w14:paraId="01772C1A" w14:textId="77777777" w:rsidTr="00FC279F">
        <w:tc>
          <w:tcPr>
            <w:tcW w:w="664" w:type="dxa"/>
            <w:tcMar>
              <w:top w:w="0" w:type="dxa"/>
              <w:left w:w="108" w:type="dxa"/>
              <w:bottom w:w="0" w:type="dxa"/>
              <w:right w:w="108" w:type="dxa"/>
            </w:tcMar>
            <w:hideMark/>
          </w:tcPr>
          <w:p w14:paraId="49AAA15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35.</w:t>
            </w:r>
          </w:p>
        </w:tc>
        <w:tc>
          <w:tcPr>
            <w:tcW w:w="1944" w:type="dxa"/>
            <w:tcMar>
              <w:top w:w="0" w:type="dxa"/>
              <w:left w:w="108" w:type="dxa"/>
              <w:bottom w:w="0" w:type="dxa"/>
              <w:right w:w="108" w:type="dxa"/>
            </w:tcMar>
            <w:hideMark/>
          </w:tcPr>
          <w:p w14:paraId="31FD51D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12697-5</w:t>
            </w:r>
          </w:p>
        </w:tc>
        <w:tc>
          <w:tcPr>
            <w:tcW w:w="6680" w:type="dxa"/>
            <w:tcMar>
              <w:top w:w="0" w:type="dxa"/>
              <w:left w:w="108" w:type="dxa"/>
              <w:bottom w:w="0" w:type="dxa"/>
              <w:right w:w="108" w:type="dxa"/>
            </w:tcMar>
            <w:hideMark/>
          </w:tcPr>
          <w:p w14:paraId="5E3A666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5: Oznaczanie gęstości</w:t>
            </w:r>
          </w:p>
        </w:tc>
      </w:tr>
      <w:tr w:rsidR="00FC279F" w:rsidRPr="00C968CE" w14:paraId="27F15141" w14:textId="77777777" w:rsidTr="00FC279F">
        <w:tc>
          <w:tcPr>
            <w:tcW w:w="664" w:type="dxa"/>
            <w:tcMar>
              <w:top w:w="0" w:type="dxa"/>
              <w:left w:w="108" w:type="dxa"/>
              <w:bottom w:w="0" w:type="dxa"/>
              <w:right w:w="108" w:type="dxa"/>
            </w:tcMar>
            <w:hideMark/>
          </w:tcPr>
          <w:p w14:paraId="53E39B2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36.</w:t>
            </w:r>
          </w:p>
        </w:tc>
        <w:tc>
          <w:tcPr>
            <w:tcW w:w="1944" w:type="dxa"/>
            <w:tcMar>
              <w:top w:w="0" w:type="dxa"/>
              <w:left w:w="108" w:type="dxa"/>
              <w:bottom w:w="0" w:type="dxa"/>
              <w:right w:w="108" w:type="dxa"/>
            </w:tcMar>
            <w:hideMark/>
          </w:tcPr>
          <w:p w14:paraId="5DC388A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12697-6</w:t>
            </w:r>
          </w:p>
        </w:tc>
        <w:tc>
          <w:tcPr>
            <w:tcW w:w="6680" w:type="dxa"/>
            <w:tcMar>
              <w:top w:w="0" w:type="dxa"/>
              <w:left w:w="108" w:type="dxa"/>
              <w:bottom w:w="0" w:type="dxa"/>
              <w:right w:w="108" w:type="dxa"/>
            </w:tcMar>
            <w:hideMark/>
          </w:tcPr>
          <w:p w14:paraId="315F169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6: Oznaczanie gęstości objętościowej próbek mieszanki mineralno-asfaltowej</w:t>
            </w:r>
          </w:p>
        </w:tc>
      </w:tr>
      <w:tr w:rsidR="00FC279F" w:rsidRPr="00C968CE" w14:paraId="53C905CF" w14:textId="77777777" w:rsidTr="00FC279F">
        <w:tc>
          <w:tcPr>
            <w:tcW w:w="664" w:type="dxa"/>
            <w:tcMar>
              <w:top w:w="0" w:type="dxa"/>
              <w:left w:w="108" w:type="dxa"/>
              <w:bottom w:w="0" w:type="dxa"/>
              <w:right w:w="108" w:type="dxa"/>
            </w:tcMar>
            <w:hideMark/>
          </w:tcPr>
          <w:p w14:paraId="6FC6F44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37.</w:t>
            </w:r>
          </w:p>
        </w:tc>
        <w:tc>
          <w:tcPr>
            <w:tcW w:w="1944" w:type="dxa"/>
            <w:tcMar>
              <w:top w:w="0" w:type="dxa"/>
              <w:left w:w="108" w:type="dxa"/>
              <w:bottom w:w="0" w:type="dxa"/>
              <w:right w:w="108" w:type="dxa"/>
            </w:tcMar>
            <w:hideMark/>
          </w:tcPr>
          <w:p w14:paraId="3E95C3B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12697-8</w:t>
            </w:r>
          </w:p>
        </w:tc>
        <w:tc>
          <w:tcPr>
            <w:tcW w:w="6680" w:type="dxa"/>
            <w:tcMar>
              <w:top w:w="0" w:type="dxa"/>
              <w:left w:w="108" w:type="dxa"/>
              <w:bottom w:w="0" w:type="dxa"/>
              <w:right w:w="108" w:type="dxa"/>
            </w:tcMar>
            <w:hideMark/>
          </w:tcPr>
          <w:p w14:paraId="128357B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8: Oznaczanie zawartości wolnej przestrzeni</w:t>
            </w:r>
          </w:p>
        </w:tc>
      </w:tr>
      <w:tr w:rsidR="00FC279F" w:rsidRPr="00C968CE" w14:paraId="7935F56A" w14:textId="77777777" w:rsidTr="00FC279F">
        <w:tc>
          <w:tcPr>
            <w:tcW w:w="664" w:type="dxa"/>
            <w:tcMar>
              <w:top w:w="0" w:type="dxa"/>
              <w:left w:w="108" w:type="dxa"/>
              <w:bottom w:w="0" w:type="dxa"/>
              <w:right w:w="108" w:type="dxa"/>
            </w:tcMar>
            <w:hideMark/>
          </w:tcPr>
          <w:p w14:paraId="61F0B97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38.</w:t>
            </w:r>
          </w:p>
        </w:tc>
        <w:tc>
          <w:tcPr>
            <w:tcW w:w="1944" w:type="dxa"/>
            <w:tcMar>
              <w:top w:w="0" w:type="dxa"/>
              <w:left w:w="108" w:type="dxa"/>
              <w:bottom w:w="0" w:type="dxa"/>
              <w:right w:w="108" w:type="dxa"/>
            </w:tcMar>
            <w:hideMark/>
          </w:tcPr>
          <w:p w14:paraId="6B08710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12697-11</w:t>
            </w:r>
          </w:p>
        </w:tc>
        <w:tc>
          <w:tcPr>
            <w:tcW w:w="6680" w:type="dxa"/>
            <w:tcMar>
              <w:top w:w="0" w:type="dxa"/>
              <w:left w:w="108" w:type="dxa"/>
              <w:bottom w:w="0" w:type="dxa"/>
              <w:right w:w="108" w:type="dxa"/>
            </w:tcMar>
            <w:hideMark/>
          </w:tcPr>
          <w:p w14:paraId="3DE444F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11: Oznaczanie powinowactwa pomiędzy kruszywem i asfaltem</w:t>
            </w:r>
          </w:p>
        </w:tc>
      </w:tr>
      <w:tr w:rsidR="00FC279F" w:rsidRPr="00C968CE" w14:paraId="1CE67BB1" w14:textId="77777777" w:rsidTr="00FC279F">
        <w:tc>
          <w:tcPr>
            <w:tcW w:w="664" w:type="dxa"/>
            <w:tcMar>
              <w:top w:w="0" w:type="dxa"/>
              <w:left w:w="108" w:type="dxa"/>
              <w:bottom w:w="0" w:type="dxa"/>
              <w:right w:w="108" w:type="dxa"/>
            </w:tcMar>
            <w:hideMark/>
          </w:tcPr>
          <w:p w14:paraId="2614ED3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39.</w:t>
            </w:r>
          </w:p>
        </w:tc>
        <w:tc>
          <w:tcPr>
            <w:tcW w:w="1944" w:type="dxa"/>
            <w:tcMar>
              <w:top w:w="0" w:type="dxa"/>
              <w:left w:w="108" w:type="dxa"/>
              <w:bottom w:w="0" w:type="dxa"/>
              <w:right w:w="108" w:type="dxa"/>
            </w:tcMar>
            <w:hideMark/>
          </w:tcPr>
          <w:p w14:paraId="0BDD9E8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12697-12</w:t>
            </w:r>
          </w:p>
        </w:tc>
        <w:tc>
          <w:tcPr>
            <w:tcW w:w="6680" w:type="dxa"/>
            <w:tcMar>
              <w:top w:w="0" w:type="dxa"/>
              <w:left w:w="108" w:type="dxa"/>
              <w:bottom w:w="0" w:type="dxa"/>
              <w:right w:w="108" w:type="dxa"/>
            </w:tcMar>
            <w:hideMark/>
          </w:tcPr>
          <w:p w14:paraId="5016FCA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12: Określanie wrażliwości próbek asfaltowych na wodę</w:t>
            </w:r>
          </w:p>
        </w:tc>
      </w:tr>
      <w:tr w:rsidR="00FC279F" w:rsidRPr="00C968CE" w14:paraId="1FDC4EE1" w14:textId="77777777" w:rsidTr="00FC279F">
        <w:tc>
          <w:tcPr>
            <w:tcW w:w="664" w:type="dxa"/>
            <w:tcMar>
              <w:top w:w="0" w:type="dxa"/>
              <w:left w:w="108" w:type="dxa"/>
              <w:bottom w:w="0" w:type="dxa"/>
              <w:right w:w="108" w:type="dxa"/>
            </w:tcMar>
            <w:hideMark/>
          </w:tcPr>
          <w:p w14:paraId="5123E88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40.</w:t>
            </w:r>
          </w:p>
        </w:tc>
        <w:tc>
          <w:tcPr>
            <w:tcW w:w="1944" w:type="dxa"/>
            <w:tcMar>
              <w:top w:w="0" w:type="dxa"/>
              <w:left w:w="108" w:type="dxa"/>
              <w:bottom w:w="0" w:type="dxa"/>
              <w:right w:w="108" w:type="dxa"/>
            </w:tcMar>
            <w:hideMark/>
          </w:tcPr>
          <w:p w14:paraId="699D4C5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12697-13</w:t>
            </w:r>
          </w:p>
        </w:tc>
        <w:tc>
          <w:tcPr>
            <w:tcW w:w="6680" w:type="dxa"/>
            <w:tcMar>
              <w:top w:w="0" w:type="dxa"/>
              <w:left w:w="108" w:type="dxa"/>
              <w:bottom w:w="0" w:type="dxa"/>
              <w:right w:w="108" w:type="dxa"/>
            </w:tcMar>
            <w:hideMark/>
          </w:tcPr>
          <w:p w14:paraId="5286FE7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13: Pomiar temperatury</w:t>
            </w:r>
          </w:p>
        </w:tc>
      </w:tr>
      <w:tr w:rsidR="00FC279F" w:rsidRPr="00C968CE" w14:paraId="7808A7F5" w14:textId="77777777" w:rsidTr="00FC279F">
        <w:tc>
          <w:tcPr>
            <w:tcW w:w="664" w:type="dxa"/>
            <w:tcMar>
              <w:top w:w="0" w:type="dxa"/>
              <w:left w:w="108" w:type="dxa"/>
              <w:bottom w:w="0" w:type="dxa"/>
              <w:right w:w="108" w:type="dxa"/>
            </w:tcMar>
            <w:hideMark/>
          </w:tcPr>
          <w:p w14:paraId="61CAE40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41.</w:t>
            </w:r>
          </w:p>
        </w:tc>
        <w:tc>
          <w:tcPr>
            <w:tcW w:w="1944" w:type="dxa"/>
            <w:tcMar>
              <w:top w:w="0" w:type="dxa"/>
              <w:left w:w="108" w:type="dxa"/>
              <w:bottom w:w="0" w:type="dxa"/>
              <w:right w:w="108" w:type="dxa"/>
            </w:tcMar>
            <w:hideMark/>
          </w:tcPr>
          <w:p w14:paraId="3F9BD08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12697-22</w:t>
            </w:r>
          </w:p>
        </w:tc>
        <w:tc>
          <w:tcPr>
            <w:tcW w:w="6680" w:type="dxa"/>
            <w:tcMar>
              <w:top w:w="0" w:type="dxa"/>
              <w:left w:w="108" w:type="dxa"/>
              <w:bottom w:w="0" w:type="dxa"/>
              <w:right w:w="108" w:type="dxa"/>
            </w:tcMar>
            <w:hideMark/>
          </w:tcPr>
          <w:p w14:paraId="579B333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22: Koleinowanie</w:t>
            </w:r>
          </w:p>
        </w:tc>
      </w:tr>
      <w:tr w:rsidR="00FC279F" w:rsidRPr="00C968CE" w14:paraId="332DF908" w14:textId="77777777" w:rsidTr="00FC279F">
        <w:tc>
          <w:tcPr>
            <w:tcW w:w="664" w:type="dxa"/>
            <w:tcMar>
              <w:top w:w="0" w:type="dxa"/>
              <w:left w:w="108" w:type="dxa"/>
              <w:bottom w:w="0" w:type="dxa"/>
              <w:right w:w="108" w:type="dxa"/>
            </w:tcMar>
            <w:hideMark/>
          </w:tcPr>
          <w:p w14:paraId="7F20602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42.</w:t>
            </w:r>
          </w:p>
        </w:tc>
        <w:tc>
          <w:tcPr>
            <w:tcW w:w="1944" w:type="dxa"/>
            <w:tcMar>
              <w:top w:w="0" w:type="dxa"/>
              <w:left w:w="108" w:type="dxa"/>
              <w:bottom w:w="0" w:type="dxa"/>
              <w:right w:w="108" w:type="dxa"/>
            </w:tcMar>
            <w:hideMark/>
          </w:tcPr>
          <w:p w14:paraId="1816C06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12697-24</w:t>
            </w:r>
          </w:p>
        </w:tc>
        <w:tc>
          <w:tcPr>
            <w:tcW w:w="6680" w:type="dxa"/>
            <w:tcMar>
              <w:top w:w="0" w:type="dxa"/>
              <w:left w:w="108" w:type="dxa"/>
              <w:bottom w:w="0" w:type="dxa"/>
              <w:right w:w="108" w:type="dxa"/>
            </w:tcMar>
            <w:hideMark/>
          </w:tcPr>
          <w:p w14:paraId="3BE09E8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24: Odporność na zmęczenie</w:t>
            </w:r>
          </w:p>
        </w:tc>
      </w:tr>
      <w:tr w:rsidR="00FC279F" w:rsidRPr="00C968CE" w14:paraId="3B259CD0" w14:textId="77777777" w:rsidTr="00FC279F">
        <w:tc>
          <w:tcPr>
            <w:tcW w:w="664" w:type="dxa"/>
            <w:tcMar>
              <w:top w:w="0" w:type="dxa"/>
              <w:left w:w="108" w:type="dxa"/>
              <w:bottom w:w="0" w:type="dxa"/>
              <w:right w:w="108" w:type="dxa"/>
            </w:tcMar>
            <w:hideMark/>
          </w:tcPr>
          <w:p w14:paraId="05B781E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43.</w:t>
            </w:r>
          </w:p>
        </w:tc>
        <w:tc>
          <w:tcPr>
            <w:tcW w:w="1944" w:type="dxa"/>
            <w:tcMar>
              <w:top w:w="0" w:type="dxa"/>
              <w:left w:w="108" w:type="dxa"/>
              <w:bottom w:w="0" w:type="dxa"/>
              <w:right w:w="108" w:type="dxa"/>
            </w:tcMar>
            <w:hideMark/>
          </w:tcPr>
          <w:p w14:paraId="6BFF0DC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12697-26</w:t>
            </w:r>
          </w:p>
        </w:tc>
        <w:tc>
          <w:tcPr>
            <w:tcW w:w="6680" w:type="dxa"/>
            <w:tcMar>
              <w:top w:w="0" w:type="dxa"/>
              <w:left w:w="108" w:type="dxa"/>
              <w:bottom w:w="0" w:type="dxa"/>
              <w:right w:w="108" w:type="dxa"/>
            </w:tcMar>
            <w:hideMark/>
          </w:tcPr>
          <w:p w14:paraId="32C1429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26: Sztywność</w:t>
            </w:r>
          </w:p>
        </w:tc>
      </w:tr>
      <w:tr w:rsidR="00FC279F" w:rsidRPr="00C968CE" w14:paraId="0647F44B" w14:textId="77777777" w:rsidTr="00FC279F">
        <w:tc>
          <w:tcPr>
            <w:tcW w:w="664" w:type="dxa"/>
            <w:tcMar>
              <w:top w:w="0" w:type="dxa"/>
              <w:left w:w="108" w:type="dxa"/>
              <w:bottom w:w="0" w:type="dxa"/>
              <w:right w:w="108" w:type="dxa"/>
            </w:tcMar>
            <w:hideMark/>
          </w:tcPr>
          <w:p w14:paraId="2CFDA33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44.</w:t>
            </w:r>
          </w:p>
        </w:tc>
        <w:tc>
          <w:tcPr>
            <w:tcW w:w="1944" w:type="dxa"/>
            <w:tcMar>
              <w:top w:w="0" w:type="dxa"/>
              <w:left w:w="108" w:type="dxa"/>
              <w:bottom w:w="0" w:type="dxa"/>
              <w:right w:w="108" w:type="dxa"/>
            </w:tcMar>
            <w:hideMark/>
          </w:tcPr>
          <w:p w14:paraId="196C468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12697-27</w:t>
            </w:r>
          </w:p>
        </w:tc>
        <w:tc>
          <w:tcPr>
            <w:tcW w:w="6680" w:type="dxa"/>
            <w:tcMar>
              <w:top w:w="0" w:type="dxa"/>
              <w:left w:w="108" w:type="dxa"/>
              <w:bottom w:w="0" w:type="dxa"/>
              <w:right w:w="108" w:type="dxa"/>
            </w:tcMar>
            <w:hideMark/>
          </w:tcPr>
          <w:p w14:paraId="69DAB46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27: Pobieranie próbek</w:t>
            </w:r>
          </w:p>
        </w:tc>
      </w:tr>
      <w:tr w:rsidR="00FC279F" w:rsidRPr="00C968CE" w14:paraId="1C6BD964" w14:textId="77777777" w:rsidTr="00FC279F">
        <w:tc>
          <w:tcPr>
            <w:tcW w:w="664" w:type="dxa"/>
            <w:tcMar>
              <w:top w:w="0" w:type="dxa"/>
              <w:left w:w="108" w:type="dxa"/>
              <w:bottom w:w="0" w:type="dxa"/>
              <w:right w:w="108" w:type="dxa"/>
            </w:tcMar>
            <w:hideMark/>
          </w:tcPr>
          <w:p w14:paraId="1173940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45.</w:t>
            </w:r>
          </w:p>
        </w:tc>
        <w:tc>
          <w:tcPr>
            <w:tcW w:w="1944" w:type="dxa"/>
            <w:tcMar>
              <w:top w:w="0" w:type="dxa"/>
              <w:left w:w="108" w:type="dxa"/>
              <w:bottom w:w="0" w:type="dxa"/>
              <w:right w:w="108" w:type="dxa"/>
            </w:tcMar>
            <w:hideMark/>
          </w:tcPr>
          <w:p w14:paraId="1A03700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12697-36</w:t>
            </w:r>
          </w:p>
        </w:tc>
        <w:tc>
          <w:tcPr>
            <w:tcW w:w="6680" w:type="dxa"/>
            <w:tcMar>
              <w:top w:w="0" w:type="dxa"/>
              <w:left w:w="108" w:type="dxa"/>
              <w:bottom w:w="0" w:type="dxa"/>
              <w:right w:w="108" w:type="dxa"/>
            </w:tcMar>
            <w:hideMark/>
          </w:tcPr>
          <w:p w14:paraId="10EE2E1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36: Oznaczanie grubości nawierzchni asfaltowych</w:t>
            </w:r>
          </w:p>
        </w:tc>
      </w:tr>
      <w:tr w:rsidR="00FC279F" w:rsidRPr="00C968CE" w14:paraId="4D464325" w14:textId="77777777" w:rsidTr="00FC279F">
        <w:tc>
          <w:tcPr>
            <w:tcW w:w="664" w:type="dxa"/>
            <w:tcMar>
              <w:top w:w="0" w:type="dxa"/>
              <w:left w:w="108" w:type="dxa"/>
              <w:bottom w:w="0" w:type="dxa"/>
              <w:right w:w="108" w:type="dxa"/>
            </w:tcMar>
            <w:hideMark/>
          </w:tcPr>
          <w:p w14:paraId="707F966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46.</w:t>
            </w:r>
          </w:p>
        </w:tc>
        <w:tc>
          <w:tcPr>
            <w:tcW w:w="1944" w:type="dxa"/>
            <w:tcMar>
              <w:top w:w="0" w:type="dxa"/>
              <w:left w:w="108" w:type="dxa"/>
              <w:bottom w:w="0" w:type="dxa"/>
              <w:right w:w="108" w:type="dxa"/>
            </w:tcMar>
            <w:hideMark/>
          </w:tcPr>
          <w:p w14:paraId="69BA261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12697-39</w:t>
            </w:r>
          </w:p>
        </w:tc>
        <w:tc>
          <w:tcPr>
            <w:tcW w:w="6680" w:type="dxa"/>
            <w:tcMar>
              <w:top w:w="0" w:type="dxa"/>
              <w:left w:w="108" w:type="dxa"/>
              <w:bottom w:w="0" w:type="dxa"/>
              <w:right w:w="108" w:type="dxa"/>
            </w:tcMar>
            <w:hideMark/>
          </w:tcPr>
          <w:p w14:paraId="25551D0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39: Oznaczanie zawartości lepiszcza metodą spalania</w:t>
            </w:r>
          </w:p>
        </w:tc>
      </w:tr>
      <w:tr w:rsidR="00FC279F" w:rsidRPr="00C968CE" w14:paraId="032BA425" w14:textId="77777777" w:rsidTr="00FC279F">
        <w:tc>
          <w:tcPr>
            <w:tcW w:w="664" w:type="dxa"/>
            <w:tcMar>
              <w:top w:w="0" w:type="dxa"/>
              <w:left w:w="108" w:type="dxa"/>
              <w:bottom w:w="0" w:type="dxa"/>
              <w:right w:w="108" w:type="dxa"/>
            </w:tcMar>
            <w:hideMark/>
          </w:tcPr>
          <w:p w14:paraId="1B8ABA7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47.</w:t>
            </w:r>
          </w:p>
        </w:tc>
        <w:tc>
          <w:tcPr>
            <w:tcW w:w="1944" w:type="dxa"/>
            <w:tcMar>
              <w:top w:w="0" w:type="dxa"/>
              <w:left w:w="108" w:type="dxa"/>
              <w:bottom w:w="0" w:type="dxa"/>
              <w:right w:w="108" w:type="dxa"/>
            </w:tcMar>
            <w:hideMark/>
          </w:tcPr>
          <w:p w14:paraId="3420EAE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12697-41</w:t>
            </w:r>
          </w:p>
        </w:tc>
        <w:tc>
          <w:tcPr>
            <w:tcW w:w="6680" w:type="dxa"/>
            <w:tcMar>
              <w:top w:w="0" w:type="dxa"/>
              <w:left w:w="108" w:type="dxa"/>
              <w:bottom w:w="0" w:type="dxa"/>
              <w:right w:w="108" w:type="dxa"/>
            </w:tcMar>
            <w:hideMark/>
          </w:tcPr>
          <w:p w14:paraId="6DE19C0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41: Odporność na płyny zapobiegające oblodzeniu</w:t>
            </w:r>
          </w:p>
        </w:tc>
      </w:tr>
      <w:tr w:rsidR="00FC279F" w:rsidRPr="00C968CE" w14:paraId="12661975" w14:textId="77777777" w:rsidTr="00FC279F">
        <w:tc>
          <w:tcPr>
            <w:tcW w:w="664" w:type="dxa"/>
            <w:tcMar>
              <w:top w:w="0" w:type="dxa"/>
              <w:left w:w="108" w:type="dxa"/>
              <w:bottom w:w="0" w:type="dxa"/>
              <w:right w:w="108" w:type="dxa"/>
            </w:tcMar>
            <w:hideMark/>
          </w:tcPr>
          <w:p w14:paraId="3C44CCA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48.</w:t>
            </w:r>
          </w:p>
        </w:tc>
        <w:tc>
          <w:tcPr>
            <w:tcW w:w="1944" w:type="dxa"/>
            <w:tcMar>
              <w:top w:w="0" w:type="dxa"/>
              <w:left w:w="108" w:type="dxa"/>
              <w:bottom w:w="0" w:type="dxa"/>
              <w:right w:w="108" w:type="dxa"/>
            </w:tcMar>
            <w:hideMark/>
          </w:tcPr>
          <w:p w14:paraId="366ADDE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12697-42</w:t>
            </w:r>
          </w:p>
        </w:tc>
        <w:tc>
          <w:tcPr>
            <w:tcW w:w="6680" w:type="dxa"/>
            <w:tcMar>
              <w:top w:w="0" w:type="dxa"/>
              <w:left w:w="108" w:type="dxa"/>
              <w:bottom w:w="0" w:type="dxa"/>
              <w:right w:w="108" w:type="dxa"/>
            </w:tcMar>
            <w:hideMark/>
          </w:tcPr>
          <w:p w14:paraId="3CCFFE9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42: Zawartość części obcych w destrukcie asfaltowym</w:t>
            </w:r>
          </w:p>
        </w:tc>
      </w:tr>
      <w:tr w:rsidR="00FC279F" w:rsidRPr="00C968CE" w14:paraId="52AC5E5D" w14:textId="77777777" w:rsidTr="00FC279F">
        <w:tc>
          <w:tcPr>
            <w:tcW w:w="664" w:type="dxa"/>
            <w:tcMar>
              <w:top w:w="0" w:type="dxa"/>
              <w:left w:w="108" w:type="dxa"/>
              <w:bottom w:w="0" w:type="dxa"/>
              <w:right w:w="108" w:type="dxa"/>
            </w:tcMar>
            <w:hideMark/>
          </w:tcPr>
          <w:p w14:paraId="71EB5EF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49.</w:t>
            </w:r>
          </w:p>
        </w:tc>
        <w:tc>
          <w:tcPr>
            <w:tcW w:w="1944" w:type="dxa"/>
            <w:tcMar>
              <w:top w:w="0" w:type="dxa"/>
              <w:left w:w="108" w:type="dxa"/>
              <w:bottom w:w="0" w:type="dxa"/>
              <w:right w:w="108" w:type="dxa"/>
            </w:tcMar>
            <w:hideMark/>
          </w:tcPr>
          <w:p w14:paraId="6DA806A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12697-43</w:t>
            </w:r>
          </w:p>
        </w:tc>
        <w:tc>
          <w:tcPr>
            <w:tcW w:w="6680" w:type="dxa"/>
            <w:tcMar>
              <w:top w:w="0" w:type="dxa"/>
              <w:left w:w="108" w:type="dxa"/>
              <w:bottom w:w="0" w:type="dxa"/>
              <w:right w:w="108" w:type="dxa"/>
            </w:tcMar>
            <w:hideMark/>
          </w:tcPr>
          <w:p w14:paraId="6214CA9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Metody badań mieszanek mineralno-asfaltowych na gorąco - Część 43: Odporność na paliwo</w:t>
            </w:r>
          </w:p>
        </w:tc>
      </w:tr>
      <w:tr w:rsidR="00FC279F" w:rsidRPr="00C968CE" w14:paraId="2435B1E5" w14:textId="77777777" w:rsidTr="00FC279F">
        <w:tc>
          <w:tcPr>
            <w:tcW w:w="664" w:type="dxa"/>
            <w:tcMar>
              <w:top w:w="0" w:type="dxa"/>
              <w:left w:w="108" w:type="dxa"/>
              <w:bottom w:w="0" w:type="dxa"/>
              <w:right w:w="108" w:type="dxa"/>
            </w:tcMar>
            <w:hideMark/>
          </w:tcPr>
          <w:p w14:paraId="39AD046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50.</w:t>
            </w:r>
          </w:p>
        </w:tc>
        <w:tc>
          <w:tcPr>
            <w:tcW w:w="1944" w:type="dxa"/>
            <w:tcMar>
              <w:top w:w="0" w:type="dxa"/>
              <w:left w:w="108" w:type="dxa"/>
              <w:bottom w:w="0" w:type="dxa"/>
              <w:right w:w="108" w:type="dxa"/>
            </w:tcMar>
            <w:hideMark/>
          </w:tcPr>
          <w:p w14:paraId="3D8DDAF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13043</w:t>
            </w:r>
          </w:p>
        </w:tc>
        <w:tc>
          <w:tcPr>
            <w:tcW w:w="6680" w:type="dxa"/>
            <w:tcMar>
              <w:top w:w="0" w:type="dxa"/>
              <w:left w:w="108" w:type="dxa"/>
              <w:bottom w:w="0" w:type="dxa"/>
              <w:right w:w="108" w:type="dxa"/>
            </w:tcMar>
            <w:hideMark/>
          </w:tcPr>
          <w:p w14:paraId="0616653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Kruszywa do mieszanek bitumicznych i powierzchniowych utrwaleń stosowanych na drogach, lotniskach i innych powierzchniach przeznaczonych do ruchu</w:t>
            </w:r>
          </w:p>
        </w:tc>
      </w:tr>
      <w:tr w:rsidR="00FC279F" w:rsidRPr="00C968CE" w14:paraId="1B08513C" w14:textId="77777777" w:rsidTr="00FC279F">
        <w:tc>
          <w:tcPr>
            <w:tcW w:w="664" w:type="dxa"/>
            <w:tcMar>
              <w:top w:w="0" w:type="dxa"/>
              <w:left w:w="108" w:type="dxa"/>
              <w:bottom w:w="0" w:type="dxa"/>
              <w:right w:w="108" w:type="dxa"/>
            </w:tcMar>
            <w:hideMark/>
          </w:tcPr>
          <w:p w14:paraId="3AF6598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51.</w:t>
            </w:r>
          </w:p>
        </w:tc>
        <w:tc>
          <w:tcPr>
            <w:tcW w:w="1944" w:type="dxa"/>
            <w:tcMar>
              <w:top w:w="0" w:type="dxa"/>
              <w:left w:w="108" w:type="dxa"/>
              <w:bottom w:w="0" w:type="dxa"/>
              <w:right w:w="108" w:type="dxa"/>
            </w:tcMar>
            <w:hideMark/>
          </w:tcPr>
          <w:p w14:paraId="17D5B13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13108-1</w:t>
            </w:r>
          </w:p>
        </w:tc>
        <w:tc>
          <w:tcPr>
            <w:tcW w:w="6680" w:type="dxa"/>
            <w:tcMar>
              <w:top w:w="0" w:type="dxa"/>
              <w:left w:w="108" w:type="dxa"/>
              <w:bottom w:w="0" w:type="dxa"/>
              <w:right w:w="108" w:type="dxa"/>
            </w:tcMar>
            <w:hideMark/>
          </w:tcPr>
          <w:p w14:paraId="7BFC59A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Wymagania – Część 1: Beton asfaltowy</w:t>
            </w:r>
          </w:p>
        </w:tc>
      </w:tr>
      <w:tr w:rsidR="00FC279F" w:rsidRPr="00C968CE" w14:paraId="3892E2A3" w14:textId="77777777" w:rsidTr="00FC279F">
        <w:tc>
          <w:tcPr>
            <w:tcW w:w="664" w:type="dxa"/>
            <w:tcMar>
              <w:top w:w="0" w:type="dxa"/>
              <w:left w:w="108" w:type="dxa"/>
              <w:bottom w:w="0" w:type="dxa"/>
              <w:right w:w="108" w:type="dxa"/>
            </w:tcMar>
            <w:hideMark/>
          </w:tcPr>
          <w:p w14:paraId="29211E2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52.</w:t>
            </w:r>
          </w:p>
        </w:tc>
        <w:tc>
          <w:tcPr>
            <w:tcW w:w="1944" w:type="dxa"/>
            <w:tcMar>
              <w:top w:w="0" w:type="dxa"/>
              <w:left w:w="108" w:type="dxa"/>
              <w:bottom w:w="0" w:type="dxa"/>
              <w:right w:w="108" w:type="dxa"/>
            </w:tcMar>
            <w:hideMark/>
          </w:tcPr>
          <w:p w14:paraId="768D755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13108-4</w:t>
            </w:r>
          </w:p>
        </w:tc>
        <w:tc>
          <w:tcPr>
            <w:tcW w:w="6680" w:type="dxa"/>
            <w:tcMar>
              <w:top w:w="0" w:type="dxa"/>
              <w:left w:w="108" w:type="dxa"/>
              <w:bottom w:w="0" w:type="dxa"/>
              <w:right w:w="108" w:type="dxa"/>
            </w:tcMar>
            <w:hideMark/>
          </w:tcPr>
          <w:p w14:paraId="2BDC2C0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Wymagania - Część 4: Mieszanka HRA</w:t>
            </w:r>
          </w:p>
        </w:tc>
      </w:tr>
      <w:tr w:rsidR="00FC279F" w:rsidRPr="00C968CE" w14:paraId="3B83A09E" w14:textId="77777777" w:rsidTr="00FC279F">
        <w:tc>
          <w:tcPr>
            <w:tcW w:w="664" w:type="dxa"/>
            <w:tcMar>
              <w:top w:w="0" w:type="dxa"/>
              <w:left w:w="108" w:type="dxa"/>
              <w:bottom w:w="0" w:type="dxa"/>
              <w:right w:w="108" w:type="dxa"/>
            </w:tcMar>
            <w:hideMark/>
          </w:tcPr>
          <w:p w14:paraId="760D60F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53.</w:t>
            </w:r>
          </w:p>
        </w:tc>
        <w:tc>
          <w:tcPr>
            <w:tcW w:w="1944" w:type="dxa"/>
            <w:tcMar>
              <w:top w:w="0" w:type="dxa"/>
              <w:left w:w="108" w:type="dxa"/>
              <w:bottom w:w="0" w:type="dxa"/>
              <w:right w:w="108" w:type="dxa"/>
            </w:tcMar>
            <w:hideMark/>
          </w:tcPr>
          <w:p w14:paraId="7A4E47E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13108-8</w:t>
            </w:r>
          </w:p>
        </w:tc>
        <w:tc>
          <w:tcPr>
            <w:tcW w:w="6680" w:type="dxa"/>
            <w:tcMar>
              <w:top w:w="0" w:type="dxa"/>
              <w:left w:w="108" w:type="dxa"/>
              <w:bottom w:w="0" w:type="dxa"/>
              <w:right w:w="108" w:type="dxa"/>
            </w:tcMar>
            <w:hideMark/>
          </w:tcPr>
          <w:p w14:paraId="2828AD0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Wymagania - Część 8: Destrukt asfaltowy</w:t>
            </w:r>
          </w:p>
        </w:tc>
      </w:tr>
      <w:tr w:rsidR="00FC279F" w:rsidRPr="00C968CE" w14:paraId="72F3E2E7" w14:textId="77777777" w:rsidTr="00FC279F">
        <w:tc>
          <w:tcPr>
            <w:tcW w:w="664" w:type="dxa"/>
            <w:tcMar>
              <w:top w:w="0" w:type="dxa"/>
              <w:left w:w="108" w:type="dxa"/>
              <w:bottom w:w="0" w:type="dxa"/>
              <w:right w:w="108" w:type="dxa"/>
            </w:tcMar>
            <w:hideMark/>
          </w:tcPr>
          <w:p w14:paraId="43B59F8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54.</w:t>
            </w:r>
          </w:p>
        </w:tc>
        <w:tc>
          <w:tcPr>
            <w:tcW w:w="1944" w:type="dxa"/>
            <w:tcMar>
              <w:top w:w="0" w:type="dxa"/>
              <w:left w:w="108" w:type="dxa"/>
              <w:bottom w:w="0" w:type="dxa"/>
              <w:right w:w="108" w:type="dxa"/>
            </w:tcMar>
            <w:hideMark/>
          </w:tcPr>
          <w:p w14:paraId="29B58E2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13108-20</w:t>
            </w:r>
          </w:p>
        </w:tc>
        <w:tc>
          <w:tcPr>
            <w:tcW w:w="6680" w:type="dxa"/>
            <w:tcMar>
              <w:top w:w="0" w:type="dxa"/>
              <w:left w:w="108" w:type="dxa"/>
              <w:bottom w:w="0" w:type="dxa"/>
              <w:right w:w="108" w:type="dxa"/>
            </w:tcMar>
            <w:hideMark/>
          </w:tcPr>
          <w:p w14:paraId="351B4A0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Mieszanki mineralno-asfaltowe – Wymagania – Część 20: Badanie typu</w:t>
            </w:r>
          </w:p>
        </w:tc>
      </w:tr>
      <w:tr w:rsidR="00FC279F" w:rsidRPr="00C968CE" w14:paraId="26A4257B" w14:textId="77777777" w:rsidTr="00FC279F">
        <w:tc>
          <w:tcPr>
            <w:tcW w:w="664" w:type="dxa"/>
            <w:tcMar>
              <w:top w:w="0" w:type="dxa"/>
              <w:left w:w="108" w:type="dxa"/>
              <w:bottom w:w="0" w:type="dxa"/>
              <w:right w:w="108" w:type="dxa"/>
            </w:tcMar>
            <w:hideMark/>
          </w:tcPr>
          <w:p w14:paraId="1154BB7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55.</w:t>
            </w:r>
          </w:p>
        </w:tc>
        <w:tc>
          <w:tcPr>
            <w:tcW w:w="1944" w:type="dxa"/>
            <w:tcMar>
              <w:top w:w="0" w:type="dxa"/>
              <w:left w:w="108" w:type="dxa"/>
              <w:bottom w:w="0" w:type="dxa"/>
              <w:right w:w="108" w:type="dxa"/>
            </w:tcMar>
            <w:hideMark/>
          </w:tcPr>
          <w:p w14:paraId="7AA9A91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13108-21</w:t>
            </w:r>
          </w:p>
        </w:tc>
        <w:tc>
          <w:tcPr>
            <w:tcW w:w="6680" w:type="dxa"/>
            <w:tcMar>
              <w:top w:w="0" w:type="dxa"/>
              <w:left w:w="108" w:type="dxa"/>
              <w:bottom w:w="0" w:type="dxa"/>
              <w:right w:w="108" w:type="dxa"/>
            </w:tcMar>
            <w:hideMark/>
          </w:tcPr>
          <w:p w14:paraId="59C99D4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Mieszanki mineralno-asfaltowe - Wymagania - Część 21: Zakładowa </w:t>
            </w:r>
            <w:r w:rsidRPr="00C968CE">
              <w:rPr>
                <w:rFonts w:cs="Arial"/>
                <w:szCs w:val="20"/>
              </w:rPr>
              <w:lastRenderedPageBreak/>
              <w:t>kontrola produkcji</w:t>
            </w:r>
          </w:p>
        </w:tc>
      </w:tr>
      <w:tr w:rsidR="00FC279F" w:rsidRPr="00C968CE" w14:paraId="3038043B" w14:textId="77777777" w:rsidTr="00FC279F">
        <w:tc>
          <w:tcPr>
            <w:tcW w:w="664" w:type="dxa"/>
            <w:tcMar>
              <w:top w:w="0" w:type="dxa"/>
              <w:left w:w="108" w:type="dxa"/>
              <w:bottom w:w="0" w:type="dxa"/>
              <w:right w:w="108" w:type="dxa"/>
            </w:tcMar>
            <w:hideMark/>
          </w:tcPr>
          <w:p w14:paraId="023EB45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lastRenderedPageBreak/>
              <w:t>56.</w:t>
            </w:r>
          </w:p>
        </w:tc>
        <w:tc>
          <w:tcPr>
            <w:tcW w:w="1944" w:type="dxa"/>
            <w:tcMar>
              <w:top w:w="0" w:type="dxa"/>
              <w:left w:w="108" w:type="dxa"/>
              <w:bottom w:w="0" w:type="dxa"/>
              <w:right w:w="108" w:type="dxa"/>
            </w:tcMar>
            <w:hideMark/>
          </w:tcPr>
          <w:p w14:paraId="3A99C44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13179-1</w:t>
            </w:r>
          </w:p>
        </w:tc>
        <w:tc>
          <w:tcPr>
            <w:tcW w:w="6680" w:type="dxa"/>
            <w:tcMar>
              <w:top w:w="0" w:type="dxa"/>
              <w:left w:w="108" w:type="dxa"/>
              <w:bottom w:w="0" w:type="dxa"/>
              <w:right w:w="108" w:type="dxa"/>
            </w:tcMar>
            <w:hideMark/>
          </w:tcPr>
          <w:p w14:paraId="380B9AA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kruszyw wypełniających stosowanych do mieszanek bitumicznych – Część 1: Badanie metodą pierścienia delta i kuli</w:t>
            </w:r>
          </w:p>
        </w:tc>
      </w:tr>
      <w:tr w:rsidR="00FC279F" w:rsidRPr="00C968CE" w14:paraId="54FE69FC" w14:textId="77777777" w:rsidTr="00FC279F">
        <w:tc>
          <w:tcPr>
            <w:tcW w:w="664" w:type="dxa"/>
            <w:tcMar>
              <w:top w:w="0" w:type="dxa"/>
              <w:left w:w="108" w:type="dxa"/>
              <w:bottom w:w="0" w:type="dxa"/>
              <w:right w:w="108" w:type="dxa"/>
            </w:tcMar>
            <w:hideMark/>
          </w:tcPr>
          <w:p w14:paraId="70071AE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57.</w:t>
            </w:r>
          </w:p>
        </w:tc>
        <w:tc>
          <w:tcPr>
            <w:tcW w:w="1944" w:type="dxa"/>
            <w:tcMar>
              <w:top w:w="0" w:type="dxa"/>
              <w:left w:w="108" w:type="dxa"/>
              <w:bottom w:w="0" w:type="dxa"/>
              <w:right w:w="108" w:type="dxa"/>
            </w:tcMar>
            <w:hideMark/>
          </w:tcPr>
          <w:p w14:paraId="5BA111F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13179-2</w:t>
            </w:r>
          </w:p>
        </w:tc>
        <w:tc>
          <w:tcPr>
            <w:tcW w:w="6680" w:type="dxa"/>
            <w:tcMar>
              <w:top w:w="0" w:type="dxa"/>
              <w:left w:w="108" w:type="dxa"/>
              <w:bottom w:w="0" w:type="dxa"/>
              <w:right w:w="108" w:type="dxa"/>
            </w:tcMar>
            <w:hideMark/>
          </w:tcPr>
          <w:p w14:paraId="4D3A69E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Badania kruszyw wypełniających stosowanych do mieszanek bitumicznych – Część 2: Liczba bitumiczna</w:t>
            </w:r>
          </w:p>
        </w:tc>
      </w:tr>
      <w:tr w:rsidR="00FC279F" w:rsidRPr="00C968CE" w14:paraId="21939EC3" w14:textId="77777777" w:rsidTr="00FC279F">
        <w:tc>
          <w:tcPr>
            <w:tcW w:w="664" w:type="dxa"/>
            <w:tcMar>
              <w:top w:w="0" w:type="dxa"/>
              <w:left w:w="108" w:type="dxa"/>
              <w:bottom w:w="0" w:type="dxa"/>
              <w:right w:w="108" w:type="dxa"/>
            </w:tcMar>
            <w:hideMark/>
          </w:tcPr>
          <w:p w14:paraId="3F34CDE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58.</w:t>
            </w:r>
          </w:p>
        </w:tc>
        <w:tc>
          <w:tcPr>
            <w:tcW w:w="1944" w:type="dxa"/>
            <w:tcMar>
              <w:top w:w="0" w:type="dxa"/>
              <w:left w:w="108" w:type="dxa"/>
              <w:bottom w:w="0" w:type="dxa"/>
              <w:right w:w="108" w:type="dxa"/>
            </w:tcMar>
            <w:hideMark/>
          </w:tcPr>
          <w:p w14:paraId="67CCCDB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13398</w:t>
            </w:r>
          </w:p>
        </w:tc>
        <w:tc>
          <w:tcPr>
            <w:tcW w:w="6680" w:type="dxa"/>
            <w:tcMar>
              <w:top w:w="0" w:type="dxa"/>
              <w:left w:w="108" w:type="dxa"/>
              <w:bottom w:w="0" w:type="dxa"/>
              <w:right w:w="108" w:type="dxa"/>
            </w:tcMar>
            <w:hideMark/>
          </w:tcPr>
          <w:p w14:paraId="36FCF6C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Oznaczanie nawrotu sprężystego asfaltów modyfikowanych</w:t>
            </w:r>
          </w:p>
        </w:tc>
      </w:tr>
      <w:tr w:rsidR="00FC279F" w:rsidRPr="00C968CE" w14:paraId="052EB2C4" w14:textId="77777777" w:rsidTr="00FC279F">
        <w:tc>
          <w:tcPr>
            <w:tcW w:w="664" w:type="dxa"/>
            <w:tcMar>
              <w:top w:w="0" w:type="dxa"/>
              <w:left w:w="108" w:type="dxa"/>
              <w:bottom w:w="0" w:type="dxa"/>
              <w:right w:w="108" w:type="dxa"/>
            </w:tcMar>
            <w:hideMark/>
          </w:tcPr>
          <w:p w14:paraId="373E655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59.</w:t>
            </w:r>
          </w:p>
        </w:tc>
        <w:tc>
          <w:tcPr>
            <w:tcW w:w="1944" w:type="dxa"/>
            <w:tcMar>
              <w:top w:w="0" w:type="dxa"/>
              <w:left w:w="108" w:type="dxa"/>
              <w:bottom w:w="0" w:type="dxa"/>
              <w:right w:w="108" w:type="dxa"/>
            </w:tcMar>
            <w:hideMark/>
          </w:tcPr>
          <w:p w14:paraId="6FC2DE3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13399</w:t>
            </w:r>
          </w:p>
        </w:tc>
        <w:tc>
          <w:tcPr>
            <w:tcW w:w="6680" w:type="dxa"/>
            <w:tcMar>
              <w:top w:w="0" w:type="dxa"/>
              <w:left w:w="108" w:type="dxa"/>
              <w:bottom w:w="0" w:type="dxa"/>
              <w:right w:w="108" w:type="dxa"/>
            </w:tcMar>
            <w:hideMark/>
          </w:tcPr>
          <w:p w14:paraId="21D50BB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Oznaczanie stabilności podczas magazynowania asfaltów modyfikowanych</w:t>
            </w:r>
          </w:p>
        </w:tc>
      </w:tr>
      <w:tr w:rsidR="00FC279F" w:rsidRPr="00C968CE" w14:paraId="3F2536C2" w14:textId="77777777" w:rsidTr="00FC279F">
        <w:tc>
          <w:tcPr>
            <w:tcW w:w="664" w:type="dxa"/>
            <w:tcMar>
              <w:top w:w="0" w:type="dxa"/>
              <w:left w:w="108" w:type="dxa"/>
              <w:bottom w:w="0" w:type="dxa"/>
              <w:right w:w="108" w:type="dxa"/>
            </w:tcMar>
            <w:hideMark/>
          </w:tcPr>
          <w:p w14:paraId="6B8CA96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60.</w:t>
            </w:r>
          </w:p>
        </w:tc>
        <w:tc>
          <w:tcPr>
            <w:tcW w:w="1944" w:type="dxa"/>
            <w:tcMar>
              <w:top w:w="0" w:type="dxa"/>
              <w:left w:w="108" w:type="dxa"/>
              <w:bottom w:w="0" w:type="dxa"/>
              <w:right w:w="108" w:type="dxa"/>
            </w:tcMar>
            <w:hideMark/>
          </w:tcPr>
          <w:p w14:paraId="0E4C721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13587</w:t>
            </w:r>
          </w:p>
        </w:tc>
        <w:tc>
          <w:tcPr>
            <w:tcW w:w="6680" w:type="dxa"/>
            <w:tcMar>
              <w:top w:w="0" w:type="dxa"/>
              <w:left w:w="108" w:type="dxa"/>
              <w:bottom w:w="0" w:type="dxa"/>
              <w:right w:w="108" w:type="dxa"/>
            </w:tcMar>
            <w:hideMark/>
          </w:tcPr>
          <w:p w14:paraId="25C2D9A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Oznaczanie właściwości mechanicznych lepiszczy asfaltowych metodą rozciągania</w:t>
            </w:r>
          </w:p>
        </w:tc>
      </w:tr>
      <w:tr w:rsidR="00FC279F" w:rsidRPr="00C968CE" w14:paraId="3D5F0359" w14:textId="77777777" w:rsidTr="00FC279F">
        <w:tc>
          <w:tcPr>
            <w:tcW w:w="664" w:type="dxa"/>
            <w:tcMar>
              <w:top w:w="0" w:type="dxa"/>
              <w:left w:w="108" w:type="dxa"/>
              <w:bottom w:w="0" w:type="dxa"/>
              <w:right w:w="108" w:type="dxa"/>
            </w:tcMar>
            <w:hideMark/>
          </w:tcPr>
          <w:p w14:paraId="11B28ED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61.</w:t>
            </w:r>
          </w:p>
        </w:tc>
        <w:tc>
          <w:tcPr>
            <w:tcW w:w="1944" w:type="dxa"/>
            <w:tcMar>
              <w:top w:w="0" w:type="dxa"/>
              <w:left w:w="108" w:type="dxa"/>
              <w:bottom w:w="0" w:type="dxa"/>
              <w:right w:w="108" w:type="dxa"/>
            </w:tcMar>
            <w:hideMark/>
          </w:tcPr>
          <w:p w14:paraId="0A1D8F5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13588</w:t>
            </w:r>
          </w:p>
        </w:tc>
        <w:tc>
          <w:tcPr>
            <w:tcW w:w="6680" w:type="dxa"/>
            <w:tcMar>
              <w:top w:w="0" w:type="dxa"/>
              <w:left w:w="108" w:type="dxa"/>
              <w:bottom w:w="0" w:type="dxa"/>
              <w:right w:w="108" w:type="dxa"/>
            </w:tcMar>
            <w:hideMark/>
          </w:tcPr>
          <w:p w14:paraId="2B10C4E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Oznaczanie kohezji lepiszczy asfaltowych metodą testu wahadłowego</w:t>
            </w:r>
          </w:p>
        </w:tc>
      </w:tr>
      <w:tr w:rsidR="00FC279F" w:rsidRPr="00C968CE" w14:paraId="1F7117E7" w14:textId="77777777" w:rsidTr="00FC279F">
        <w:tc>
          <w:tcPr>
            <w:tcW w:w="664" w:type="dxa"/>
            <w:tcMar>
              <w:top w:w="0" w:type="dxa"/>
              <w:left w:w="108" w:type="dxa"/>
              <w:bottom w:w="0" w:type="dxa"/>
              <w:right w:w="108" w:type="dxa"/>
            </w:tcMar>
            <w:hideMark/>
          </w:tcPr>
          <w:p w14:paraId="01104BF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62.</w:t>
            </w:r>
          </w:p>
        </w:tc>
        <w:tc>
          <w:tcPr>
            <w:tcW w:w="1944" w:type="dxa"/>
            <w:tcMar>
              <w:top w:w="0" w:type="dxa"/>
              <w:left w:w="108" w:type="dxa"/>
              <w:bottom w:w="0" w:type="dxa"/>
              <w:right w:w="108" w:type="dxa"/>
            </w:tcMar>
            <w:hideMark/>
          </w:tcPr>
          <w:p w14:paraId="693F2C6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13589</w:t>
            </w:r>
          </w:p>
        </w:tc>
        <w:tc>
          <w:tcPr>
            <w:tcW w:w="6680" w:type="dxa"/>
            <w:tcMar>
              <w:top w:w="0" w:type="dxa"/>
              <w:left w:w="108" w:type="dxa"/>
              <w:bottom w:w="0" w:type="dxa"/>
              <w:right w:w="108" w:type="dxa"/>
            </w:tcMar>
            <w:hideMark/>
          </w:tcPr>
          <w:p w14:paraId="3796636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Oznaczanie siły rozciągania asfaltów modyfikowanych – Metoda z duktylometrem</w:t>
            </w:r>
          </w:p>
        </w:tc>
      </w:tr>
      <w:tr w:rsidR="00FC279F" w:rsidRPr="00C968CE" w14:paraId="52488A8D" w14:textId="77777777" w:rsidTr="00FC279F">
        <w:tc>
          <w:tcPr>
            <w:tcW w:w="664" w:type="dxa"/>
            <w:tcMar>
              <w:top w:w="0" w:type="dxa"/>
              <w:left w:w="108" w:type="dxa"/>
              <w:bottom w:w="0" w:type="dxa"/>
              <w:right w:w="108" w:type="dxa"/>
            </w:tcMar>
            <w:hideMark/>
          </w:tcPr>
          <w:p w14:paraId="50AEC17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63.</w:t>
            </w:r>
          </w:p>
        </w:tc>
        <w:tc>
          <w:tcPr>
            <w:tcW w:w="1944" w:type="dxa"/>
            <w:tcMar>
              <w:top w:w="0" w:type="dxa"/>
              <w:left w:w="108" w:type="dxa"/>
              <w:bottom w:w="0" w:type="dxa"/>
              <w:right w:w="108" w:type="dxa"/>
            </w:tcMar>
            <w:hideMark/>
          </w:tcPr>
          <w:p w14:paraId="5B402C0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13703</w:t>
            </w:r>
          </w:p>
        </w:tc>
        <w:tc>
          <w:tcPr>
            <w:tcW w:w="6680" w:type="dxa"/>
            <w:tcMar>
              <w:top w:w="0" w:type="dxa"/>
              <w:left w:w="108" w:type="dxa"/>
              <w:bottom w:w="0" w:type="dxa"/>
              <w:right w:w="108" w:type="dxa"/>
            </w:tcMar>
            <w:hideMark/>
          </w:tcPr>
          <w:p w14:paraId="47E5B47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Oznaczanie energii odkształcenia</w:t>
            </w:r>
          </w:p>
        </w:tc>
      </w:tr>
      <w:tr w:rsidR="00FC279F" w:rsidRPr="00C968CE" w14:paraId="232C4C16" w14:textId="77777777" w:rsidTr="00FC279F">
        <w:tc>
          <w:tcPr>
            <w:tcW w:w="664" w:type="dxa"/>
            <w:tcMar>
              <w:top w:w="0" w:type="dxa"/>
              <w:left w:w="108" w:type="dxa"/>
              <w:bottom w:w="0" w:type="dxa"/>
              <w:right w:w="108" w:type="dxa"/>
            </w:tcMar>
            <w:hideMark/>
          </w:tcPr>
          <w:p w14:paraId="43F816D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64.</w:t>
            </w:r>
          </w:p>
        </w:tc>
        <w:tc>
          <w:tcPr>
            <w:tcW w:w="1944" w:type="dxa"/>
            <w:tcMar>
              <w:top w:w="0" w:type="dxa"/>
              <w:left w:w="108" w:type="dxa"/>
              <w:bottom w:w="0" w:type="dxa"/>
              <w:right w:w="108" w:type="dxa"/>
            </w:tcMar>
            <w:hideMark/>
          </w:tcPr>
          <w:p w14:paraId="1F912B3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13808</w:t>
            </w:r>
          </w:p>
        </w:tc>
        <w:tc>
          <w:tcPr>
            <w:tcW w:w="6680" w:type="dxa"/>
            <w:tcMar>
              <w:top w:w="0" w:type="dxa"/>
              <w:left w:w="108" w:type="dxa"/>
              <w:bottom w:w="0" w:type="dxa"/>
              <w:right w:w="108" w:type="dxa"/>
            </w:tcMar>
            <w:hideMark/>
          </w:tcPr>
          <w:p w14:paraId="1F33D98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Zasady specyfikacji kationowych emulsji asfaltowych</w:t>
            </w:r>
          </w:p>
        </w:tc>
      </w:tr>
      <w:tr w:rsidR="00FC279F" w:rsidRPr="00C968CE" w14:paraId="40304EF9" w14:textId="77777777" w:rsidTr="00FC279F">
        <w:tc>
          <w:tcPr>
            <w:tcW w:w="664" w:type="dxa"/>
            <w:tcMar>
              <w:top w:w="0" w:type="dxa"/>
              <w:left w:w="108" w:type="dxa"/>
              <w:bottom w:w="0" w:type="dxa"/>
              <w:right w:w="108" w:type="dxa"/>
            </w:tcMar>
            <w:hideMark/>
          </w:tcPr>
          <w:p w14:paraId="756FA52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64a.</w:t>
            </w:r>
          </w:p>
        </w:tc>
        <w:tc>
          <w:tcPr>
            <w:tcW w:w="1944" w:type="dxa"/>
            <w:tcMar>
              <w:top w:w="0" w:type="dxa"/>
              <w:left w:w="108" w:type="dxa"/>
              <w:bottom w:w="0" w:type="dxa"/>
              <w:right w:w="108" w:type="dxa"/>
            </w:tcMar>
            <w:hideMark/>
          </w:tcPr>
          <w:p w14:paraId="571EEB9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13808:2013-10/Ap1:2014-07</w:t>
            </w:r>
          </w:p>
        </w:tc>
        <w:tc>
          <w:tcPr>
            <w:tcW w:w="6680" w:type="dxa"/>
            <w:tcMar>
              <w:top w:w="0" w:type="dxa"/>
              <w:left w:w="108" w:type="dxa"/>
              <w:bottom w:w="0" w:type="dxa"/>
              <w:right w:w="108" w:type="dxa"/>
            </w:tcMar>
            <w:hideMark/>
          </w:tcPr>
          <w:p w14:paraId="5840921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Zasady specyfikacji kationowych emulsji asfaltowych. Załącznik krajowy NA</w:t>
            </w:r>
          </w:p>
        </w:tc>
      </w:tr>
      <w:tr w:rsidR="00FC279F" w:rsidRPr="00C968CE" w14:paraId="7C5E5C3C" w14:textId="77777777" w:rsidTr="00FC279F">
        <w:tc>
          <w:tcPr>
            <w:tcW w:w="664" w:type="dxa"/>
            <w:tcMar>
              <w:top w:w="0" w:type="dxa"/>
              <w:left w:w="108" w:type="dxa"/>
              <w:bottom w:w="0" w:type="dxa"/>
              <w:right w:w="108" w:type="dxa"/>
            </w:tcMar>
            <w:hideMark/>
          </w:tcPr>
          <w:p w14:paraId="1852742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65.</w:t>
            </w:r>
          </w:p>
        </w:tc>
        <w:tc>
          <w:tcPr>
            <w:tcW w:w="1944" w:type="dxa"/>
            <w:tcMar>
              <w:top w:w="0" w:type="dxa"/>
              <w:left w:w="108" w:type="dxa"/>
              <w:bottom w:w="0" w:type="dxa"/>
              <w:right w:w="108" w:type="dxa"/>
            </w:tcMar>
            <w:hideMark/>
          </w:tcPr>
          <w:p w14:paraId="2E3F0A3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13924-2</w:t>
            </w:r>
          </w:p>
        </w:tc>
        <w:tc>
          <w:tcPr>
            <w:tcW w:w="6680" w:type="dxa"/>
            <w:tcMar>
              <w:top w:w="0" w:type="dxa"/>
              <w:left w:w="108" w:type="dxa"/>
              <w:bottom w:w="0" w:type="dxa"/>
              <w:right w:w="108" w:type="dxa"/>
            </w:tcMar>
            <w:hideMark/>
          </w:tcPr>
          <w:p w14:paraId="43786242"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Asfalty i lepiszcza asfaltowe - Zasady klasyfikacji asfaltów drogowych specjalnych - Część 2: Asfalty drogowe wielorodzajowe </w:t>
            </w:r>
          </w:p>
        </w:tc>
      </w:tr>
      <w:tr w:rsidR="00FC279F" w:rsidRPr="00C968CE" w14:paraId="08618C24" w14:textId="77777777" w:rsidTr="00FC279F">
        <w:tc>
          <w:tcPr>
            <w:tcW w:w="664" w:type="dxa"/>
            <w:tcMar>
              <w:top w:w="0" w:type="dxa"/>
              <w:left w:w="108" w:type="dxa"/>
              <w:bottom w:w="0" w:type="dxa"/>
              <w:right w:w="108" w:type="dxa"/>
            </w:tcMar>
            <w:hideMark/>
          </w:tcPr>
          <w:p w14:paraId="4B0556F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65a.</w:t>
            </w:r>
          </w:p>
        </w:tc>
        <w:tc>
          <w:tcPr>
            <w:tcW w:w="1944" w:type="dxa"/>
            <w:tcMar>
              <w:top w:w="0" w:type="dxa"/>
              <w:left w:w="108" w:type="dxa"/>
              <w:bottom w:w="0" w:type="dxa"/>
              <w:right w:w="108" w:type="dxa"/>
            </w:tcMar>
            <w:hideMark/>
          </w:tcPr>
          <w:p w14:paraId="26E63499" w14:textId="77777777" w:rsidR="00FC279F" w:rsidRPr="00C968CE" w:rsidRDefault="00FC279F" w:rsidP="00C968CE">
            <w:pPr>
              <w:spacing w:before="100" w:beforeAutospacing="1" w:after="100" w:afterAutospacing="1" w:line="240" w:lineRule="auto"/>
              <w:rPr>
                <w:rFonts w:cs="Arial"/>
                <w:szCs w:val="20"/>
                <w:lang w:val="en-US"/>
              </w:rPr>
            </w:pPr>
            <w:r w:rsidRPr="00C968CE">
              <w:rPr>
                <w:rFonts w:cs="Arial"/>
                <w:szCs w:val="20"/>
                <w:lang w:val="en-US"/>
              </w:rPr>
              <w:t>PN-EN 13924-2:</w:t>
            </w:r>
          </w:p>
          <w:p w14:paraId="687C9684" w14:textId="77777777" w:rsidR="00FC279F" w:rsidRPr="00C968CE" w:rsidRDefault="00FC279F" w:rsidP="00C968CE">
            <w:pPr>
              <w:spacing w:before="100" w:beforeAutospacing="1" w:after="100" w:afterAutospacing="1" w:line="240" w:lineRule="auto"/>
              <w:rPr>
                <w:rFonts w:cs="Arial"/>
                <w:szCs w:val="20"/>
                <w:lang w:val="en-US"/>
              </w:rPr>
            </w:pPr>
            <w:r w:rsidRPr="00C968CE">
              <w:rPr>
                <w:rFonts w:cs="Arial"/>
                <w:szCs w:val="20"/>
                <w:lang w:val="en-US"/>
              </w:rPr>
              <w:t>2014-04/Ap1:</w:t>
            </w:r>
          </w:p>
          <w:p w14:paraId="0EA723FE" w14:textId="77777777" w:rsidR="00FC279F" w:rsidRPr="00C968CE" w:rsidRDefault="00FC279F" w:rsidP="00C968CE">
            <w:pPr>
              <w:spacing w:before="100" w:beforeAutospacing="1" w:after="100" w:afterAutospacing="1" w:line="240" w:lineRule="auto"/>
              <w:rPr>
                <w:rFonts w:cs="Arial"/>
                <w:szCs w:val="20"/>
                <w:lang w:val="en-US"/>
              </w:rPr>
            </w:pPr>
            <w:r w:rsidRPr="00C968CE">
              <w:rPr>
                <w:rFonts w:cs="Arial"/>
                <w:szCs w:val="20"/>
                <w:lang w:val="en-US"/>
              </w:rPr>
              <w:t xml:space="preserve">2014-07 </w:t>
            </w:r>
            <w:proofErr w:type="spellStart"/>
            <w:r w:rsidRPr="00C968CE">
              <w:rPr>
                <w:rFonts w:cs="Arial"/>
                <w:szCs w:val="20"/>
                <w:lang w:val="en-US"/>
              </w:rPr>
              <w:t>i</w:t>
            </w:r>
            <w:proofErr w:type="spellEnd"/>
            <w:r w:rsidRPr="00C968CE">
              <w:rPr>
                <w:rFonts w:cs="Arial"/>
                <w:szCs w:val="20"/>
                <w:lang w:val="en-US"/>
              </w:rPr>
              <w:t xml:space="preserve"> PN-EN 13924-2:2014-04/Ap2:2015-09E</w:t>
            </w:r>
          </w:p>
        </w:tc>
        <w:tc>
          <w:tcPr>
            <w:tcW w:w="6680" w:type="dxa"/>
            <w:tcMar>
              <w:top w:w="0" w:type="dxa"/>
              <w:left w:w="108" w:type="dxa"/>
              <w:bottom w:w="0" w:type="dxa"/>
              <w:right w:w="108" w:type="dxa"/>
            </w:tcMar>
            <w:hideMark/>
          </w:tcPr>
          <w:p w14:paraId="3D1C792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Zasady klasyfikacji asfaltów drogowych specjalnych - Część 2: Asfalty drogowe wielorodzajowe. Załącznik krajowy NA</w:t>
            </w:r>
          </w:p>
        </w:tc>
      </w:tr>
      <w:tr w:rsidR="00FC279F" w:rsidRPr="00C968CE" w14:paraId="18FB1BB9" w14:textId="77777777" w:rsidTr="00FC279F">
        <w:tc>
          <w:tcPr>
            <w:tcW w:w="664" w:type="dxa"/>
            <w:tcMar>
              <w:top w:w="0" w:type="dxa"/>
              <w:left w:w="108" w:type="dxa"/>
              <w:bottom w:w="0" w:type="dxa"/>
              <w:right w:w="108" w:type="dxa"/>
            </w:tcMar>
            <w:hideMark/>
          </w:tcPr>
          <w:p w14:paraId="2149FDE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66.</w:t>
            </w:r>
          </w:p>
        </w:tc>
        <w:tc>
          <w:tcPr>
            <w:tcW w:w="1944" w:type="dxa"/>
            <w:tcMar>
              <w:top w:w="0" w:type="dxa"/>
              <w:left w:w="108" w:type="dxa"/>
              <w:bottom w:w="0" w:type="dxa"/>
              <w:right w:w="108" w:type="dxa"/>
            </w:tcMar>
            <w:hideMark/>
          </w:tcPr>
          <w:p w14:paraId="2E9F0D1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14023</w:t>
            </w:r>
          </w:p>
        </w:tc>
        <w:tc>
          <w:tcPr>
            <w:tcW w:w="6680" w:type="dxa"/>
            <w:tcMar>
              <w:top w:w="0" w:type="dxa"/>
              <w:left w:w="108" w:type="dxa"/>
              <w:bottom w:w="0" w:type="dxa"/>
              <w:right w:w="108" w:type="dxa"/>
            </w:tcMar>
            <w:hideMark/>
          </w:tcPr>
          <w:p w14:paraId="26C61AB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Zasady specyfikacji asfaltów modyfikowanych polimerami</w:t>
            </w:r>
          </w:p>
        </w:tc>
      </w:tr>
      <w:tr w:rsidR="00FC279F" w:rsidRPr="00C968CE" w14:paraId="4EE60059" w14:textId="77777777" w:rsidTr="00FC279F">
        <w:tc>
          <w:tcPr>
            <w:tcW w:w="664" w:type="dxa"/>
            <w:tcMar>
              <w:top w:w="0" w:type="dxa"/>
              <w:left w:w="108" w:type="dxa"/>
              <w:bottom w:w="0" w:type="dxa"/>
              <w:right w:w="108" w:type="dxa"/>
            </w:tcMar>
            <w:hideMark/>
          </w:tcPr>
          <w:p w14:paraId="746341C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66a.</w:t>
            </w:r>
          </w:p>
        </w:tc>
        <w:tc>
          <w:tcPr>
            <w:tcW w:w="1944" w:type="dxa"/>
            <w:tcMar>
              <w:top w:w="0" w:type="dxa"/>
              <w:left w:w="108" w:type="dxa"/>
              <w:bottom w:w="0" w:type="dxa"/>
              <w:right w:w="108" w:type="dxa"/>
            </w:tcMar>
            <w:hideMark/>
          </w:tcPr>
          <w:p w14:paraId="1EDE4FC6"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14023:2011/Ap1:</w:t>
            </w:r>
          </w:p>
          <w:p w14:paraId="51A71D7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2014-04</w:t>
            </w:r>
          </w:p>
        </w:tc>
        <w:tc>
          <w:tcPr>
            <w:tcW w:w="6680" w:type="dxa"/>
            <w:tcMar>
              <w:top w:w="0" w:type="dxa"/>
              <w:left w:w="108" w:type="dxa"/>
              <w:bottom w:w="0" w:type="dxa"/>
              <w:right w:w="108" w:type="dxa"/>
            </w:tcMar>
            <w:hideMark/>
          </w:tcPr>
          <w:p w14:paraId="13235E5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Zasady klasyfikacji asfaltów modyfikowanych polimerami. Załącznik krajowy NA</w:t>
            </w:r>
          </w:p>
        </w:tc>
      </w:tr>
      <w:tr w:rsidR="00FC279F" w:rsidRPr="00C968CE" w14:paraId="7C1F6B42" w14:textId="77777777" w:rsidTr="00FC279F">
        <w:tc>
          <w:tcPr>
            <w:tcW w:w="664" w:type="dxa"/>
            <w:tcMar>
              <w:top w:w="0" w:type="dxa"/>
              <w:left w:w="108" w:type="dxa"/>
              <w:bottom w:w="0" w:type="dxa"/>
              <w:right w:w="108" w:type="dxa"/>
            </w:tcMar>
            <w:hideMark/>
          </w:tcPr>
          <w:p w14:paraId="68A835A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67.</w:t>
            </w:r>
          </w:p>
        </w:tc>
        <w:tc>
          <w:tcPr>
            <w:tcW w:w="1944" w:type="dxa"/>
            <w:tcMar>
              <w:top w:w="0" w:type="dxa"/>
              <w:left w:w="108" w:type="dxa"/>
              <w:bottom w:w="0" w:type="dxa"/>
              <w:right w:w="108" w:type="dxa"/>
            </w:tcMar>
            <w:hideMark/>
          </w:tcPr>
          <w:p w14:paraId="181EB03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14188-1</w:t>
            </w:r>
          </w:p>
        </w:tc>
        <w:tc>
          <w:tcPr>
            <w:tcW w:w="6680" w:type="dxa"/>
            <w:tcMar>
              <w:top w:w="0" w:type="dxa"/>
              <w:left w:w="108" w:type="dxa"/>
              <w:bottom w:w="0" w:type="dxa"/>
              <w:right w:w="108" w:type="dxa"/>
            </w:tcMar>
            <w:hideMark/>
          </w:tcPr>
          <w:p w14:paraId="6C5B0D7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Wypełniacze szczelin i zalewy drogowe – Część 1: Wymagania wobec zalew drogowych na gorąco</w:t>
            </w:r>
          </w:p>
        </w:tc>
      </w:tr>
      <w:tr w:rsidR="00FC279F" w:rsidRPr="00C968CE" w14:paraId="51A4BE7F" w14:textId="77777777" w:rsidTr="00FC279F">
        <w:tc>
          <w:tcPr>
            <w:tcW w:w="664" w:type="dxa"/>
            <w:tcMar>
              <w:top w:w="0" w:type="dxa"/>
              <w:left w:w="108" w:type="dxa"/>
              <w:bottom w:w="0" w:type="dxa"/>
              <w:right w:w="108" w:type="dxa"/>
            </w:tcMar>
            <w:hideMark/>
          </w:tcPr>
          <w:p w14:paraId="5C62C0A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68.</w:t>
            </w:r>
          </w:p>
        </w:tc>
        <w:tc>
          <w:tcPr>
            <w:tcW w:w="1944" w:type="dxa"/>
            <w:tcMar>
              <w:top w:w="0" w:type="dxa"/>
              <w:left w:w="108" w:type="dxa"/>
              <w:bottom w:w="0" w:type="dxa"/>
              <w:right w:w="108" w:type="dxa"/>
            </w:tcMar>
            <w:hideMark/>
          </w:tcPr>
          <w:p w14:paraId="5384D1D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14188-2</w:t>
            </w:r>
          </w:p>
        </w:tc>
        <w:tc>
          <w:tcPr>
            <w:tcW w:w="6680" w:type="dxa"/>
            <w:tcMar>
              <w:top w:w="0" w:type="dxa"/>
              <w:left w:w="108" w:type="dxa"/>
              <w:bottom w:w="0" w:type="dxa"/>
              <w:right w:w="108" w:type="dxa"/>
            </w:tcMar>
            <w:hideMark/>
          </w:tcPr>
          <w:p w14:paraId="29739195"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Wypełniacze szczelin i zalewy drogowe – Część 2: Wymagania wobec zalew drogowych na zimno</w:t>
            </w:r>
          </w:p>
        </w:tc>
      </w:tr>
      <w:tr w:rsidR="00FC279F" w:rsidRPr="00C968CE" w14:paraId="60452AF2" w14:textId="77777777" w:rsidTr="00FC279F">
        <w:tc>
          <w:tcPr>
            <w:tcW w:w="664" w:type="dxa"/>
            <w:tcMar>
              <w:top w:w="0" w:type="dxa"/>
              <w:left w:w="108" w:type="dxa"/>
              <w:bottom w:w="0" w:type="dxa"/>
              <w:right w:w="108" w:type="dxa"/>
            </w:tcMar>
            <w:hideMark/>
          </w:tcPr>
          <w:p w14:paraId="382CDEE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69.</w:t>
            </w:r>
          </w:p>
        </w:tc>
        <w:tc>
          <w:tcPr>
            <w:tcW w:w="1944" w:type="dxa"/>
            <w:tcMar>
              <w:top w:w="0" w:type="dxa"/>
              <w:left w:w="108" w:type="dxa"/>
              <w:bottom w:w="0" w:type="dxa"/>
              <w:right w:w="108" w:type="dxa"/>
            </w:tcMar>
            <w:hideMark/>
          </w:tcPr>
          <w:p w14:paraId="2C70632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22592</w:t>
            </w:r>
          </w:p>
        </w:tc>
        <w:tc>
          <w:tcPr>
            <w:tcW w:w="6680" w:type="dxa"/>
            <w:tcMar>
              <w:top w:w="0" w:type="dxa"/>
              <w:left w:w="108" w:type="dxa"/>
              <w:bottom w:w="0" w:type="dxa"/>
              <w:right w:w="108" w:type="dxa"/>
            </w:tcMar>
            <w:hideMark/>
          </w:tcPr>
          <w:p w14:paraId="6E98356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Przetwory naftowe – Oznaczanie temperatury zapłonu i palenia – Pomiar metodą otwartego tygla Clevelanda</w:t>
            </w:r>
          </w:p>
        </w:tc>
      </w:tr>
      <w:tr w:rsidR="00FC279F" w:rsidRPr="00C968CE" w14:paraId="6118EF6B" w14:textId="77777777" w:rsidTr="00FC279F">
        <w:tc>
          <w:tcPr>
            <w:tcW w:w="664" w:type="dxa"/>
            <w:tcMar>
              <w:top w:w="0" w:type="dxa"/>
              <w:left w:w="108" w:type="dxa"/>
              <w:bottom w:w="0" w:type="dxa"/>
              <w:right w:w="108" w:type="dxa"/>
            </w:tcMar>
            <w:hideMark/>
          </w:tcPr>
          <w:p w14:paraId="588D7C3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70.</w:t>
            </w:r>
          </w:p>
        </w:tc>
        <w:tc>
          <w:tcPr>
            <w:tcW w:w="1944" w:type="dxa"/>
            <w:tcMar>
              <w:top w:w="0" w:type="dxa"/>
              <w:left w:w="108" w:type="dxa"/>
              <w:bottom w:w="0" w:type="dxa"/>
              <w:right w:w="108" w:type="dxa"/>
            </w:tcMar>
            <w:hideMark/>
          </w:tcPr>
          <w:p w14:paraId="46E38FA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ISO 2592</w:t>
            </w:r>
          </w:p>
        </w:tc>
        <w:tc>
          <w:tcPr>
            <w:tcW w:w="6680" w:type="dxa"/>
            <w:tcMar>
              <w:top w:w="0" w:type="dxa"/>
              <w:left w:w="108" w:type="dxa"/>
              <w:bottom w:w="0" w:type="dxa"/>
              <w:right w:w="108" w:type="dxa"/>
            </w:tcMar>
            <w:hideMark/>
          </w:tcPr>
          <w:p w14:paraId="230A66DD"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Oznaczanie temperatury zapłonu i palenia – Metoda otwartego tygla Clevelanda</w:t>
            </w:r>
          </w:p>
        </w:tc>
      </w:tr>
      <w:tr w:rsidR="00FC279F" w:rsidRPr="00C968CE" w14:paraId="72DA4604" w14:textId="77777777" w:rsidTr="00FC279F">
        <w:tc>
          <w:tcPr>
            <w:tcW w:w="664" w:type="dxa"/>
            <w:tcMar>
              <w:top w:w="0" w:type="dxa"/>
              <w:left w:w="108" w:type="dxa"/>
              <w:bottom w:w="0" w:type="dxa"/>
              <w:right w:w="108" w:type="dxa"/>
            </w:tcMar>
            <w:hideMark/>
          </w:tcPr>
          <w:p w14:paraId="14A5D27C"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71.</w:t>
            </w:r>
          </w:p>
        </w:tc>
        <w:tc>
          <w:tcPr>
            <w:tcW w:w="1944" w:type="dxa"/>
            <w:tcMar>
              <w:top w:w="0" w:type="dxa"/>
              <w:left w:w="108" w:type="dxa"/>
              <w:bottom w:w="0" w:type="dxa"/>
              <w:right w:w="108" w:type="dxa"/>
            </w:tcMar>
            <w:hideMark/>
          </w:tcPr>
          <w:p w14:paraId="3888A72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13880-2</w:t>
            </w:r>
          </w:p>
        </w:tc>
        <w:tc>
          <w:tcPr>
            <w:tcW w:w="6680" w:type="dxa"/>
            <w:tcMar>
              <w:top w:w="0" w:type="dxa"/>
              <w:left w:w="108" w:type="dxa"/>
              <w:bottom w:w="0" w:type="dxa"/>
              <w:right w:w="108" w:type="dxa"/>
            </w:tcMar>
            <w:hideMark/>
          </w:tcPr>
          <w:p w14:paraId="6D806CC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Zalewy szczelin na gorąco -- Część 2: Metoda badania dla określenia penetracji stożka w temperaturze 25 C</w:t>
            </w:r>
          </w:p>
        </w:tc>
      </w:tr>
      <w:tr w:rsidR="00FC279F" w:rsidRPr="00C968CE" w14:paraId="35650BD9" w14:textId="77777777" w:rsidTr="00FC279F">
        <w:tc>
          <w:tcPr>
            <w:tcW w:w="664" w:type="dxa"/>
            <w:tcMar>
              <w:top w:w="0" w:type="dxa"/>
              <w:left w:w="108" w:type="dxa"/>
              <w:bottom w:w="0" w:type="dxa"/>
              <w:right w:w="108" w:type="dxa"/>
            </w:tcMar>
            <w:hideMark/>
          </w:tcPr>
          <w:p w14:paraId="3ABCEFF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72.</w:t>
            </w:r>
          </w:p>
        </w:tc>
        <w:tc>
          <w:tcPr>
            <w:tcW w:w="1944" w:type="dxa"/>
            <w:tcMar>
              <w:top w:w="0" w:type="dxa"/>
              <w:left w:w="108" w:type="dxa"/>
              <w:bottom w:w="0" w:type="dxa"/>
              <w:right w:w="108" w:type="dxa"/>
            </w:tcMar>
            <w:hideMark/>
          </w:tcPr>
          <w:p w14:paraId="7D4F32A4"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13880-3</w:t>
            </w:r>
          </w:p>
        </w:tc>
        <w:tc>
          <w:tcPr>
            <w:tcW w:w="6680" w:type="dxa"/>
            <w:tcMar>
              <w:top w:w="0" w:type="dxa"/>
              <w:left w:w="108" w:type="dxa"/>
              <w:bottom w:w="0" w:type="dxa"/>
              <w:right w:w="108" w:type="dxa"/>
            </w:tcMar>
            <w:hideMark/>
          </w:tcPr>
          <w:p w14:paraId="6256C23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Zalewy szczelin na gorąco -- Część 3: Metoda badania określająca penetrację i odprężenie sprężyste (odbojność)</w:t>
            </w:r>
          </w:p>
        </w:tc>
      </w:tr>
      <w:tr w:rsidR="00FC279F" w:rsidRPr="00C968CE" w14:paraId="1DCBACEC" w14:textId="77777777" w:rsidTr="00FC279F">
        <w:tc>
          <w:tcPr>
            <w:tcW w:w="664" w:type="dxa"/>
            <w:tcMar>
              <w:top w:w="0" w:type="dxa"/>
              <w:left w:w="108" w:type="dxa"/>
              <w:bottom w:w="0" w:type="dxa"/>
              <w:right w:w="108" w:type="dxa"/>
            </w:tcMar>
            <w:hideMark/>
          </w:tcPr>
          <w:p w14:paraId="00845E3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73.</w:t>
            </w:r>
          </w:p>
        </w:tc>
        <w:tc>
          <w:tcPr>
            <w:tcW w:w="1944" w:type="dxa"/>
            <w:tcMar>
              <w:top w:w="0" w:type="dxa"/>
              <w:left w:w="108" w:type="dxa"/>
              <w:bottom w:w="0" w:type="dxa"/>
              <w:right w:w="108" w:type="dxa"/>
            </w:tcMar>
            <w:hideMark/>
          </w:tcPr>
          <w:p w14:paraId="711E8040"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13880-5</w:t>
            </w:r>
          </w:p>
        </w:tc>
        <w:tc>
          <w:tcPr>
            <w:tcW w:w="6680" w:type="dxa"/>
            <w:tcMar>
              <w:top w:w="0" w:type="dxa"/>
              <w:left w:w="108" w:type="dxa"/>
              <w:bottom w:w="0" w:type="dxa"/>
              <w:right w:w="108" w:type="dxa"/>
            </w:tcMar>
            <w:hideMark/>
          </w:tcPr>
          <w:p w14:paraId="3A2AFA2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Zalewy szczelin na gorąco -- Część 5: Metody badań do oznaczania odporności na spływanie</w:t>
            </w:r>
          </w:p>
        </w:tc>
      </w:tr>
      <w:tr w:rsidR="00FC279F" w:rsidRPr="00C968CE" w14:paraId="29E339CE" w14:textId="77777777" w:rsidTr="00FC279F">
        <w:tc>
          <w:tcPr>
            <w:tcW w:w="664" w:type="dxa"/>
            <w:tcMar>
              <w:top w:w="0" w:type="dxa"/>
              <w:left w:w="108" w:type="dxa"/>
              <w:bottom w:w="0" w:type="dxa"/>
              <w:right w:w="108" w:type="dxa"/>
            </w:tcMar>
            <w:hideMark/>
          </w:tcPr>
          <w:p w14:paraId="29B58BC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74.</w:t>
            </w:r>
          </w:p>
        </w:tc>
        <w:tc>
          <w:tcPr>
            <w:tcW w:w="1944" w:type="dxa"/>
            <w:tcMar>
              <w:top w:w="0" w:type="dxa"/>
              <w:left w:w="108" w:type="dxa"/>
              <w:bottom w:w="0" w:type="dxa"/>
              <w:right w:w="108" w:type="dxa"/>
            </w:tcMar>
            <w:hideMark/>
          </w:tcPr>
          <w:p w14:paraId="34C084B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13880-6</w:t>
            </w:r>
          </w:p>
        </w:tc>
        <w:tc>
          <w:tcPr>
            <w:tcW w:w="6680" w:type="dxa"/>
            <w:tcMar>
              <w:top w:w="0" w:type="dxa"/>
              <w:left w:w="108" w:type="dxa"/>
              <w:bottom w:w="0" w:type="dxa"/>
              <w:right w:w="108" w:type="dxa"/>
            </w:tcMar>
            <w:hideMark/>
          </w:tcPr>
          <w:p w14:paraId="58B16E5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Zalewy szczelin na gorąco -- Część 6: Metoda przygotowania próbek do badania</w:t>
            </w:r>
          </w:p>
        </w:tc>
      </w:tr>
      <w:tr w:rsidR="00FC279F" w:rsidRPr="00C968CE" w14:paraId="7B3E974B" w14:textId="77777777" w:rsidTr="00FC279F">
        <w:tc>
          <w:tcPr>
            <w:tcW w:w="664" w:type="dxa"/>
            <w:tcMar>
              <w:top w:w="0" w:type="dxa"/>
              <w:left w:w="108" w:type="dxa"/>
              <w:bottom w:w="0" w:type="dxa"/>
              <w:right w:w="108" w:type="dxa"/>
            </w:tcMar>
            <w:hideMark/>
          </w:tcPr>
          <w:p w14:paraId="0D2D55C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75.</w:t>
            </w:r>
          </w:p>
        </w:tc>
        <w:tc>
          <w:tcPr>
            <w:tcW w:w="1944" w:type="dxa"/>
            <w:tcMar>
              <w:top w:w="0" w:type="dxa"/>
              <w:left w:w="108" w:type="dxa"/>
              <w:bottom w:w="0" w:type="dxa"/>
              <w:right w:w="108" w:type="dxa"/>
            </w:tcMar>
            <w:hideMark/>
          </w:tcPr>
          <w:p w14:paraId="1F4060C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13880-13</w:t>
            </w:r>
          </w:p>
        </w:tc>
        <w:tc>
          <w:tcPr>
            <w:tcW w:w="6680" w:type="dxa"/>
            <w:tcMar>
              <w:top w:w="0" w:type="dxa"/>
              <w:left w:w="108" w:type="dxa"/>
              <w:bottom w:w="0" w:type="dxa"/>
              <w:right w:w="108" w:type="dxa"/>
            </w:tcMar>
            <w:hideMark/>
          </w:tcPr>
          <w:p w14:paraId="03CD6F9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Zalewy szczelin na gorąco -- Część 13: Metoda badania służąca do określenia wydłużenia nieciągłego (próba przyczepności)</w:t>
            </w:r>
          </w:p>
        </w:tc>
      </w:tr>
      <w:tr w:rsidR="00FC279F" w:rsidRPr="00C968CE" w14:paraId="767A1520" w14:textId="77777777" w:rsidTr="00FC279F">
        <w:tc>
          <w:tcPr>
            <w:tcW w:w="664" w:type="dxa"/>
            <w:tcMar>
              <w:top w:w="0" w:type="dxa"/>
              <w:left w:w="108" w:type="dxa"/>
              <w:bottom w:w="0" w:type="dxa"/>
              <w:right w:w="108" w:type="dxa"/>
            </w:tcMar>
            <w:hideMark/>
          </w:tcPr>
          <w:p w14:paraId="2B3F153A"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76.</w:t>
            </w:r>
          </w:p>
        </w:tc>
        <w:tc>
          <w:tcPr>
            <w:tcW w:w="1944" w:type="dxa"/>
            <w:tcMar>
              <w:top w:w="0" w:type="dxa"/>
              <w:left w:w="108" w:type="dxa"/>
              <w:bottom w:w="0" w:type="dxa"/>
              <w:right w:w="108" w:type="dxa"/>
            </w:tcMar>
            <w:hideMark/>
          </w:tcPr>
          <w:p w14:paraId="2E1E2B0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DIN 52123</w:t>
            </w:r>
          </w:p>
        </w:tc>
        <w:tc>
          <w:tcPr>
            <w:tcW w:w="6680" w:type="dxa"/>
            <w:tcMar>
              <w:top w:w="0" w:type="dxa"/>
              <w:left w:w="108" w:type="dxa"/>
              <w:bottom w:w="0" w:type="dxa"/>
              <w:right w:w="108" w:type="dxa"/>
            </w:tcMar>
            <w:hideMark/>
          </w:tcPr>
          <w:p w14:paraId="5664DCDE" w14:textId="77777777" w:rsidR="00FC279F" w:rsidRPr="00C968CE" w:rsidRDefault="00FC279F" w:rsidP="00C968CE">
            <w:pPr>
              <w:spacing w:line="240" w:lineRule="auto"/>
              <w:outlineLvl w:val="1"/>
              <w:rPr>
                <w:rFonts w:cs="Arial"/>
                <w:b/>
                <w:bCs/>
                <w:szCs w:val="20"/>
              </w:rPr>
            </w:pPr>
            <w:r w:rsidRPr="00C968CE">
              <w:rPr>
                <w:rFonts w:cs="Arial"/>
                <w:szCs w:val="20"/>
              </w:rPr>
              <w:t>Prüfung von Bitumen- und Polymerbitumenbahnen (Badanie taśm bitumicznych i polimerowo-bitumicznych)</w:t>
            </w:r>
          </w:p>
        </w:tc>
      </w:tr>
      <w:tr w:rsidR="00FC279F" w:rsidRPr="00C968CE" w14:paraId="6786A025" w14:textId="77777777" w:rsidTr="00FC279F">
        <w:tc>
          <w:tcPr>
            <w:tcW w:w="664" w:type="dxa"/>
            <w:tcMar>
              <w:top w:w="0" w:type="dxa"/>
              <w:left w:w="108" w:type="dxa"/>
              <w:bottom w:w="0" w:type="dxa"/>
              <w:right w:w="108" w:type="dxa"/>
            </w:tcMar>
            <w:hideMark/>
          </w:tcPr>
          <w:p w14:paraId="44895CB8"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77.</w:t>
            </w:r>
          </w:p>
        </w:tc>
        <w:tc>
          <w:tcPr>
            <w:tcW w:w="1944" w:type="dxa"/>
            <w:tcMar>
              <w:top w:w="0" w:type="dxa"/>
              <w:left w:w="108" w:type="dxa"/>
              <w:bottom w:w="0" w:type="dxa"/>
              <w:right w:w="108" w:type="dxa"/>
            </w:tcMar>
            <w:hideMark/>
          </w:tcPr>
          <w:p w14:paraId="64B6CE7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1425</w:t>
            </w:r>
          </w:p>
        </w:tc>
        <w:tc>
          <w:tcPr>
            <w:tcW w:w="6680" w:type="dxa"/>
            <w:tcMar>
              <w:top w:w="0" w:type="dxa"/>
              <w:left w:w="108" w:type="dxa"/>
              <w:bottom w:w="0" w:type="dxa"/>
              <w:right w:w="108" w:type="dxa"/>
            </w:tcMar>
            <w:hideMark/>
          </w:tcPr>
          <w:p w14:paraId="541C94D5" w14:textId="77777777" w:rsidR="00FC279F" w:rsidRPr="00C968CE" w:rsidRDefault="00FC279F" w:rsidP="00C968CE">
            <w:pPr>
              <w:spacing w:line="240" w:lineRule="auto"/>
              <w:outlineLvl w:val="1"/>
              <w:rPr>
                <w:rFonts w:cs="Arial"/>
                <w:b/>
                <w:bCs/>
                <w:szCs w:val="20"/>
              </w:rPr>
            </w:pPr>
            <w:r w:rsidRPr="00C968CE">
              <w:rPr>
                <w:rFonts w:cs="Arial"/>
                <w:szCs w:val="20"/>
              </w:rPr>
              <w:t>Asfalty i lepiszcza asfaltowe -- Ocena organoleptyczna</w:t>
            </w:r>
          </w:p>
        </w:tc>
      </w:tr>
      <w:tr w:rsidR="00FC279F" w:rsidRPr="00C968CE" w14:paraId="35A14C55" w14:textId="77777777" w:rsidTr="00FC279F">
        <w:tc>
          <w:tcPr>
            <w:tcW w:w="664" w:type="dxa"/>
            <w:tcMar>
              <w:top w:w="0" w:type="dxa"/>
              <w:left w:w="108" w:type="dxa"/>
              <w:bottom w:w="0" w:type="dxa"/>
              <w:right w:w="108" w:type="dxa"/>
            </w:tcMar>
            <w:hideMark/>
          </w:tcPr>
          <w:p w14:paraId="32BA9371"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78.</w:t>
            </w:r>
          </w:p>
        </w:tc>
        <w:tc>
          <w:tcPr>
            <w:tcW w:w="1944" w:type="dxa"/>
            <w:tcMar>
              <w:top w:w="0" w:type="dxa"/>
              <w:left w:w="108" w:type="dxa"/>
              <w:bottom w:w="0" w:type="dxa"/>
              <w:right w:w="108" w:type="dxa"/>
            </w:tcMar>
            <w:hideMark/>
          </w:tcPr>
          <w:p w14:paraId="3AB73463"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1428</w:t>
            </w:r>
          </w:p>
        </w:tc>
        <w:tc>
          <w:tcPr>
            <w:tcW w:w="6680" w:type="dxa"/>
            <w:tcMar>
              <w:top w:w="0" w:type="dxa"/>
              <w:left w:w="108" w:type="dxa"/>
              <w:bottom w:w="0" w:type="dxa"/>
              <w:right w:w="108" w:type="dxa"/>
            </w:tcMar>
            <w:hideMark/>
          </w:tcPr>
          <w:p w14:paraId="216187BE"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Oznaczanie zawartości wody w emulsjach asfaltowych -- Metoda destylacji azeotropowej</w:t>
            </w:r>
          </w:p>
        </w:tc>
      </w:tr>
      <w:tr w:rsidR="00FC279F" w:rsidRPr="00C968CE" w14:paraId="28F0FEC8" w14:textId="77777777" w:rsidTr="00FC279F">
        <w:tc>
          <w:tcPr>
            <w:tcW w:w="664" w:type="dxa"/>
            <w:tcMar>
              <w:top w:w="0" w:type="dxa"/>
              <w:left w:w="108" w:type="dxa"/>
              <w:bottom w:w="0" w:type="dxa"/>
              <w:right w:w="108" w:type="dxa"/>
            </w:tcMar>
            <w:hideMark/>
          </w:tcPr>
          <w:p w14:paraId="07FA173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79.</w:t>
            </w:r>
          </w:p>
        </w:tc>
        <w:tc>
          <w:tcPr>
            <w:tcW w:w="1944" w:type="dxa"/>
            <w:tcMar>
              <w:top w:w="0" w:type="dxa"/>
              <w:left w:w="108" w:type="dxa"/>
              <w:bottom w:w="0" w:type="dxa"/>
              <w:right w:w="108" w:type="dxa"/>
            </w:tcMar>
            <w:hideMark/>
          </w:tcPr>
          <w:p w14:paraId="20599DFB"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13074-1</w:t>
            </w:r>
          </w:p>
        </w:tc>
        <w:tc>
          <w:tcPr>
            <w:tcW w:w="6680" w:type="dxa"/>
            <w:tcMar>
              <w:top w:w="0" w:type="dxa"/>
              <w:left w:w="108" w:type="dxa"/>
              <w:bottom w:w="0" w:type="dxa"/>
              <w:right w:w="108" w:type="dxa"/>
            </w:tcMar>
            <w:hideMark/>
          </w:tcPr>
          <w:p w14:paraId="290E6979"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Asfalty i lepiszcza asfaltowe -- Odzyskiwanie lepiszcza z emulsji asfaltowych lub asfaltów upłynnionych lub fluksowanych -- Część 1: Odzyskiwanie metodą odparowania</w:t>
            </w:r>
          </w:p>
        </w:tc>
      </w:tr>
      <w:tr w:rsidR="00FC279F" w:rsidRPr="00C968CE" w14:paraId="6FA437B8" w14:textId="77777777" w:rsidTr="00FC279F">
        <w:tc>
          <w:tcPr>
            <w:tcW w:w="664" w:type="dxa"/>
            <w:tcMar>
              <w:top w:w="0" w:type="dxa"/>
              <w:left w:w="108" w:type="dxa"/>
              <w:bottom w:w="0" w:type="dxa"/>
              <w:right w:w="108" w:type="dxa"/>
            </w:tcMar>
            <w:hideMark/>
          </w:tcPr>
          <w:p w14:paraId="406AFE7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80.</w:t>
            </w:r>
          </w:p>
        </w:tc>
        <w:tc>
          <w:tcPr>
            <w:tcW w:w="1944" w:type="dxa"/>
            <w:tcMar>
              <w:top w:w="0" w:type="dxa"/>
              <w:left w:w="108" w:type="dxa"/>
              <w:bottom w:w="0" w:type="dxa"/>
              <w:right w:w="108" w:type="dxa"/>
            </w:tcMar>
            <w:hideMark/>
          </w:tcPr>
          <w:p w14:paraId="63B21EAF"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PN-EN 13074-2</w:t>
            </w:r>
          </w:p>
        </w:tc>
        <w:tc>
          <w:tcPr>
            <w:tcW w:w="6680" w:type="dxa"/>
            <w:tcMar>
              <w:top w:w="0" w:type="dxa"/>
              <w:left w:w="108" w:type="dxa"/>
              <w:bottom w:w="0" w:type="dxa"/>
              <w:right w:w="108" w:type="dxa"/>
            </w:tcMar>
            <w:hideMark/>
          </w:tcPr>
          <w:p w14:paraId="43500387" w14:textId="77777777" w:rsidR="00FC279F" w:rsidRPr="00C968CE" w:rsidRDefault="00FC279F" w:rsidP="00C968CE">
            <w:pPr>
              <w:spacing w:before="100" w:beforeAutospacing="1" w:after="100" w:afterAutospacing="1" w:line="240" w:lineRule="auto"/>
              <w:rPr>
                <w:rFonts w:cs="Arial"/>
                <w:szCs w:val="20"/>
              </w:rPr>
            </w:pPr>
            <w:r w:rsidRPr="00C968CE">
              <w:rPr>
                <w:rFonts w:cs="Arial"/>
                <w:szCs w:val="20"/>
              </w:rPr>
              <w:t xml:space="preserve">Asfalty i lepiszcza asfaltowe -- Odzyskiwanie lepiszcza z emulsji </w:t>
            </w:r>
            <w:r w:rsidRPr="00C968CE">
              <w:rPr>
                <w:rFonts w:cs="Arial"/>
                <w:szCs w:val="20"/>
              </w:rPr>
              <w:lastRenderedPageBreak/>
              <w:t>asfaltowych lub asfaltów upłynnionych lub fluksowanych -- Część 2: Stabilizacja po odzyskaniu metodą odparowania</w:t>
            </w:r>
          </w:p>
        </w:tc>
      </w:tr>
    </w:tbl>
    <w:p w14:paraId="09FA7A58"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lastRenderedPageBreak/>
        <w:t>10.3. Wymagania techniczne i katalogi</w:t>
      </w:r>
    </w:p>
    <w:p w14:paraId="6934360B" w14:textId="77777777" w:rsidR="00FC279F" w:rsidRPr="00C968CE" w:rsidRDefault="00FC279F" w:rsidP="00C968CE">
      <w:pPr>
        <w:spacing w:before="100" w:beforeAutospacing="1" w:after="100" w:afterAutospacing="1" w:line="240" w:lineRule="auto"/>
        <w:ind w:left="709" w:hanging="360"/>
        <w:rPr>
          <w:rFonts w:cs="Arial"/>
          <w:szCs w:val="20"/>
        </w:rPr>
      </w:pPr>
      <w:r w:rsidRPr="00C968CE">
        <w:rPr>
          <w:rFonts w:cs="Arial"/>
          <w:szCs w:val="20"/>
        </w:rPr>
        <w:t>81. 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130A270E" w14:textId="77777777" w:rsidR="00FC279F" w:rsidRPr="00C968CE" w:rsidRDefault="00FC279F" w:rsidP="00C968CE">
      <w:pPr>
        <w:spacing w:before="100" w:beforeAutospacing="1" w:after="100" w:afterAutospacing="1" w:line="240" w:lineRule="auto"/>
        <w:ind w:left="709" w:hanging="360"/>
        <w:rPr>
          <w:rFonts w:cs="Arial"/>
          <w:szCs w:val="20"/>
        </w:rPr>
      </w:pPr>
      <w:r w:rsidRPr="00C968CE">
        <w:rPr>
          <w:rFonts w:cs="Arial"/>
          <w:szCs w:val="20"/>
        </w:rPr>
        <w:t xml:space="preserve">82. 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0788FC83" w14:textId="77777777" w:rsidR="00FC279F" w:rsidRPr="00C968CE" w:rsidRDefault="00FC279F" w:rsidP="00C968CE">
      <w:pPr>
        <w:spacing w:before="100" w:beforeAutospacing="1" w:after="100" w:afterAutospacing="1" w:line="240" w:lineRule="auto"/>
        <w:ind w:left="709" w:hanging="360"/>
        <w:rPr>
          <w:rFonts w:cs="Arial"/>
          <w:szCs w:val="20"/>
        </w:rPr>
      </w:pPr>
      <w:r w:rsidRPr="00C968CE">
        <w:rPr>
          <w:rFonts w:cs="Arial"/>
          <w:szCs w:val="20"/>
        </w:rPr>
        <w:t>83. 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2D4BD873" w14:textId="77777777" w:rsidR="00FC279F" w:rsidRPr="00C968CE" w:rsidRDefault="00FC279F" w:rsidP="00C968CE">
      <w:pPr>
        <w:spacing w:before="100" w:beforeAutospacing="1" w:after="100" w:afterAutospacing="1" w:line="240" w:lineRule="auto"/>
        <w:ind w:left="709" w:hanging="360"/>
        <w:rPr>
          <w:rFonts w:cs="Arial"/>
          <w:szCs w:val="20"/>
        </w:rPr>
      </w:pPr>
      <w:r w:rsidRPr="00C968CE">
        <w:rPr>
          <w:rFonts w:cs="Arial"/>
          <w:szCs w:val="20"/>
        </w:rPr>
        <w:t>84. Katalog typowych konstrukcji nawierzchni podatnych i półsztywnych. Załącznik do Zarządzenia nr 31 Generalnego Dyrektora Dróg Krajowych i Autostrad z dnia 16 czerwca 2014 r.</w:t>
      </w:r>
    </w:p>
    <w:p w14:paraId="51BB89B8" w14:textId="77777777" w:rsidR="00FC279F" w:rsidRPr="00C968CE" w:rsidRDefault="00FC279F" w:rsidP="00C968CE">
      <w:pPr>
        <w:spacing w:before="100" w:beforeAutospacing="1" w:after="100" w:afterAutospacing="1" w:line="240" w:lineRule="auto"/>
        <w:outlineLvl w:val="1"/>
        <w:rPr>
          <w:rFonts w:cs="Arial"/>
          <w:b/>
          <w:bCs/>
          <w:szCs w:val="20"/>
        </w:rPr>
      </w:pPr>
      <w:r w:rsidRPr="00C968CE">
        <w:rPr>
          <w:rFonts w:cs="Arial"/>
          <w:b/>
          <w:bCs/>
          <w:szCs w:val="20"/>
        </w:rPr>
        <w:t>10.4. Inne dokumenty</w:t>
      </w:r>
    </w:p>
    <w:p w14:paraId="229F3ECC" w14:textId="77777777" w:rsidR="00FC279F" w:rsidRPr="00C968CE" w:rsidRDefault="00FC279F" w:rsidP="00C968CE">
      <w:pPr>
        <w:spacing w:before="100" w:beforeAutospacing="1" w:after="100" w:afterAutospacing="1" w:line="240" w:lineRule="auto"/>
        <w:ind w:left="709" w:hanging="360"/>
        <w:rPr>
          <w:rFonts w:cs="Arial"/>
          <w:szCs w:val="20"/>
        </w:rPr>
      </w:pPr>
      <w:r w:rsidRPr="00C968CE">
        <w:rPr>
          <w:rFonts w:cs="Arial"/>
          <w:szCs w:val="20"/>
        </w:rPr>
        <w:t>85. Rozporządzenie Ministra Transportu i Gospodarki Morskiej z dnia 2 marca 1999 r. w sprawie warunków technicznych, jakim powinny odpowiadać drogi publiczne i ich usytuowanie (jednolity tekst Dz.U. z 2016, poz. 124)</w:t>
      </w:r>
    </w:p>
    <w:p w14:paraId="3B1DD768" w14:textId="5960D8AB" w:rsidR="00FC279F" w:rsidRPr="00C968CE" w:rsidRDefault="00FC279F" w:rsidP="00C968CE">
      <w:pPr>
        <w:spacing w:before="100" w:beforeAutospacing="1" w:after="100" w:afterAutospacing="1" w:line="240" w:lineRule="auto"/>
        <w:ind w:left="709" w:hanging="360"/>
        <w:rPr>
          <w:rFonts w:cs="Arial"/>
          <w:szCs w:val="20"/>
        </w:rPr>
      </w:pPr>
      <w:r w:rsidRPr="00C968CE">
        <w:rPr>
          <w:rFonts w:cs="Arial"/>
          <w:szCs w:val="20"/>
        </w:rPr>
        <w:t>86. Ustawa z dnia 19 sierpnia 2011 r. o przewozie drogowym towarów niebezpiecznych (Dz.U. nr 227, poz. 1367 z późn. zm.)</w:t>
      </w:r>
    </w:p>
    <w:p w14:paraId="037B25E1" w14:textId="77777777" w:rsidR="00842907" w:rsidRPr="006431C4" w:rsidRDefault="00842907" w:rsidP="00842907">
      <w:pPr>
        <w:pStyle w:val="Nagwek4"/>
        <w:shd w:val="clear" w:color="auto" w:fill="FFFFFF" w:themeFill="background1"/>
        <w:jc w:val="both"/>
        <w:rPr>
          <w:rFonts w:cs="Arial"/>
        </w:rPr>
      </w:pPr>
      <w:bookmarkStart w:id="935" w:name="_Toc111635985"/>
      <w:r w:rsidRPr="006431C4">
        <w:rPr>
          <w:rFonts w:cs="Arial"/>
        </w:rPr>
        <w:t>D-05.03.05a –</w:t>
      </w:r>
      <w:r w:rsidR="00284CBE" w:rsidRPr="006431C4">
        <w:rPr>
          <w:rFonts w:cs="Arial"/>
        </w:rPr>
        <w:t xml:space="preserve"> NAWIERZCHNIA Z BETONU ASFALTOWEGO. WARSTWA Ś</w:t>
      </w:r>
      <w:r w:rsidRPr="006431C4">
        <w:rPr>
          <w:rFonts w:cs="Arial"/>
        </w:rPr>
        <w:t>CIERALNA wg WT-1 i WT-2</w:t>
      </w:r>
      <w:bookmarkEnd w:id="935"/>
    </w:p>
    <w:p w14:paraId="2668CDC1" w14:textId="77777777" w:rsidR="00842907" w:rsidRPr="006431C4" w:rsidRDefault="00842907" w:rsidP="00842907">
      <w:pPr>
        <w:keepNext/>
        <w:shd w:val="clear" w:color="auto" w:fill="FFFFFF" w:themeFill="background1"/>
        <w:tabs>
          <w:tab w:val="left" w:pos="142"/>
          <w:tab w:val="left" w:pos="1511"/>
        </w:tabs>
        <w:spacing w:line="240" w:lineRule="auto"/>
        <w:jc w:val="both"/>
        <w:outlineLvl w:val="0"/>
        <w:rPr>
          <w:rFonts w:cs="Arial"/>
          <w:b/>
          <w:bCs/>
          <w:szCs w:val="20"/>
        </w:rPr>
      </w:pPr>
      <w:r w:rsidRPr="006431C4">
        <w:rPr>
          <w:rFonts w:cs="Arial"/>
          <w:b/>
          <w:bCs/>
          <w:szCs w:val="20"/>
        </w:rPr>
        <w:t>1. WSTĘP</w:t>
      </w:r>
      <w:r w:rsidRPr="006431C4">
        <w:rPr>
          <w:rFonts w:cs="Arial"/>
          <w:b/>
          <w:bCs/>
          <w:szCs w:val="20"/>
        </w:rPr>
        <w:tab/>
      </w:r>
    </w:p>
    <w:p w14:paraId="1DAA349D" w14:textId="77777777" w:rsidR="00842907" w:rsidRPr="006431C4" w:rsidRDefault="00842907" w:rsidP="00842907">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1.1. Przedmiot SST</w:t>
      </w:r>
    </w:p>
    <w:p w14:paraId="25B13A29" w14:textId="77777777" w:rsidR="00842907" w:rsidRPr="006431C4" w:rsidRDefault="00842907" w:rsidP="00842907">
      <w:p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ab/>
        <w:t>Przedmiotem niniejszej szczegółowej specyfikacji technicznej są wymagania dotyczące wykonania i odbioru robót związanych z wykonaniem warstwy wiążącej i wyrównawczej z betonu asfaltowego.</w:t>
      </w:r>
    </w:p>
    <w:p w14:paraId="1B11098B" w14:textId="77777777" w:rsidR="00842907" w:rsidRPr="006431C4" w:rsidRDefault="00842907" w:rsidP="00842907">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1.2. Zakres stosowania SST</w:t>
      </w:r>
    </w:p>
    <w:p w14:paraId="77A7DA62" w14:textId="77777777" w:rsidR="00842907" w:rsidRPr="006431C4" w:rsidRDefault="00842907" w:rsidP="00842907">
      <w:pPr>
        <w:shd w:val="clear" w:color="auto" w:fill="FFFFFF" w:themeFill="background1"/>
        <w:tabs>
          <w:tab w:val="left" w:pos="142"/>
        </w:tabs>
        <w:spacing w:line="240" w:lineRule="auto"/>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p w14:paraId="7D71C6FA" w14:textId="3F0A1E56" w:rsidR="00842907" w:rsidRPr="006431C4" w:rsidRDefault="008D66D8" w:rsidP="00842907">
      <w:pPr>
        <w:shd w:val="clear" w:color="auto" w:fill="FFFFFF" w:themeFill="background1"/>
        <w:tabs>
          <w:tab w:val="left" w:pos="142"/>
        </w:tabs>
        <w:spacing w:line="240" w:lineRule="auto"/>
        <w:jc w:val="both"/>
        <w:rPr>
          <w:rFonts w:cs="Arial"/>
          <w:szCs w:val="20"/>
        </w:rPr>
      </w:pPr>
      <w:sdt>
        <w:sdtPr>
          <w:rPr>
            <w:rFonts w:cs="Arial"/>
            <w:i/>
            <w:szCs w:val="20"/>
          </w:rPr>
          <w:alias w:val="Temat"/>
          <w:tag w:val=""/>
          <w:id w:val="287326640"/>
          <w:placeholder>
            <w:docPart w:val="DC663B3074BC4FA7B65D5629CE2BD320"/>
          </w:placeholder>
          <w:dataBinding w:prefixMappings="xmlns:ns0='http://purl.org/dc/elements/1.1/' xmlns:ns1='http://schemas.openxmlformats.org/package/2006/metadata/core-properties' " w:xpath="/ns1:coreProperties[1]/ns0:subject[1]" w:storeItemID="{6C3C8BC8-F283-45AE-878A-BAB7291924A1}"/>
          <w:text/>
        </w:sdtPr>
        <w:sdtEndPr/>
        <w:sdtContent>
          <w:r w:rsidR="00484E05">
            <w:rPr>
              <w:rFonts w:cs="Arial"/>
              <w:i/>
              <w:szCs w:val="20"/>
            </w:rPr>
            <w:t>„Przebudowa drogi wojewódzkiej nr 957 w miejscowości Jabłonka odc. referencyjny 100 w km 9+073.78 - 9+279.58 (budowa chodnika) "</w:t>
          </w:r>
        </w:sdtContent>
      </w:sdt>
    </w:p>
    <w:p w14:paraId="10EB5BE2" w14:textId="77777777" w:rsidR="00842907" w:rsidRPr="006431C4" w:rsidRDefault="00842907" w:rsidP="00842907">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1.3. Zakres robót objętych SST</w:t>
      </w:r>
    </w:p>
    <w:p w14:paraId="3030B8B5" w14:textId="77777777" w:rsidR="00CF11BE" w:rsidRPr="006431C4" w:rsidRDefault="00842907" w:rsidP="00CF11BE">
      <w:pPr>
        <w:shd w:val="clear" w:color="auto" w:fill="FFFFFF" w:themeFill="background1"/>
        <w:tabs>
          <w:tab w:val="num" w:pos="-2694"/>
          <w:tab w:val="left" w:pos="142"/>
        </w:tabs>
        <w:spacing w:line="240" w:lineRule="auto"/>
        <w:jc w:val="both"/>
        <w:rPr>
          <w:rFonts w:cs="Arial"/>
          <w:szCs w:val="20"/>
        </w:rPr>
      </w:pPr>
      <w:r w:rsidRPr="006431C4">
        <w:rPr>
          <w:rFonts w:cs="Arial"/>
          <w:szCs w:val="20"/>
        </w:rPr>
        <w:tab/>
        <w:t xml:space="preserve">Ustalenia zawarte w niniejszej szczegółowej specyfikacji dotyczą </w:t>
      </w:r>
      <w:r w:rsidR="00CF11BE" w:rsidRPr="006431C4">
        <w:rPr>
          <w:rFonts w:cs="Arial"/>
          <w:szCs w:val="20"/>
        </w:rPr>
        <w:t>zasad prowadzenia robót związanych z wykonaniem i odbiorem warstwy ścieralnej z betonu asfaltowego wg PN-EN 13108-1 [50] i WT-2 [80] [81] z mieszanki mineralno-asfaltowej dostarczonej od producenta. W przypadku produkcji mieszanki mineralno-asfaltowej przez Wykonawcę dla potrzeb budowy, Wykonawca zobowiązany jest prowadzić zakładową kontrolę produkcji (ZKP) zgodnie z  PN-EN 13108-21 [53].</w:t>
      </w:r>
    </w:p>
    <w:p w14:paraId="582AB5C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Warstwę ścieralną z betonu asfaltowego można wykonywać dla dróg kategorii ruchu od KR1 do KR6 (określenie kategorii ruchu podano w punkcie 1.4.7). Dopuszcza się stosowanie warstwy ścieralnej betonu asfaltowego AC11S na obiektach mostowych, jeżeli nawierzchnia dojazdów do mostu jest wykonana z betonu asfaltowego.</w:t>
      </w:r>
    </w:p>
    <w:p w14:paraId="798D15DE"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Stosowane mieszanki  betonu asfaltowego o wymiarze D podano w tablicy 1.</w:t>
      </w:r>
    </w:p>
    <w:p w14:paraId="348CDFC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CF11BE" w:rsidRPr="006431C4" w14:paraId="3DCB2744" w14:textId="77777777" w:rsidTr="007F1241">
        <w:trPr>
          <w:trHeight w:val="590"/>
        </w:trPr>
        <w:tc>
          <w:tcPr>
            <w:tcW w:w="1276" w:type="dxa"/>
            <w:vAlign w:val="center"/>
          </w:tcPr>
          <w:p w14:paraId="1B71D87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Kategoria</w:t>
            </w:r>
          </w:p>
          <w:p w14:paraId="798B35A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Ruchu</w:t>
            </w:r>
          </w:p>
        </w:tc>
        <w:tc>
          <w:tcPr>
            <w:tcW w:w="6132" w:type="dxa"/>
            <w:vAlign w:val="center"/>
          </w:tcPr>
          <w:p w14:paraId="6C957C3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Mieszanki  o wymiarze D</w:t>
            </w:r>
            <w:r w:rsidRPr="006431C4">
              <w:rPr>
                <w:rFonts w:cs="Arial"/>
                <w:szCs w:val="20"/>
                <w:vertAlign w:val="superscript"/>
              </w:rPr>
              <w:t>1)</w:t>
            </w:r>
            <w:r w:rsidRPr="006431C4">
              <w:rPr>
                <w:rFonts w:cs="Arial"/>
                <w:szCs w:val="20"/>
              </w:rPr>
              <w:t>,  mm</w:t>
            </w:r>
          </w:p>
        </w:tc>
      </w:tr>
      <w:tr w:rsidR="00CF11BE" w:rsidRPr="00747F93" w14:paraId="21DA0E88" w14:textId="77777777" w:rsidTr="007F1241">
        <w:tc>
          <w:tcPr>
            <w:tcW w:w="1276" w:type="dxa"/>
          </w:tcPr>
          <w:p w14:paraId="35AE3B1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 1-2</w:t>
            </w:r>
          </w:p>
          <w:p w14:paraId="781D9D9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 3-4</w:t>
            </w:r>
          </w:p>
          <w:p w14:paraId="2333D1E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 5-6</w:t>
            </w:r>
          </w:p>
        </w:tc>
        <w:tc>
          <w:tcPr>
            <w:tcW w:w="6132" w:type="dxa"/>
          </w:tcPr>
          <w:p w14:paraId="16090E6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AC5S, AC8S, AC11S</w:t>
            </w:r>
          </w:p>
          <w:p w14:paraId="747A135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AC8S, AC11S</w:t>
            </w:r>
          </w:p>
          <w:p w14:paraId="0A455BA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lang w:val="en-US"/>
              </w:rPr>
            </w:pPr>
            <w:r w:rsidRPr="006431C4">
              <w:rPr>
                <w:rFonts w:cs="Arial"/>
                <w:szCs w:val="20"/>
                <w:lang w:val="en-US"/>
              </w:rPr>
              <w:t xml:space="preserve">AC8S </w:t>
            </w:r>
            <w:r w:rsidRPr="006431C4">
              <w:rPr>
                <w:rFonts w:cs="Arial"/>
                <w:szCs w:val="20"/>
                <w:vertAlign w:val="superscript"/>
                <w:lang w:val="en-US"/>
              </w:rPr>
              <w:t>2)</w:t>
            </w:r>
            <w:r w:rsidRPr="006431C4">
              <w:rPr>
                <w:rFonts w:cs="Arial"/>
                <w:szCs w:val="20"/>
                <w:lang w:val="en-US"/>
              </w:rPr>
              <w:t xml:space="preserve">, AC11S </w:t>
            </w:r>
            <w:r w:rsidRPr="006431C4">
              <w:rPr>
                <w:rFonts w:cs="Arial"/>
                <w:szCs w:val="20"/>
                <w:vertAlign w:val="superscript"/>
                <w:lang w:val="en-US"/>
              </w:rPr>
              <w:t>2)</w:t>
            </w:r>
          </w:p>
        </w:tc>
      </w:tr>
    </w:tbl>
    <w:p w14:paraId="456C2A5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vertAlign w:val="superscript"/>
        </w:rPr>
        <w:t xml:space="preserve">1) </w:t>
      </w:r>
      <w:r w:rsidRPr="006431C4">
        <w:rPr>
          <w:rFonts w:cs="Arial"/>
          <w:szCs w:val="20"/>
        </w:rPr>
        <w:t>Podział ze względu na wymiar największego kruszywa w mieszance – patrz punkt 1.4.4.</w:t>
      </w:r>
    </w:p>
    <w:p w14:paraId="61A1D2A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vertAlign w:val="superscript"/>
        </w:rPr>
        <w:t xml:space="preserve">2) </w:t>
      </w:r>
      <w:r w:rsidRPr="006431C4">
        <w:rPr>
          <w:rFonts w:cs="Arial"/>
          <w:szCs w:val="20"/>
        </w:rPr>
        <w:t>Dopuszczony do stosowania w terenach górskich.</w:t>
      </w:r>
    </w:p>
    <w:p w14:paraId="181C2D16"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1.4. Określenia podstawowe</w:t>
      </w:r>
    </w:p>
    <w:p w14:paraId="0BFA709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 </w:t>
      </w:r>
      <w:r w:rsidRPr="006431C4">
        <w:rPr>
          <w:rFonts w:cs="Arial"/>
          <w:szCs w:val="20"/>
        </w:rPr>
        <w:t>Nawierzchnia – konstrukcja składająca się z jednej lub kilku warstw służących do przejmowania i rozkładania obciążeń od ruchu pojazdów na podłoże.</w:t>
      </w:r>
    </w:p>
    <w:p w14:paraId="21BE5BA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lastRenderedPageBreak/>
        <w:t xml:space="preserve">1.4.2. </w:t>
      </w:r>
      <w:r w:rsidRPr="006431C4">
        <w:rPr>
          <w:rFonts w:cs="Arial"/>
          <w:szCs w:val="20"/>
        </w:rPr>
        <w:t>Warstwa ścieralna – górna warstwa nawierzchni będąca w bezpośrednim kontakcie z kołami pojazdów.</w:t>
      </w:r>
    </w:p>
    <w:p w14:paraId="1ECDCBE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1.4.3. </w:t>
      </w:r>
      <w:r w:rsidRPr="006431C4">
        <w:rPr>
          <w:rFonts w:cs="Arial"/>
          <w:szCs w:val="20"/>
        </w:rPr>
        <w:t>Mieszanka mineralno-asfaltowa (MMA) – mieszanka kruszyw i lepiszcza asfaltowego.</w:t>
      </w:r>
    </w:p>
    <w:p w14:paraId="5813973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1.4.4. </w:t>
      </w:r>
      <w:r w:rsidRPr="006431C4">
        <w:rPr>
          <w:rFonts w:cs="Arial"/>
          <w:szCs w:val="20"/>
        </w:rPr>
        <w:t>Wymiar mieszanki mineralno-asfaltowej – określenie mieszanki mineralno-asfaltowej, ze względu na największy wymiar kruszywa D, np. wymiar 5, 8, 11.</w:t>
      </w:r>
    </w:p>
    <w:p w14:paraId="029DB57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1.4.5. </w:t>
      </w:r>
      <w:r w:rsidRPr="006431C4">
        <w:rPr>
          <w:rFonts w:cs="Arial"/>
          <w:szCs w:val="20"/>
        </w:rPr>
        <w:t>Beton asfaltowy – mieszanka mineralno-asfaltowa, w której kruszywo o uziarnieniu ciągłym lub nieciągłym tworzy strukturę wzajemnie klinującą się.</w:t>
      </w:r>
    </w:p>
    <w:p w14:paraId="774823F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1.4.6. </w:t>
      </w:r>
      <w:r w:rsidRPr="006431C4">
        <w:rPr>
          <w:rFonts w:cs="Arial"/>
          <w:szCs w:val="20"/>
        </w:rPr>
        <w:t>Uziarnienie – skład ziarnowy kruszywa, wyrażony w procentach masy ziaren przechodzących przez określony zestaw sit.</w:t>
      </w:r>
    </w:p>
    <w:p w14:paraId="2598DDB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1.4.7. </w:t>
      </w:r>
      <w:r w:rsidRPr="006431C4">
        <w:rPr>
          <w:rFonts w:cs="Arial"/>
          <w:szCs w:val="20"/>
        </w:rPr>
        <w:t>Kategoria ruchu – obciążenie drogi ruchem samochodowym, wyrażone w osiach obliczeniowych (100 kN) wg „Katalogu typowych konstrukcji nawierzchni podatnych i półsztywnych” GDDKiA [82].</w:t>
      </w:r>
    </w:p>
    <w:p w14:paraId="747E0F7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1.4.8. </w:t>
      </w:r>
      <w:r w:rsidRPr="006431C4">
        <w:rPr>
          <w:rFonts w:cs="Arial"/>
          <w:szCs w:val="20"/>
        </w:rPr>
        <w:t>Wymiar kruszywa – wielkość ziaren kruszywa, określona przez dolny (d) i górny (D) wymiar sita.</w:t>
      </w:r>
    </w:p>
    <w:p w14:paraId="23252B1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1.4.9. </w:t>
      </w:r>
      <w:r w:rsidRPr="006431C4">
        <w:rPr>
          <w:rFonts w:cs="Arial"/>
          <w:szCs w:val="20"/>
        </w:rPr>
        <w:t xml:space="preserve">Kruszywo grube – kruszywo z ziaren o wymiarze: D ≤ </w:t>
      </w:r>
      <w:smartTag w:uri="urn:schemas-microsoft-com:office:smarttags" w:element="metricconverter">
        <w:smartTagPr>
          <w:attr w:name="ProductID" w:val="45 mm"/>
        </w:smartTagPr>
        <w:r w:rsidRPr="006431C4">
          <w:rPr>
            <w:rFonts w:cs="Arial"/>
            <w:szCs w:val="20"/>
          </w:rPr>
          <w:t>45 mm</w:t>
        </w:r>
      </w:smartTag>
      <w:r w:rsidRPr="006431C4">
        <w:rPr>
          <w:rFonts w:cs="Arial"/>
          <w:szCs w:val="20"/>
        </w:rPr>
        <w:t xml:space="preserve"> oraz d &gt; </w:t>
      </w:r>
      <w:smartTag w:uri="urn:schemas-microsoft-com:office:smarttags" w:element="metricconverter">
        <w:smartTagPr>
          <w:attr w:name="ProductID" w:val="2 mm"/>
        </w:smartTagPr>
        <w:r w:rsidRPr="006431C4">
          <w:rPr>
            <w:rFonts w:cs="Arial"/>
            <w:szCs w:val="20"/>
          </w:rPr>
          <w:t>2 mm</w:t>
        </w:r>
      </w:smartTag>
      <w:r w:rsidRPr="006431C4">
        <w:rPr>
          <w:rFonts w:cs="Arial"/>
          <w:szCs w:val="20"/>
        </w:rPr>
        <w:t>.</w:t>
      </w:r>
    </w:p>
    <w:p w14:paraId="63F2F4C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1.4.10. </w:t>
      </w:r>
      <w:r w:rsidRPr="006431C4">
        <w:rPr>
          <w:rFonts w:cs="Arial"/>
          <w:szCs w:val="20"/>
        </w:rPr>
        <w:t xml:space="preserve">Kruszywo drobne – kruszywo z ziaren o wymiarze: D ≤ </w:t>
      </w:r>
      <w:smartTag w:uri="urn:schemas-microsoft-com:office:smarttags" w:element="metricconverter">
        <w:smartTagPr>
          <w:attr w:name="ProductID" w:val="2 mm"/>
        </w:smartTagPr>
        <w:r w:rsidRPr="006431C4">
          <w:rPr>
            <w:rFonts w:cs="Arial"/>
            <w:szCs w:val="20"/>
          </w:rPr>
          <w:t>2 mm</w:t>
        </w:r>
      </w:smartTag>
      <w:r w:rsidRPr="006431C4">
        <w:rPr>
          <w:rFonts w:cs="Arial"/>
          <w:szCs w:val="20"/>
        </w:rPr>
        <w:t xml:space="preserve">, którego większa część pozostaje na sicie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w:t>
      </w:r>
    </w:p>
    <w:p w14:paraId="7AA59E4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1.4.11. </w:t>
      </w:r>
      <w:r w:rsidRPr="006431C4">
        <w:rPr>
          <w:rFonts w:cs="Arial"/>
          <w:szCs w:val="20"/>
        </w:rPr>
        <w:t xml:space="preserve">Pył – kruszywo z ziaren przechodzących przez sito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w:t>
      </w:r>
    </w:p>
    <w:p w14:paraId="3EB6132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1.4.12. </w:t>
      </w:r>
      <w:r w:rsidRPr="006431C4">
        <w:rPr>
          <w:rFonts w:cs="Arial"/>
          <w:szCs w:val="20"/>
        </w:rPr>
        <w:t xml:space="preserve">Wypełniacz – kruszywo, którego większa część przechodzi przez sito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 (Wypełniacz mieszany – kruszywo, które składa się z wypełniacza pochodzenia mineralnego i wodorotlenku wapnia. Wypełniacz dodany – wypełniacz pochodzenia mineralnego, wyprodukowany oddzielnie).</w:t>
      </w:r>
    </w:p>
    <w:p w14:paraId="6A08FD9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1.4.13. </w:t>
      </w:r>
      <w:r w:rsidRPr="006431C4">
        <w:rPr>
          <w:rFonts w:cs="Arial"/>
          <w:szCs w:val="20"/>
        </w:rPr>
        <w:t>Kationowa emulsja asfaltowa – emulsja, w której emulgator nadaje dodatnie ładunki cząstkom zdyspergowanego asfaltu.</w:t>
      </w:r>
    </w:p>
    <w:p w14:paraId="75F5FF9E"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b/>
          <w:bCs/>
          <w:szCs w:val="20"/>
        </w:rPr>
        <w:t>1.4.14.</w:t>
      </w:r>
      <w:r w:rsidRPr="006431C4">
        <w:rPr>
          <w:rFonts w:cs="Arial"/>
          <w:bCs/>
          <w:szCs w:val="20"/>
        </w:rPr>
        <w:t xml:space="preserve">Połączenia technologiczne </w:t>
      </w:r>
      <w:r w:rsidRPr="006431C4">
        <w:rPr>
          <w:rFonts w:cs="Arial"/>
          <w:b/>
          <w:bCs/>
          <w:szCs w:val="20"/>
        </w:rPr>
        <w:t xml:space="preserve">– </w:t>
      </w:r>
      <w:r w:rsidRPr="006431C4">
        <w:rPr>
          <w:rFonts w:cs="Arial"/>
          <w:szCs w:val="20"/>
        </w:rPr>
        <w:t>połączenia rożnych warstw ze sobą lub tych samych</w:t>
      </w:r>
    </w:p>
    <w:p w14:paraId="795C4835"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warstw wykonywanych w rożnym czasie nie będących połączeniem międzywarstwowym</w:t>
      </w:r>
    </w:p>
    <w:p w14:paraId="644B042D"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b/>
          <w:bCs/>
          <w:szCs w:val="20"/>
        </w:rPr>
        <w:t>1.4.15.</w:t>
      </w:r>
      <w:r w:rsidRPr="006431C4">
        <w:rPr>
          <w:rFonts w:cs="Arial"/>
          <w:bCs/>
          <w:szCs w:val="20"/>
        </w:rPr>
        <w:t>Złącza podłużne i poprzeczne</w:t>
      </w:r>
      <w:r w:rsidRPr="006431C4">
        <w:rPr>
          <w:rFonts w:cs="Arial"/>
          <w:b/>
          <w:bCs/>
          <w:szCs w:val="20"/>
        </w:rPr>
        <w:t xml:space="preserve"> </w:t>
      </w:r>
      <w:r w:rsidRPr="006431C4">
        <w:rPr>
          <w:rFonts w:cs="Arial"/>
          <w:szCs w:val="20"/>
        </w:rPr>
        <w:t>– połączenia tego samego materiału wbudowywanego</w:t>
      </w:r>
    </w:p>
    <w:p w14:paraId="2CEC13FB"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w rożnym czasie</w:t>
      </w:r>
    </w:p>
    <w:p w14:paraId="77C751A8" w14:textId="77777777" w:rsidR="00CF11BE" w:rsidRPr="006431C4" w:rsidRDefault="00CF11BE" w:rsidP="00CF11BE">
      <w:pPr>
        <w:autoSpaceDE w:val="0"/>
        <w:autoSpaceDN w:val="0"/>
        <w:adjustRightInd w:val="0"/>
        <w:spacing w:line="240" w:lineRule="auto"/>
        <w:jc w:val="both"/>
        <w:rPr>
          <w:rFonts w:cs="Arial"/>
          <w:b/>
          <w:szCs w:val="20"/>
        </w:rPr>
      </w:pPr>
      <w:r w:rsidRPr="006431C4">
        <w:rPr>
          <w:rFonts w:cs="Arial"/>
          <w:b/>
          <w:bCs/>
          <w:szCs w:val="20"/>
        </w:rPr>
        <w:t>1.4.16.</w:t>
      </w:r>
      <w:r w:rsidRPr="006431C4">
        <w:rPr>
          <w:rFonts w:cs="Arial"/>
          <w:bCs/>
          <w:szCs w:val="20"/>
        </w:rPr>
        <w:t xml:space="preserve">Spoiny </w:t>
      </w:r>
      <w:r w:rsidRPr="006431C4">
        <w:rPr>
          <w:rFonts w:cs="Arial"/>
          <w:szCs w:val="20"/>
        </w:rPr>
        <w:t>– połączenia rożnych materiałów, np. asfaltu lanego i betonu asfaltowego oraz warstwy asfaltowej z urządzeniami obcymi w nawierzchni lub ją ograniczającymi</w:t>
      </w:r>
    </w:p>
    <w:p w14:paraId="3494933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1.4.17. </w:t>
      </w:r>
      <w:r w:rsidRPr="006431C4">
        <w:rPr>
          <w:rFonts w:cs="Arial"/>
          <w:szCs w:val="20"/>
        </w:rPr>
        <w:t>Pozostałe określenia podstawowe są zgodne z obowiązującymi, odpowiednimi polskimi normami i z definicjami podanymi w SST D-M-00.00.00 „Wymagania ogólne” pkt 1.4.</w:t>
      </w:r>
    </w:p>
    <w:p w14:paraId="42DF8DB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1.4.15. </w:t>
      </w:r>
      <w:r w:rsidRPr="006431C4">
        <w:rPr>
          <w:rFonts w:cs="Arial"/>
          <w:szCs w:val="20"/>
        </w:rPr>
        <w:t>Symbole i skróty dodatkowe</w:t>
      </w:r>
    </w:p>
    <w:tbl>
      <w:tblPr>
        <w:tblW w:w="0" w:type="auto"/>
        <w:tblLook w:val="04A0" w:firstRow="1" w:lastRow="0" w:firstColumn="1" w:lastColumn="0" w:noHBand="0" w:noVBand="1"/>
      </w:tblPr>
      <w:tblGrid>
        <w:gridCol w:w="739"/>
        <w:gridCol w:w="8131"/>
      </w:tblGrid>
      <w:tr w:rsidR="00CF11BE" w:rsidRPr="006431C4" w14:paraId="71719932" w14:textId="77777777" w:rsidTr="007F1241">
        <w:tc>
          <w:tcPr>
            <w:tcW w:w="737" w:type="dxa"/>
          </w:tcPr>
          <w:p w14:paraId="154BF02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AC_S</w:t>
            </w:r>
          </w:p>
        </w:tc>
        <w:tc>
          <w:tcPr>
            <w:tcW w:w="8131" w:type="dxa"/>
          </w:tcPr>
          <w:p w14:paraId="1D48159B" w14:textId="77777777" w:rsidR="00CF11BE" w:rsidRPr="006431C4" w:rsidRDefault="00CF11BE" w:rsidP="00CF1E7D">
            <w:pPr>
              <w:numPr>
                <w:ilvl w:val="0"/>
                <w:numId w:val="133"/>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beton asfaltowy do warstwy ścieralnej</w:t>
            </w:r>
          </w:p>
        </w:tc>
      </w:tr>
      <w:tr w:rsidR="00CF11BE" w:rsidRPr="00747F93" w14:paraId="2B0F7995" w14:textId="77777777" w:rsidTr="007F1241">
        <w:tc>
          <w:tcPr>
            <w:tcW w:w="737" w:type="dxa"/>
          </w:tcPr>
          <w:p w14:paraId="2E0F14B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PMB</w:t>
            </w:r>
          </w:p>
        </w:tc>
        <w:tc>
          <w:tcPr>
            <w:tcW w:w="8131" w:type="dxa"/>
          </w:tcPr>
          <w:p w14:paraId="139A8C92"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lang w:val="en-US"/>
              </w:rPr>
            </w:pPr>
            <w:r w:rsidRPr="006431C4">
              <w:rPr>
                <w:rFonts w:cs="Arial"/>
                <w:szCs w:val="20"/>
                <w:lang w:val="en-US"/>
              </w:rPr>
              <w:t>polimeroasfalt (ang. polymer modified bitumen),</w:t>
            </w:r>
          </w:p>
        </w:tc>
      </w:tr>
      <w:tr w:rsidR="00CF11BE" w:rsidRPr="006431C4" w14:paraId="393F76B7" w14:textId="77777777" w:rsidTr="007F1241">
        <w:tc>
          <w:tcPr>
            <w:tcW w:w="737" w:type="dxa"/>
          </w:tcPr>
          <w:p w14:paraId="0BB819F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MG</w:t>
            </w:r>
          </w:p>
        </w:tc>
        <w:tc>
          <w:tcPr>
            <w:tcW w:w="8131" w:type="dxa"/>
          </w:tcPr>
          <w:p w14:paraId="30C96549"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asfalt wielorodzajowy (ang. multigrade),</w:t>
            </w:r>
          </w:p>
        </w:tc>
      </w:tr>
      <w:tr w:rsidR="00CF11BE" w:rsidRPr="006431C4" w14:paraId="3D2317D3" w14:textId="77777777" w:rsidTr="007F1241">
        <w:tc>
          <w:tcPr>
            <w:tcW w:w="737" w:type="dxa"/>
          </w:tcPr>
          <w:p w14:paraId="52BA121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D</w:t>
            </w:r>
          </w:p>
        </w:tc>
        <w:tc>
          <w:tcPr>
            <w:tcW w:w="8131" w:type="dxa"/>
          </w:tcPr>
          <w:p w14:paraId="4755AEE3"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górny wymiar sita (przy określaniu wielkości ziaren kruszywa),</w:t>
            </w:r>
          </w:p>
        </w:tc>
      </w:tr>
      <w:tr w:rsidR="00CF11BE" w:rsidRPr="006431C4" w14:paraId="6F064AA7" w14:textId="77777777" w:rsidTr="007F1241">
        <w:tc>
          <w:tcPr>
            <w:tcW w:w="737" w:type="dxa"/>
          </w:tcPr>
          <w:p w14:paraId="0655DFE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d</w:t>
            </w:r>
          </w:p>
        </w:tc>
        <w:tc>
          <w:tcPr>
            <w:tcW w:w="8131" w:type="dxa"/>
          </w:tcPr>
          <w:p w14:paraId="277C84FB"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dolny wymiar sita (przy określaniu wielkości ziaren kruszywa),</w:t>
            </w:r>
          </w:p>
        </w:tc>
      </w:tr>
      <w:tr w:rsidR="00CF11BE" w:rsidRPr="006431C4" w14:paraId="721A6ADC" w14:textId="77777777" w:rsidTr="007F1241">
        <w:tc>
          <w:tcPr>
            <w:tcW w:w="737" w:type="dxa"/>
          </w:tcPr>
          <w:p w14:paraId="5F6ACEB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w:t>
            </w:r>
          </w:p>
        </w:tc>
        <w:tc>
          <w:tcPr>
            <w:tcW w:w="8131" w:type="dxa"/>
          </w:tcPr>
          <w:p w14:paraId="1F8951F8"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kationowa emulsja asfaltowa,</w:t>
            </w:r>
          </w:p>
        </w:tc>
      </w:tr>
      <w:tr w:rsidR="00CF11BE" w:rsidRPr="006431C4" w14:paraId="76C6A7C9" w14:textId="77777777" w:rsidTr="007F1241">
        <w:tc>
          <w:tcPr>
            <w:tcW w:w="737" w:type="dxa"/>
          </w:tcPr>
          <w:p w14:paraId="7A827CF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NPD</w:t>
            </w:r>
          </w:p>
        </w:tc>
        <w:tc>
          <w:tcPr>
            <w:tcW w:w="8131" w:type="dxa"/>
          </w:tcPr>
          <w:p w14:paraId="7B012A74"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właściwość użytkowa nie określana (ang. No Performance Determined; producent może jej nie określać),</w:t>
            </w:r>
          </w:p>
        </w:tc>
      </w:tr>
      <w:tr w:rsidR="00CF11BE" w:rsidRPr="006431C4" w14:paraId="72FAE468" w14:textId="77777777" w:rsidTr="007F1241">
        <w:tc>
          <w:tcPr>
            <w:tcW w:w="737" w:type="dxa"/>
          </w:tcPr>
          <w:p w14:paraId="3E1FCFC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TBR</w:t>
            </w:r>
          </w:p>
        </w:tc>
        <w:tc>
          <w:tcPr>
            <w:tcW w:w="8131" w:type="dxa"/>
          </w:tcPr>
          <w:p w14:paraId="657274E2"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do zadeklarowania (ang. To Be Reported; producent może dostarczyć odpowiednie informacje, jednak nie jest do tego zobowiązany),</w:t>
            </w:r>
          </w:p>
        </w:tc>
      </w:tr>
      <w:tr w:rsidR="00CF11BE" w:rsidRPr="006431C4" w14:paraId="193D1618" w14:textId="77777777" w:rsidTr="007F1241">
        <w:tc>
          <w:tcPr>
            <w:tcW w:w="737" w:type="dxa"/>
          </w:tcPr>
          <w:p w14:paraId="1E194F9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IRI</w:t>
            </w:r>
          </w:p>
        </w:tc>
        <w:tc>
          <w:tcPr>
            <w:tcW w:w="8131" w:type="dxa"/>
          </w:tcPr>
          <w:p w14:paraId="4C0FE7D1"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międzynarodowy wskaźnik równości (ang. International Roughness Index),</w:t>
            </w:r>
          </w:p>
        </w:tc>
      </w:tr>
      <w:tr w:rsidR="00CF11BE" w:rsidRPr="006431C4" w14:paraId="6404FB9A" w14:textId="77777777" w:rsidTr="007F1241">
        <w:tc>
          <w:tcPr>
            <w:tcW w:w="737" w:type="dxa"/>
          </w:tcPr>
          <w:p w14:paraId="5785500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MOP</w:t>
            </w:r>
          </w:p>
        </w:tc>
        <w:tc>
          <w:tcPr>
            <w:tcW w:w="8131" w:type="dxa"/>
          </w:tcPr>
          <w:p w14:paraId="305C67C0"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 xml:space="preserve">miejsce obsługi podróżnych. </w:t>
            </w:r>
          </w:p>
        </w:tc>
      </w:tr>
      <w:tr w:rsidR="00CF11BE" w:rsidRPr="006431C4" w14:paraId="7562BFFE" w14:textId="77777777" w:rsidTr="007F1241">
        <w:tc>
          <w:tcPr>
            <w:tcW w:w="737" w:type="dxa"/>
          </w:tcPr>
          <w:p w14:paraId="2E352E6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ZKP</w:t>
            </w:r>
          </w:p>
        </w:tc>
        <w:tc>
          <w:tcPr>
            <w:tcW w:w="8131" w:type="dxa"/>
          </w:tcPr>
          <w:p w14:paraId="49419E4D" w14:textId="77777777" w:rsidR="00CF11BE" w:rsidRPr="006431C4" w:rsidRDefault="00CF11BE" w:rsidP="00CF1E7D">
            <w:pPr>
              <w:numPr>
                <w:ilvl w:val="0"/>
                <w:numId w:val="134"/>
              </w:numPr>
              <w:overflowPunct w:val="0"/>
              <w:autoSpaceDE w:val="0"/>
              <w:autoSpaceDN w:val="0"/>
              <w:adjustRightInd w:val="0"/>
              <w:spacing w:line="240" w:lineRule="auto"/>
              <w:ind w:left="318" w:hanging="219"/>
              <w:jc w:val="both"/>
              <w:textAlignment w:val="baseline"/>
              <w:rPr>
                <w:rFonts w:cs="Arial"/>
                <w:szCs w:val="20"/>
              </w:rPr>
            </w:pPr>
            <w:r w:rsidRPr="006431C4">
              <w:rPr>
                <w:rFonts w:cs="Arial"/>
                <w:szCs w:val="20"/>
              </w:rPr>
              <w:t>zakładowa kontrola produkcji</w:t>
            </w:r>
          </w:p>
        </w:tc>
      </w:tr>
    </w:tbl>
    <w:p w14:paraId="686C732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1.4</w:t>
      </w:r>
      <w:r w:rsidRPr="006431C4">
        <w:rPr>
          <w:rFonts w:cs="Arial"/>
          <w:szCs w:val="20"/>
        </w:rPr>
        <w:t>.</w:t>
      </w:r>
      <w:r w:rsidRPr="006431C4">
        <w:rPr>
          <w:rFonts w:cs="Arial"/>
          <w:b/>
          <w:szCs w:val="20"/>
        </w:rPr>
        <w:t xml:space="preserve">16. </w:t>
      </w:r>
      <w:r w:rsidRPr="006431C4">
        <w:rPr>
          <w:rFonts w:cs="Arial"/>
          <w:szCs w:val="20"/>
        </w:rPr>
        <w:t>Pozostałe określenia podstawowe są zgodne z obowiązującymi, odpowiednimi polskimi normami i z definicjami podanymi w SST D-M-00.00.00 „Wymagania ogólne”[1] pkt 1.4.</w:t>
      </w:r>
    </w:p>
    <w:p w14:paraId="238B6196"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1.5. Ogólne wymagania dotyczące robót</w:t>
      </w:r>
    </w:p>
    <w:p w14:paraId="352B81F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robót podano w SST D-M-00.00.00 „Wymagania ogólne” [1] pkt 1.5.</w:t>
      </w:r>
    </w:p>
    <w:p w14:paraId="6125F610" w14:textId="77777777" w:rsidR="00CF11BE" w:rsidRPr="006431C4" w:rsidRDefault="00CF11BE" w:rsidP="00CF11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36" w:name="_Toc462133767"/>
      <w:r w:rsidRPr="006431C4">
        <w:rPr>
          <w:rFonts w:cs="Arial"/>
          <w:b/>
          <w:caps/>
          <w:kern w:val="28"/>
          <w:szCs w:val="20"/>
        </w:rPr>
        <w:t>2. Materiały</w:t>
      </w:r>
      <w:bookmarkEnd w:id="936"/>
    </w:p>
    <w:p w14:paraId="085D9E08"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2.1. Ogólne wymagania dotyczące materiałów</w:t>
      </w:r>
    </w:p>
    <w:p w14:paraId="0A8440B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materiałów, ich pozyskiwania i składowania, podano w  SST D-M-00.00.00 „Wymagania ogólne” [1] pkt 2.</w:t>
      </w:r>
    </w:p>
    <w:p w14:paraId="0EB2B174" w14:textId="77777777" w:rsidR="00CF11BE" w:rsidRPr="006431C4" w:rsidRDefault="00CF11BE" w:rsidP="00CF11BE">
      <w:pPr>
        <w:spacing w:line="240" w:lineRule="auto"/>
        <w:ind w:firstLine="709"/>
        <w:jc w:val="both"/>
        <w:rPr>
          <w:rFonts w:cs="Arial"/>
          <w:szCs w:val="20"/>
        </w:rPr>
      </w:pPr>
      <w:r w:rsidRPr="006431C4">
        <w:rPr>
          <w:rFonts w:cs="Arial"/>
          <w:szCs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784E58D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Wbudowywana mieszanka mineralno-asfaltowa może pochodzić z kilku wytwórni pod warunkiem, że jest produkowana z tych samych materiałów (o ustalonej przydatności ) i w oparciu o takie samo badanie typu.</w:t>
      </w:r>
    </w:p>
    <w:p w14:paraId="70B469E1"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2.2. Lepiszcza asfaltowe</w:t>
      </w:r>
    </w:p>
    <w:p w14:paraId="544EDB2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Należy stosować asfalty drogowe wg PN-EN 12591 [24] lub polimeroasfalty wg PN-EN 14023 [64] [64a] oraz asfalty drogowe wielorodzajowe wg PN-EN 13924-2 [63] [63a]. </w:t>
      </w:r>
    </w:p>
    <w:p w14:paraId="7039DE66"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Rodzaje stosowanych lepiszcz asfaltowych podano w tablicy 2. Oprócz lepiszcz wymienionych w tablicy 2 można stosować inne lepiszcza nienormowe według aprobat technicznych.</w:t>
      </w:r>
    </w:p>
    <w:p w14:paraId="7715E59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Tablica 2. Zalecane  lepiszcza asfaltowe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457"/>
        <w:gridCol w:w="2344"/>
        <w:gridCol w:w="2359"/>
      </w:tblGrid>
      <w:tr w:rsidR="00CF11BE" w:rsidRPr="006431C4" w14:paraId="169F8EF3" w14:textId="77777777" w:rsidTr="007F1241">
        <w:tc>
          <w:tcPr>
            <w:tcW w:w="1548" w:type="dxa"/>
            <w:vMerge w:val="restart"/>
          </w:tcPr>
          <w:p w14:paraId="1E15B97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Kategoria</w:t>
            </w:r>
          </w:p>
          <w:p w14:paraId="4279859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ruchu</w:t>
            </w:r>
          </w:p>
        </w:tc>
        <w:tc>
          <w:tcPr>
            <w:tcW w:w="2457" w:type="dxa"/>
            <w:vMerge w:val="restart"/>
          </w:tcPr>
          <w:p w14:paraId="4B07C16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Mieszanka</w:t>
            </w:r>
          </w:p>
          <w:p w14:paraId="0392B54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ACS</w:t>
            </w:r>
          </w:p>
        </w:tc>
        <w:tc>
          <w:tcPr>
            <w:tcW w:w="4703" w:type="dxa"/>
            <w:gridSpan w:val="2"/>
          </w:tcPr>
          <w:p w14:paraId="2E41351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Gatunek lepiszcza   </w:t>
            </w:r>
          </w:p>
        </w:tc>
      </w:tr>
      <w:tr w:rsidR="00CF11BE" w:rsidRPr="006431C4" w14:paraId="4966EABF" w14:textId="77777777" w:rsidTr="007F1241">
        <w:tc>
          <w:tcPr>
            <w:tcW w:w="1548" w:type="dxa"/>
            <w:vMerge/>
          </w:tcPr>
          <w:p w14:paraId="023BCBF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2457" w:type="dxa"/>
            <w:vMerge/>
          </w:tcPr>
          <w:p w14:paraId="4B0C3B0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2344" w:type="dxa"/>
          </w:tcPr>
          <w:p w14:paraId="2F40C71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asfalt drogowy</w:t>
            </w:r>
          </w:p>
        </w:tc>
        <w:tc>
          <w:tcPr>
            <w:tcW w:w="2359" w:type="dxa"/>
          </w:tcPr>
          <w:p w14:paraId="6322CED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polimeroasfalt</w:t>
            </w:r>
          </w:p>
        </w:tc>
      </w:tr>
      <w:tr w:rsidR="00CF11BE" w:rsidRPr="006431C4" w14:paraId="4A5EFEA8" w14:textId="77777777" w:rsidTr="007F1241">
        <w:tc>
          <w:tcPr>
            <w:tcW w:w="1548" w:type="dxa"/>
          </w:tcPr>
          <w:p w14:paraId="0C4881E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KR1 – KR2</w:t>
            </w:r>
          </w:p>
        </w:tc>
        <w:tc>
          <w:tcPr>
            <w:tcW w:w="2457" w:type="dxa"/>
          </w:tcPr>
          <w:p w14:paraId="54AC063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AC5S, AC8S, AC11S</w:t>
            </w:r>
          </w:p>
        </w:tc>
        <w:tc>
          <w:tcPr>
            <w:tcW w:w="2344" w:type="dxa"/>
          </w:tcPr>
          <w:p w14:paraId="6677EFA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50/70, 70/100</w:t>
            </w:r>
          </w:p>
          <w:p w14:paraId="2232D5C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MG 50/70-54/64</w:t>
            </w:r>
          </w:p>
        </w:tc>
        <w:tc>
          <w:tcPr>
            <w:tcW w:w="2359" w:type="dxa"/>
          </w:tcPr>
          <w:p w14:paraId="13401EE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rPr>
            </w:pPr>
          </w:p>
          <w:p w14:paraId="1DEDE46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vertAlign w:val="superscript"/>
              </w:rPr>
              <w:t>-</w:t>
            </w:r>
          </w:p>
        </w:tc>
      </w:tr>
      <w:tr w:rsidR="00CF11BE" w:rsidRPr="006431C4" w14:paraId="4AA61AD2" w14:textId="77777777" w:rsidTr="007F1241">
        <w:tc>
          <w:tcPr>
            <w:tcW w:w="1548" w:type="dxa"/>
          </w:tcPr>
          <w:p w14:paraId="395C4D5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KR3 – KR4</w:t>
            </w:r>
          </w:p>
        </w:tc>
        <w:tc>
          <w:tcPr>
            <w:tcW w:w="2457" w:type="dxa"/>
          </w:tcPr>
          <w:p w14:paraId="250F17E9"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AC8S, AC11S</w:t>
            </w:r>
          </w:p>
        </w:tc>
        <w:tc>
          <w:tcPr>
            <w:tcW w:w="2344" w:type="dxa"/>
          </w:tcPr>
          <w:p w14:paraId="4F15064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   50/70</w:t>
            </w:r>
          </w:p>
          <w:p w14:paraId="749FD52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MG 50/70-54/64   </w:t>
            </w:r>
          </w:p>
        </w:tc>
        <w:tc>
          <w:tcPr>
            <w:tcW w:w="2359" w:type="dxa"/>
            <w:tcBorders>
              <w:bottom w:val="nil"/>
            </w:tcBorders>
          </w:tcPr>
          <w:p w14:paraId="32C1D5F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PMB 45/80-55</w:t>
            </w:r>
          </w:p>
          <w:p w14:paraId="513A74F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PMB 45/80-65</w:t>
            </w:r>
          </w:p>
        </w:tc>
      </w:tr>
      <w:tr w:rsidR="00CF11BE" w:rsidRPr="006431C4" w14:paraId="757FB0C9" w14:textId="77777777" w:rsidTr="007F1241">
        <w:trPr>
          <w:trHeight w:val="477"/>
        </w:trPr>
        <w:tc>
          <w:tcPr>
            <w:tcW w:w="1548" w:type="dxa"/>
          </w:tcPr>
          <w:p w14:paraId="615FC42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31F3F7A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KR5 – KR6</w:t>
            </w:r>
          </w:p>
        </w:tc>
        <w:tc>
          <w:tcPr>
            <w:tcW w:w="2457" w:type="dxa"/>
          </w:tcPr>
          <w:p w14:paraId="7770E7C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4178D83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AC8S, AC11S</w:t>
            </w:r>
          </w:p>
        </w:tc>
        <w:tc>
          <w:tcPr>
            <w:tcW w:w="2344" w:type="dxa"/>
          </w:tcPr>
          <w:p w14:paraId="540CB4A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67AC38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359" w:type="dxa"/>
          </w:tcPr>
          <w:p w14:paraId="2EACFF7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PMB 45/80-55</w:t>
            </w:r>
          </w:p>
          <w:p w14:paraId="3DD1731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PMB 45/80-65</w:t>
            </w:r>
          </w:p>
          <w:p w14:paraId="2739F52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PMB 45/80-80</w:t>
            </w:r>
          </w:p>
        </w:tc>
      </w:tr>
    </w:tbl>
    <w:p w14:paraId="3EAE0F5F" w14:textId="77777777" w:rsidR="00CF11BE" w:rsidRPr="006431C4" w:rsidRDefault="00CF11BE" w:rsidP="00CF11BE">
      <w:pPr>
        <w:overflowPunct w:val="0"/>
        <w:autoSpaceDE w:val="0"/>
        <w:autoSpaceDN w:val="0"/>
        <w:adjustRightInd w:val="0"/>
        <w:spacing w:line="240" w:lineRule="auto"/>
        <w:ind w:left="993" w:hanging="993"/>
        <w:jc w:val="both"/>
        <w:textAlignment w:val="baseline"/>
        <w:rPr>
          <w:rFonts w:cs="Arial"/>
          <w:szCs w:val="20"/>
        </w:rPr>
      </w:pPr>
    </w:p>
    <w:p w14:paraId="36908F3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Asfalty drogowe powinny spełniać wymagania podane w tablicy 3.  Polimeroasfalty  powinny spełniać wymagania podane  w tablicy 4. Asfalt wielorodzajowy powinien spełniać wymagania podane w tablicy 5.</w:t>
      </w:r>
    </w:p>
    <w:p w14:paraId="62D2494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38521A0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40BCAA2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Tablica 3. Wymagania wobec asfaltów drogowych wg PN-EN 12591 [24]</w:t>
      </w:r>
    </w:p>
    <w:tbl>
      <w:tblP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847"/>
        <w:gridCol w:w="1114"/>
        <w:gridCol w:w="2288"/>
        <w:gridCol w:w="1559"/>
        <w:gridCol w:w="1701"/>
      </w:tblGrid>
      <w:tr w:rsidR="00CF11BE" w:rsidRPr="006431C4" w14:paraId="45612D3B" w14:textId="77777777" w:rsidTr="00CF11BE">
        <w:tc>
          <w:tcPr>
            <w:tcW w:w="543" w:type="dxa"/>
            <w:vMerge w:val="restart"/>
            <w:vAlign w:val="center"/>
          </w:tcPr>
          <w:p w14:paraId="20D945F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3847" w:type="dxa"/>
            <w:vMerge w:val="restart"/>
            <w:vAlign w:val="center"/>
          </w:tcPr>
          <w:p w14:paraId="4A5D980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w:t>
            </w:r>
          </w:p>
        </w:tc>
        <w:tc>
          <w:tcPr>
            <w:tcW w:w="1114" w:type="dxa"/>
            <w:vMerge w:val="restart"/>
            <w:vAlign w:val="center"/>
          </w:tcPr>
          <w:p w14:paraId="039E1E1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Jed-nostka</w:t>
            </w:r>
          </w:p>
        </w:tc>
        <w:tc>
          <w:tcPr>
            <w:tcW w:w="2288" w:type="dxa"/>
            <w:vMerge w:val="restart"/>
            <w:vAlign w:val="center"/>
          </w:tcPr>
          <w:p w14:paraId="63F4E7C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w:t>
            </w:r>
          </w:p>
          <w:p w14:paraId="456D1A4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badania</w:t>
            </w:r>
          </w:p>
        </w:tc>
        <w:tc>
          <w:tcPr>
            <w:tcW w:w="3260" w:type="dxa"/>
            <w:gridSpan w:val="2"/>
          </w:tcPr>
          <w:p w14:paraId="059522B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Rodzaj asfaltu</w:t>
            </w:r>
          </w:p>
        </w:tc>
      </w:tr>
      <w:tr w:rsidR="00CF11BE" w:rsidRPr="006431C4" w14:paraId="185E1840" w14:textId="77777777" w:rsidTr="00CF11BE">
        <w:tc>
          <w:tcPr>
            <w:tcW w:w="543" w:type="dxa"/>
            <w:vMerge/>
          </w:tcPr>
          <w:p w14:paraId="3C11021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3847" w:type="dxa"/>
            <w:vMerge/>
          </w:tcPr>
          <w:p w14:paraId="738A9F3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114" w:type="dxa"/>
            <w:vMerge/>
          </w:tcPr>
          <w:p w14:paraId="280A35C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2288" w:type="dxa"/>
            <w:vMerge/>
          </w:tcPr>
          <w:p w14:paraId="2ABCF8D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559" w:type="dxa"/>
          </w:tcPr>
          <w:p w14:paraId="2EA428A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50/70</w:t>
            </w:r>
          </w:p>
        </w:tc>
        <w:tc>
          <w:tcPr>
            <w:tcW w:w="1701" w:type="dxa"/>
          </w:tcPr>
          <w:p w14:paraId="6AB7630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70/100</w:t>
            </w:r>
          </w:p>
        </w:tc>
      </w:tr>
      <w:tr w:rsidR="00CF11BE" w:rsidRPr="006431C4" w14:paraId="4235727C" w14:textId="77777777" w:rsidTr="00CF11BE">
        <w:tc>
          <w:tcPr>
            <w:tcW w:w="11052" w:type="dxa"/>
            <w:gridSpan w:val="6"/>
          </w:tcPr>
          <w:p w14:paraId="6CD4FE8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OBLIGATORYJNE</w:t>
            </w:r>
          </w:p>
        </w:tc>
      </w:tr>
      <w:tr w:rsidR="00CF11BE" w:rsidRPr="006431C4" w14:paraId="34CFA708" w14:textId="77777777" w:rsidTr="00CF11BE">
        <w:tc>
          <w:tcPr>
            <w:tcW w:w="543" w:type="dxa"/>
          </w:tcPr>
          <w:p w14:paraId="1775D93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3847" w:type="dxa"/>
          </w:tcPr>
          <w:p w14:paraId="1F19CD9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Penetracja w </w:t>
            </w:r>
            <w:smartTag w:uri="urn:schemas-microsoft-com:office:smarttags" w:element="metricconverter">
              <w:smartTagPr>
                <w:attr w:name="ProductID" w:val="25ﾰC"/>
              </w:smartTagPr>
              <w:r w:rsidRPr="006431C4">
                <w:rPr>
                  <w:rFonts w:cs="Arial"/>
                  <w:szCs w:val="20"/>
                </w:rPr>
                <w:t>25°C</w:t>
              </w:r>
            </w:smartTag>
          </w:p>
        </w:tc>
        <w:tc>
          <w:tcPr>
            <w:tcW w:w="1114" w:type="dxa"/>
          </w:tcPr>
          <w:p w14:paraId="3BF215A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smartTag w:uri="urn:schemas-microsoft-com:office:smarttags" w:element="metricconverter">
              <w:smartTagPr>
                <w:attr w:name="ProductID" w:val="0,1 mm"/>
              </w:smartTagPr>
              <w:r w:rsidRPr="006431C4">
                <w:rPr>
                  <w:rFonts w:cs="Arial"/>
                  <w:szCs w:val="20"/>
                </w:rPr>
                <w:t>0,1 mm</w:t>
              </w:r>
            </w:smartTag>
          </w:p>
        </w:tc>
        <w:tc>
          <w:tcPr>
            <w:tcW w:w="2288" w:type="dxa"/>
          </w:tcPr>
          <w:p w14:paraId="513610D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[21]</w:t>
            </w:r>
          </w:p>
        </w:tc>
        <w:tc>
          <w:tcPr>
            <w:tcW w:w="1559" w:type="dxa"/>
          </w:tcPr>
          <w:p w14:paraId="2231128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50-70</w:t>
            </w:r>
          </w:p>
        </w:tc>
        <w:tc>
          <w:tcPr>
            <w:tcW w:w="1701" w:type="dxa"/>
          </w:tcPr>
          <w:p w14:paraId="4F9F7EC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70-100</w:t>
            </w:r>
          </w:p>
        </w:tc>
      </w:tr>
      <w:tr w:rsidR="00CF11BE" w:rsidRPr="006431C4" w14:paraId="3767F785" w14:textId="77777777" w:rsidTr="00CF11BE">
        <w:tc>
          <w:tcPr>
            <w:tcW w:w="543" w:type="dxa"/>
          </w:tcPr>
          <w:p w14:paraId="1D47B8B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3847" w:type="dxa"/>
          </w:tcPr>
          <w:p w14:paraId="63864A6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w:t>
            </w:r>
          </w:p>
        </w:tc>
        <w:tc>
          <w:tcPr>
            <w:tcW w:w="1114" w:type="dxa"/>
          </w:tcPr>
          <w:p w14:paraId="31E0356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288" w:type="dxa"/>
          </w:tcPr>
          <w:p w14:paraId="016E1CF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1559" w:type="dxa"/>
          </w:tcPr>
          <w:p w14:paraId="785A1A6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46-54</w:t>
            </w:r>
          </w:p>
        </w:tc>
        <w:tc>
          <w:tcPr>
            <w:tcW w:w="1701" w:type="dxa"/>
          </w:tcPr>
          <w:p w14:paraId="33B4BA9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43-51</w:t>
            </w:r>
          </w:p>
        </w:tc>
      </w:tr>
      <w:tr w:rsidR="00CF11BE" w:rsidRPr="006431C4" w14:paraId="71BA0AA2" w14:textId="77777777" w:rsidTr="00CF11BE">
        <w:tc>
          <w:tcPr>
            <w:tcW w:w="543" w:type="dxa"/>
          </w:tcPr>
          <w:p w14:paraId="2A8F850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3847" w:type="dxa"/>
          </w:tcPr>
          <w:p w14:paraId="5EEF43F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Temperatura zapłonu, </w:t>
            </w:r>
          </w:p>
          <w:p w14:paraId="1C0F668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nie mniej niż</w:t>
            </w:r>
          </w:p>
        </w:tc>
        <w:tc>
          <w:tcPr>
            <w:tcW w:w="1114" w:type="dxa"/>
          </w:tcPr>
          <w:p w14:paraId="15DDE07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288" w:type="dxa"/>
          </w:tcPr>
          <w:p w14:paraId="7BF8829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22592 [67]</w:t>
            </w:r>
          </w:p>
        </w:tc>
        <w:tc>
          <w:tcPr>
            <w:tcW w:w="1559" w:type="dxa"/>
          </w:tcPr>
          <w:p w14:paraId="07B649B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230</w:t>
            </w:r>
          </w:p>
        </w:tc>
        <w:tc>
          <w:tcPr>
            <w:tcW w:w="1701" w:type="dxa"/>
          </w:tcPr>
          <w:p w14:paraId="77361B1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230</w:t>
            </w:r>
          </w:p>
        </w:tc>
      </w:tr>
      <w:tr w:rsidR="00CF11BE" w:rsidRPr="006431C4" w14:paraId="39726306" w14:textId="77777777" w:rsidTr="00CF11BE">
        <w:tc>
          <w:tcPr>
            <w:tcW w:w="543" w:type="dxa"/>
          </w:tcPr>
          <w:p w14:paraId="0936DB9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3847" w:type="dxa"/>
          </w:tcPr>
          <w:p w14:paraId="1892271D"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 xml:space="preserve">Zawartość składników rozpuszczalnych, </w:t>
            </w:r>
          </w:p>
          <w:p w14:paraId="39F34A6B"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nie mniej niż</w:t>
            </w:r>
          </w:p>
        </w:tc>
        <w:tc>
          <w:tcPr>
            <w:tcW w:w="1114" w:type="dxa"/>
          </w:tcPr>
          <w:p w14:paraId="457ABE4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10E216E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m/m</w:t>
            </w:r>
          </w:p>
        </w:tc>
        <w:tc>
          <w:tcPr>
            <w:tcW w:w="2288" w:type="dxa"/>
          </w:tcPr>
          <w:p w14:paraId="4C95CB2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12592 [25]</w:t>
            </w:r>
          </w:p>
        </w:tc>
        <w:tc>
          <w:tcPr>
            <w:tcW w:w="1559" w:type="dxa"/>
          </w:tcPr>
          <w:p w14:paraId="29A051B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66BC78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99</w:t>
            </w:r>
          </w:p>
        </w:tc>
        <w:tc>
          <w:tcPr>
            <w:tcW w:w="1701" w:type="dxa"/>
          </w:tcPr>
          <w:p w14:paraId="6FD33F8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163990B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99</w:t>
            </w:r>
          </w:p>
        </w:tc>
      </w:tr>
      <w:tr w:rsidR="00CF11BE" w:rsidRPr="006431C4" w14:paraId="779437C6" w14:textId="77777777" w:rsidTr="00CF11BE">
        <w:tc>
          <w:tcPr>
            <w:tcW w:w="543" w:type="dxa"/>
          </w:tcPr>
          <w:p w14:paraId="744DB82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3847" w:type="dxa"/>
          </w:tcPr>
          <w:p w14:paraId="649E2A8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Zmiana masy po starzeniu (ubytek lub przyrost), </w:t>
            </w:r>
          </w:p>
          <w:p w14:paraId="22D3253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nie więcej niż</w:t>
            </w:r>
          </w:p>
        </w:tc>
        <w:tc>
          <w:tcPr>
            <w:tcW w:w="1114" w:type="dxa"/>
          </w:tcPr>
          <w:p w14:paraId="1948499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53CC53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m/m</w:t>
            </w:r>
          </w:p>
        </w:tc>
        <w:tc>
          <w:tcPr>
            <w:tcW w:w="2288" w:type="dxa"/>
          </w:tcPr>
          <w:p w14:paraId="07664C7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 [30]</w:t>
            </w:r>
          </w:p>
        </w:tc>
        <w:tc>
          <w:tcPr>
            <w:tcW w:w="1559" w:type="dxa"/>
          </w:tcPr>
          <w:p w14:paraId="7A8F116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5D9C209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0,5</w:t>
            </w:r>
          </w:p>
        </w:tc>
        <w:tc>
          <w:tcPr>
            <w:tcW w:w="1701" w:type="dxa"/>
          </w:tcPr>
          <w:p w14:paraId="499A4DB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3FA3522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0,8</w:t>
            </w:r>
          </w:p>
        </w:tc>
      </w:tr>
      <w:tr w:rsidR="00CF11BE" w:rsidRPr="006431C4" w14:paraId="350722C2" w14:textId="77777777" w:rsidTr="00CF11BE">
        <w:tc>
          <w:tcPr>
            <w:tcW w:w="543" w:type="dxa"/>
          </w:tcPr>
          <w:p w14:paraId="0C2CA65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3847" w:type="dxa"/>
          </w:tcPr>
          <w:p w14:paraId="27F4F67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Pozostała penetracja po starzeniu, nie mniej niż</w:t>
            </w:r>
          </w:p>
        </w:tc>
        <w:tc>
          <w:tcPr>
            <w:tcW w:w="1114" w:type="dxa"/>
          </w:tcPr>
          <w:p w14:paraId="7B9F53C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288" w:type="dxa"/>
          </w:tcPr>
          <w:p w14:paraId="2A5D9D0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[21]</w:t>
            </w:r>
          </w:p>
        </w:tc>
        <w:tc>
          <w:tcPr>
            <w:tcW w:w="1559" w:type="dxa"/>
          </w:tcPr>
          <w:p w14:paraId="645E2E7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50</w:t>
            </w:r>
          </w:p>
        </w:tc>
        <w:tc>
          <w:tcPr>
            <w:tcW w:w="1701" w:type="dxa"/>
          </w:tcPr>
          <w:p w14:paraId="0C29A76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46</w:t>
            </w:r>
          </w:p>
        </w:tc>
      </w:tr>
      <w:tr w:rsidR="00CF11BE" w:rsidRPr="006431C4" w14:paraId="03F6814A" w14:textId="77777777" w:rsidTr="00CF11BE">
        <w:tc>
          <w:tcPr>
            <w:tcW w:w="543" w:type="dxa"/>
          </w:tcPr>
          <w:p w14:paraId="6DCD433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3847" w:type="dxa"/>
          </w:tcPr>
          <w:p w14:paraId="7699886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 po starzeniu, nie mniej niż</w:t>
            </w:r>
          </w:p>
        </w:tc>
        <w:tc>
          <w:tcPr>
            <w:tcW w:w="1114" w:type="dxa"/>
          </w:tcPr>
          <w:p w14:paraId="7B129A0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288" w:type="dxa"/>
          </w:tcPr>
          <w:p w14:paraId="13ABEAD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1559" w:type="dxa"/>
          </w:tcPr>
          <w:p w14:paraId="455C198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48</w:t>
            </w:r>
          </w:p>
        </w:tc>
        <w:tc>
          <w:tcPr>
            <w:tcW w:w="1701" w:type="dxa"/>
          </w:tcPr>
          <w:p w14:paraId="794C6CC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45</w:t>
            </w:r>
          </w:p>
        </w:tc>
      </w:tr>
      <w:tr w:rsidR="00CF11BE" w:rsidRPr="006431C4" w14:paraId="5EFC30AC" w14:textId="77777777" w:rsidTr="00CF11BE">
        <w:tc>
          <w:tcPr>
            <w:tcW w:w="543" w:type="dxa"/>
          </w:tcPr>
          <w:p w14:paraId="22CAA9C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3847" w:type="dxa"/>
          </w:tcPr>
          <w:p w14:paraId="53DF41F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Wzrost temp. mięknienia po starzeniu, nie więcej niż</w:t>
            </w:r>
          </w:p>
        </w:tc>
        <w:tc>
          <w:tcPr>
            <w:tcW w:w="1114" w:type="dxa"/>
          </w:tcPr>
          <w:p w14:paraId="36F21C9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288" w:type="dxa"/>
          </w:tcPr>
          <w:p w14:paraId="014066E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1559" w:type="dxa"/>
          </w:tcPr>
          <w:p w14:paraId="1EB7E09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1701" w:type="dxa"/>
          </w:tcPr>
          <w:p w14:paraId="0F30D23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r w:rsidR="00CF11BE" w:rsidRPr="006431C4" w14:paraId="4A84DCFE" w14:textId="77777777" w:rsidTr="00CF11BE">
        <w:tc>
          <w:tcPr>
            <w:tcW w:w="11052" w:type="dxa"/>
            <w:gridSpan w:val="6"/>
          </w:tcPr>
          <w:p w14:paraId="0BE425A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SPECJALNE   KRAJOWE</w:t>
            </w:r>
          </w:p>
        </w:tc>
      </w:tr>
      <w:tr w:rsidR="00CF11BE" w:rsidRPr="006431C4" w14:paraId="3DD27B84" w14:textId="77777777" w:rsidTr="00CF11BE">
        <w:tc>
          <w:tcPr>
            <w:tcW w:w="543" w:type="dxa"/>
          </w:tcPr>
          <w:p w14:paraId="661EE30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3847" w:type="dxa"/>
          </w:tcPr>
          <w:p w14:paraId="49F751F6"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Temperatura łamliwości Fraassa, nie więcej niż</w:t>
            </w:r>
          </w:p>
        </w:tc>
        <w:tc>
          <w:tcPr>
            <w:tcW w:w="1114" w:type="dxa"/>
          </w:tcPr>
          <w:p w14:paraId="301037D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288" w:type="dxa"/>
          </w:tcPr>
          <w:p w14:paraId="793AF50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12593 [26]</w:t>
            </w:r>
          </w:p>
        </w:tc>
        <w:tc>
          <w:tcPr>
            <w:tcW w:w="1559" w:type="dxa"/>
          </w:tcPr>
          <w:p w14:paraId="65D77AD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1701" w:type="dxa"/>
          </w:tcPr>
          <w:p w14:paraId="16906DD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r>
      <w:tr w:rsidR="00CF11BE" w:rsidRPr="006431C4" w14:paraId="78515605" w14:textId="77777777" w:rsidTr="00CF11BE">
        <w:tc>
          <w:tcPr>
            <w:tcW w:w="543" w:type="dxa"/>
          </w:tcPr>
          <w:p w14:paraId="4ED9497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3847" w:type="dxa"/>
          </w:tcPr>
          <w:p w14:paraId="00E39A1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Indeks penetracji</w:t>
            </w:r>
          </w:p>
        </w:tc>
        <w:tc>
          <w:tcPr>
            <w:tcW w:w="1114" w:type="dxa"/>
          </w:tcPr>
          <w:p w14:paraId="369B51F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288" w:type="dxa"/>
          </w:tcPr>
          <w:p w14:paraId="7FA4B3B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12591 [24]</w:t>
            </w:r>
          </w:p>
        </w:tc>
        <w:tc>
          <w:tcPr>
            <w:tcW w:w="1559" w:type="dxa"/>
          </w:tcPr>
          <w:p w14:paraId="6C8E8AB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c>
          <w:tcPr>
            <w:tcW w:w="1701" w:type="dxa"/>
          </w:tcPr>
          <w:p w14:paraId="336D047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r>
      <w:tr w:rsidR="00CF11BE" w:rsidRPr="006431C4" w14:paraId="1FDA7568" w14:textId="77777777" w:rsidTr="00CF11BE">
        <w:tc>
          <w:tcPr>
            <w:tcW w:w="543" w:type="dxa"/>
          </w:tcPr>
          <w:p w14:paraId="635DE34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11</w:t>
            </w:r>
          </w:p>
        </w:tc>
        <w:tc>
          <w:tcPr>
            <w:tcW w:w="3847" w:type="dxa"/>
          </w:tcPr>
          <w:p w14:paraId="23E4A5C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Lepkość dynamiczna w 60°C</w:t>
            </w:r>
          </w:p>
        </w:tc>
        <w:tc>
          <w:tcPr>
            <w:tcW w:w="1114" w:type="dxa"/>
          </w:tcPr>
          <w:p w14:paraId="15B9C49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Pa∙s</w:t>
            </w:r>
          </w:p>
        </w:tc>
        <w:tc>
          <w:tcPr>
            <w:tcW w:w="2288" w:type="dxa"/>
          </w:tcPr>
          <w:p w14:paraId="12B7151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12596 [28]</w:t>
            </w:r>
          </w:p>
        </w:tc>
        <w:tc>
          <w:tcPr>
            <w:tcW w:w="1559" w:type="dxa"/>
          </w:tcPr>
          <w:p w14:paraId="14B0FD7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c>
          <w:tcPr>
            <w:tcW w:w="1701" w:type="dxa"/>
          </w:tcPr>
          <w:p w14:paraId="64F82CC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r>
      <w:tr w:rsidR="00CF11BE" w:rsidRPr="006431C4" w14:paraId="734E2940" w14:textId="77777777" w:rsidTr="00CF11BE">
        <w:tc>
          <w:tcPr>
            <w:tcW w:w="543" w:type="dxa"/>
          </w:tcPr>
          <w:p w14:paraId="1AD6E99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c>
          <w:tcPr>
            <w:tcW w:w="3847" w:type="dxa"/>
          </w:tcPr>
          <w:p w14:paraId="41CBA19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Lepkość kinematyczna w 135°C</w:t>
            </w:r>
          </w:p>
        </w:tc>
        <w:tc>
          <w:tcPr>
            <w:tcW w:w="1114" w:type="dxa"/>
          </w:tcPr>
          <w:p w14:paraId="3C02FAF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mm</w:t>
            </w:r>
            <w:r w:rsidRPr="006431C4">
              <w:rPr>
                <w:rFonts w:cs="Arial"/>
                <w:szCs w:val="20"/>
                <w:vertAlign w:val="superscript"/>
              </w:rPr>
              <w:t>2</w:t>
            </w:r>
            <w:r w:rsidRPr="006431C4">
              <w:rPr>
                <w:rFonts w:cs="Arial"/>
                <w:szCs w:val="20"/>
              </w:rPr>
              <w:t>/s</w:t>
            </w:r>
          </w:p>
        </w:tc>
        <w:tc>
          <w:tcPr>
            <w:tcW w:w="2288" w:type="dxa"/>
          </w:tcPr>
          <w:p w14:paraId="5963B3A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12595 [27]</w:t>
            </w:r>
          </w:p>
        </w:tc>
        <w:tc>
          <w:tcPr>
            <w:tcW w:w="1559" w:type="dxa"/>
          </w:tcPr>
          <w:p w14:paraId="60EFA4D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c>
          <w:tcPr>
            <w:tcW w:w="1701" w:type="dxa"/>
          </w:tcPr>
          <w:p w14:paraId="6492EAF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r>
    </w:tbl>
    <w:p w14:paraId="18917CAE" w14:textId="77777777" w:rsidR="00CF11BE" w:rsidRPr="006431C4" w:rsidRDefault="00CF11BE" w:rsidP="00CF11BE">
      <w:pPr>
        <w:tabs>
          <w:tab w:val="left" w:pos="993"/>
        </w:tabs>
        <w:overflowPunct w:val="0"/>
        <w:autoSpaceDE w:val="0"/>
        <w:autoSpaceDN w:val="0"/>
        <w:adjustRightInd w:val="0"/>
        <w:spacing w:line="240" w:lineRule="auto"/>
        <w:ind w:left="992" w:hanging="992"/>
        <w:jc w:val="both"/>
        <w:textAlignment w:val="baseline"/>
        <w:rPr>
          <w:rFonts w:cs="Arial"/>
          <w:szCs w:val="20"/>
        </w:rPr>
      </w:pPr>
    </w:p>
    <w:p w14:paraId="2068DF94" w14:textId="77777777" w:rsidR="00CF11BE" w:rsidRPr="006431C4" w:rsidRDefault="00CF11BE" w:rsidP="00CF11BE">
      <w:pPr>
        <w:tabs>
          <w:tab w:val="left" w:pos="993"/>
        </w:tabs>
        <w:overflowPunct w:val="0"/>
        <w:autoSpaceDE w:val="0"/>
        <w:autoSpaceDN w:val="0"/>
        <w:adjustRightInd w:val="0"/>
        <w:spacing w:line="240" w:lineRule="auto"/>
        <w:ind w:left="992" w:hanging="992"/>
        <w:jc w:val="both"/>
        <w:textAlignment w:val="baseline"/>
        <w:rPr>
          <w:rFonts w:cs="Arial"/>
          <w:szCs w:val="20"/>
        </w:rPr>
      </w:pPr>
      <w:r w:rsidRPr="006431C4">
        <w:rPr>
          <w:rFonts w:cs="Arial"/>
          <w:szCs w:val="20"/>
        </w:rPr>
        <w:t>Tablica 4.</w:t>
      </w:r>
      <w:r w:rsidRPr="006431C4">
        <w:rPr>
          <w:rFonts w:cs="Arial"/>
          <w:szCs w:val="20"/>
        </w:rPr>
        <w:tab/>
        <w:t>Wymagania wobec asfaltów modyfikowanych polimerami (polimeroasfaltów) wg PN-EN 14023:2011/Ap1:2014-04 [64a]</w:t>
      </w:r>
    </w:p>
    <w:tbl>
      <w:tblPr>
        <w:tblW w:w="10570"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8"/>
        <w:gridCol w:w="1843"/>
        <w:gridCol w:w="850"/>
        <w:gridCol w:w="851"/>
        <w:gridCol w:w="850"/>
        <w:gridCol w:w="709"/>
        <w:gridCol w:w="851"/>
        <w:gridCol w:w="708"/>
        <w:gridCol w:w="851"/>
        <w:gridCol w:w="709"/>
      </w:tblGrid>
      <w:tr w:rsidR="00CF11BE" w:rsidRPr="006431C4" w14:paraId="12BAB66A" w14:textId="77777777" w:rsidTr="00CF11BE">
        <w:tc>
          <w:tcPr>
            <w:tcW w:w="2348" w:type="dxa"/>
            <w:vMerge w:val="restart"/>
            <w:vAlign w:val="center"/>
          </w:tcPr>
          <w:p w14:paraId="7255E55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p w14:paraId="644D0E4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podstawowe</w:t>
            </w:r>
          </w:p>
        </w:tc>
        <w:tc>
          <w:tcPr>
            <w:tcW w:w="1843" w:type="dxa"/>
            <w:vMerge w:val="restart"/>
            <w:vAlign w:val="center"/>
          </w:tcPr>
          <w:p w14:paraId="7B28BBF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850" w:type="dxa"/>
            <w:vMerge w:val="restart"/>
            <w:vAlign w:val="center"/>
          </w:tcPr>
          <w:p w14:paraId="64C0B3B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w:t>
            </w:r>
          </w:p>
          <w:p w14:paraId="4FBB9FB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badania</w:t>
            </w:r>
          </w:p>
        </w:tc>
        <w:tc>
          <w:tcPr>
            <w:tcW w:w="851" w:type="dxa"/>
            <w:vMerge w:val="restart"/>
            <w:vAlign w:val="center"/>
          </w:tcPr>
          <w:p w14:paraId="6BEC063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Jed-</w:t>
            </w:r>
          </w:p>
          <w:p w14:paraId="58B6CBF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nostka</w:t>
            </w:r>
          </w:p>
        </w:tc>
        <w:tc>
          <w:tcPr>
            <w:tcW w:w="4678" w:type="dxa"/>
            <w:gridSpan w:val="6"/>
          </w:tcPr>
          <w:p w14:paraId="77BC6D5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Gatunki asfaltów modyfikowanych polimerami (PMB)</w:t>
            </w:r>
          </w:p>
        </w:tc>
      </w:tr>
      <w:tr w:rsidR="00CF11BE" w:rsidRPr="006431C4" w14:paraId="71837C32" w14:textId="77777777" w:rsidTr="00CF11BE">
        <w:tc>
          <w:tcPr>
            <w:tcW w:w="2348" w:type="dxa"/>
            <w:vMerge/>
          </w:tcPr>
          <w:p w14:paraId="1FF4A8E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843" w:type="dxa"/>
            <w:vMerge/>
          </w:tcPr>
          <w:p w14:paraId="08002F5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850" w:type="dxa"/>
            <w:vMerge/>
          </w:tcPr>
          <w:p w14:paraId="0A25B1E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851" w:type="dxa"/>
            <w:vMerge/>
          </w:tcPr>
          <w:p w14:paraId="6327418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559" w:type="dxa"/>
            <w:gridSpan w:val="2"/>
          </w:tcPr>
          <w:p w14:paraId="740920D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45/80 – 55</w:t>
            </w:r>
          </w:p>
        </w:tc>
        <w:tc>
          <w:tcPr>
            <w:tcW w:w="1559" w:type="dxa"/>
            <w:gridSpan w:val="2"/>
          </w:tcPr>
          <w:p w14:paraId="1D3CF72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45/80 – 65</w:t>
            </w:r>
          </w:p>
        </w:tc>
        <w:tc>
          <w:tcPr>
            <w:tcW w:w="1560" w:type="dxa"/>
            <w:gridSpan w:val="2"/>
          </w:tcPr>
          <w:p w14:paraId="46E2452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45/80 - 80</w:t>
            </w:r>
          </w:p>
        </w:tc>
      </w:tr>
      <w:tr w:rsidR="00CF11BE" w:rsidRPr="006431C4" w14:paraId="2C29684C" w14:textId="77777777" w:rsidTr="00CF11BE">
        <w:tc>
          <w:tcPr>
            <w:tcW w:w="2348" w:type="dxa"/>
            <w:vMerge/>
          </w:tcPr>
          <w:p w14:paraId="5C408F9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843" w:type="dxa"/>
            <w:vMerge/>
          </w:tcPr>
          <w:p w14:paraId="33D240D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850" w:type="dxa"/>
            <w:vMerge/>
          </w:tcPr>
          <w:p w14:paraId="240E6AE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851" w:type="dxa"/>
            <w:vMerge/>
          </w:tcPr>
          <w:p w14:paraId="5827B78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850" w:type="dxa"/>
          </w:tcPr>
          <w:p w14:paraId="06B84B7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wyma-ganie</w:t>
            </w:r>
          </w:p>
        </w:tc>
        <w:tc>
          <w:tcPr>
            <w:tcW w:w="709" w:type="dxa"/>
          </w:tcPr>
          <w:p w14:paraId="673438D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klasa</w:t>
            </w:r>
          </w:p>
        </w:tc>
        <w:tc>
          <w:tcPr>
            <w:tcW w:w="851" w:type="dxa"/>
          </w:tcPr>
          <w:p w14:paraId="5975B92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wyma-ganie</w:t>
            </w:r>
          </w:p>
        </w:tc>
        <w:tc>
          <w:tcPr>
            <w:tcW w:w="708" w:type="dxa"/>
          </w:tcPr>
          <w:p w14:paraId="144C91E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klasa</w:t>
            </w:r>
          </w:p>
        </w:tc>
        <w:tc>
          <w:tcPr>
            <w:tcW w:w="851" w:type="dxa"/>
          </w:tcPr>
          <w:p w14:paraId="58859C5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wyma-ganie</w:t>
            </w:r>
          </w:p>
        </w:tc>
        <w:tc>
          <w:tcPr>
            <w:tcW w:w="709" w:type="dxa"/>
          </w:tcPr>
          <w:p w14:paraId="18CA83A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klasa</w:t>
            </w:r>
          </w:p>
        </w:tc>
      </w:tr>
      <w:tr w:rsidR="00CF11BE" w:rsidRPr="006431C4" w14:paraId="45C0BC2B" w14:textId="77777777" w:rsidTr="00CF11BE">
        <w:tc>
          <w:tcPr>
            <w:tcW w:w="2348" w:type="dxa"/>
          </w:tcPr>
          <w:p w14:paraId="4B930227"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Konsystencja w pośrednich temperaturach eksploa-tacyjnych</w:t>
            </w:r>
          </w:p>
        </w:tc>
        <w:tc>
          <w:tcPr>
            <w:tcW w:w="1843" w:type="dxa"/>
            <w:vAlign w:val="center"/>
          </w:tcPr>
          <w:p w14:paraId="61C6642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Penetracja </w:t>
            </w:r>
          </w:p>
          <w:p w14:paraId="12FC87F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 </w:t>
            </w:r>
            <w:smartTag w:uri="urn:schemas-microsoft-com:office:smarttags" w:element="metricconverter">
              <w:smartTagPr>
                <w:attr w:name="ProductID" w:val="25ﾰC"/>
              </w:smartTagPr>
              <w:r w:rsidRPr="006431C4">
                <w:rPr>
                  <w:rFonts w:cs="Arial"/>
                  <w:szCs w:val="20"/>
                </w:rPr>
                <w:t>25°C</w:t>
              </w:r>
            </w:smartTag>
          </w:p>
        </w:tc>
        <w:tc>
          <w:tcPr>
            <w:tcW w:w="850" w:type="dxa"/>
            <w:vAlign w:val="center"/>
          </w:tcPr>
          <w:p w14:paraId="7CF965EC" w14:textId="77777777" w:rsidR="00CF11BE" w:rsidRPr="006431C4" w:rsidRDefault="00CF11BE" w:rsidP="00CF11BE">
            <w:pPr>
              <w:tabs>
                <w:tab w:val="left" w:pos="285"/>
              </w:tabs>
              <w:overflowPunct w:val="0"/>
              <w:autoSpaceDE w:val="0"/>
              <w:autoSpaceDN w:val="0"/>
              <w:adjustRightInd w:val="0"/>
              <w:spacing w:line="240" w:lineRule="auto"/>
              <w:jc w:val="center"/>
              <w:textAlignment w:val="baseline"/>
              <w:rPr>
                <w:rFonts w:cs="Arial"/>
                <w:szCs w:val="20"/>
              </w:rPr>
            </w:pPr>
            <w:r w:rsidRPr="006431C4">
              <w:rPr>
                <w:rFonts w:cs="Arial"/>
                <w:szCs w:val="20"/>
              </w:rPr>
              <w:t>PN-EN 1426 [21]</w:t>
            </w:r>
          </w:p>
        </w:tc>
        <w:tc>
          <w:tcPr>
            <w:tcW w:w="851" w:type="dxa"/>
            <w:vAlign w:val="center"/>
          </w:tcPr>
          <w:p w14:paraId="06C8025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smartTag w:uri="urn:schemas-microsoft-com:office:smarttags" w:element="metricconverter">
              <w:smartTagPr>
                <w:attr w:name="ProductID" w:val="0,1 mm"/>
              </w:smartTagPr>
              <w:r w:rsidRPr="006431C4">
                <w:rPr>
                  <w:rFonts w:cs="Arial"/>
                  <w:szCs w:val="20"/>
                </w:rPr>
                <w:t>0,1 mm</w:t>
              </w:r>
            </w:smartTag>
          </w:p>
        </w:tc>
        <w:tc>
          <w:tcPr>
            <w:tcW w:w="850" w:type="dxa"/>
            <w:vAlign w:val="center"/>
          </w:tcPr>
          <w:p w14:paraId="420EF4A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45-80</w:t>
            </w:r>
          </w:p>
        </w:tc>
        <w:tc>
          <w:tcPr>
            <w:tcW w:w="709" w:type="dxa"/>
            <w:vAlign w:val="center"/>
          </w:tcPr>
          <w:p w14:paraId="52CCD98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851" w:type="dxa"/>
            <w:vAlign w:val="center"/>
          </w:tcPr>
          <w:p w14:paraId="17C2CE1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45-80</w:t>
            </w:r>
          </w:p>
        </w:tc>
        <w:tc>
          <w:tcPr>
            <w:tcW w:w="708" w:type="dxa"/>
            <w:vAlign w:val="center"/>
          </w:tcPr>
          <w:p w14:paraId="276A0AD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851" w:type="dxa"/>
            <w:vAlign w:val="center"/>
          </w:tcPr>
          <w:p w14:paraId="2A2EF84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45-80</w:t>
            </w:r>
          </w:p>
        </w:tc>
        <w:tc>
          <w:tcPr>
            <w:tcW w:w="709" w:type="dxa"/>
            <w:vAlign w:val="center"/>
          </w:tcPr>
          <w:p w14:paraId="66F7A6A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r>
    </w:tbl>
    <w:p w14:paraId="0DFF884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bl>
      <w:tblPr>
        <w:tblW w:w="10570"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8"/>
        <w:gridCol w:w="1843"/>
        <w:gridCol w:w="850"/>
        <w:gridCol w:w="851"/>
        <w:gridCol w:w="850"/>
        <w:gridCol w:w="709"/>
        <w:gridCol w:w="851"/>
        <w:gridCol w:w="708"/>
        <w:gridCol w:w="851"/>
        <w:gridCol w:w="709"/>
      </w:tblGrid>
      <w:tr w:rsidR="00CF11BE" w:rsidRPr="006431C4" w14:paraId="348BDE00" w14:textId="77777777" w:rsidTr="00CF11BE">
        <w:tc>
          <w:tcPr>
            <w:tcW w:w="2348" w:type="dxa"/>
          </w:tcPr>
          <w:p w14:paraId="1F1AD5CB"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Konsystencja  w wysokich  temperatu-  rach eksploa-tacyjnych</w:t>
            </w:r>
          </w:p>
        </w:tc>
        <w:tc>
          <w:tcPr>
            <w:tcW w:w="1843" w:type="dxa"/>
            <w:vAlign w:val="center"/>
          </w:tcPr>
          <w:p w14:paraId="63889EB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w:t>
            </w:r>
          </w:p>
        </w:tc>
        <w:tc>
          <w:tcPr>
            <w:tcW w:w="850" w:type="dxa"/>
            <w:vAlign w:val="center"/>
          </w:tcPr>
          <w:p w14:paraId="0B3DC7B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851" w:type="dxa"/>
            <w:vAlign w:val="center"/>
          </w:tcPr>
          <w:p w14:paraId="5C24A82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850" w:type="dxa"/>
            <w:vAlign w:val="center"/>
          </w:tcPr>
          <w:p w14:paraId="0552C73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55</w:t>
            </w:r>
          </w:p>
        </w:tc>
        <w:tc>
          <w:tcPr>
            <w:tcW w:w="709" w:type="dxa"/>
            <w:vAlign w:val="center"/>
          </w:tcPr>
          <w:p w14:paraId="53B2536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851" w:type="dxa"/>
            <w:vAlign w:val="center"/>
          </w:tcPr>
          <w:p w14:paraId="7B36E4B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65</w:t>
            </w:r>
          </w:p>
        </w:tc>
        <w:tc>
          <w:tcPr>
            <w:tcW w:w="708" w:type="dxa"/>
            <w:vAlign w:val="center"/>
          </w:tcPr>
          <w:p w14:paraId="03F05CA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851" w:type="dxa"/>
            <w:vAlign w:val="center"/>
          </w:tcPr>
          <w:p w14:paraId="372034C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80</w:t>
            </w:r>
          </w:p>
        </w:tc>
        <w:tc>
          <w:tcPr>
            <w:tcW w:w="709" w:type="dxa"/>
            <w:vAlign w:val="center"/>
          </w:tcPr>
          <w:p w14:paraId="6995D7F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CF11BE" w:rsidRPr="006431C4" w14:paraId="5B1C66BD" w14:textId="77777777" w:rsidTr="00CF11BE">
        <w:tc>
          <w:tcPr>
            <w:tcW w:w="2348" w:type="dxa"/>
            <w:vMerge w:val="restart"/>
            <w:vAlign w:val="center"/>
          </w:tcPr>
          <w:p w14:paraId="74D07EB6"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Kohezja</w:t>
            </w:r>
          </w:p>
        </w:tc>
        <w:tc>
          <w:tcPr>
            <w:tcW w:w="1843" w:type="dxa"/>
            <w:vAlign w:val="center"/>
          </w:tcPr>
          <w:p w14:paraId="7D9A0EB7"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Siła rozciąga-nia (metoda z duktylome-trem, rozciąganie 50 mm/min)</w:t>
            </w:r>
          </w:p>
        </w:tc>
        <w:tc>
          <w:tcPr>
            <w:tcW w:w="850" w:type="dxa"/>
            <w:vAlign w:val="center"/>
          </w:tcPr>
          <w:p w14:paraId="1A33736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13589 [60]      PN-EN 13703 [61]</w:t>
            </w:r>
          </w:p>
        </w:tc>
        <w:tc>
          <w:tcPr>
            <w:tcW w:w="851" w:type="dxa"/>
            <w:vAlign w:val="center"/>
          </w:tcPr>
          <w:p w14:paraId="42DEDFB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J/cm</w:t>
            </w:r>
            <w:r w:rsidRPr="006431C4">
              <w:rPr>
                <w:rFonts w:cs="Arial"/>
                <w:szCs w:val="20"/>
                <w:vertAlign w:val="superscript"/>
              </w:rPr>
              <w:t>2</w:t>
            </w:r>
          </w:p>
        </w:tc>
        <w:tc>
          <w:tcPr>
            <w:tcW w:w="850" w:type="dxa"/>
            <w:vAlign w:val="center"/>
          </w:tcPr>
          <w:p w14:paraId="7B38D97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3</w:t>
            </w:r>
          </w:p>
          <w:p w14:paraId="4EFB018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 </w:t>
            </w:r>
            <w:smartTag w:uri="urn:schemas-microsoft-com:office:smarttags" w:element="metricconverter">
              <w:smartTagPr>
                <w:attr w:name="ProductID" w:val="5ﾰC"/>
              </w:smartTagPr>
              <w:r w:rsidRPr="006431C4">
                <w:rPr>
                  <w:rFonts w:cs="Arial"/>
                  <w:szCs w:val="20"/>
                </w:rPr>
                <w:t>5°C</w:t>
              </w:r>
            </w:smartTag>
          </w:p>
        </w:tc>
        <w:tc>
          <w:tcPr>
            <w:tcW w:w="709" w:type="dxa"/>
            <w:vAlign w:val="center"/>
          </w:tcPr>
          <w:p w14:paraId="0E77199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851" w:type="dxa"/>
            <w:vAlign w:val="center"/>
          </w:tcPr>
          <w:p w14:paraId="0A1CDB5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p w14:paraId="101788A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 </w:t>
            </w:r>
            <w:smartTag w:uri="urn:schemas-microsoft-com:office:smarttags" w:element="metricconverter">
              <w:smartTagPr>
                <w:attr w:name="ProductID" w:val="10ﾰC"/>
              </w:smartTagPr>
              <w:r w:rsidRPr="006431C4">
                <w:rPr>
                  <w:rFonts w:cs="Arial"/>
                  <w:szCs w:val="20"/>
                </w:rPr>
                <w:t>10°C</w:t>
              </w:r>
            </w:smartTag>
          </w:p>
        </w:tc>
        <w:tc>
          <w:tcPr>
            <w:tcW w:w="708" w:type="dxa"/>
            <w:vAlign w:val="center"/>
          </w:tcPr>
          <w:p w14:paraId="71E12AC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851" w:type="dxa"/>
            <w:vAlign w:val="center"/>
          </w:tcPr>
          <w:p w14:paraId="6634020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TBR</w:t>
            </w:r>
            <w:r w:rsidRPr="006431C4">
              <w:rPr>
                <w:rFonts w:cs="Arial"/>
                <w:szCs w:val="20"/>
                <w:vertAlign w:val="superscript"/>
              </w:rPr>
              <w:t>b</w:t>
            </w:r>
          </w:p>
          <w:p w14:paraId="743E43E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 10°C)</w:t>
            </w:r>
          </w:p>
        </w:tc>
        <w:tc>
          <w:tcPr>
            <w:tcW w:w="709" w:type="dxa"/>
            <w:vAlign w:val="center"/>
          </w:tcPr>
          <w:p w14:paraId="13C080D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CF11BE" w:rsidRPr="006431C4" w14:paraId="35D1C451" w14:textId="77777777" w:rsidTr="00CF11BE">
        <w:tc>
          <w:tcPr>
            <w:tcW w:w="2348" w:type="dxa"/>
            <w:vMerge/>
          </w:tcPr>
          <w:p w14:paraId="6B9E534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1843" w:type="dxa"/>
            <w:vAlign w:val="center"/>
          </w:tcPr>
          <w:p w14:paraId="33EE875E"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 xml:space="preserve">Rozciąganie bezpośrednie w </w:t>
            </w:r>
            <w:smartTag w:uri="urn:schemas-microsoft-com:office:smarttags" w:element="metricconverter">
              <w:smartTagPr>
                <w:attr w:name="ProductID" w:val="5ﾰC"/>
              </w:smartTagPr>
              <w:r w:rsidRPr="006431C4">
                <w:rPr>
                  <w:rFonts w:cs="Arial"/>
                  <w:szCs w:val="20"/>
                </w:rPr>
                <w:t>5°C</w:t>
              </w:r>
            </w:smartTag>
            <w:r w:rsidRPr="006431C4">
              <w:rPr>
                <w:rFonts w:cs="Arial"/>
                <w:szCs w:val="20"/>
              </w:rPr>
              <w:t xml:space="preserve"> (rozciąganie 100 mm/min)</w:t>
            </w:r>
          </w:p>
        </w:tc>
        <w:tc>
          <w:tcPr>
            <w:tcW w:w="850" w:type="dxa"/>
            <w:vAlign w:val="center"/>
          </w:tcPr>
          <w:p w14:paraId="60CBE54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13587 [58]      PN-EN 13703 [61]</w:t>
            </w:r>
          </w:p>
        </w:tc>
        <w:tc>
          <w:tcPr>
            <w:tcW w:w="851" w:type="dxa"/>
            <w:vAlign w:val="center"/>
          </w:tcPr>
          <w:p w14:paraId="0926F31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J/cm</w:t>
            </w:r>
            <w:r w:rsidRPr="006431C4">
              <w:rPr>
                <w:rFonts w:cs="Arial"/>
                <w:szCs w:val="20"/>
                <w:vertAlign w:val="superscript"/>
              </w:rPr>
              <w:t>2</w:t>
            </w:r>
          </w:p>
        </w:tc>
        <w:tc>
          <w:tcPr>
            <w:tcW w:w="850" w:type="dxa"/>
            <w:vAlign w:val="center"/>
          </w:tcPr>
          <w:p w14:paraId="3648723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NR</w:t>
            </w:r>
            <w:r w:rsidRPr="006431C4">
              <w:rPr>
                <w:rFonts w:cs="Arial"/>
                <w:szCs w:val="20"/>
                <w:vertAlign w:val="superscript"/>
              </w:rPr>
              <w:t>a</w:t>
            </w:r>
          </w:p>
        </w:tc>
        <w:tc>
          <w:tcPr>
            <w:tcW w:w="709" w:type="dxa"/>
            <w:vAlign w:val="center"/>
          </w:tcPr>
          <w:p w14:paraId="1452EFB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4CC4093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8" w:type="dxa"/>
            <w:vAlign w:val="center"/>
          </w:tcPr>
          <w:p w14:paraId="17A3525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6F9B6E2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NR</w:t>
            </w:r>
            <w:r w:rsidRPr="006431C4">
              <w:rPr>
                <w:rFonts w:cs="Arial"/>
                <w:szCs w:val="20"/>
                <w:vertAlign w:val="superscript"/>
              </w:rPr>
              <w:t>a</w:t>
            </w:r>
          </w:p>
        </w:tc>
        <w:tc>
          <w:tcPr>
            <w:tcW w:w="709" w:type="dxa"/>
            <w:vAlign w:val="center"/>
          </w:tcPr>
          <w:p w14:paraId="38DDF37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r w:rsidR="00CF11BE" w:rsidRPr="006431C4" w14:paraId="228E6F08" w14:textId="77777777" w:rsidTr="00CF11BE">
        <w:tc>
          <w:tcPr>
            <w:tcW w:w="2348" w:type="dxa"/>
            <w:vMerge/>
          </w:tcPr>
          <w:p w14:paraId="4B65381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1843" w:type="dxa"/>
            <w:vAlign w:val="center"/>
          </w:tcPr>
          <w:p w14:paraId="0525639C"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Wahadło Vialit (meto-da uderzenia)</w:t>
            </w:r>
          </w:p>
        </w:tc>
        <w:tc>
          <w:tcPr>
            <w:tcW w:w="850" w:type="dxa"/>
            <w:vAlign w:val="center"/>
          </w:tcPr>
          <w:p w14:paraId="066B135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13588 [59]</w:t>
            </w:r>
          </w:p>
        </w:tc>
        <w:tc>
          <w:tcPr>
            <w:tcW w:w="851" w:type="dxa"/>
            <w:vAlign w:val="center"/>
          </w:tcPr>
          <w:p w14:paraId="54D0D46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J/cm</w:t>
            </w:r>
            <w:r w:rsidRPr="006431C4">
              <w:rPr>
                <w:rFonts w:cs="Arial"/>
                <w:szCs w:val="20"/>
                <w:vertAlign w:val="superscript"/>
              </w:rPr>
              <w:t>2</w:t>
            </w:r>
          </w:p>
        </w:tc>
        <w:tc>
          <w:tcPr>
            <w:tcW w:w="850" w:type="dxa"/>
            <w:vAlign w:val="center"/>
          </w:tcPr>
          <w:p w14:paraId="6A7071C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NR</w:t>
            </w:r>
            <w:r w:rsidRPr="006431C4">
              <w:rPr>
                <w:rFonts w:cs="Arial"/>
                <w:szCs w:val="20"/>
                <w:vertAlign w:val="superscript"/>
              </w:rPr>
              <w:t>a</w:t>
            </w:r>
          </w:p>
        </w:tc>
        <w:tc>
          <w:tcPr>
            <w:tcW w:w="709" w:type="dxa"/>
            <w:vAlign w:val="center"/>
          </w:tcPr>
          <w:p w14:paraId="76CA497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497065F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8" w:type="dxa"/>
            <w:vAlign w:val="center"/>
          </w:tcPr>
          <w:p w14:paraId="7803ABF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3FE9CFC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NR</w:t>
            </w:r>
            <w:r w:rsidRPr="006431C4">
              <w:rPr>
                <w:rFonts w:cs="Arial"/>
                <w:szCs w:val="20"/>
                <w:vertAlign w:val="superscript"/>
              </w:rPr>
              <w:t>a</w:t>
            </w:r>
          </w:p>
        </w:tc>
        <w:tc>
          <w:tcPr>
            <w:tcW w:w="709" w:type="dxa"/>
            <w:vAlign w:val="center"/>
          </w:tcPr>
          <w:p w14:paraId="07D5724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r w:rsidR="00CF11BE" w:rsidRPr="006431C4" w14:paraId="662E5EE3" w14:textId="77777777" w:rsidTr="00CF11BE">
        <w:tc>
          <w:tcPr>
            <w:tcW w:w="2348" w:type="dxa"/>
            <w:vMerge w:val="restart"/>
            <w:vAlign w:val="center"/>
          </w:tcPr>
          <w:p w14:paraId="4D4639D5"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Stałość kon-</w:t>
            </w:r>
          </w:p>
          <w:p w14:paraId="1A257580"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systencji (Odporność na starzenie)</w:t>
            </w:r>
          </w:p>
          <w:p w14:paraId="2A19702A"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wg PN-EN 12607-1 [30]</w:t>
            </w:r>
          </w:p>
        </w:tc>
        <w:tc>
          <w:tcPr>
            <w:tcW w:w="1843" w:type="dxa"/>
            <w:vAlign w:val="center"/>
          </w:tcPr>
          <w:p w14:paraId="2CF0CBB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Zmiana masy</w:t>
            </w:r>
          </w:p>
        </w:tc>
        <w:tc>
          <w:tcPr>
            <w:tcW w:w="850" w:type="dxa"/>
            <w:vAlign w:val="center"/>
          </w:tcPr>
          <w:p w14:paraId="2CC4A1E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12607-1[30]</w:t>
            </w:r>
          </w:p>
        </w:tc>
        <w:tc>
          <w:tcPr>
            <w:tcW w:w="851" w:type="dxa"/>
            <w:vAlign w:val="center"/>
          </w:tcPr>
          <w:p w14:paraId="0E849E2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0" w:type="dxa"/>
            <w:vAlign w:val="center"/>
          </w:tcPr>
          <w:p w14:paraId="10B4C3B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0,5</w:t>
            </w:r>
          </w:p>
        </w:tc>
        <w:tc>
          <w:tcPr>
            <w:tcW w:w="709" w:type="dxa"/>
            <w:vAlign w:val="center"/>
          </w:tcPr>
          <w:p w14:paraId="01C62DF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851" w:type="dxa"/>
            <w:vAlign w:val="center"/>
          </w:tcPr>
          <w:p w14:paraId="2ADEEDD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0,5</w:t>
            </w:r>
          </w:p>
        </w:tc>
        <w:tc>
          <w:tcPr>
            <w:tcW w:w="708" w:type="dxa"/>
            <w:vAlign w:val="center"/>
          </w:tcPr>
          <w:p w14:paraId="4557546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851" w:type="dxa"/>
            <w:vAlign w:val="center"/>
          </w:tcPr>
          <w:p w14:paraId="424D071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0,5</w:t>
            </w:r>
          </w:p>
        </w:tc>
        <w:tc>
          <w:tcPr>
            <w:tcW w:w="709" w:type="dxa"/>
            <w:vAlign w:val="center"/>
          </w:tcPr>
          <w:p w14:paraId="201524B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CF11BE" w:rsidRPr="006431C4" w14:paraId="76510629" w14:textId="77777777" w:rsidTr="00CF11BE">
        <w:tc>
          <w:tcPr>
            <w:tcW w:w="2348" w:type="dxa"/>
            <w:vMerge/>
          </w:tcPr>
          <w:p w14:paraId="1BFB2593"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p>
        </w:tc>
        <w:tc>
          <w:tcPr>
            <w:tcW w:w="1843" w:type="dxa"/>
            <w:vAlign w:val="center"/>
          </w:tcPr>
          <w:p w14:paraId="0CDD3C97"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Pozostała penetracja</w:t>
            </w:r>
          </w:p>
        </w:tc>
        <w:tc>
          <w:tcPr>
            <w:tcW w:w="850" w:type="dxa"/>
            <w:vAlign w:val="center"/>
          </w:tcPr>
          <w:p w14:paraId="1E6A2B9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[21]</w:t>
            </w:r>
          </w:p>
        </w:tc>
        <w:tc>
          <w:tcPr>
            <w:tcW w:w="851" w:type="dxa"/>
            <w:vAlign w:val="center"/>
          </w:tcPr>
          <w:p w14:paraId="6A165B2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0" w:type="dxa"/>
            <w:vAlign w:val="center"/>
          </w:tcPr>
          <w:p w14:paraId="76B3BC3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60</w:t>
            </w:r>
          </w:p>
        </w:tc>
        <w:tc>
          <w:tcPr>
            <w:tcW w:w="709" w:type="dxa"/>
            <w:vAlign w:val="center"/>
          </w:tcPr>
          <w:p w14:paraId="684843A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851" w:type="dxa"/>
            <w:vAlign w:val="center"/>
          </w:tcPr>
          <w:p w14:paraId="3759189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60</w:t>
            </w:r>
          </w:p>
        </w:tc>
        <w:tc>
          <w:tcPr>
            <w:tcW w:w="708" w:type="dxa"/>
            <w:vAlign w:val="center"/>
          </w:tcPr>
          <w:p w14:paraId="7011436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851" w:type="dxa"/>
            <w:vAlign w:val="center"/>
          </w:tcPr>
          <w:p w14:paraId="6153AB7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60</w:t>
            </w:r>
          </w:p>
        </w:tc>
        <w:tc>
          <w:tcPr>
            <w:tcW w:w="709" w:type="dxa"/>
            <w:vAlign w:val="center"/>
          </w:tcPr>
          <w:p w14:paraId="61E7025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r>
      <w:tr w:rsidR="00CF11BE" w:rsidRPr="006431C4" w14:paraId="188F39DD" w14:textId="77777777" w:rsidTr="00CF11BE">
        <w:tc>
          <w:tcPr>
            <w:tcW w:w="2348" w:type="dxa"/>
            <w:vMerge/>
          </w:tcPr>
          <w:p w14:paraId="1D665533"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p>
        </w:tc>
        <w:tc>
          <w:tcPr>
            <w:tcW w:w="1843" w:type="dxa"/>
            <w:vAlign w:val="center"/>
          </w:tcPr>
          <w:p w14:paraId="79DF3434"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Wzrost tem-peratury mięknienia</w:t>
            </w:r>
          </w:p>
        </w:tc>
        <w:tc>
          <w:tcPr>
            <w:tcW w:w="850" w:type="dxa"/>
            <w:vAlign w:val="center"/>
          </w:tcPr>
          <w:p w14:paraId="02E2B55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851" w:type="dxa"/>
            <w:vAlign w:val="center"/>
          </w:tcPr>
          <w:p w14:paraId="4E5292C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850" w:type="dxa"/>
            <w:vAlign w:val="center"/>
          </w:tcPr>
          <w:p w14:paraId="50D6D36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8</w:t>
            </w:r>
          </w:p>
        </w:tc>
        <w:tc>
          <w:tcPr>
            <w:tcW w:w="709" w:type="dxa"/>
            <w:vAlign w:val="center"/>
          </w:tcPr>
          <w:p w14:paraId="5C7852A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851" w:type="dxa"/>
            <w:vAlign w:val="center"/>
          </w:tcPr>
          <w:p w14:paraId="0F08D5A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8</w:t>
            </w:r>
          </w:p>
        </w:tc>
        <w:tc>
          <w:tcPr>
            <w:tcW w:w="708" w:type="dxa"/>
            <w:vAlign w:val="center"/>
          </w:tcPr>
          <w:p w14:paraId="60F80AA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851" w:type="dxa"/>
            <w:vAlign w:val="center"/>
          </w:tcPr>
          <w:p w14:paraId="26BCA27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8</w:t>
            </w:r>
          </w:p>
        </w:tc>
        <w:tc>
          <w:tcPr>
            <w:tcW w:w="709" w:type="dxa"/>
            <w:vAlign w:val="center"/>
          </w:tcPr>
          <w:p w14:paraId="2DB1C99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CF11BE" w:rsidRPr="006431C4" w14:paraId="2C7B6E88" w14:textId="77777777" w:rsidTr="00CF11BE">
        <w:tc>
          <w:tcPr>
            <w:tcW w:w="2348" w:type="dxa"/>
            <w:vAlign w:val="center"/>
          </w:tcPr>
          <w:p w14:paraId="49AB99DE"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Inne właściwości</w:t>
            </w:r>
          </w:p>
        </w:tc>
        <w:tc>
          <w:tcPr>
            <w:tcW w:w="1843" w:type="dxa"/>
            <w:vAlign w:val="center"/>
          </w:tcPr>
          <w:p w14:paraId="573AB788"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Temperatura zapłonu</w:t>
            </w:r>
          </w:p>
        </w:tc>
        <w:tc>
          <w:tcPr>
            <w:tcW w:w="850" w:type="dxa"/>
            <w:vAlign w:val="center"/>
          </w:tcPr>
          <w:p w14:paraId="029FCD1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ISO 2592 [68]</w:t>
            </w:r>
          </w:p>
        </w:tc>
        <w:tc>
          <w:tcPr>
            <w:tcW w:w="851" w:type="dxa"/>
            <w:vAlign w:val="center"/>
          </w:tcPr>
          <w:p w14:paraId="478C191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850" w:type="dxa"/>
            <w:vAlign w:val="center"/>
          </w:tcPr>
          <w:p w14:paraId="64AC4FF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235</w:t>
            </w:r>
          </w:p>
        </w:tc>
        <w:tc>
          <w:tcPr>
            <w:tcW w:w="709" w:type="dxa"/>
            <w:vAlign w:val="center"/>
          </w:tcPr>
          <w:p w14:paraId="4185A7A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851" w:type="dxa"/>
            <w:vAlign w:val="center"/>
          </w:tcPr>
          <w:p w14:paraId="3F7E80F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235</w:t>
            </w:r>
          </w:p>
        </w:tc>
        <w:tc>
          <w:tcPr>
            <w:tcW w:w="708" w:type="dxa"/>
            <w:vAlign w:val="center"/>
          </w:tcPr>
          <w:p w14:paraId="7326A43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851" w:type="dxa"/>
            <w:vAlign w:val="center"/>
          </w:tcPr>
          <w:p w14:paraId="2C7721C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235</w:t>
            </w:r>
          </w:p>
        </w:tc>
        <w:tc>
          <w:tcPr>
            <w:tcW w:w="709" w:type="dxa"/>
            <w:vAlign w:val="center"/>
          </w:tcPr>
          <w:p w14:paraId="7156DD7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CF11BE" w:rsidRPr="006431C4" w14:paraId="3390541D" w14:textId="77777777" w:rsidTr="00CF11BE">
        <w:tc>
          <w:tcPr>
            <w:tcW w:w="2348" w:type="dxa"/>
            <w:vMerge w:val="restart"/>
            <w:vAlign w:val="center"/>
          </w:tcPr>
          <w:p w14:paraId="164C2FC0"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Wymagania</w:t>
            </w:r>
          </w:p>
          <w:p w14:paraId="03D09226"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Dodatkowe</w:t>
            </w:r>
          </w:p>
        </w:tc>
        <w:tc>
          <w:tcPr>
            <w:tcW w:w="1843" w:type="dxa"/>
            <w:vAlign w:val="center"/>
          </w:tcPr>
          <w:p w14:paraId="73837486"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Temperatura łamliwości</w:t>
            </w:r>
          </w:p>
        </w:tc>
        <w:tc>
          <w:tcPr>
            <w:tcW w:w="850" w:type="dxa"/>
            <w:tcBorders>
              <w:bottom w:val="single" w:sz="4" w:space="0" w:color="auto"/>
            </w:tcBorders>
            <w:vAlign w:val="center"/>
          </w:tcPr>
          <w:p w14:paraId="151A25C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12593 [26]</w:t>
            </w:r>
          </w:p>
        </w:tc>
        <w:tc>
          <w:tcPr>
            <w:tcW w:w="851" w:type="dxa"/>
            <w:tcBorders>
              <w:bottom w:val="single" w:sz="4" w:space="0" w:color="auto"/>
            </w:tcBorders>
            <w:vAlign w:val="center"/>
          </w:tcPr>
          <w:p w14:paraId="272808C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850" w:type="dxa"/>
            <w:vAlign w:val="center"/>
          </w:tcPr>
          <w:p w14:paraId="45E4963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-15</w:t>
            </w:r>
          </w:p>
        </w:tc>
        <w:tc>
          <w:tcPr>
            <w:tcW w:w="709" w:type="dxa"/>
            <w:vAlign w:val="center"/>
          </w:tcPr>
          <w:p w14:paraId="6D63044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851" w:type="dxa"/>
            <w:vAlign w:val="center"/>
          </w:tcPr>
          <w:p w14:paraId="0AA9261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-15</w:t>
            </w:r>
          </w:p>
        </w:tc>
        <w:tc>
          <w:tcPr>
            <w:tcW w:w="708" w:type="dxa"/>
            <w:vAlign w:val="center"/>
          </w:tcPr>
          <w:p w14:paraId="1627F11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851" w:type="dxa"/>
            <w:vAlign w:val="center"/>
          </w:tcPr>
          <w:p w14:paraId="1558CEE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-18</w:t>
            </w:r>
          </w:p>
        </w:tc>
        <w:tc>
          <w:tcPr>
            <w:tcW w:w="709" w:type="dxa"/>
            <w:vAlign w:val="center"/>
          </w:tcPr>
          <w:p w14:paraId="0B07568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r>
      <w:tr w:rsidR="00CF11BE" w:rsidRPr="006431C4" w14:paraId="3815A4FA" w14:textId="77777777" w:rsidTr="00CF11BE">
        <w:tc>
          <w:tcPr>
            <w:tcW w:w="2348" w:type="dxa"/>
            <w:vMerge/>
          </w:tcPr>
          <w:p w14:paraId="42F79DC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1843" w:type="dxa"/>
            <w:vAlign w:val="center"/>
          </w:tcPr>
          <w:p w14:paraId="306D7CF8"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 xml:space="preserve">Nawrót sprężysty w </w:t>
            </w:r>
            <w:smartTag w:uri="urn:schemas-microsoft-com:office:smarttags" w:element="metricconverter">
              <w:smartTagPr>
                <w:attr w:name="ProductID" w:val="25ﾰC"/>
              </w:smartTagPr>
              <w:r w:rsidRPr="006431C4">
                <w:rPr>
                  <w:rFonts w:cs="Arial"/>
                  <w:szCs w:val="20"/>
                </w:rPr>
                <w:t>25°C</w:t>
              </w:r>
            </w:smartTag>
          </w:p>
        </w:tc>
        <w:tc>
          <w:tcPr>
            <w:tcW w:w="850" w:type="dxa"/>
            <w:vMerge w:val="restart"/>
            <w:vAlign w:val="center"/>
          </w:tcPr>
          <w:p w14:paraId="735FF21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13398</w:t>
            </w:r>
          </w:p>
          <w:p w14:paraId="42D808F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[56]</w:t>
            </w:r>
          </w:p>
        </w:tc>
        <w:tc>
          <w:tcPr>
            <w:tcW w:w="851" w:type="dxa"/>
            <w:vMerge w:val="restart"/>
            <w:vAlign w:val="center"/>
          </w:tcPr>
          <w:p w14:paraId="74DCE20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0" w:type="dxa"/>
            <w:vAlign w:val="center"/>
          </w:tcPr>
          <w:p w14:paraId="58D8929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70</w:t>
            </w:r>
          </w:p>
        </w:tc>
        <w:tc>
          <w:tcPr>
            <w:tcW w:w="709" w:type="dxa"/>
            <w:vAlign w:val="center"/>
          </w:tcPr>
          <w:p w14:paraId="077BA51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851" w:type="dxa"/>
            <w:vAlign w:val="center"/>
          </w:tcPr>
          <w:p w14:paraId="2D79F43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80</w:t>
            </w:r>
          </w:p>
        </w:tc>
        <w:tc>
          <w:tcPr>
            <w:tcW w:w="708" w:type="dxa"/>
            <w:vAlign w:val="center"/>
          </w:tcPr>
          <w:p w14:paraId="3A9BDCE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851" w:type="dxa"/>
            <w:vAlign w:val="center"/>
          </w:tcPr>
          <w:p w14:paraId="0876060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80</w:t>
            </w:r>
          </w:p>
        </w:tc>
        <w:tc>
          <w:tcPr>
            <w:tcW w:w="709" w:type="dxa"/>
            <w:vAlign w:val="center"/>
          </w:tcPr>
          <w:p w14:paraId="32D1DCF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CF11BE" w:rsidRPr="006431C4" w14:paraId="22E10385" w14:textId="77777777" w:rsidTr="00CF11BE">
        <w:tc>
          <w:tcPr>
            <w:tcW w:w="2348" w:type="dxa"/>
            <w:vMerge/>
          </w:tcPr>
          <w:p w14:paraId="3166D0B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1843" w:type="dxa"/>
            <w:vAlign w:val="center"/>
          </w:tcPr>
          <w:p w14:paraId="50625B77"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 xml:space="preserve">Nawrót sprężysty w </w:t>
            </w:r>
            <w:smartTag w:uri="urn:schemas-microsoft-com:office:smarttags" w:element="metricconverter">
              <w:smartTagPr>
                <w:attr w:name="ProductID" w:val="10ﾰC"/>
              </w:smartTagPr>
              <w:r w:rsidRPr="006431C4">
                <w:rPr>
                  <w:rFonts w:cs="Arial"/>
                  <w:szCs w:val="20"/>
                </w:rPr>
                <w:t>10°C</w:t>
              </w:r>
            </w:smartTag>
          </w:p>
        </w:tc>
        <w:tc>
          <w:tcPr>
            <w:tcW w:w="850" w:type="dxa"/>
            <w:vMerge/>
            <w:vAlign w:val="center"/>
          </w:tcPr>
          <w:p w14:paraId="685BD3A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851" w:type="dxa"/>
            <w:vMerge/>
            <w:vAlign w:val="center"/>
          </w:tcPr>
          <w:p w14:paraId="25D364F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850" w:type="dxa"/>
            <w:vAlign w:val="center"/>
          </w:tcPr>
          <w:p w14:paraId="39D5338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9" w:type="dxa"/>
            <w:vAlign w:val="center"/>
          </w:tcPr>
          <w:p w14:paraId="43263C5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2CE603A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8" w:type="dxa"/>
            <w:vAlign w:val="center"/>
          </w:tcPr>
          <w:p w14:paraId="0F2768B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75E9647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TBR</w:t>
            </w:r>
            <w:r w:rsidRPr="006431C4">
              <w:rPr>
                <w:rFonts w:cs="Arial"/>
                <w:szCs w:val="20"/>
                <w:vertAlign w:val="superscript"/>
              </w:rPr>
              <w:t>b</w:t>
            </w:r>
          </w:p>
        </w:tc>
        <w:tc>
          <w:tcPr>
            <w:tcW w:w="709" w:type="dxa"/>
            <w:vAlign w:val="center"/>
          </w:tcPr>
          <w:p w14:paraId="15C0DCB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2C4C5BE9" w14:textId="77777777" w:rsidTr="00CF11BE">
        <w:tc>
          <w:tcPr>
            <w:tcW w:w="2348" w:type="dxa"/>
            <w:vMerge/>
            <w:vAlign w:val="center"/>
          </w:tcPr>
          <w:p w14:paraId="2D50DC6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1843" w:type="dxa"/>
            <w:vAlign w:val="center"/>
          </w:tcPr>
          <w:p w14:paraId="122377FE"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Zakres plastyczności</w:t>
            </w:r>
          </w:p>
        </w:tc>
        <w:tc>
          <w:tcPr>
            <w:tcW w:w="850" w:type="dxa"/>
            <w:vAlign w:val="center"/>
          </w:tcPr>
          <w:p w14:paraId="75BEFD5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14023 [64] Punkt 5.1.9</w:t>
            </w:r>
          </w:p>
        </w:tc>
        <w:tc>
          <w:tcPr>
            <w:tcW w:w="851" w:type="dxa"/>
            <w:vAlign w:val="center"/>
          </w:tcPr>
          <w:p w14:paraId="3B093FE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850" w:type="dxa"/>
            <w:vAlign w:val="center"/>
          </w:tcPr>
          <w:p w14:paraId="6CE475C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9" w:type="dxa"/>
            <w:vAlign w:val="center"/>
          </w:tcPr>
          <w:p w14:paraId="1387215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4217F77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8" w:type="dxa"/>
            <w:vAlign w:val="center"/>
          </w:tcPr>
          <w:p w14:paraId="2C7DE57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74D9513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9" w:type="dxa"/>
            <w:vAlign w:val="center"/>
          </w:tcPr>
          <w:p w14:paraId="500D60E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r w:rsidR="00CF11BE" w:rsidRPr="006431C4" w14:paraId="158710DB" w14:textId="77777777" w:rsidTr="00CF11BE">
        <w:tc>
          <w:tcPr>
            <w:tcW w:w="2348" w:type="dxa"/>
            <w:vMerge/>
          </w:tcPr>
          <w:p w14:paraId="086EBE2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1843" w:type="dxa"/>
            <w:vAlign w:val="center"/>
          </w:tcPr>
          <w:p w14:paraId="1B80D294"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Stabilność magazynowa-nia. Różnica temperatur mięknienia</w:t>
            </w:r>
          </w:p>
        </w:tc>
        <w:tc>
          <w:tcPr>
            <w:tcW w:w="850" w:type="dxa"/>
            <w:vAlign w:val="center"/>
          </w:tcPr>
          <w:p w14:paraId="381B426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13399 [57]</w:t>
            </w:r>
          </w:p>
          <w:p w14:paraId="08CEF33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851" w:type="dxa"/>
            <w:vAlign w:val="center"/>
          </w:tcPr>
          <w:p w14:paraId="065616C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850" w:type="dxa"/>
            <w:vAlign w:val="center"/>
          </w:tcPr>
          <w:p w14:paraId="2FB4527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5</w:t>
            </w:r>
          </w:p>
        </w:tc>
        <w:tc>
          <w:tcPr>
            <w:tcW w:w="709" w:type="dxa"/>
            <w:vAlign w:val="center"/>
          </w:tcPr>
          <w:p w14:paraId="33CC835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851" w:type="dxa"/>
            <w:vAlign w:val="center"/>
          </w:tcPr>
          <w:p w14:paraId="47D7477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5</w:t>
            </w:r>
          </w:p>
        </w:tc>
        <w:tc>
          <w:tcPr>
            <w:tcW w:w="708" w:type="dxa"/>
            <w:vAlign w:val="center"/>
          </w:tcPr>
          <w:p w14:paraId="28DE910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851" w:type="dxa"/>
            <w:vAlign w:val="center"/>
          </w:tcPr>
          <w:p w14:paraId="7D6E94B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5</w:t>
            </w:r>
          </w:p>
        </w:tc>
        <w:tc>
          <w:tcPr>
            <w:tcW w:w="709" w:type="dxa"/>
            <w:vAlign w:val="center"/>
          </w:tcPr>
          <w:p w14:paraId="164CA5F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CF11BE" w:rsidRPr="006431C4" w14:paraId="3ADBD6BF" w14:textId="77777777" w:rsidTr="00CF11BE">
        <w:tc>
          <w:tcPr>
            <w:tcW w:w="2348" w:type="dxa"/>
            <w:vMerge/>
            <w:tcBorders>
              <w:bottom w:val="single" w:sz="4" w:space="0" w:color="auto"/>
            </w:tcBorders>
          </w:tcPr>
          <w:p w14:paraId="799E502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1843" w:type="dxa"/>
            <w:vAlign w:val="center"/>
          </w:tcPr>
          <w:p w14:paraId="49763459"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Stabilność magazynowa-nia. Różnica penetracji</w:t>
            </w:r>
          </w:p>
        </w:tc>
        <w:tc>
          <w:tcPr>
            <w:tcW w:w="850" w:type="dxa"/>
            <w:vAlign w:val="center"/>
          </w:tcPr>
          <w:p w14:paraId="56C3131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13399 [57]</w:t>
            </w:r>
          </w:p>
          <w:p w14:paraId="14C16F7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[21]</w:t>
            </w:r>
          </w:p>
        </w:tc>
        <w:tc>
          <w:tcPr>
            <w:tcW w:w="851" w:type="dxa"/>
            <w:vAlign w:val="center"/>
          </w:tcPr>
          <w:p w14:paraId="5BDE14F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smartTag w:uri="urn:schemas-microsoft-com:office:smarttags" w:element="metricconverter">
              <w:smartTagPr>
                <w:attr w:name="ProductID" w:val="0,1 mm"/>
              </w:smartTagPr>
              <w:r w:rsidRPr="006431C4">
                <w:rPr>
                  <w:rFonts w:cs="Arial"/>
                  <w:szCs w:val="20"/>
                </w:rPr>
                <w:t>0,1 mm</w:t>
              </w:r>
            </w:smartTag>
          </w:p>
        </w:tc>
        <w:tc>
          <w:tcPr>
            <w:tcW w:w="850" w:type="dxa"/>
            <w:vAlign w:val="center"/>
          </w:tcPr>
          <w:p w14:paraId="71D69D9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9" w:type="dxa"/>
            <w:vAlign w:val="center"/>
          </w:tcPr>
          <w:p w14:paraId="5169B37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5F16491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8" w:type="dxa"/>
            <w:vAlign w:val="center"/>
          </w:tcPr>
          <w:p w14:paraId="75001E3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20955DF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9" w:type="dxa"/>
            <w:vAlign w:val="center"/>
          </w:tcPr>
          <w:p w14:paraId="1D43533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bl>
    <w:p w14:paraId="1ECA239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bl>
      <w:tblPr>
        <w:tblW w:w="10003"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8"/>
        <w:gridCol w:w="1276"/>
        <w:gridCol w:w="850"/>
        <w:gridCol w:w="851"/>
        <w:gridCol w:w="850"/>
        <w:gridCol w:w="709"/>
        <w:gridCol w:w="851"/>
        <w:gridCol w:w="708"/>
        <w:gridCol w:w="851"/>
        <w:gridCol w:w="709"/>
      </w:tblGrid>
      <w:tr w:rsidR="00CF11BE" w:rsidRPr="006431C4" w14:paraId="342BC2E2" w14:textId="77777777" w:rsidTr="00CF11BE">
        <w:tc>
          <w:tcPr>
            <w:tcW w:w="2348" w:type="dxa"/>
            <w:vMerge w:val="restart"/>
            <w:tcBorders>
              <w:top w:val="single" w:sz="4" w:space="0" w:color="auto"/>
              <w:left w:val="single" w:sz="4" w:space="0" w:color="auto"/>
              <w:right w:val="single" w:sz="4" w:space="0" w:color="auto"/>
            </w:tcBorders>
            <w:vAlign w:val="center"/>
          </w:tcPr>
          <w:p w14:paraId="4BC45FA0"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Wymagania</w:t>
            </w:r>
          </w:p>
          <w:p w14:paraId="47955C0F"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Dodatkowe</w:t>
            </w:r>
          </w:p>
        </w:tc>
        <w:tc>
          <w:tcPr>
            <w:tcW w:w="1276" w:type="dxa"/>
            <w:tcBorders>
              <w:left w:val="single" w:sz="4" w:space="0" w:color="auto"/>
            </w:tcBorders>
            <w:vAlign w:val="center"/>
          </w:tcPr>
          <w:p w14:paraId="47F98A9C"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Spadek tem-  peratury mięknienia po starzeniu wg PN-EN 12607</w:t>
            </w:r>
          </w:p>
          <w:p w14:paraId="4B47505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-1  [30]</w:t>
            </w:r>
          </w:p>
        </w:tc>
        <w:tc>
          <w:tcPr>
            <w:tcW w:w="850" w:type="dxa"/>
            <w:tcBorders>
              <w:bottom w:val="single" w:sz="4" w:space="0" w:color="auto"/>
            </w:tcBorders>
            <w:vAlign w:val="center"/>
          </w:tcPr>
          <w:p w14:paraId="09E3343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 [29]</w:t>
            </w:r>
          </w:p>
          <w:p w14:paraId="6C56E47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851" w:type="dxa"/>
            <w:tcBorders>
              <w:bottom w:val="single" w:sz="4" w:space="0" w:color="auto"/>
            </w:tcBorders>
            <w:vAlign w:val="center"/>
          </w:tcPr>
          <w:p w14:paraId="5C86A14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850" w:type="dxa"/>
            <w:vAlign w:val="center"/>
          </w:tcPr>
          <w:p w14:paraId="33E7410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TBR</w:t>
            </w:r>
            <w:r w:rsidRPr="006431C4">
              <w:rPr>
                <w:rFonts w:cs="Arial"/>
                <w:szCs w:val="20"/>
                <w:vertAlign w:val="superscript"/>
              </w:rPr>
              <w:t>b</w:t>
            </w:r>
          </w:p>
        </w:tc>
        <w:tc>
          <w:tcPr>
            <w:tcW w:w="709" w:type="dxa"/>
            <w:vAlign w:val="center"/>
          </w:tcPr>
          <w:p w14:paraId="49B6372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851" w:type="dxa"/>
            <w:vAlign w:val="center"/>
          </w:tcPr>
          <w:p w14:paraId="6E6FBBC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TBR</w:t>
            </w:r>
            <w:r w:rsidRPr="006431C4">
              <w:rPr>
                <w:rFonts w:cs="Arial"/>
                <w:szCs w:val="20"/>
                <w:vertAlign w:val="superscript"/>
              </w:rPr>
              <w:t>b</w:t>
            </w:r>
          </w:p>
        </w:tc>
        <w:tc>
          <w:tcPr>
            <w:tcW w:w="708" w:type="dxa"/>
            <w:vAlign w:val="center"/>
          </w:tcPr>
          <w:p w14:paraId="4F84640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851" w:type="dxa"/>
            <w:vAlign w:val="center"/>
          </w:tcPr>
          <w:p w14:paraId="24FDBE4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TBR</w:t>
            </w:r>
            <w:r w:rsidRPr="006431C4">
              <w:rPr>
                <w:rFonts w:cs="Arial"/>
                <w:szCs w:val="20"/>
                <w:vertAlign w:val="superscript"/>
              </w:rPr>
              <w:t>b</w:t>
            </w:r>
          </w:p>
        </w:tc>
        <w:tc>
          <w:tcPr>
            <w:tcW w:w="709" w:type="dxa"/>
            <w:vAlign w:val="center"/>
          </w:tcPr>
          <w:p w14:paraId="357A697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3AB8EE16" w14:textId="77777777" w:rsidTr="00CF11BE">
        <w:tc>
          <w:tcPr>
            <w:tcW w:w="2348" w:type="dxa"/>
            <w:vMerge/>
            <w:tcBorders>
              <w:left w:val="single" w:sz="4" w:space="0" w:color="auto"/>
              <w:right w:val="single" w:sz="4" w:space="0" w:color="auto"/>
            </w:tcBorders>
            <w:vAlign w:val="center"/>
          </w:tcPr>
          <w:p w14:paraId="0DE01FBD"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p>
        </w:tc>
        <w:tc>
          <w:tcPr>
            <w:tcW w:w="1276" w:type="dxa"/>
            <w:tcBorders>
              <w:left w:val="single" w:sz="4" w:space="0" w:color="auto"/>
            </w:tcBorders>
            <w:vAlign w:val="center"/>
          </w:tcPr>
          <w:p w14:paraId="6A2E3BA6"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 xml:space="preserve">Nawrót sprę-żysty w </w:t>
            </w:r>
            <w:smartTag w:uri="urn:schemas-microsoft-com:office:smarttags" w:element="metricconverter">
              <w:smartTagPr>
                <w:attr w:name="ProductID" w:val="25ﾰC"/>
              </w:smartTagPr>
              <w:r w:rsidRPr="006431C4">
                <w:rPr>
                  <w:rFonts w:cs="Arial"/>
                  <w:szCs w:val="20"/>
                </w:rPr>
                <w:t>25°C</w:t>
              </w:r>
            </w:smartTag>
            <w:r w:rsidRPr="006431C4">
              <w:rPr>
                <w:rFonts w:cs="Arial"/>
                <w:szCs w:val="20"/>
              </w:rPr>
              <w:t xml:space="preserve"> po starzeniu wg PN-EN 12607-1 [30]</w:t>
            </w:r>
          </w:p>
        </w:tc>
        <w:tc>
          <w:tcPr>
            <w:tcW w:w="850" w:type="dxa"/>
            <w:vMerge w:val="restart"/>
            <w:vAlign w:val="center"/>
          </w:tcPr>
          <w:p w14:paraId="0AB32CA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 [30]</w:t>
            </w:r>
          </w:p>
          <w:p w14:paraId="16C55C0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13398 [56]</w:t>
            </w:r>
          </w:p>
        </w:tc>
        <w:tc>
          <w:tcPr>
            <w:tcW w:w="851" w:type="dxa"/>
            <w:vMerge w:val="restart"/>
            <w:vAlign w:val="center"/>
          </w:tcPr>
          <w:p w14:paraId="2C689CC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0" w:type="dxa"/>
            <w:vAlign w:val="center"/>
          </w:tcPr>
          <w:p w14:paraId="4453AAD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50</w:t>
            </w:r>
          </w:p>
        </w:tc>
        <w:tc>
          <w:tcPr>
            <w:tcW w:w="709" w:type="dxa"/>
            <w:vAlign w:val="center"/>
          </w:tcPr>
          <w:p w14:paraId="58CE533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851" w:type="dxa"/>
            <w:vAlign w:val="center"/>
          </w:tcPr>
          <w:p w14:paraId="7E5C80D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60</w:t>
            </w:r>
          </w:p>
        </w:tc>
        <w:tc>
          <w:tcPr>
            <w:tcW w:w="708" w:type="dxa"/>
            <w:vAlign w:val="center"/>
          </w:tcPr>
          <w:p w14:paraId="3DC8641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851" w:type="dxa"/>
            <w:vAlign w:val="center"/>
          </w:tcPr>
          <w:p w14:paraId="4BB5B7D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60</w:t>
            </w:r>
          </w:p>
        </w:tc>
        <w:tc>
          <w:tcPr>
            <w:tcW w:w="709" w:type="dxa"/>
            <w:vAlign w:val="center"/>
          </w:tcPr>
          <w:p w14:paraId="155A0D3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CF11BE" w:rsidRPr="006431C4" w14:paraId="54CCC5A6" w14:textId="77777777" w:rsidTr="00CF11BE">
        <w:tc>
          <w:tcPr>
            <w:tcW w:w="2348" w:type="dxa"/>
            <w:vMerge/>
            <w:tcBorders>
              <w:left w:val="single" w:sz="4" w:space="0" w:color="auto"/>
              <w:right w:val="single" w:sz="4" w:space="0" w:color="auto"/>
            </w:tcBorders>
            <w:vAlign w:val="center"/>
          </w:tcPr>
          <w:p w14:paraId="6392A14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1276" w:type="dxa"/>
            <w:tcBorders>
              <w:left w:val="single" w:sz="4" w:space="0" w:color="auto"/>
            </w:tcBorders>
            <w:vAlign w:val="center"/>
          </w:tcPr>
          <w:p w14:paraId="0B42E29D"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 xml:space="preserve">Nawrót sprę-żysty w </w:t>
            </w:r>
            <w:smartTag w:uri="urn:schemas-microsoft-com:office:smarttags" w:element="metricconverter">
              <w:smartTagPr>
                <w:attr w:name="ProductID" w:val="10ﾰC"/>
              </w:smartTagPr>
              <w:r w:rsidRPr="006431C4">
                <w:rPr>
                  <w:rFonts w:cs="Arial"/>
                  <w:szCs w:val="20"/>
                </w:rPr>
                <w:t>10°C</w:t>
              </w:r>
            </w:smartTag>
            <w:r w:rsidRPr="006431C4">
              <w:rPr>
                <w:rFonts w:cs="Arial"/>
                <w:szCs w:val="20"/>
              </w:rPr>
              <w:t xml:space="preserve"> po starzeniu wg PN-EN 12607-1  </w:t>
            </w:r>
            <w:r w:rsidRPr="006431C4">
              <w:rPr>
                <w:rFonts w:cs="Arial"/>
                <w:szCs w:val="20"/>
              </w:rPr>
              <w:lastRenderedPageBreak/>
              <w:t>[30]</w:t>
            </w:r>
          </w:p>
        </w:tc>
        <w:tc>
          <w:tcPr>
            <w:tcW w:w="850" w:type="dxa"/>
            <w:vMerge/>
            <w:vAlign w:val="center"/>
          </w:tcPr>
          <w:p w14:paraId="1FFC5A2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851" w:type="dxa"/>
            <w:vMerge/>
            <w:vAlign w:val="center"/>
          </w:tcPr>
          <w:p w14:paraId="2F1A8D9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850" w:type="dxa"/>
            <w:vAlign w:val="center"/>
          </w:tcPr>
          <w:p w14:paraId="28B5A48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9" w:type="dxa"/>
            <w:vAlign w:val="center"/>
          </w:tcPr>
          <w:p w14:paraId="5B75B95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4E551B5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NR</w:t>
            </w:r>
            <w:r w:rsidRPr="006431C4">
              <w:rPr>
                <w:rFonts w:cs="Arial"/>
                <w:szCs w:val="20"/>
                <w:vertAlign w:val="superscript"/>
              </w:rPr>
              <w:t>a</w:t>
            </w:r>
          </w:p>
        </w:tc>
        <w:tc>
          <w:tcPr>
            <w:tcW w:w="708" w:type="dxa"/>
            <w:vAlign w:val="center"/>
          </w:tcPr>
          <w:p w14:paraId="3206004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2B4504A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TBR</w:t>
            </w:r>
            <w:r w:rsidRPr="006431C4">
              <w:rPr>
                <w:rFonts w:cs="Arial"/>
                <w:szCs w:val="20"/>
                <w:vertAlign w:val="superscript"/>
              </w:rPr>
              <w:t>b</w:t>
            </w:r>
          </w:p>
        </w:tc>
        <w:tc>
          <w:tcPr>
            <w:tcW w:w="709" w:type="dxa"/>
            <w:vAlign w:val="center"/>
          </w:tcPr>
          <w:p w14:paraId="11CF326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3DF02614" w14:textId="77777777" w:rsidTr="00CF11BE">
        <w:trPr>
          <w:trHeight w:val="558"/>
        </w:trPr>
        <w:tc>
          <w:tcPr>
            <w:tcW w:w="10003" w:type="dxa"/>
            <w:gridSpan w:val="10"/>
          </w:tcPr>
          <w:p w14:paraId="4EC7484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lang w:val="en-US"/>
              </w:rPr>
            </w:pPr>
            <w:r w:rsidRPr="006431C4">
              <w:rPr>
                <w:rFonts w:cs="Arial"/>
                <w:szCs w:val="20"/>
                <w:vertAlign w:val="superscript"/>
                <w:lang w:val="en-US"/>
              </w:rPr>
              <w:t>a</w:t>
            </w:r>
            <w:r w:rsidRPr="006431C4">
              <w:rPr>
                <w:rFonts w:cs="Arial"/>
                <w:szCs w:val="20"/>
                <w:lang w:val="en-US"/>
              </w:rPr>
              <w:t xml:space="preserve"> NR – No Requirements (brak wymagań)</w:t>
            </w:r>
          </w:p>
          <w:p w14:paraId="4E2D610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vertAlign w:val="superscript"/>
              </w:rPr>
              <w:t>b</w:t>
            </w:r>
            <w:r w:rsidRPr="006431C4">
              <w:rPr>
                <w:rFonts w:cs="Arial"/>
                <w:szCs w:val="20"/>
              </w:rPr>
              <w:t xml:space="preserve"> TBR – To Be Reported (do zadeklarowania)</w:t>
            </w:r>
          </w:p>
        </w:tc>
      </w:tr>
    </w:tbl>
    <w:p w14:paraId="40F1B39E" w14:textId="77777777" w:rsidR="00CF11BE" w:rsidRPr="006431C4" w:rsidRDefault="00CF11BE" w:rsidP="00CF11BE">
      <w:pPr>
        <w:overflowPunct w:val="0"/>
        <w:autoSpaceDE w:val="0"/>
        <w:autoSpaceDN w:val="0"/>
        <w:adjustRightInd w:val="0"/>
        <w:spacing w:line="240" w:lineRule="auto"/>
        <w:ind w:left="993" w:hanging="993"/>
        <w:jc w:val="both"/>
        <w:textAlignment w:val="baseline"/>
        <w:rPr>
          <w:rFonts w:cs="Arial"/>
          <w:szCs w:val="20"/>
        </w:rPr>
      </w:pPr>
    </w:p>
    <w:p w14:paraId="138492E3" w14:textId="77777777" w:rsidR="00CF11BE" w:rsidRPr="006431C4" w:rsidRDefault="00CF11BE" w:rsidP="00CF11BE">
      <w:pPr>
        <w:overflowPunct w:val="0"/>
        <w:autoSpaceDE w:val="0"/>
        <w:autoSpaceDN w:val="0"/>
        <w:adjustRightInd w:val="0"/>
        <w:spacing w:line="240" w:lineRule="auto"/>
        <w:ind w:left="993" w:hanging="993"/>
        <w:jc w:val="both"/>
        <w:textAlignment w:val="baseline"/>
        <w:rPr>
          <w:rFonts w:cs="Arial"/>
          <w:szCs w:val="20"/>
        </w:rPr>
      </w:pPr>
      <w:r w:rsidRPr="006431C4">
        <w:rPr>
          <w:rFonts w:cs="Arial"/>
          <w:szCs w:val="20"/>
        </w:rPr>
        <w:t>Tablica 5.</w:t>
      </w:r>
      <w:r w:rsidRPr="006431C4">
        <w:rPr>
          <w:rFonts w:cs="Arial"/>
          <w:szCs w:val="20"/>
        </w:rPr>
        <w:tab/>
        <w:t>Wymagania wobec asfaltu MG 50/70-54/64 wg PN-EN 13924-2:2014- 04/Ap1 i Ap2 [63a]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705"/>
        <w:gridCol w:w="1200"/>
        <w:gridCol w:w="2458"/>
        <w:gridCol w:w="1376"/>
        <w:gridCol w:w="997"/>
      </w:tblGrid>
      <w:tr w:rsidR="00CF11BE" w:rsidRPr="006431C4" w14:paraId="49233820" w14:textId="77777777" w:rsidTr="00CF11BE">
        <w:tc>
          <w:tcPr>
            <w:tcW w:w="543" w:type="dxa"/>
            <w:vMerge w:val="restart"/>
            <w:vAlign w:val="center"/>
          </w:tcPr>
          <w:p w14:paraId="6003C3D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3705" w:type="dxa"/>
            <w:vMerge w:val="restart"/>
            <w:vAlign w:val="center"/>
          </w:tcPr>
          <w:p w14:paraId="0B7BE8F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w:t>
            </w:r>
          </w:p>
        </w:tc>
        <w:tc>
          <w:tcPr>
            <w:tcW w:w="1200" w:type="dxa"/>
            <w:vMerge w:val="restart"/>
            <w:vAlign w:val="center"/>
          </w:tcPr>
          <w:p w14:paraId="2BA6175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Jednostka</w:t>
            </w:r>
          </w:p>
        </w:tc>
        <w:tc>
          <w:tcPr>
            <w:tcW w:w="2458" w:type="dxa"/>
            <w:vMerge w:val="restart"/>
            <w:vAlign w:val="center"/>
          </w:tcPr>
          <w:p w14:paraId="1DDB226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w:t>
            </w:r>
          </w:p>
          <w:p w14:paraId="7AC2A3A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badania</w:t>
            </w:r>
          </w:p>
        </w:tc>
        <w:tc>
          <w:tcPr>
            <w:tcW w:w="2373" w:type="dxa"/>
            <w:gridSpan w:val="2"/>
            <w:vAlign w:val="center"/>
          </w:tcPr>
          <w:p w14:paraId="180E05C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asfalt</w:t>
            </w:r>
          </w:p>
          <w:p w14:paraId="6D008CB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MG 50/70-54/64</w:t>
            </w:r>
          </w:p>
        </w:tc>
      </w:tr>
      <w:tr w:rsidR="00CF11BE" w:rsidRPr="006431C4" w14:paraId="45645D10" w14:textId="77777777" w:rsidTr="00CF11BE">
        <w:tc>
          <w:tcPr>
            <w:tcW w:w="543" w:type="dxa"/>
            <w:vMerge/>
            <w:vAlign w:val="center"/>
          </w:tcPr>
          <w:p w14:paraId="672CEFF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3705" w:type="dxa"/>
            <w:vMerge/>
            <w:vAlign w:val="center"/>
          </w:tcPr>
          <w:p w14:paraId="41FF272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200" w:type="dxa"/>
            <w:vMerge/>
            <w:vAlign w:val="center"/>
          </w:tcPr>
          <w:p w14:paraId="748EF5F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2458" w:type="dxa"/>
            <w:vMerge/>
            <w:vAlign w:val="center"/>
          </w:tcPr>
          <w:p w14:paraId="2B7FC26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376" w:type="dxa"/>
            <w:vAlign w:val="center"/>
          </w:tcPr>
          <w:p w14:paraId="5F52AF6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c>
          <w:tcPr>
            <w:tcW w:w="997" w:type="dxa"/>
            <w:vAlign w:val="center"/>
          </w:tcPr>
          <w:p w14:paraId="0220F50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Klasa</w:t>
            </w:r>
          </w:p>
        </w:tc>
      </w:tr>
      <w:tr w:rsidR="00CF11BE" w:rsidRPr="006431C4" w14:paraId="2137B2AD" w14:textId="77777777" w:rsidTr="00CF11BE">
        <w:tc>
          <w:tcPr>
            <w:tcW w:w="543" w:type="dxa"/>
          </w:tcPr>
          <w:p w14:paraId="36531B0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3705" w:type="dxa"/>
          </w:tcPr>
          <w:p w14:paraId="2D4017A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Penetracja w </w:t>
            </w:r>
            <w:smartTag w:uri="urn:schemas-microsoft-com:office:smarttags" w:element="metricconverter">
              <w:smartTagPr>
                <w:attr w:name="ProductID" w:val="25ﾰC"/>
              </w:smartTagPr>
              <w:r w:rsidRPr="006431C4">
                <w:rPr>
                  <w:rFonts w:cs="Arial"/>
                  <w:szCs w:val="20"/>
                </w:rPr>
                <w:t>25°C</w:t>
              </w:r>
            </w:smartTag>
          </w:p>
        </w:tc>
        <w:tc>
          <w:tcPr>
            <w:tcW w:w="1200" w:type="dxa"/>
            <w:vAlign w:val="center"/>
          </w:tcPr>
          <w:p w14:paraId="0ED8728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smartTag w:uri="urn:schemas-microsoft-com:office:smarttags" w:element="metricconverter">
              <w:smartTagPr>
                <w:attr w:name="ProductID" w:val="0,1 mm"/>
              </w:smartTagPr>
              <w:r w:rsidRPr="006431C4">
                <w:rPr>
                  <w:rFonts w:cs="Arial"/>
                  <w:szCs w:val="20"/>
                </w:rPr>
                <w:t>0,1 mm</w:t>
              </w:r>
            </w:smartTag>
          </w:p>
        </w:tc>
        <w:tc>
          <w:tcPr>
            <w:tcW w:w="2458" w:type="dxa"/>
            <w:vAlign w:val="center"/>
          </w:tcPr>
          <w:p w14:paraId="20AD9CF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[21]</w:t>
            </w:r>
          </w:p>
        </w:tc>
        <w:tc>
          <w:tcPr>
            <w:tcW w:w="1376" w:type="dxa"/>
            <w:vAlign w:val="center"/>
          </w:tcPr>
          <w:p w14:paraId="3F6BDBB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50÷70</w:t>
            </w:r>
          </w:p>
        </w:tc>
        <w:tc>
          <w:tcPr>
            <w:tcW w:w="997" w:type="dxa"/>
          </w:tcPr>
          <w:p w14:paraId="27D7E9F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r>
      <w:tr w:rsidR="00CF11BE" w:rsidRPr="006431C4" w14:paraId="23BC5142" w14:textId="77777777" w:rsidTr="00CF11BE">
        <w:tc>
          <w:tcPr>
            <w:tcW w:w="543" w:type="dxa"/>
          </w:tcPr>
          <w:p w14:paraId="70CE59A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3705" w:type="dxa"/>
          </w:tcPr>
          <w:p w14:paraId="3753695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w:t>
            </w:r>
          </w:p>
        </w:tc>
        <w:tc>
          <w:tcPr>
            <w:tcW w:w="1200" w:type="dxa"/>
            <w:vAlign w:val="center"/>
          </w:tcPr>
          <w:p w14:paraId="15FBFAB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458" w:type="dxa"/>
            <w:vAlign w:val="center"/>
          </w:tcPr>
          <w:p w14:paraId="7ECDA0A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1376" w:type="dxa"/>
            <w:vAlign w:val="center"/>
          </w:tcPr>
          <w:p w14:paraId="319941F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54÷64</w:t>
            </w:r>
          </w:p>
        </w:tc>
        <w:tc>
          <w:tcPr>
            <w:tcW w:w="997" w:type="dxa"/>
          </w:tcPr>
          <w:p w14:paraId="5F859BF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CF11BE" w:rsidRPr="006431C4" w14:paraId="1BFBC19C" w14:textId="77777777" w:rsidTr="00CF11BE">
        <w:tc>
          <w:tcPr>
            <w:tcW w:w="543" w:type="dxa"/>
          </w:tcPr>
          <w:p w14:paraId="0A86094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3705" w:type="dxa"/>
          </w:tcPr>
          <w:p w14:paraId="531D9F8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Indeks penetracji</w:t>
            </w:r>
          </w:p>
        </w:tc>
        <w:tc>
          <w:tcPr>
            <w:tcW w:w="1200" w:type="dxa"/>
            <w:vAlign w:val="center"/>
          </w:tcPr>
          <w:p w14:paraId="327E28F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458" w:type="dxa"/>
            <w:vAlign w:val="center"/>
          </w:tcPr>
          <w:p w14:paraId="2CF5FED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13924-2 [63]</w:t>
            </w:r>
          </w:p>
        </w:tc>
        <w:tc>
          <w:tcPr>
            <w:tcW w:w="1376" w:type="dxa"/>
            <w:vAlign w:val="center"/>
          </w:tcPr>
          <w:p w14:paraId="743E750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+0,3 do +2,0</w:t>
            </w:r>
          </w:p>
        </w:tc>
        <w:tc>
          <w:tcPr>
            <w:tcW w:w="997" w:type="dxa"/>
          </w:tcPr>
          <w:p w14:paraId="1B1BFE6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CF11BE" w:rsidRPr="006431C4" w14:paraId="02EE3826" w14:textId="77777777" w:rsidTr="00CF11BE">
        <w:tc>
          <w:tcPr>
            <w:tcW w:w="543" w:type="dxa"/>
          </w:tcPr>
          <w:p w14:paraId="243F51B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3705" w:type="dxa"/>
          </w:tcPr>
          <w:p w14:paraId="2C2FB83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zapłonu,</w:t>
            </w:r>
          </w:p>
        </w:tc>
        <w:tc>
          <w:tcPr>
            <w:tcW w:w="1200" w:type="dxa"/>
            <w:vAlign w:val="center"/>
          </w:tcPr>
          <w:p w14:paraId="3DBB202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458" w:type="dxa"/>
            <w:vAlign w:val="center"/>
          </w:tcPr>
          <w:p w14:paraId="4ECD298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ISO 2592 [68]</w:t>
            </w:r>
          </w:p>
        </w:tc>
        <w:tc>
          <w:tcPr>
            <w:tcW w:w="1376" w:type="dxa"/>
            <w:vAlign w:val="center"/>
          </w:tcPr>
          <w:p w14:paraId="2FBFAE3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250</w:t>
            </w:r>
          </w:p>
        </w:tc>
        <w:tc>
          <w:tcPr>
            <w:tcW w:w="997" w:type="dxa"/>
          </w:tcPr>
          <w:p w14:paraId="678C0D7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r>
      <w:tr w:rsidR="00CF11BE" w:rsidRPr="006431C4" w14:paraId="2DE694C8" w14:textId="77777777" w:rsidTr="00CF11BE">
        <w:tc>
          <w:tcPr>
            <w:tcW w:w="543" w:type="dxa"/>
          </w:tcPr>
          <w:p w14:paraId="07ECC51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3705" w:type="dxa"/>
          </w:tcPr>
          <w:p w14:paraId="21513762"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Rozpuszczalność</w:t>
            </w:r>
          </w:p>
        </w:tc>
        <w:tc>
          <w:tcPr>
            <w:tcW w:w="1200" w:type="dxa"/>
            <w:vAlign w:val="center"/>
          </w:tcPr>
          <w:p w14:paraId="43C66E0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458" w:type="dxa"/>
            <w:vAlign w:val="center"/>
          </w:tcPr>
          <w:p w14:paraId="2E77DF6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12592 [25]</w:t>
            </w:r>
          </w:p>
        </w:tc>
        <w:tc>
          <w:tcPr>
            <w:tcW w:w="1376" w:type="dxa"/>
            <w:vAlign w:val="center"/>
          </w:tcPr>
          <w:p w14:paraId="47C2D80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99,0</w:t>
            </w:r>
          </w:p>
        </w:tc>
        <w:tc>
          <w:tcPr>
            <w:tcW w:w="997" w:type="dxa"/>
          </w:tcPr>
          <w:p w14:paraId="18E5407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CF11BE" w:rsidRPr="006431C4" w14:paraId="1FFD43A0" w14:textId="77777777" w:rsidTr="00CF11BE">
        <w:tc>
          <w:tcPr>
            <w:tcW w:w="543" w:type="dxa"/>
          </w:tcPr>
          <w:p w14:paraId="01E6930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3705" w:type="dxa"/>
          </w:tcPr>
          <w:p w14:paraId="05A41DC3"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Temperatura łamliwości Fraassa</w:t>
            </w:r>
          </w:p>
        </w:tc>
        <w:tc>
          <w:tcPr>
            <w:tcW w:w="1200" w:type="dxa"/>
            <w:vAlign w:val="center"/>
          </w:tcPr>
          <w:p w14:paraId="041672A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458" w:type="dxa"/>
            <w:vAlign w:val="center"/>
          </w:tcPr>
          <w:p w14:paraId="6C3811B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12593 [26]</w:t>
            </w:r>
          </w:p>
        </w:tc>
        <w:tc>
          <w:tcPr>
            <w:tcW w:w="1376" w:type="dxa"/>
            <w:vAlign w:val="center"/>
          </w:tcPr>
          <w:p w14:paraId="3E0DAEB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-17</w:t>
            </w:r>
          </w:p>
        </w:tc>
        <w:tc>
          <w:tcPr>
            <w:tcW w:w="997" w:type="dxa"/>
          </w:tcPr>
          <w:p w14:paraId="2DF4B62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r>
      <w:tr w:rsidR="00CF11BE" w:rsidRPr="006431C4" w14:paraId="3FA5701F" w14:textId="77777777" w:rsidTr="00CF11BE">
        <w:tc>
          <w:tcPr>
            <w:tcW w:w="543" w:type="dxa"/>
          </w:tcPr>
          <w:p w14:paraId="521806D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3705" w:type="dxa"/>
          </w:tcPr>
          <w:p w14:paraId="7ECB95BC"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Lepkość dynamiczna w 60°C</w:t>
            </w:r>
          </w:p>
        </w:tc>
        <w:tc>
          <w:tcPr>
            <w:tcW w:w="1200" w:type="dxa"/>
            <w:vAlign w:val="center"/>
          </w:tcPr>
          <w:p w14:paraId="633C448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Pa∙s</w:t>
            </w:r>
          </w:p>
        </w:tc>
        <w:tc>
          <w:tcPr>
            <w:tcW w:w="2458" w:type="dxa"/>
            <w:vAlign w:val="center"/>
          </w:tcPr>
          <w:p w14:paraId="1A1D08C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12596 [28]</w:t>
            </w:r>
          </w:p>
        </w:tc>
        <w:tc>
          <w:tcPr>
            <w:tcW w:w="1376" w:type="dxa"/>
            <w:vAlign w:val="center"/>
          </w:tcPr>
          <w:p w14:paraId="66E6235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900</w:t>
            </w:r>
          </w:p>
        </w:tc>
        <w:tc>
          <w:tcPr>
            <w:tcW w:w="997" w:type="dxa"/>
          </w:tcPr>
          <w:p w14:paraId="25E790A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r>
      <w:tr w:rsidR="00CF11BE" w:rsidRPr="006431C4" w14:paraId="0E71C1CA" w14:textId="77777777" w:rsidTr="00CF11BE">
        <w:tc>
          <w:tcPr>
            <w:tcW w:w="543" w:type="dxa"/>
          </w:tcPr>
          <w:p w14:paraId="48CB2F1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3705" w:type="dxa"/>
          </w:tcPr>
          <w:p w14:paraId="35DACA1E"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Lepkość kinematyczna w 135°C</w:t>
            </w:r>
          </w:p>
        </w:tc>
        <w:tc>
          <w:tcPr>
            <w:tcW w:w="1200" w:type="dxa"/>
            <w:vAlign w:val="center"/>
          </w:tcPr>
          <w:p w14:paraId="2588BA4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mm</w:t>
            </w:r>
            <w:r w:rsidRPr="006431C4">
              <w:rPr>
                <w:rFonts w:cs="Arial"/>
                <w:szCs w:val="20"/>
                <w:vertAlign w:val="superscript"/>
              </w:rPr>
              <w:t>2</w:t>
            </w:r>
            <w:r w:rsidRPr="006431C4">
              <w:rPr>
                <w:rFonts w:cs="Arial"/>
                <w:szCs w:val="20"/>
              </w:rPr>
              <w:t>/s</w:t>
            </w:r>
          </w:p>
        </w:tc>
        <w:tc>
          <w:tcPr>
            <w:tcW w:w="2458" w:type="dxa"/>
            <w:vAlign w:val="center"/>
          </w:tcPr>
          <w:p w14:paraId="095F771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12595 [27]</w:t>
            </w:r>
          </w:p>
        </w:tc>
        <w:tc>
          <w:tcPr>
            <w:tcW w:w="1376" w:type="dxa"/>
            <w:vAlign w:val="center"/>
          </w:tcPr>
          <w:p w14:paraId="2E6938E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c>
          <w:tcPr>
            <w:tcW w:w="997" w:type="dxa"/>
          </w:tcPr>
          <w:p w14:paraId="15B9A81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r w:rsidR="00CF11BE" w:rsidRPr="006431C4" w14:paraId="00E9C460" w14:textId="77777777" w:rsidTr="00CF11BE">
        <w:tc>
          <w:tcPr>
            <w:tcW w:w="9282" w:type="dxa"/>
            <w:gridSpan w:val="5"/>
          </w:tcPr>
          <w:p w14:paraId="3D24108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po starzeniu</w:t>
            </w:r>
          </w:p>
        </w:tc>
        <w:tc>
          <w:tcPr>
            <w:tcW w:w="997" w:type="dxa"/>
          </w:tcPr>
          <w:p w14:paraId="2B9B53C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r>
      <w:tr w:rsidR="00CF11BE" w:rsidRPr="006431C4" w14:paraId="0D18196C" w14:textId="77777777" w:rsidTr="00CF11BE">
        <w:tc>
          <w:tcPr>
            <w:tcW w:w="543" w:type="dxa"/>
          </w:tcPr>
          <w:p w14:paraId="231F4A8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3705" w:type="dxa"/>
          </w:tcPr>
          <w:p w14:paraId="0279F01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Pozostała penetracja po starzeniu</w:t>
            </w:r>
          </w:p>
        </w:tc>
        <w:tc>
          <w:tcPr>
            <w:tcW w:w="1200" w:type="dxa"/>
            <w:vAlign w:val="center"/>
          </w:tcPr>
          <w:p w14:paraId="1AFD3ED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458" w:type="dxa"/>
            <w:vAlign w:val="center"/>
          </w:tcPr>
          <w:p w14:paraId="005FDBE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[21]</w:t>
            </w:r>
          </w:p>
        </w:tc>
        <w:tc>
          <w:tcPr>
            <w:tcW w:w="1376" w:type="dxa"/>
            <w:vAlign w:val="center"/>
          </w:tcPr>
          <w:p w14:paraId="78847C2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50</w:t>
            </w:r>
          </w:p>
        </w:tc>
        <w:tc>
          <w:tcPr>
            <w:tcW w:w="997" w:type="dxa"/>
          </w:tcPr>
          <w:p w14:paraId="0D9AF79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CF11BE" w:rsidRPr="006431C4" w14:paraId="2EA53C7E" w14:textId="77777777" w:rsidTr="00CF11BE">
        <w:tc>
          <w:tcPr>
            <w:tcW w:w="543" w:type="dxa"/>
          </w:tcPr>
          <w:p w14:paraId="7093E9F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3705" w:type="dxa"/>
          </w:tcPr>
          <w:p w14:paraId="7584CA7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Wzrost temp. mięknienia po starzeniu</w:t>
            </w:r>
          </w:p>
        </w:tc>
        <w:tc>
          <w:tcPr>
            <w:tcW w:w="1200" w:type="dxa"/>
            <w:vAlign w:val="center"/>
          </w:tcPr>
          <w:p w14:paraId="0257B6D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458" w:type="dxa"/>
            <w:vAlign w:val="center"/>
          </w:tcPr>
          <w:p w14:paraId="7A0ECCF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1376" w:type="dxa"/>
            <w:vAlign w:val="center"/>
          </w:tcPr>
          <w:p w14:paraId="24DB198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10</w:t>
            </w:r>
          </w:p>
        </w:tc>
        <w:tc>
          <w:tcPr>
            <w:tcW w:w="997" w:type="dxa"/>
          </w:tcPr>
          <w:p w14:paraId="046EEDC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CF11BE" w:rsidRPr="006431C4" w14:paraId="1DD4E1B3" w14:textId="77777777" w:rsidTr="00CF11BE">
        <w:tc>
          <w:tcPr>
            <w:tcW w:w="543" w:type="dxa"/>
          </w:tcPr>
          <w:p w14:paraId="140E8D0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11</w:t>
            </w:r>
          </w:p>
        </w:tc>
        <w:tc>
          <w:tcPr>
            <w:tcW w:w="3705" w:type="dxa"/>
          </w:tcPr>
          <w:p w14:paraId="0D445A6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Zmiana masy po starzeniu</w:t>
            </w:r>
          </w:p>
        </w:tc>
        <w:tc>
          <w:tcPr>
            <w:tcW w:w="1200" w:type="dxa"/>
            <w:vAlign w:val="center"/>
          </w:tcPr>
          <w:p w14:paraId="124CB84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458" w:type="dxa"/>
            <w:vAlign w:val="center"/>
          </w:tcPr>
          <w:p w14:paraId="2446184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12607-1[30]</w:t>
            </w:r>
          </w:p>
        </w:tc>
        <w:tc>
          <w:tcPr>
            <w:tcW w:w="1376" w:type="dxa"/>
            <w:vAlign w:val="center"/>
          </w:tcPr>
          <w:p w14:paraId="301DC37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&lt; 0,5</w:t>
            </w:r>
          </w:p>
        </w:tc>
        <w:tc>
          <w:tcPr>
            <w:tcW w:w="997" w:type="dxa"/>
          </w:tcPr>
          <w:p w14:paraId="00DF9E9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bl>
    <w:p w14:paraId="0AE362C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5050331B" w14:textId="77777777" w:rsidR="00CF11BE" w:rsidRPr="006431C4" w:rsidRDefault="00CF11BE" w:rsidP="00CF11BE">
      <w:pPr>
        <w:overflowPunct w:val="0"/>
        <w:autoSpaceDE w:val="0"/>
        <w:autoSpaceDN w:val="0"/>
        <w:adjustRightInd w:val="0"/>
        <w:spacing w:line="240" w:lineRule="auto"/>
        <w:ind w:left="993" w:hanging="993"/>
        <w:jc w:val="both"/>
        <w:textAlignment w:val="baseline"/>
        <w:rPr>
          <w:rFonts w:cs="Arial"/>
          <w:szCs w:val="20"/>
        </w:rPr>
      </w:pPr>
    </w:p>
    <w:p w14:paraId="2FC582B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6431C4">
          <w:rPr>
            <w:rFonts w:cs="Arial"/>
            <w:szCs w:val="20"/>
          </w:rPr>
          <w:t>5°C</w:t>
        </w:r>
      </w:smartTag>
      <w:r w:rsidRPr="006431C4">
        <w:rPr>
          <w:rFonts w:cs="Arial"/>
          <w:szCs w:val="20"/>
        </w:rPr>
        <w:t xml:space="preserve"> oraz układ cyrkulacji asfaltu.</w:t>
      </w:r>
    </w:p>
    <w:p w14:paraId="473477D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6431C4">
          <w:rPr>
            <w:rFonts w:cs="Arial"/>
            <w:szCs w:val="20"/>
          </w:rPr>
          <w:t>5°C</w:t>
        </w:r>
      </w:smartTag>
      <w:r w:rsidRPr="006431C4">
        <w:rPr>
          <w:rFonts w:cs="Arial"/>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42E6CA13"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Temperatura lepiszcza asfaltowego w zbiorniku magazynowym (roboczym) nie powinna przekraczać w okresie krótkotrwałym, nie dłuższym niż 5 dni,  poniższych wartości:</w:t>
      </w:r>
    </w:p>
    <w:p w14:paraId="2AE3199D" w14:textId="77777777" w:rsidR="00CF11BE" w:rsidRPr="006431C4" w:rsidRDefault="00CF11BE" w:rsidP="00CF1E7D">
      <w:pPr>
        <w:numPr>
          <w:ilvl w:val="0"/>
          <w:numId w:val="148"/>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asfaltu drogowego 50/70 i 70/100: 180°C,</w:t>
      </w:r>
    </w:p>
    <w:p w14:paraId="655A664A" w14:textId="77777777" w:rsidR="00CF11BE" w:rsidRPr="006431C4" w:rsidRDefault="00CF11BE" w:rsidP="00CF1E7D">
      <w:pPr>
        <w:numPr>
          <w:ilvl w:val="0"/>
          <w:numId w:val="148"/>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polimeroasfaltu: wg wskazań producenta,</w:t>
      </w:r>
    </w:p>
    <w:p w14:paraId="5812FEF2" w14:textId="77777777" w:rsidR="00CF11BE" w:rsidRPr="006431C4" w:rsidRDefault="00CF11BE" w:rsidP="00CF1E7D">
      <w:pPr>
        <w:numPr>
          <w:ilvl w:val="0"/>
          <w:numId w:val="148"/>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asfaltu drogowego wielorodzajowego: wg wskazań producenta.</w:t>
      </w:r>
    </w:p>
    <w:p w14:paraId="6BCB707D"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2.3. Kruszywo </w:t>
      </w:r>
    </w:p>
    <w:p w14:paraId="76A75EC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Do warstwy ścieralnej z betonu asfaltowego należy stosować kruszywo według PN-EN 13043 [49] i WT-1 Kruszywa 2014 [79], obejmujące kruszywo grube, kruszywo drobne  i wypełniacz. </w:t>
      </w:r>
    </w:p>
    <w:p w14:paraId="0DECADD3"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mieszance mineralno-asfaltowej jako kruszywo drobne należy stosować mieszankę kruszywa łamanego i niełamanego dla KR1÷KR2 lub kruszywo łamane w 100% (dla kategorii KR3 do KR6 nie dopuszcza się stosowania kruszywa niełamanego drobnego).</w:t>
      </w:r>
    </w:p>
    <w:p w14:paraId="4BD538EA"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stosowana jest mieszanka kruszywa drobnego niełamanego i łamanego, to należy przyjąć proporcje kruszywa łamanego do niełamanego co najmniej 50/50.</w:t>
      </w:r>
    </w:p>
    <w:p w14:paraId="4DF54ADD"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Nie dopuszcza się użycia granulatu asfaltowego w warstwie ścieralnej. </w:t>
      </w:r>
    </w:p>
    <w:p w14:paraId="5645E2AA"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Kruszywa powinny spełniać wymagania podane w WT-1 Kruszywa 2014 [79]  wg tablic poniżej.</w:t>
      </w:r>
    </w:p>
    <w:p w14:paraId="5215808E"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p>
    <w:p w14:paraId="1DF19789" w14:textId="77777777" w:rsidR="00CF11BE" w:rsidRPr="006431C4" w:rsidRDefault="00CF11BE" w:rsidP="00CF11BE">
      <w:pPr>
        <w:overflowPunct w:val="0"/>
        <w:autoSpaceDE w:val="0"/>
        <w:autoSpaceDN w:val="0"/>
        <w:adjustRightInd w:val="0"/>
        <w:spacing w:line="240" w:lineRule="auto"/>
        <w:ind w:left="1200" w:hanging="1200"/>
        <w:jc w:val="both"/>
        <w:textAlignment w:val="baseline"/>
        <w:rPr>
          <w:rFonts w:cs="Arial"/>
          <w:szCs w:val="20"/>
        </w:rPr>
      </w:pPr>
      <w:r w:rsidRPr="006431C4">
        <w:rPr>
          <w:rFonts w:cs="Arial"/>
          <w:szCs w:val="20"/>
        </w:rPr>
        <w:t>Tablica 6. Wymagane właściwości kruszywa grubego do warstwy ścieralnej z betonu asfaltowego</w:t>
      </w:r>
    </w:p>
    <w:tbl>
      <w:tblPr>
        <w:tblW w:w="10631"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5698"/>
        <w:gridCol w:w="1417"/>
        <w:gridCol w:w="1418"/>
        <w:gridCol w:w="1552"/>
      </w:tblGrid>
      <w:tr w:rsidR="00CF11BE" w:rsidRPr="006431C4" w14:paraId="2E8247A7" w14:textId="77777777" w:rsidTr="00CF11BE">
        <w:tc>
          <w:tcPr>
            <w:tcW w:w="546" w:type="dxa"/>
            <w:vAlign w:val="center"/>
          </w:tcPr>
          <w:p w14:paraId="584F355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5698" w:type="dxa"/>
            <w:vAlign w:val="center"/>
          </w:tcPr>
          <w:p w14:paraId="71BE2AE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kruszywa</w:t>
            </w:r>
          </w:p>
        </w:tc>
        <w:tc>
          <w:tcPr>
            <w:tcW w:w="1417" w:type="dxa"/>
            <w:vAlign w:val="center"/>
          </w:tcPr>
          <w:p w14:paraId="27802FF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KR1÷KR2</w:t>
            </w:r>
          </w:p>
        </w:tc>
        <w:tc>
          <w:tcPr>
            <w:tcW w:w="1418" w:type="dxa"/>
            <w:vAlign w:val="center"/>
          </w:tcPr>
          <w:p w14:paraId="7BBCE6F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KR3÷KR4</w:t>
            </w:r>
          </w:p>
        </w:tc>
        <w:tc>
          <w:tcPr>
            <w:tcW w:w="1552" w:type="dxa"/>
          </w:tcPr>
          <w:p w14:paraId="18F5F34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KR5÷KR6</w:t>
            </w:r>
          </w:p>
        </w:tc>
      </w:tr>
      <w:tr w:rsidR="00CF11BE" w:rsidRPr="006431C4" w14:paraId="4351DA6E" w14:textId="77777777" w:rsidTr="00CF11BE">
        <w:tc>
          <w:tcPr>
            <w:tcW w:w="546" w:type="dxa"/>
          </w:tcPr>
          <w:p w14:paraId="5703A43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1</w:t>
            </w:r>
          </w:p>
        </w:tc>
        <w:tc>
          <w:tcPr>
            <w:tcW w:w="5698" w:type="dxa"/>
            <w:vAlign w:val="center"/>
          </w:tcPr>
          <w:p w14:paraId="41C09871"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Uziarnienie według PN-EN 933-1[6]; kategoria nie niższa niż:</w:t>
            </w:r>
          </w:p>
        </w:tc>
        <w:tc>
          <w:tcPr>
            <w:tcW w:w="1417" w:type="dxa"/>
            <w:vAlign w:val="center"/>
          </w:tcPr>
          <w:p w14:paraId="14A5108E"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vertAlign w:val="superscript"/>
              </w:rPr>
            </w:pPr>
            <w:r w:rsidRPr="006431C4">
              <w:rPr>
                <w:rFonts w:cs="Arial"/>
                <w:szCs w:val="20"/>
              </w:rPr>
              <w:t>G</w:t>
            </w:r>
            <w:r w:rsidRPr="006431C4">
              <w:rPr>
                <w:rFonts w:cs="Arial"/>
                <w:szCs w:val="20"/>
                <w:vertAlign w:val="subscript"/>
              </w:rPr>
              <w:t>C</w:t>
            </w:r>
            <w:r w:rsidRPr="006431C4">
              <w:rPr>
                <w:rFonts w:cs="Arial"/>
                <w:szCs w:val="20"/>
              </w:rPr>
              <w:t>85/20</w:t>
            </w:r>
          </w:p>
        </w:tc>
        <w:tc>
          <w:tcPr>
            <w:tcW w:w="1418" w:type="dxa"/>
            <w:vAlign w:val="center"/>
          </w:tcPr>
          <w:p w14:paraId="1B78C179"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vertAlign w:val="superscript"/>
              </w:rPr>
            </w:pPr>
            <w:r w:rsidRPr="006431C4">
              <w:rPr>
                <w:rFonts w:cs="Arial"/>
                <w:szCs w:val="20"/>
              </w:rPr>
              <w:t>G</w:t>
            </w:r>
            <w:r w:rsidRPr="006431C4">
              <w:rPr>
                <w:rFonts w:cs="Arial"/>
                <w:szCs w:val="20"/>
                <w:vertAlign w:val="subscript"/>
              </w:rPr>
              <w:t>C</w:t>
            </w:r>
            <w:r w:rsidRPr="006431C4">
              <w:rPr>
                <w:rFonts w:cs="Arial"/>
                <w:szCs w:val="20"/>
              </w:rPr>
              <w:t>90/20</w:t>
            </w:r>
          </w:p>
        </w:tc>
        <w:tc>
          <w:tcPr>
            <w:tcW w:w="1552" w:type="dxa"/>
            <w:vAlign w:val="center"/>
          </w:tcPr>
          <w:p w14:paraId="02A3070B"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vertAlign w:val="superscript"/>
              </w:rPr>
            </w:pPr>
            <w:r w:rsidRPr="006431C4">
              <w:rPr>
                <w:rFonts w:cs="Arial"/>
                <w:szCs w:val="20"/>
              </w:rPr>
              <w:t>G</w:t>
            </w:r>
            <w:r w:rsidRPr="006431C4">
              <w:rPr>
                <w:rFonts w:cs="Arial"/>
                <w:szCs w:val="20"/>
                <w:vertAlign w:val="subscript"/>
              </w:rPr>
              <w:t>C</w:t>
            </w:r>
            <w:r w:rsidRPr="006431C4">
              <w:rPr>
                <w:rFonts w:cs="Arial"/>
                <w:szCs w:val="20"/>
              </w:rPr>
              <w:t>90/15</w:t>
            </w:r>
          </w:p>
        </w:tc>
      </w:tr>
      <w:tr w:rsidR="00CF11BE" w:rsidRPr="006431C4" w14:paraId="71A583B9" w14:textId="77777777" w:rsidTr="00CF11BE">
        <w:tc>
          <w:tcPr>
            <w:tcW w:w="546" w:type="dxa"/>
          </w:tcPr>
          <w:p w14:paraId="363598F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2</w:t>
            </w:r>
          </w:p>
        </w:tc>
        <w:tc>
          <w:tcPr>
            <w:tcW w:w="5698" w:type="dxa"/>
            <w:vAlign w:val="center"/>
          </w:tcPr>
          <w:p w14:paraId="4139EE88"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Tolerancja uziarnienia; odchylenia nie większe niż według kategorii:</w:t>
            </w:r>
          </w:p>
        </w:tc>
        <w:tc>
          <w:tcPr>
            <w:tcW w:w="1417" w:type="dxa"/>
          </w:tcPr>
          <w:p w14:paraId="6680B71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25/15</w:t>
            </w:r>
          </w:p>
          <w:p w14:paraId="72FCC57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20/15</w:t>
            </w:r>
          </w:p>
          <w:p w14:paraId="66307DCF"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szCs w:val="20"/>
              </w:rPr>
              <w:t>G</w:t>
            </w:r>
            <w:r w:rsidRPr="006431C4">
              <w:rPr>
                <w:rFonts w:cs="Arial"/>
                <w:szCs w:val="20"/>
                <w:vertAlign w:val="subscript"/>
              </w:rPr>
              <w:t>20/17,5</w:t>
            </w:r>
          </w:p>
        </w:tc>
        <w:tc>
          <w:tcPr>
            <w:tcW w:w="1418" w:type="dxa"/>
          </w:tcPr>
          <w:p w14:paraId="6D5759B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25/15</w:t>
            </w:r>
          </w:p>
          <w:p w14:paraId="4B19DAC9"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szCs w:val="20"/>
              </w:rPr>
              <w:t>G</w:t>
            </w:r>
            <w:r w:rsidRPr="006431C4">
              <w:rPr>
                <w:rFonts w:cs="Arial"/>
                <w:szCs w:val="20"/>
                <w:vertAlign w:val="subscript"/>
              </w:rPr>
              <w:t>20/15</w:t>
            </w:r>
          </w:p>
        </w:tc>
        <w:tc>
          <w:tcPr>
            <w:tcW w:w="1552" w:type="dxa"/>
            <w:vAlign w:val="center"/>
          </w:tcPr>
          <w:p w14:paraId="39EB1D1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25/15</w:t>
            </w:r>
          </w:p>
          <w:p w14:paraId="0BC72365"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szCs w:val="20"/>
              </w:rPr>
              <w:t>G</w:t>
            </w:r>
            <w:r w:rsidRPr="006431C4">
              <w:rPr>
                <w:rFonts w:cs="Arial"/>
                <w:szCs w:val="20"/>
                <w:vertAlign w:val="subscript"/>
              </w:rPr>
              <w:t>20/15</w:t>
            </w:r>
          </w:p>
        </w:tc>
      </w:tr>
      <w:tr w:rsidR="00CF11BE" w:rsidRPr="006431C4" w14:paraId="521D7E2F" w14:textId="77777777" w:rsidTr="00CF11BE">
        <w:tc>
          <w:tcPr>
            <w:tcW w:w="546" w:type="dxa"/>
          </w:tcPr>
          <w:p w14:paraId="75BB4C9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3</w:t>
            </w:r>
          </w:p>
        </w:tc>
        <w:tc>
          <w:tcPr>
            <w:tcW w:w="5698" w:type="dxa"/>
            <w:vAlign w:val="center"/>
          </w:tcPr>
          <w:p w14:paraId="2D76046A"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Zawartość pyłu według PN-EN 933-1[6]; kategoria nie wyższa niż:</w:t>
            </w:r>
          </w:p>
        </w:tc>
        <w:tc>
          <w:tcPr>
            <w:tcW w:w="1417" w:type="dxa"/>
          </w:tcPr>
          <w:p w14:paraId="23941BF8"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f</w:t>
            </w:r>
            <w:r w:rsidRPr="006431C4">
              <w:rPr>
                <w:rFonts w:cs="Arial"/>
                <w:szCs w:val="20"/>
                <w:vertAlign w:val="subscript"/>
              </w:rPr>
              <w:t>2</w:t>
            </w:r>
          </w:p>
        </w:tc>
        <w:tc>
          <w:tcPr>
            <w:tcW w:w="1418" w:type="dxa"/>
          </w:tcPr>
          <w:p w14:paraId="0401BB2F"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f</w:t>
            </w:r>
            <w:r w:rsidRPr="006431C4">
              <w:rPr>
                <w:rFonts w:cs="Arial"/>
                <w:szCs w:val="20"/>
                <w:vertAlign w:val="subscript"/>
              </w:rPr>
              <w:t>2</w:t>
            </w:r>
          </w:p>
        </w:tc>
        <w:tc>
          <w:tcPr>
            <w:tcW w:w="1552" w:type="dxa"/>
            <w:vAlign w:val="center"/>
          </w:tcPr>
          <w:p w14:paraId="5176B57E"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f</w:t>
            </w:r>
            <w:r w:rsidRPr="006431C4">
              <w:rPr>
                <w:rFonts w:cs="Arial"/>
                <w:szCs w:val="20"/>
                <w:vertAlign w:val="subscript"/>
              </w:rPr>
              <w:t>2</w:t>
            </w:r>
          </w:p>
        </w:tc>
      </w:tr>
      <w:tr w:rsidR="00CF11BE" w:rsidRPr="006431C4" w14:paraId="48EE74EB" w14:textId="77777777" w:rsidTr="00CF11BE">
        <w:tc>
          <w:tcPr>
            <w:tcW w:w="546" w:type="dxa"/>
          </w:tcPr>
          <w:p w14:paraId="507EC1F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4</w:t>
            </w:r>
          </w:p>
        </w:tc>
        <w:tc>
          <w:tcPr>
            <w:tcW w:w="5698" w:type="dxa"/>
            <w:vAlign w:val="center"/>
          </w:tcPr>
          <w:p w14:paraId="29E4FCD9"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Kształt kruszywa według PN-EN 933-3 [7] lub według PN-EN 933-4 [8]; kategoria nie wyższa niż:</w:t>
            </w:r>
          </w:p>
        </w:tc>
        <w:tc>
          <w:tcPr>
            <w:tcW w:w="1417" w:type="dxa"/>
          </w:tcPr>
          <w:p w14:paraId="50C4E6ED"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2CDBE0A0"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FI</w:t>
            </w:r>
            <w:r w:rsidRPr="006431C4">
              <w:rPr>
                <w:rFonts w:cs="Arial"/>
                <w:i/>
                <w:szCs w:val="20"/>
                <w:vertAlign w:val="subscript"/>
              </w:rPr>
              <w:t>25</w:t>
            </w:r>
            <w:r w:rsidRPr="006431C4">
              <w:rPr>
                <w:rFonts w:cs="Arial"/>
                <w:szCs w:val="20"/>
              </w:rPr>
              <w:t xml:space="preserve"> lub </w:t>
            </w:r>
            <w:r w:rsidRPr="006431C4">
              <w:rPr>
                <w:rFonts w:cs="Arial"/>
                <w:i/>
                <w:szCs w:val="20"/>
              </w:rPr>
              <w:t>SI</w:t>
            </w:r>
            <w:r w:rsidRPr="006431C4">
              <w:rPr>
                <w:rFonts w:cs="Arial"/>
                <w:i/>
                <w:szCs w:val="20"/>
                <w:vertAlign w:val="subscript"/>
              </w:rPr>
              <w:t>25</w:t>
            </w:r>
          </w:p>
        </w:tc>
        <w:tc>
          <w:tcPr>
            <w:tcW w:w="1418" w:type="dxa"/>
          </w:tcPr>
          <w:p w14:paraId="0A451B64"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183886D3"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FI</w:t>
            </w:r>
            <w:r w:rsidRPr="006431C4">
              <w:rPr>
                <w:rFonts w:cs="Arial"/>
                <w:i/>
                <w:szCs w:val="20"/>
                <w:vertAlign w:val="subscript"/>
              </w:rPr>
              <w:t>20</w:t>
            </w:r>
            <w:r w:rsidRPr="006431C4">
              <w:rPr>
                <w:rFonts w:cs="Arial"/>
                <w:szCs w:val="20"/>
              </w:rPr>
              <w:t xml:space="preserve"> lub </w:t>
            </w:r>
            <w:r w:rsidRPr="006431C4">
              <w:rPr>
                <w:rFonts w:cs="Arial"/>
                <w:i/>
                <w:szCs w:val="20"/>
              </w:rPr>
              <w:t>SI</w:t>
            </w:r>
            <w:r w:rsidRPr="006431C4">
              <w:rPr>
                <w:rFonts w:cs="Arial"/>
                <w:i/>
                <w:szCs w:val="20"/>
                <w:vertAlign w:val="subscript"/>
              </w:rPr>
              <w:t>20</w:t>
            </w:r>
          </w:p>
        </w:tc>
        <w:tc>
          <w:tcPr>
            <w:tcW w:w="1552" w:type="dxa"/>
            <w:vAlign w:val="center"/>
          </w:tcPr>
          <w:p w14:paraId="4B9908AB"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FI</w:t>
            </w:r>
            <w:r w:rsidRPr="006431C4">
              <w:rPr>
                <w:rFonts w:cs="Arial"/>
                <w:i/>
                <w:szCs w:val="20"/>
                <w:vertAlign w:val="subscript"/>
              </w:rPr>
              <w:t>20</w:t>
            </w:r>
            <w:r w:rsidRPr="006431C4">
              <w:rPr>
                <w:rFonts w:cs="Arial"/>
                <w:szCs w:val="20"/>
              </w:rPr>
              <w:t xml:space="preserve"> lub </w:t>
            </w:r>
            <w:r w:rsidRPr="006431C4">
              <w:rPr>
                <w:rFonts w:cs="Arial"/>
                <w:i/>
                <w:szCs w:val="20"/>
              </w:rPr>
              <w:t>SI</w:t>
            </w:r>
            <w:r w:rsidRPr="006431C4">
              <w:rPr>
                <w:rFonts w:cs="Arial"/>
                <w:i/>
                <w:szCs w:val="20"/>
                <w:vertAlign w:val="subscript"/>
              </w:rPr>
              <w:t>20</w:t>
            </w:r>
          </w:p>
        </w:tc>
      </w:tr>
    </w:tbl>
    <w:p w14:paraId="7F082B5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bl>
      <w:tblPr>
        <w:tblW w:w="10631"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5698"/>
        <w:gridCol w:w="1417"/>
        <w:gridCol w:w="1418"/>
        <w:gridCol w:w="1552"/>
      </w:tblGrid>
      <w:tr w:rsidR="00CF11BE" w:rsidRPr="006431C4" w14:paraId="05CAC4D1" w14:textId="77777777" w:rsidTr="00CF11BE">
        <w:tc>
          <w:tcPr>
            <w:tcW w:w="546" w:type="dxa"/>
          </w:tcPr>
          <w:p w14:paraId="7772BB5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5</w:t>
            </w:r>
          </w:p>
        </w:tc>
        <w:tc>
          <w:tcPr>
            <w:tcW w:w="5698" w:type="dxa"/>
            <w:vAlign w:val="center"/>
          </w:tcPr>
          <w:p w14:paraId="078A98DC"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Procentowa zawartość ziaren o powierzchni przekruszonej i łamanej w kruszywie grubym według PN-EN 933-5 [9]; kategoria nie niższa niż:</w:t>
            </w:r>
          </w:p>
        </w:tc>
        <w:tc>
          <w:tcPr>
            <w:tcW w:w="1417" w:type="dxa"/>
            <w:vAlign w:val="center"/>
          </w:tcPr>
          <w:p w14:paraId="6B16DAB4"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 xml:space="preserve">C </w:t>
            </w:r>
            <w:r w:rsidRPr="006431C4">
              <w:rPr>
                <w:rFonts w:cs="Arial"/>
                <w:i/>
                <w:szCs w:val="20"/>
                <w:vertAlign w:val="subscript"/>
              </w:rPr>
              <w:t>deklarowana</w:t>
            </w:r>
          </w:p>
        </w:tc>
        <w:tc>
          <w:tcPr>
            <w:tcW w:w="1418" w:type="dxa"/>
            <w:vAlign w:val="center"/>
          </w:tcPr>
          <w:p w14:paraId="66D120BA"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C</w:t>
            </w:r>
            <w:r w:rsidRPr="006431C4">
              <w:rPr>
                <w:rFonts w:cs="Arial"/>
                <w:i/>
                <w:szCs w:val="20"/>
                <w:vertAlign w:val="subscript"/>
              </w:rPr>
              <w:t>95</w:t>
            </w:r>
            <w:r w:rsidRPr="006431C4">
              <w:rPr>
                <w:rFonts w:cs="Arial"/>
                <w:szCs w:val="20"/>
                <w:vertAlign w:val="subscript"/>
              </w:rPr>
              <w:t>/1</w:t>
            </w:r>
          </w:p>
        </w:tc>
        <w:tc>
          <w:tcPr>
            <w:tcW w:w="1552" w:type="dxa"/>
            <w:vAlign w:val="center"/>
          </w:tcPr>
          <w:p w14:paraId="7FE16ACA"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C</w:t>
            </w:r>
            <w:r w:rsidRPr="006431C4">
              <w:rPr>
                <w:rFonts w:cs="Arial"/>
                <w:i/>
                <w:szCs w:val="20"/>
                <w:vertAlign w:val="subscript"/>
              </w:rPr>
              <w:t>95</w:t>
            </w:r>
            <w:r w:rsidRPr="006431C4">
              <w:rPr>
                <w:rFonts w:cs="Arial"/>
                <w:szCs w:val="20"/>
                <w:vertAlign w:val="subscript"/>
              </w:rPr>
              <w:t>/1</w:t>
            </w:r>
          </w:p>
        </w:tc>
      </w:tr>
      <w:tr w:rsidR="00CF11BE" w:rsidRPr="006431C4" w14:paraId="199AC3BC" w14:textId="77777777" w:rsidTr="00CF11BE">
        <w:tc>
          <w:tcPr>
            <w:tcW w:w="546" w:type="dxa"/>
          </w:tcPr>
          <w:p w14:paraId="4EED3C1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6</w:t>
            </w:r>
          </w:p>
        </w:tc>
        <w:tc>
          <w:tcPr>
            <w:tcW w:w="5698" w:type="dxa"/>
            <w:vAlign w:val="center"/>
          </w:tcPr>
          <w:p w14:paraId="7E27716E"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Odporność kruszywa na rozdrabnianie według normy PN-EN 1097-2 [13], badana na kruszywie o wymiarze 10/14, rozdział 5, kategoria nie wyższa niż:</w:t>
            </w:r>
          </w:p>
        </w:tc>
        <w:tc>
          <w:tcPr>
            <w:tcW w:w="1417" w:type="dxa"/>
          </w:tcPr>
          <w:p w14:paraId="4A378DCF"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504819FC"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7919C5F0"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LA</w:t>
            </w:r>
            <w:r w:rsidRPr="006431C4">
              <w:rPr>
                <w:rFonts w:cs="Arial"/>
                <w:i/>
                <w:szCs w:val="20"/>
                <w:vertAlign w:val="subscript"/>
              </w:rPr>
              <w:t>30</w:t>
            </w:r>
          </w:p>
        </w:tc>
        <w:tc>
          <w:tcPr>
            <w:tcW w:w="1418" w:type="dxa"/>
          </w:tcPr>
          <w:p w14:paraId="6CCB8FE1"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585BA924"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4F74B467"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LA</w:t>
            </w:r>
            <w:r w:rsidRPr="006431C4">
              <w:rPr>
                <w:rFonts w:cs="Arial"/>
                <w:i/>
                <w:szCs w:val="20"/>
                <w:vertAlign w:val="subscript"/>
              </w:rPr>
              <w:t>30</w:t>
            </w:r>
          </w:p>
        </w:tc>
        <w:tc>
          <w:tcPr>
            <w:tcW w:w="1552" w:type="dxa"/>
          </w:tcPr>
          <w:p w14:paraId="4B39A397"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7D45BF54"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77C9F3CC"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LA</w:t>
            </w:r>
            <w:r w:rsidRPr="006431C4">
              <w:rPr>
                <w:rFonts w:cs="Arial"/>
                <w:szCs w:val="20"/>
                <w:vertAlign w:val="subscript"/>
              </w:rPr>
              <w:t>25</w:t>
            </w:r>
          </w:p>
        </w:tc>
      </w:tr>
      <w:tr w:rsidR="00CF11BE" w:rsidRPr="006431C4" w14:paraId="4F2616F6" w14:textId="77777777" w:rsidTr="00CF11BE">
        <w:tc>
          <w:tcPr>
            <w:tcW w:w="546" w:type="dxa"/>
          </w:tcPr>
          <w:p w14:paraId="6153C90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7</w:t>
            </w:r>
          </w:p>
        </w:tc>
        <w:tc>
          <w:tcPr>
            <w:tcW w:w="5698" w:type="dxa"/>
            <w:vAlign w:val="center"/>
          </w:tcPr>
          <w:p w14:paraId="6654FC0B"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Odporność na polerowanie kruszyw według PN-EN 1097-8 [18] (dotyczy warstwy ścieralnej), kategoria nie niższa niż:</w:t>
            </w:r>
          </w:p>
        </w:tc>
        <w:tc>
          <w:tcPr>
            <w:tcW w:w="1417" w:type="dxa"/>
          </w:tcPr>
          <w:p w14:paraId="655629A8"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3588EEF1"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vertAlign w:val="subscript"/>
              </w:rPr>
            </w:pPr>
            <w:r w:rsidRPr="006431C4">
              <w:rPr>
                <w:rFonts w:cs="Arial"/>
                <w:i/>
                <w:szCs w:val="20"/>
              </w:rPr>
              <w:t>PSV</w:t>
            </w:r>
            <w:r w:rsidRPr="006431C4">
              <w:rPr>
                <w:rFonts w:cs="Arial"/>
                <w:i/>
                <w:szCs w:val="20"/>
                <w:vertAlign w:val="subscript"/>
              </w:rPr>
              <w:t>44</w:t>
            </w:r>
          </w:p>
        </w:tc>
        <w:tc>
          <w:tcPr>
            <w:tcW w:w="1418" w:type="dxa"/>
          </w:tcPr>
          <w:p w14:paraId="61437661"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7421577A"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vertAlign w:val="subscript"/>
              </w:rPr>
            </w:pPr>
            <w:r w:rsidRPr="006431C4">
              <w:rPr>
                <w:rFonts w:cs="Arial"/>
                <w:i/>
                <w:szCs w:val="20"/>
              </w:rPr>
              <w:t>PSV</w:t>
            </w:r>
            <w:r w:rsidRPr="006431C4">
              <w:rPr>
                <w:rFonts w:cs="Arial"/>
                <w:i/>
                <w:szCs w:val="20"/>
                <w:vertAlign w:val="subscript"/>
              </w:rPr>
              <w:t>Deklarowana, nie mniej niż 48</w:t>
            </w:r>
            <w:r w:rsidRPr="006431C4">
              <w:rPr>
                <w:rFonts w:cs="Arial"/>
                <w:i/>
                <w:szCs w:val="20"/>
              </w:rPr>
              <w:t>*)</w:t>
            </w:r>
          </w:p>
        </w:tc>
        <w:tc>
          <w:tcPr>
            <w:tcW w:w="1552" w:type="dxa"/>
            <w:vAlign w:val="center"/>
          </w:tcPr>
          <w:p w14:paraId="3E25E745"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PSV</w:t>
            </w:r>
            <w:r w:rsidRPr="006431C4">
              <w:rPr>
                <w:rFonts w:cs="Arial"/>
                <w:szCs w:val="20"/>
                <w:vertAlign w:val="subscript"/>
              </w:rPr>
              <w:t>50</w:t>
            </w:r>
            <w:r w:rsidRPr="006431C4">
              <w:rPr>
                <w:rFonts w:cs="Arial"/>
                <w:szCs w:val="20"/>
              </w:rPr>
              <w:t>*)</w:t>
            </w:r>
          </w:p>
        </w:tc>
      </w:tr>
      <w:tr w:rsidR="00CF11BE" w:rsidRPr="006431C4" w14:paraId="320F42E4" w14:textId="77777777" w:rsidTr="00CF11BE">
        <w:tc>
          <w:tcPr>
            <w:tcW w:w="546" w:type="dxa"/>
          </w:tcPr>
          <w:p w14:paraId="034BAD7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8</w:t>
            </w:r>
          </w:p>
        </w:tc>
        <w:tc>
          <w:tcPr>
            <w:tcW w:w="5698" w:type="dxa"/>
          </w:tcPr>
          <w:p w14:paraId="094B7140" w14:textId="77777777" w:rsidR="00CF11BE" w:rsidRPr="006431C4" w:rsidRDefault="00CF11BE" w:rsidP="00CF11BE">
            <w:pPr>
              <w:overflowPunct w:val="0"/>
              <w:autoSpaceDE w:val="0"/>
              <w:autoSpaceDN w:val="0"/>
              <w:adjustRightInd w:val="0"/>
              <w:spacing w:line="240" w:lineRule="auto"/>
              <w:textAlignment w:val="baseline"/>
              <w:rPr>
                <w:rFonts w:cs="Arial"/>
                <w:b/>
                <w:szCs w:val="20"/>
              </w:rPr>
            </w:pPr>
            <w:r w:rsidRPr="006431C4">
              <w:rPr>
                <w:rFonts w:cs="Arial"/>
                <w:szCs w:val="20"/>
              </w:rPr>
              <w:t>Gęstość ziaren według PN-EN 1097-6 [16], rozdział 7, 8 lub 9:</w:t>
            </w:r>
          </w:p>
        </w:tc>
        <w:tc>
          <w:tcPr>
            <w:tcW w:w="1417" w:type="dxa"/>
            <w:vAlign w:val="center"/>
          </w:tcPr>
          <w:p w14:paraId="2E4459C1" w14:textId="77777777" w:rsidR="00CF11BE" w:rsidRPr="006431C4" w:rsidRDefault="00CF11BE" w:rsidP="00CF11BE">
            <w:pPr>
              <w:overflowPunct w:val="0"/>
              <w:autoSpaceDE w:val="0"/>
              <w:autoSpaceDN w:val="0"/>
              <w:adjustRightInd w:val="0"/>
              <w:spacing w:line="240" w:lineRule="auto"/>
              <w:textAlignment w:val="baseline"/>
              <w:rPr>
                <w:rFonts w:cs="Arial"/>
                <w:b/>
                <w:szCs w:val="20"/>
              </w:rPr>
            </w:pPr>
            <w:r w:rsidRPr="006431C4">
              <w:rPr>
                <w:rFonts w:cs="Arial"/>
                <w:szCs w:val="20"/>
              </w:rPr>
              <w:t>deklarowa-na przez producenta</w:t>
            </w:r>
          </w:p>
        </w:tc>
        <w:tc>
          <w:tcPr>
            <w:tcW w:w="1418" w:type="dxa"/>
            <w:vAlign w:val="center"/>
          </w:tcPr>
          <w:p w14:paraId="0F33FFBF" w14:textId="77777777" w:rsidR="00CF11BE" w:rsidRPr="006431C4" w:rsidRDefault="00CF11BE" w:rsidP="00CF11BE">
            <w:pPr>
              <w:overflowPunct w:val="0"/>
              <w:autoSpaceDE w:val="0"/>
              <w:autoSpaceDN w:val="0"/>
              <w:adjustRightInd w:val="0"/>
              <w:spacing w:line="240" w:lineRule="auto"/>
              <w:textAlignment w:val="baseline"/>
              <w:rPr>
                <w:rFonts w:cs="Arial"/>
                <w:b/>
                <w:szCs w:val="20"/>
              </w:rPr>
            </w:pPr>
            <w:r w:rsidRPr="006431C4">
              <w:rPr>
                <w:rFonts w:cs="Arial"/>
                <w:szCs w:val="20"/>
              </w:rPr>
              <w:t>deklarowa-na przez producenta</w:t>
            </w:r>
          </w:p>
        </w:tc>
        <w:tc>
          <w:tcPr>
            <w:tcW w:w="1552" w:type="dxa"/>
            <w:vAlign w:val="center"/>
          </w:tcPr>
          <w:p w14:paraId="58E70748"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deklarowana przez producenta</w:t>
            </w:r>
          </w:p>
        </w:tc>
      </w:tr>
      <w:tr w:rsidR="00CF11BE" w:rsidRPr="006431C4" w14:paraId="4E31399C" w14:textId="77777777" w:rsidTr="00CF11BE">
        <w:tc>
          <w:tcPr>
            <w:tcW w:w="546" w:type="dxa"/>
          </w:tcPr>
          <w:p w14:paraId="0E85EC0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9</w:t>
            </w:r>
          </w:p>
        </w:tc>
        <w:tc>
          <w:tcPr>
            <w:tcW w:w="5698" w:type="dxa"/>
          </w:tcPr>
          <w:p w14:paraId="42BBF7FF" w14:textId="77777777" w:rsidR="00CF11BE" w:rsidRPr="006431C4" w:rsidRDefault="00CF11BE" w:rsidP="00CF11BE">
            <w:pPr>
              <w:overflowPunct w:val="0"/>
              <w:autoSpaceDE w:val="0"/>
              <w:autoSpaceDN w:val="0"/>
              <w:adjustRightInd w:val="0"/>
              <w:spacing w:line="240" w:lineRule="auto"/>
              <w:textAlignment w:val="baseline"/>
              <w:rPr>
                <w:rFonts w:cs="Arial"/>
                <w:b/>
                <w:szCs w:val="20"/>
              </w:rPr>
            </w:pPr>
            <w:r w:rsidRPr="006431C4">
              <w:rPr>
                <w:rFonts w:cs="Arial"/>
                <w:szCs w:val="20"/>
              </w:rPr>
              <w:t>Nasiąkliwość według PN-EN 1097-6 [16], rozdział 7, 8 lub 9:</w:t>
            </w:r>
          </w:p>
        </w:tc>
        <w:tc>
          <w:tcPr>
            <w:tcW w:w="1417" w:type="dxa"/>
            <w:vAlign w:val="center"/>
          </w:tcPr>
          <w:p w14:paraId="4025C15C" w14:textId="77777777" w:rsidR="00CF11BE" w:rsidRPr="006431C4" w:rsidRDefault="00CF11BE" w:rsidP="00CF11BE">
            <w:pPr>
              <w:overflowPunct w:val="0"/>
              <w:autoSpaceDE w:val="0"/>
              <w:autoSpaceDN w:val="0"/>
              <w:adjustRightInd w:val="0"/>
              <w:spacing w:line="240" w:lineRule="auto"/>
              <w:textAlignment w:val="baseline"/>
              <w:rPr>
                <w:rFonts w:cs="Arial"/>
                <w:b/>
                <w:szCs w:val="20"/>
              </w:rPr>
            </w:pPr>
            <w:r w:rsidRPr="006431C4">
              <w:rPr>
                <w:rFonts w:cs="Arial"/>
                <w:szCs w:val="20"/>
              </w:rPr>
              <w:t>deklarowa-na przez producenta</w:t>
            </w:r>
          </w:p>
        </w:tc>
        <w:tc>
          <w:tcPr>
            <w:tcW w:w="1418" w:type="dxa"/>
            <w:vAlign w:val="center"/>
          </w:tcPr>
          <w:p w14:paraId="0377CA75" w14:textId="77777777" w:rsidR="00CF11BE" w:rsidRPr="006431C4" w:rsidRDefault="00CF11BE" w:rsidP="00CF11BE">
            <w:pPr>
              <w:overflowPunct w:val="0"/>
              <w:autoSpaceDE w:val="0"/>
              <w:autoSpaceDN w:val="0"/>
              <w:adjustRightInd w:val="0"/>
              <w:spacing w:line="240" w:lineRule="auto"/>
              <w:textAlignment w:val="baseline"/>
              <w:rPr>
                <w:rFonts w:cs="Arial"/>
                <w:b/>
                <w:szCs w:val="20"/>
              </w:rPr>
            </w:pPr>
            <w:r w:rsidRPr="006431C4">
              <w:rPr>
                <w:rFonts w:cs="Arial"/>
                <w:szCs w:val="20"/>
              </w:rPr>
              <w:t>deklarowa-na przez producenta</w:t>
            </w:r>
          </w:p>
        </w:tc>
        <w:tc>
          <w:tcPr>
            <w:tcW w:w="1552" w:type="dxa"/>
            <w:vAlign w:val="center"/>
          </w:tcPr>
          <w:p w14:paraId="259E8A6D"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deklarowana przez producenta</w:t>
            </w:r>
          </w:p>
        </w:tc>
      </w:tr>
      <w:tr w:rsidR="00CF11BE" w:rsidRPr="006431C4" w14:paraId="54500827" w14:textId="77777777" w:rsidTr="00CF11BE">
        <w:tc>
          <w:tcPr>
            <w:tcW w:w="546" w:type="dxa"/>
          </w:tcPr>
          <w:p w14:paraId="517BF07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10</w:t>
            </w:r>
          </w:p>
        </w:tc>
        <w:tc>
          <w:tcPr>
            <w:tcW w:w="5698" w:type="dxa"/>
            <w:vAlign w:val="center"/>
          </w:tcPr>
          <w:p w14:paraId="1AC5A495"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Mrozoodporność według PN-EN 1367-6 [20], w 1 % NaCl (dotyczy warstwy ścieralnej); kategoria nie wyższa niż:</w:t>
            </w:r>
          </w:p>
        </w:tc>
        <w:tc>
          <w:tcPr>
            <w:tcW w:w="1417" w:type="dxa"/>
          </w:tcPr>
          <w:p w14:paraId="2B47B24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789053C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1418" w:type="dxa"/>
          </w:tcPr>
          <w:p w14:paraId="53EB7D7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C384B1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1552" w:type="dxa"/>
            <w:vAlign w:val="center"/>
          </w:tcPr>
          <w:p w14:paraId="66A49E0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r>
      <w:tr w:rsidR="00CF11BE" w:rsidRPr="006431C4" w14:paraId="5311AE27" w14:textId="77777777" w:rsidTr="00CF11BE">
        <w:tc>
          <w:tcPr>
            <w:tcW w:w="546" w:type="dxa"/>
          </w:tcPr>
          <w:p w14:paraId="1D55992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11</w:t>
            </w:r>
          </w:p>
        </w:tc>
        <w:tc>
          <w:tcPr>
            <w:tcW w:w="5698" w:type="dxa"/>
            <w:vAlign w:val="center"/>
          </w:tcPr>
          <w:p w14:paraId="77E271D1"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 xml:space="preserve">„Zgorzel słoneczna” bazaltu według </w:t>
            </w:r>
            <w:r w:rsidRPr="006431C4">
              <w:rPr>
                <w:rFonts w:cs="Arial"/>
                <w:szCs w:val="20"/>
              </w:rPr>
              <w:br/>
              <w:t>PN-EN 1367-3 [19]; wymagana kategoria:</w:t>
            </w:r>
          </w:p>
        </w:tc>
        <w:tc>
          <w:tcPr>
            <w:tcW w:w="1417" w:type="dxa"/>
          </w:tcPr>
          <w:p w14:paraId="453565A6"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2C895B8F"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SB</w:t>
            </w:r>
            <w:r w:rsidRPr="006431C4">
              <w:rPr>
                <w:rFonts w:cs="Arial"/>
                <w:szCs w:val="20"/>
                <w:vertAlign w:val="subscript"/>
              </w:rPr>
              <w:t>LA</w:t>
            </w:r>
          </w:p>
        </w:tc>
        <w:tc>
          <w:tcPr>
            <w:tcW w:w="1418" w:type="dxa"/>
          </w:tcPr>
          <w:p w14:paraId="2C8A5704"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5238F4AA"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SB</w:t>
            </w:r>
            <w:r w:rsidRPr="006431C4">
              <w:rPr>
                <w:rFonts w:cs="Arial"/>
                <w:szCs w:val="20"/>
                <w:vertAlign w:val="subscript"/>
              </w:rPr>
              <w:t>LA</w:t>
            </w:r>
          </w:p>
        </w:tc>
        <w:tc>
          <w:tcPr>
            <w:tcW w:w="1552" w:type="dxa"/>
            <w:vAlign w:val="center"/>
          </w:tcPr>
          <w:p w14:paraId="6E0F1125"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SB</w:t>
            </w:r>
            <w:r w:rsidRPr="006431C4">
              <w:rPr>
                <w:rFonts w:cs="Arial"/>
                <w:szCs w:val="20"/>
                <w:vertAlign w:val="subscript"/>
              </w:rPr>
              <w:t>LA</w:t>
            </w:r>
          </w:p>
        </w:tc>
      </w:tr>
      <w:tr w:rsidR="00CF11BE" w:rsidRPr="006431C4" w14:paraId="115A4DA5" w14:textId="77777777" w:rsidTr="00CF11BE">
        <w:tc>
          <w:tcPr>
            <w:tcW w:w="546" w:type="dxa"/>
          </w:tcPr>
          <w:p w14:paraId="6852F5C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12</w:t>
            </w:r>
          </w:p>
        </w:tc>
        <w:tc>
          <w:tcPr>
            <w:tcW w:w="5698" w:type="dxa"/>
            <w:vAlign w:val="center"/>
          </w:tcPr>
          <w:p w14:paraId="51AC4E9A"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Skład chemiczny – uproszczony opis petrograficzny według PN-EN 932-3 [5]</w:t>
            </w:r>
          </w:p>
        </w:tc>
        <w:tc>
          <w:tcPr>
            <w:tcW w:w="1417" w:type="dxa"/>
          </w:tcPr>
          <w:p w14:paraId="5A504C53" w14:textId="77777777" w:rsidR="00CF11BE" w:rsidRPr="006431C4" w:rsidRDefault="00CF11BE" w:rsidP="00CF11BE">
            <w:pPr>
              <w:overflowPunct w:val="0"/>
              <w:autoSpaceDE w:val="0"/>
              <w:autoSpaceDN w:val="0"/>
              <w:adjustRightInd w:val="0"/>
              <w:spacing w:line="240" w:lineRule="auto"/>
              <w:textAlignment w:val="baseline"/>
              <w:rPr>
                <w:rFonts w:cs="Arial"/>
                <w:b/>
                <w:szCs w:val="20"/>
              </w:rPr>
            </w:pPr>
            <w:r w:rsidRPr="006431C4">
              <w:rPr>
                <w:rFonts w:cs="Arial"/>
                <w:szCs w:val="20"/>
              </w:rPr>
              <w:t>deklarowa-ny przez producenta</w:t>
            </w:r>
          </w:p>
        </w:tc>
        <w:tc>
          <w:tcPr>
            <w:tcW w:w="1418" w:type="dxa"/>
          </w:tcPr>
          <w:p w14:paraId="558CF8F2" w14:textId="77777777" w:rsidR="00CF11BE" w:rsidRPr="006431C4" w:rsidRDefault="00CF11BE" w:rsidP="00CF11BE">
            <w:pPr>
              <w:overflowPunct w:val="0"/>
              <w:autoSpaceDE w:val="0"/>
              <w:autoSpaceDN w:val="0"/>
              <w:adjustRightInd w:val="0"/>
              <w:spacing w:line="240" w:lineRule="auto"/>
              <w:textAlignment w:val="baseline"/>
              <w:rPr>
                <w:rFonts w:cs="Arial"/>
                <w:b/>
                <w:szCs w:val="20"/>
              </w:rPr>
            </w:pPr>
            <w:r w:rsidRPr="006431C4">
              <w:rPr>
                <w:rFonts w:cs="Arial"/>
                <w:szCs w:val="20"/>
              </w:rPr>
              <w:t>deklarowa-ny przez producenta</w:t>
            </w:r>
          </w:p>
        </w:tc>
        <w:tc>
          <w:tcPr>
            <w:tcW w:w="1552" w:type="dxa"/>
            <w:vAlign w:val="center"/>
          </w:tcPr>
          <w:p w14:paraId="1C37523A"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deklarowany przez producenta</w:t>
            </w:r>
          </w:p>
        </w:tc>
      </w:tr>
      <w:tr w:rsidR="00CF11BE" w:rsidRPr="006431C4" w14:paraId="104CB093" w14:textId="77777777" w:rsidTr="00CF11BE">
        <w:tc>
          <w:tcPr>
            <w:tcW w:w="546" w:type="dxa"/>
          </w:tcPr>
          <w:p w14:paraId="50616CD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13</w:t>
            </w:r>
          </w:p>
        </w:tc>
        <w:tc>
          <w:tcPr>
            <w:tcW w:w="5698" w:type="dxa"/>
            <w:vAlign w:val="center"/>
          </w:tcPr>
          <w:p w14:paraId="449A1D6C"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Grube zanieczyszczenia lekkie według PN-EN 1744-1 [23], p.14.2; kategoria nie wyższa niż:</w:t>
            </w:r>
          </w:p>
        </w:tc>
        <w:tc>
          <w:tcPr>
            <w:tcW w:w="1417" w:type="dxa"/>
          </w:tcPr>
          <w:p w14:paraId="6767887B"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09EBC522"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m</w:t>
            </w:r>
            <w:r w:rsidRPr="006431C4">
              <w:rPr>
                <w:rFonts w:cs="Arial"/>
                <w:szCs w:val="20"/>
                <w:vertAlign w:val="subscript"/>
              </w:rPr>
              <w:t>LPC</w:t>
            </w:r>
            <w:r w:rsidRPr="006431C4">
              <w:rPr>
                <w:rFonts w:cs="Arial"/>
                <w:szCs w:val="20"/>
              </w:rPr>
              <w:t xml:space="preserve"> 0,1</w:t>
            </w:r>
          </w:p>
        </w:tc>
        <w:tc>
          <w:tcPr>
            <w:tcW w:w="1418" w:type="dxa"/>
          </w:tcPr>
          <w:p w14:paraId="34F652CA"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68D2D404"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m</w:t>
            </w:r>
            <w:r w:rsidRPr="006431C4">
              <w:rPr>
                <w:rFonts w:cs="Arial"/>
                <w:szCs w:val="20"/>
                <w:vertAlign w:val="subscript"/>
              </w:rPr>
              <w:t>LPC</w:t>
            </w:r>
            <w:r w:rsidRPr="006431C4">
              <w:rPr>
                <w:rFonts w:cs="Arial"/>
                <w:szCs w:val="20"/>
              </w:rPr>
              <w:t xml:space="preserve"> 0,1</w:t>
            </w:r>
          </w:p>
        </w:tc>
        <w:tc>
          <w:tcPr>
            <w:tcW w:w="1552" w:type="dxa"/>
            <w:vAlign w:val="center"/>
          </w:tcPr>
          <w:p w14:paraId="7B1C85FA"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m</w:t>
            </w:r>
            <w:r w:rsidRPr="006431C4">
              <w:rPr>
                <w:rFonts w:cs="Arial"/>
                <w:szCs w:val="20"/>
                <w:vertAlign w:val="subscript"/>
              </w:rPr>
              <w:t>LPC</w:t>
            </w:r>
            <w:r w:rsidRPr="006431C4">
              <w:rPr>
                <w:rFonts w:cs="Arial"/>
                <w:szCs w:val="20"/>
              </w:rPr>
              <w:t xml:space="preserve"> 0,1</w:t>
            </w:r>
          </w:p>
        </w:tc>
      </w:tr>
      <w:tr w:rsidR="00CF11BE" w:rsidRPr="006431C4" w14:paraId="6D63064C" w14:textId="77777777" w:rsidTr="00CF11BE">
        <w:tc>
          <w:tcPr>
            <w:tcW w:w="546" w:type="dxa"/>
          </w:tcPr>
          <w:p w14:paraId="691EA87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14</w:t>
            </w:r>
          </w:p>
        </w:tc>
        <w:tc>
          <w:tcPr>
            <w:tcW w:w="5698" w:type="dxa"/>
            <w:vAlign w:val="center"/>
          </w:tcPr>
          <w:p w14:paraId="58324F8C"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Rozpad krzemianowy żużla wielkopiecowego chłodzonego powietrzem według PN-EN 1744-1 [23], p. 19.1:</w:t>
            </w:r>
          </w:p>
        </w:tc>
        <w:tc>
          <w:tcPr>
            <w:tcW w:w="1417" w:type="dxa"/>
            <w:vAlign w:val="center"/>
          </w:tcPr>
          <w:p w14:paraId="1D229809"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wymagana odporność</w:t>
            </w:r>
          </w:p>
        </w:tc>
        <w:tc>
          <w:tcPr>
            <w:tcW w:w="1418" w:type="dxa"/>
            <w:vAlign w:val="center"/>
          </w:tcPr>
          <w:p w14:paraId="532F5381"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wymagana odporność</w:t>
            </w:r>
          </w:p>
        </w:tc>
        <w:tc>
          <w:tcPr>
            <w:tcW w:w="1552" w:type="dxa"/>
            <w:vAlign w:val="center"/>
          </w:tcPr>
          <w:p w14:paraId="59A36B95"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wymagana odporność</w:t>
            </w:r>
          </w:p>
        </w:tc>
      </w:tr>
      <w:tr w:rsidR="00CF11BE" w:rsidRPr="006431C4" w14:paraId="6E4AD616" w14:textId="77777777" w:rsidTr="00CF11BE">
        <w:tc>
          <w:tcPr>
            <w:tcW w:w="546" w:type="dxa"/>
          </w:tcPr>
          <w:p w14:paraId="0AF5834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15</w:t>
            </w:r>
          </w:p>
        </w:tc>
        <w:tc>
          <w:tcPr>
            <w:tcW w:w="5698" w:type="dxa"/>
            <w:vAlign w:val="center"/>
          </w:tcPr>
          <w:p w14:paraId="07BA0367"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Rozpad żelazowy żużla wielkopiecowego chłodzonego powietrzem według PN-EN 1744-1 [23], p. 19.2:</w:t>
            </w:r>
          </w:p>
        </w:tc>
        <w:tc>
          <w:tcPr>
            <w:tcW w:w="1417" w:type="dxa"/>
            <w:vAlign w:val="center"/>
          </w:tcPr>
          <w:p w14:paraId="06213A46"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wymagana odporność</w:t>
            </w:r>
          </w:p>
        </w:tc>
        <w:tc>
          <w:tcPr>
            <w:tcW w:w="1418" w:type="dxa"/>
            <w:vAlign w:val="center"/>
          </w:tcPr>
          <w:p w14:paraId="43C53737"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wymagana odporność</w:t>
            </w:r>
          </w:p>
        </w:tc>
        <w:tc>
          <w:tcPr>
            <w:tcW w:w="1552" w:type="dxa"/>
            <w:vAlign w:val="center"/>
          </w:tcPr>
          <w:p w14:paraId="7FE42420"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wymagana odporność</w:t>
            </w:r>
          </w:p>
        </w:tc>
      </w:tr>
      <w:tr w:rsidR="00CF11BE" w:rsidRPr="006431C4" w14:paraId="5BA8241C" w14:textId="77777777" w:rsidTr="00CF11BE">
        <w:tc>
          <w:tcPr>
            <w:tcW w:w="546" w:type="dxa"/>
          </w:tcPr>
          <w:p w14:paraId="4803EA9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16</w:t>
            </w:r>
          </w:p>
        </w:tc>
        <w:tc>
          <w:tcPr>
            <w:tcW w:w="5698" w:type="dxa"/>
            <w:vAlign w:val="center"/>
          </w:tcPr>
          <w:p w14:paraId="594AE87C"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Stałość objętości kruszywa z żużla stalowniczego według PN-EN 1744-1 [23] p. 19.3; kategoria nie wyższa niż:</w:t>
            </w:r>
          </w:p>
        </w:tc>
        <w:tc>
          <w:tcPr>
            <w:tcW w:w="1417" w:type="dxa"/>
          </w:tcPr>
          <w:p w14:paraId="29C5CA25"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23E8B2E7"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V</w:t>
            </w:r>
            <w:r w:rsidRPr="006431C4">
              <w:rPr>
                <w:rFonts w:cs="Arial"/>
                <w:szCs w:val="20"/>
                <w:vertAlign w:val="subscript"/>
              </w:rPr>
              <w:t>3,5</w:t>
            </w:r>
          </w:p>
        </w:tc>
        <w:tc>
          <w:tcPr>
            <w:tcW w:w="1418" w:type="dxa"/>
          </w:tcPr>
          <w:p w14:paraId="31240A02"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4EA0AA25"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V</w:t>
            </w:r>
            <w:r w:rsidRPr="006431C4">
              <w:rPr>
                <w:rFonts w:cs="Arial"/>
                <w:szCs w:val="20"/>
                <w:vertAlign w:val="subscript"/>
              </w:rPr>
              <w:t>3,5</w:t>
            </w:r>
          </w:p>
        </w:tc>
        <w:tc>
          <w:tcPr>
            <w:tcW w:w="1552" w:type="dxa"/>
            <w:vAlign w:val="center"/>
          </w:tcPr>
          <w:p w14:paraId="04AC28DC"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i/>
                <w:szCs w:val="20"/>
              </w:rPr>
              <w:t>V</w:t>
            </w:r>
            <w:r w:rsidRPr="006431C4">
              <w:rPr>
                <w:rFonts w:cs="Arial"/>
                <w:szCs w:val="20"/>
                <w:vertAlign w:val="subscript"/>
              </w:rPr>
              <w:t>3,5</w:t>
            </w:r>
          </w:p>
        </w:tc>
      </w:tr>
    </w:tbl>
    <w:p w14:paraId="5C7E3C1C" w14:textId="77777777" w:rsidR="00CF11BE" w:rsidRPr="006431C4" w:rsidRDefault="00CF11BE" w:rsidP="00CF11BE">
      <w:pPr>
        <w:shd w:val="clear" w:color="auto" w:fill="FFFFFF"/>
        <w:overflowPunct w:val="0"/>
        <w:autoSpaceDE w:val="0"/>
        <w:autoSpaceDN w:val="0"/>
        <w:adjustRightInd w:val="0"/>
        <w:spacing w:line="240" w:lineRule="auto"/>
        <w:jc w:val="both"/>
        <w:textAlignment w:val="baseline"/>
        <w:rPr>
          <w:rFonts w:cs="Arial"/>
          <w:szCs w:val="20"/>
        </w:rPr>
      </w:pPr>
      <w:r w:rsidRPr="006431C4">
        <w:rPr>
          <w:rFonts w:cs="Arial"/>
          <w:szCs w:val="20"/>
        </w:rPr>
        <w:t>*) Kruszywa grube, które nie spełniają wymaganej kategorii wobec odporności na polerowanie (</w:t>
      </w:r>
      <w:r w:rsidRPr="006431C4">
        <w:rPr>
          <w:rFonts w:cs="Arial"/>
          <w:i/>
          <w:szCs w:val="20"/>
        </w:rPr>
        <w:t>PSV</w:t>
      </w:r>
      <w:r w:rsidRPr="006431C4">
        <w:rPr>
          <w:rFonts w:cs="Arial"/>
          <w:szCs w:val="20"/>
        </w:rPr>
        <w:t>), mogą być stosowane, jeśli są używane w mieszance kruszyw (grubych), która obliczeniowo osiąga podaną wartość wymaganej kategorii. Obliczona wartość (</w:t>
      </w:r>
      <w:r w:rsidRPr="006431C4">
        <w:rPr>
          <w:rFonts w:cs="Arial"/>
          <w:i/>
          <w:szCs w:val="20"/>
        </w:rPr>
        <w:t>PSV</w:t>
      </w:r>
      <w:r w:rsidRPr="006431C4">
        <w:rPr>
          <w:rFonts w:cs="Arial"/>
          <w:szCs w:val="20"/>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6431C4">
        <w:rPr>
          <w:rFonts w:cs="Arial"/>
          <w:szCs w:val="20"/>
          <w:vertAlign w:val="subscript"/>
        </w:rPr>
        <w:t>44</w:t>
      </w:r>
      <w:r w:rsidRPr="006431C4">
        <w:rPr>
          <w:rFonts w:cs="Arial"/>
          <w:szCs w:val="20"/>
        </w:rPr>
        <w:t xml:space="preserve"> i wyższej.</w:t>
      </w:r>
    </w:p>
    <w:p w14:paraId="71D4D443" w14:textId="77777777" w:rsidR="00CF11BE" w:rsidRPr="006431C4" w:rsidRDefault="00CF11BE" w:rsidP="00CF11BE">
      <w:pPr>
        <w:shd w:val="clear" w:color="auto" w:fill="FFFFFF"/>
        <w:overflowPunct w:val="0"/>
        <w:autoSpaceDE w:val="0"/>
        <w:autoSpaceDN w:val="0"/>
        <w:adjustRightInd w:val="0"/>
        <w:spacing w:line="240" w:lineRule="auto"/>
        <w:ind w:firstLine="709"/>
        <w:jc w:val="both"/>
        <w:textAlignment w:val="baseline"/>
        <w:rPr>
          <w:rFonts w:cs="Arial"/>
          <w:szCs w:val="20"/>
        </w:rPr>
      </w:pPr>
    </w:p>
    <w:p w14:paraId="0CE0033B" w14:textId="77777777" w:rsidR="00CF11BE" w:rsidRPr="006431C4" w:rsidRDefault="00CF11BE" w:rsidP="00CF11BE">
      <w:pPr>
        <w:shd w:val="clear" w:color="auto" w:fill="FFFFFF"/>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Kruszywo niełamane drobne lub o ciągłym uziarnieniu do D ≤ 8  do warstwy ścieralnej  z betonu asfaltowego  powinno spełniać wymagania podane w tablicy  7 .</w:t>
      </w:r>
    </w:p>
    <w:p w14:paraId="08E8AFB3" w14:textId="77777777" w:rsidR="00CF11BE" w:rsidRPr="006431C4" w:rsidRDefault="00CF11BE" w:rsidP="00CF11BE">
      <w:pPr>
        <w:shd w:val="clear" w:color="auto" w:fill="FFFFFF"/>
        <w:overflowPunct w:val="0"/>
        <w:autoSpaceDE w:val="0"/>
        <w:autoSpaceDN w:val="0"/>
        <w:adjustRightInd w:val="0"/>
        <w:spacing w:line="240" w:lineRule="auto"/>
        <w:ind w:firstLine="709"/>
        <w:jc w:val="both"/>
        <w:textAlignment w:val="baseline"/>
        <w:rPr>
          <w:rFonts w:cs="Arial"/>
          <w:szCs w:val="20"/>
        </w:rPr>
      </w:pPr>
    </w:p>
    <w:p w14:paraId="61A92185" w14:textId="77777777" w:rsidR="00CF11BE" w:rsidRPr="006431C4" w:rsidRDefault="00CF11BE" w:rsidP="00CF11BE">
      <w:pPr>
        <w:shd w:val="clear" w:color="auto" w:fill="FFFFFF"/>
        <w:overflowPunct w:val="0"/>
        <w:autoSpaceDE w:val="0"/>
        <w:autoSpaceDN w:val="0"/>
        <w:adjustRightInd w:val="0"/>
        <w:spacing w:line="240" w:lineRule="auto"/>
        <w:ind w:firstLine="709"/>
        <w:jc w:val="both"/>
        <w:textAlignment w:val="baseline"/>
        <w:rPr>
          <w:rFonts w:cs="Arial"/>
          <w:szCs w:val="20"/>
        </w:rPr>
      </w:pPr>
    </w:p>
    <w:p w14:paraId="3077CDB3" w14:textId="77777777" w:rsidR="00CF11BE" w:rsidRPr="006431C4" w:rsidRDefault="00CF11BE" w:rsidP="00CF11BE">
      <w:pPr>
        <w:shd w:val="clear" w:color="auto" w:fill="FFFFFF"/>
        <w:overflowPunct w:val="0"/>
        <w:autoSpaceDE w:val="0"/>
        <w:autoSpaceDN w:val="0"/>
        <w:adjustRightInd w:val="0"/>
        <w:spacing w:line="240" w:lineRule="auto"/>
        <w:ind w:left="1320" w:hanging="1320"/>
        <w:jc w:val="both"/>
        <w:textAlignment w:val="baseline"/>
        <w:rPr>
          <w:rFonts w:cs="Arial"/>
          <w:szCs w:val="20"/>
        </w:rPr>
      </w:pPr>
      <w:r w:rsidRPr="006431C4">
        <w:rPr>
          <w:rFonts w:cs="Arial"/>
          <w:szCs w:val="20"/>
        </w:rPr>
        <w:t>Tablica 7. Wymagane właściwości kruszywa niełamanego drobnego lub o ciągłym uziarnieniu do D≤8  do warstwy ścieralnej  z betonu asfaltowego</w:t>
      </w:r>
    </w:p>
    <w:tbl>
      <w:tblPr>
        <w:tblW w:w="106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6975"/>
        <w:gridCol w:w="2985"/>
      </w:tblGrid>
      <w:tr w:rsidR="00CF11BE" w:rsidRPr="006431C4" w14:paraId="5807AAF6" w14:textId="77777777" w:rsidTr="00CF11BE">
        <w:tc>
          <w:tcPr>
            <w:tcW w:w="675" w:type="dxa"/>
            <w:vMerge w:val="restart"/>
          </w:tcPr>
          <w:p w14:paraId="7F1B127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4CA008D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Lp.</w:t>
            </w:r>
          </w:p>
        </w:tc>
        <w:tc>
          <w:tcPr>
            <w:tcW w:w="6975" w:type="dxa"/>
            <w:vMerge w:val="restart"/>
          </w:tcPr>
          <w:p w14:paraId="327F0C9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4F12244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kruszywa</w:t>
            </w:r>
          </w:p>
        </w:tc>
        <w:tc>
          <w:tcPr>
            <w:tcW w:w="2985" w:type="dxa"/>
          </w:tcPr>
          <w:p w14:paraId="0607104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Wymagania w zależności od kategorii ruchu</w:t>
            </w:r>
          </w:p>
        </w:tc>
      </w:tr>
      <w:tr w:rsidR="00CF11BE" w:rsidRPr="006431C4" w14:paraId="55956FF1" w14:textId="77777777" w:rsidTr="00CF11BE">
        <w:tc>
          <w:tcPr>
            <w:tcW w:w="675" w:type="dxa"/>
            <w:vMerge/>
          </w:tcPr>
          <w:p w14:paraId="39368A4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6975" w:type="dxa"/>
            <w:vMerge/>
          </w:tcPr>
          <w:p w14:paraId="7C641A7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2985" w:type="dxa"/>
          </w:tcPr>
          <w:p w14:paraId="2757278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KR1÷KR2</w:t>
            </w:r>
          </w:p>
        </w:tc>
      </w:tr>
      <w:tr w:rsidR="00CF11BE" w:rsidRPr="006431C4" w14:paraId="52E65397" w14:textId="77777777" w:rsidTr="00CF11BE">
        <w:tc>
          <w:tcPr>
            <w:tcW w:w="675" w:type="dxa"/>
          </w:tcPr>
          <w:p w14:paraId="60F445F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6975" w:type="dxa"/>
          </w:tcPr>
          <w:p w14:paraId="162D17A2"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Uziarnienie według PN-EN 933-1 [6], wymagana kategoria:</w:t>
            </w:r>
          </w:p>
        </w:tc>
        <w:tc>
          <w:tcPr>
            <w:tcW w:w="2985" w:type="dxa"/>
          </w:tcPr>
          <w:p w14:paraId="5AF061D7"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szCs w:val="20"/>
              </w:rPr>
              <w:t>G</w:t>
            </w:r>
            <w:r w:rsidRPr="006431C4">
              <w:rPr>
                <w:rFonts w:cs="Arial"/>
                <w:szCs w:val="20"/>
                <w:vertAlign w:val="subscript"/>
              </w:rPr>
              <w:t>F</w:t>
            </w:r>
            <w:r w:rsidRPr="006431C4">
              <w:rPr>
                <w:rFonts w:cs="Arial"/>
                <w:szCs w:val="20"/>
              </w:rPr>
              <w:t>85 lub G</w:t>
            </w:r>
            <w:r w:rsidRPr="006431C4">
              <w:rPr>
                <w:rFonts w:cs="Arial"/>
                <w:szCs w:val="20"/>
                <w:vertAlign w:val="subscript"/>
              </w:rPr>
              <w:t>A</w:t>
            </w:r>
            <w:r w:rsidRPr="006431C4">
              <w:rPr>
                <w:rFonts w:cs="Arial"/>
                <w:szCs w:val="20"/>
              </w:rPr>
              <w:t>85</w:t>
            </w:r>
          </w:p>
        </w:tc>
      </w:tr>
      <w:tr w:rsidR="00CF11BE" w:rsidRPr="006431C4" w14:paraId="1A524926" w14:textId="77777777" w:rsidTr="00CF11BE">
        <w:tc>
          <w:tcPr>
            <w:tcW w:w="675" w:type="dxa"/>
          </w:tcPr>
          <w:p w14:paraId="6921A39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6975" w:type="dxa"/>
          </w:tcPr>
          <w:p w14:paraId="4A8CD81A"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Tolerancja uziarnienia; odchylenie nie większe niż według kategorii:</w:t>
            </w:r>
          </w:p>
        </w:tc>
        <w:tc>
          <w:tcPr>
            <w:tcW w:w="2985" w:type="dxa"/>
          </w:tcPr>
          <w:p w14:paraId="184B42E7"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szCs w:val="20"/>
              </w:rPr>
              <w:t>G</w:t>
            </w:r>
            <w:r w:rsidRPr="006431C4">
              <w:rPr>
                <w:rFonts w:cs="Arial"/>
                <w:szCs w:val="20"/>
                <w:vertAlign w:val="subscript"/>
              </w:rPr>
              <w:t>TC</w:t>
            </w:r>
            <w:r w:rsidRPr="006431C4">
              <w:rPr>
                <w:rFonts w:cs="Arial"/>
                <w:szCs w:val="20"/>
              </w:rPr>
              <w:t>NR</w:t>
            </w:r>
          </w:p>
        </w:tc>
      </w:tr>
      <w:tr w:rsidR="00CF11BE" w:rsidRPr="006431C4" w14:paraId="0A204217" w14:textId="77777777" w:rsidTr="00CF11BE">
        <w:tc>
          <w:tcPr>
            <w:tcW w:w="675" w:type="dxa"/>
          </w:tcPr>
          <w:p w14:paraId="61CCF73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6975" w:type="dxa"/>
          </w:tcPr>
          <w:p w14:paraId="0F35E77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pyłów według PN-EN 933-1 [6], kategoria nie wyższa niż:</w:t>
            </w:r>
          </w:p>
        </w:tc>
        <w:tc>
          <w:tcPr>
            <w:tcW w:w="2985" w:type="dxa"/>
          </w:tcPr>
          <w:p w14:paraId="21FD367E"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szCs w:val="20"/>
              </w:rPr>
              <w:sym w:font="Symbol" w:char="F0A6"/>
            </w:r>
            <w:r w:rsidRPr="006431C4">
              <w:rPr>
                <w:rFonts w:cs="Arial"/>
                <w:szCs w:val="20"/>
                <w:vertAlign w:val="subscript"/>
              </w:rPr>
              <w:t>3</w:t>
            </w:r>
          </w:p>
        </w:tc>
      </w:tr>
      <w:tr w:rsidR="00CF11BE" w:rsidRPr="006431C4" w14:paraId="01A37903" w14:textId="77777777" w:rsidTr="00CF11BE">
        <w:tc>
          <w:tcPr>
            <w:tcW w:w="675" w:type="dxa"/>
          </w:tcPr>
          <w:p w14:paraId="1294165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6975" w:type="dxa"/>
          </w:tcPr>
          <w:p w14:paraId="5628F079"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Jakość pyłów według PN-EN 933-9 [11]; kategoria nie wyższa niż:</w:t>
            </w:r>
          </w:p>
        </w:tc>
        <w:tc>
          <w:tcPr>
            <w:tcW w:w="2985" w:type="dxa"/>
          </w:tcPr>
          <w:p w14:paraId="7B9E43FF"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szCs w:val="20"/>
              </w:rPr>
              <w:t>MB</w:t>
            </w:r>
            <w:r w:rsidRPr="006431C4">
              <w:rPr>
                <w:rFonts w:cs="Arial"/>
                <w:szCs w:val="20"/>
                <w:vertAlign w:val="subscript"/>
              </w:rPr>
              <w:t>F</w:t>
            </w:r>
            <w:r w:rsidRPr="006431C4">
              <w:rPr>
                <w:rFonts w:cs="Arial"/>
                <w:szCs w:val="20"/>
              </w:rPr>
              <w:t>10</w:t>
            </w:r>
          </w:p>
        </w:tc>
      </w:tr>
      <w:tr w:rsidR="00CF11BE" w:rsidRPr="006431C4" w14:paraId="3B020B97" w14:textId="77777777" w:rsidTr="00CF11BE">
        <w:tc>
          <w:tcPr>
            <w:tcW w:w="675" w:type="dxa"/>
          </w:tcPr>
          <w:p w14:paraId="776626C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6975" w:type="dxa"/>
          </w:tcPr>
          <w:p w14:paraId="24EB87F4"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Kanciastość kruszywa drobnego lub kruszywa 0/2 wydzielonego z kruszywa o ciągłym uziarnieniu według PN-EN 933-6 [10], rozdz. 8, kategoria nie niższa niż:</w:t>
            </w:r>
          </w:p>
        </w:tc>
        <w:tc>
          <w:tcPr>
            <w:tcW w:w="2985" w:type="dxa"/>
          </w:tcPr>
          <w:p w14:paraId="7ACB55DB"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p>
          <w:p w14:paraId="65A9B7EE"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proofErr w:type="spellStart"/>
            <w:r w:rsidRPr="006431C4">
              <w:rPr>
                <w:rFonts w:cs="Arial"/>
                <w:i/>
                <w:szCs w:val="20"/>
              </w:rPr>
              <w:t>E</w:t>
            </w:r>
            <w:r w:rsidRPr="006431C4">
              <w:rPr>
                <w:rFonts w:cs="Arial"/>
                <w:szCs w:val="20"/>
                <w:vertAlign w:val="subscript"/>
              </w:rPr>
              <w:t>cs</w:t>
            </w:r>
            <w:proofErr w:type="spellEnd"/>
            <w:r w:rsidRPr="006431C4">
              <w:rPr>
                <w:rFonts w:cs="Arial"/>
                <w:szCs w:val="20"/>
                <w:vertAlign w:val="subscript"/>
              </w:rPr>
              <w:t xml:space="preserve"> </w:t>
            </w:r>
            <w:r w:rsidRPr="006431C4">
              <w:rPr>
                <w:rFonts w:cs="Arial"/>
                <w:szCs w:val="20"/>
              </w:rPr>
              <w:t>Deklarowana</w:t>
            </w:r>
          </w:p>
        </w:tc>
      </w:tr>
      <w:tr w:rsidR="00CF11BE" w:rsidRPr="006431C4" w14:paraId="21D7B014" w14:textId="77777777" w:rsidTr="00CF11BE">
        <w:tc>
          <w:tcPr>
            <w:tcW w:w="675" w:type="dxa"/>
          </w:tcPr>
          <w:p w14:paraId="5883696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6975" w:type="dxa"/>
          </w:tcPr>
          <w:p w14:paraId="4470AF66"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Gęstość ziaren według PN-EN 1097-6 [16], rozdz. 7, 8 lub 9:</w:t>
            </w:r>
          </w:p>
        </w:tc>
        <w:tc>
          <w:tcPr>
            <w:tcW w:w="2985" w:type="dxa"/>
          </w:tcPr>
          <w:p w14:paraId="3205C15C" w14:textId="77777777" w:rsidR="00CF11BE" w:rsidRPr="006431C4" w:rsidRDefault="00CF11BE" w:rsidP="00CF11BE">
            <w:pPr>
              <w:overflowPunct w:val="0"/>
              <w:autoSpaceDE w:val="0"/>
              <w:autoSpaceDN w:val="0"/>
              <w:adjustRightInd w:val="0"/>
              <w:spacing w:line="240" w:lineRule="auto"/>
              <w:jc w:val="center"/>
              <w:textAlignment w:val="baseline"/>
              <w:rPr>
                <w:rFonts w:cs="Arial"/>
                <w:b/>
                <w:szCs w:val="20"/>
              </w:rPr>
            </w:pPr>
            <w:r w:rsidRPr="006431C4">
              <w:rPr>
                <w:rFonts w:cs="Arial"/>
                <w:szCs w:val="20"/>
              </w:rPr>
              <w:t>deklarowana przez producenta</w:t>
            </w:r>
          </w:p>
        </w:tc>
      </w:tr>
      <w:tr w:rsidR="00CF11BE" w:rsidRPr="006431C4" w14:paraId="69FD82B1" w14:textId="77777777" w:rsidTr="00CF11BE">
        <w:tc>
          <w:tcPr>
            <w:tcW w:w="675" w:type="dxa"/>
          </w:tcPr>
          <w:p w14:paraId="6A8AB7F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6975" w:type="dxa"/>
          </w:tcPr>
          <w:p w14:paraId="66BFA01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Nasiąkliwość według PN-EN 1097-6 [16], rozdz. 7, 8 lub 9</w:t>
            </w:r>
          </w:p>
        </w:tc>
        <w:tc>
          <w:tcPr>
            <w:tcW w:w="2985" w:type="dxa"/>
            <w:vAlign w:val="center"/>
          </w:tcPr>
          <w:p w14:paraId="606DA91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deklarowana przez producenta</w:t>
            </w:r>
          </w:p>
        </w:tc>
      </w:tr>
      <w:tr w:rsidR="00CF11BE" w:rsidRPr="006431C4" w14:paraId="26DC523B" w14:textId="77777777" w:rsidTr="00CF11BE">
        <w:tc>
          <w:tcPr>
            <w:tcW w:w="675" w:type="dxa"/>
          </w:tcPr>
          <w:p w14:paraId="3D8BB33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6975" w:type="dxa"/>
          </w:tcPr>
          <w:p w14:paraId="33681D6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Grube zanieczyszczenia lekkie, według PN-EN 1744-1 [23] p. 14.2, kategoria nie wyższa niż:</w:t>
            </w:r>
          </w:p>
        </w:tc>
        <w:tc>
          <w:tcPr>
            <w:tcW w:w="2985" w:type="dxa"/>
            <w:vAlign w:val="center"/>
          </w:tcPr>
          <w:p w14:paraId="3C3DB88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m</w:t>
            </w:r>
            <w:r w:rsidRPr="006431C4">
              <w:rPr>
                <w:rFonts w:cs="Arial"/>
                <w:szCs w:val="20"/>
                <w:vertAlign w:val="subscript"/>
              </w:rPr>
              <w:t>LPC</w:t>
            </w:r>
            <w:r w:rsidRPr="006431C4">
              <w:rPr>
                <w:rFonts w:cs="Arial"/>
                <w:szCs w:val="20"/>
              </w:rPr>
              <w:t>0,1</w:t>
            </w:r>
          </w:p>
        </w:tc>
      </w:tr>
    </w:tbl>
    <w:p w14:paraId="6D4B76B3" w14:textId="77777777" w:rsidR="00CF11BE" w:rsidRPr="006431C4" w:rsidRDefault="00CF11BE" w:rsidP="00CF11BE">
      <w:pPr>
        <w:shd w:val="clear" w:color="auto" w:fill="FFFFFF"/>
        <w:overflowPunct w:val="0"/>
        <w:autoSpaceDE w:val="0"/>
        <w:autoSpaceDN w:val="0"/>
        <w:adjustRightInd w:val="0"/>
        <w:spacing w:line="240" w:lineRule="auto"/>
        <w:jc w:val="both"/>
        <w:textAlignment w:val="baseline"/>
        <w:rPr>
          <w:rFonts w:cs="Arial"/>
          <w:b/>
          <w:szCs w:val="20"/>
        </w:rPr>
      </w:pPr>
    </w:p>
    <w:p w14:paraId="0315A5FF" w14:textId="77777777" w:rsidR="00CF11BE" w:rsidRPr="006431C4" w:rsidRDefault="00CF11BE" w:rsidP="00CF11BE">
      <w:pPr>
        <w:shd w:val="clear" w:color="auto" w:fill="FFFFFF"/>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Kruszywo łamane drobne lub o ciągłym uziarnieniu do D≤8  do warstwy ścieralnej  z betonu asfaltowego  powinno spełniać wymagania podane w tablicy  8 .</w:t>
      </w:r>
    </w:p>
    <w:p w14:paraId="708DC994" w14:textId="77777777" w:rsidR="00CF11BE" w:rsidRPr="006431C4" w:rsidRDefault="00CF11BE" w:rsidP="00CF11BE">
      <w:pPr>
        <w:shd w:val="clear" w:color="auto" w:fill="FFFFFF"/>
        <w:overflowPunct w:val="0"/>
        <w:autoSpaceDE w:val="0"/>
        <w:autoSpaceDN w:val="0"/>
        <w:adjustRightInd w:val="0"/>
        <w:spacing w:line="240" w:lineRule="auto"/>
        <w:ind w:left="1321" w:hanging="1321"/>
        <w:jc w:val="both"/>
        <w:textAlignment w:val="baseline"/>
        <w:rPr>
          <w:rFonts w:cs="Arial"/>
          <w:szCs w:val="20"/>
        </w:rPr>
      </w:pPr>
    </w:p>
    <w:p w14:paraId="0A7B177A" w14:textId="77777777" w:rsidR="00CF11BE" w:rsidRPr="006431C4" w:rsidRDefault="00CF11BE" w:rsidP="00CF11BE">
      <w:pPr>
        <w:shd w:val="clear" w:color="auto" w:fill="FFFFFF"/>
        <w:overflowPunct w:val="0"/>
        <w:autoSpaceDE w:val="0"/>
        <w:autoSpaceDN w:val="0"/>
        <w:adjustRightInd w:val="0"/>
        <w:spacing w:line="240" w:lineRule="auto"/>
        <w:jc w:val="both"/>
        <w:textAlignment w:val="baseline"/>
        <w:rPr>
          <w:rFonts w:cs="Arial"/>
          <w:szCs w:val="20"/>
        </w:rPr>
      </w:pPr>
    </w:p>
    <w:p w14:paraId="2F404C4F" w14:textId="77777777" w:rsidR="00CF11BE" w:rsidRPr="006431C4" w:rsidRDefault="00CF11BE" w:rsidP="00CF11BE">
      <w:pPr>
        <w:shd w:val="clear" w:color="auto" w:fill="FFFFFF"/>
        <w:overflowPunct w:val="0"/>
        <w:autoSpaceDE w:val="0"/>
        <w:autoSpaceDN w:val="0"/>
        <w:adjustRightInd w:val="0"/>
        <w:spacing w:line="240" w:lineRule="auto"/>
        <w:ind w:left="1321" w:hanging="1321"/>
        <w:jc w:val="both"/>
        <w:textAlignment w:val="baseline"/>
        <w:rPr>
          <w:rFonts w:cs="Arial"/>
          <w:szCs w:val="20"/>
        </w:rPr>
      </w:pPr>
      <w:r w:rsidRPr="006431C4">
        <w:rPr>
          <w:rFonts w:cs="Arial"/>
          <w:szCs w:val="20"/>
        </w:rPr>
        <w:t>Tablica 8. 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6266"/>
        <w:gridCol w:w="1647"/>
        <w:gridCol w:w="10"/>
        <w:gridCol w:w="1062"/>
        <w:gridCol w:w="7"/>
        <w:gridCol w:w="1069"/>
      </w:tblGrid>
      <w:tr w:rsidR="00CF11BE" w:rsidRPr="006431C4" w14:paraId="56517796" w14:textId="77777777" w:rsidTr="00CF11BE">
        <w:tc>
          <w:tcPr>
            <w:tcW w:w="675" w:type="dxa"/>
            <w:vAlign w:val="center"/>
          </w:tcPr>
          <w:p w14:paraId="50BC33E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6266" w:type="dxa"/>
            <w:vAlign w:val="center"/>
          </w:tcPr>
          <w:p w14:paraId="5F1F665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kruszywa</w:t>
            </w:r>
          </w:p>
        </w:tc>
        <w:tc>
          <w:tcPr>
            <w:tcW w:w="3795" w:type="dxa"/>
            <w:gridSpan w:val="5"/>
            <w:vAlign w:val="center"/>
          </w:tcPr>
          <w:p w14:paraId="52A6713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Wymagania w zależności od kategorii ruchu</w:t>
            </w:r>
          </w:p>
        </w:tc>
      </w:tr>
      <w:tr w:rsidR="00CF11BE" w:rsidRPr="006431C4" w14:paraId="3C26F48C" w14:textId="77777777" w:rsidTr="00CF11BE">
        <w:tc>
          <w:tcPr>
            <w:tcW w:w="675" w:type="dxa"/>
            <w:vAlign w:val="center"/>
          </w:tcPr>
          <w:p w14:paraId="0E6588F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6266" w:type="dxa"/>
            <w:vAlign w:val="center"/>
          </w:tcPr>
          <w:p w14:paraId="68442C8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657" w:type="dxa"/>
            <w:gridSpan w:val="2"/>
            <w:vAlign w:val="center"/>
          </w:tcPr>
          <w:p w14:paraId="1A6DAEE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KR1</w:t>
            </w:r>
          </w:p>
          <w:p w14:paraId="7CDBCF0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 xml:space="preserve"> </w:t>
            </w:r>
            <w:r w:rsidRPr="006431C4">
              <w:rPr>
                <w:rFonts w:cs="Arial"/>
                <w:szCs w:val="20"/>
              </w:rPr>
              <w:sym w:font="Symbol" w:char="F0B8"/>
            </w:r>
            <w:r w:rsidRPr="006431C4">
              <w:rPr>
                <w:rFonts w:cs="Arial"/>
                <w:szCs w:val="20"/>
              </w:rPr>
              <w:t xml:space="preserve"> KR2</w:t>
            </w:r>
          </w:p>
        </w:tc>
        <w:tc>
          <w:tcPr>
            <w:tcW w:w="1069" w:type="dxa"/>
            <w:gridSpan w:val="2"/>
            <w:vAlign w:val="center"/>
          </w:tcPr>
          <w:p w14:paraId="17A203B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 xml:space="preserve">KR3 </w:t>
            </w:r>
          </w:p>
          <w:p w14:paraId="3D75DBC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sym w:font="Symbol" w:char="F0B8"/>
            </w:r>
            <w:r w:rsidRPr="006431C4">
              <w:rPr>
                <w:rFonts w:cs="Arial"/>
                <w:szCs w:val="20"/>
              </w:rPr>
              <w:t xml:space="preserve"> KR4</w:t>
            </w:r>
          </w:p>
        </w:tc>
        <w:tc>
          <w:tcPr>
            <w:tcW w:w="1069" w:type="dxa"/>
            <w:vAlign w:val="center"/>
          </w:tcPr>
          <w:p w14:paraId="6D7E0A2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 xml:space="preserve">KR5 </w:t>
            </w:r>
          </w:p>
          <w:p w14:paraId="175893B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sym w:font="Symbol" w:char="F0B8"/>
            </w:r>
            <w:r w:rsidRPr="006431C4">
              <w:rPr>
                <w:rFonts w:cs="Arial"/>
                <w:szCs w:val="20"/>
              </w:rPr>
              <w:t xml:space="preserve"> KR6</w:t>
            </w:r>
          </w:p>
        </w:tc>
      </w:tr>
      <w:tr w:rsidR="00CF11BE" w:rsidRPr="006431C4" w14:paraId="5D5A30B3" w14:textId="77777777" w:rsidTr="00CF11BE">
        <w:tc>
          <w:tcPr>
            <w:tcW w:w="675" w:type="dxa"/>
          </w:tcPr>
          <w:p w14:paraId="3D80736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1</w:t>
            </w:r>
          </w:p>
        </w:tc>
        <w:tc>
          <w:tcPr>
            <w:tcW w:w="6266" w:type="dxa"/>
          </w:tcPr>
          <w:p w14:paraId="03D725E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 według PN-EN 933-1 [6], wymagana kategoria:</w:t>
            </w:r>
          </w:p>
        </w:tc>
        <w:tc>
          <w:tcPr>
            <w:tcW w:w="3795" w:type="dxa"/>
            <w:gridSpan w:val="5"/>
            <w:vAlign w:val="center"/>
          </w:tcPr>
          <w:p w14:paraId="6FD51A2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F</w:t>
            </w:r>
            <w:r w:rsidRPr="006431C4">
              <w:rPr>
                <w:rFonts w:cs="Arial"/>
                <w:szCs w:val="20"/>
              </w:rPr>
              <w:t>85 lub G</w:t>
            </w:r>
            <w:r w:rsidRPr="006431C4">
              <w:rPr>
                <w:rFonts w:cs="Arial"/>
                <w:szCs w:val="20"/>
                <w:vertAlign w:val="subscript"/>
              </w:rPr>
              <w:t>A</w:t>
            </w:r>
            <w:r w:rsidRPr="006431C4">
              <w:rPr>
                <w:rFonts w:cs="Arial"/>
                <w:szCs w:val="20"/>
              </w:rPr>
              <w:t>85</w:t>
            </w:r>
          </w:p>
        </w:tc>
      </w:tr>
      <w:tr w:rsidR="00CF11BE" w:rsidRPr="006431C4" w14:paraId="64E5193B" w14:textId="77777777" w:rsidTr="00CF11BE">
        <w:tc>
          <w:tcPr>
            <w:tcW w:w="675" w:type="dxa"/>
          </w:tcPr>
          <w:p w14:paraId="680B22B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6266" w:type="dxa"/>
          </w:tcPr>
          <w:p w14:paraId="0E3F783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Tolerancja uziarnienia; odchylenie nie większe niż według kategorii:</w:t>
            </w:r>
          </w:p>
        </w:tc>
        <w:tc>
          <w:tcPr>
            <w:tcW w:w="1657" w:type="dxa"/>
            <w:gridSpan w:val="2"/>
          </w:tcPr>
          <w:p w14:paraId="33F460A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TC</w:t>
            </w:r>
            <w:r w:rsidRPr="006431C4">
              <w:rPr>
                <w:rFonts w:cs="Arial"/>
                <w:szCs w:val="20"/>
              </w:rPr>
              <w:t>NR</w:t>
            </w:r>
          </w:p>
        </w:tc>
        <w:tc>
          <w:tcPr>
            <w:tcW w:w="1069" w:type="dxa"/>
            <w:gridSpan w:val="2"/>
            <w:vAlign w:val="center"/>
          </w:tcPr>
          <w:p w14:paraId="412CABC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TC</w:t>
            </w:r>
            <w:r w:rsidRPr="006431C4">
              <w:rPr>
                <w:rFonts w:cs="Arial"/>
                <w:szCs w:val="20"/>
              </w:rPr>
              <w:t>20</w:t>
            </w:r>
          </w:p>
        </w:tc>
        <w:tc>
          <w:tcPr>
            <w:tcW w:w="1069" w:type="dxa"/>
          </w:tcPr>
          <w:p w14:paraId="69C5D0B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TC</w:t>
            </w:r>
            <w:r w:rsidRPr="006431C4">
              <w:rPr>
                <w:rFonts w:cs="Arial"/>
                <w:szCs w:val="20"/>
              </w:rPr>
              <w:t>20</w:t>
            </w:r>
          </w:p>
        </w:tc>
      </w:tr>
      <w:tr w:rsidR="00CF11BE" w:rsidRPr="006431C4" w14:paraId="53B18A28" w14:textId="77777777" w:rsidTr="00CF11BE">
        <w:tc>
          <w:tcPr>
            <w:tcW w:w="675" w:type="dxa"/>
          </w:tcPr>
          <w:p w14:paraId="4405C5F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6266" w:type="dxa"/>
          </w:tcPr>
          <w:p w14:paraId="2C88BD9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pyłów według PN-EN 933-1 [6], kategoria nie wyższa niż:</w:t>
            </w:r>
          </w:p>
        </w:tc>
        <w:tc>
          <w:tcPr>
            <w:tcW w:w="3795" w:type="dxa"/>
            <w:gridSpan w:val="5"/>
            <w:vAlign w:val="center"/>
          </w:tcPr>
          <w:p w14:paraId="14DF404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A6"/>
            </w:r>
            <w:r w:rsidRPr="006431C4">
              <w:rPr>
                <w:rFonts w:cs="Arial"/>
                <w:szCs w:val="20"/>
                <w:vertAlign w:val="subscript"/>
              </w:rPr>
              <w:t>16</w:t>
            </w:r>
          </w:p>
        </w:tc>
      </w:tr>
      <w:tr w:rsidR="00CF11BE" w:rsidRPr="006431C4" w14:paraId="635A5787" w14:textId="77777777" w:rsidTr="00CF11BE">
        <w:tc>
          <w:tcPr>
            <w:tcW w:w="675" w:type="dxa"/>
          </w:tcPr>
          <w:p w14:paraId="5D0DFA5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6266" w:type="dxa"/>
          </w:tcPr>
          <w:p w14:paraId="7C4AE02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Jakość pyłów według PN-EN 933-9 [11]; kategoria nie wyższa niż:</w:t>
            </w:r>
          </w:p>
        </w:tc>
        <w:tc>
          <w:tcPr>
            <w:tcW w:w="3795" w:type="dxa"/>
            <w:gridSpan w:val="5"/>
            <w:vAlign w:val="center"/>
          </w:tcPr>
          <w:p w14:paraId="5F87447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MB</w:t>
            </w:r>
            <w:r w:rsidRPr="006431C4">
              <w:rPr>
                <w:rFonts w:cs="Arial"/>
                <w:szCs w:val="20"/>
                <w:vertAlign w:val="subscript"/>
              </w:rPr>
              <w:t>F</w:t>
            </w:r>
            <w:r w:rsidRPr="006431C4">
              <w:rPr>
                <w:rFonts w:cs="Arial"/>
                <w:szCs w:val="20"/>
              </w:rPr>
              <w:t>10</w:t>
            </w:r>
          </w:p>
        </w:tc>
      </w:tr>
      <w:tr w:rsidR="00CF11BE" w:rsidRPr="006431C4" w14:paraId="1D75F4E8" w14:textId="77777777" w:rsidTr="00CF11BE">
        <w:tc>
          <w:tcPr>
            <w:tcW w:w="675" w:type="dxa"/>
          </w:tcPr>
          <w:p w14:paraId="1BDCCF2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6266" w:type="dxa"/>
          </w:tcPr>
          <w:p w14:paraId="0102ECD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Kanciastość kruszywa drobnego według PN-EN 933-6 [10], rozdz. 8, kategoria nie niższa niż:</w:t>
            </w:r>
          </w:p>
        </w:tc>
        <w:tc>
          <w:tcPr>
            <w:tcW w:w="1647" w:type="dxa"/>
            <w:vAlign w:val="center"/>
          </w:tcPr>
          <w:p w14:paraId="6844FBB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E</w:t>
            </w:r>
            <w:r w:rsidRPr="006431C4">
              <w:rPr>
                <w:rFonts w:cs="Arial"/>
                <w:szCs w:val="20"/>
                <w:vertAlign w:val="subscript"/>
              </w:rPr>
              <w:t>cs</w:t>
            </w:r>
            <w:r w:rsidRPr="006431C4">
              <w:rPr>
                <w:rFonts w:cs="Arial"/>
                <w:szCs w:val="20"/>
              </w:rPr>
              <w:t>Deklarowana</w:t>
            </w:r>
          </w:p>
        </w:tc>
        <w:tc>
          <w:tcPr>
            <w:tcW w:w="1072" w:type="dxa"/>
            <w:gridSpan w:val="2"/>
          </w:tcPr>
          <w:p w14:paraId="3979DF92" w14:textId="77777777" w:rsidR="00CF11BE" w:rsidRPr="006431C4" w:rsidRDefault="00CF11BE" w:rsidP="00CF11BE">
            <w:pPr>
              <w:overflowPunct w:val="0"/>
              <w:autoSpaceDE w:val="0"/>
              <w:autoSpaceDN w:val="0"/>
              <w:adjustRightInd w:val="0"/>
              <w:spacing w:line="240" w:lineRule="auto"/>
              <w:jc w:val="both"/>
              <w:textAlignment w:val="baseline"/>
              <w:rPr>
                <w:rFonts w:cs="Arial"/>
                <w:i/>
                <w:szCs w:val="20"/>
              </w:rPr>
            </w:pPr>
          </w:p>
          <w:p w14:paraId="1382B08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i/>
                <w:szCs w:val="20"/>
              </w:rPr>
              <w:t>E</w:t>
            </w:r>
            <w:r w:rsidRPr="006431C4">
              <w:rPr>
                <w:rFonts w:cs="Arial"/>
                <w:szCs w:val="20"/>
                <w:vertAlign w:val="subscript"/>
              </w:rPr>
              <w:t>cs</w:t>
            </w:r>
            <w:r w:rsidRPr="006431C4">
              <w:rPr>
                <w:rFonts w:cs="Arial"/>
                <w:szCs w:val="20"/>
              </w:rPr>
              <w:t>30</w:t>
            </w:r>
          </w:p>
        </w:tc>
        <w:tc>
          <w:tcPr>
            <w:tcW w:w="1076" w:type="dxa"/>
            <w:gridSpan w:val="2"/>
          </w:tcPr>
          <w:p w14:paraId="17BB896F" w14:textId="77777777" w:rsidR="00CF11BE" w:rsidRPr="006431C4" w:rsidRDefault="00CF11BE" w:rsidP="00CF11BE">
            <w:pPr>
              <w:overflowPunct w:val="0"/>
              <w:autoSpaceDE w:val="0"/>
              <w:autoSpaceDN w:val="0"/>
              <w:adjustRightInd w:val="0"/>
              <w:spacing w:line="240" w:lineRule="auto"/>
              <w:jc w:val="both"/>
              <w:textAlignment w:val="baseline"/>
              <w:rPr>
                <w:rFonts w:cs="Arial"/>
                <w:i/>
                <w:szCs w:val="20"/>
              </w:rPr>
            </w:pPr>
          </w:p>
          <w:p w14:paraId="10941F0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i/>
                <w:szCs w:val="20"/>
              </w:rPr>
              <w:t>E</w:t>
            </w:r>
            <w:r w:rsidRPr="006431C4">
              <w:rPr>
                <w:rFonts w:cs="Arial"/>
                <w:szCs w:val="20"/>
                <w:vertAlign w:val="subscript"/>
              </w:rPr>
              <w:t>cs</w:t>
            </w:r>
            <w:r w:rsidRPr="006431C4">
              <w:rPr>
                <w:rFonts w:cs="Arial"/>
                <w:szCs w:val="20"/>
              </w:rPr>
              <w:t>30</w:t>
            </w:r>
          </w:p>
        </w:tc>
      </w:tr>
      <w:tr w:rsidR="00CF11BE" w:rsidRPr="006431C4" w14:paraId="14DBF38E" w14:textId="77777777" w:rsidTr="00CF11BE">
        <w:tc>
          <w:tcPr>
            <w:tcW w:w="675" w:type="dxa"/>
          </w:tcPr>
          <w:p w14:paraId="51411AB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6266" w:type="dxa"/>
          </w:tcPr>
          <w:p w14:paraId="49AA74F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Gęstość ziaren według PN-EN 1097-6 [16], rozdz. 7, 8 lub 9:</w:t>
            </w:r>
          </w:p>
        </w:tc>
        <w:tc>
          <w:tcPr>
            <w:tcW w:w="3795" w:type="dxa"/>
            <w:gridSpan w:val="5"/>
            <w:vAlign w:val="center"/>
          </w:tcPr>
          <w:p w14:paraId="2B55C7B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deklarowana przez producenta</w:t>
            </w:r>
          </w:p>
        </w:tc>
      </w:tr>
      <w:tr w:rsidR="00CF11BE" w:rsidRPr="006431C4" w14:paraId="73FCDD65" w14:textId="77777777" w:rsidTr="00CF11BE">
        <w:tc>
          <w:tcPr>
            <w:tcW w:w="675" w:type="dxa"/>
          </w:tcPr>
          <w:p w14:paraId="551B3EE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6266" w:type="dxa"/>
          </w:tcPr>
          <w:p w14:paraId="114976E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Nasiąkliwość według PN-EN 1097-6 [16], rozdz. 7, 8 lub 9</w:t>
            </w:r>
          </w:p>
        </w:tc>
        <w:tc>
          <w:tcPr>
            <w:tcW w:w="3795" w:type="dxa"/>
            <w:gridSpan w:val="5"/>
            <w:vAlign w:val="center"/>
          </w:tcPr>
          <w:p w14:paraId="4A63DC0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deklarowana przez producenta</w:t>
            </w:r>
          </w:p>
        </w:tc>
      </w:tr>
      <w:tr w:rsidR="00CF11BE" w:rsidRPr="006431C4" w14:paraId="744393D6" w14:textId="77777777" w:rsidTr="00CF11BE">
        <w:tc>
          <w:tcPr>
            <w:tcW w:w="675" w:type="dxa"/>
          </w:tcPr>
          <w:p w14:paraId="46C6584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6266" w:type="dxa"/>
          </w:tcPr>
          <w:p w14:paraId="4234E3D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Grube zanieczyszczenia lekkie, według PN-EN 1744-1 [23] p. 14.2, kategoria nie wyższa niż:</w:t>
            </w:r>
          </w:p>
        </w:tc>
        <w:tc>
          <w:tcPr>
            <w:tcW w:w="3795" w:type="dxa"/>
            <w:gridSpan w:val="5"/>
            <w:vAlign w:val="center"/>
          </w:tcPr>
          <w:p w14:paraId="0214D53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m</w:t>
            </w:r>
            <w:r w:rsidRPr="006431C4">
              <w:rPr>
                <w:rFonts w:cs="Arial"/>
                <w:szCs w:val="20"/>
                <w:vertAlign w:val="subscript"/>
              </w:rPr>
              <w:t>LPC</w:t>
            </w:r>
            <w:r w:rsidRPr="006431C4">
              <w:rPr>
                <w:rFonts w:cs="Arial"/>
                <w:szCs w:val="20"/>
              </w:rPr>
              <w:t>0,1</w:t>
            </w:r>
          </w:p>
        </w:tc>
      </w:tr>
    </w:tbl>
    <w:p w14:paraId="5F8B6D2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02E878F9" w14:textId="77777777" w:rsidR="00CF11BE" w:rsidRPr="006431C4" w:rsidRDefault="00CF11BE" w:rsidP="00CF11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Do warstwy ścieralnej z betonu asfaltowego, w zależności od kategorii ruchu,  należy stosować wypełniacz spełniający wymagania podane w tablicy 9.</w:t>
      </w:r>
    </w:p>
    <w:p w14:paraId="2B759437" w14:textId="77777777" w:rsidR="00CF11BE" w:rsidRPr="006431C4" w:rsidRDefault="00CF11BE" w:rsidP="00CF11BE">
      <w:pPr>
        <w:tabs>
          <w:tab w:val="left" w:pos="1134"/>
        </w:tabs>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9.</w:t>
      </w:r>
      <w:r w:rsidRPr="006431C4">
        <w:rPr>
          <w:rFonts w:cs="Arial"/>
          <w:szCs w:val="20"/>
        </w:rPr>
        <w:tab/>
        <w:t>Wymagane właściwości wypełniacza do warstwy ścieralnej  z betonu asfaltowego</w:t>
      </w:r>
    </w:p>
    <w:tbl>
      <w:tblPr>
        <w:tblW w:w="106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6375"/>
        <w:gridCol w:w="1142"/>
        <w:gridCol w:w="1142"/>
        <w:gridCol w:w="1316"/>
      </w:tblGrid>
      <w:tr w:rsidR="00CF11BE" w:rsidRPr="006431C4" w14:paraId="5E301B3F" w14:textId="77777777" w:rsidTr="00CF11BE">
        <w:tc>
          <w:tcPr>
            <w:tcW w:w="708" w:type="dxa"/>
            <w:vMerge w:val="restart"/>
            <w:vAlign w:val="center"/>
          </w:tcPr>
          <w:p w14:paraId="58C3DED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6375" w:type="dxa"/>
            <w:vMerge w:val="restart"/>
            <w:vAlign w:val="center"/>
          </w:tcPr>
          <w:p w14:paraId="6D47EAC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kruszywa</w:t>
            </w:r>
          </w:p>
        </w:tc>
        <w:tc>
          <w:tcPr>
            <w:tcW w:w="3600" w:type="dxa"/>
            <w:gridSpan w:val="3"/>
            <w:vAlign w:val="center"/>
          </w:tcPr>
          <w:p w14:paraId="7B0732A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Wymagania w zależności od kategorii ruchu</w:t>
            </w:r>
          </w:p>
        </w:tc>
      </w:tr>
      <w:tr w:rsidR="00CF11BE" w:rsidRPr="006431C4" w14:paraId="0289DB7C" w14:textId="77777777" w:rsidTr="00CF11BE">
        <w:tc>
          <w:tcPr>
            <w:tcW w:w="708" w:type="dxa"/>
            <w:vMerge/>
            <w:vAlign w:val="center"/>
          </w:tcPr>
          <w:p w14:paraId="7692183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6375" w:type="dxa"/>
            <w:vMerge/>
            <w:vAlign w:val="center"/>
          </w:tcPr>
          <w:p w14:paraId="5DB848D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142" w:type="dxa"/>
            <w:vAlign w:val="center"/>
          </w:tcPr>
          <w:p w14:paraId="01CECC4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KR1 </w:t>
            </w:r>
            <w:r w:rsidRPr="006431C4">
              <w:rPr>
                <w:rFonts w:cs="Arial"/>
                <w:szCs w:val="20"/>
              </w:rPr>
              <w:sym w:font="Symbol" w:char="F0B8"/>
            </w:r>
            <w:r w:rsidRPr="006431C4">
              <w:rPr>
                <w:rFonts w:cs="Arial"/>
                <w:szCs w:val="20"/>
              </w:rPr>
              <w:t xml:space="preserve"> KR2</w:t>
            </w:r>
          </w:p>
        </w:tc>
        <w:tc>
          <w:tcPr>
            <w:tcW w:w="1142" w:type="dxa"/>
            <w:vAlign w:val="center"/>
          </w:tcPr>
          <w:p w14:paraId="757E87E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KR3 </w:t>
            </w:r>
            <w:r w:rsidRPr="006431C4">
              <w:rPr>
                <w:rFonts w:cs="Arial"/>
                <w:szCs w:val="20"/>
              </w:rPr>
              <w:sym w:font="Symbol" w:char="F0B8"/>
            </w:r>
            <w:r w:rsidRPr="006431C4">
              <w:rPr>
                <w:rFonts w:cs="Arial"/>
                <w:szCs w:val="20"/>
              </w:rPr>
              <w:t xml:space="preserve"> KR4</w:t>
            </w:r>
          </w:p>
        </w:tc>
        <w:tc>
          <w:tcPr>
            <w:tcW w:w="1316" w:type="dxa"/>
            <w:vAlign w:val="center"/>
          </w:tcPr>
          <w:p w14:paraId="123125F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KR5 </w:t>
            </w:r>
            <w:r w:rsidRPr="006431C4">
              <w:rPr>
                <w:rFonts w:cs="Arial"/>
                <w:szCs w:val="20"/>
              </w:rPr>
              <w:sym w:font="Symbol" w:char="F0B8"/>
            </w:r>
            <w:r w:rsidRPr="006431C4">
              <w:rPr>
                <w:rFonts w:cs="Arial"/>
                <w:szCs w:val="20"/>
              </w:rPr>
              <w:t xml:space="preserve"> KR6</w:t>
            </w:r>
          </w:p>
        </w:tc>
      </w:tr>
      <w:tr w:rsidR="00CF11BE" w:rsidRPr="006431C4" w14:paraId="62817369" w14:textId="77777777" w:rsidTr="00CF11BE">
        <w:tc>
          <w:tcPr>
            <w:tcW w:w="708" w:type="dxa"/>
          </w:tcPr>
          <w:p w14:paraId="7DB5CF5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6375" w:type="dxa"/>
          </w:tcPr>
          <w:p w14:paraId="42E0AF7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 według PN-EN 933-10 [12]</w:t>
            </w:r>
          </w:p>
        </w:tc>
        <w:tc>
          <w:tcPr>
            <w:tcW w:w="3600" w:type="dxa"/>
            <w:gridSpan w:val="3"/>
            <w:vAlign w:val="center"/>
          </w:tcPr>
          <w:p w14:paraId="40B7B40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zgodnie z tablicą 24 w PN-EN 13043 [49]</w:t>
            </w:r>
          </w:p>
        </w:tc>
      </w:tr>
      <w:tr w:rsidR="00CF11BE" w:rsidRPr="006431C4" w14:paraId="5D52D121" w14:textId="77777777" w:rsidTr="00CF11BE">
        <w:tc>
          <w:tcPr>
            <w:tcW w:w="708" w:type="dxa"/>
          </w:tcPr>
          <w:p w14:paraId="1B35765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6375" w:type="dxa"/>
          </w:tcPr>
          <w:p w14:paraId="6D08958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Jakość pyłów według PN-EN 933-9 [11]; kategoria nie wyższa niż:</w:t>
            </w:r>
          </w:p>
        </w:tc>
        <w:tc>
          <w:tcPr>
            <w:tcW w:w="3600" w:type="dxa"/>
            <w:gridSpan w:val="3"/>
            <w:vAlign w:val="center"/>
          </w:tcPr>
          <w:p w14:paraId="7D5C69C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MB</w:t>
            </w:r>
            <w:r w:rsidRPr="006431C4">
              <w:rPr>
                <w:rFonts w:cs="Arial"/>
                <w:szCs w:val="20"/>
                <w:vertAlign w:val="subscript"/>
              </w:rPr>
              <w:t>F</w:t>
            </w:r>
            <w:r w:rsidRPr="006431C4">
              <w:rPr>
                <w:rFonts w:cs="Arial"/>
                <w:szCs w:val="20"/>
              </w:rPr>
              <w:t>10</w:t>
            </w:r>
          </w:p>
        </w:tc>
      </w:tr>
      <w:tr w:rsidR="00CF11BE" w:rsidRPr="006431C4" w14:paraId="0BA209BD" w14:textId="77777777" w:rsidTr="00CF11BE">
        <w:tc>
          <w:tcPr>
            <w:tcW w:w="708" w:type="dxa"/>
          </w:tcPr>
          <w:p w14:paraId="4D2DD71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6375" w:type="dxa"/>
          </w:tcPr>
          <w:p w14:paraId="72A1BA7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wody według PN-EN 1097-5 [15], nie wyższa niż:</w:t>
            </w:r>
          </w:p>
        </w:tc>
        <w:tc>
          <w:tcPr>
            <w:tcW w:w="3600" w:type="dxa"/>
            <w:gridSpan w:val="3"/>
            <w:vAlign w:val="center"/>
          </w:tcPr>
          <w:p w14:paraId="417A4B2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1 % (m/m)</w:t>
            </w:r>
          </w:p>
        </w:tc>
      </w:tr>
      <w:tr w:rsidR="00CF11BE" w:rsidRPr="006431C4" w14:paraId="24177F1A" w14:textId="77777777" w:rsidTr="00CF11BE">
        <w:tc>
          <w:tcPr>
            <w:tcW w:w="708" w:type="dxa"/>
          </w:tcPr>
          <w:p w14:paraId="625C40B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6375" w:type="dxa"/>
          </w:tcPr>
          <w:p w14:paraId="082BC15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Gęstość ziaren według PN-EN 1097-7 [17]</w:t>
            </w:r>
          </w:p>
        </w:tc>
        <w:tc>
          <w:tcPr>
            <w:tcW w:w="3600" w:type="dxa"/>
            <w:gridSpan w:val="3"/>
            <w:vAlign w:val="center"/>
          </w:tcPr>
          <w:p w14:paraId="11A5E38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deklarowana przez producenta</w:t>
            </w:r>
          </w:p>
        </w:tc>
      </w:tr>
      <w:tr w:rsidR="00CF11BE" w:rsidRPr="006431C4" w14:paraId="51AF3FF7" w14:textId="77777777" w:rsidTr="00CF11BE">
        <w:tc>
          <w:tcPr>
            <w:tcW w:w="708" w:type="dxa"/>
          </w:tcPr>
          <w:p w14:paraId="3473CAF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6375" w:type="dxa"/>
          </w:tcPr>
          <w:p w14:paraId="593EE46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Wolne przestrzenie w suchym zagęszczonym wypełniaczu według PN-EN 1097-4 [14], wymagana kategoria:</w:t>
            </w:r>
          </w:p>
        </w:tc>
        <w:tc>
          <w:tcPr>
            <w:tcW w:w="3600" w:type="dxa"/>
            <w:gridSpan w:val="3"/>
            <w:vAlign w:val="center"/>
          </w:tcPr>
          <w:p w14:paraId="5CCD793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V</w:t>
            </w:r>
            <w:r w:rsidRPr="006431C4">
              <w:rPr>
                <w:rFonts w:cs="Arial"/>
                <w:szCs w:val="20"/>
                <w:vertAlign w:val="subscript"/>
              </w:rPr>
              <w:t>28/45</w:t>
            </w:r>
          </w:p>
        </w:tc>
      </w:tr>
      <w:tr w:rsidR="00CF11BE" w:rsidRPr="006431C4" w14:paraId="0FBB3150" w14:textId="77777777" w:rsidTr="00CF11BE">
        <w:tc>
          <w:tcPr>
            <w:tcW w:w="708" w:type="dxa"/>
          </w:tcPr>
          <w:p w14:paraId="4B35C78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6375" w:type="dxa"/>
          </w:tcPr>
          <w:p w14:paraId="6934C6A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Przyrost temperatury mięknienia według PN-EN 13179-1 [54], wymagana kategoria:</w:t>
            </w:r>
          </w:p>
        </w:tc>
        <w:tc>
          <w:tcPr>
            <w:tcW w:w="3600" w:type="dxa"/>
            <w:gridSpan w:val="3"/>
            <w:vAlign w:val="center"/>
          </w:tcPr>
          <w:p w14:paraId="28B7015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44"/>
            </w:r>
            <w:r w:rsidRPr="006431C4">
              <w:rPr>
                <w:rFonts w:cs="Arial"/>
                <w:szCs w:val="20"/>
                <w:vertAlign w:val="subscript"/>
              </w:rPr>
              <w:t>R&amp;B</w:t>
            </w:r>
            <w:r w:rsidRPr="006431C4">
              <w:rPr>
                <w:rFonts w:cs="Arial"/>
                <w:szCs w:val="20"/>
              </w:rPr>
              <w:t>8/25</w:t>
            </w:r>
          </w:p>
        </w:tc>
      </w:tr>
      <w:tr w:rsidR="00CF11BE" w:rsidRPr="006431C4" w14:paraId="0B77D93C" w14:textId="77777777" w:rsidTr="00CF11BE">
        <w:tc>
          <w:tcPr>
            <w:tcW w:w="708" w:type="dxa"/>
          </w:tcPr>
          <w:p w14:paraId="1B5F813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6375" w:type="dxa"/>
          </w:tcPr>
          <w:p w14:paraId="39ECC27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Rozpuszczalność w wodzie według PN-EN 1744-1 [23], kategoria nie wyższa niż:</w:t>
            </w:r>
          </w:p>
        </w:tc>
        <w:tc>
          <w:tcPr>
            <w:tcW w:w="3600" w:type="dxa"/>
            <w:gridSpan w:val="3"/>
            <w:vAlign w:val="center"/>
          </w:tcPr>
          <w:p w14:paraId="4AED44D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WS</w:t>
            </w:r>
            <w:r w:rsidRPr="006431C4">
              <w:rPr>
                <w:rFonts w:cs="Arial"/>
                <w:szCs w:val="20"/>
                <w:vertAlign w:val="subscript"/>
              </w:rPr>
              <w:t>10</w:t>
            </w:r>
          </w:p>
        </w:tc>
      </w:tr>
      <w:tr w:rsidR="00CF11BE" w:rsidRPr="006431C4" w14:paraId="4D8328F5" w14:textId="77777777" w:rsidTr="00CF11BE">
        <w:tc>
          <w:tcPr>
            <w:tcW w:w="708" w:type="dxa"/>
          </w:tcPr>
          <w:p w14:paraId="0FD58B7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6375" w:type="dxa"/>
          </w:tcPr>
          <w:p w14:paraId="0E53542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CaCO</w:t>
            </w:r>
            <w:r w:rsidRPr="006431C4">
              <w:rPr>
                <w:rFonts w:cs="Arial"/>
                <w:szCs w:val="20"/>
                <w:vertAlign w:val="subscript"/>
              </w:rPr>
              <w:t>3</w:t>
            </w:r>
            <w:r w:rsidRPr="006431C4">
              <w:rPr>
                <w:rFonts w:cs="Arial"/>
                <w:szCs w:val="20"/>
              </w:rPr>
              <w:t xml:space="preserve"> w wypełniaczu wapiennym według PN-EN 196-2 [3], kategoria nie niższa niż:</w:t>
            </w:r>
          </w:p>
        </w:tc>
        <w:tc>
          <w:tcPr>
            <w:tcW w:w="3600" w:type="dxa"/>
            <w:gridSpan w:val="3"/>
            <w:vAlign w:val="center"/>
          </w:tcPr>
          <w:p w14:paraId="2DD1324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CC</w:t>
            </w:r>
            <w:r w:rsidRPr="006431C4">
              <w:rPr>
                <w:rFonts w:cs="Arial"/>
                <w:szCs w:val="20"/>
                <w:vertAlign w:val="subscript"/>
              </w:rPr>
              <w:t>70</w:t>
            </w:r>
          </w:p>
        </w:tc>
      </w:tr>
      <w:tr w:rsidR="00CF11BE" w:rsidRPr="006431C4" w14:paraId="1F1D66D8" w14:textId="77777777" w:rsidTr="00CF11BE">
        <w:tc>
          <w:tcPr>
            <w:tcW w:w="708" w:type="dxa"/>
          </w:tcPr>
          <w:p w14:paraId="3BC7244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6375" w:type="dxa"/>
          </w:tcPr>
          <w:p w14:paraId="61C8B45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wodorotlenku wapnia w wypełniaczu mieszanym wg PN-EN 459-2 [4], wymagana kategoria:</w:t>
            </w:r>
          </w:p>
        </w:tc>
        <w:tc>
          <w:tcPr>
            <w:tcW w:w="3600" w:type="dxa"/>
            <w:gridSpan w:val="3"/>
            <w:vAlign w:val="center"/>
          </w:tcPr>
          <w:p w14:paraId="6BBBCFB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w:t>
            </w:r>
            <w:r w:rsidRPr="006431C4">
              <w:rPr>
                <w:rFonts w:cs="Arial"/>
                <w:szCs w:val="20"/>
                <w:vertAlign w:val="subscript"/>
              </w:rPr>
              <w:t>a</w:t>
            </w:r>
            <w:r w:rsidRPr="006431C4">
              <w:rPr>
                <w:rFonts w:cs="Arial"/>
                <w:szCs w:val="20"/>
              </w:rPr>
              <w:t>20</w:t>
            </w:r>
          </w:p>
        </w:tc>
      </w:tr>
      <w:tr w:rsidR="00CF11BE" w:rsidRPr="006431C4" w14:paraId="159A88A4" w14:textId="77777777" w:rsidTr="00CF11BE">
        <w:tc>
          <w:tcPr>
            <w:tcW w:w="708" w:type="dxa"/>
          </w:tcPr>
          <w:p w14:paraId="45FF369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6375" w:type="dxa"/>
          </w:tcPr>
          <w:p w14:paraId="6ADD718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„Liczba asfaltowa” według PN-EN 13179-2 [55], wymagana kategoria:</w:t>
            </w:r>
          </w:p>
        </w:tc>
        <w:tc>
          <w:tcPr>
            <w:tcW w:w="3600" w:type="dxa"/>
            <w:gridSpan w:val="3"/>
            <w:vAlign w:val="center"/>
          </w:tcPr>
          <w:p w14:paraId="4C5936D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BN</w:t>
            </w:r>
            <w:r w:rsidRPr="006431C4">
              <w:rPr>
                <w:rFonts w:cs="Arial"/>
                <w:szCs w:val="20"/>
                <w:vertAlign w:val="subscript"/>
              </w:rPr>
              <w:t>Deklarowana</w:t>
            </w:r>
          </w:p>
        </w:tc>
      </w:tr>
    </w:tbl>
    <w:p w14:paraId="6478B29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r>
    </w:p>
    <w:p w14:paraId="056797A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7232C5B9"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2.4. Kruszywo do uszorstnienia</w:t>
      </w:r>
    </w:p>
    <w:p w14:paraId="20D8506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Nie wymaga się uszorstnienia warstwy ścieralnej z betonu asfaltowego.</w:t>
      </w:r>
    </w:p>
    <w:p w14:paraId="2591658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r>
    </w:p>
    <w:p w14:paraId="55F17570"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b/>
          <w:szCs w:val="20"/>
        </w:rPr>
        <w:t>2.5. Środek adhezyjny</w:t>
      </w:r>
    </w:p>
    <w:p w14:paraId="2B3331C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14:paraId="6608EB2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Środek adhezyjny powinien odpowiadać wymaganiom określonym przez producenta.</w:t>
      </w:r>
    </w:p>
    <w:p w14:paraId="7F31B41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Składowanie środka adhezyjnego jest dozwolone tylko w oryginalnych opakowaniach, w warunkach określonych przez producenta.</w:t>
      </w:r>
    </w:p>
    <w:p w14:paraId="30D6EBC4"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2.6. Materiały do uszczelnienia połączeń i krawędzi</w:t>
      </w:r>
    </w:p>
    <w:p w14:paraId="401F792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14:paraId="127864F4" w14:textId="77777777" w:rsidR="00CF11BE" w:rsidRPr="006431C4" w:rsidRDefault="00CF11BE" w:rsidP="00CF11BE">
      <w:pPr>
        <w:tabs>
          <w:tab w:val="left" w:pos="1620"/>
        </w:tabs>
        <w:overflowPunct w:val="0"/>
        <w:autoSpaceDE w:val="0"/>
        <w:autoSpaceDN w:val="0"/>
        <w:adjustRightInd w:val="0"/>
        <w:spacing w:line="240" w:lineRule="auto"/>
        <w:jc w:val="both"/>
        <w:textAlignment w:val="baseline"/>
        <w:rPr>
          <w:rFonts w:cs="Arial"/>
          <w:szCs w:val="20"/>
        </w:rPr>
      </w:pPr>
    </w:p>
    <w:p w14:paraId="2FC5A18F" w14:textId="77777777" w:rsidR="00CF11BE" w:rsidRPr="006431C4" w:rsidRDefault="00CF11BE" w:rsidP="00CF11BE">
      <w:pPr>
        <w:tabs>
          <w:tab w:val="left" w:pos="1620"/>
        </w:tabs>
        <w:overflowPunct w:val="0"/>
        <w:autoSpaceDE w:val="0"/>
        <w:autoSpaceDN w:val="0"/>
        <w:adjustRightInd w:val="0"/>
        <w:spacing w:line="240" w:lineRule="auto"/>
        <w:jc w:val="both"/>
        <w:textAlignment w:val="baseline"/>
        <w:rPr>
          <w:rFonts w:cs="Arial"/>
          <w:szCs w:val="20"/>
        </w:rPr>
      </w:pPr>
    </w:p>
    <w:p w14:paraId="4BD3B846" w14:textId="77777777" w:rsidR="00CF11BE" w:rsidRPr="006431C4" w:rsidRDefault="00CF11BE" w:rsidP="00CF11BE">
      <w:pPr>
        <w:tabs>
          <w:tab w:val="left" w:pos="1134"/>
        </w:tabs>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10.</w:t>
      </w:r>
      <w:r w:rsidRPr="006431C4">
        <w:rPr>
          <w:rFonts w:cs="Arial"/>
          <w:szCs w:val="20"/>
        </w:rPr>
        <w:tab/>
        <w:t>Materiały do złączy między fragmentami zagęszczonej MMA rozkładanej metodą „gorące przy zimnym”</w:t>
      </w:r>
    </w:p>
    <w:tbl>
      <w:tblPr>
        <w:tblW w:w="106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2804"/>
        <w:gridCol w:w="1418"/>
        <w:gridCol w:w="2892"/>
      </w:tblGrid>
      <w:tr w:rsidR="00CF11BE" w:rsidRPr="006431C4" w14:paraId="57B8BEFD" w14:textId="77777777" w:rsidTr="00CF11BE">
        <w:tc>
          <w:tcPr>
            <w:tcW w:w="1785" w:type="dxa"/>
            <w:vMerge w:val="restart"/>
            <w:vAlign w:val="center"/>
          </w:tcPr>
          <w:p w14:paraId="145140A8"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warstwy</w:t>
            </w:r>
          </w:p>
        </w:tc>
        <w:tc>
          <w:tcPr>
            <w:tcW w:w="4589" w:type="dxa"/>
            <w:gridSpan w:val="2"/>
            <w:vAlign w:val="center"/>
          </w:tcPr>
          <w:p w14:paraId="0C2A1DBD"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Złącze podłużne</w:t>
            </w:r>
          </w:p>
        </w:tc>
        <w:tc>
          <w:tcPr>
            <w:tcW w:w="4310" w:type="dxa"/>
            <w:gridSpan w:val="2"/>
            <w:vAlign w:val="center"/>
          </w:tcPr>
          <w:p w14:paraId="46C391AF"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Złącze poprzeczne</w:t>
            </w:r>
          </w:p>
        </w:tc>
      </w:tr>
      <w:tr w:rsidR="00CF11BE" w:rsidRPr="006431C4" w14:paraId="25BBAFAA" w14:textId="77777777" w:rsidTr="00CF11BE">
        <w:tc>
          <w:tcPr>
            <w:tcW w:w="1785" w:type="dxa"/>
            <w:vMerge/>
            <w:vAlign w:val="center"/>
          </w:tcPr>
          <w:p w14:paraId="6583D6A3"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p>
        </w:tc>
        <w:tc>
          <w:tcPr>
            <w:tcW w:w="1785" w:type="dxa"/>
            <w:vAlign w:val="center"/>
          </w:tcPr>
          <w:p w14:paraId="0DCE062E"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Ruch</w:t>
            </w:r>
          </w:p>
        </w:tc>
        <w:tc>
          <w:tcPr>
            <w:tcW w:w="2804" w:type="dxa"/>
            <w:vAlign w:val="center"/>
          </w:tcPr>
          <w:p w14:paraId="33CFD9D2"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materiału</w:t>
            </w:r>
          </w:p>
        </w:tc>
        <w:tc>
          <w:tcPr>
            <w:tcW w:w="1418" w:type="dxa"/>
            <w:vAlign w:val="center"/>
          </w:tcPr>
          <w:p w14:paraId="47E40F3A"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Ruch</w:t>
            </w:r>
          </w:p>
        </w:tc>
        <w:tc>
          <w:tcPr>
            <w:tcW w:w="2892" w:type="dxa"/>
            <w:vAlign w:val="center"/>
          </w:tcPr>
          <w:p w14:paraId="1328F7EB"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materiału</w:t>
            </w:r>
          </w:p>
        </w:tc>
      </w:tr>
      <w:tr w:rsidR="00CF11BE" w:rsidRPr="006431C4" w14:paraId="6341DEAB" w14:textId="77777777" w:rsidTr="00CF11BE">
        <w:tc>
          <w:tcPr>
            <w:tcW w:w="1785" w:type="dxa"/>
            <w:vMerge w:val="restart"/>
          </w:tcPr>
          <w:p w14:paraId="2C4ED690"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lastRenderedPageBreak/>
              <w:t>Warstwa ścieralna</w:t>
            </w:r>
          </w:p>
        </w:tc>
        <w:tc>
          <w:tcPr>
            <w:tcW w:w="1785" w:type="dxa"/>
          </w:tcPr>
          <w:p w14:paraId="678A28ED"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KR 1-2</w:t>
            </w:r>
          </w:p>
        </w:tc>
        <w:tc>
          <w:tcPr>
            <w:tcW w:w="2804" w:type="dxa"/>
          </w:tcPr>
          <w:p w14:paraId="3A510B67"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Pasty asfaltowe lub elastyczne taśmy bitumiczne</w:t>
            </w:r>
          </w:p>
        </w:tc>
        <w:tc>
          <w:tcPr>
            <w:tcW w:w="1418" w:type="dxa"/>
          </w:tcPr>
          <w:p w14:paraId="522F3932"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KR 1-2</w:t>
            </w:r>
          </w:p>
        </w:tc>
        <w:tc>
          <w:tcPr>
            <w:tcW w:w="2892" w:type="dxa"/>
          </w:tcPr>
          <w:p w14:paraId="78B217A4"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Pasty asfaltowe lub elastyczne taśmy bitumiczne</w:t>
            </w:r>
          </w:p>
        </w:tc>
      </w:tr>
      <w:tr w:rsidR="00CF11BE" w:rsidRPr="006431C4" w14:paraId="055918FA" w14:textId="77777777" w:rsidTr="00CF11BE">
        <w:tc>
          <w:tcPr>
            <w:tcW w:w="1785" w:type="dxa"/>
            <w:vMerge/>
          </w:tcPr>
          <w:p w14:paraId="71083C21"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p>
        </w:tc>
        <w:tc>
          <w:tcPr>
            <w:tcW w:w="1785" w:type="dxa"/>
          </w:tcPr>
          <w:p w14:paraId="63F7C169"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KR 3-6</w:t>
            </w:r>
          </w:p>
        </w:tc>
        <w:tc>
          <w:tcPr>
            <w:tcW w:w="2804" w:type="dxa"/>
          </w:tcPr>
          <w:p w14:paraId="32C3CA10"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Elastyczne taśmy bitumiczne</w:t>
            </w:r>
          </w:p>
        </w:tc>
        <w:tc>
          <w:tcPr>
            <w:tcW w:w="1418" w:type="dxa"/>
          </w:tcPr>
          <w:p w14:paraId="1C2B9764"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KR 3-6</w:t>
            </w:r>
          </w:p>
        </w:tc>
        <w:tc>
          <w:tcPr>
            <w:tcW w:w="2892" w:type="dxa"/>
          </w:tcPr>
          <w:p w14:paraId="4F5B870F"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Elastyczne taśmy bitumiczne</w:t>
            </w:r>
          </w:p>
        </w:tc>
      </w:tr>
    </w:tbl>
    <w:p w14:paraId="461FF015" w14:textId="77777777" w:rsidR="00CF11BE" w:rsidRPr="006431C4" w:rsidRDefault="00CF11BE" w:rsidP="00CF11BE">
      <w:pPr>
        <w:tabs>
          <w:tab w:val="left" w:pos="1134"/>
        </w:tabs>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11.</w:t>
      </w:r>
      <w:r w:rsidRPr="006431C4">
        <w:rPr>
          <w:rFonts w:cs="Arial"/>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CF11BE" w:rsidRPr="006431C4" w14:paraId="07836EA5" w14:textId="77777777" w:rsidTr="007F1241">
        <w:tc>
          <w:tcPr>
            <w:tcW w:w="2975" w:type="dxa"/>
            <w:vAlign w:val="center"/>
          </w:tcPr>
          <w:p w14:paraId="524A377C"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warstwy</w:t>
            </w:r>
          </w:p>
        </w:tc>
        <w:tc>
          <w:tcPr>
            <w:tcW w:w="2976" w:type="dxa"/>
            <w:vAlign w:val="center"/>
          </w:tcPr>
          <w:p w14:paraId="043F726F"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Ruch</w:t>
            </w:r>
          </w:p>
        </w:tc>
        <w:tc>
          <w:tcPr>
            <w:tcW w:w="2976" w:type="dxa"/>
            <w:vAlign w:val="center"/>
          </w:tcPr>
          <w:p w14:paraId="1115AC66"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materiału</w:t>
            </w:r>
          </w:p>
        </w:tc>
      </w:tr>
      <w:tr w:rsidR="00CF11BE" w:rsidRPr="006431C4" w14:paraId="52396105" w14:textId="77777777" w:rsidTr="007F1241">
        <w:tc>
          <w:tcPr>
            <w:tcW w:w="2975" w:type="dxa"/>
            <w:vMerge w:val="restart"/>
          </w:tcPr>
          <w:p w14:paraId="58385C26"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Warstwa ścieralna</w:t>
            </w:r>
          </w:p>
        </w:tc>
        <w:tc>
          <w:tcPr>
            <w:tcW w:w="2976" w:type="dxa"/>
          </w:tcPr>
          <w:p w14:paraId="0533FE17"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KR 1-2</w:t>
            </w:r>
          </w:p>
        </w:tc>
        <w:tc>
          <w:tcPr>
            <w:tcW w:w="2976" w:type="dxa"/>
          </w:tcPr>
          <w:p w14:paraId="36A77B7E"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Pasta asfaltowa</w:t>
            </w:r>
          </w:p>
        </w:tc>
      </w:tr>
      <w:tr w:rsidR="00CF11BE" w:rsidRPr="006431C4" w14:paraId="64D0B483" w14:textId="77777777" w:rsidTr="007F1241">
        <w:tc>
          <w:tcPr>
            <w:tcW w:w="2975" w:type="dxa"/>
            <w:vMerge/>
          </w:tcPr>
          <w:p w14:paraId="7E4BEB42"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p>
        </w:tc>
        <w:tc>
          <w:tcPr>
            <w:tcW w:w="2976" w:type="dxa"/>
          </w:tcPr>
          <w:p w14:paraId="418D3924"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KR 3-6</w:t>
            </w:r>
          </w:p>
        </w:tc>
        <w:tc>
          <w:tcPr>
            <w:tcW w:w="2976" w:type="dxa"/>
          </w:tcPr>
          <w:p w14:paraId="61D5DEC9"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Elastyczna taśma bitumiczna lub zalewa drogowa na gorąco</w:t>
            </w:r>
          </w:p>
        </w:tc>
      </w:tr>
    </w:tbl>
    <w:p w14:paraId="35A9EA38" w14:textId="77777777" w:rsidR="00CF11BE" w:rsidRPr="006431C4" w:rsidRDefault="00CF11BE" w:rsidP="00CF11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Tablica 12.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2268"/>
        <w:gridCol w:w="2977"/>
        <w:gridCol w:w="1873"/>
      </w:tblGrid>
      <w:tr w:rsidR="00CF11BE" w:rsidRPr="006431C4" w14:paraId="4FFE385E" w14:textId="77777777" w:rsidTr="00CF11BE">
        <w:tc>
          <w:tcPr>
            <w:tcW w:w="3539" w:type="dxa"/>
            <w:vAlign w:val="center"/>
          </w:tcPr>
          <w:p w14:paraId="528B3E02"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2268" w:type="dxa"/>
            <w:vAlign w:val="center"/>
          </w:tcPr>
          <w:p w14:paraId="42D6C07F"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Metoda badawcza</w:t>
            </w:r>
          </w:p>
        </w:tc>
        <w:tc>
          <w:tcPr>
            <w:tcW w:w="2977" w:type="dxa"/>
            <w:vAlign w:val="center"/>
          </w:tcPr>
          <w:p w14:paraId="43A3A5F2"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Dodatkowy opis warunków badania</w:t>
            </w:r>
          </w:p>
        </w:tc>
        <w:tc>
          <w:tcPr>
            <w:tcW w:w="1873" w:type="dxa"/>
            <w:vAlign w:val="center"/>
          </w:tcPr>
          <w:p w14:paraId="78221EA3"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r>
      <w:tr w:rsidR="00CF11BE" w:rsidRPr="006431C4" w14:paraId="03D91895" w14:textId="77777777" w:rsidTr="00CF11BE">
        <w:tc>
          <w:tcPr>
            <w:tcW w:w="3539" w:type="dxa"/>
          </w:tcPr>
          <w:p w14:paraId="66C55061"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Temperatura mięknienia PiK</w:t>
            </w:r>
          </w:p>
        </w:tc>
        <w:tc>
          <w:tcPr>
            <w:tcW w:w="2268" w:type="dxa"/>
          </w:tcPr>
          <w:p w14:paraId="3AA97819"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PN-EN 1427[22]</w:t>
            </w:r>
          </w:p>
        </w:tc>
        <w:tc>
          <w:tcPr>
            <w:tcW w:w="2977" w:type="dxa"/>
          </w:tcPr>
          <w:p w14:paraId="12712F47"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p>
        </w:tc>
        <w:tc>
          <w:tcPr>
            <w:tcW w:w="1873" w:type="dxa"/>
          </w:tcPr>
          <w:p w14:paraId="1B2F6241"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≥90°C</w:t>
            </w:r>
          </w:p>
        </w:tc>
      </w:tr>
      <w:tr w:rsidR="00CF11BE" w:rsidRPr="006431C4" w14:paraId="0691E94C" w14:textId="77777777" w:rsidTr="00CF11BE">
        <w:tc>
          <w:tcPr>
            <w:tcW w:w="3539" w:type="dxa"/>
          </w:tcPr>
          <w:p w14:paraId="3A90ABC0"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Penetracja stożkiem</w:t>
            </w:r>
          </w:p>
        </w:tc>
        <w:tc>
          <w:tcPr>
            <w:tcW w:w="2268" w:type="dxa"/>
          </w:tcPr>
          <w:p w14:paraId="5B19B140"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PN-EN 13880-2[69]</w:t>
            </w:r>
          </w:p>
        </w:tc>
        <w:tc>
          <w:tcPr>
            <w:tcW w:w="2977" w:type="dxa"/>
          </w:tcPr>
          <w:p w14:paraId="03B1CF8D"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p>
        </w:tc>
        <w:tc>
          <w:tcPr>
            <w:tcW w:w="1873" w:type="dxa"/>
          </w:tcPr>
          <w:p w14:paraId="57740BE5"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20 do 50</w:t>
            </w:r>
          </w:p>
          <w:p w14:paraId="19F92876"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1/10 mm</w:t>
            </w:r>
          </w:p>
        </w:tc>
      </w:tr>
      <w:tr w:rsidR="00CF11BE" w:rsidRPr="006431C4" w14:paraId="44C2DFC9" w14:textId="77777777" w:rsidTr="00CF11BE">
        <w:tc>
          <w:tcPr>
            <w:tcW w:w="3539" w:type="dxa"/>
          </w:tcPr>
          <w:p w14:paraId="26AFC574"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Odprężenie sprężyste (odbojność)</w:t>
            </w:r>
          </w:p>
        </w:tc>
        <w:tc>
          <w:tcPr>
            <w:tcW w:w="2268" w:type="dxa"/>
          </w:tcPr>
          <w:p w14:paraId="4036B980"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PN-EN 13880-3[70]</w:t>
            </w:r>
          </w:p>
        </w:tc>
        <w:tc>
          <w:tcPr>
            <w:tcW w:w="2977" w:type="dxa"/>
          </w:tcPr>
          <w:p w14:paraId="0E772C7C"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p>
        </w:tc>
        <w:tc>
          <w:tcPr>
            <w:tcW w:w="1873" w:type="dxa"/>
          </w:tcPr>
          <w:p w14:paraId="0CF24161"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10 do 30%</w:t>
            </w:r>
          </w:p>
        </w:tc>
      </w:tr>
      <w:tr w:rsidR="00CF11BE" w:rsidRPr="006431C4" w14:paraId="6C5EB146" w14:textId="77777777" w:rsidTr="00CF11BE">
        <w:tc>
          <w:tcPr>
            <w:tcW w:w="3539" w:type="dxa"/>
          </w:tcPr>
          <w:p w14:paraId="030FE8AE"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Zginanie na zimno</w:t>
            </w:r>
          </w:p>
        </w:tc>
        <w:tc>
          <w:tcPr>
            <w:tcW w:w="2268" w:type="dxa"/>
          </w:tcPr>
          <w:p w14:paraId="145E19B4"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DIN 52123[74]</w:t>
            </w:r>
          </w:p>
        </w:tc>
        <w:tc>
          <w:tcPr>
            <w:tcW w:w="2977" w:type="dxa"/>
          </w:tcPr>
          <w:p w14:paraId="790CD499" w14:textId="77777777" w:rsidR="00CF11BE" w:rsidRPr="006431C4" w:rsidRDefault="00CF11BE" w:rsidP="00CF11BE">
            <w:pPr>
              <w:spacing w:line="240" w:lineRule="auto"/>
              <w:rPr>
                <w:rFonts w:cs="Arial"/>
                <w:szCs w:val="20"/>
              </w:rPr>
            </w:pPr>
            <w:r w:rsidRPr="006431C4">
              <w:rPr>
                <w:rFonts w:cs="Arial"/>
                <w:szCs w:val="20"/>
              </w:rPr>
              <w:t xml:space="preserve">test odcinka taśmy o długości 20 cm w temperaturze 0 °C </w:t>
            </w:r>
          </w:p>
          <w:p w14:paraId="7C44E9FD" w14:textId="77777777" w:rsidR="00CF11BE" w:rsidRPr="006431C4" w:rsidRDefault="00CF11BE" w:rsidP="00CF11BE">
            <w:pPr>
              <w:spacing w:line="240" w:lineRule="auto"/>
              <w:rPr>
                <w:rFonts w:cs="Arial"/>
                <w:szCs w:val="20"/>
              </w:rPr>
            </w:pPr>
            <w:r w:rsidRPr="006431C4">
              <w:rPr>
                <w:rFonts w:cs="Arial"/>
                <w:szCs w:val="20"/>
              </w:rPr>
              <w:t xml:space="preserve">badanie po 24 godzinnym </w:t>
            </w:r>
          </w:p>
          <w:p w14:paraId="7AD18B37" w14:textId="77777777" w:rsidR="00CF11BE" w:rsidRPr="006431C4" w:rsidRDefault="00CF11BE" w:rsidP="00CF11BE">
            <w:pPr>
              <w:spacing w:line="240" w:lineRule="auto"/>
              <w:rPr>
                <w:rFonts w:cs="Arial"/>
                <w:szCs w:val="20"/>
              </w:rPr>
            </w:pPr>
            <w:r w:rsidRPr="006431C4">
              <w:rPr>
                <w:rFonts w:cs="Arial"/>
                <w:szCs w:val="20"/>
              </w:rPr>
              <w:t xml:space="preserve">kondycjonowaniu </w:t>
            </w:r>
          </w:p>
        </w:tc>
        <w:tc>
          <w:tcPr>
            <w:tcW w:w="1873" w:type="dxa"/>
          </w:tcPr>
          <w:p w14:paraId="53D6A402"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Bez pęknięcia</w:t>
            </w:r>
          </w:p>
        </w:tc>
      </w:tr>
      <w:tr w:rsidR="00CF11BE" w:rsidRPr="006431C4" w14:paraId="2829A203" w14:textId="77777777" w:rsidTr="00CF11BE">
        <w:tc>
          <w:tcPr>
            <w:tcW w:w="3539" w:type="dxa"/>
          </w:tcPr>
          <w:p w14:paraId="07C3AE63"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Możliwość wydłużenia oraz przyczepności taśmy</w:t>
            </w:r>
          </w:p>
        </w:tc>
        <w:tc>
          <w:tcPr>
            <w:tcW w:w="2268" w:type="dxa"/>
          </w:tcPr>
          <w:p w14:paraId="7905CB6D"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SNV 671 920</w:t>
            </w:r>
          </w:p>
          <w:p w14:paraId="6E5A0F07"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(PN-EN 13880-13 [73])</w:t>
            </w:r>
          </w:p>
        </w:tc>
        <w:tc>
          <w:tcPr>
            <w:tcW w:w="2977" w:type="dxa"/>
          </w:tcPr>
          <w:p w14:paraId="0FFF7841"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 xml:space="preserve">W temperaturze </w:t>
            </w:r>
          </w:p>
          <w:p w14:paraId="56B52111"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-10°C</w:t>
            </w:r>
          </w:p>
        </w:tc>
        <w:tc>
          <w:tcPr>
            <w:tcW w:w="1873" w:type="dxa"/>
          </w:tcPr>
          <w:p w14:paraId="7DC25FA4"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≥10%</w:t>
            </w:r>
          </w:p>
          <w:p w14:paraId="24DC07F2"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≤1 N/mm</w:t>
            </w:r>
            <w:r w:rsidRPr="006431C4">
              <w:rPr>
                <w:rFonts w:cs="Arial"/>
                <w:szCs w:val="20"/>
                <w:vertAlign w:val="superscript"/>
              </w:rPr>
              <w:t>2</w:t>
            </w:r>
          </w:p>
        </w:tc>
      </w:tr>
      <w:tr w:rsidR="00CF11BE" w:rsidRPr="006431C4" w14:paraId="666BC928" w14:textId="77777777" w:rsidTr="00CF11BE">
        <w:tc>
          <w:tcPr>
            <w:tcW w:w="3539" w:type="dxa"/>
          </w:tcPr>
          <w:p w14:paraId="6039116C"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Możliwość wydłużenia oraz przyczepności taśmy po starzeniu termicznym</w:t>
            </w:r>
          </w:p>
        </w:tc>
        <w:tc>
          <w:tcPr>
            <w:tcW w:w="2268" w:type="dxa"/>
          </w:tcPr>
          <w:p w14:paraId="085E4F41"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SNV 671 920</w:t>
            </w:r>
          </w:p>
          <w:p w14:paraId="25131D1F"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(PN-EN 13880-13 [73])</w:t>
            </w:r>
          </w:p>
        </w:tc>
        <w:tc>
          <w:tcPr>
            <w:tcW w:w="2977" w:type="dxa"/>
          </w:tcPr>
          <w:p w14:paraId="6951040D"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 xml:space="preserve">W temperaturze </w:t>
            </w:r>
          </w:p>
          <w:p w14:paraId="64156619" w14:textId="77777777" w:rsidR="00CF11BE" w:rsidRPr="006431C4" w:rsidRDefault="00CF11BE" w:rsidP="00CF11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-10°C</w:t>
            </w:r>
          </w:p>
        </w:tc>
        <w:tc>
          <w:tcPr>
            <w:tcW w:w="1873" w:type="dxa"/>
          </w:tcPr>
          <w:p w14:paraId="23FAC532" w14:textId="77777777" w:rsidR="00CF11BE" w:rsidRPr="006431C4" w:rsidRDefault="00CF11BE" w:rsidP="00CF11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Należy podać wynik</w:t>
            </w:r>
          </w:p>
        </w:tc>
      </w:tr>
    </w:tbl>
    <w:p w14:paraId="5010F3F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3969"/>
        <w:gridCol w:w="2976"/>
      </w:tblGrid>
      <w:tr w:rsidR="00CF11BE" w:rsidRPr="006431C4" w14:paraId="5C4853B1" w14:textId="77777777" w:rsidTr="00CF11BE">
        <w:tc>
          <w:tcPr>
            <w:tcW w:w="3681" w:type="dxa"/>
            <w:vAlign w:val="center"/>
          </w:tcPr>
          <w:p w14:paraId="356D702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3969" w:type="dxa"/>
            <w:vAlign w:val="center"/>
          </w:tcPr>
          <w:p w14:paraId="42736A7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 badawcza</w:t>
            </w:r>
          </w:p>
        </w:tc>
        <w:tc>
          <w:tcPr>
            <w:tcW w:w="2976" w:type="dxa"/>
            <w:vAlign w:val="center"/>
          </w:tcPr>
          <w:p w14:paraId="60C763B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r>
      <w:tr w:rsidR="00CF11BE" w:rsidRPr="006431C4" w14:paraId="380C3C1E" w14:textId="77777777" w:rsidTr="00CF11BE">
        <w:tc>
          <w:tcPr>
            <w:tcW w:w="3681" w:type="dxa"/>
          </w:tcPr>
          <w:p w14:paraId="5DBF97B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Ocena organoleptyczna</w:t>
            </w:r>
          </w:p>
        </w:tc>
        <w:tc>
          <w:tcPr>
            <w:tcW w:w="3969" w:type="dxa"/>
          </w:tcPr>
          <w:p w14:paraId="1A2B852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1425[75]</w:t>
            </w:r>
          </w:p>
        </w:tc>
        <w:tc>
          <w:tcPr>
            <w:tcW w:w="2976" w:type="dxa"/>
          </w:tcPr>
          <w:p w14:paraId="12A0A5F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Pasta</w:t>
            </w:r>
          </w:p>
        </w:tc>
      </w:tr>
      <w:tr w:rsidR="00CF11BE" w:rsidRPr="006431C4" w14:paraId="47E2A75D" w14:textId="77777777" w:rsidTr="00CF11BE">
        <w:tc>
          <w:tcPr>
            <w:tcW w:w="3681" w:type="dxa"/>
          </w:tcPr>
          <w:p w14:paraId="486B0BA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Odporność na spływanie</w:t>
            </w:r>
          </w:p>
        </w:tc>
        <w:tc>
          <w:tcPr>
            <w:tcW w:w="3969" w:type="dxa"/>
          </w:tcPr>
          <w:p w14:paraId="4DAA43A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13880-5[71]</w:t>
            </w:r>
          </w:p>
        </w:tc>
        <w:tc>
          <w:tcPr>
            <w:tcW w:w="2976" w:type="dxa"/>
          </w:tcPr>
          <w:p w14:paraId="17F25CE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Nie spływa</w:t>
            </w:r>
          </w:p>
        </w:tc>
      </w:tr>
      <w:tr w:rsidR="00CF11BE" w:rsidRPr="006431C4" w14:paraId="450D3AAC" w14:textId="77777777" w:rsidTr="00CF11BE">
        <w:tc>
          <w:tcPr>
            <w:tcW w:w="3681" w:type="dxa"/>
          </w:tcPr>
          <w:p w14:paraId="5D3B836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wody</w:t>
            </w:r>
          </w:p>
        </w:tc>
        <w:tc>
          <w:tcPr>
            <w:tcW w:w="3969" w:type="dxa"/>
          </w:tcPr>
          <w:p w14:paraId="4F2C365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1428[76]</w:t>
            </w:r>
          </w:p>
        </w:tc>
        <w:tc>
          <w:tcPr>
            <w:tcW w:w="2976" w:type="dxa"/>
          </w:tcPr>
          <w:p w14:paraId="6E2CBAF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≤50% m/m</w:t>
            </w:r>
          </w:p>
        </w:tc>
      </w:tr>
      <w:tr w:rsidR="00CF11BE" w:rsidRPr="006431C4" w14:paraId="7280C991" w14:textId="77777777" w:rsidTr="00CF11BE">
        <w:tc>
          <w:tcPr>
            <w:tcW w:w="10626" w:type="dxa"/>
            <w:gridSpan w:val="3"/>
          </w:tcPr>
          <w:p w14:paraId="2790A11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odzyskanego i ustabilizowanego lepiszcza: PN-EN 13074-1 lub PN-EN 13074-2</w:t>
            </w:r>
          </w:p>
        </w:tc>
      </w:tr>
      <w:tr w:rsidR="00CF11BE" w:rsidRPr="006431C4" w14:paraId="6B164D40" w14:textId="77777777" w:rsidTr="00CF11BE">
        <w:tc>
          <w:tcPr>
            <w:tcW w:w="3681" w:type="dxa"/>
          </w:tcPr>
          <w:p w14:paraId="51C1B430"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Temperatura mięknienia PiK</w:t>
            </w:r>
          </w:p>
        </w:tc>
        <w:tc>
          <w:tcPr>
            <w:tcW w:w="3969" w:type="dxa"/>
          </w:tcPr>
          <w:p w14:paraId="0F2A80A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1427[22]</w:t>
            </w:r>
          </w:p>
        </w:tc>
        <w:tc>
          <w:tcPr>
            <w:tcW w:w="2976" w:type="dxa"/>
          </w:tcPr>
          <w:p w14:paraId="6C96AA7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≥70°C</w:t>
            </w:r>
          </w:p>
        </w:tc>
      </w:tr>
    </w:tbl>
    <w:p w14:paraId="519E8F1A" w14:textId="77777777" w:rsidR="00CF11BE" w:rsidRPr="006431C4" w:rsidRDefault="00CF11BE" w:rsidP="00CF11BE">
      <w:pPr>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14.</w:t>
      </w:r>
      <w:r w:rsidRPr="006431C4">
        <w:rPr>
          <w:rFonts w:cs="Arial"/>
          <w:szCs w:val="20"/>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3969"/>
        <w:gridCol w:w="2976"/>
      </w:tblGrid>
      <w:tr w:rsidR="00CF11BE" w:rsidRPr="006431C4" w14:paraId="436414F6" w14:textId="77777777" w:rsidTr="00CF11BE">
        <w:tc>
          <w:tcPr>
            <w:tcW w:w="3681" w:type="dxa"/>
            <w:vAlign w:val="center"/>
          </w:tcPr>
          <w:p w14:paraId="4AE4C63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3969" w:type="dxa"/>
            <w:vAlign w:val="center"/>
          </w:tcPr>
          <w:p w14:paraId="459509C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 badawcza</w:t>
            </w:r>
          </w:p>
        </w:tc>
        <w:tc>
          <w:tcPr>
            <w:tcW w:w="2976" w:type="dxa"/>
            <w:vAlign w:val="center"/>
          </w:tcPr>
          <w:p w14:paraId="01A5741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r>
      <w:tr w:rsidR="00CF11BE" w:rsidRPr="006431C4" w14:paraId="4D992B15" w14:textId="77777777" w:rsidTr="00CF11BE">
        <w:tc>
          <w:tcPr>
            <w:tcW w:w="3681" w:type="dxa"/>
          </w:tcPr>
          <w:p w14:paraId="7185037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Zachowanie przy temperaturze lejności</w:t>
            </w:r>
          </w:p>
        </w:tc>
        <w:tc>
          <w:tcPr>
            <w:tcW w:w="3969" w:type="dxa"/>
          </w:tcPr>
          <w:p w14:paraId="16E22F2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13880-6[72]</w:t>
            </w:r>
          </w:p>
        </w:tc>
        <w:tc>
          <w:tcPr>
            <w:tcW w:w="2976" w:type="dxa"/>
          </w:tcPr>
          <w:p w14:paraId="7E3836B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Homogeniczny</w:t>
            </w:r>
          </w:p>
        </w:tc>
      </w:tr>
      <w:tr w:rsidR="00CF11BE" w:rsidRPr="006431C4" w14:paraId="63678BD5" w14:textId="77777777" w:rsidTr="00CF11BE">
        <w:tc>
          <w:tcPr>
            <w:tcW w:w="3681" w:type="dxa"/>
          </w:tcPr>
          <w:p w14:paraId="08169B79"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Temperatura mięknienia PiK</w:t>
            </w:r>
          </w:p>
        </w:tc>
        <w:tc>
          <w:tcPr>
            <w:tcW w:w="3969" w:type="dxa"/>
          </w:tcPr>
          <w:p w14:paraId="6657387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1427[22]</w:t>
            </w:r>
          </w:p>
        </w:tc>
        <w:tc>
          <w:tcPr>
            <w:tcW w:w="2976" w:type="dxa"/>
          </w:tcPr>
          <w:p w14:paraId="3B1D057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≥80°C</w:t>
            </w:r>
          </w:p>
        </w:tc>
      </w:tr>
      <w:tr w:rsidR="00CF11BE" w:rsidRPr="006431C4" w14:paraId="383F3054" w14:textId="77777777" w:rsidTr="00CF11BE">
        <w:tc>
          <w:tcPr>
            <w:tcW w:w="3681" w:type="dxa"/>
          </w:tcPr>
          <w:p w14:paraId="166C4FE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Penetracja stożkiem w 25°C, 5 s, 150 g</w:t>
            </w:r>
          </w:p>
        </w:tc>
        <w:tc>
          <w:tcPr>
            <w:tcW w:w="3969" w:type="dxa"/>
          </w:tcPr>
          <w:p w14:paraId="544255D7" w14:textId="77777777" w:rsidR="00CF11BE" w:rsidRPr="006431C4" w:rsidRDefault="00CF11BE" w:rsidP="00CF11BE">
            <w:pPr>
              <w:tabs>
                <w:tab w:val="left" w:pos="300"/>
                <w:tab w:val="center" w:pos="1380"/>
              </w:tabs>
              <w:overflowPunct w:val="0"/>
              <w:autoSpaceDE w:val="0"/>
              <w:autoSpaceDN w:val="0"/>
              <w:adjustRightInd w:val="0"/>
              <w:spacing w:line="240" w:lineRule="auto"/>
              <w:textAlignment w:val="baseline"/>
              <w:rPr>
                <w:rFonts w:cs="Arial"/>
                <w:szCs w:val="20"/>
              </w:rPr>
            </w:pPr>
            <w:r w:rsidRPr="006431C4">
              <w:rPr>
                <w:rFonts w:cs="Arial"/>
                <w:szCs w:val="20"/>
              </w:rPr>
              <w:tab/>
            </w:r>
            <w:r w:rsidRPr="006431C4">
              <w:rPr>
                <w:rFonts w:cs="Arial"/>
                <w:szCs w:val="20"/>
              </w:rPr>
              <w:tab/>
              <w:t>PN-EN 13880-2[69]</w:t>
            </w:r>
          </w:p>
        </w:tc>
        <w:tc>
          <w:tcPr>
            <w:tcW w:w="2976" w:type="dxa"/>
          </w:tcPr>
          <w:p w14:paraId="0FE3FBC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30 do 60  0,1 mm</w:t>
            </w:r>
          </w:p>
        </w:tc>
      </w:tr>
      <w:tr w:rsidR="00CF11BE" w:rsidRPr="006431C4" w14:paraId="6B722DBE" w14:textId="77777777" w:rsidTr="00CF11BE">
        <w:tc>
          <w:tcPr>
            <w:tcW w:w="3681" w:type="dxa"/>
          </w:tcPr>
          <w:p w14:paraId="6B2DC5F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Odporność na spływanie</w:t>
            </w:r>
          </w:p>
        </w:tc>
        <w:tc>
          <w:tcPr>
            <w:tcW w:w="3969" w:type="dxa"/>
          </w:tcPr>
          <w:p w14:paraId="5611024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13880-5[71]</w:t>
            </w:r>
          </w:p>
        </w:tc>
        <w:tc>
          <w:tcPr>
            <w:tcW w:w="2976" w:type="dxa"/>
          </w:tcPr>
          <w:p w14:paraId="659049F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≤5,0 mm</w:t>
            </w:r>
          </w:p>
        </w:tc>
      </w:tr>
      <w:tr w:rsidR="00CF11BE" w:rsidRPr="006431C4" w14:paraId="56F4D4A4" w14:textId="77777777" w:rsidTr="00CF11BE">
        <w:tc>
          <w:tcPr>
            <w:tcW w:w="3681" w:type="dxa"/>
          </w:tcPr>
          <w:p w14:paraId="1651C7E3"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Odprężenie sprężyste (odbojność)</w:t>
            </w:r>
          </w:p>
        </w:tc>
        <w:tc>
          <w:tcPr>
            <w:tcW w:w="3969" w:type="dxa"/>
          </w:tcPr>
          <w:p w14:paraId="5A6E1EA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13380-3[70]</w:t>
            </w:r>
          </w:p>
        </w:tc>
        <w:tc>
          <w:tcPr>
            <w:tcW w:w="2976" w:type="dxa"/>
          </w:tcPr>
          <w:p w14:paraId="4D9B395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10-50%</w:t>
            </w:r>
          </w:p>
        </w:tc>
      </w:tr>
      <w:tr w:rsidR="00CF11BE" w:rsidRPr="006431C4" w14:paraId="4606B7B9" w14:textId="77777777" w:rsidTr="00CF11BE">
        <w:tc>
          <w:tcPr>
            <w:tcW w:w="3681" w:type="dxa"/>
          </w:tcPr>
          <w:p w14:paraId="098E7D56"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Wydłużenie nieciągłe (próba przyczepności ), po 5 h, -10°C</w:t>
            </w:r>
          </w:p>
        </w:tc>
        <w:tc>
          <w:tcPr>
            <w:tcW w:w="3969" w:type="dxa"/>
          </w:tcPr>
          <w:p w14:paraId="3A6AF2F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13880-13[73]</w:t>
            </w:r>
          </w:p>
        </w:tc>
        <w:tc>
          <w:tcPr>
            <w:tcW w:w="2976" w:type="dxa"/>
          </w:tcPr>
          <w:p w14:paraId="33F85D8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 mm</w:t>
            </w:r>
          </w:p>
          <w:p w14:paraId="5A27DAE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≤0,75 N/mm</w:t>
            </w:r>
            <w:r w:rsidRPr="006431C4">
              <w:rPr>
                <w:rFonts w:cs="Arial"/>
                <w:szCs w:val="20"/>
                <w:vertAlign w:val="superscript"/>
              </w:rPr>
              <w:t>2</w:t>
            </w:r>
          </w:p>
        </w:tc>
      </w:tr>
    </w:tbl>
    <w:p w14:paraId="0AC3173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977"/>
        <w:gridCol w:w="2977"/>
      </w:tblGrid>
      <w:tr w:rsidR="00CF11BE" w:rsidRPr="006431C4" w14:paraId="74631D61" w14:textId="77777777" w:rsidTr="007F1241">
        <w:tc>
          <w:tcPr>
            <w:tcW w:w="2943" w:type="dxa"/>
            <w:vAlign w:val="center"/>
          </w:tcPr>
          <w:p w14:paraId="795D644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w:t>
            </w:r>
          </w:p>
        </w:tc>
        <w:tc>
          <w:tcPr>
            <w:tcW w:w="2977" w:type="dxa"/>
            <w:vAlign w:val="center"/>
          </w:tcPr>
          <w:p w14:paraId="0EDBE6F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 badawcza</w:t>
            </w:r>
          </w:p>
        </w:tc>
        <w:tc>
          <w:tcPr>
            <w:tcW w:w="2977" w:type="dxa"/>
            <w:vAlign w:val="center"/>
          </w:tcPr>
          <w:p w14:paraId="25381AA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Wymagania dla typu</w:t>
            </w:r>
          </w:p>
        </w:tc>
      </w:tr>
      <w:tr w:rsidR="00CF11BE" w:rsidRPr="006431C4" w14:paraId="6FAEEA1A" w14:textId="77777777" w:rsidTr="007F1241">
        <w:tc>
          <w:tcPr>
            <w:tcW w:w="2943" w:type="dxa"/>
          </w:tcPr>
          <w:p w14:paraId="196B1298"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PN- EN 14188-1 tablica 2 punkty od 1 do 11.2.8.</w:t>
            </w:r>
          </w:p>
        </w:tc>
        <w:tc>
          <w:tcPr>
            <w:tcW w:w="2977" w:type="dxa"/>
          </w:tcPr>
          <w:p w14:paraId="3BB50A8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14188-1[65]</w:t>
            </w:r>
          </w:p>
        </w:tc>
        <w:tc>
          <w:tcPr>
            <w:tcW w:w="2977" w:type="dxa"/>
          </w:tcPr>
          <w:p w14:paraId="2B62284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 1</w:t>
            </w:r>
          </w:p>
        </w:tc>
      </w:tr>
    </w:tbl>
    <w:p w14:paraId="2457D2E5"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Składowanie materiałów termoplastycznych jest dozwolone tylko w oryginalnych opakowaniach producenta, w warunkach określonych w aprobacie technicznej.</w:t>
      </w:r>
    </w:p>
    <w:p w14:paraId="584260F3"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 uszczelnienia krawędzi należy stosować asfalt drogowy wg PN-EN 12591 [24], asfalt modyfikowany polimerami wg PN-EN 14023 [64] „metoda na gorąco”. Dopuszcza się inne rodzaje lepiszcza wg norm lub aprobat technicznych.</w:t>
      </w:r>
    </w:p>
    <w:p w14:paraId="058E283E" w14:textId="77777777" w:rsidR="00CF11BE" w:rsidRPr="006431C4" w:rsidRDefault="00CF11BE" w:rsidP="00CF11BE">
      <w:pPr>
        <w:keepNext/>
        <w:tabs>
          <w:tab w:val="left" w:pos="7938"/>
        </w:tabs>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2.7. Materiały do złączenia warstw konstrukcji</w:t>
      </w:r>
    </w:p>
    <w:p w14:paraId="39AA7D75" w14:textId="77777777" w:rsidR="00CF11BE" w:rsidRPr="006431C4" w:rsidRDefault="00CF11BE" w:rsidP="00CF11BE">
      <w:pPr>
        <w:tabs>
          <w:tab w:val="left" w:pos="-2694"/>
        </w:tabs>
        <w:overflowPunct w:val="0"/>
        <w:autoSpaceDE w:val="0"/>
        <w:autoSpaceDN w:val="0"/>
        <w:adjustRightInd w:val="0"/>
        <w:spacing w:line="240" w:lineRule="auto"/>
        <w:jc w:val="both"/>
        <w:textAlignment w:val="baseline"/>
        <w:rPr>
          <w:rFonts w:cs="Arial"/>
          <w:szCs w:val="20"/>
        </w:rPr>
      </w:pPr>
      <w:r w:rsidRPr="006431C4">
        <w:rPr>
          <w:rFonts w:cs="Arial"/>
          <w:szCs w:val="20"/>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14:paraId="5C9BCE6A" w14:textId="77777777" w:rsidR="00CF11BE" w:rsidRPr="006431C4" w:rsidRDefault="00CF11BE" w:rsidP="00CF11BE">
      <w:pPr>
        <w:spacing w:line="240" w:lineRule="auto"/>
        <w:ind w:firstLine="709"/>
        <w:jc w:val="both"/>
        <w:rPr>
          <w:rFonts w:cs="Arial"/>
          <w:szCs w:val="20"/>
        </w:rPr>
      </w:pPr>
      <w:r w:rsidRPr="006431C4">
        <w:rPr>
          <w:rFonts w:cs="Arial"/>
          <w:szCs w:val="20"/>
        </w:rPr>
        <w:t xml:space="preserve">Spośród rodzajów emulsji wymienionych w Załączniku krajowym NA [62a] do normy PN-EN 13808 [62], należy stosować emulsje oznaczone kodem ZM. </w:t>
      </w:r>
    </w:p>
    <w:p w14:paraId="604A9B56"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Właściwości i przeznaczenie emulsji asfaltowych oraz sposób ich składowania opisano w SST D-04.03.01a [2]. </w:t>
      </w:r>
    </w:p>
    <w:p w14:paraId="2936227D"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2.8. Dodatki do mieszanki mineralno-asfaltowej</w:t>
      </w:r>
    </w:p>
    <w:p w14:paraId="1CD5CCA3" w14:textId="77777777" w:rsidR="00CF11BE" w:rsidRPr="006431C4" w:rsidRDefault="00CF11BE" w:rsidP="00CF11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 xml:space="preserve">Mogą być stosowane dodatki stabilizujące lub modyfikujące. Pochodzenie, rodzaj i właściwości dodatków powinny być deklarowane. </w:t>
      </w:r>
    </w:p>
    <w:p w14:paraId="511837AB" w14:textId="77777777" w:rsidR="00CF11BE" w:rsidRPr="006431C4" w:rsidRDefault="00CF11BE" w:rsidP="00CF11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Należy używać tylko materiałów składowych o ustalonej przydatności. Ustalenie przydatności powinno wynikać co najmniej jednego z następujących dokumentów:</w:t>
      </w:r>
    </w:p>
    <w:p w14:paraId="291C8CA4" w14:textId="77777777" w:rsidR="00CF11BE" w:rsidRPr="006431C4" w:rsidRDefault="00CF11BE" w:rsidP="00CF1E7D">
      <w:pPr>
        <w:widowControl w:val="0"/>
        <w:numPr>
          <w:ilvl w:val="0"/>
          <w:numId w:val="149"/>
        </w:numPr>
        <w:overflowPunct w:val="0"/>
        <w:autoSpaceDE w:val="0"/>
        <w:autoSpaceDN w:val="0"/>
        <w:adjustRightInd w:val="0"/>
        <w:spacing w:line="240" w:lineRule="auto"/>
        <w:ind w:left="426" w:right="-57"/>
        <w:jc w:val="both"/>
        <w:textAlignment w:val="baseline"/>
        <w:rPr>
          <w:rFonts w:cs="Arial"/>
          <w:szCs w:val="20"/>
        </w:rPr>
      </w:pPr>
      <w:r w:rsidRPr="006431C4">
        <w:rPr>
          <w:rFonts w:cs="Arial"/>
          <w:szCs w:val="20"/>
        </w:rPr>
        <w:t>Normy Europejskiej,</w:t>
      </w:r>
    </w:p>
    <w:p w14:paraId="474C2A2C" w14:textId="77777777" w:rsidR="00CF11BE" w:rsidRPr="006431C4" w:rsidRDefault="00CF11BE" w:rsidP="00CF1E7D">
      <w:pPr>
        <w:widowControl w:val="0"/>
        <w:numPr>
          <w:ilvl w:val="0"/>
          <w:numId w:val="149"/>
        </w:numPr>
        <w:overflowPunct w:val="0"/>
        <w:autoSpaceDE w:val="0"/>
        <w:autoSpaceDN w:val="0"/>
        <w:adjustRightInd w:val="0"/>
        <w:spacing w:line="240" w:lineRule="auto"/>
        <w:ind w:left="426" w:right="-57"/>
        <w:jc w:val="both"/>
        <w:textAlignment w:val="baseline"/>
        <w:rPr>
          <w:rFonts w:cs="Arial"/>
          <w:szCs w:val="20"/>
        </w:rPr>
      </w:pPr>
      <w:r w:rsidRPr="006431C4">
        <w:rPr>
          <w:rFonts w:cs="Arial"/>
          <w:szCs w:val="20"/>
        </w:rPr>
        <w:lastRenderedPageBreak/>
        <w:t>europejskiej aprobaty technicznej,</w:t>
      </w:r>
    </w:p>
    <w:p w14:paraId="4FFAB579" w14:textId="77777777" w:rsidR="00CF11BE" w:rsidRPr="006431C4" w:rsidRDefault="00CF11BE" w:rsidP="00CF1E7D">
      <w:pPr>
        <w:widowControl w:val="0"/>
        <w:numPr>
          <w:ilvl w:val="0"/>
          <w:numId w:val="149"/>
        </w:numPr>
        <w:overflowPunct w:val="0"/>
        <w:autoSpaceDE w:val="0"/>
        <w:autoSpaceDN w:val="0"/>
        <w:adjustRightInd w:val="0"/>
        <w:spacing w:line="240" w:lineRule="auto"/>
        <w:ind w:left="426" w:right="-57"/>
        <w:jc w:val="both"/>
        <w:textAlignment w:val="baseline"/>
        <w:rPr>
          <w:rFonts w:cs="Arial"/>
          <w:szCs w:val="20"/>
        </w:rPr>
      </w:pPr>
      <w:r w:rsidRPr="006431C4">
        <w:rPr>
          <w:rFonts w:cs="Arial"/>
          <w:szCs w:val="20"/>
        </w:rPr>
        <w:t>specyfikacji materiałowych opartych na potwierdzonych pozytywnych zastosowaniach w nawierzchniach asfaltowych. Wykaz należy dostarczyć w celu udowodnienia przydatności. Wykaz może być oparty na badaniach w połączeniu z dowodami w praktyce.</w:t>
      </w:r>
    </w:p>
    <w:p w14:paraId="6010B47A" w14:textId="77777777" w:rsidR="00CF11BE" w:rsidRPr="006431C4" w:rsidRDefault="00CF11BE" w:rsidP="00CF11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 xml:space="preserve">Zaleca się stosowanie do mieszanki mineralno-asfaltowej środka obniżającego temperaturę produkcji i układania. </w:t>
      </w:r>
    </w:p>
    <w:p w14:paraId="7BE89E22" w14:textId="77777777" w:rsidR="00CF11BE" w:rsidRPr="006431C4" w:rsidRDefault="00CF11BE" w:rsidP="00CF11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 xml:space="preserve">Do mieszanki mineralno-asfaltowej  może być stosowany dodatek asfaltu naturalnego wg PN-EN 13108-4 [51], załącznik B. </w:t>
      </w:r>
    </w:p>
    <w:p w14:paraId="26077B2F"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2.9. Skład mieszanki mineralno-asfaltowej</w:t>
      </w:r>
    </w:p>
    <w:p w14:paraId="080D853B"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B</w:t>
      </w:r>
      <w:r w:rsidRPr="006431C4">
        <w:rPr>
          <w:rFonts w:cs="Arial"/>
          <w:szCs w:val="20"/>
          <w:vertAlign w:val="subscript"/>
        </w:rPr>
        <w:t>min</w:t>
      </w:r>
      <w:r w:rsidRPr="006431C4">
        <w:rPr>
          <w:rFonts w:cs="Arial"/>
          <w:szCs w:val="20"/>
        </w:rPr>
        <w:t xml:space="preserve"> i temperatur zagęszczania próbek.</w:t>
      </w:r>
    </w:p>
    <w:p w14:paraId="09BCE308"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Uziarnienie mieszanki mineralnej oraz minimalna zawartość lepiszcza podane są w tablicach 16 i 17.</w:t>
      </w:r>
    </w:p>
    <w:p w14:paraId="2E5E5F08" w14:textId="77777777" w:rsidR="00CF11BE" w:rsidRPr="006431C4" w:rsidRDefault="00CF11BE" w:rsidP="00CF11BE">
      <w:pPr>
        <w:tabs>
          <w:tab w:val="left" w:pos="1276"/>
        </w:tabs>
        <w:overflowPunct w:val="0"/>
        <w:autoSpaceDE w:val="0"/>
        <w:autoSpaceDN w:val="0"/>
        <w:adjustRightInd w:val="0"/>
        <w:spacing w:line="240" w:lineRule="auto"/>
        <w:ind w:left="1276" w:hanging="1276"/>
        <w:jc w:val="both"/>
        <w:textAlignment w:val="baseline"/>
        <w:rPr>
          <w:rFonts w:cs="Arial"/>
          <w:szCs w:val="20"/>
        </w:rPr>
      </w:pPr>
      <w:r w:rsidRPr="006431C4">
        <w:rPr>
          <w:rFonts w:cs="Arial"/>
          <w:szCs w:val="20"/>
        </w:rPr>
        <w:t>Tablica 16.</w:t>
      </w:r>
      <w:r w:rsidRPr="006431C4">
        <w:rPr>
          <w:rFonts w:cs="Arial"/>
          <w:szCs w:val="20"/>
        </w:rPr>
        <w:tab/>
        <w:t xml:space="preserve">Uziarnienie mieszanki mineralnej oraz zawartość lepiszcza do betonu asfaltowego do warstwy ścieralnej dla ruchu KR1-KR2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992"/>
        <w:gridCol w:w="850"/>
        <w:gridCol w:w="851"/>
        <w:gridCol w:w="850"/>
        <w:gridCol w:w="851"/>
        <w:gridCol w:w="882"/>
      </w:tblGrid>
      <w:tr w:rsidR="00CF11BE" w:rsidRPr="006431C4" w14:paraId="4F4E830D" w14:textId="77777777" w:rsidTr="00CF11BE">
        <w:tc>
          <w:tcPr>
            <w:tcW w:w="3397" w:type="dxa"/>
            <w:vMerge w:val="restart"/>
            <w:vAlign w:val="center"/>
          </w:tcPr>
          <w:p w14:paraId="7570876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5276" w:type="dxa"/>
            <w:gridSpan w:val="6"/>
          </w:tcPr>
          <w:p w14:paraId="7908526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Przesiew,   [% (m/m)]</w:t>
            </w:r>
          </w:p>
        </w:tc>
      </w:tr>
      <w:tr w:rsidR="00CF11BE" w:rsidRPr="006431C4" w14:paraId="724308E2" w14:textId="77777777" w:rsidTr="00CF11BE">
        <w:tc>
          <w:tcPr>
            <w:tcW w:w="3397" w:type="dxa"/>
            <w:vMerge/>
          </w:tcPr>
          <w:p w14:paraId="12065BC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842" w:type="dxa"/>
            <w:gridSpan w:val="2"/>
          </w:tcPr>
          <w:p w14:paraId="18FB6A7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AC5S</w:t>
            </w:r>
          </w:p>
        </w:tc>
        <w:tc>
          <w:tcPr>
            <w:tcW w:w="1701" w:type="dxa"/>
            <w:gridSpan w:val="2"/>
          </w:tcPr>
          <w:p w14:paraId="002F045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AC8S</w:t>
            </w:r>
          </w:p>
        </w:tc>
        <w:tc>
          <w:tcPr>
            <w:tcW w:w="1733" w:type="dxa"/>
            <w:gridSpan w:val="2"/>
          </w:tcPr>
          <w:p w14:paraId="26C5185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AC11S</w:t>
            </w:r>
          </w:p>
        </w:tc>
      </w:tr>
      <w:tr w:rsidR="00CF11BE" w:rsidRPr="006431C4" w14:paraId="4A791C1C" w14:textId="77777777" w:rsidTr="00CF11BE">
        <w:tc>
          <w:tcPr>
            <w:tcW w:w="3397" w:type="dxa"/>
          </w:tcPr>
          <w:p w14:paraId="10B8C17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Wymiar sita #, [mm]</w:t>
            </w:r>
          </w:p>
        </w:tc>
        <w:tc>
          <w:tcPr>
            <w:tcW w:w="992" w:type="dxa"/>
          </w:tcPr>
          <w:p w14:paraId="1AE1989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Od</w:t>
            </w:r>
          </w:p>
        </w:tc>
        <w:tc>
          <w:tcPr>
            <w:tcW w:w="850" w:type="dxa"/>
          </w:tcPr>
          <w:p w14:paraId="5BA6B2F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Do</w:t>
            </w:r>
          </w:p>
        </w:tc>
        <w:tc>
          <w:tcPr>
            <w:tcW w:w="851" w:type="dxa"/>
          </w:tcPr>
          <w:p w14:paraId="252C81B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od</w:t>
            </w:r>
          </w:p>
        </w:tc>
        <w:tc>
          <w:tcPr>
            <w:tcW w:w="850" w:type="dxa"/>
          </w:tcPr>
          <w:p w14:paraId="377987C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do</w:t>
            </w:r>
          </w:p>
        </w:tc>
        <w:tc>
          <w:tcPr>
            <w:tcW w:w="851" w:type="dxa"/>
          </w:tcPr>
          <w:p w14:paraId="4C5B850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od</w:t>
            </w:r>
          </w:p>
        </w:tc>
        <w:tc>
          <w:tcPr>
            <w:tcW w:w="882" w:type="dxa"/>
          </w:tcPr>
          <w:p w14:paraId="6E0B81A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Do</w:t>
            </w:r>
          </w:p>
        </w:tc>
      </w:tr>
      <w:tr w:rsidR="00CF11BE" w:rsidRPr="006431C4" w14:paraId="6A1CC794" w14:textId="77777777" w:rsidTr="00CF11BE">
        <w:tc>
          <w:tcPr>
            <w:tcW w:w="3397" w:type="dxa"/>
          </w:tcPr>
          <w:p w14:paraId="23384C8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992" w:type="dxa"/>
          </w:tcPr>
          <w:p w14:paraId="41DD395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0" w:type="dxa"/>
          </w:tcPr>
          <w:p w14:paraId="5EED144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1" w:type="dxa"/>
          </w:tcPr>
          <w:p w14:paraId="482F833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0" w:type="dxa"/>
          </w:tcPr>
          <w:p w14:paraId="61C9C14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1" w:type="dxa"/>
          </w:tcPr>
          <w:p w14:paraId="1407A02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82" w:type="dxa"/>
          </w:tcPr>
          <w:p w14:paraId="03979AD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CF11BE" w:rsidRPr="006431C4" w14:paraId="759B31BF" w14:textId="77777777" w:rsidTr="00CF11BE">
        <w:tc>
          <w:tcPr>
            <w:tcW w:w="3397" w:type="dxa"/>
          </w:tcPr>
          <w:p w14:paraId="6D217AE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11,2</w:t>
            </w:r>
          </w:p>
        </w:tc>
        <w:tc>
          <w:tcPr>
            <w:tcW w:w="992" w:type="dxa"/>
          </w:tcPr>
          <w:p w14:paraId="3875506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0" w:type="dxa"/>
          </w:tcPr>
          <w:p w14:paraId="079A60C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1" w:type="dxa"/>
          </w:tcPr>
          <w:p w14:paraId="487E7DB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50" w:type="dxa"/>
          </w:tcPr>
          <w:p w14:paraId="37A9B8C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1" w:type="dxa"/>
          </w:tcPr>
          <w:p w14:paraId="0521DE2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882" w:type="dxa"/>
          </w:tcPr>
          <w:p w14:paraId="7F54DC7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r w:rsidR="00CF11BE" w:rsidRPr="006431C4" w14:paraId="6154C02D" w14:textId="77777777" w:rsidTr="00CF11BE">
        <w:tc>
          <w:tcPr>
            <w:tcW w:w="3397" w:type="dxa"/>
          </w:tcPr>
          <w:p w14:paraId="5DD06F4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992" w:type="dxa"/>
          </w:tcPr>
          <w:p w14:paraId="204A29F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50" w:type="dxa"/>
          </w:tcPr>
          <w:p w14:paraId="58380E5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1" w:type="dxa"/>
          </w:tcPr>
          <w:p w14:paraId="798C03B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850" w:type="dxa"/>
          </w:tcPr>
          <w:p w14:paraId="0B78507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51" w:type="dxa"/>
          </w:tcPr>
          <w:p w14:paraId="21B3A0C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70</w:t>
            </w:r>
          </w:p>
        </w:tc>
        <w:tc>
          <w:tcPr>
            <w:tcW w:w="882" w:type="dxa"/>
          </w:tcPr>
          <w:p w14:paraId="032C9B7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r>
      <w:tr w:rsidR="00CF11BE" w:rsidRPr="006431C4" w14:paraId="5B44C39E" w14:textId="77777777" w:rsidTr="00CF11BE">
        <w:tc>
          <w:tcPr>
            <w:tcW w:w="3397" w:type="dxa"/>
          </w:tcPr>
          <w:p w14:paraId="0B5D750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5,6</w:t>
            </w:r>
          </w:p>
        </w:tc>
        <w:tc>
          <w:tcPr>
            <w:tcW w:w="992" w:type="dxa"/>
          </w:tcPr>
          <w:p w14:paraId="1B5FC05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850" w:type="dxa"/>
          </w:tcPr>
          <w:p w14:paraId="4361F2C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51" w:type="dxa"/>
          </w:tcPr>
          <w:p w14:paraId="1FAB0F0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70</w:t>
            </w:r>
          </w:p>
        </w:tc>
        <w:tc>
          <w:tcPr>
            <w:tcW w:w="850" w:type="dxa"/>
          </w:tcPr>
          <w:p w14:paraId="006CB13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851" w:type="dxa"/>
          </w:tcPr>
          <w:p w14:paraId="64D6BEB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82" w:type="dxa"/>
          </w:tcPr>
          <w:p w14:paraId="1D5EDCA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CF11BE" w:rsidRPr="006431C4" w14:paraId="049CC655" w14:textId="77777777" w:rsidTr="00CF11BE">
        <w:tc>
          <w:tcPr>
            <w:tcW w:w="3397" w:type="dxa"/>
          </w:tcPr>
          <w:p w14:paraId="78117E6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992" w:type="dxa"/>
          </w:tcPr>
          <w:p w14:paraId="522A445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850" w:type="dxa"/>
          </w:tcPr>
          <w:p w14:paraId="3A8D06F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65</w:t>
            </w:r>
          </w:p>
        </w:tc>
        <w:tc>
          <w:tcPr>
            <w:tcW w:w="851" w:type="dxa"/>
          </w:tcPr>
          <w:p w14:paraId="4F5001A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45</w:t>
            </w:r>
          </w:p>
        </w:tc>
        <w:tc>
          <w:tcPr>
            <w:tcW w:w="850" w:type="dxa"/>
          </w:tcPr>
          <w:p w14:paraId="4B5C1CB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c>
          <w:tcPr>
            <w:tcW w:w="851" w:type="dxa"/>
          </w:tcPr>
          <w:p w14:paraId="27C56E8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882" w:type="dxa"/>
          </w:tcPr>
          <w:p w14:paraId="5C2EA5D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55</w:t>
            </w:r>
          </w:p>
        </w:tc>
      </w:tr>
      <w:tr w:rsidR="00CF11BE" w:rsidRPr="006431C4" w14:paraId="2C6E3C95" w14:textId="77777777" w:rsidTr="00CF11BE">
        <w:tc>
          <w:tcPr>
            <w:tcW w:w="3397" w:type="dxa"/>
          </w:tcPr>
          <w:p w14:paraId="0D71583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0,125</w:t>
            </w:r>
          </w:p>
        </w:tc>
        <w:tc>
          <w:tcPr>
            <w:tcW w:w="992" w:type="dxa"/>
          </w:tcPr>
          <w:p w14:paraId="5051E55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850" w:type="dxa"/>
          </w:tcPr>
          <w:p w14:paraId="70D7E64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22</w:t>
            </w:r>
          </w:p>
        </w:tc>
        <w:tc>
          <w:tcPr>
            <w:tcW w:w="851" w:type="dxa"/>
          </w:tcPr>
          <w:p w14:paraId="25AA7AC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850" w:type="dxa"/>
          </w:tcPr>
          <w:p w14:paraId="1833F7E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22</w:t>
            </w:r>
          </w:p>
        </w:tc>
        <w:tc>
          <w:tcPr>
            <w:tcW w:w="851" w:type="dxa"/>
          </w:tcPr>
          <w:p w14:paraId="1CB974A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882" w:type="dxa"/>
          </w:tcPr>
          <w:p w14:paraId="11BD764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r>
      <w:tr w:rsidR="00CF11BE" w:rsidRPr="006431C4" w14:paraId="26C99BB8" w14:textId="77777777" w:rsidTr="00CF11BE">
        <w:tc>
          <w:tcPr>
            <w:tcW w:w="3397" w:type="dxa"/>
          </w:tcPr>
          <w:p w14:paraId="1C16F6F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0,063</w:t>
            </w:r>
          </w:p>
        </w:tc>
        <w:tc>
          <w:tcPr>
            <w:tcW w:w="992" w:type="dxa"/>
          </w:tcPr>
          <w:p w14:paraId="380D75F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850" w:type="dxa"/>
          </w:tcPr>
          <w:p w14:paraId="77725CF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14</w:t>
            </w:r>
          </w:p>
        </w:tc>
        <w:tc>
          <w:tcPr>
            <w:tcW w:w="851" w:type="dxa"/>
          </w:tcPr>
          <w:p w14:paraId="7965555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850" w:type="dxa"/>
          </w:tcPr>
          <w:p w14:paraId="3F87836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14</w:t>
            </w:r>
          </w:p>
        </w:tc>
        <w:tc>
          <w:tcPr>
            <w:tcW w:w="851" w:type="dxa"/>
          </w:tcPr>
          <w:p w14:paraId="4CC90B6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882" w:type="dxa"/>
          </w:tcPr>
          <w:p w14:paraId="57C7CB2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12,0</w:t>
            </w:r>
          </w:p>
        </w:tc>
      </w:tr>
      <w:tr w:rsidR="00CF11BE" w:rsidRPr="006431C4" w14:paraId="39E40487" w14:textId="77777777" w:rsidTr="00CF11BE">
        <w:tc>
          <w:tcPr>
            <w:tcW w:w="3397" w:type="dxa"/>
          </w:tcPr>
          <w:p w14:paraId="1F67A1AF" w14:textId="77777777" w:rsidR="00CF11BE" w:rsidRPr="006431C4" w:rsidRDefault="00CF11BE" w:rsidP="00CF11BE">
            <w:pPr>
              <w:overflowPunct w:val="0"/>
              <w:autoSpaceDE w:val="0"/>
              <w:autoSpaceDN w:val="0"/>
              <w:adjustRightInd w:val="0"/>
              <w:spacing w:line="240" w:lineRule="auto"/>
              <w:textAlignment w:val="baseline"/>
              <w:rPr>
                <w:rFonts w:cs="Arial"/>
                <w:szCs w:val="20"/>
                <w:vertAlign w:val="superscript"/>
              </w:rPr>
            </w:pPr>
            <w:r w:rsidRPr="006431C4">
              <w:rPr>
                <w:rFonts w:cs="Arial"/>
                <w:szCs w:val="20"/>
              </w:rPr>
              <w:t>Zawartość lepiszcza, minimum</w:t>
            </w:r>
            <w:r w:rsidRPr="006431C4">
              <w:rPr>
                <w:rFonts w:cs="Arial"/>
                <w:szCs w:val="20"/>
                <w:vertAlign w:val="superscript"/>
              </w:rPr>
              <w:t>*)</w:t>
            </w:r>
          </w:p>
        </w:tc>
        <w:tc>
          <w:tcPr>
            <w:tcW w:w="1842" w:type="dxa"/>
            <w:gridSpan w:val="2"/>
          </w:tcPr>
          <w:p w14:paraId="65B2871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w:t>
            </w:r>
            <w:r w:rsidRPr="006431C4">
              <w:rPr>
                <w:rFonts w:cs="Arial"/>
                <w:szCs w:val="20"/>
                <w:vertAlign w:val="subscript"/>
              </w:rPr>
              <w:t>min6,2</w:t>
            </w:r>
          </w:p>
        </w:tc>
        <w:tc>
          <w:tcPr>
            <w:tcW w:w="1701" w:type="dxa"/>
            <w:gridSpan w:val="2"/>
          </w:tcPr>
          <w:p w14:paraId="0CF6943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w:t>
            </w:r>
            <w:r w:rsidRPr="006431C4">
              <w:rPr>
                <w:rFonts w:cs="Arial"/>
                <w:szCs w:val="20"/>
                <w:vertAlign w:val="subscript"/>
              </w:rPr>
              <w:t>min6,0</w:t>
            </w:r>
          </w:p>
        </w:tc>
        <w:tc>
          <w:tcPr>
            <w:tcW w:w="1733" w:type="dxa"/>
            <w:gridSpan w:val="2"/>
          </w:tcPr>
          <w:p w14:paraId="6AA0E7A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w:t>
            </w:r>
            <w:r w:rsidRPr="006431C4">
              <w:rPr>
                <w:rFonts w:cs="Arial"/>
                <w:szCs w:val="20"/>
                <w:vertAlign w:val="subscript"/>
              </w:rPr>
              <w:t xml:space="preserve">min5,8 </w:t>
            </w:r>
          </w:p>
        </w:tc>
      </w:tr>
    </w:tbl>
    <w:p w14:paraId="7B8E897A" w14:textId="77777777" w:rsidR="00CF11BE" w:rsidRPr="006431C4" w:rsidRDefault="00CF11BE" w:rsidP="00CF11BE">
      <w:pPr>
        <w:overflowPunct w:val="0"/>
        <w:autoSpaceDE w:val="0"/>
        <w:autoSpaceDN w:val="0"/>
        <w:adjustRightInd w:val="0"/>
        <w:spacing w:line="240" w:lineRule="auto"/>
        <w:ind w:left="1440" w:hanging="1440"/>
        <w:jc w:val="both"/>
        <w:textAlignment w:val="baseline"/>
        <w:rPr>
          <w:rFonts w:cs="Arial"/>
          <w:szCs w:val="20"/>
        </w:rPr>
      </w:pPr>
    </w:p>
    <w:p w14:paraId="263D16BE" w14:textId="77777777" w:rsidR="00CF11BE" w:rsidRPr="006431C4" w:rsidRDefault="00CF11BE" w:rsidP="00CF11BE">
      <w:pPr>
        <w:tabs>
          <w:tab w:val="left" w:pos="1134"/>
        </w:tabs>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17.</w:t>
      </w:r>
      <w:r w:rsidRPr="006431C4">
        <w:rPr>
          <w:rFonts w:cs="Arial"/>
          <w:szCs w:val="20"/>
        </w:rPr>
        <w:tab/>
        <w:t xml:space="preserve">Uziarnienie mieszanki mineralnej oraz zawartość lepiszcza do betonu asfaltowego do warstwy ścieralnej dla ruchu KR3-KR6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32"/>
        <w:gridCol w:w="591"/>
        <w:gridCol w:w="960"/>
        <w:gridCol w:w="1080"/>
        <w:gridCol w:w="1103"/>
      </w:tblGrid>
      <w:tr w:rsidR="00CF11BE" w:rsidRPr="006431C4" w14:paraId="27988BF1" w14:textId="77777777" w:rsidTr="00CF11BE">
        <w:tc>
          <w:tcPr>
            <w:tcW w:w="6232" w:type="dxa"/>
            <w:vMerge w:val="restart"/>
            <w:vAlign w:val="center"/>
          </w:tcPr>
          <w:p w14:paraId="109E2F9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3734" w:type="dxa"/>
            <w:gridSpan w:val="4"/>
            <w:vAlign w:val="center"/>
          </w:tcPr>
          <w:p w14:paraId="1F94B96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Przesiew,   [% (m/m)]</w:t>
            </w:r>
          </w:p>
        </w:tc>
      </w:tr>
      <w:tr w:rsidR="00CF11BE" w:rsidRPr="006431C4" w14:paraId="13D03940" w14:textId="77777777" w:rsidTr="00CF11BE">
        <w:tc>
          <w:tcPr>
            <w:tcW w:w="6232" w:type="dxa"/>
            <w:vMerge/>
            <w:vAlign w:val="center"/>
          </w:tcPr>
          <w:p w14:paraId="223D5DE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551" w:type="dxa"/>
            <w:gridSpan w:val="2"/>
            <w:vAlign w:val="center"/>
          </w:tcPr>
          <w:p w14:paraId="2747B64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AC8S</w:t>
            </w:r>
          </w:p>
        </w:tc>
        <w:tc>
          <w:tcPr>
            <w:tcW w:w="2183" w:type="dxa"/>
            <w:gridSpan w:val="2"/>
            <w:vAlign w:val="center"/>
          </w:tcPr>
          <w:p w14:paraId="0529132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AC11S</w:t>
            </w:r>
          </w:p>
        </w:tc>
      </w:tr>
      <w:tr w:rsidR="00CF11BE" w:rsidRPr="006431C4" w14:paraId="3BF933FE" w14:textId="77777777" w:rsidTr="00CF11BE">
        <w:tc>
          <w:tcPr>
            <w:tcW w:w="6232" w:type="dxa"/>
          </w:tcPr>
          <w:p w14:paraId="363118A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Wymiar sita #, [mm]</w:t>
            </w:r>
          </w:p>
        </w:tc>
        <w:tc>
          <w:tcPr>
            <w:tcW w:w="591" w:type="dxa"/>
          </w:tcPr>
          <w:p w14:paraId="148C892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od</w:t>
            </w:r>
          </w:p>
        </w:tc>
        <w:tc>
          <w:tcPr>
            <w:tcW w:w="960" w:type="dxa"/>
          </w:tcPr>
          <w:p w14:paraId="6E77658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do</w:t>
            </w:r>
          </w:p>
        </w:tc>
        <w:tc>
          <w:tcPr>
            <w:tcW w:w="1080" w:type="dxa"/>
          </w:tcPr>
          <w:p w14:paraId="757DDDC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od</w:t>
            </w:r>
          </w:p>
        </w:tc>
        <w:tc>
          <w:tcPr>
            <w:tcW w:w="1103" w:type="dxa"/>
          </w:tcPr>
          <w:p w14:paraId="78B1117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do</w:t>
            </w:r>
          </w:p>
        </w:tc>
      </w:tr>
      <w:tr w:rsidR="00CF11BE" w:rsidRPr="006431C4" w14:paraId="2DA96D9C" w14:textId="77777777" w:rsidTr="00CF11BE">
        <w:tc>
          <w:tcPr>
            <w:tcW w:w="6232" w:type="dxa"/>
          </w:tcPr>
          <w:p w14:paraId="624C5EA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591" w:type="dxa"/>
          </w:tcPr>
          <w:p w14:paraId="26D9170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960" w:type="dxa"/>
          </w:tcPr>
          <w:p w14:paraId="7155048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080" w:type="dxa"/>
          </w:tcPr>
          <w:p w14:paraId="659C074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1103" w:type="dxa"/>
          </w:tcPr>
          <w:p w14:paraId="2DD05DC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CF11BE" w:rsidRPr="006431C4" w14:paraId="273A3958" w14:textId="77777777" w:rsidTr="00CF11BE">
        <w:tc>
          <w:tcPr>
            <w:tcW w:w="6232" w:type="dxa"/>
          </w:tcPr>
          <w:p w14:paraId="57DED1D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11,2</w:t>
            </w:r>
          </w:p>
        </w:tc>
        <w:tc>
          <w:tcPr>
            <w:tcW w:w="591" w:type="dxa"/>
          </w:tcPr>
          <w:p w14:paraId="1A25DD1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960" w:type="dxa"/>
          </w:tcPr>
          <w:p w14:paraId="39A03C2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080" w:type="dxa"/>
          </w:tcPr>
          <w:p w14:paraId="532FD0B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1103" w:type="dxa"/>
          </w:tcPr>
          <w:p w14:paraId="6C662F8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r w:rsidR="00CF11BE" w:rsidRPr="006431C4" w14:paraId="1DCE1D37" w14:textId="77777777" w:rsidTr="00CF11BE">
        <w:tc>
          <w:tcPr>
            <w:tcW w:w="6232" w:type="dxa"/>
          </w:tcPr>
          <w:p w14:paraId="7FB69CA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591" w:type="dxa"/>
          </w:tcPr>
          <w:p w14:paraId="1BA417D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960" w:type="dxa"/>
          </w:tcPr>
          <w:p w14:paraId="0133926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1080" w:type="dxa"/>
          </w:tcPr>
          <w:p w14:paraId="328490E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c>
          <w:tcPr>
            <w:tcW w:w="1103" w:type="dxa"/>
          </w:tcPr>
          <w:p w14:paraId="22B8923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r>
      <w:tr w:rsidR="00CF11BE" w:rsidRPr="006431C4" w14:paraId="20300134" w14:textId="77777777" w:rsidTr="00CF11BE">
        <w:tc>
          <w:tcPr>
            <w:tcW w:w="6232" w:type="dxa"/>
          </w:tcPr>
          <w:p w14:paraId="07437EE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5,6</w:t>
            </w:r>
          </w:p>
        </w:tc>
        <w:tc>
          <w:tcPr>
            <w:tcW w:w="591" w:type="dxa"/>
          </w:tcPr>
          <w:p w14:paraId="4368B47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c>
          <w:tcPr>
            <w:tcW w:w="960" w:type="dxa"/>
          </w:tcPr>
          <w:p w14:paraId="22E0B03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80</w:t>
            </w:r>
          </w:p>
        </w:tc>
        <w:tc>
          <w:tcPr>
            <w:tcW w:w="1080" w:type="dxa"/>
          </w:tcPr>
          <w:p w14:paraId="20D5ABFD" w14:textId="77777777" w:rsidR="00CF11BE" w:rsidRPr="006431C4" w:rsidRDefault="00CF11BE" w:rsidP="00CF11BE">
            <w:pPr>
              <w:tabs>
                <w:tab w:val="left" w:pos="285"/>
                <w:tab w:val="center" w:pos="342"/>
              </w:tabs>
              <w:overflowPunct w:val="0"/>
              <w:autoSpaceDE w:val="0"/>
              <w:autoSpaceDN w:val="0"/>
              <w:adjustRightInd w:val="0"/>
              <w:spacing w:line="240" w:lineRule="auto"/>
              <w:textAlignment w:val="baseline"/>
              <w:rPr>
                <w:rFonts w:cs="Arial"/>
                <w:szCs w:val="20"/>
              </w:rPr>
            </w:pPr>
            <w:r w:rsidRPr="006431C4">
              <w:rPr>
                <w:rFonts w:cs="Arial"/>
                <w:szCs w:val="20"/>
              </w:rPr>
              <w:tab/>
              <w:t>48</w:t>
            </w:r>
          </w:p>
        </w:tc>
        <w:tc>
          <w:tcPr>
            <w:tcW w:w="1103" w:type="dxa"/>
          </w:tcPr>
          <w:p w14:paraId="4033D99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75</w:t>
            </w:r>
          </w:p>
        </w:tc>
      </w:tr>
      <w:tr w:rsidR="00CF11BE" w:rsidRPr="006431C4" w14:paraId="709488B4" w14:textId="77777777" w:rsidTr="00CF11BE">
        <w:tc>
          <w:tcPr>
            <w:tcW w:w="6232" w:type="dxa"/>
          </w:tcPr>
          <w:p w14:paraId="6CAADEF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591" w:type="dxa"/>
          </w:tcPr>
          <w:p w14:paraId="7238709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48</w:t>
            </w:r>
          </w:p>
        </w:tc>
        <w:tc>
          <w:tcPr>
            <w:tcW w:w="960" w:type="dxa"/>
          </w:tcPr>
          <w:p w14:paraId="7A450A9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c>
          <w:tcPr>
            <w:tcW w:w="1080" w:type="dxa"/>
          </w:tcPr>
          <w:p w14:paraId="45B3BDF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42</w:t>
            </w:r>
          </w:p>
        </w:tc>
        <w:tc>
          <w:tcPr>
            <w:tcW w:w="1103" w:type="dxa"/>
          </w:tcPr>
          <w:p w14:paraId="1B8C4DE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r>
      <w:tr w:rsidR="00CF11BE" w:rsidRPr="006431C4" w14:paraId="4B6DC414" w14:textId="77777777" w:rsidTr="00CF11BE">
        <w:tc>
          <w:tcPr>
            <w:tcW w:w="6232" w:type="dxa"/>
          </w:tcPr>
          <w:p w14:paraId="0D4D44A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591" w:type="dxa"/>
          </w:tcPr>
          <w:p w14:paraId="685047E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960" w:type="dxa"/>
          </w:tcPr>
          <w:p w14:paraId="6AE29B4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55</w:t>
            </w:r>
          </w:p>
        </w:tc>
        <w:tc>
          <w:tcPr>
            <w:tcW w:w="1080" w:type="dxa"/>
          </w:tcPr>
          <w:p w14:paraId="126C5F3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35</w:t>
            </w:r>
          </w:p>
        </w:tc>
        <w:tc>
          <w:tcPr>
            <w:tcW w:w="1103" w:type="dxa"/>
          </w:tcPr>
          <w:p w14:paraId="628CB7A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50</w:t>
            </w:r>
          </w:p>
        </w:tc>
      </w:tr>
      <w:tr w:rsidR="00CF11BE" w:rsidRPr="006431C4" w14:paraId="2BACAB49" w14:textId="77777777" w:rsidTr="00CF11BE">
        <w:tc>
          <w:tcPr>
            <w:tcW w:w="6232" w:type="dxa"/>
          </w:tcPr>
          <w:p w14:paraId="4D08014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0,125</w:t>
            </w:r>
          </w:p>
        </w:tc>
        <w:tc>
          <w:tcPr>
            <w:tcW w:w="591" w:type="dxa"/>
          </w:tcPr>
          <w:p w14:paraId="47256AE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960" w:type="dxa"/>
          </w:tcPr>
          <w:p w14:paraId="01836B5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22</w:t>
            </w:r>
          </w:p>
        </w:tc>
        <w:tc>
          <w:tcPr>
            <w:tcW w:w="1080" w:type="dxa"/>
          </w:tcPr>
          <w:p w14:paraId="29BA151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1103" w:type="dxa"/>
          </w:tcPr>
          <w:p w14:paraId="62C7F27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r>
      <w:tr w:rsidR="00CF11BE" w:rsidRPr="006431C4" w14:paraId="70934F40" w14:textId="77777777" w:rsidTr="00CF11BE">
        <w:tc>
          <w:tcPr>
            <w:tcW w:w="6232" w:type="dxa"/>
          </w:tcPr>
          <w:p w14:paraId="1A33E39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0,063</w:t>
            </w:r>
          </w:p>
        </w:tc>
        <w:tc>
          <w:tcPr>
            <w:tcW w:w="591" w:type="dxa"/>
          </w:tcPr>
          <w:p w14:paraId="53AEEA0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960" w:type="dxa"/>
          </w:tcPr>
          <w:p w14:paraId="7855D88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12,0</w:t>
            </w:r>
          </w:p>
        </w:tc>
        <w:tc>
          <w:tcPr>
            <w:tcW w:w="1080" w:type="dxa"/>
          </w:tcPr>
          <w:p w14:paraId="10608AC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1103" w:type="dxa"/>
          </w:tcPr>
          <w:p w14:paraId="62B90F7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11,0</w:t>
            </w:r>
          </w:p>
        </w:tc>
      </w:tr>
      <w:tr w:rsidR="00CF11BE" w:rsidRPr="006431C4" w14:paraId="418A12CA" w14:textId="77777777" w:rsidTr="00CF11BE">
        <w:tc>
          <w:tcPr>
            <w:tcW w:w="6232" w:type="dxa"/>
          </w:tcPr>
          <w:p w14:paraId="5E54303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vertAlign w:val="superscript"/>
              </w:rPr>
            </w:pPr>
            <w:r w:rsidRPr="006431C4">
              <w:rPr>
                <w:rFonts w:cs="Arial"/>
                <w:szCs w:val="20"/>
              </w:rPr>
              <w:t>Zawartość lepiszcza, minimum</w:t>
            </w:r>
            <w:r w:rsidRPr="006431C4">
              <w:rPr>
                <w:rFonts w:cs="Arial"/>
                <w:szCs w:val="20"/>
                <w:vertAlign w:val="superscript"/>
              </w:rPr>
              <w:t>*)</w:t>
            </w:r>
          </w:p>
        </w:tc>
        <w:tc>
          <w:tcPr>
            <w:tcW w:w="1551" w:type="dxa"/>
            <w:gridSpan w:val="2"/>
          </w:tcPr>
          <w:p w14:paraId="5ECB032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w:t>
            </w:r>
            <w:r w:rsidRPr="006431C4">
              <w:rPr>
                <w:rFonts w:cs="Arial"/>
                <w:szCs w:val="20"/>
                <w:vertAlign w:val="subscript"/>
              </w:rPr>
              <w:t>min5,8</w:t>
            </w:r>
          </w:p>
        </w:tc>
        <w:tc>
          <w:tcPr>
            <w:tcW w:w="2183" w:type="dxa"/>
            <w:gridSpan w:val="2"/>
          </w:tcPr>
          <w:p w14:paraId="2D44C01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B</w:t>
            </w:r>
            <w:r w:rsidRPr="006431C4">
              <w:rPr>
                <w:rFonts w:cs="Arial"/>
                <w:szCs w:val="20"/>
                <w:vertAlign w:val="subscript"/>
              </w:rPr>
              <w:t xml:space="preserve">min5,8 </w:t>
            </w:r>
          </w:p>
        </w:tc>
      </w:tr>
      <w:tr w:rsidR="00CF11BE" w:rsidRPr="006431C4" w14:paraId="7ED81A6B" w14:textId="77777777" w:rsidTr="00CF11BE">
        <w:tc>
          <w:tcPr>
            <w:tcW w:w="9966" w:type="dxa"/>
            <w:gridSpan w:val="5"/>
          </w:tcPr>
          <w:p w14:paraId="68FFA074" w14:textId="77777777" w:rsidR="00CF11BE" w:rsidRPr="006431C4" w:rsidRDefault="00CF11BE" w:rsidP="00CF11BE">
            <w:pPr>
              <w:tabs>
                <w:tab w:val="left" w:pos="284"/>
              </w:tabs>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vertAlign w:val="superscript"/>
              </w:rPr>
              <w:t>*)</w:t>
            </w:r>
            <w:r w:rsidRPr="006431C4">
              <w:rPr>
                <w:rFonts w:cs="Arial"/>
                <w:szCs w:val="20"/>
              </w:rPr>
              <w:tab/>
              <w:t>Minimalna zawartość lepiszcza jest określona przy założonej gęstości mieszanki mineralnej 2,650 Mg/m</w:t>
            </w:r>
            <w:r w:rsidRPr="006431C4">
              <w:rPr>
                <w:rFonts w:cs="Arial"/>
                <w:szCs w:val="20"/>
                <w:vertAlign w:val="superscript"/>
              </w:rPr>
              <w:t>3</w:t>
            </w:r>
            <w:r w:rsidRPr="006431C4">
              <w:rPr>
                <w:rFonts w:cs="Arial"/>
                <w:szCs w:val="20"/>
              </w:rPr>
              <w:t>. Jeżeli stosowana mieszanka mineralna ma inną gęstość (</w:t>
            </w:r>
            <w:r w:rsidRPr="006431C4">
              <w:rPr>
                <w:rFonts w:cs="Arial"/>
                <w:i/>
                <w:szCs w:val="20"/>
              </w:rPr>
              <w:t>ρ</w:t>
            </w:r>
            <w:r w:rsidRPr="006431C4">
              <w:rPr>
                <w:rFonts w:cs="Arial"/>
                <w:szCs w:val="20"/>
                <w:vertAlign w:val="subscript"/>
              </w:rPr>
              <w:t>d</w:t>
            </w:r>
            <w:r w:rsidRPr="006431C4">
              <w:rPr>
                <w:rFonts w:cs="Arial"/>
                <w:szCs w:val="20"/>
              </w:rPr>
              <w:t xml:space="preserve">), to do wyznaczenia minimalnej zawartości lepiszcza podaną wartość należy pomnożyć przez współczynnik </w:t>
            </w:r>
            <w:r w:rsidRPr="006431C4">
              <w:rPr>
                <w:rFonts w:cs="Arial"/>
                <w:position w:val="-6"/>
                <w:szCs w:val="20"/>
              </w:rPr>
              <w:object w:dxaOrig="240" w:dyaOrig="220" w14:anchorId="39ACDC60">
                <v:shape id="_x0000_i1030" type="#_x0000_t75" style="width:12pt;height:11.25pt" o:ole="">
                  <v:imagedata r:id="rId56" o:title=""/>
                </v:shape>
                <o:OLEObject Type="Embed" ProgID="Equation.3" ShapeID="_x0000_i1030" DrawAspect="Content" ObjectID="_1726896249" r:id="rId57"/>
              </w:object>
            </w:r>
            <w:r w:rsidRPr="006431C4">
              <w:rPr>
                <w:rFonts w:cs="Arial"/>
                <w:szCs w:val="20"/>
              </w:rPr>
              <w:t xml:space="preserve"> według równania:</w:t>
            </w:r>
          </w:p>
          <w:p w14:paraId="31BB708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position w:val="-30"/>
                <w:szCs w:val="20"/>
              </w:rPr>
              <w:object w:dxaOrig="880" w:dyaOrig="680" w14:anchorId="378F2425">
                <v:shape id="_x0000_i1031" type="#_x0000_t75" style="width:44.25pt;height:33.75pt" o:ole="">
                  <v:imagedata r:id="rId58" o:title=""/>
                </v:shape>
                <o:OLEObject Type="Embed" ProgID="Equation.3" ShapeID="_x0000_i1031" DrawAspect="Content" ObjectID="_1726896250" r:id="rId59"/>
              </w:object>
            </w:r>
          </w:p>
        </w:tc>
      </w:tr>
    </w:tbl>
    <w:p w14:paraId="437A69FD"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2.10. Właściwości mieszaki mineralno-asfaltowej do wykonania betonu asfaltowego do warstwy ścieralnej</w:t>
      </w:r>
    </w:p>
    <w:p w14:paraId="4A40F72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Wymagane właściwości mieszanki mineralno-asfaltowej podane są w tablicach  18, 19 i 20.</w:t>
      </w:r>
    </w:p>
    <w:p w14:paraId="3955C698" w14:textId="77777777" w:rsidR="00CF11BE" w:rsidRPr="006431C4" w:rsidRDefault="00CF11BE" w:rsidP="00CF11BE">
      <w:pPr>
        <w:overflowPunct w:val="0"/>
        <w:autoSpaceDE w:val="0"/>
        <w:autoSpaceDN w:val="0"/>
        <w:adjustRightInd w:val="0"/>
        <w:spacing w:line="240" w:lineRule="auto"/>
        <w:ind w:left="1276" w:hanging="1276"/>
        <w:jc w:val="both"/>
        <w:textAlignment w:val="baseline"/>
        <w:rPr>
          <w:rFonts w:cs="Arial"/>
          <w:szCs w:val="20"/>
        </w:rPr>
      </w:pPr>
      <w:r w:rsidRPr="006431C4">
        <w:rPr>
          <w:rFonts w:cs="Arial"/>
          <w:szCs w:val="20"/>
        </w:rPr>
        <w:t>Tablica 18.</w:t>
      </w:r>
      <w:r w:rsidRPr="006431C4">
        <w:rPr>
          <w:rFonts w:cs="Arial"/>
          <w:szCs w:val="20"/>
        </w:rPr>
        <w:tab/>
        <w:t xml:space="preserve">Wymagane właściwości mieszanki mineralno-asfaltowej do warstwy ścieralnej, dla ruchu KR1 ÷ KR2 </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2"/>
        <w:gridCol w:w="1559"/>
        <w:gridCol w:w="2410"/>
        <w:gridCol w:w="1134"/>
        <w:gridCol w:w="1134"/>
        <w:gridCol w:w="1134"/>
      </w:tblGrid>
      <w:tr w:rsidR="00CF11BE" w:rsidRPr="006431C4" w14:paraId="59544552" w14:textId="77777777" w:rsidTr="00CF11BE">
        <w:tc>
          <w:tcPr>
            <w:tcW w:w="2972" w:type="dxa"/>
          </w:tcPr>
          <w:p w14:paraId="2AB076A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4EC3EE4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1559" w:type="dxa"/>
          </w:tcPr>
          <w:p w14:paraId="4D991A4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Warunki zagęszczania wg PN-EN </w:t>
            </w:r>
          </w:p>
          <w:p w14:paraId="05929CC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13108-20 [52]</w:t>
            </w:r>
          </w:p>
        </w:tc>
        <w:tc>
          <w:tcPr>
            <w:tcW w:w="2410" w:type="dxa"/>
          </w:tcPr>
          <w:p w14:paraId="6495E0A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64D8366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 i warunki badania</w:t>
            </w:r>
          </w:p>
        </w:tc>
        <w:tc>
          <w:tcPr>
            <w:tcW w:w="1134" w:type="dxa"/>
            <w:shd w:val="clear" w:color="auto" w:fill="auto"/>
          </w:tcPr>
          <w:p w14:paraId="55AB7E5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2F1B55B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AC5S</w:t>
            </w:r>
          </w:p>
        </w:tc>
        <w:tc>
          <w:tcPr>
            <w:tcW w:w="1134" w:type="dxa"/>
            <w:shd w:val="clear" w:color="auto" w:fill="auto"/>
          </w:tcPr>
          <w:p w14:paraId="46B3C2C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7943B40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AC8S</w:t>
            </w:r>
          </w:p>
        </w:tc>
        <w:tc>
          <w:tcPr>
            <w:tcW w:w="1134" w:type="dxa"/>
          </w:tcPr>
          <w:p w14:paraId="355DDCF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6CF3A02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AC11S</w:t>
            </w:r>
          </w:p>
        </w:tc>
      </w:tr>
      <w:tr w:rsidR="00CF11BE" w:rsidRPr="006431C4" w14:paraId="4BD980ED" w14:textId="77777777" w:rsidTr="00CF11BE">
        <w:tc>
          <w:tcPr>
            <w:tcW w:w="2972" w:type="dxa"/>
          </w:tcPr>
          <w:p w14:paraId="10F4418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w:t>
            </w:r>
          </w:p>
        </w:tc>
        <w:tc>
          <w:tcPr>
            <w:tcW w:w="1559" w:type="dxa"/>
            <w:vAlign w:val="center"/>
          </w:tcPr>
          <w:p w14:paraId="05823FE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C.1.2,ubijanie, 2×50 uderzeń</w:t>
            </w:r>
          </w:p>
        </w:tc>
        <w:tc>
          <w:tcPr>
            <w:tcW w:w="2410" w:type="dxa"/>
            <w:vAlign w:val="center"/>
          </w:tcPr>
          <w:p w14:paraId="70DAE17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12697-8 [35], </w:t>
            </w:r>
          </w:p>
          <w:p w14:paraId="1808EDA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 4</w:t>
            </w:r>
          </w:p>
        </w:tc>
        <w:tc>
          <w:tcPr>
            <w:tcW w:w="1134" w:type="dxa"/>
            <w:shd w:val="clear" w:color="auto" w:fill="auto"/>
            <w:vAlign w:val="center"/>
          </w:tcPr>
          <w:p w14:paraId="2990C09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min1,0</w:t>
            </w:r>
          </w:p>
          <w:p w14:paraId="3139DDF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max3,0</w:t>
            </w:r>
          </w:p>
        </w:tc>
        <w:tc>
          <w:tcPr>
            <w:tcW w:w="1134" w:type="dxa"/>
            <w:shd w:val="clear" w:color="auto" w:fill="auto"/>
            <w:vAlign w:val="center"/>
          </w:tcPr>
          <w:p w14:paraId="1405168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min1,0</w:t>
            </w:r>
          </w:p>
          <w:p w14:paraId="223E5C6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max3,0</w:t>
            </w:r>
          </w:p>
        </w:tc>
        <w:tc>
          <w:tcPr>
            <w:tcW w:w="1134" w:type="dxa"/>
            <w:vAlign w:val="center"/>
          </w:tcPr>
          <w:p w14:paraId="4D6B1AE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min1,0</w:t>
            </w:r>
          </w:p>
          <w:p w14:paraId="20F4011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max3,0</w:t>
            </w:r>
          </w:p>
        </w:tc>
      </w:tr>
      <w:tr w:rsidR="00CF11BE" w:rsidRPr="006431C4" w14:paraId="0746E158" w14:textId="77777777" w:rsidTr="00CF11BE">
        <w:tc>
          <w:tcPr>
            <w:tcW w:w="2972" w:type="dxa"/>
          </w:tcPr>
          <w:p w14:paraId="7233F430"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Wolne przestrzenie wypełnione lepiszczem</w:t>
            </w:r>
          </w:p>
        </w:tc>
        <w:tc>
          <w:tcPr>
            <w:tcW w:w="1559" w:type="dxa"/>
            <w:vAlign w:val="center"/>
          </w:tcPr>
          <w:p w14:paraId="4E2BCB7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C.1.2,ubijanie, 2×50 uderzeń</w:t>
            </w:r>
          </w:p>
        </w:tc>
        <w:tc>
          <w:tcPr>
            <w:tcW w:w="2410" w:type="dxa"/>
            <w:vAlign w:val="center"/>
          </w:tcPr>
          <w:p w14:paraId="0128D7E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12697-8 [35], </w:t>
            </w:r>
          </w:p>
          <w:p w14:paraId="16EFFD6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 5</w:t>
            </w:r>
          </w:p>
        </w:tc>
        <w:tc>
          <w:tcPr>
            <w:tcW w:w="1134" w:type="dxa"/>
            <w:shd w:val="clear" w:color="auto" w:fill="auto"/>
            <w:vAlign w:val="center"/>
          </w:tcPr>
          <w:p w14:paraId="0FD8561F"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VFB</w:t>
            </w:r>
            <w:r w:rsidRPr="006431C4">
              <w:rPr>
                <w:rFonts w:cs="Arial"/>
                <w:i/>
                <w:szCs w:val="20"/>
                <w:vertAlign w:val="subscript"/>
              </w:rPr>
              <w:t>min75</w:t>
            </w:r>
          </w:p>
          <w:p w14:paraId="796CA71B"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VFB</w:t>
            </w:r>
            <w:r w:rsidRPr="006431C4">
              <w:rPr>
                <w:rFonts w:cs="Arial"/>
                <w:i/>
                <w:szCs w:val="20"/>
                <w:vertAlign w:val="subscript"/>
              </w:rPr>
              <w:t>max93</w:t>
            </w:r>
          </w:p>
        </w:tc>
        <w:tc>
          <w:tcPr>
            <w:tcW w:w="1134" w:type="dxa"/>
            <w:shd w:val="clear" w:color="auto" w:fill="auto"/>
            <w:vAlign w:val="center"/>
          </w:tcPr>
          <w:p w14:paraId="5853B613"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VFB</w:t>
            </w:r>
            <w:r w:rsidRPr="006431C4">
              <w:rPr>
                <w:rFonts w:cs="Arial"/>
                <w:i/>
                <w:szCs w:val="20"/>
                <w:vertAlign w:val="subscript"/>
              </w:rPr>
              <w:t>min75</w:t>
            </w:r>
          </w:p>
          <w:p w14:paraId="1E7CD17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VFB</w:t>
            </w:r>
            <w:r w:rsidRPr="006431C4">
              <w:rPr>
                <w:rFonts w:cs="Arial"/>
                <w:i/>
                <w:szCs w:val="20"/>
                <w:vertAlign w:val="subscript"/>
              </w:rPr>
              <w:t>max93</w:t>
            </w:r>
          </w:p>
        </w:tc>
        <w:tc>
          <w:tcPr>
            <w:tcW w:w="1134" w:type="dxa"/>
            <w:vAlign w:val="center"/>
          </w:tcPr>
          <w:p w14:paraId="357D9967"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VFB</w:t>
            </w:r>
            <w:r w:rsidRPr="006431C4">
              <w:rPr>
                <w:rFonts w:cs="Arial"/>
                <w:i/>
                <w:szCs w:val="20"/>
                <w:vertAlign w:val="subscript"/>
              </w:rPr>
              <w:t>min75</w:t>
            </w:r>
          </w:p>
          <w:p w14:paraId="2E72DAF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VFB</w:t>
            </w:r>
            <w:r w:rsidRPr="006431C4">
              <w:rPr>
                <w:rFonts w:cs="Arial"/>
                <w:i/>
                <w:szCs w:val="20"/>
                <w:vertAlign w:val="subscript"/>
              </w:rPr>
              <w:t>max93</w:t>
            </w:r>
          </w:p>
        </w:tc>
      </w:tr>
      <w:tr w:rsidR="00CF11BE" w:rsidRPr="006431C4" w14:paraId="56BAE5FC" w14:textId="77777777" w:rsidTr="00CF11BE">
        <w:tc>
          <w:tcPr>
            <w:tcW w:w="2972" w:type="dxa"/>
          </w:tcPr>
          <w:p w14:paraId="453F958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 w mieszance mineralnej</w:t>
            </w:r>
          </w:p>
        </w:tc>
        <w:tc>
          <w:tcPr>
            <w:tcW w:w="1559" w:type="dxa"/>
            <w:vAlign w:val="center"/>
          </w:tcPr>
          <w:p w14:paraId="335759F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C.1.2,ubijanie, 2×50 uderzeń</w:t>
            </w:r>
          </w:p>
        </w:tc>
        <w:tc>
          <w:tcPr>
            <w:tcW w:w="2410" w:type="dxa"/>
            <w:vAlign w:val="center"/>
          </w:tcPr>
          <w:p w14:paraId="39234C5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12697-8 [35], </w:t>
            </w:r>
          </w:p>
          <w:p w14:paraId="1A34B03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 5</w:t>
            </w:r>
          </w:p>
        </w:tc>
        <w:tc>
          <w:tcPr>
            <w:tcW w:w="1134" w:type="dxa"/>
            <w:shd w:val="clear" w:color="auto" w:fill="auto"/>
            <w:vAlign w:val="center"/>
          </w:tcPr>
          <w:p w14:paraId="725955E4"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VMA</w:t>
            </w:r>
            <w:r w:rsidRPr="006431C4">
              <w:rPr>
                <w:rFonts w:cs="Arial"/>
                <w:i/>
                <w:szCs w:val="20"/>
                <w:vertAlign w:val="subscript"/>
              </w:rPr>
              <w:t>min14</w:t>
            </w:r>
          </w:p>
        </w:tc>
        <w:tc>
          <w:tcPr>
            <w:tcW w:w="1134" w:type="dxa"/>
            <w:shd w:val="clear" w:color="auto" w:fill="auto"/>
            <w:vAlign w:val="center"/>
          </w:tcPr>
          <w:p w14:paraId="68410E34"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r w:rsidRPr="006431C4">
              <w:rPr>
                <w:rFonts w:cs="Arial"/>
                <w:i/>
                <w:szCs w:val="20"/>
              </w:rPr>
              <w:t>VMA</w:t>
            </w:r>
            <w:r w:rsidRPr="006431C4">
              <w:rPr>
                <w:rFonts w:cs="Arial"/>
                <w:i/>
                <w:szCs w:val="20"/>
                <w:vertAlign w:val="subscript"/>
              </w:rPr>
              <w:t>min14</w:t>
            </w:r>
          </w:p>
        </w:tc>
        <w:tc>
          <w:tcPr>
            <w:tcW w:w="1134" w:type="dxa"/>
            <w:vAlign w:val="center"/>
          </w:tcPr>
          <w:p w14:paraId="22CABCD4"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r w:rsidRPr="006431C4">
              <w:rPr>
                <w:rFonts w:cs="Arial"/>
                <w:i/>
                <w:szCs w:val="20"/>
              </w:rPr>
              <w:t>VMA</w:t>
            </w:r>
            <w:r w:rsidRPr="006431C4">
              <w:rPr>
                <w:rFonts w:cs="Arial"/>
                <w:i/>
                <w:szCs w:val="20"/>
                <w:vertAlign w:val="subscript"/>
              </w:rPr>
              <w:t>min14</w:t>
            </w:r>
          </w:p>
        </w:tc>
      </w:tr>
    </w:tbl>
    <w:p w14:paraId="5B15CDA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2"/>
        <w:gridCol w:w="1559"/>
        <w:gridCol w:w="2410"/>
        <w:gridCol w:w="1134"/>
        <w:gridCol w:w="1134"/>
        <w:gridCol w:w="1134"/>
      </w:tblGrid>
      <w:tr w:rsidR="00CF11BE" w:rsidRPr="006431C4" w14:paraId="2F15619E" w14:textId="77777777" w:rsidTr="00CF11BE">
        <w:tc>
          <w:tcPr>
            <w:tcW w:w="2972" w:type="dxa"/>
            <w:vAlign w:val="center"/>
          </w:tcPr>
          <w:p w14:paraId="6E7EBEED" w14:textId="77777777" w:rsidR="00CF11BE" w:rsidRPr="006431C4" w:rsidRDefault="00CF11BE" w:rsidP="00CF11BE">
            <w:pPr>
              <w:overflowPunct w:val="0"/>
              <w:autoSpaceDE w:val="0"/>
              <w:autoSpaceDN w:val="0"/>
              <w:adjustRightInd w:val="0"/>
              <w:spacing w:line="240" w:lineRule="auto"/>
              <w:textAlignment w:val="baseline"/>
              <w:rPr>
                <w:rFonts w:cs="Arial"/>
                <w:szCs w:val="20"/>
                <w:vertAlign w:val="superscript"/>
              </w:rPr>
            </w:pPr>
            <w:r w:rsidRPr="006431C4">
              <w:rPr>
                <w:rFonts w:cs="Arial"/>
                <w:szCs w:val="20"/>
              </w:rPr>
              <w:t xml:space="preserve">Odporność na działanie </w:t>
            </w:r>
            <w:proofErr w:type="spellStart"/>
            <w:r w:rsidRPr="006431C4">
              <w:rPr>
                <w:rFonts w:cs="Arial"/>
                <w:szCs w:val="20"/>
              </w:rPr>
              <w:t>wody</w:t>
            </w:r>
            <w:r w:rsidRPr="006431C4">
              <w:rPr>
                <w:rFonts w:cs="Arial"/>
                <w:szCs w:val="20"/>
                <w:vertAlign w:val="superscript"/>
              </w:rPr>
              <w:t>a</w:t>
            </w:r>
            <w:proofErr w:type="spellEnd"/>
            <w:r w:rsidRPr="006431C4">
              <w:rPr>
                <w:rFonts w:cs="Arial"/>
                <w:szCs w:val="20"/>
                <w:vertAlign w:val="superscript"/>
              </w:rPr>
              <w:t>)</w:t>
            </w:r>
          </w:p>
        </w:tc>
        <w:tc>
          <w:tcPr>
            <w:tcW w:w="1559" w:type="dxa"/>
            <w:vAlign w:val="center"/>
          </w:tcPr>
          <w:p w14:paraId="0F6F8CB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C.1.1,ubijanie, 2×35 uderzeń</w:t>
            </w:r>
          </w:p>
        </w:tc>
        <w:tc>
          <w:tcPr>
            <w:tcW w:w="2410" w:type="dxa"/>
            <w:vAlign w:val="center"/>
          </w:tcPr>
          <w:p w14:paraId="4575799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12697-12 [37], przechowywanie w </w:t>
            </w:r>
            <w:smartTag w:uri="urn:schemas-microsoft-com:office:smarttags" w:element="metricconverter">
              <w:smartTagPr>
                <w:attr w:name="ProductID" w:val="40ﾰC"/>
              </w:smartTagPr>
              <w:r w:rsidRPr="006431C4">
                <w:rPr>
                  <w:rFonts w:cs="Arial"/>
                  <w:szCs w:val="20"/>
                </w:rPr>
                <w:t>40°C</w:t>
              </w:r>
            </w:smartTag>
            <w:r w:rsidRPr="006431C4">
              <w:rPr>
                <w:rFonts w:cs="Arial"/>
                <w:szCs w:val="20"/>
              </w:rPr>
              <w:t xml:space="preserve"> z jednym cyklem </w:t>
            </w:r>
            <w:r w:rsidRPr="006431C4">
              <w:rPr>
                <w:rFonts w:cs="Arial"/>
                <w:szCs w:val="20"/>
              </w:rPr>
              <w:lastRenderedPageBreak/>
              <w:t xml:space="preserve">zamrażania, </w:t>
            </w:r>
          </w:p>
          <w:p w14:paraId="46C618B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badanie w </w:t>
            </w:r>
            <w:smartTag w:uri="urn:schemas-microsoft-com:office:smarttags" w:element="metricconverter">
              <w:smartTagPr>
                <w:attr w:name="ProductID" w:val="25ﾰC"/>
              </w:smartTagPr>
              <w:r w:rsidRPr="006431C4">
                <w:rPr>
                  <w:rFonts w:cs="Arial"/>
                  <w:szCs w:val="20"/>
                </w:rPr>
                <w:t>25°C</w:t>
              </w:r>
            </w:smartTag>
          </w:p>
        </w:tc>
        <w:tc>
          <w:tcPr>
            <w:tcW w:w="1134" w:type="dxa"/>
            <w:shd w:val="clear" w:color="auto" w:fill="auto"/>
            <w:vAlign w:val="center"/>
          </w:tcPr>
          <w:p w14:paraId="38AE877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lastRenderedPageBreak/>
              <w:t>ITSR</w:t>
            </w:r>
            <w:r w:rsidRPr="006431C4">
              <w:rPr>
                <w:rFonts w:cs="Arial"/>
                <w:szCs w:val="20"/>
                <w:vertAlign w:val="subscript"/>
              </w:rPr>
              <w:t>90</w:t>
            </w:r>
          </w:p>
        </w:tc>
        <w:tc>
          <w:tcPr>
            <w:tcW w:w="1134" w:type="dxa"/>
            <w:shd w:val="clear" w:color="auto" w:fill="auto"/>
            <w:vAlign w:val="center"/>
          </w:tcPr>
          <w:p w14:paraId="1A906E9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ITSR</w:t>
            </w:r>
            <w:r w:rsidRPr="006431C4">
              <w:rPr>
                <w:rFonts w:cs="Arial"/>
                <w:szCs w:val="20"/>
                <w:vertAlign w:val="subscript"/>
              </w:rPr>
              <w:t>90</w:t>
            </w:r>
          </w:p>
        </w:tc>
        <w:tc>
          <w:tcPr>
            <w:tcW w:w="1134" w:type="dxa"/>
            <w:vAlign w:val="center"/>
          </w:tcPr>
          <w:p w14:paraId="31EEBEA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ITSR</w:t>
            </w:r>
            <w:r w:rsidRPr="006431C4">
              <w:rPr>
                <w:rFonts w:cs="Arial"/>
                <w:szCs w:val="20"/>
                <w:vertAlign w:val="subscript"/>
              </w:rPr>
              <w:t>90</w:t>
            </w:r>
          </w:p>
        </w:tc>
      </w:tr>
      <w:tr w:rsidR="00CF11BE" w:rsidRPr="006431C4" w14:paraId="7E531D4D" w14:textId="77777777" w:rsidTr="00CF11BE">
        <w:tblPrEx>
          <w:tblCellMar>
            <w:left w:w="70" w:type="dxa"/>
            <w:right w:w="70" w:type="dxa"/>
          </w:tblCellMar>
          <w:tblLook w:val="0000" w:firstRow="0" w:lastRow="0" w:firstColumn="0" w:lastColumn="0" w:noHBand="0" w:noVBand="0"/>
        </w:tblPrEx>
        <w:trPr>
          <w:trHeight w:val="309"/>
        </w:trPr>
        <w:tc>
          <w:tcPr>
            <w:tcW w:w="10343" w:type="dxa"/>
            <w:gridSpan w:val="6"/>
          </w:tcPr>
          <w:p w14:paraId="624EA66A" w14:textId="77777777" w:rsidR="00CF11BE" w:rsidRPr="006431C4" w:rsidRDefault="00CF11BE" w:rsidP="00CF11BE">
            <w:pPr>
              <w:tabs>
                <w:tab w:val="left" w:pos="180"/>
              </w:tabs>
              <w:overflowPunct w:val="0"/>
              <w:autoSpaceDE w:val="0"/>
              <w:autoSpaceDN w:val="0"/>
              <w:adjustRightInd w:val="0"/>
              <w:spacing w:line="240" w:lineRule="auto"/>
              <w:ind w:left="142" w:hanging="142"/>
              <w:jc w:val="both"/>
              <w:textAlignment w:val="baseline"/>
              <w:rPr>
                <w:rFonts w:cs="Arial"/>
                <w:szCs w:val="20"/>
              </w:rPr>
            </w:pPr>
            <w:r w:rsidRPr="006431C4">
              <w:rPr>
                <w:rFonts w:cs="Arial"/>
                <w:szCs w:val="20"/>
                <w:vertAlign w:val="superscript"/>
              </w:rPr>
              <w:t>a)</w:t>
            </w:r>
            <w:r w:rsidRPr="006431C4">
              <w:rPr>
                <w:rFonts w:cs="Arial"/>
                <w:szCs w:val="20"/>
              </w:rPr>
              <w:tab/>
              <w:t>Ujednoliconą procedurę badania odporności na działanie wody podano w WT-2 2014 [80] w załączniku 1</w:t>
            </w:r>
          </w:p>
        </w:tc>
      </w:tr>
    </w:tbl>
    <w:p w14:paraId="55980949" w14:textId="77777777" w:rsidR="00CF11BE" w:rsidRPr="006431C4" w:rsidRDefault="00CF11BE" w:rsidP="00CF11BE">
      <w:pPr>
        <w:tabs>
          <w:tab w:val="left" w:pos="1440"/>
        </w:tabs>
        <w:overflowPunct w:val="0"/>
        <w:autoSpaceDE w:val="0"/>
        <w:autoSpaceDN w:val="0"/>
        <w:adjustRightInd w:val="0"/>
        <w:spacing w:line="240" w:lineRule="auto"/>
        <w:ind w:left="1440" w:hanging="1440"/>
        <w:jc w:val="both"/>
        <w:textAlignment w:val="baseline"/>
        <w:rPr>
          <w:rFonts w:cs="Arial"/>
          <w:szCs w:val="20"/>
        </w:rPr>
      </w:pPr>
    </w:p>
    <w:p w14:paraId="44A9082A" w14:textId="77777777" w:rsidR="00CF11BE" w:rsidRPr="006431C4" w:rsidRDefault="00CF11BE" w:rsidP="00CF11BE">
      <w:pPr>
        <w:tabs>
          <w:tab w:val="left" w:pos="1440"/>
        </w:tabs>
        <w:overflowPunct w:val="0"/>
        <w:autoSpaceDE w:val="0"/>
        <w:autoSpaceDN w:val="0"/>
        <w:adjustRightInd w:val="0"/>
        <w:spacing w:line="240" w:lineRule="auto"/>
        <w:ind w:left="1440" w:hanging="1440"/>
        <w:jc w:val="both"/>
        <w:textAlignment w:val="baseline"/>
        <w:rPr>
          <w:rFonts w:cs="Arial"/>
          <w:szCs w:val="20"/>
        </w:rPr>
      </w:pPr>
      <w:r w:rsidRPr="006431C4">
        <w:rPr>
          <w:rFonts w:cs="Arial"/>
          <w:szCs w:val="20"/>
        </w:rPr>
        <w:t xml:space="preserve">Tablica 19. Wymagane właściwości mieszanki mineralno-asfaltowej do warstwy ścieralnej, dla ruchu KR3 ÷ KR4 </w:t>
      </w:r>
    </w:p>
    <w:tbl>
      <w:tblPr>
        <w:tblW w:w="10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2"/>
        <w:gridCol w:w="1571"/>
        <w:gridCol w:w="3532"/>
        <w:gridCol w:w="1134"/>
        <w:gridCol w:w="1175"/>
      </w:tblGrid>
      <w:tr w:rsidR="00CF11BE" w:rsidRPr="006431C4" w14:paraId="2D74A441" w14:textId="77777777" w:rsidTr="00CF11BE">
        <w:tc>
          <w:tcPr>
            <w:tcW w:w="2972" w:type="dxa"/>
          </w:tcPr>
          <w:p w14:paraId="23AB1A8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7624D29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1571" w:type="dxa"/>
          </w:tcPr>
          <w:p w14:paraId="7DB054E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Warunki zagęszczania wg PN-EN </w:t>
            </w:r>
          </w:p>
          <w:p w14:paraId="70B7196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13108-20  [52]</w:t>
            </w:r>
          </w:p>
        </w:tc>
        <w:tc>
          <w:tcPr>
            <w:tcW w:w="3532" w:type="dxa"/>
          </w:tcPr>
          <w:p w14:paraId="3B55A63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5FD7195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 i warunki badania</w:t>
            </w:r>
          </w:p>
        </w:tc>
        <w:tc>
          <w:tcPr>
            <w:tcW w:w="1134" w:type="dxa"/>
          </w:tcPr>
          <w:p w14:paraId="59F4451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B0B9AC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AC8S</w:t>
            </w:r>
          </w:p>
        </w:tc>
        <w:tc>
          <w:tcPr>
            <w:tcW w:w="1175" w:type="dxa"/>
          </w:tcPr>
          <w:p w14:paraId="573DEE8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7DF4A54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AC11S</w:t>
            </w:r>
          </w:p>
        </w:tc>
      </w:tr>
      <w:tr w:rsidR="00CF11BE" w:rsidRPr="006431C4" w14:paraId="7FD8B880" w14:textId="77777777" w:rsidTr="00CF11BE">
        <w:tc>
          <w:tcPr>
            <w:tcW w:w="2972" w:type="dxa"/>
            <w:vAlign w:val="center"/>
          </w:tcPr>
          <w:p w14:paraId="6ECE0BF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w:t>
            </w:r>
          </w:p>
        </w:tc>
        <w:tc>
          <w:tcPr>
            <w:tcW w:w="1571" w:type="dxa"/>
            <w:vAlign w:val="center"/>
          </w:tcPr>
          <w:p w14:paraId="71AE892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C.1.2,</w:t>
            </w:r>
          </w:p>
          <w:p w14:paraId="4FCF950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ubijanie, 2×75 uderzeń</w:t>
            </w:r>
          </w:p>
        </w:tc>
        <w:tc>
          <w:tcPr>
            <w:tcW w:w="3532" w:type="dxa"/>
            <w:vAlign w:val="center"/>
          </w:tcPr>
          <w:p w14:paraId="6994DF8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12697-8 [35], p. 4</w:t>
            </w:r>
          </w:p>
        </w:tc>
        <w:tc>
          <w:tcPr>
            <w:tcW w:w="1134" w:type="dxa"/>
            <w:vAlign w:val="center"/>
          </w:tcPr>
          <w:p w14:paraId="0F4FD11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min2,0</w:t>
            </w:r>
          </w:p>
          <w:p w14:paraId="0414A4F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max4</w:t>
            </w:r>
          </w:p>
        </w:tc>
        <w:tc>
          <w:tcPr>
            <w:tcW w:w="1175" w:type="dxa"/>
            <w:vAlign w:val="center"/>
          </w:tcPr>
          <w:p w14:paraId="270A44A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min2,0</w:t>
            </w:r>
          </w:p>
          <w:p w14:paraId="4FF8336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max4</w:t>
            </w:r>
          </w:p>
        </w:tc>
      </w:tr>
      <w:tr w:rsidR="00CF11BE" w:rsidRPr="006431C4" w14:paraId="10DCAF20" w14:textId="77777777" w:rsidTr="00CF11BE">
        <w:tc>
          <w:tcPr>
            <w:tcW w:w="2972" w:type="dxa"/>
            <w:vAlign w:val="center"/>
          </w:tcPr>
          <w:p w14:paraId="382B0EA5" w14:textId="77777777" w:rsidR="00CF11BE" w:rsidRPr="006431C4" w:rsidRDefault="00CF11BE" w:rsidP="00CF11BE">
            <w:pPr>
              <w:overflowPunct w:val="0"/>
              <w:autoSpaceDE w:val="0"/>
              <w:autoSpaceDN w:val="0"/>
              <w:adjustRightInd w:val="0"/>
              <w:spacing w:line="240" w:lineRule="auto"/>
              <w:textAlignment w:val="baseline"/>
              <w:rPr>
                <w:rFonts w:cs="Arial"/>
                <w:szCs w:val="20"/>
                <w:vertAlign w:val="superscript"/>
              </w:rPr>
            </w:pPr>
            <w:r w:rsidRPr="006431C4">
              <w:rPr>
                <w:rFonts w:cs="Arial"/>
                <w:szCs w:val="20"/>
              </w:rPr>
              <w:t xml:space="preserve">Odporność na deformacje trwałe </w:t>
            </w:r>
            <w:r w:rsidRPr="006431C4">
              <w:rPr>
                <w:rFonts w:cs="Arial"/>
                <w:szCs w:val="20"/>
                <w:vertAlign w:val="superscript"/>
              </w:rPr>
              <w:t>a), c)</w:t>
            </w:r>
          </w:p>
        </w:tc>
        <w:tc>
          <w:tcPr>
            <w:tcW w:w="1571" w:type="dxa"/>
            <w:vAlign w:val="center"/>
          </w:tcPr>
          <w:p w14:paraId="66DDAB6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C.1.20, wałowanie,</w:t>
            </w:r>
          </w:p>
          <w:p w14:paraId="61066C7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w:t>
            </w:r>
            <w:r w:rsidRPr="006431C4">
              <w:rPr>
                <w:rFonts w:cs="Arial"/>
                <w:szCs w:val="20"/>
                <w:vertAlign w:val="subscript"/>
              </w:rPr>
              <w:t>98</w:t>
            </w:r>
            <w:r w:rsidRPr="006431C4">
              <w:rPr>
                <w:rFonts w:cs="Arial"/>
                <w:szCs w:val="20"/>
              </w:rPr>
              <w:t>-P</w:t>
            </w:r>
            <w:r w:rsidRPr="006431C4">
              <w:rPr>
                <w:rFonts w:cs="Arial"/>
                <w:szCs w:val="20"/>
                <w:vertAlign w:val="subscript"/>
              </w:rPr>
              <w:t>100</w:t>
            </w:r>
          </w:p>
        </w:tc>
        <w:tc>
          <w:tcPr>
            <w:tcW w:w="3532" w:type="dxa"/>
            <w:vAlign w:val="center"/>
          </w:tcPr>
          <w:p w14:paraId="4E7C9C8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12697-22[40], metoda B       w powietrzu, PN-EN 13108-20, D.1.6,60°C, 10 000 cykli [52]</w:t>
            </w:r>
          </w:p>
        </w:tc>
        <w:tc>
          <w:tcPr>
            <w:tcW w:w="1134" w:type="dxa"/>
            <w:vAlign w:val="center"/>
          </w:tcPr>
          <w:p w14:paraId="1D8CB0F8" w14:textId="77777777" w:rsidR="00CF11BE" w:rsidRPr="006431C4" w:rsidRDefault="00CF11BE" w:rsidP="00CF11BE">
            <w:pPr>
              <w:overflowPunct w:val="0"/>
              <w:autoSpaceDE w:val="0"/>
              <w:autoSpaceDN w:val="0"/>
              <w:adjustRightInd w:val="0"/>
              <w:spacing w:line="240" w:lineRule="auto"/>
              <w:textAlignment w:val="baseline"/>
              <w:rPr>
                <w:rFonts w:cs="Arial"/>
                <w:szCs w:val="20"/>
                <w:vertAlign w:val="subscript"/>
              </w:rPr>
            </w:pPr>
            <w:r w:rsidRPr="006431C4">
              <w:rPr>
                <w:rFonts w:cs="Arial"/>
                <w:i/>
                <w:szCs w:val="20"/>
              </w:rPr>
              <w:t>WTS</w:t>
            </w:r>
            <w:r w:rsidRPr="006431C4">
              <w:rPr>
                <w:rFonts w:cs="Arial"/>
                <w:szCs w:val="20"/>
                <w:vertAlign w:val="subscript"/>
              </w:rPr>
              <w:t>AIR 0,15</w:t>
            </w:r>
          </w:p>
          <w:p w14:paraId="396DE519" w14:textId="77777777" w:rsidR="00CF11BE" w:rsidRPr="006431C4" w:rsidRDefault="00CF11BE" w:rsidP="00CF11BE">
            <w:pPr>
              <w:overflowPunct w:val="0"/>
              <w:autoSpaceDE w:val="0"/>
              <w:autoSpaceDN w:val="0"/>
              <w:adjustRightInd w:val="0"/>
              <w:spacing w:line="240" w:lineRule="auto"/>
              <w:textAlignment w:val="baseline"/>
              <w:rPr>
                <w:rFonts w:cs="Arial"/>
                <w:szCs w:val="20"/>
                <w:vertAlign w:val="subscript"/>
              </w:rPr>
            </w:pPr>
            <w:r w:rsidRPr="006431C4">
              <w:rPr>
                <w:rFonts w:cs="Arial"/>
                <w:i/>
                <w:szCs w:val="20"/>
              </w:rPr>
              <w:t>PRD</w:t>
            </w:r>
            <w:r w:rsidRPr="006431C4">
              <w:rPr>
                <w:rFonts w:cs="Arial"/>
                <w:szCs w:val="20"/>
                <w:vertAlign w:val="subscript"/>
              </w:rPr>
              <w:t>AIR9,0</w:t>
            </w:r>
          </w:p>
        </w:tc>
        <w:tc>
          <w:tcPr>
            <w:tcW w:w="1175" w:type="dxa"/>
            <w:vAlign w:val="center"/>
          </w:tcPr>
          <w:p w14:paraId="47FAC31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bscript"/>
              </w:rPr>
            </w:pPr>
            <w:r w:rsidRPr="006431C4">
              <w:rPr>
                <w:rFonts w:cs="Arial"/>
                <w:i/>
                <w:szCs w:val="20"/>
              </w:rPr>
              <w:t>WTS</w:t>
            </w:r>
            <w:r w:rsidRPr="006431C4">
              <w:rPr>
                <w:rFonts w:cs="Arial"/>
                <w:szCs w:val="20"/>
                <w:vertAlign w:val="subscript"/>
              </w:rPr>
              <w:t>AIR 0,15</w:t>
            </w:r>
          </w:p>
          <w:p w14:paraId="7A1BA02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PRD</w:t>
            </w:r>
            <w:r w:rsidRPr="006431C4">
              <w:rPr>
                <w:rFonts w:cs="Arial"/>
                <w:szCs w:val="20"/>
                <w:vertAlign w:val="subscript"/>
              </w:rPr>
              <w:t>AIR9,0</w:t>
            </w:r>
          </w:p>
        </w:tc>
      </w:tr>
      <w:tr w:rsidR="00CF11BE" w:rsidRPr="006431C4" w14:paraId="468EFD24" w14:textId="77777777" w:rsidTr="00CF11BE">
        <w:tc>
          <w:tcPr>
            <w:tcW w:w="2972" w:type="dxa"/>
            <w:vAlign w:val="center"/>
          </w:tcPr>
          <w:p w14:paraId="7D370AE7"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Odporność na działanie wody</w:t>
            </w:r>
          </w:p>
        </w:tc>
        <w:tc>
          <w:tcPr>
            <w:tcW w:w="1571" w:type="dxa"/>
            <w:vAlign w:val="center"/>
          </w:tcPr>
          <w:p w14:paraId="43AA4D8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C.1.1,</w:t>
            </w:r>
          </w:p>
          <w:p w14:paraId="776D3FE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ubijanie, 2×35 uderzeń</w:t>
            </w:r>
          </w:p>
        </w:tc>
        <w:tc>
          <w:tcPr>
            <w:tcW w:w="3532" w:type="dxa"/>
            <w:vAlign w:val="center"/>
          </w:tcPr>
          <w:p w14:paraId="353A926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12697-12 [37], przechowywanie w </w:t>
            </w:r>
            <w:smartTag w:uri="urn:schemas-microsoft-com:office:smarttags" w:element="metricconverter">
              <w:smartTagPr>
                <w:attr w:name="ProductID" w:val="40ﾰC"/>
              </w:smartTagPr>
              <w:r w:rsidRPr="006431C4">
                <w:rPr>
                  <w:rFonts w:cs="Arial"/>
                  <w:szCs w:val="20"/>
                </w:rPr>
                <w:t>40°C</w:t>
              </w:r>
            </w:smartTag>
            <w:r w:rsidRPr="006431C4">
              <w:rPr>
                <w:rFonts w:cs="Arial"/>
                <w:szCs w:val="20"/>
              </w:rPr>
              <w:t xml:space="preserve"> z jednym cyklem zamrażania, </w:t>
            </w:r>
          </w:p>
          <w:p w14:paraId="230E9C6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 xml:space="preserve">badanie w </w:t>
            </w:r>
            <w:smartTag w:uri="urn:schemas-microsoft-com:office:smarttags" w:element="metricconverter">
              <w:smartTagPr>
                <w:attr w:name="ProductID" w:val="25ﾰC"/>
              </w:smartTagPr>
              <w:r w:rsidRPr="006431C4">
                <w:rPr>
                  <w:rFonts w:cs="Arial"/>
                  <w:szCs w:val="20"/>
                </w:rPr>
                <w:t>25°C</w:t>
              </w:r>
            </w:smartTag>
            <w:r w:rsidRPr="006431C4">
              <w:rPr>
                <w:rFonts w:cs="Arial"/>
                <w:szCs w:val="20"/>
              </w:rPr>
              <w:t xml:space="preserve">  </w:t>
            </w:r>
            <w:r w:rsidRPr="006431C4">
              <w:rPr>
                <w:rFonts w:cs="Arial"/>
                <w:szCs w:val="20"/>
                <w:vertAlign w:val="superscript"/>
              </w:rPr>
              <w:t>b)</w:t>
            </w:r>
          </w:p>
        </w:tc>
        <w:tc>
          <w:tcPr>
            <w:tcW w:w="1134" w:type="dxa"/>
            <w:vAlign w:val="center"/>
          </w:tcPr>
          <w:p w14:paraId="0294183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ITSR</w:t>
            </w:r>
            <w:r w:rsidRPr="006431C4">
              <w:rPr>
                <w:rFonts w:cs="Arial"/>
                <w:szCs w:val="20"/>
                <w:vertAlign w:val="subscript"/>
              </w:rPr>
              <w:t>90</w:t>
            </w:r>
          </w:p>
        </w:tc>
        <w:tc>
          <w:tcPr>
            <w:tcW w:w="1175" w:type="dxa"/>
            <w:vAlign w:val="center"/>
          </w:tcPr>
          <w:p w14:paraId="0671607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ITSR</w:t>
            </w:r>
            <w:r w:rsidRPr="006431C4">
              <w:rPr>
                <w:rFonts w:cs="Arial"/>
                <w:szCs w:val="20"/>
                <w:vertAlign w:val="subscript"/>
              </w:rPr>
              <w:t>90</w:t>
            </w:r>
          </w:p>
        </w:tc>
      </w:tr>
      <w:tr w:rsidR="00CF11BE" w:rsidRPr="006431C4" w14:paraId="353E4FD6" w14:textId="77777777" w:rsidTr="00CF11BE">
        <w:tblPrEx>
          <w:tblCellMar>
            <w:left w:w="70" w:type="dxa"/>
            <w:right w:w="70" w:type="dxa"/>
          </w:tblCellMar>
          <w:tblLook w:val="0000" w:firstRow="0" w:lastRow="0" w:firstColumn="0" w:lastColumn="0" w:noHBand="0" w:noVBand="0"/>
        </w:tblPrEx>
        <w:trPr>
          <w:trHeight w:val="514"/>
        </w:trPr>
        <w:tc>
          <w:tcPr>
            <w:tcW w:w="10384" w:type="dxa"/>
            <w:gridSpan w:val="5"/>
          </w:tcPr>
          <w:p w14:paraId="76923039" w14:textId="77777777" w:rsidR="00CF11BE" w:rsidRPr="006431C4" w:rsidRDefault="00CF11BE" w:rsidP="00CF11BE">
            <w:pPr>
              <w:tabs>
                <w:tab w:val="left" w:pos="180"/>
              </w:tabs>
              <w:overflowPunct w:val="0"/>
              <w:autoSpaceDE w:val="0"/>
              <w:autoSpaceDN w:val="0"/>
              <w:adjustRightInd w:val="0"/>
              <w:spacing w:line="240" w:lineRule="auto"/>
              <w:ind w:left="180" w:hanging="142"/>
              <w:jc w:val="both"/>
              <w:textAlignment w:val="baseline"/>
              <w:rPr>
                <w:rFonts w:cs="Arial"/>
                <w:szCs w:val="20"/>
              </w:rPr>
            </w:pPr>
            <w:r w:rsidRPr="006431C4">
              <w:rPr>
                <w:rFonts w:cs="Arial"/>
                <w:szCs w:val="20"/>
                <w:vertAlign w:val="superscript"/>
              </w:rPr>
              <w:t>a)</w:t>
            </w:r>
            <w:r w:rsidRPr="006431C4">
              <w:rPr>
                <w:rFonts w:cs="Arial"/>
                <w:szCs w:val="20"/>
              </w:rPr>
              <w:tab/>
              <w:t>Grubość plyty: AC8, AC11  40mm</w:t>
            </w:r>
          </w:p>
          <w:p w14:paraId="6150E9AD" w14:textId="77777777" w:rsidR="00CF11BE" w:rsidRPr="006431C4" w:rsidRDefault="00CF11BE" w:rsidP="00CF11BE">
            <w:pPr>
              <w:tabs>
                <w:tab w:val="left" w:pos="180"/>
              </w:tabs>
              <w:overflowPunct w:val="0"/>
              <w:autoSpaceDE w:val="0"/>
              <w:autoSpaceDN w:val="0"/>
              <w:adjustRightInd w:val="0"/>
              <w:spacing w:line="240" w:lineRule="auto"/>
              <w:ind w:left="180" w:hanging="142"/>
              <w:jc w:val="both"/>
              <w:textAlignment w:val="baseline"/>
              <w:rPr>
                <w:rFonts w:cs="Arial"/>
                <w:szCs w:val="20"/>
              </w:rPr>
            </w:pPr>
            <w:r w:rsidRPr="006431C4">
              <w:rPr>
                <w:rFonts w:cs="Arial"/>
                <w:szCs w:val="20"/>
                <w:vertAlign w:val="superscript"/>
              </w:rPr>
              <w:t>b)</w:t>
            </w:r>
            <w:r w:rsidRPr="006431C4">
              <w:rPr>
                <w:rFonts w:cs="Arial"/>
                <w:szCs w:val="20"/>
              </w:rPr>
              <w:tab/>
              <w:t>Ujednoliconą procedurę badania odporności na działanie wody podano w WT-2 2014 [80] w załączniku 1</w:t>
            </w:r>
          </w:p>
          <w:p w14:paraId="78216C22" w14:textId="77777777" w:rsidR="00CF11BE" w:rsidRPr="006431C4" w:rsidRDefault="00CF11BE" w:rsidP="00CF11BE">
            <w:pPr>
              <w:tabs>
                <w:tab w:val="left" w:pos="180"/>
              </w:tabs>
              <w:overflowPunct w:val="0"/>
              <w:autoSpaceDE w:val="0"/>
              <w:autoSpaceDN w:val="0"/>
              <w:adjustRightInd w:val="0"/>
              <w:spacing w:line="240" w:lineRule="auto"/>
              <w:ind w:left="180" w:hanging="142"/>
              <w:jc w:val="both"/>
              <w:textAlignment w:val="baseline"/>
              <w:rPr>
                <w:rFonts w:cs="Arial"/>
                <w:szCs w:val="20"/>
              </w:rPr>
            </w:pPr>
            <w:r w:rsidRPr="006431C4">
              <w:rPr>
                <w:rFonts w:cs="Arial"/>
                <w:szCs w:val="20"/>
                <w:vertAlign w:val="superscript"/>
              </w:rPr>
              <w:t>c)</w:t>
            </w:r>
            <w:r w:rsidRPr="006431C4">
              <w:rPr>
                <w:rFonts w:cs="Arial"/>
                <w:szCs w:val="20"/>
              </w:rPr>
              <w:t>Procedurę kondycjonowania krótkoterminowego mma przed zagęszczeniem próbek do badań podano w WT-2 2014 [80] w załączniku 2</w:t>
            </w:r>
          </w:p>
        </w:tc>
      </w:tr>
    </w:tbl>
    <w:p w14:paraId="32898568" w14:textId="77777777" w:rsidR="00CF11BE" w:rsidRPr="006431C4" w:rsidRDefault="00CF11BE" w:rsidP="00CF11BE">
      <w:pPr>
        <w:tabs>
          <w:tab w:val="left" w:pos="1560"/>
        </w:tabs>
        <w:overflowPunct w:val="0"/>
        <w:autoSpaceDE w:val="0"/>
        <w:autoSpaceDN w:val="0"/>
        <w:adjustRightInd w:val="0"/>
        <w:spacing w:line="240" w:lineRule="auto"/>
        <w:ind w:left="1559" w:hanging="1559"/>
        <w:jc w:val="both"/>
        <w:textAlignment w:val="baseline"/>
        <w:rPr>
          <w:rFonts w:cs="Arial"/>
          <w:szCs w:val="20"/>
        </w:rPr>
      </w:pPr>
      <w:r w:rsidRPr="006431C4">
        <w:rPr>
          <w:rFonts w:cs="Arial"/>
          <w:szCs w:val="20"/>
        </w:rPr>
        <w:t xml:space="preserve">Tablica 20. Wymagane właściwości mieszanki mineralno-asfaltowej do warstwy ścieralnej, dla ruchu KR5 ÷ KR6 </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2"/>
        <w:gridCol w:w="1691"/>
        <w:gridCol w:w="3412"/>
        <w:gridCol w:w="1134"/>
        <w:gridCol w:w="1134"/>
      </w:tblGrid>
      <w:tr w:rsidR="00CF11BE" w:rsidRPr="006431C4" w14:paraId="424393EA" w14:textId="77777777" w:rsidTr="00CF11BE">
        <w:tc>
          <w:tcPr>
            <w:tcW w:w="2972" w:type="dxa"/>
          </w:tcPr>
          <w:p w14:paraId="60CFB74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1BB6159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1691" w:type="dxa"/>
          </w:tcPr>
          <w:p w14:paraId="3367786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Warunki zagęszczania wg PN-EN </w:t>
            </w:r>
          </w:p>
          <w:p w14:paraId="23820D5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13108-20  [52]</w:t>
            </w:r>
          </w:p>
        </w:tc>
        <w:tc>
          <w:tcPr>
            <w:tcW w:w="3412" w:type="dxa"/>
          </w:tcPr>
          <w:p w14:paraId="4F47606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04960E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 i warunki badania</w:t>
            </w:r>
          </w:p>
        </w:tc>
        <w:tc>
          <w:tcPr>
            <w:tcW w:w="1134" w:type="dxa"/>
          </w:tcPr>
          <w:p w14:paraId="1A17347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7449C1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AC8S</w:t>
            </w:r>
          </w:p>
        </w:tc>
        <w:tc>
          <w:tcPr>
            <w:tcW w:w="1134" w:type="dxa"/>
          </w:tcPr>
          <w:p w14:paraId="6E23EA0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72D7221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AC11S</w:t>
            </w:r>
          </w:p>
        </w:tc>
      </w:tr>
      <w:tr w:rsidR="00CF11BE" w:rsidRPr="006431C4" w14:paraId="7CFD462B" w14:textId="77777777" w:rsidTr="00CF11BE">
        <w:tc>
          <w:tcPr>
            <w:tcW w:w="2972" w:type="dxa"/>
            <w:vAlign w:val="center"/>
          </w:tcPr>
          <w:p w14:paraId="358E3D7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w:t>
            </w:r>
          </w:p>
        </w:tc>
        <w:tc>
          <w:tcPr>
            <w:tcW w:w="1691" w:type="dxa"/>
            <w:vAlign w:val="center"/>
          </w:tcPr>
          <w:p w14:paraId="2CD8E6A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C.1.2,</w:t>
            </w:r>
          </w:p>
          <w:p w14:paraId="181682F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ubijanie, </w:t>
            </w:r>
          </w:p>
          <w:p w14:paraId="32AC25B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2×75 uderzeń</w:t>
            </w:r>
          </w:p>
        </w:tc>
        <w:tc>
          <w:tcPr>
            <w:tcW w:w="3412" w:type="dxa"/>
            <w:vAlign w:val="center"/>
          </w:tcPr>
          <w:p w14:paraId="112E9B7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12697-8 [35], </w:t>
            </w:r>
          </w:p>
          <w:p w14:paraId="4410005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 4</w:t>
            </w:r>
          </w:p>
        </w:tc>
        <w:tc>
          <w:tcPr>
            <w:tcW w:w="1134" w:type="dxa"/>
            <w:vAlign w:val="center"/>
          </w:tcPr>
          <w:p w14:paraId="34EA2C6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min2,0</w:t>
            </w:r>
          </w:p>
          <w:p w14:paraId="16B7202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max4</w:t>
            </w:r>
          </w:p>
        </w:tc>
        <w:tc>
          <w:tcPr>
            <w:tcW w:w="1134" w:type="dxa"/>
            <w:vAlign w:val="center"/>
          </w:tcPr>
          <w:p w14:paraId="0A582CE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min2,0</w:t>
            </w:r>
          </w:p>
          <w:p w14:paraId="73BEE25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max4</w:t>
            </w:r>
          </w:p>
        </w:tc>
      </w:tr>
      <w:tr w:rsidR="00CF11BE" w:rsidRPr="006431C4" w14:paraId="2555A535" w14:textId="77777777" w:rsidTr="00CF11BE">
        <w:tc>
          <w:tcPr>
            <w:tcW w:w="2972" w:type="dxa"/>
            <w:vAlign w:val="center"/>
          </w:tcPr>
          <w:p w14:paraId="1B79CC7F" w14:textId="77777777" w:rsidR="00CF11BE" w:rsidRPr="006431C4" w:rsidRDefault="00CF11BE" w:rsidP="00CF11BE">
            <w:pPr>
              <w:overflowPunct w:val="0"/>
              <w:autoSpaceDE w:val="0"/>
              <w:autoSpaceDN w:val="0"/>
              <w:adjustRightInd w:val="0"/>
              <w:spacing w:line="240" w:lineRule="auto"/>
              <w:textAlignment w:val="baseline"/>
              <w:rPr>
                <w:rFonts w:cs="Arial"/>
                <w:szCs w:val="20"/>
                <w:vertAlign w:val="superscript"/>
              </w:rPr>
            </w:pPr>
            <w:r w:rsidRPr="006431C4">
              <w:rPr>
                <w:rFonts w:cs="Arial"/>
                <w:szCs w:val="20"/>
              </w:rPr>
              <w:t xml:space="preserve">Odporność na deformacje trwałe </w:t>
            </w:r>
            <w:r w:rsidRPr="006431C4">
              <w:rPr>
                <w:rFonts w:cs="Arial"/>
                <w:szCs w:val="20"/>
                <w:vertAlign w:val="superscript"/>
              </w:rPr>
              <w:t>a), c)</w:t>
            </w:r>
          </w:p>
        </w:tc>
        <w:tc>
          <w:tcPr>
            <w:tcW w:w="1691" w:type="dxa"/>
            <w:vAlign w:val="center"/>
          </w:tcPr>
          <w:p w14:paraId="2AA6D4C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C.1.20, wałowanie,</w:t>
            </w:r>
          </w:p>
          <w:p w14:paraId="5D3D389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w:t>
            </w:r>
            <w:r w:rsidRPr="006431C4">
              <w:rPr>
                <w:rFonts w:cs="Arial"/>
                <w:szCs w:val="20"/>
                <w:vertAlign w:val="subscript"/>
              </w:rPr>
              <w:t>98</w:t>
            </w:r>
            <w:r w:rsidRPr="006431C4">
              <w:rPr>
                <w:rFonts w:cs="Arial"/>
                <w:szCs w:val="20"/>
              </w:rPr>
              <w:t>-P</w:t>
            </w:r>
            <w:r w:rsidRPr="006431C4">
              <w:rPr>
                <w:rFonts w:cs="Arial"/>
                <w:szCs w:val="20"/>
                <w:vertAlign w:val="subscript"/>
              </w:rPr>
              <w:t>100</w:t>
            </w:r>
          </w:p>
        </w:tc>
        <w:tc>
          <w:tcPr>
            <w:tcW w:w="3412" w:type="dxa"/>
            <w:vAlign w:val="center"/>
          </w:tcPr>
          <w:p w14:paraId="10B2084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12697-22 [40], metoda B       w powietrzu, PN-EN 13108-20, D.1.6,60°C, 10 000 cykli [52]</w:t>
            </w:r>
          </w:p>
        </w:tc>
        <w:tc>
          <w:tcPr>
            <w:tcW w:w="1134" w:type="dxa"/>
            <w:vAlign w:val="center"/>
          </w:tcPr>
          <w:p w14:paraId="18F531F7" w14:textId="77777777" w:rsidR="00CF11BE" w:rsidRPr="006431C4" w:rsidRDefault="00CF11BE" w:rsidP="00CF11BE">
            <w:pPr>
              <w:overflowPunct w:val="0"/>
              <w:autoSpaceDE w:val="0"/>
              <w:autoSpaceDN w:val="0"/>
              <w:adjustRightInd w:val="0"/>
              <w:spacing w:line="240" w:lineRule="auto"/>
              <w:textAlignment w:val="baseline"/>
              <w:rPr>
                <w:rFonts w:cs="Arial"/>
                <w:szCs w:val="20"/>
                <w:vertAlign w:val="subscript"/>
              </w:rPr>
            </w:pPr>
            <w:r w:rsidRPr="006431C4">
              <w:rPr>
                <w:rFonts w:cs="Arial"/>
                <w:i/>
                <w:szCs w:val="20"/>
              </w:rPr>
              <w:t>WTS</w:t>
            </w:r>
            <w:r w:rsidRPr="006431C4">
              <w:rPr>
                <w:rFonts w:cs="Arial"/>
                <w:szCs w:val="20"/>
                <w:vertAlign w:val="subscript"/>
              </w:rPr>
              <w:t>AIR 0,10</w:t>
            </w:r>
          </w:p>
          <w:p w14:paraId="118A88DB" w14:textId="77777777" w:rsidR="00CF11BE" w:rsidRPr="006431C4" w:rsidRDefault="00CF11BE" w:rsidP="00CF11BE">
            <w:pPr>
              <w:overflowPunct w:val="0"/>
              <w:autoSpaceDE w:val="0"/>
              <w:autoSpaceDN w:val="0"/>
              <w:adjustRightInd w:val="0"/>
              <w:spacing w:line="240" w:lineRule="auto"/>
              <w:textAlignment w:val="baseline"/>
              <w:rPr>
                <w:rFonts w:cs="Arial"/>
                <w:szCs w:val="20"/>
                <w:vertAlign w:val="subscript"/>
              </w:rPr>
            </w:pPr>
            <w:r w:rsidRPr="006431C4">
              <w:rPr>
                <w:rFonts w:cs="Arial"/>
                <w:i/>
                <w:szCs w:val="20"/>
              </w:rPr>
              <w:t>PRD</w:t>
            </w:r>
            <w:r w:rsidRPr="006431C4">
              <w:rPr>
                <w:rFonts w:cs="Arial"/>
                <w:szCs w:val="20"/>
                <w:vertAlign w:val="subscript"/>
              </w:rPr>
              <w:t>AIR7,0</w:t>
            </w:r>
          </w:p>
        </w:tc>
        <w:tc>
          <w:tcPr>
            <w:tcW w:w="1134" w:type="dxa"/>
            <w:vAlign w:val="center"/>
          </w:tcPr>
          <w:p w14:paraId="0AB0EEE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bscript"/>
              </w:rPr>
            </w:pPr>
            <w:r w:rsidRPr="006431C4">
              <w:rPr>
                <w:rFonts w:cs="Arial"/>
                <w:i/>
                <w:szCs w:val="20"/>
              </w:rPr>
              <w:t>WTS</w:t>
            </w:r>
            <w:r w:rsidRPr="006431C4">
              <w:rPr>
                <w:rFonts w:cs="Arial"/>
                <w:szCs w:val="20"/>
                <w:vertAlign w:val="subscript"/>
              </w:rPr>
              <w:t>AIR 0,10</w:t>
            </w:r>
          </w:p>
          <w:p w14:paraId="40CA20B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PRD</w:t>
            </w:r>
            <w:r w:rsidRPr="006431C4">
              <w:rPr>
                <w:rFonts w:cs="Arial"/>
                <w:szCs w:val="20"/>
                <w:vertAlign w:val="subscript"/>
              </w:rPr>
              <w:t>AIR7,0</w:t>
            </w:r>
          </w:p>
        </w:tc>
      </w:tr>
      <w:tr w:rsidR="00CF11BE" w:rsidRPr="006431C4" w14:paraId="6AD961F4" w14:textId="77777777" w:rsidTr="00CF11BE">
        <w:tc>
          <w:tcPr>
            <w:tcW w:w="2972" w:type="dxa"/>
            <w:vAlign w:val="center"/>
          </w:tcPr>
          <w:p w14:paraId="61AFB9D8"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Odporność na działanie wody</w:t>
            </w:r>
          </w:p>
        </w:tc>
        <w:tc>
          <w:tcPr>
            <w:tcW w:w="1691" w:type="dxa"/>
            <w:vAlign w:val="center"/>
          </w:tcPr>
          <w:p w14:paraId="2D797A4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C.1.1,ubijanie, 2×35 uderzeń</w:t>
            </w:r>
          </w:p>
        </w:tc>
        <w:tc>
          <w:tcPr>
            <w:tcW w:w="3412" w:type="dxa"/>
            <w:vAlign w:val="center"/>
          </w:tcPr>
          <w:p w14:paraId="28548B0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12697-12 [37], przechowywanie w </w:t>
            </w:r>
            <w:smartTag w:uri="urn:schemas-microsoft-com:office:smarttags" w:element="metricconverter">
              <w:smartTagPr>
                <w:attr w:name="ProductID" w:val="40ﾰC"/>
              </w:smartTagPr>
              <w:r w:rsidRPr="006431C4">
                <w:rPr>
                  <w:rFonts w:cs="Arial"/>
                  <w:szCs w:val="20"/>
                </w:rPr>
                <w:t>40°C</w:t>
              </w:r>
            </w:smartTag>
            <w:r w:rsidRPr="006431C4">
              <w:rPr>
                <w:rFonts w:cs="Arial"/>
                <w:szCs w:val="20"/>
              </w:rPr>
              <w:t xml:space="preserve"> z jednym cyklem zamrażania, </w:t>
            </w:r>
          </w:p>
          <w:p w14:paraId="4E6541F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 xml:space="preserve">badanie w 25°C </w:t>
            </w:r>
            <w:r w:rsidRPr="006431C4">
              <w:rPr>
                <w:rFonts w:cs="Arial"/>
                <w:szCs w:val="20"/>
                <w:vertAlign w:val="superscript"/>
              </w:rPr>
              <w:t>b)</w:t>
            </w:r>
          </w:p>
        </w:tc>
        <w:tc>
          <w:tcPr>
            <w:tcW w:w="1134" w:type="dxa"/>
            <w:vAlign w:val="center"/>
          </w:tcPr>
          <w:p w14:paraId="1DA1493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ITSR</w:t>
            </w:r>
            <w:r w:rsidRPr="006431C4">
              <w:rPr>
                <w:rFonts w:cs="Arial"/>
                <w:szCs w:val="20"/>
                <w:vertAlign w:val="subscript"/>
              </w:rPr>
              <w:t>90</w:t>
            </w:r>
          </w:p>
        </w:tc>
        <w:tc>
          <w:tcPr>
            <w:tcW w:w="1134" w:type="dxa"/>
            <w:vAlign w:val="center"/>
          </w:tcPr>
          <w:p w14:paraId="4F82E00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i/>
                <w:szCs w:val="20"/>
              </w:rPr>
              <w:t>ITSR</w:t>
            </w:r>
            <w:r w:rsidRPr="006431C4">
              <w:rPr>
                <w:rFonts w:cs="Arial"/>
                <w:szCs w:val="20"/>
                <w:vertAlign w:val="subscript"/>
              </w:rPr>
              <w:t>90</w:t>
            </w:r>
          </w:p>
        </w:tc>
      </w:tr>
      <w:tr w:rsidR="00CF11BE" w:rsidRPr="006431C4" w14:paraId="45D88DF8" w14:textId="77777777" w:rsidTr="00CF11BE">
        <w:tc>
          <w:tcPr>
            <w:tcW w:w="2972" w:type="dxa"/>
            <w:vAlign w:val="center"/>
          </w:tcPr>
          <w:p w14:paraId="308FBFAF"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Współczynnik luminacji</w:t>
            </w:r>
          </w:p>
        </w:tc>
        <w:tc>
          <w:tcPr>
            <w:tcW w:w="1691" w:type="dxa"/>
            <w:vAlign w:val="center"/>
          </w:tcPr>
          <w:p w14:paraId="15B961B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3412" w:type="dxa"/>
            <w:vAlign w:val="center"/>
          </w:tcPr>
          <w:p w14:paraId="03E735E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Zgodnie z załącznikiem 4 do WT-2 2014 [80]</w:t>
            </w:r>
          </w:p>
        </w:tc>
        <w:tc>
          <w:tcPr>
            <w:tcW w:w="1134" w:type="dxa"/>
            <w:vAlign w:val="center"/>
          </w:tcPr>
          <w:p w14:paraId="580A9E47"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vertAlign w:val="superscript"/>
              </w:rPr>
            </w:pPr>
            <w:r w:rsidRPr="006431C4">
              <w:rPr>
                <w:rFonts w:cs="Arial"/>
                <w:i/>
                <w:szCs w:val="20"/>
              </w:rPr>
              <w:t>Q</w:t>
            </w:r>
            <w:r w:rsidRPr="006431C4">
              <w:rPr>
                <w:rFonts w:cs="Arial"/>
                <w:i/>
                <w:szCs w:val="20"/>
                <w:vertAlign w:val="subscript"/>
              </w:rPr>
              <w:t>d</w:t>
            </w:r>
            <w:r w:rsidRPr="006431C4">
              <w:rPr>
                <w:rFonts w:cs="Arial"/>
                <w:i/>
                <w:szCs w:val="20"/>
              </w:rPr>
              <w:t>≥70</w:t>
            </w:r>
            <w:r w:rsidRPr="006431C4">
              <w:rPr>
                <w:rFonts w:cs="Arial"/>
                <w:i/>
                <w:szCs w:val="20"/>
                <w:vertAlign w:val="superscript"/>
              </w:rPr>
              <w:t>d</w:t>
            </w:r>
          </w:p>
          <w:p w14:paraId="2A66E3B5"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vertAlign w:val="superscript"/>
              </w:rPr>
            </w:pPr>
            <w:r w:rsidRPr="006431C4">
              <w:rPr>
                <w:rFonts w:cs="Arial"/>
                <w:i/>
                <w:szCs w:val="20"/>
              </w:rPr>
              <w:t>Q</w:t>
            </w:r>
            <w:r w:rsidRPr="006431C4">
              <w:rPr>
                <w:rFonts w:cs="Arial"/>
                <w:i/>
                <w:szCs w:val="20"/>
                <w:vertAlign w:val="subscript"/>
              </w:rPr>
              <w:t>d</w:t>
            </w:r>
            <w:r w:rsidRPr="006431C4">
              <w:rPr>
                <w:rFonts w:cs="Arial"/>
                <w:i/>
                <w:szCs w:val="20"/>
              </w:rPr>
              <w:t>≥90</w:t>
            </w:r>
            <w:r w:rsidRPr="006431C4">
              <w:rPr>
                <w:rFonts w:cs="Arial"/>
                <w:i/>
                <w:szCs w:val="20"/>
                <w:vertAlign w:val="superscript"/>
              </w:rPr>
              <w:t>e</w:t>
            </w:r>
          </w:p>
        </w:tc>
        <w:tc>
          <w:tcPr>
            <w:tcW w:w="1134" w:type="dxa"/>
            <w:vAlign w:val="center"/>
          </w:tcPr>
          <w:p w14:paraId="483A6F65"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vertAlign w:val="superscript"/>
              </w:rPr>
            </w:pPr>
            <w:r w:rsidRPr="006431C4">
              <w:rPr>
                <w:rFonts w:cs="Arial"/>
                <w:i/>
                <w:szCs w:val="20"/>
              </w:rPr>
              <w:t>Q</w:t>
            </w:r>
            <w:r w:rsidRPr="006431C4">
              <w:rPr>
                <w:rFonts w:cs="Arial"/>
                <w:i/>
                <w:szCs w:val="20"/>
                <w:vertAlign w:val="subscript"/>
              </w:rPr>
              <w:t>d</w:t>
            </w:r>
            <w:r w:rsidRPr="006431C4">
              <w:rPr>
                <w:rFonts w:cs="Arial"/>
                <w:i/>
                <w:szCs w:val="20"/>
              </w:rPr>
              <w:t>≥70</w:t>
            </w:r>
            <w:r w:rsidRPr="006431C4">
              <w:rPr>
                <w:rFonts w:cs="Arial"/>
                <w:i/>
                <w:szCs w:val="20"/>
                <w:vertAlign w:val="superscript"/>
              </w:rPr>
              <w:t>d</w:t>
            </w:r>
          </w:p>
          <w:p w14:paraId="04D04AF7" w14:textId="77777777" w:rsidR="00CF11BE" w:rsidRPr="006431C4" w:rsidRDefault="00CF11BE" w:rsidP="00CF11BE">
            <w:pPr>
              <w:overflowPunct w:val="0"/>
              <w:autoSpaceDE w:val="0"/>
              <w:autoSpaceDN w:val="0"/>
              <w:adjustRightInd w:val="0"/>
              <w:spacing w:line="240" w:lineRule="auto"/>
              <w:jc w:val="center"/>
              <w:textAlignment w:val="baseline"/>
              <w:rPr>
                <w:rFonts w:cs="Arial"/>
                <w:i/>
                <w:szCs w:val="20"/>
              </w:rPr>
            </w:pPr>
            <w:r w:rsidRPr="006431C4">
              <w:rPr>
                <w:rFonts w:cs="Arial"/>
                <w:i/>
                <w:szCs w:val="20"/>
              </w:rPr>
              <w:t>Q</w:t>
            </w:r>
            <w:r w:rsidRPr="006431C4">
              <w:rPr>
                <w:rFonts w:cs="Arial"/>
                <w:i/>
                <w:szCs w:val="20"/>
                <w:vertAlign w:val="subscript"/>
              </w:rPr>
              <w:t>d</w:t>
            </w:r>
            <w:r w:rsidRPr="006431C4">
              <w:rPr>
                <w:rFonts w:cs="Arial"/>
                <w:i/>
                <w:szCs w:val="20"/>
              </w:rPr>
              <w:t>≥90</w:t>
            </w:r>
            <w:r w:rsidRPr="006431C4">
              <w:rPr>
                <w:rFonts w:cs="Arial"/>
                <w:i/>
                <w:szCs w:val="20"/>
                <w:vertAlign w:val="superscript"/>
              </w:rPr>
              <w:t>e</w:t>
            </w:r>
          </w:p>
        </w:tc>
      </w:tr>
      <w:tr w:rsidR="00CF11BE" w:rsidRPr="006431C4" w14:paraId="30D57741" w14:textId="77777777" w:rsidTr="00CF11BE">
        <w:tblPrEx>
          <w:tblCellMar>
            <w:left w:w="70" w:type="dxa"/>
            <w:right w:w="70" w:type="dxa"/>
          </w:tblCellMar>
          <w:tblLook w:val="0000" w:firstRow="0" w:lastRow="0" w:firstColumn="0" w:lastColumn="0" w:noHBand="0" w:noVBand="0"/>
        </w:tblPrEx>
        <w:trPr>
          <w:trHeight w:val="514"/>
        </w:trPr>
        <w:tc>
          <w:tcPr>
            <w:tcW w:w="10343" w:type="dxa"/>
            <w:gridSpan w:val="5"/>
          </w:tcPr>
          <w:p w14:paraId="1FCB2B54" w14:textId="77777777" w:rsidR="00CF11BE" w:rsidRPr="006431C4" w:rsidRDefault="00CF11BE" w:rsidP="00CF11BE">
            <w:pPr>
              <w:tabs>
                <w:tab w:val="left" w:pos="180"/>
              </w:tabs>
              <w:overflowPunct w:val="0"/>
              <w:autoSpaceDE w:val="0"/>
              <w:autoSpaceDN w:val="0"/>
              <w:adjustRightInd w:val="0"/>
              <w:spacing w:line="240" w:lineRule="auto"/>
              <w:ind w:left="180" w:hanging="142"/>
              <w:jc w:val="both"/>
              <w:textAlignment w:val="baseline"/>
              <w:rPr>
                <w:rFonts w:cs="Arial"/>
                <w:szCs w:val="20"/>
              </w:rPr>
            </w:pPr>
            <w:r w:rsidRPr="006431C4">
              <w:rPr>
                <w:rFonts w:cs="Arial"/>
                <w:szCs w:val="20"/>
                <w:vertAlign w:val="superscript"/>
              </w:rPr>
              <w:t>a)</w:t>
            </w:r>
            <w:r w:rsidRPr="006431C4">
              <w:rPr>
                <w:rFonts w:cs="Arial"/>
                <w:szCs w:val="20"/>
              </w:rPr>
              <w:tab/>
              <w:t>Grubość płyty: AC8, AC11  40mm.</w:t>
            </w:r>
          </w:p>
          <w:p w14:paraId="5049ECE3" w14:textId="77777777" w:rsidR="00CF11BE" w:rsidRPr="006431C4" w:rsidRDefault="00CF11BE" w:rsidP="00CF11BE">
            <w:pPr>
              <w:tabs>
                <w:tab w:val="left" w:pos="180"/>
              </w:tabs>
              <w:overflowPunct w:val="0"/>
              <w:autoSpaceDE w:val="0"/>
              <w:autoSpaceDN w:val="0"/>
              <w:adjustRightInd w:val="0"/>
              <w:spacing w:line="240" w:lineRule="auto"/>
              <w:ind w:left="180" w:hanging="142"/>
              <w:jc w:val="both"/>
              <w:textAlignment w:val="baseline"/>
              <w:rPr>
                <w:rFonts w:cs="Arial"/>
                <w:szCs w:val="20"/>
              </w:rPr>
            </w:pPr>
            <w:r w:rsidRPr="006431C4">
              <w:rPr>
                <w:rFonts w:cs="Arial"/>
                <w:szCs w:val="20"/>
                <w:vertAlign w:val="superscript"/>
              </w:rPr>
              <w:t>b)</w:t>
            </w:r>
            <w:r w:rsidRPr="006431C4">
              <w:rPr>
                <w:rFonts w:cs="Arial"/>
                <w:szCs w:val="20"/>
              </w:rPr>
              <w:tab/>
              <w:t>Ujednoliconą procedurę badania odporności na działanie wody podano w WT-2 2014[80] w załączniku 1.</w:t>
            </w:r>
          </w:p>
          <w:p w14:paraId="3F11A339" w14:textId="77777777" w:rsidR="00CF11BE" w:rsidRPr="006431C4" w:rsidRDefault="00CF11BE" w:rsidP="00CF11BE">
            <w:pPr>
              <w:tabs>
                <w:tab w:val="left" w:pos="180"/>
              </w:tabs>
              <w:overflowPunct w:val="0"/>
              <w:autoSpaceDE w:val="0"/>
              <w:autoSpaceDN w:val="0"/>
              <w:adjustRightInd w:val="0"/>
              <w:spacing w:line="240" w:lineRule="auto"/>
              <w:ind w:left="180" w:hanging="142"/>
              <w:jc w:val="both"/>
              <w:textAlignment w:val="baseline"/>
              <w:rPr>
                <w:rFonts w:cs="Arial"/>
                <w:szCs w:val="20"/>
              </w:rPr>
            </w:pPr>
            <w:r w:rsidRPr="006431C4">
              <w:rPr>
                <w:rFonts w:cs="Arial"/>
                <w:szCs w:val="20"/>
                <w:vertAlign w:val="superscript"/>
              </w:rPr>
              <w:t>c)</w:t>
            </w:r>
            <w:r w:rsidRPr="006431C4">
              <w:rPr>
                <w:rFonts w:cs="Arial"/>
                <w:szCs w:val="20"/>
              </w:rPr>
              <w:t>Procedurę kondycjonowania krótkoterminowego mma przed zagęszczeniem próbek do badań podano w WT-2 2014[80] w załączniku 2</w:t>
            </w:r>
          </w:p>
          <w:p w14:paraId="22AF849F" w14:textId="77777777" w:rsidR="00CF11BE" w:rsidRPr="006431C4" w:rsidRDefault="00CF11BE" w:rsidP="00CF11BE">
            <w:pPr>
              <w:tabs>
                <w:tab w:val="left" w:pos="180"/>
              </w:tabs>
              <w:overflowPunct w:val="0"/>
              <w:autoSpaceDE w:val="0"/>
              <w:autoSpaceDN w:val="0"/>
              <w:adjustRightInd w:val="0"/>
              <w:spacing w:line="240" w:lineRule="auto"/>
              <w:ind w:left="180" w:hanging="142"/>
              <w:jc w:val="both"/>
              <w:textAlignment w:val="baseline"/>
              <w:rPr>
                <w:rFonts w:cs="Arial"/>
                <w:szCs w:val="20"/>
              </w:rPr>
            </w:pPr>
            <w:r w:rsidRPr="006431C4">
              <w:rPr>
                <w:rFonts w:cs="Arial"/>
                <w:szCs w:val="20"/>
              </w:rPr>
              <w:t>d)wymaganie dotyczy nawierzchni wykonywanych w terenach otwartych</w:t>
            </w:r>
          </w:p>
          <w:p w14:paraId="427F831B" w14:textId="77777777" w:rsidR="00CF11BE" w:rsidRPr="006431C4" w:rsidRDefault="00CF11BE" w:rsidP="00CF11BE">
            <w:pPr>
              <w:tabs>
                <w:tab w:val="left" w:pos="180"/>
              </w:tabs>
              <w:overflowPunct w:val="0"/>
              <w:autoSpaceDE w:val="0"/>
              <w:autoSpaceDN w:val="0"/>
              <w:adjustRightInd w:val="0"/>
              <w:spacing w:line="240" w:lineRule="auto"/>
              <w:ind w:left="180" w:hanging="142"/>
              <w:jc w:val="both"/>
              <w:textAlignment w:val="baseline"/>
              <w:rPr>
                <w:rFonts w:cs="Arial"/>
                <w:szCs w:val="20"/>
              </w:rPr>
            </w:pPr>
            <w:r w:rsidRPr="006431C4">
              <w:rPr>
                <w:rFonts w:cs="Arial"/>
                <w:szCs w:val="20"/>
              </w:rPr>
              <w:t>e)wymaganie dotyczy nawierzchni wykonywanych w tunelach</w:t>
            </w:r>
          </w:p>
        </w:tc>
      </w:tr>
    </w:tbl>
    <w:p w14:paraId="084CC74B" w14:textId="77777777" w:rsidR="00CF11BE" w:rsidRPr="006431C4" w:rsidRDefault="00CF11BE" w:rsidP="00CF11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37" w:name="_Toc462133768"/>
      <w:r w:rsidRPr="006431C4">
        <w:rPr>
          <w:rFonts w:cs="Arial"/>
          <w:b/>
          <w:caps/>
          <w:kern w:val="28"/>
          <w:szCs w:val="20"/>
        </w:rPr>
        <w:t>3. Sprzęt</w:t>
      </w:r>
      <w:bookmarkEnd w:id="937"/>
    </w:p>
    <w:p w14:paraId="04863116"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3.1. Ogólne wymagania dotyczące sprzętu</w:t>
      </w:r>
    </w:p>
    <w:p w14:paraId="2B15CC3F"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sprzętu podano w SST  D-M-00.00.00 „Wymagania ogólne” [1] pkt 3.</w:t>
      </w:r>
    </w:p>
    <w:p w14:paraId="7E4949A6"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3.2. Sprzęt stosowany do wykonania robót</w:t>
      </w:r>
    </w:p>
    <w:p w14:paraId="5C9B716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Przy wykonywaniu robót Wykonawca w zależności od potrzeb, powinien wykazać się możliwością korzystania ze sprzętu dostosowanego do przyjętej metody robót, jak:</w:t>
      </w:r>
    </w:p>
    <w:p w14:paraId="525B097C" w14:textId="77777777" w:rsidR="00CF11BE" w:rsidRPr="006431C4" w:rsidRDefault="00CF11BE" w:rsidP="00CF1E7D">
      <w:pPr>
        <w:numPr>
          <w:ilvl w:val="0"/>
          <w:numId w:val="153"/>
        </w:numPr>
        <w:overflowPunct w:val="0"/>
        <w:autoSpaceDE w:val="0"/>
        <w:autoSpaceDN w:val="0"/>
        <w:adjustRightInd w:val="0"/>
        <w:spacing w:line="240" w:lineRule="auto"/>
        <w:ind w:left="360"/>
        <w:jc w:val="both"/>
        <w:textAlignment w:val="baseline"/>
        <w:rPr>
          <w:rFonts w:cs="Arial"/>
          <w:szCs w:val="20"/>
        </w:rPr>
      </w:pPr>
      <w:r w:rsidRPr="006431C4">
        <w:rPr>
          <w:rFonts w:cs="Arial"/>
          <w:szCs w:val="20"/>
        </w:rPr>
        <w:t>wytwórnia (otaczarka</w:t>
      </w:r>
      <w:r w:rsidRPr="006431C4">
        <w:rPr>
          <w:rFonts w:cs="Arial"/>
          <w:b/>
          <w:szCs w:val="20"/>
        </w:rPr>
        <w:t>)</w:t>
      </w:r>
      <w:r w:rsidRPr="006431C4">
        <w:rPr>
          <w:rFonts w:cs="Arial"/>
          <w:szCs w:val="20"/>
        </w:rPr>
        <w:t xml:space="preserve"> o mieszaniu cyklicznym lub ciągłym, z automatycznym komputerowym sterowaniem produkcji, do wytwarzania mieszanek mineralno-asfaltowych,</w:t>
      </w:r>
      <w:r w:rsidRPr="006431C4">
        <w:rPr>
          <w:rFonts w:cs="Arial"/>
          <w:szCs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6431C4">
        <w:rPr>
          <w:rFonts w:cs="Arial"/>
          <w:szCs w:val="20"/>
        </w:rPr>
        <w:br/>
        <w:t>Wytwórnia powinna być wyposażona w termometry (urządzenia pomiarowe) pozwalające na ciągłe monitorowanie temperatury poszczególnych materiałów, na różnych etapach przygotowywania materiałów, jak i na wyjściu z mieszalnika,</w:t>
      </w:r>
    </w:p>
    <w:p w14:paraId="0987BE4E" w14:textId="77777777" w:rsidR="00CF11BE" w:rsidRPr="006431C4" w:rsidRDefault="00CF11BE" w:rsidP="00CF1E7D">
      <w:pPr>
        <w:numPr>
          <w:ilvl w:val="0"/>
          <w:numId w:val="153"/>
        </w:numPr>
        <w:overflowPunct w:val="0"/>
        <w:autoSpaceDE w:val="0"/>
        <w:autoSpaceDN w:val="0"/>
        <w:adjustRightInd w:val="0"/>
        <w:spacing w:line="240" w:lineRule="auto"/>
        <w:ind w:left="360"/>
        <w:jc w:val="both"/>
        <w:textAlignment w:val="baseline"/>
        <w:rPr>
          <w:rFonts w:cs="Arial"/>
          <w:szCs w:val="20"/>
        </w:rPr>
      </w:pPr>
      <w:r w:rsidRPr="006431C4">
        <w:rPr>
          <w:rFonts w:cs="Arial"/>
          <w:szCs w:val="20"/>
        </w:rPr>
        <w:t>układarka gąsienicowa, z elektronicznym sterowaniem równości układanej warstwy,</w:t>
      </w:r>
    </w:p>
    <w:p w14:paraId="379C6B29" w14:textId="77777777" w:rsidR="00CF11BE" w:rsidRPr="006431C4" w:rsidRDefault="00CF11BE" w:rsidP="00CF1E7D">
      <w:pPr>
        <w:numPr>
          <w:ilvl w:val="0"/>
          <w:numId w:val="153"/>
        </w:numPr>
        <w:overflowPunct w:val="0"/>
        <w:autoSpaceDE w:val="0"/>
        <w:autoSpaceDN w:val="0"/>
        <w:adjustRightInd w:val="0"/>
        <w:spacing w:line="240" w:lineRule="auto"/>
        <w:ind w:left="360"/>
        <w:jc w:val="both"/>
        <w:textAlignment w:val="baseline"/>
        <w:rPr>
          <w:rFonts w:cs="Arial"/>
          <w:szCs w:val="20"/>
        </w:rPr>
      </w:pPr>
      <w:r w:rsidRPr="006431C4">
        <w:rPr>
          <w:rFonts w:cs="Arial"/>
          <w:szCs w:val="20"/>
        </w:rPr>
        <w:t>skrapiarka,</w:t>
      </w:r>
    </w:p>
    <w:p w14:paraId="06C7DFE9" w14:textId="77777777" w:rsidR="00CF11BE" w:rsidRPr="006431C4" w:rsidRDefault="00CF11BE" w:rsidP="00CF1E7D">
      <w:pPr>
        <w:numPr>
          <w:ilvl w:val="0"/>
          <w:numId w:val="153"/>
        </w:numPr>
        <w:overflowPunct w:val="0"/>
        <w:autoSpaceDE w:val="0"/>
        <w:autoSpaceDN w:val="0"/>
        <w:adjustRightInd w:val="0"/>
        <w:spacing w:line="240" w:lineRule="auto"/>
        <w:ind w:left="360"/>
        <w:jc w:val="both"/>
        <w:textAlignment w:val="baseline"/>
        <w:rPr>
          <w:rFonts w:cs="Arial"/>
          <w:szCs w:val="20"/>
        </w:rPr>
      </w:pPr>
      <w:r w:rsidRPr="006431C4">
        <w:rPr>
          <w:rFonts w:cs="Arial"/>
          <w:szCs w:val="20"/>
        </w:rPr>
        <w:t xml:space="preserve">walce stalowe gładkie, </w:t>
      </w:r>
    </w:p>
    <w:p w14:paraId="3CE5A338" w14:textId="77777777" w:rsidR="00CF11BE" w:rsidRPr="006431C4" w:rsidRDefault="00CF11BE" w:rsidP="00CF1E7D">
      <w:pPr>
        <w:numPr>
          <w:ilvl w:val="0"/>
          <w:numId w:val="153"/>
        </w:numPr>
        <w:overflowPunct w:val="0"/>
        <w:autoSpaceDE w:val="0"/>
        <w:autoSpaceDN w:val="0"/>
        <w:adjustRightInd w:val="0"/>
        <w:spacing w:line="240" w:lineRule="auto"/>
        <w:ind w:left="360"/>
        <w:jc w:val="both"/>
        <w:textAlignment w:val="baseline"/>
        <w:rPr>
          <w:rFonts w:cs="Arial"/>
          <w:szCs w:val="20"/>
        </w:rPr>
      </w:pPr>
      <w:r w:rsidRPr="006431C4">
        <w:rPr>
          <w:rFonts w:cs="Arial"/>
          <w:szCs w:val="20"/>
        </w:rPr>
        <w:lastRenderedPageBreak/>
        <w:t>lekka rozsypywarka kruszywa,</w:t>
      </w:r>
    </w:p>
    <w:p w14:paraId="50B37050" w14:textId="77777777" w:rsidR="00CF11BE" w:rsidRPr="006431C4" w:rsidRDefault="00CF11BE" w:rsidP="00CF1E7D">
      <w:pPr>
        <w:numPr>
          <w:ilvl w:val="0"/>
          <w:numId w:val="153"/>
        </w:numPr>
        <w:overflowPunct w:val="0"/>
        <w:autoSpaceDE w:val="0"/>
        <w:autoSpaceDN w:val="0"/>
        <w:adjustRightInd w:val="0"/>
        <w:spacing w:line="240" w:lineRule="auto"/>
        <w:ind w:left="360"/>
        <w:jc w:val="both"/>
        <w:textAlignment w:val="baseline"/>
        <w:rPr>
          <w:rFonts w:cs="Arial"/>
          <w:szCs w:val="20"/>
        </w:rPr>
      </w:pPr>
      <w:r w:rsidRPr="006431C4">
        <w:rPr>
          <w:rFonts w:cs="Arial"/>
          <w:szCs w:val="20"/>
        </w:rPr>
        <w:t>szczotki mechaniczne i/lub inne urządzenia czyszczące,</w:t>
      </w:r>
    </w:p>
    <w:p w14:paraId="0EE88628" w14:textId="77777777" w:rsidR="00CF11BE" w:rsidRPr="006431C4" w:rsidRDefault="00CF11BE" w:rsidP="00CF1E7D">
      <w:pPr>
        <w:numPr>
          <w:ilvl w:val="0"/>
          <w:numId w:val="153"/>
        </w:numPr>
        <w:overflowPunct w:val="0"/>
        <w:autoSpaceDE w:val="0"/>
        <w:autoSpaceDN w:val="0"/>
        <w:adjustRightInd w:val="0"/>
        <w:spacing w:line="240" w:lineRule="auto"/>
        <w:ind w:left="360"/>
        <w:jc w:val="both"/>
        <w:textAlignment w:val="baseline"/>
        <w:rPr>
          <w:rFonts w:cs="Arial"/>
          <w:szCs w:val="20"/>
        </w:rPr>
      </w:pPr>
      <w:r w:rsidRPr="006431C4">
        <w:rPr>
          <w:rFonts w:cs="Arial"/>
          <w:szCs w:val="20"/>
        </w:rPr>
        <w:t>samochody samowyładowcze z przykryciem brezentowym lub termosami,</w:t>
      </w:r>
    </w:p>
    <w:p w14:paraId="096F5EE3" w14:textId="77777777" w:rsidR="00CF11BE" w:rsidRPr="006431C4" w:rsidRDefault="00CF11BE" w:rsidP="00CF1E7D">
      <w:pPr>
        <w:numPr>
          <w:ilvl w:val="0"/>
          <w:numId w:val="153"/>
        </w:numPr>
        <w:overflowPunct w:val="0"/>
        <w:autoSpaceDE w:val="0"/>
        <w:autoSpaceDN w:val="0"/>
        <w:adjustRightInd w:val="0"/>
        <w:spacing w:line="240" w:lineRule="auto"/>
        <w:ind w:left="360"/>
        <w:jc w:val="both"/>
        <w:textAlignment w:val="baseline"/>
        <w:rPr>
          <w:rFonts w:cs="Arial"/>
          <w:szCs w:val="20"/>
        </w:rPr>
      </w:pPr>
      <w:r w:rsidRPr="006431C4">
        <w:rPr>
          <w:rFonts w:cs="Arial"/>
          <w:szCs w:val="20"/>
        </w:rPr>
        <w:t>sprzęt drobny.</w:t>
      </w:r>
    </w:p>
    <w:p w14:paraId="1097E05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Sprzęt powinien odpowiadać wymaganiom określonym w dokumentacji projektowej, SST, instrukcjach producentów lub propozycji Wykonawcy i powinien być zaakceptowany przez Inżyniera.</w:t>
      </w:r>
    </w:p>
    <w:p w14:paraId="2D863416" w14:textId="77777777" w:rsidR="00CF11BE" w:rsidRPr="006431C4" w:rsidRDefault="00CF11BE" w:rsidP="00CF11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38" w:name="_Toc462133769"/>
      <w:r w:rsidRPr="006431C4">
        <w:rPr>
          <w:rFonts w:cs="Arial"/>
          <w:b/>
          <w:caps/>
          <w:kern w:val="28"/>
          <w:szCs w:val="20"/>
        </w:rPr>
        <w:t>4. Transport</w:t>
      </w:r>
      <w:bookmarkEnd w:id="938"/>
    </w:p>
    <w:p w14:paraId="1088F89A"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4.1. Ogólne wymagania dotyczące transportu</w:t>
      </w:r>
    </w:p>
    <w:p w14:paraId="71B5DFCB"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transportu podano w SST D-M-00.00.00 „Wymagania ogólne” [1] pkt 4.</w:t>
      </w:r>
      <w:r w:rsidRPr="006431C4">
        <w:rPr>
          <w:rFonts w:cs="Arial"/>
          <w:szCs w:val="20"/>
        </w:rPr>
        <w:tab/>
      </w:r>
    </w:p>
    <w:p w14:paraId="69576342"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4.2. Transport materiałów </w:t>
      </w:r>
    </w:p>
    <w:p w14:paraId="5887C63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14:paraId="6BCB6997"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Kruszywa można przewozić dowolnymi środkami transportu, w warunkach zabezpieczających je przed zanieczyszczeniem, zmieszaniem z innymi materiałami i nadmiernym zawilgoceniem.</w:t>
      </w:r>
    </w:p>
    <w:p w14:paraId="759EC89A"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6782BACC"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Środek adhezyjny, w opakowaniu producenta, może być przewożony dowolnymi środkami transportu z uwzględnieniem zaleceń producenta. Opakowanie powinno być zabezpieczone tak, aby nie uległo uszkodzeniu. </w:t>
      </w:r>
    </w:p>
    <w:p w14:paraId="1D4511E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7DCBC28C"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0CF35E96"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p>
    <w:p w14:paraId="6F805F5B" w14:textId="77777777" w:rsidR="00CF11BE" w:rsidRPr="006431C4" w:rsidRDefault="00CF11BE" w:rsidP="00CF11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39" w:name="_Toc462133770"/>
      <w:r w:rsidRPr="006431C4">
        <w:rPr>
          <w:rFonts w:cs="Arial"/>
          <w:b/>
          <w:caps/>
          <w:kern w:val="28"/>
          <w:szCs w:val="20"/>
        </w:rPr>
        <w:t>5. Wykonanie robót</w:t>
      </w:r>
      <w:bookmarkEnd w:id="939"/>
    </w:p>
    <w:p w14:paraId="2AD70F1C"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5.1. Ogólne zasady wykonania robót</w:t>
      </w:r>
    </w:p>
    <w:p w14:paraId="176B7220"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wykonania robót podano w SST D-M-00.00.00 „Wymagania ogólne” [1] pkt 5.</w:t>
      </w:r>
    </w:p>
    <w:p w14:paraId="1005FE02"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5.2. Projektowanie mieszanki mineralno-asfaltowej</w:t>
      </w:r>
    </w:p>
    <w:p w14:paraId="50EE5809" w14:textId="77777777" w:rsidR="00CF11BE" w:rsidRPr="006431C4" w:rsidRDefault="00CF11BE" w:rsidP="00CF11BE">
      <w:pPr>
        <w:widowControl w:val="0"/>
        <w:overflowPunct w:val="0"/>
        <w:autoSpaceDE w:val="0"/>
        <w:autoSpaceDN w:val="0"/>
        <w:adjustRightInd w:val="0"/>
        <w:spacing w:line="240" w:lineRule="auto"/>
        <w:ind w:right="-59"/>
        <w:jc w:val="both"/>
        <w:textAlignment w:val="baseline"/>
        <w:rPr>
          <w:rFonts w:cs="Arial"/>
          <w:color w:val="000000"/>
          <w:szCs w:val="20"/>
        </w:rPr>
      </w:pPr>
      <w:r w:rsidRPr="006431C4">
        <w:rPr>
          <w:rFonts w:cs="Arial"/>
          <w:szCs w:val="20"/>
        </w:rPr>
        <w:tab/>
        <w:t>Przed przystąpieniem do robót Wykonawca dostarczy Inżynierowi do akceptacji projekt składu mieszanki mineralno-asfaltowej (AC5S, AC8S, AC11S)</w:t>
      </w:r>
      <w:r w:rsidRPr="006431C4">
        <w:rPr>
          <w:rFonts w:cs="Arial"/>
          <w:color w:val="000000"/>
          <w:szCs w:val="20"/>
        </w:rPr>
        <w:t>, wyniki badań laboratoryjnych oraz próbki materiałów pobrane w obecności Inżyniera do wykonania badań kontrolnych przez Zamawiającego.</w:t>
      </w:r>
    </w:p>
    <w:p w14:paraId="62B42BC8" w14:textId="77777777" w:rsidR="00CF11BE" w:rsidRPr="006431C4" w:rsidRDefault="00CF11BE" w:rsidP="00CF11BE">
      <w:pPr>
        <w:widowControl w:val="0"/>
        <w:overflowPunct w:val="0"/>
        <w:autoSpaceDE w:val="0"/>
        <w:autoSpaceDN w:val="0"/>
        <w:adjustRightInd w:val="0"/>
        <w:spacing w:line="240" w:lineRule="auto"/>
        <w:ind w:right="-59" w:firstLine="709"/>
        <w:jc w:val="both"/>
        <w:textAlignment w:val="baseline"/>
        <w:rPr>
          <w:rFonts w:cs="Arial"/>
          <w:color w:val="000000"/>
          <w:szCs w:val="20"/>
        </w:rPr>
      </w:pPr>
      <w:r w:rsidRPr="006431C4">
        <w:rPr>
          <w:rFonts w:cs="Arial"/>
          <w:color w:val="000000"/>
          <w:szCs w:val="20"/>
        </w:rPr>
        <w:t xml:space="preserve">Projekt mieszanki mineralno-asfaltowej powinien określać: </w:t>
      </w:r>
    </w:p>
    <w:p w14:paraId="350081AE" w14:textId="77777777" w:rsidR="00CF11BE" w:rsidRPr="006431C4" w:rsidRDefault="00CF11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źródło wszystkich zastosowanych materiałów,</w:t>
      </w:r>
    </w:p>
    <w:p w14:paraId="6F7BCADF" w14:textId="77777777" w:rsidR="00CF11BE" w:rsidRPr="006431C4" w:rsidRDefault="00CF11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proporcje wszystkich składników mieszanki mineralnej,</w:t>
      </w:r>
    </w:p>
    <w:p w14:paraId="7B22C4F8" w14:textId="77777777" w:rsidR="00CF11BE" w:rsidRPr="006431C4" w:rsidRDefault="00CF11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punkty graniczne uziarnienia,</w:t>
      </w:r>
    </w:p>
    <w:p w14:paraId="7FEB56F3" w14:textId="77777777" w:rsidR="00CF11BE" w:rsidRPr="006431C4" w:rsidRDefault="00CF11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wyniki badań przeprowadzonych w celu określenia właściwości mieszanki i porównanie ich z wymaganiami specyfikacji,</w:t>
      </w:r>
    </w:p>
    <w:p w14:paraId="0273A809" w14:textId="77777777" w:rsidR="00CF11BE" w:rsidRPr="006431C4" w:rsidRDefault="00CF11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 xml:space="preserve">wyniki badań dotyczących fizycznych właściwości kruszywa, </w:t>
      </w:r>
    </w:p>
    <w:p w14:paraId="2A020935" w14:textId="77777777" w:rsidR="00CF11BE" w:rsidRPr="006431C4" w:rsidRDefault="00CF11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 xml:space="preserve">temperaturę wytwarzania i układania mieszanki. </w:t>
      </w:r>
    </w:p>
    <w:p w14:paraId="2B2808FB" w14:textId="77777777" w:rsidR="00CF11BE" w:rsidRPr="006431C4" w:rsidRDefault="00CF11BE" w:rsidP="00CF11BE">
      <w:pPr>
        <w:shd w:val="clear" w:color="auto" w:fill="FFFFFF"/>
        <w:overflowPunct w:val="0"/>
        <w:autoSpaceDE w:val="0"/>
        <w:autoSpaceDN w:val="0"/>
        <w:adjustRightInd w:val="0"/>
        <w:spacing w:line="240" w:lineRule="auto"/>
        <w:ind w:right="2" w:firstLine="709"/>
        <w:jc w:val="both"/>
        <w:textAlignment w:val="baseline"/>
        <w:rPr>
          <w:rFonts w:cs="Arial"/>
          <w:color w:val="000000"/>
          <w:spacing w:val="1"/>
          <w:szCs w:val="20"/>
        </w:rPr>
      </w:pPr>
      <w:r w:rsidRPr="006431C4">
        <w:rPr>
          <w:rFonts w:cs="Arial"/>
          <w:color w:val="000000"/>
          <w:spacing w:val="1"/>
          <w:szCs w:val="20"/>
        </w:rPr>
        <w:t xml:space="preserve">W zagęszczaniu próbek laboratoryjnych mieszanek mineralno-asfaltowych należy stosować następujące temperatury mieszanki w zależności stosowanego asfaltu: </w:t>
      </w:r>
    </w:p>
    <w:p w14:paraId="39ED3DAE" w14:textId="77777777" w:rsidR="00CF11BE" w:rsidRPr="006431C4" w:rsidRDefault="00CF11BE" w:rsidP="00CF1E7D">
      <w:pPr>
        <w:numPr>
          <w:ilvl w:val="0"/>
          <w:numId w:val="139"/>
        </w:numPr>
        <w:shd w:val="clear" w:color="auto" w:fill="FFFFFF"/>
        <w:tabs>
          <w:tab w:val="num" w:pos="360"/>
        </w:tabs>
        <w:overflowPunct w:val="0"/>
        <w:autoSpaceDE w:val="0"/>
        <w:autoSpaceDN w:val="0"/>
        <w:adjustRightInd w:val="0"/>
        <w:spacing w:line="240" w:lineRule="auto"/>
        <w:ind w:left="360" w:right="2" w:hanging="303"/>
        <w:jc w:val="both"/>
        <w:textAlignment w:val="baseline"/>
        <w:rPr>
          <w:rFonts w:cs="Arial"/>
          <w:color w:val="000000"/>
          <w:spacing w:val="1"/>
          <w:szCs w:val="20"/>
        </w:rPr>
      </w:pPr>
      <w:r w:rsidRPr="006431C4">
        <w:rPr>
          <w:rFonts w:cs="Arial"/>
          <w:color w:val="000000"/>
          <w:spacing w:val="1"/>
          <w:szCs w:val="20"/>
        </w:rPr>
        <w:t>50/70 i 70/100: 135°C±</w:t>
      </w:r>
      <w:smartTag w:uri="urn:schemas-microsoft-com:office:smarttags" w:element="metricconverter">
        <w:smartTagPr>
          <w:attr w:name="ProductID" w:val="5ﾰC"/>
        </w:smartTagPr>
        <w:r w:rsidRPr="006431C4">
          <w:rPr>
            <w:rFonts w:cs="Arial"/>
            <w:color w:val="000000"/>
            <w:spacing w:val="1"/>
            <w:szCs w:val="20"/>
          </w:rPr>
          <w:t>5°C</w:t>
        </w:r>
      </w:smartTag>
      <w:r w:rsidRPr="006431C4">
        <w:rPr>
          <w:rFonts w:cs="Arial"/>
          <w:color w:val="000000"/>
          <w:spacing w:val="1"/>
          <w:szCs w:val="20"/>
        </w:rPr>
        <w:t>,</w:t>
      </w:r>
    </w:p>
    <w:p w14:paraId="5D641466" w14:textId="77777777" w:rsidR="00CF11BE" w:rsidRPr="006431C4" w:rsidRDefault="00CF11BE" w:rsidP="00CF1E7D">
      <w:pPr>
        <w:numPr>
          <w:ilvl w:val="0"/>
          <w:numId w:val="139"/>
        </w:numPr>
        <w:tabs>
          <w:tab w:val="num" w:pos="360"/>
        </w:tabs>
        <w:overflowPunct w:val="0"/>
        <w:autoSpaceDE w:val="0"/>
        <w:autoSpaceDN w:val="0"/>
        <w:adjustRightInd w:val="0"/>
        <w:spacing w:line="240" w:lineRule="auto"/>
        <w:ind w:left="360" w:hanging="303"/>
        <w:jc w:val="both"/>
        <w:textAlignment w:val="baseline"/>
        <w:rPr>
          <w:rFonts w:cs="Arial"/>
          <w:szCs w:val="20"/>
        </w:rPr>
      </w:pPr>
      <w:r w:rsidRPr="006431C4">
        <w:rPr>
          <w:rFonts w:cs="Arial"/>
          <w:szCs w:val="20"/>
        </w:rPr>
        <w:t>MG 50/70-54/64: 140</w:t>
      </w:r>
      <w:r w:rsidRPr="006431C4">
        <w:rPr>
          <w:rFonts w:cs="Arial"/>
          <w:color w:val="000000"/>
          <w:spacing w:val="1"/>
          <w:szCs w:val="20"/>
        </w:rPr>
        <w:t>°</w:t>
      </w:r>
      <w:r w:rsidRPr="006431C4">
        <w:rPr>
          <w:rFonts w:cs="Arial"/>
          <w:szCs w:val="20"/>
        </w:rPr>
        <w:t>C</w:t>
      </w:r>
      <w:r w:rsidRPr="006431C4">
        <w:rPr>
          <w:rFonts w:cs="Arial"/>
          <w:color w:val="000000"/>
          <w:spacing w:val="1"/>
          <w:szCs w:val="20"/>
        </w:rPr>
        <w:t>±</w:t>
      </w:r>
      <w:smartTag w:uri="urn:schemas-microsoft-com:office:smarttags" w:element="metricconverter">
        <w:smartTagPr>
          <w:attr w:name="ProductID" w:val="5ﾰC"/>
        </w:smartTagPr>
        <w:r w:rsidRPr="006431C4">
          <w:rPr>
            <w:rFonts w:cs="Arial"/>
            <w:color w:val="000000"/>
            <w:spacing w:val="1"/>
            <w:szCs w:val="20"/>
          </w:rPr>
          <w:t>5°C</w:t>
        </w:r>
      </w:smartTag>
      <w:r w:rsidRPr="006431C4">
        <w:rPr>
          <w:rFonts w:cs="Arial"/>
          <w:color w:val="000000"/>
          <w:spacing w:val="1"/>
          <w:szCs w:val="20"/>
        </w:rPr>
        <w:t>,</w:t>
      </w:r>
      <w:r w:rsidRPr="006431C4">
        <w:rPr>
          <w:rFonts w:cs="Arial"/>
          <w:szCs w:val="20"/>
        </w:rPr>
        <w:t xml:space="preserve"> </w:t>
      </w:r>
    </w:p>
    <w:p w14:paraId="636F853D" w14:textId="77777777" w:rsidR="00CF11BE" w:rsidRPr="006431C4" w:rsidRDefault="00CF11BE" w:rsidP="00CF1E7D">
      <w:pPr>
        <w:numPr>
          <w:ilvl w:val="0"/>
          <w:numId w:val="139"/>
        </w:numPr>
        <w:tabs>
          <w:tab w:val="num" w:pos="360"/>
        </w:tabs>
        <w:overflowPunct w:val="0"/>
        <w:autoSpaceDE w:val="0"/>
        <w:autoSpaceDN w:val="0"/>
        <w:adjustRightInd w:val="0"/>
        <w:spacing w:line="240" w:lineRule="auto"/>
        <w:ind w:left="360" w:hanging="303"/>
        <w:jc w:val="both"/>
        <w:textAlignment w:val="baseline"/>
        <w:rPr>
          <w:rFonts w:cs="Arial"/>
          <w:szCs w:val="20"/>
          <w:lang w:val="en-US"/>
        </w:rPr>
      </w:pPr>
      <w:r w:rsidRPr="006431C4">
        <w:rPr>
          <w:rFonts w:cs="Arial"/>
          <w:szCs w:val="20"/>
          <w:lang w:val="en-US"/>
        </w:rPr>
        <w:t>PMB 45/80 – 55, PMB 45/80-65, PMB 45/80-80: 145</w:t>
      </w:r>
      <w:r w:rsidRPr="006431C4">
        <w:rPr>
          <w:rFonts w:cs="Arial"/>
          <w:color w:val="000000"/>
          <w:spacing w:val="1"/>
          <w:szCs w:val="20"/>
          <w:lang w:val="en-US"/>
        </w:rPr>
        <w:t>°</w:t>
      </w:r>
      <w:r w:rsidRPr="006431C4">
        <w:rPr>
          <w:rFonts w:cs="Arial"/>
          <w:szCs w:val="20"/>
          <w:lang w:val="en-US"/>
        </w:rPr>
        <w:t>C</w:t>
      </w:r>
      <w:r w:rsidRPr="006431C4">
        <w:rPr>
          <w:rFonts w:cs="Arial"/>
          <w:color w:val="000000"/>
          <w:spacing w:val="1"/>
          <w:szCs w:val="20"/>
          <w:lang w:val="en-US"/>
        </w:rPr>
        <w:t>±</w:t>
      </w:r>
      <w:smartTag w:uri="urn:schemas-microsoft-com:office:smarttags" w:element="metricconverter">
        <w:smartTagPr>
          <w:attr w:name="ProductID" w:val="5ﾰC"/>
        </w:smartTagPr>
        <w:r w:rsidRPr="006431C4">
          <w:rPr>
            <w:rFonts w:cs="Arial"/>
            <w:color w:val="000000"/>
            <w:spacing w:val="1"/>
            <w:szCs w:val="20"/>
            <w:lang w:val="en-US"/>
          </w:rPr>
          <w:t>5°C</w:t>
        </w:r>
      </w:smartTag>
      <w:r w:rsidRPr="006431C4">
        <w:rPr>
          <w:rFonts w:cs="Arial"/>
          <w:color w:val="000000"/>
          <w:spacing w:val="1"/>
          <w:szCs w:val="20"/>
          <w:lang w:val="en-US"/>
        </w:rPr>
        <w:t xml:space="preserve">. </w:t>
      </w:r>
    </w:p>
    <w:p w14:paraId="48575C7C" w14:textId="77777777" w:rsidR="00CF11BE" w:rsidRPr="006431C4" w:rsidRDefault="00CF11BE" w:rsidP="00CF11BE">
      <w:pPr>
        <w:shd w:val="clear" w:color="auto" w:fill="FFFFFF"/>
        <w:overflowPunct w:val="0"/>
        <w:autoSpaceDE w:val="0"/>
        <w:autoSpaceDN w:val="0"/>
        <w:adjustRightInd w:val="0"/>
        <w:spacing w:line="240" w:lineRule="auto"/>
        <w:ind w:right="2" w:firstLine="709"/>
        <w:jc w:val="both"/>
        <w:textAlignment w:val="baseline"/>
        <w:rPr>
          <w:rFonts w:cs="Arial"/>
          <w:color w:val="000000"/>
          <w:spacing w:val="2"/>
          <w:szCs w:val="20"/>
        </w:rPr>
      </w:pPr>
      <w:r w:rsidRPr="006431C4">
        <w:rPr>
          <w:rFonts w:cs="Arial"/>
          <w:color w:val="000000"/>
          <w:spacing w:val="1"/>
          <w:szCs w:val="20"/>
        </w:rPr>
        <w:t xml:space="preserve">Recepta powinna być zaprojektowana dla konkretnych materiałów, zaakceptowanych przez Inżyniera, do wbudowania i przy wykorzystaniu reprezentatywnych próbek tych materiałów.  </w:t>
      </w:r>
    </w:p>
    <w:p w14:paraId="5A83ED64" w14:textId="77777777" w:rsidR="00CF11BE" w:rsidRPr="006431C4" w:rsidRDefault="00CF11BE" w:rsidP="00CF11BE">
      <w:pPr>
        <w:shd w:val="clear" w:color="auto" w:fill="FFFFFF"/>
        <w:overflowPunct w:val="0"/>
        <w:autoSpaceDE w:val="0"/>
        <w:autoSpaceDN w:val="0"/>
        <w:adjustRightInd w:val="0"/>
        <w:spacing w:line="240" w:lineRule="auto"/>
        <w:ind w:right="2" w:firstLine="709"/>
        <w:jc w:val="both"/>
        <w:textAlignment w:val="baseline"/>
        <w:rPr>
          <w:rFonts w:cs="Arial"/>
          <w:color w:val="000000"/>
          <w:spacing w:val="2"/>
          <w:szCs w:val="20"/>
        </w:rPr>
      </w:pPr>
      <w:r w:rsidRPr="006431C4">
        <w:rPr>
          <w:rFonts w:cs="Arial"/>
          <w:color w:val="000000"/>
          <w:spacing w:val="2"/>
          <w:szCs w:val="20"/>
        </w:rPr>
        <w:t>Jeżeli mieszanka mineralno-asfaltowa jest dostarczana z kilku wytwórni lub od kilku producentów, to należy zapewnić zgodność typu i wymiaru mieszanki oraz spełnienie wymaganej dokumentacji projektowej.</w:t>
      </w:r>
    </w:p>
    <w:p w14:paraId="12370832" w14:textId="77777777" w:rsidR="00CF11BE" w:rsidRPr="006431C4" w:rsidRDefault="00CF11BE" w:rsidP="00CF11BE">
      <w:pPr>
        <w:shd w:val="clear" w:color="auto" w:fill="FFFFFF"/>
        <w:overflowPunct w:val="0"/>
        <w:autoSpaceDE w:val="0"/>
        <w:autoSpaceDN w:val="0"/>
        <w:adjustRightInd w:val="0"/>
        <w:spacing w:line="240" w:lineRule="auto"/>
        <w:ind w:right="2" w:firstLine="709"/>
        <w:jc w:val="both"/>
        <w:textAlignment w:val="baseline"/>
        <w:rPr>
          <w:rFonts w:cs="Arial"/>
          <w:color w:val="000000"/>
          <w:spacing w:val="1"/>
          <w:szCs w:val="20"/>
        </w:rPr>
      </w:pPr>
      <w:r w:rsidRPr="006431C4">
        <w:rPr>
          <w:rFonts w:cs="Arial"/>
          <w:color w:val="000000"/>
          <w:spacing w:val="2"/>
          <w:szCs w:val="20"/>
        </w:rPr>
        <w:t xml:space="preserve">Każda zmiana składników mieszanki w czasie trwania robót wymaga akceptacji Inżyniera </w:t>
      </w:r>
      <w:r w:rsidRPr="006431C4">
        <w:rPr>
          <w:rFonts w:cs="Arial"/>
          <w:color w:val="000000"/>
          <w:spacing w:val="1"/>
          <w:szCs w:val="20"/>
        </w:rPr>
        <w:t xml:space="preserve">oraz opracowania nowej recepty i jej zatwierdzenia.  </w:t>
      </w:r>
    </w:p>
    <w:p w14:paraId="64422B19"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597C3C1E"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0E1B232B"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Zaakceptowana recepta stanowi ważną podstawę produkcji.</w:t>
      </w:r>
    </w:p>
    <w:p w14:paraId="4220DB0C"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5.3. Wytwarzanie mieszanki mineralno-asfaltowej</w:t>
      </w:r>
    </w:p>
    <w:p w14:paraId="01803E9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6431C4">
        <w:rPr>
          <w:rFonts w:cs="Arial"/>
          <w:szCs w:val="20"/>
        </w:rPr>
        <w:noBreakHyphen/>
        <w:t xml:space="preserve">EN 13108-21 [53]. </w:t>
      </w:r>
    </w:p>
    <w:p w14:paraId="2FED070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3333AD4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6431C4">
          <w:rPr>
            <w:rFonts w:cs="Arial"/>
            <w:szCs w:val="20"/>
          </w:rPr>
          <w:t>5°C</w:t>
        </w:r>
      </w:smartTag>
      <w:r w:rsidRPr="006431C4">
        <w:rPr>
          <w:rFonts w:cs="Arial"/>
          <w:szCs w:val="20"/>
        </w:rPr>
        <w:t>. Temperatura lepiszcza asfaltowego w zbiorniku magazynowym (roboczym) nie może przekraczać wartości podanych w pkcie 2.2.</w:t>
      </w:r>
    </w:p>
    <w:p w14:paraId="608A5271" w14:textId="77777777" w:rsidR="00CF11BE" w:rsidRPr="006431C4" w:rsidRDefault="00CF11BE" w:rsidP="00CF11BE">
      <w:pPr>
        <w:overflowPunct w:val="0"/>
        <w:autoSpaceDE w:val="0"/>
        <w:autoSpaceDN w:val="0"/>
        <w:adjustRightInd w:val="0"/>
        <w:spacing w:line="240" w:lineRule="auto"/>
        <w:ind w:firstLine="708"/>
        <w:jc w:val="both"/>
        <w:textAlignment w:val="baseline"/>
        <w:rPr>
          <w:rFonts w:cs="Arial"/>
          <w:szCs w:val="20"/>
        </w:rPr>
      </w:pPr>
      <w:r w:rsidRPr="006431C4">
        <w:rPr>
          <w:rFonts w:cs="Arial"/>
          <w:szCs w:val="20"/>
        </w:rPr>
        <w:t>Kruszywo (ewentualnie z wypełniaczem) powinno być wysuszone i podgrzane tak, aby mieszanka mineralna uzyskała temperaturę właściwą do otoczenia lepiszczem asfaltowym. Temperatura mieszanki mineralnej nie powinna być wyższa o więcej niż 30</w:t>
      </w:r>
      <w:r w:rsidRPr="006431C4">
        <w:rPr>
          <w:rFonts w:cs="Arial"/>
          <w:szCs w:val="20"/>
          <w:vertAlign w:val="superscript"/>
        </w:rPr>
        <w:t>o</w:t>
      </w:r>
      <w:r w:rsidRPr="006431C4">
        <w:rPr>
          <w:rFonts w:cs="Arial"/>
          <w:szCs w:val="20"/>
        </w:rPr>
        <w:t>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14:paraId="3589A79C" w14:textId="77777777" w:rsidR="00CF11BE" w:rsidRPr="006431C4" w:rsidRDefault="00CF11BE" w:rsidP="00CF11BE">
      <w:pPr>
        <w:keepNext/>
        <w:overflowPunct w:val="0"/>
        <w:autoSpaceDE w:val="0"/>
        <w:autoSpaceDN w:val="0"/>
        <w:adjustRightInd w:val="0"/>
        <w:spacing w:line="240" w:lineRule="auto"/>
        <w:jc w:val="both"/>
        <w:textAlignment w:val="baseline"/>
        <w:rPr>
          <w:rFonts w:cs="Arial"/>
          <w:szCs w:val="20"/>
        </w:rPr>
      </w:pPr>
      <w:r w:rsidRPr="006431C4">
        <w:rPr>
          <w:rFonts w:cs="Arial"/>
          <w:szCs w:val="20"/>
        </w:rPr>
        <w:t>Tablica 21. Najwyższa i najniższa temperatura mieszanki 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CF11BE" w:rsidRPr="006431C4" w14:paraId="3754A540" w14:textId="77777777" w:rsidTr="007F1241">
        <w:tc>
          <w:tcPr>
            <w:tcW w:w="2640" w:type="dxa"/>
          </w:tcPr>
          <w:p w14:paraId="7CEFD2B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Lepiszcze asfaltowe</w:t>
            </w:r>
          </w:p>
        </w:tc>
        <w:tc>
          <w:tcPr>
            <w:tcW w:w="3071" w:type="dxa"/>
          </w:tcPr>
          <w:p w14:paraId="177324B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Temperatura mieszanki [°C]</w:t>
            </w:r>
          </w:p>
        </w:tc>
      </w:tr>
      <w:tr w:rsidR="00CF11BE" w:rsidRPr="006431C4" w14:paraId="60A4773D" w14:textId="77777777" w:rsidTr="007F1241">
        <w:tc>
          <w:tcPr>
            <w:tcW w:w="2640" w:type="dxa"/>
          </w:tcPr>
          <w:p w14:paraId="45544C2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Asfalt 50/70</w:t>
            </w:r>
          </w:p>
          <w:p w14:paraId="4DF9A3EB" w14:textId="77777777" w:rsidR="00CF11BE" w:rsidRPr="006431C4" w:rsidRDefault="00CF11BE" w:rsidP="00CF11BE">
            <w:pPr>
              <w:overflowPunct w:val="0"/>
              <w:autoSpaceDE w:val="0"/>
              <w:autoSpaceDN w:val="0"/>
              <w:adjustRightInd w:val="0"/>
              <w:spacing w:line="240" w:lineRule="auto"/>
              <w:ind w:firstLine="12"/>
              <w:jc w:val="center"/>
              <w:textAlignment w:val="baseline"/>
              <w:rPr>
                <w:rFonts w:cs="Arial"/>
                <w:szCs w:val="20"/>
                <w:lang w:val="en-US"/>
              </w:rPr>
            </w:pPr>
            <w:r w:rsidRPr="006431C4">
              <w:rPr>
                <w:rFonts w:cs="Arial"/>
                <w:szCs w:val="20"/>
                <w:lang w:val="en-US"/>
              </w:rPr>
              <w:t>Asfalt 70/100</w:t>
            </w:r>
          </w:p>
          <w:p w14:paraId="7D1259F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PMB 45/80-55</w:t>
            </w:r>
          </w:p>
          <w:p w14:paraId="441252A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PMB 45/80-65</w:t>
            </w:r>
          </w:p>
          <w:p w14:paraId="0DF9257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PMB 45/80-80</w:t>
            </w:r>
          </w:p>
          <w:p w14:paraId="2A1DF49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MG 50/70-54/64</w:t>
            </w:r>
          </w:p>
        </w:tc>
        <w:tc>
          <w:tcPr>
            <w:tcW w:w="3071" w:type="dxa"/>
          </w:tcPr>
          <w:p w14:paraId="5A3CC92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od 140 do 180</w:t>
            </w:r>
          </w:p>
          <w:p w14:paraId="68FCB80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od 140 do 180</w:t>
            </w:r>
          </w:p>
          <w:p w14:paraId="422CB17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wg wskazań producenta</w:t>
            </w:r>
          </w:p>
          <w:p w14:paraId="47A21D8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wg wskazań producenta</w:t>
            </w:r>
          </w:p>
          <w:p w14:paraId="31533CA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wg wskazań producenta</w:t>
            </w:r>
          </w:p>
          <w:p w14:paraId="6149A0A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wg wskazań producenta</w:t>
            </w:r>
          </w:p>
        </w:tc>
      </w:tr>
    </w:tbl>
    <w:p w14:paraId="207F39D3"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Podana temperatura nie znajduje zastosowania do mieszanek mineralno-asfaltowych, do których jest dodawany dodatek w celu obniżenia temperatury jej wytwarzania i wbudowania lub gdy stosowane lepiszcze asfaltowe zawiera taki środek.</w:t>
      </w:r>
    </w:p>
    <w:p w14:paraId="4BDA254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Sposób i czas mieszania składników mieszanki mineralno-asfaltowej powinny zapewnić równomierne otoczenie kruszywa lepiszczem asfaltowym.</w:t>
      </w:r>
    </w:p>
    <w:p w14:paraId="0AD3DAAD"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7C78CAD4"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410A18C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Produkcja powinna być tak zaplanowana, aby nie dopuścić do zbyt długiego przechowywania mieszanki w silosach; należy wykluczyć możliwość szkodliwych zmian. </w:t>
      </w:r>
    </w:p>
    <w:p w14:paraId="3B649A20"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Czas przechowywania – magazynowania mieszanki  MMA powinien uwzględniać możliwości wytwórni (sposób podgrzewania silosów gotowej mieszanki MMA i rodzaj izolacji), warunki atmosferyczne  oraz czas transportu na budowę. </w:t>
      </w:r>
    </w:p>
    <w:p w14:paraId="1D799AB0"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5.4. Przygotowanie podłoża</w:t>
      </w:r>
    </w:p>
    <w:p w14:paraId="5D301C5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Podłoże (warstwa wyrównawcza, warstwa wiążąca lub stara warstwa ścieralna) pod warstwę ścieralną z betonu asfaltowego powinno być na całej powierzchni:</w:t>
      </w:r>
    </w:p>
    <w:p w14:paraId="19BC1D9C" w14:textId="77777777" w:rsidR="00CF11BE" w:rsidRPr="006431C4" w:rsidRDefault="00CF11BE" w:rsidP="00CF1E7D">
      <w:pPr>
        <w:numPr>
          <w:ilvl w:val="0"/>
          <w:numId w:val="135"/>
        </w:numPr>
        <w:overflowPunct w:val="0"/>
        <w:autoSpaceDE w:val="0"/>
        <w:autoSpaceDN w:val="0"/>
        <w:adjustRightInd w:val="0"/>
        <w:spacing w:line="240" w:lineRule="auto"/>
        <w:jc w:val="both"/>
        <w:textAlignment w:val="baseline"/>
        <w:rPr>
          <w:rFonts w:cs="Arial"/>
          <w:szCs w:val="20"/>
        </w:rPr>
      </w:pPr>
      <w:r w:rsidRPr="006431C4">
        <w:rPr>
          <w:rFonts w:cs="Arial"/>
          <w:szCs w:val="20"/>
        </w:rPr>
        <w:t>ustabilizowane i nośne,</w:t>
      </w:r>
    </w:p>
    <w:p w14:paraId="60C8A1A4" w14:textId="77777777" w:rsidR="00CF11BE" w:rsidRPr="006431C4" w:rsidRDefault="00CF11BE" w:rsidP="00CF1E7D">
      <w:pPr>
        <w:numPr>
          <w:ilvl w:val="0"/>
          <w:numId w:val="135"/>
        </w:numPr>
        <w:overflowPunct w:val="0"/>
        <w:autoSpaceDE w:val="0"/>
        <w:autoSpaceDN w:val="0"/>
        <w:adjustRightInd w:val="0"/>
        <w:spacing w:line="240" w:lineRule="auto"/>
        <w:jc w:val="both"/>
        <w:textAlignment w:val="baseline"/>
        <w:rPr>
          <w:rFonts w:cs="Arial"/>
          <w:szCs w:val="20"/>
        </w:rPr>
      </w:pPr>
      <w:r w:rsidRPr="006431C4">
        <w:rPr>
          <w:rFonts w:cs="Arial"/>
          <w:szCs w:val="20"/>
        </w:rPr>
        <w:t>czyste, bez zanieczyszczenia lub pozostałości luźnego kruszywa,</w:t>
      </w:r>
    </w:p>
    <w:p w14:paraId="0BEE04B8" w14:textId="77777777" w:rsidR="00CF11BE" w:rsidRPr="006431C4" w:rsidRDefault="00CF11BE" w:rsidP="00CF1E7D">
      <w:pPr>
        <w:numPr>
          <w:ilvl w:val="0"/>
          <w:numId w:val="135"/>
        </w:numPr>
        <w:overflowPunct w:val="0"/>
        <w:autoSpaceDE w:val="0"/>
        <w:autoSpaceDN w:val="0"/>
        <w:adjustRightInd w:val="0"/>
        <w:spacing w:line="240" w:lineRule="auto"/>
        <w:jc w:val="both"/>
        <w:textAlignment w:val="baseline"/>
        <w:rPr>
          <w:rFonts w:cs="Arial"/>
          <w:szCs w:val="20"/>
        </w:rPr>
      </w:pPr>
      <w:r w:rsidRPr="006431C4">
        <w:rPr>
          <w:rFonts w:cs="Arial"/>
          <w:szCs w:val="20"/>
        </w:rPr>
        <w:t>wyprofilowane, równe i bez kolein,</w:t>
      </w:r>
    </w:p>
    <w:p w14:paraId="4537CF26" w14:textId="77777777" w:rsidR="00CF11BE" w:rsidRPr="006431C4" w:rsidRDefault="00CF11BE" w:rsidP="00CF1E7D">
      <w:pPr>
        <w:numPr>
          <w:ilvl w:val="0"/>
          <w:numId w:val="135"/>
        </w:numPr>
        <w:overflowPunct w:val="0"/>
        <w:autoSpaceDE w:val="0"/>
        <w:autoSpaceDN w:val="0"/>
        <w:adjustRightInd w:val="0"/>
        <w:spacing w:line="240" w:lineRule="auto"/>
        <w:jc w:val="both"/>
        <w:textAlignment w:val="baseline"/>
        <w:rPr>
          <w:rFonts w:cs="Arial"/>
          <w:szCs w:val="20"/>
        </w:rPr>
      </w:pPr>
      <w:r w:rsidRPr="006431C4">
        <w:rPr>
          <w:rFonts w:cs="Arial"/>
          <w:szCs w:val="20"/>
        </w:rPr>
        <w:t>suche.</w:t>
      </w:r>
    </w:p>
    <w:p w14:paraId="0912C98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Rzędne wysokościowe podłoża oraz urządzeń usytuowanych w nawierzchni lub ją ograniczających powinny być zgodne z dokumentacją projektową. Z podłoża powinien być zapewniony odpływ wody.</w:t>
      </w:r>
    </w:p>
    <w:p w14:paraId="30C95ED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Oznakowanie poziome na warstwie podłoża należy usunąć.</w:t>
      </w:r>
    </w:p>
    <w:p w14:paraId="3849079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14:paraId="64B44A39" w14:textId="77777777" w:rsidR="00CF11BE" w:rsidRPr="006431C4" w:rsidRDefault="00CF11BE" w:rsidP="00CF11BE">
      <w:pPr>
        <w:spacing w:line="240" w:lineRule="auto"/>
        <w:rPr>
          <w:rFonts w:cs="Arial"/>
          <w:szCs w:val="20"/>
        </w:rPr>
      </w:pPr>
    </w:p>
    <w:p w14:paraId="739052E8" w14:textId="77777777" w:rsidR="00CF11BE" w:rsidRPr="006431C4" w:rsidRDefault="00CF11BE" w:rsidP="00CF11BE">
      <w:pPr>
        <w:spacing w:line="240" w:lineRule="auto"/>
        <w:rPr>
          <w:rFonts w:cs="Arial"/>
          <w:szCs w:val="20"/>
          <w:highlight w:val="yellow"/>
        </w:rPr>
      </w:pPr>
    </w:p>
    <w:p w14:paraId="02C98532" w14:textId="77777777" w:rsidR="00CF11BE" w:rsidRPr="006431C4" w:rsidRDefault="00CF11BE" w:rsidP="00CF11BE">
      <w:pPr>
        <w:spacing w:line="240" w:lineRule="auto"/>
        <w:rPr>
          <w:rFonts w:cs="Arial"/>
          <w:szCs w:val="20"/>
        </w:rPr>
      </w:pPr>
      <w:r w:rsidRPr="006431C4">
        <w:rPr>
          <w:rFonts w:cs="Arial"/>
          <w:szCs w:val="20"/>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5699"/>
        <w:gridCol w:w="2976"/>
      </w:tblGrid>
      <w:tr w:rsidR="00CF11BE" w:rsidRPr="006431C4" w14:paraId="7D8BA0B3" w14:textId="77777777" w:rsidTr="00CF11BE">
        <w:tc>
          <w:tcPr>
            <w:tcW w:w="2093" w:type="dxa"/>
            <w:vAlign w:val="center"/>
          </w:tcPr>
          <w:p w14:paraId="08078CD5" w14:textId="77777777" w:rsidR="00CF11BE" w:rsidRPr="006431C4" w:rsidRDefault="00CF11BE" w:rsidP="00CF11BE">
            <w:pPr>
              <w:spacing w:line="240" w:lineRule="auto"/>
              <w:jc w:val="center"/>
              <w:rPr>
                <w:rFonts w:cs="Arial"/>
                <w:szCs w:val="20"/>
              </w:rPr>
            </w:pPr>
            <w:r w:rsidRPr="006431C4">
              <w:rPr>
                <w:rFonts w:cs="Arial"/>
                <w:szCs w:val="20"/>
              </w:rPr>
              <w:t>Klasa drogi</w:t>
            </w:r>
          </w:p>
        </w:tc>
        <w:tc>
          <w:tcPr>
            <w:tcW w:w="5699" w:type="dxa"/>
            <w:vAlign w:val="center"/>
          </w:tcPr>
          <w:p w14:paraId="24B28DAA" w14:textId="77777777" w:rsidR="00CF11BE" w:rsidRPr="006431C4" w:rsidRDefault="00CF11BE" w:rsidP="00CF11BE">
            <w:pPr>
              <w:spacing w:line="240" w:lineRule="auto"/>
              <w:jc w:val="center"/>
              <w:rPr>
                <w:rFonts w:cs="Arial"/>
                <w:szCs w:val="20"/>
              </w:rPr>
            </w:pPr>
            <w:r w:rsidRPr="006431C4">
              <w:rPr>
                <w:rFonts w:cs="Arial"/>
                <w:szCs w:val="20"/>
              </w:rPr>
              <w:t>Element nawierzchni</w:t>
            </w:r>
          </w:p>
        </w:tc>
        <w:tc>
          <w:tcPr>
            <w:tcW w:w="2976" w:type="dxa"/>
            <w:vAlign w:val="center"/>
          </w:tcPr>
          <w:p w14:paraId="70F18BC3" w14:textId="77777777" w:rsidR="00CF11BE" w:rsidRPr="006431C4" w:rsidRDefault="00CF11BE" w:rsidP="00CF11BE">
            <w:pPr>
              <w:spacing w:line="240" w:lineRule="auto"/>
              <w:jc w:val="center"/>
              <w:rPr>
                <w:rFonts w:cs="Arial"/>
                <w:szCs w:val="20"/>
              </w:rPr>
            </w:pPr>
            <w:r w:rsidRPr="006431C4">
              <w:rPr>
                <w:rFonts w:cs="Arial"/>
                <w:szCs w:val="20"/>
              </w:rPr>
              <w:t>Dopuszczalne wartości odchyleń równości podłużnej i poprzecznej pod warstwę ścieralną [mm]</w:t>
            </w:r>
          </w:p>
        </w:tc>
      </w:tr>
      <w:tr w:rsidR="00CF11BE" w:rsidRPr="006431C4" w14:paraId="03B03C45" w14:textId="77777777" w:rsidTr="00CF11BE">
        <w:tc>
          <w:tcPr>
            <w:tcW w:w="2093" w:type="dxa"/>
            <w:vMerge w:val="restart"/>
          </w:tcPr>
          <w:p w14:paraId="70A0E7FD" w14:textId="77777777" w:rsidR="00CF11BE" w:rsidRPr="006431C4" w:rsidRDefault="00CF11BE" w:rsidP="00CF11BE">
            <w:pPr>
              <w:spacing w:line="240" w:lineRule="auto"/>
              <w:rPr>
                <w:rFonts w:cs="Arial"/>
                <w:szCs w:val="20"/>
              </w:rPr>
            </w:pPr>
            <w:r w:rsidRPr="006431C4">
              <w:rPr>
                <w:rFonts w:cs="Arial"/>
                <w:szCs w:val="20"/>
              </w:rPr>
              <w:lastRenderedPageBreak/>
              <w:t>A, S, GP</w:t>
            </w:r>
          </w:p>
        </w:tc>
        <w:tc>
          <w:tcPr>
            <w:tcW w:w="5699" w:type="dxa"/>
          </w:tcPr>
          <w:p w14:paraId="67F0C394" w14:textId="77777777" w:rsidR="00CF11BE" w:rsidRPr="006431C4" w:rsidRDefault="00CF11BE" w:rsidP="00CF11BE">
            <w:pPr>
              <w:spacing w:line="240" w:lineRule="auto"/>
              <w:rPr>
                <w:rFonts w:cs="Arial"/>
                <w:szCs w:val="20"/>
              </w:rPr>
            </w:pPr>
            <w:r w:rsidRPr="006431C4">
              <w:rPr>
                <w:rFonts w:cs="Arial"/>
                <w:szCs w:val="20"/>
              </w:rPr>
              <w:t xml:space="preserve">Pasy ruchu zasadnicze, awaryjne, dodatkowe, </w:t>
            </w:r>
          </w:p>
          <w:p w14:paraId="1A8BE98C" w14:textId="77777777" w:rsidR="00CF11BE" w:rsidRPr="006431C4" w:rsidRDefault="00CF11BE" w:rsidP="00CF11BE">
            <w:pPr>
              <w:spacing w:line="240" w:lineRule="auto"/>
              <w:rPr>
                <w:rFonts w:cs="Arial"/>
                <w:szCs w:val="20"/>
              </w:rPr>
            </w:pPr>
            <w:r w:rsidRPr="006431C4">
              <w:rPr>
                <w:rFonts w:cs="Arial"/>
                <w:szCs w:val="20"/>
              </w:rPr>
              <w:t xml:space="preserve">włączenia i wyłączenia, jezdnie łącznic, </w:t>
            </w:r>
          </w:p>
          <w:p w14:paraId="048B5F1A" w14:textId="77777777" w:rsidR="00CF11BE" w:rsidRPr="006431C4" w:rsidRDefault="00CF11BE" w:rsidP="00CF11BE">
            <w:pPr>
              <w:spacing w:line="240" w:lineRule="auto"/>
              <w:rPr>
                <w:rFonts w:cs="Arial"/>
                <w:szCs w:val="20"/>
              </w:rPr>
            </w:pPr>
            <w:r w:rsidRPr="006431C4">
              <w:rPr>
                <w:rFonts w:cs="Arial"/>
                <w:szCs w:val="20"/>
              </w:rPr>
              <w:t xml:space="preserve">utwardzone pobocza </w:t>
            </w:r>
          </w:p>
        </w:tc>
        <w:tc>
          <w:tcPr>
            <w:tcW w:w="2976" w:type="dxa"/>
          </w:tcPr>
          <w:p w14:paraId="71CC279B" w14:textId="77777777" w:rsidR="00CF11BE" w:rsidRPr="006431C4" w:rsidRDefault="00CF11BE" w:rsidP="00CF11BE">
            <w:pPr>
              <w:spacing w:line="240" w:lineRule="auto"/>
              <w:rPr>
                <w:rFonts w:cs="Arial"/>
                <w:szCs w:val="20"/>
              </w:rPr>
            </w:pPr>
          </w:p>
          <w:p w14:paraId="40186A3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r>
      <w:tr w:rsidR="00CF11BE" w:rsidRPr="006431C4" w14:paraId="3EF44920" w14:textId="77777777" w:rsidTr="00CF11BE">
        <w:tc>
          <w:tcPr>
            <w:tcW w:w="2093" w:type="dxa"/>
            <w:vMerge/>
          </w:tcPr>
          <w:p w14:paraId="1B04C696" w14:textId="77777777" w:rsidR="00CF11BE" w:rsidRPr="006431C4" w:rsidRDefault="00CF11BE" w:rsidP="00CF11BE">
            <w:pPr>
              <w:spacing w:line="240" w:lineRule="auto"/>
              <w:rPr>
                <w:rFonts w:cs="Arial"/>
                <w:szCs w:val="20"/>
              </w:rPr>
            </w:pPr>
          </w:p>
        </w:tc>
        <w:tc>
          <w:tcPr>
            <w:tcW w:w="5699" w:type="dxa"/>
          </w:tcPr>
          <w:p w14:paraId="21431FB7" w14:textId="77777777" w:rsidR="00CF11BE" w:rsidRPr="006431C4" w:rsidRDefault="00CF11BE" w:rsidP="00CF11BE">
            <w:pPr>
              <w:spacing w:line="240" w:lineRule="auto"/>
              <w:rPr>
                <w:rFonts w:cs="Arial"/>
                <w:szCs w:val="20"/>
              </w:rPr>
            </w:pPr>
            <w:r w:rsidRPr="006431C4">
              <w:rPr>
                <w:rFonts w:cs="Arial"/>
                <w:szCs w:val="20"/>
              </w:rPr>
              <w:t>Jezdnie MOP</w:t>
            </w:r>
          </w:p>
        </w:tc>
        <w:tc>
          <w:tcPr>
            <w:tcW w:w="2976" w:type="dxa"/>
          </w:tcPr>
          <w:p w14:paraId="2724844D" w14:textId="77777777" w:rsidR="00CF11BE" w:rsidRPr="006431C4" w:rsidRDefault="00CF11BE" w:rsidP="00CF11BE">
            <w:pPr>
              <w:spacing w:line="240" w:lineRule="auto"/>
              <w:jc w:val="center"/>
              <w:rPr>
                <w:rFonts w:cs="Arial"/>
                <w:szCs w:val="20"/>
              </w:rPr>
            </w:pPr>
            <w:r w:rsidRPr="006431C4">
              <w:rPr>
                <w:rFonts w:cs="Arial"/>
                <w:szCs w:val="20"/>
              </w:rPr>
              <w:t>9</w:t>
            </w:r>
          </w:p>
        </w:tc>
      </w:tr>
      <w:tr w:rsidR="00CF11BE" w:rsidRPr="006431C4" w14:paraId="3FFD8DDD" w14:textId="77777777" w:rsidTr="00CF11BE">
        <w:tc>
          <w:tcPr>
            <w:tcW w:w="2093" w:type="dxa"/>
          </w:tcPr>
          <w:p w14:paraId="3CA63195" w14:textId="77777777" w:rsidR="00CF11BE" w:rsidRPr="006431C4" w:rsidRDefault="00CF11BE" w:rsidP="00CF11BE">
            <w:pPr>
              <w:spacing w:line="240" w:lineRule="auto"/>
              <w:rPr>
                <w:rFonts w:cs="Arial"/>
                <w:szCs w:val="20"/>
              </w:rPr>
            </w:pPr>
            <w:r w:rsidRPr="006431C4">
              <w:rPr>
                <w:rFonts w:cs="Arial"/>
                <w:szCs w:val="20"/>
              </w:rPr>
              <w:t>G, Z</w:t>
            </w:r>
          </w:p>
        </w:tc>
        <w:tc>
          <w:tcPr>
            <w:tcW w:w="5699" w:type="dxa"/>
          </w:tcPr>
          <w:p w14:paraId="4EC8FC9E" w14:textId="77777777" w:rsidR="00CF11BE" w:rsidRPr="006431C4" w:rsidRDefault="00CF11BE" w:rsidP="00CF11BE">
            <w:pPr>
              <w:spacing w:line="240" w:lineRule="auto"/>
              <w:rPr>
                <w:rFonts w:cs="Arial"/>
                <w:szCs w:val="20"/>
              </w:rPr>
            </w:pPr>
            <w:r w:rsidRPr="006431C4">
              <w:rPr>
                <w:rFonts w:cs="Arial"/>
                <w:szCs w:val="20"/>
              </w:rPr>
              <w:t xml:space="preserve">Pasy ruchu zasadnicze, </w:t>
            </w:r>
          </w:p>
          <w:p w14:paraId="0F900AEC" w14:textId="77777777" w:rsidR="00CF11BE" w:rsidRPr="006431C4" w:rsidRDefault="00CF11BE" w:rsidP="00CF11BE">
            <w:pPr>
              <w:spacing w:line="240" w:lineRule="auto"/>
              <w:rPr>
                <w:rFonts w:cs="Arial"/>
                <w:szCs w:val="20"/>
              </w:rPr>
            </w:pPr>
            <w:r w:rsidRPr="006431C4">
              <w:rPr>
                <w:rFonts w:cs="Arial"/>
                <w:szCs w:val="20"/>
              </w:rPr>
              <w:t xml:space="preserve">dodatkowe, włączenia </w:t>
            </w:r>
          </w:p>
          <w:p w14:paraId="23FFCB30" w14:textId="77777777" w:rsidR="00CF11BE" w:rsidRPr="006431C4" w:rsidRDefault="00CF11BE" w:rsidP="00CF11BE">
            <w:pPr>
              <w:spacing w:line="240" w:lineRule="auto"/>
              <w:rPr>
                <w:rFonts w:cs="Arial"/>
                <w:szCs w:val="20"/>
              </w:rPr>
            </w:pPr>
            <w:r w:rsidRPr="006431C4">
              <w:rPr>
                <w:rFonts w:cs="Arial"/>
                <w:szCs w:val="20"/>
              </w:rPr>
              <w:t xml:space="preserve">i wyłączenia, postojowe, </w:t>
            </w:r>
          </w:p>
          <w:p w14:paraId="2722C6E8" w14:textId="77777777" w:rsidR="00CF11BE" w:rsidRPr="006431C4" w:rsidRDefault="00CF11BE" w:rsidP="00CF11BE">
            <w:pPr>
              <w:spacing w:line="240" w:lineRule="auto"/>
              <w:rPr>
                <w:rFonts w:cs="Arial"/>
                <w:szCs w:val="20"/>
              </w:rPr>
            </w:pPr>
            <w:r w:rsidRPr="006431C4">
              <w:rPr>
                <w:rFonts w:cs="Arial"/>
                <w:szCs w:val="20"/>
              </w:rPr>
              <w:t xml:space="preserve">utwardzone pobocza </w:t>
            </w:r>
          </w:p>
          <w:p w14:paraId="7C357D48" w14:textId="77777777" w:rsidR="00CF11BE" w:rsidRPr="006431C4" w:rsidRDefault="00CF11BE" w:rsidP="00CF11BE">
            <w:pPr>
              <w:spacing w:line="240" w:lineRule="auto"/>
              <w:rPr>
                <w:rFonts w:cs="Arial"/>
                <w:szCs w:val="20"/>
              </w:rPr>
            </w:pPr>
          </w:p>
        </w:tc>
        <w:tc>
          <w:tcPr>
            <w:tcW w:w="2976" w:type="dxa"/>
          </w:tcPr>
          <w:p w14:paraId="2B142C8B" w14:textId="77777777" w:rsidR="00CF11BE" w:rsidRPr="006431C4" w:rsidRDefault="00CF11BE" w:rsidP="00CF11BE">
            <w:pPr>
              <w:spacing w:line="240" w:lineRule="auto"/>
              <w:jc w:val="center"/>
              <w:rPr>
                <w:rFonts w:cs="Arial"/>
                <w:szCs w:val="20"/>
              </w:rPr>
            </w:pPr>
            <w:r w:rsidRPr="006431C4">
              <w:rPr>
                <w:rFonts w:cs="Arial"/>
                <w:szCs w:val="20"/>
              </w:rPr>
              <w:t>9</w:t>
            </w:r>
          </w:p>
        </w:tc>
      </w:tr>
      <w:tr w:rsidR="00CF11BE" w:rsidRPr="006431C4" w14:paraId="7B56537A" w14:textId="77777777" w:rsidTr="00CF11BE">
        <w:tc>
          <w:tcPr>
            <w:tcW w:w="2093" w:type="dxa"/>
          </w:tcPr>
          <w:p w14:paraId="7D38280E" w14:textId="77777777" w:rsidR="00CF11BE" w:rsidRPr="006431C4" w:rsidRDefault="00CF11BE" w:rsidP="00CF11BE">
            <w:pPr>
              <w:spacing w:line="240" w:lineRule="auto"/>
              <w:rPr>
                <w:rFonts w:cs="Arial"/>
                <w:szCs w:val="20"/>
              </w:rPr>
            </w:pPr>
            <w:r w:rsidRPr="006431C4">
              <w:rPr>
                <w:rFonts w:cs="Arial"/>
                <w:szCs w:val="20"/>
              </w:rPr>
              <w:t>L, D, place, parkingi</w:t>
            </w:r>
          </w:p>
        </w:tc>
        <w:tc>
          <w:tcPr>
            <w:tcW w:w="5699" w:type="dxa"/>
          </w:tcPr>
          <w:p w14:paraId="6E6599F1" w14:textId="77777777" w:rsidR="00CF11BE" w:rsidRPr="006431C4" w:rsidRDefault="00CF11BE" w:rsidP="00CF11BE">
            <w:pPr>
              <w:spacing w:line="240" w:lineRule="auto"/>
              <w:rPr>
                <w:rFonts w:cs="Arial"/>
                <w:szCs w:val="20"/>
              </w:rPr>
            </w:pPr>
            <w:r w:rsidRPr="006431C4">
              <w:rPr>
                <w:rFonts w:cs="Arial"/>
                <w:szCs w:val="20"/>
              </w:rPr>
              <w:t xml:space="preserve">Wszystkie pasy ruchu </w:t>
            </w:r>
          </w:p>
          <w:p w14:paraId="4ACFB24E" w14:textId="77777777" w:rsidR="00CF11BE" w:rsidRPr="006431C4" w:rsidRDefault="00CF11BE" w:rsidP="00CF11BE">
            <w:pPr>
              <w:spacing w:line="240" w:lineRule="auto"/>
              <w:rPr>
                <w:rFonts w:cs="Arial"/>
                <w:szCs w:val="20"/>
              </w:rPr>
            </w:pPr>
            <w:r w:rsidRPr="006431C4">
              <w:rPr>
                <w:rFonts w:cs="Arial"/>
                <w:szCs w:val="20"/>
              </w:rPr>
              <w:t xml:space="preserve">i powierzchnie </w:t>
            </w:r>
          </w:p>
          <w:p w14:paraId="1CF828A3" w14:textId="77777777" w:rsidR="00CF11BE" w:rsidRPr="006431C4" w:rsidRDefault="00CF11BE" w:rsidP="00CF11BE">
            <w:pPr>
              <w:spacing w:line="240" w:lineRule="auto"/>
              <w:rPr>
                <w:rFonts w:cs="Arial"/>
                <w:szCs w:val="20"/>
              </w:rPr>
            </w:pPr>
            <w:r w:rsidRPr="006431C4">
              <w:rPr>
                <w:rFonts w:cs="Arial"/>
                <w:szCs w:val="20"/>
              </w:rPr>
              <w:t xml:space="preserve">przeznaczone do ruchu </w:t>
            </w:r>
          </w:p>
          <w:p w14:paraId="773BC7EF" w14:textId="77777777" w:rsidR="00CF11BE" w:rsidRPr="006431C4" w:rsidRDefault="00CF11BE" w:rsidP="00CF11BE">
            <w:pPr>
              <w:spacing w:line="240" w:lineRule="auto"/>
              <w:rPr>
                <w:rFonts w:cs="Arial"/>
                <w:szCs w:val="20"/>
              </w:rPr>
            </w:pPr>
            <w:r w:rsidRPr="006431C4">
              <w:rPr>
                <w:rFonts w:cs="Arial"/>
                <w:szCs w:val="20"/>
              </w:rPr>
              <w:t xml:space="preserve">i postoju pojazdów </w:t>
            </w:r>
          </w:p>
          <w:p w14:paraId="4B720A0B" w14:textId="77777777" w:rsidR="00CF11BE" w:rsidRPr="006431C4" w:rsidRDefault="00CF11BE" w:rsidP="00CF11BE">
            <w:pPr>
              <w:spacing w:line="240" w:lineRule="auto"/>
              <w:rPr>
                <w:rFonts w:cs="Arial"/>
                <w:szCs w:val="20"/>
              </w:rPr>
            </w:pPr>
          </w:p>
        </w:tc>
        <w:tc>
          <w:tcPr>
            <w:tcW w:w="2976" w:type="dxa"/>
          </w:tcPr>
          <w:p w14:paraId="70F82953" w14:textId="77777777" w:rsidR="00CF11BE" w:rsidRPr="006431C4" w:rsidRDefault="00CF11BE" w:rsidP="00CF11BE">
            <w:pPr>
              <w:spacing w:line="240" w:lineRule="auto"/>
              <w:jc w:val="center"/>
              <w:rPr>
                <w:rFonts w:cs="Arial"/>
                <w:szCs w:val="20"/>
              </w:rPr>
            </w:pPr>
            <w:r w:rsidRPr="006431C4">
              <w:rPr>
                <w:rFonts w:cs="Arial"/>
                <w:szCs w:val="20"/>
              </w:rPr>
              <w:t>12</w:t>
            </w:r>
          </w:p>
        </w:tc>
      </w:tr>
    </w:tbl>
    <w:p w14:paraId="39CD791D" w14:textId="77777777" w:rsidR="00CF11BE" w:rsidRPr="006431C4" w:rsidRDefault="00CF11BE" w:rsidP="00CF11BE">
      <w:pPr>
        <w:spacing w:line="240" w:lineRule="auto"/>
        <w:rPr>
          <w:rFonts w:cs="Arial"/>
          <w:szCs w:val="20"/>
        </w:rPr>
      </w:pPr>
    </w:p>
    <w:p w14:paraId="1AAC28E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59A8DCF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 celu polepszenia połączenia między warstwami technologicznymi nawierzchni powierzchnia podłoża powinna być w ocenie wizualnej chropowata.</w:t>
      </w:r>
    </w:p>
    <w:p w14:paraId="3E319D1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Szerokie szczeliny w podłożu należy wypełnić odpowiednim materiałem, np. zalewami drogowymi według PN-EN 14188-1 [65] lub PN-EN 14188-2 [66] albo innymi materiałami według norm lub aprobat technicznych.</w:t>
      </w:r>
    </w:p>
    <w:p w14:paraId="1063448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4B48E774"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Przygotowanie podłoża do skropienia emulsją należy wykonać zgodnie z SST D-04.03.01a [2].</w:t>
      </w:r>
    </w:p>
    <w:p w14:paraId="46E42302"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5.5. Próba technologiczna</w:t>
      </w:r>
    </w:p>
    <w:p w14:paraId="391FE3B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176F8AB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Nie dopuszcza się oceniania dokładności pracy otaczarki oraz prawidłowości składu mieszanki mineralnej na podstawie tzw. suchego zarobu, z uwagi na możliwą segregację kruszywa.</w:t>
      </w:r>
    </w:p>
    <w:p w14:paraId="2D2A7BC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próby technologicznej Wykonawca użyje takich materiałów, jakie będą stosowane do wykonania właściwej mieszanki mineralno-asfaltowej. </w:t>
      </w:r>
    </w:p>
    <w:p w14:paraId="51DA880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47A28556"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40E1FE9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Mieszankę wyprodukowaną po ustabilizowaniu się pracy otaczarki należy zgromadzić w silosie lub załadować na samochód. Próbki do badań należy pobierać ze skrzyni samochodu zgodnie z metodą określoną w PN-EN 12697-27 [43].</w:t>
      </w:r>
    </w:p>
    <w:p w14:paraId="38F0081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Na podstawie uzyskanych wyników Inżynier podejmuje decyzję o wykonaniu odcinka próbnego.</w:t>
      </w:r>
    </w:p>
    <w:p w14:paraId="6B727CFE"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5.6. Odcinek próbny</w:t>
      </w:r>
    </w:p>
    <w:p w14:paraId="2232100A"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[43]. </w:t>
      </w:r>
    </w:p>
    <w:p w14:paraId="759E1B88"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przypadku braku innych uzgodnień z Inżynierem, Wykonawca powinien wykonać odcinek próbny co najmniej na trzy dni przed rozpoczęciem robót, w celu:</w:t>
      </w:r>
    </w:p>
    <w:p w14:paraId="4D9330AF" w14:textId="77777777" w:rsidR="00CF11BE" w:rsidRPr="006431C4" w:rsidRDefault="00CF11BE" w:rsidP="00CF1E7D">
      <w:pPr>
        <w:numPr>
          <w:ilvl w:val="0"/>
          <w:numId w:val="141"/>
        </w:numPr>
        <w:overflowPunct w:val="0"/>
        <w:autoSpaceDE w:val="0"/>
        <w:autoSpaceDN w:val="0"/>
        <w:adjustRightInd w:val="0"/>
        <w:spacing w:line="240" w:lineRule="auto"/>
        <w:contextualSpacing/>
        <w:jc w:val="both"/>
        <w:textAlignment w:val="baseline"/>
        <w:rPr>
          <w:rFonts w:cs="Arial"/>
          <w:szCs w:val="20"/>
        </w:rPr>
      </w:pPr>
      <w:r w:rsidRPr="006431C4">
        <w:rPr>
          <w:rFonts w:cs="Arial"/>
          <w:szCs w:val="20"/>
        </w:rPr>
        <w:t>sprawdzenia czy użyty sprzęt jest właściwy,</w:t>
      </w:r>
    </w:p>
    <w:p w14:paraId="22BF8237" w14:textId="77777777" w:rsidR="00CF11BE" w:rsidRPr="006431C4" w:rsidRDefault="00CF11BE" w:rsidP="00CF1E7D">
      <w:pPr>
        <w:numPr>
          <w:ilvl w:val="0"/>
          <w:numId w:val="141"/>
        </w:numPr>
        <w:overflowPunct w:val="0"/>
        <w:autoSpaceDE w:val="0"/>
        <w:autoSpaceDN w:val="0"/>
        <w:adjustRightInd w:val="0"/>
        <w:spacing w:line="240" w:lineRule="auto"/>
        <w:contextualSpacing/>
        <w:jc w:val="both"/>
        <w:textAlignment w:val="baseline"/>
        <w:rPr>
          <w:rFonts w:cs="Arial"/>
          <w:szCs w:val="20"/>
        </w:rPr>
      </w:pPr>
      <w:r w:rsidRPr="006431C4">
        <w:rPr>
          <w:rFonts w:cs="Arial"/>
          <w:szCs w:val="20"/>
        </w:rPr>
        <w:t>określenia grubości warstwy mieszanki mineralno-asfaltowej przed zagęszczeniem, koniecznej do uzyskania wymaganej w kontrakcie grubości warstwy,</w:t>
      </w:r>
    </w:p>
    <w:p w14:paraId="27F34D40" w14:textId="77777777" w:rsidR="00CF11BE" w:rsidRPr="006431C4" w:rsidRDefault="00CF11BE" w:rsidP="00CF1E7D">
      <w:pPr>
        <w:numPr>
          <w:ilvl w:val="0"/>
          <w:numId w:val="141"/>
        </w:numPr>
        <w:overflowPunct w:val="0"/>
        <w:autoSpaceDE w:val="0"/>
        <w:autoSpaceDN w:val="0"/>
        <w:adjustRightInd w:val="0"/>
        <w:spacing w:line="240" w:lineRule="auto"/>
        <w:contextualSpacing/>
        <w:jc w:val="both"/>
        <w:textAlignment w:val="baseline"/>
        <w:rPr>
          <w:rFonts w:cs="Arial"/>
          <w:szCs w:val="20"/>
        </w:rPr>
      </w:pPr>
      <w:r w:rsidRPr="006431C4">
        <w:rPr>
          <w:rFonts w:cs="Arial"/>
          <w:szCs w:val="20"/>
        </w:rPr>
        <w:t>określenia potrzebnej liczby przejść walców dla uzyskania prawidłowego zagęszczenia warstwy.</w:t>
      </w:r>
    </w:p>
    <w:p w14:paraId="3BE75EDA"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takiej próby Wykonawca powinien użyć takich materiałów oraz sprzętu, jaki stosowany będzie do wykonania warstwy nawierzchni. </w:t>
      </w:r>
    </w:p>
    <w:p w14:paraId="362E996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6431C4">
          <w:rPr>
            <w:rFonts w:cs="Arial"/>
            <w:szCs w:val="20"/>
          </w:rPr>
          <w:t>500 m</w:t>
        </w:r>
        <w:r w:rsidRPr="006431C4">
          <w:rPr>
            <w:rFonts w:cs="Arial"/>
            <w:szCs w:val="20"/>
            <w:vertAlign w:val="superscript"/>
          </w:rPr>
          <w:t>2</w:t>
        </w:r>
      </w:smartTag>
      <w:r w:rsidRPr="006431C4">
        <w:rPr>
          <w:rFonts w:cs="Arial"/>
          <w:szCs w:val="20"/>
        </w:rPr>
        <w:t xml:space="preserve">, a długość co najmniej </w:t>
      </w:r>
      <w:smartTag w:uri="urn:schemas-microsoft-com:office:smarttags" w:element="metricconverter">
        <w:smartTagPr>
          <w:attr w:name="ProductID" w:val="50 m"/>
        </w:smartTagPr>
        <w:r w:rsidRPr="006431C4">
          <w:rPr>
            <w:rFonts w:cs="Arial"/>
            <w:szCs w:val="20"/>
          </w:rPr>
          <w:t>50 m</w:t>
        </w:r>
      </w:smartTag>
      <w:r w:rsidRPr="006431C4">
        <w:rPr>
          <w:rFonts w:cs="Arial"/>
          <w:szCs w:val="20"/>
        </w:rPr>
        <w:t xml:space="preserve"> i powinny być tak dobrane, aby na jego podstawie możliwa była ocena prawidłowości wbudowania i zagęszczenia mieszanki mineralno-asfaltowej.</w:t>
      </w:r>
    </w:p>
    <w:p w14:paraId="34C0C855"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 xml:space="preserve">Grubość układanej warstwy powinna być zgodna z grubością podaną w dokumentacji projektowej. Ilość  próbek (rdzeni) pobrana z odcinka próbnego powinna być uzgodniona z Inżynierem i oceniona pod względem zgodności z </w:t>
      </w:r>
      <w:r w:rsidRPr="006431C4">
        <w:rPr>
          <w:rFonts w:cs="Arial"/>
          <w:szCs w:val="20"/>
          <w:shd w:val="clear" w:color="auto" w:fill="FFFFFF"/>
        </w:rPr>
        <w:t>wy</w:t>
      </w:r>
      <w:r w:rsidRPr="006431C4">
        <w:rPr>
          <w:rFonts w:cs="Arial"/>
          <w:szCs w:val="20"/>
        </w:rPr>
        <w:t xml:space="preserve">maganiami niniejszej specyfikacji. Należy pobrać minimum w dwóch przekrojach poprzecznych po dwie próbki (rdzenie). </w:t>
      </w:r>
    </w:p>
    <w:p w14:paraId="62D247A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Dopuszcza się, aby za zgodą Inżyniera, odcinek próbny zlokalizowany był w ciągu zasadniczych prac nawierzchniowych objętych danym kontraktem.</w:t>
      </w:r>
    </w:p>
    <w:p w14:paraId="3812FB2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Wykonawca może przystąpić do realizacji robót po zaakceptowaniu przez Inżyniera technologii wbudowania oraz wyników z odcinka próbnego.</w:t>
      </w:r>
    </w:p>
    <w:p w14:paraId="4B38DC55"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5.7. Połączenie międzywarstwowe</w:t>
      </w:r>
    </w:p>
    <w:p w14:paraId="5F697D5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Uzyskanie wymaganej trwałości nawierzchni jest uzależnione od zapewnienia połączenia między warstwami i ich współpracy w przenoszeniu obciążenia nawierzchni ruchem.</w:t>
      </w:r>
    </w:p>
    <w:p w14:paraId="6CF9A7D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Podłoże powinno być skropione lepiszczem. Ma to na celu zwiększenie połączenia między warstwami konstrukcyjnymi oraz zabezpieczenie przed wnikaniem i zaleganiem wody między warstwami.</w:t>
      </w:r>
    </w:p>
    <w:p w14:paraId="40A83F37" w14:textId="77777777" w:rsidR="00CF11BE" w:rsidRPr="006431C4" w:rsidRDefault="00CF11BE" w:rsidP="00CF11BE">
      <w:pPr>
        <w:overflowPunct w:val="0"/>
        <w:autoSpaceDE w:val="0"/>
        <w:autoSpaceDN w:val="0"/>
        <w:adjustRightInd w:val="0"/>
        <w:spacing w:line="240" w:lineRule="auto"/>
        <w:ind w:firstLine="397"/>
        <w:jc w:val="both"/>
        <w:textAlignment w:val="baseline"/>
        <w:rPr>
          <w:rFonts w:cs="Arial"/>
          <w:szCs w:val="20"/>
        </w:rPr>
      </w:pPr>
      <w:r w:rsidRPr="006431C4">
        <w:rPr>
          <w:rFonts w:cs="Arial"/>
          <w:szCs w:val="20"/>
        </w:rPr>
        <w:t>Można odstąpić od wykonania skropienia przy rozkładaniu dwóch warstw asfaltowych w jednym cyklu technologicznym (tzw. połączenia gorące na gorące)</w:t>
      </w:r>
    </w:p>
    <w:p w14:paraId="118DFAA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Warunki wykonania połączenia międzywarstwowego oraz kontrola wykonania skropienia zostały przedstawione w SST D-04.03.01a [2].</w:t>
      </w:r>
    </w:p>
    <w:p w14:paraId="0ED65C39"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5.8. Wbudowanie mieszanki mineralno-asfaltowej</w:t>
      </w:r>
    </w:p>
    <w:p w14:paraId="509CB1FA"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Przy doborze rodzaju mieszanki mineralno-asfaltowej do układu warstw konstrukcyjnych należy zachować zasadę mówiącą, że grubość warstwy musi być co najmniej dwuipółkrotnie większa od wymiaru D kruszywa danej mieszanki (h ≥ 2,5×D).</w:t>
      </w:r>
    </w:p>
    <w:p w14:paraId="2664914C" w14:textId="77777777" w:rsidR="00CF11BE" w:rsidRPr="006431C4" w:rsidRDefault="00CF11BE" w:rsidP="00CF11BE">
      <w:pPr>
        <w:spacing w:line="240" w:lineRule="auto"/>
        <w:ind w:firstLine="709"/>
        <w:jc w:val="both"/>
        <w:rPr>
          <w:rFonts w:cs="Arial"/>
          <w:szCs w:val="20"/>
        </w:rPr>
      </w:pPr>
      <w:r w:rsidRPr="006431C4">
        <w:rPr>
          <w:rFonts w:cs="Arial"/>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7B26E36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Mieszankę mineralno-asfaltową można wbudowywać na podłożu przygotowanym zgodnie z zapisami w punktach 5.4 i 5.7.</w:t>
      </w:r>
    </w:p>
    <w:p w14:paraId="1DEEDB9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Transport mieszanki mineralno-asfaltowej asfaltowej powinien być zgodny z zaleceniami podanymi w punkcie 4.2. </w:t>
      </w:r>
    </w:p>
    <w:p w14:paraId="6F6BA671" w14:textId="77777777" w:rsidR="00CF11BE" w:rsidRPr="006431C4" w:rsidRDefault="00CF11BE" w:rsidP="00CF11BE">
      <w:pPr>
        <w:spacing w:line="240" w:lineRule="auto"/>
        <w:ind w:firstLine="709"/>
        <w:rPr>
          <w:rFonts w:cs="Arial"/>
          <w:szCs w:val="20"/>
        </w:rPr>
      </w:pPr>
      <w:r w:rsidRPr="006431C4">
        <w:rPr>
          <w:rFonts w:cs="Arial"/>
          <w:szCs w:val="20"/>
        </w:rPr>
        <w:t xml:space="preserve">Prace związane z wbudowaniem mieszanki mineralno-asfaltowej należy tak zaplanować, </w:t>
      </w:r>
    </w:p>
    <w:p w14:paraId="0FDD34CA" w14:textId="77777777" w:rsidR="00CF11BE" w:rsidRPr="006431C4" w:rsidRDefault="00CF11BE" w:rsidP="00CF11BE">
      <w:pPr>
        <w:spacing w:line="240" w:lineRule="auto"/>
        <w:rPr>
          <w:rFonts w:cs="Arial"/>
          <w:szCs w:val="20"/>
        </w:rPr>
      </w:pPr>
      <w:r w:rsidRPr="006431C4">
        <w:rPr>
          <w:rFonts w:cs="Arial"/>
          <w:szCs w:val="20"/>
        </w:rPr>
        <w:t xml:space="preserve">aby: </w:t>
      </w:r>
    </w:p>
    <w:p w14:paraId="343EE70D" w14:textId="77777777" w:rsidR="00CF11BE" w:rsidRPr="006431C4" w:rsidRDefault="00CF11BE" w:rsidP="00CF1E7D">
      <w:pPr>
        <w:numPr>
          <w:ilvl w:val="0"/>
          <w:numId w:val="155"/>
        </w:numPr>
        <w:overflowPunct w:val="0"/>
        <w:autoSpaceDE w:val="0"/>
        <w:autoSpaceDN w:val="0"/>
        <w:adjustRightInd w:val="0"/>
        <w:spacing w:line="240" w:lineRule="auto"/>
        <w:ind w:left="284" w:hanging="218"/>
        <w:jc w:val="both"/>
        <w:textAlignment w:val="baseline"/>
        <w:rPr>
          <w:rFonts w:cs="Arial"/>
          <w:szCs w:val="20"/>
        </w:rPr>
      </w:pPr>
      <w:r w:rsidRPr="006431C4">
        <w:rPr>
          <w:rFonts w:cs="Arial"/>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6C32A401" w14:textId="77777777" w:rsidR="00CF11BE" w:rsidRPr="006431C4" w:rsidRDefault="00CF11BE" w:rsidP="00CF1E7D">
      <w:pPr>
        <w:numPr>
          <w:ilvl w:val="0"/>
          <w:numId w:val="155"/>
        </w:numPr>
        <w:overflowPunct w:val="0"/>
        <w:autoSpaceDE w:val="0"/>
        <w:autoSpaceDN w:val="0"/>
        <w:adjustRightInd w:val="0"/>
        <w:spacing w:line="240" w:lineRule="auto"/>
        <w:ind w:left="284" w:hanging="218"/>
        <w:jc w:val="both"/>
        <w:textAlignment w:val="baseline"/>
        <w:rPr>
          <w:rFonts w:cs="Arial"/>
          <w:szCs w:val="20"/>
        </w:rPr>
      </w:pPr>
      <w:r w:rsidRPr="006431C4">
        <w:rPr>
          <w:rFonts w:cs="Arial"/>
          <w:szCs w:val="20"/>
        </w:rPr>
        <w:t xml:space="preserve">dzienne działki robocze (tj. odcinki nawierzchni na których mieszanka mineralno-asfaltowa jest wbudowywana jednego dnia) powinny być możliwie jak najdłuższe min. 200 m, </w:t>
      </w:r>
    </w:p>
    <w:p w14:paraId="6DCAA2BC" w14:textId="77777777" w:rsidR="00CF11BE" w:rsidRPr="006431C4" w:rsidRDefault="00CF11BE" w:rsidP="00CF1E7D">
      <w:pPr>
        <w:numPr>
          <w:ilvl w:val="0"/>
          <w:numId w:val="155"/>
        </w:numPr>
        <w:overflowPunct w:val="0"/>
        <w:autoSpaceDE w:val="0"/>
        <w:autoSpaceDN w:val="0"/>
        <w:adjustRightInd w:val="0"/>
        <w:spacing w:line="240" w:lineRule="auto"/>
        <w:ind w:left="284" w:hanging="218"/>
        <w:jc w:val="both"/>
        <w:textAlignment w:val="baseline"/>
        <w:rPr>
          <w:rFonts w:cs="Arial"/>
          <w:szCs w:val="20"/>
        </w:rPr>
      </w:pPr>
      <w:r w:rsidRPr="006431C4">
        <w:rPr>
          <w:rFonts w:cs="Arial"/>
          <w:szCs w:val="20"/>
        </w:rPr>
        <w:t xml:space="preserve">organizacja dostaw mieszanki powinna zapewnić pracę rozkładarki bez zatrzymań. </w:t>
      </w:r>
    </w:p>
    <w:p w14:paraId="11D2078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Mieszankę mineralno-asfaltową asfaltową należy wbudowywać w odpowiednich warunkach atmosferycznych. Nie wolno wbudowywać betonu asfaltowego gdy na podłożu tworzy się zamknięty film wodny.</w:t>
      </w:r>
    </w:p>
    <w:p w14:paraId="41786C7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w:t>
      </w:r>
      <w:r w:rsidRPr="006431C4">
        <w:rPr>
          <w:rFonts w:cs="Arial"/>
          <w:color w:val="000000"/>
          <w:szCs w:val="20"/>
        </w:rPr>
        <w:t xml:space="preserve"> Temperatura powietrza powinna być mierzona co najmniej 3 razy dziennie: przed przystąpieniem do robót oraz podczas ich wykonywania w okresach równomiernie rozłożonych w planowanym czasie realizacji dziennej działki roboczej. </w:t>
      </w:r>
      <w:r w:rsidRPr="006431C4">
        <w:rPr>
          <w:rFonts w:cs="Arial"/>
          <w:szCs w:val="20"/>
        </w:rPr>
        <w:t xml:space="preserve">Nie dopuszcza się układania mieszanki mineralno-asfaltowej asfaltowej podczas silnego wiatru (V &gt; 16 m/s) oraz podczas opadów atmosferycznych. </w:t>
      </w:r>
    </w:p>
    <w:p w14:paraId="43E4D1B7"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Podczas budowy nawierzchni należy dążyć do ułożenia wszystkich warstw przed sezonem zimowym, aby zapewnić szczelność nawierzchni i jej odporność na działanie wody i mrozu.</w:t>
      </w:r>
      <w:r w:rsidRPr="006431C4">
        <w:rPr>
          <w:rFonts w:cs="Arial"/>
          <w:szCs w:val="20"/>
        </w:rPr>
        <w:tab/>
      </w:r>
    </w:p>
    <w:p w14:paraId="3C4E28D5"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wypadku stosowania mieszanek mineralno-asfaltowych z dodatkiem obniżającym temperaturę mieszania i wbudowania należy indywidualnie określić wymagane warunki otoczenia. </w:t>
      </w:r>
    </w:p>
    <w:p w14:paraId="1D813492" w14:textId="77777777" w:rsidR="00CF11BE" w:rsidRPr="006431C4" w:rsidRDefault="00CF11BE" w:rsidP="00CF11BE">
      <w:pPr>
        <w:tabs>
          <w:tab w:val="left" w:pos="1560"/>
        </w:tabs>
        <w:overflowPunct w:val="0"/>
        <w:autoSpaceDE w:val="0"/>
        <w:autoSpaceDN w:val="0"/>
        <w:adjustRightInd w:val="0"/>
        <w:spacing w:line="240" w:lineRule="auto"/>
        <w:ind w:left="1200" w:hanging="1200"/>
        <w:jc w:val="both"/>
        <w:textAlignment w:val="baseline"/>
        <w:rPr>
          <w:rFonts w:cs="Arial"/>
          <w:szCs w:val="20"/>
        </w:rPr>
      </w:pPr>
      <w:r w:rsidRPr="006431C4">
        <w:rPr>
          <w:rFonts w:cs="Arial"/>
          <w:szCs w:val="20"/>
        </w:rPr>
        <w:t>Tablica 23.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CF11BE" w:rsidRPr="006431C4" w14:paraId="761C6AFB" w14:textId="77777777" w:rsidTr="007F1241">
        <w:trPr>
          <w:trHeight w:val="562"/>
        </w:trPr>
        <w:tc>
          <w:tcPr>
            <w:tcW w:w="3840" w:type="dxa"/>
            <w:vAlign w:val="center"/>
          </w:tcPr>
          <w:p w14:paraId="00CA799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Rodzaj robót</w:t>
            </w:r>
          </w:p>
        </w:tc>
        <w:tc>
          <w:tcPr>
            <w:tcW w:w="4111" w:type="dxa"/>
            <w:vAlign w:val="center"/>
          </w:tcPr>
          <w:p w14:paraId="72A66FD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Minimalna temperatura powietrza  [°C]</w:t>
            </w:r>
          </w:p>
        </w:tc>
      </w:tr>
      <w:tr w:rsidR="00CF11BE" w:rsidRPr="006431C4" w14:paraId="71431CD2" w14:textId="77777777" w:rsidTr="007F1241">
        <w:tc>
          <w:tcPr>
            <w:tcW w:w="3840" w:type="dxa"/>
          </w:tcPr>
          <w:p w14:paraId="3B4124A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Warstwa ścieralna o grubości ≥ </w:t>
            </w:r>
            <w:smartTag w:uri="urn:schemas-microsoft-com:office:smarttags" w:element="metricconverter">
              <w:smartTagPr>
                <w:attr w:name="ProductID" w:val="3 cm"/>
              </w:smartTagPr>
              <w:r w:rsidRPr="006431C4">
                <w:rPr>
                  <w:rFonts w:cs="Arial"/>
                  <w:szCs w:val="20"/>
                </w:rPr>
                <w:t>3 cm</w:t>
              </w:r>
            </w:smartTag>
          </w:p>
        </w:tc>
        <w:tc>
          <w:tcPr>
            <w:tcW w:w="4111" w:type="dxa"/>
          </w:tcPr>
          <w:p w14:paraId="4D2721A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r>
      <w:tr w:rsidR="00CF11BE" w:rsidRPr="006431C4" w14:paraId="5696BA59" w14:textId="77777777" w:rsidTr="007F1241">
        <w:tc>
          <w:tcPr>
            <w:tcW w:w="3840" w:type="dxa"/>
          </w:tcPr>
          <w:p w14:paraId="36B5889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Warstwa ścieralna o grubości &lt; </w:t>
            </w:r>
            <w:smartTag w:uri="urn:schemas-microsoft-com:office:smarttags" w:element="metricconverter">
              <w:smartTagPr>
                <w:attr w:name="ProductID" w:val="3 cm"/>
              </w:smartTagPr>
              <w:r w:rsidRPr="006431C4">
                <w:rPr>
                  <w:rFonts w:cs="Arial"/>
                  <w:szCs w:val="20"/>
                </w:rPr>
                <w:t>3 cm</w:t>
              </w:r>
            </w:smartTag>
          </w:p>
        </w:tc>
        <w:tc>
          <w:tcPr>
            <w:tcW w:w="4111" w:type="dxa"/>
          </w:tcPr>
          <w:p w14:paraId="6D46F7A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r>
      <w:tr w:rsidR="00CF11BE" w:rsidRPr="006431C4" w14:paraId="628A37C1" w14:textId="77777777" w:rsidTr="007F1241">
        <w:tc>
          <w:tcPr>
            <w:tcW w:w="3840" w:type="dxa"/>
          </w:tcPr>
          <w:p w14:paraId="6F77C0A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Nawierzchnia typu kompaktowego</w:t>
            </w:r>
          </w:p>
        </w:tc>
        <w:tc>
          <w:tcPr>
            <w:tcW w:w="4111" w:type="dxa"/>
          </w:tcPr>
          <w:p w14:paraId="6027663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bl>
    <w:p w14:paraId="6B89E225"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14:paraId="23B58906"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miejscach niedostępnych dla sprzętu dopuszcza się wbudowywanie ręczne.</w:t>
      </w:r>
    </w:p>
    <w:p w14:paraId="06566E1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Grubość wykonywanej warstwy powinna być sprawdzana co </w:t>
      </w:r>
      <w:smartTag w:uri="urn:schemas-microsoft-com:office:smarttags" w:element="metricconverter">
        <w:smartTagPr>
          <w:attr w:name="ProductID" w:val="25 m"/>
        </w:smartTagPr>
        <w:r w:rsidRPr="006431C4">
          <w:rPr>
            <w:rFonts w:cs="Arial"/>
            <w:szCs w:val="20"/>
          </w:rPr>
          <w:t>25 m</w:t>
        </w:r>
      </w:smartTag>
      <w:r w:rsidRPr="006431C4">
        <w:rPr>
          <w:rFonts w:cs="Arial"/>
          <w:szCs w:val="20"/>
        </w:rPr>
        <w:t>, w co najmniej trzech miejscach (w osi i przy brzegach warstwy).</w:t>
      </w:r>
    </w:p>
    <w:p w14:paraId="3CCA4A1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14:paraId="37881C4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Przy wykonywaniu nawierzchni dróg o kategorii KR6, do warstwy ścieralnej wymagane jest:</w:t>
      </w:r>
    </w:p>
    <w:p w14:paraId="7BB0DEA6" w14:textId="77777777" w:rsidR="00CF11BE" w:rsidRPr="006431C4" w:rsidRDefault="00CF11BE" w:rsidP="00CF1E7D">
      <w:pPr>
        <w:numPr>
          <w:ilvl w:val="0"/>
          <w:numId w:val="156"/>
        </w:numPr>
        <w:overflowPunct w:val="0"/>
        <w:autoSpaceDE w:val="0"/>
        <w:autoSpaceDN w:val="0"/>
        <w:adjustRightInd w:val="0"/>
        <w:spacing w:line="240" w:lineRule="auto"/>
        <w:ind w:left="284" w:hanging="218"/>
        <w:jc w:val="both"/>
        <w:textAlignment w:val="baseline"/>
        <w:rPr>
          <w:rFonts w:cs="Arial"/>
          <w:szCs w:val="20"/>
        </w:rPr>
      </w:pPr>
      <w:r w:rsidRPr="006431C4">
        <w:rPr>
          <w:rFonts w:cs="Arial"/>
          <w:szCs w:val="20"/>
        </w:rPr>
        <w:t>stosowanie podajników mieszanki mineralno-asfaltowej do zasilania kosza rozkładarki z środków transportu,</w:t>
      </w:r>
    </w:p>
    <w:p w14:paraId="4B5A7BDE" w14:textId="77777777" w:rsidR="00CF11BE" w:rsidRPr="006431C4" w:rsidRDefault="00CF11BE" w:rsidP="00CF1E7D">
      <w:pPr>
        <w:numPr>
          <w:ilvl w:val="0"/>
          <w:numId w:val="156"/>
        </w:numPr>
        <w:overflowPunct w:val="0"/>
        <w:autoSpaceDE w:val="0"/>
        <w:autoSpaceDN w:val="0"/>
        <w:adjustRightInd w:val="0"/>
        <w:spacing w:line="240" w:lineRule="auto"/>
        <w:ind w:left="284" w:hanging="218"/>
        <w:jc w:val="both"/>
        <w:textAlignment w:val="baseline"/>
        <w:rPr>
          <w:rFonts w:cs="Arial"/>
          <w:szCs w:val="20"/>
        </w:rPr>
      </w:pPr>
      <w:r w:rsidRPr="006431C4">
        <w:rPr>
          <w:rFonts w:cs="Arial"/>
          <w:szCs w:val="20"/>
        </w:rPr>
        <w:t>stosowanie rozkładarek wyposażonych w łatę o długości min. 10 m z co najmniej 3 czujnikami.</w:t>
      </w:r>
    </w:p>
    <w:p w14:paraId="694ECD56"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5.9. Połączenia technologiczne</w:t>
      </w:r>
    </w:p>
    <w:p w14:paraId="0F284658"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Połączenia technologiczne należy wykonywać jako:</w:t>
      </w:r>
    </w:p>
    <w:p w14:paraId="171F593D" w14:textId="77777777" w:rsidR="00CF11BE" w:rsidRPr="006431C4" w:rsidRDefault="00CF11BE" w:rsidP="00CF1E7D">
      <w:pPr>
        <w:numPr>
          <w:ilvl w:val="0"/>
          <w:numId w:val="154"/>
        </w:numPr>
        <w:overflowPunct w:val="0"/>
        <w:autoSpaceDE w:val="0"/>
        <w:autoSpaceDN w:val="0"/>
        <w:adjustRightInd w:val="0"/>
        <w:spacing w:line="240" w:lineRule="auto"/>
        <w:jc w:val="both"/>
        <w:textAlignment w:val="baseline"/>
        <w:rPr>
          <w:rFonts w:cs="Arial"/>
          <w:szCs w:val="20"/>
        </w:rPr>
      </w:pPr>
      <w:r w:rsidRPr="006431C4">
        <w:rPr>
          <w:rFonts w:cs="Arial"/>
          <w:szCs w:val="20"/>
        </w:rPr>
        <w:t>złącza podłużne i poprzeczne (wg definicji punkt 1.4.15.),</w:t>
      </w:r>
    </w:p>
    <w:p w14:paraId="28AF46A3" w14:textId="77777777" w:rsidR="00CF11BE" w:rsidRPr="006431C4" w:rsidRDefault="00CF11BE" w:rsidP="00CF1E7D">
      <w:pPr>
        <w:numPr>
          <w:ilvl w:val="0"/>
          <w:numId w:val="154"/>
        </w:numPr>
        <w:overflowPunct w:val="0"/>
        <w:autoSpaceDE w:val="0"/>
        <w:autoSpaceDN w:val="0"/>
        <w:adjustRightInd w:val="0"/>
        <w:spacing w:line="240" w:lineRule="auto"/>
        <w:jc w:val="both"/>
        <w:textAlignment w:val="baseline"/>
        <w:rPr>
          <w:rFonts w:cs="Arial"/>
          <w:szCs w:val="20"/>
        </w:rPr>
      </w:pPr>
      <w:r w:rsidRPr="006431C4">
        <w:rPr>
          <w:rFonts w:cs="Arial"/>
          <w:szCs w:val="20"/>
        </w:rPr>
        <w:t>spoiny (wg definicji punkt 1.4.16.).</w:t>
      </w:r>
    </w:p>
    <w:p w14:paraId="6735AE0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Połączenia technologiczne powinny być jednorodne i szczelne.   </w:t>
      </w:r>
    </w:p>
    <w:p w14:paraId="116177EB" w14:textId="77777777" w:rsidR="00CF11BE" w:rsidRPr="006431C4" w:rsidRDefault="00CF11BE" w:rsidP="00CF11BE">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5.9.1.</w:t>
      </w:r>
      <w:r w:rsidRPr="006431C4">
        <w:rPr>
          <w:rFonts w:cs="Arial"/>
          <w:szCs w:val="20"/>
        </w:rPr>
        <w:t xml:space="preserve"> Wykonanie złączy</w:t>
      </w:r>
    </w:p>
    <w:p w14:paraId="63422924" w14:textId="77777777" w:rsidR="00CF11BE" w:rsidRPr="006431C4" w:rsidRDefault="00CF11BE" w:rsidP="00CF11BE">
      <w:pPr>
        <w:keepNext/>
        <w:overflowPunct w:val="0"/>
        <w:autoSpaceDE w:val="0"/>
        <w:autoSpaceDN w:val="0"/>
        <w:adjustRightInd w:val="0"/>
        <w:spacing w:line="240" w:lineRule="auto"/>
        <w:jc w:val="both"/>
        <w:textAlignment w:val="baseline"/>
        <w:rPr>
          <w:rFonts w:cs="Arial"/>
          <w:szCs w:val="20"/>
        </w:rPr>
      </w:pPr>
      <w:r w:rsidRPr="006431C4">
        <w:rPr>
          <w:rFonts w:cs="Arial"/>
          <w:szCs w:val="20"/>
        </w:rPr>
        <w:t>5.9.1.1. Sposób wykonania złączy-wymagania ogólne</w:t>
      </w:r>
    </w:p>
    <w:p w14:paraId="7C3141C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Złącza w warstwach nawierzchni powinny być wykonywane w linii prostej.</w:t>
      </w:r>
    </w:p>
    <w:p w14:paraId="08B6AC7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6431C4">
          <w:rPr>
            <w:rFonts w:cs="Arial"/>
            <w:szCs w:val="20"/>
          </w:rPr>
          <w:t>2 m</w:t>
        </w:r>
      </w:smartTag>
      <w:r w:rsidRPr="006431C4">
        <w:rPr>
          <w:rFonts w:cs="Arial"/>
          <w:szCs w:val="20"/>
        </w:rPr>
        <w:t xml:space="preserve"> w kierunku podłużnym do osi jezdni.</w:t>
      </w:r>
    </w:p>
    <w:p w14:paraId="630249D5"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6431C4">
          <w:rPr>
            <w:rFonts w:cs="Arial"/>
            <w:szCs w:val="20"/>
          </w:rPr>
          <w:t>0,5 m</w:t>
        </w:r>
      </w:smartTag>
      <w:r w:rsidRPr="006431C4">
        <w:rPr>
          <w:rFonts w:cs="Arial"/>
          <w:szCs w:val="20"/>
        </w:rPr>
        <w:t xml:space="preserve">. Krawędzie poprzeczne łączonych warstw wiążącej i ścieralnej nawierzchni drogowej powinny być odcięte piłą. </w:t>
      </w:r>
    </w:p>
    <w:p w14:paraId="69D767F6"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Złącza powinny być całkowicie związane, a powierzchnie przylegających warstw powinny być w jednym poziomie.</w:t>
      </w:r>
    </w:p>
    <w:p w14:paraId="07BC44A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5.9.1.2. Technologia rozkładania „gorące przy gorącym”</w:t>
      </w:r>
    </w:p>
    <w:p w14:paraId="5CA3616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02DDCF32"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Walce zagęszczające mieszankę za każdą rozkładarką powinny być o zbliżonych parametrach. Zagęszczanie każdego z pasów należy rozpoczynać od zewnętrznej krawędzi pasa i stopniowo zagęszczać pas w kierunku złącza.</w:t>
      </w:r>
    </w:p>
    <w:p w14:paraId="12626BE9"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Przy tej metodzie nie stosuje się dodatkowych materiałów do złączy.</w:t>
      </w:r>
    </w:p>
    <w:p w14:paraId="64D28CB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5.9.1.3. Technologia rozkładania „gorące przy zimnym” </w:t>
      </w:r>
    </w:p>
    <w:p w14:paraId="7C6CDC09"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77422EC4"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 xml:space="preserve">Wcześniej wykonany pas warstwy technologicznej powinien mieć wyprofilowaną krawędź równomiernie zagęszczoną, bez pęknięć. Krawędź ta nie może być pionowa, lecz powinna być skośna (pochylenie około 3:1 </w:t>
      </w:r>
      <w:proofErr w:type="spellStart"/>
      <w:r w:rsidRPr="006431C4">
        <w:rPr>
          <w:rFonts w:cs="Arial"/>
          <w:szCs w:val="20"/>
        </w:rPr>
        <w:t>tj.pod</w:t>
      </w:r>
      <w:proofErr w:type="spellEnd"/>
      <w:r w:rsidRPr="006431C4">
        <w:rPr>
          <w:rFonts w:cs="Arial"/>
          <w:szCs w:val="20"/>
        </w:rPr>
        <w:t xml:space="preserve"> kątem 70-80˚ w stosunku do warstwy niżej leżącej). Skos wykonany „na gorąco”, powinien być uformowany podczas układania pierwszego pasa ruchu, przy zastosowaniu rolki dociskowej lub noża talerzowego.</w:t>
      </w:r>
    </w:p>
    <w:p w14:paraId="41090BD1"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13171916"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Drugi pas powinien być wykonywany z zakładem 2-3 cm licząc od górnej krawędzi złącza, zachodzącym na pas wykonany wcześniej.</w:t>
      </w:r>
    </w:p>
    <w:p w14:paraId="782A1165" w14:textId="77777777" w:rsidR="00CF11BE" w:rsidRPr="006431C4" w:rsidRDefault="00CF11BE" w:rsidP="00CF11BE">
      <w:pPr>
        <w:keepNext/>
        <w:overflowPunct w:val="0"/>
        <w:autoSpaceDE w:val="0"/>
        <w:autoSpaceDN w:val="0"/>
        <w:adjustRightInd w:val="0"/>
        <w:spacing w:line="240" w:lineRule="auto"/>
        <w:jc w:val="both"/>
        <w:textAlignment w:val="baseline"/>
        <w:rPr>
          <w:rFonts w:cs="Arial"/>
          <w:szCs w:val="20"/>
        </w:rPr>
      </w:pPr>
      <w:r w:rsidRPr="006431C4">
        <w:rPr>
          <w:rFonts w:cs="Arial"/>
          <w:szCs w:val="20"/>
        </w:rPr>
        <w:t xml:space="preserve">5.9.1.4. Zakończenie działki roboczej </w:t>
      </w:r>
    </w:p>
    <w:p w14:paraId="00EA3692"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Zakończenie działki roboczej należy wykonać w sposób i przy pomocy urządzeń zapewniających uzyskanie nieregularnej powierzchni spoiny (przy pomocy wstawianej</w:t>
      </w:r>
    </w:p>
    <w:p w14:paraId="343C41A7"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kantówki lub frezarki). Zakończenie działki roboczej należy wykonać prostopadle do osi drogi.</w:t>
      </w:r>
    </w:p>
    <w:p w14:paraId="06AF6982"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Krawędź działki roboczej jest równocześnie krawędzią poprzeczną złącza.</w:t>
      </w:r>
    </w:p>
    <w:p w14:paraId="126F43EF"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Złącza poprzeczne między działkami roboczymi układanych pasów kolejnych warstw technologicznych należy przesunąć względem siebie o co najmniej 3m w kierunku podłużnym do osi jezdni.</w:t>
      </w:r>
    </w:p>
    <w:p w14:paraId="518DDD49"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5.9.1.5.</w:t>
      </w:r>
      <w:r w:rsidRPr="006431C4">
        <w:rPr>
          <w:rFonts w:cs="Arial"/>
          <w:b/>
          <w:szCs w:val="20"/>
        </w:rPr>
        <w:t xml:space="preserve"> </w:t>
      </w:r>
      <w:r w:rsidRPr="006431C4">
        <w:rPr>
          <w:rFonts w:cs="Arial"/>
          <w:szCs w:val="20"/>
        </w:rPr>
        <w:t>Wymagania wobec wbudowania taśm bitumicznych</w:t>
      </w:r>
    </w:p>
    <w:p w14:paraId="4A6F1738"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Minimalna wysokość taśmy wynosi 4 cm.</w:t>
      </w:r>
    </w:p>
    <w:p w14:paraId="22DA8B79"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Grubość taśmy powinna wynosić 10 mm.</w:t>
      </w:r>
    </w:p>
    <w:p w14:paraId="3525696A"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Krawędź boczna złącza podłużnego powinna być uformowana za pomocą rolki dociskowej lub poprzez obcięcie nożem talerzowym.</w:t>
      </w:r>
    </w:p>
    <w:p w14:paraId="7749D3C8"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Krawędź boczna złącza poprzecznego powinna być uformowana w taki sposób i za</w:t>
      </w:r>
    </w:p>
    <w:p w14:paraId="664E9C69"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pomocą urządzeń umożliwiających uzyskanie nieregularnej powierzchni.</w:t>
      </w:r>
    </w:p>
    <w:p w14:paraId="70D3529D"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Powierzchnie krawędzi do których klejona będzie taśma, powinny być czyste i suche.</w:t>
      </w:r>
    </w:p>
    <w:p w14:paraId="76155581"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Przed przyklejeniem taśmy w metodzie „gorące przy zimnym”, krawędzie „zimnej” warstwy na całkowitej grubości, należy zagruntować zgodnie z zaleceniami producenta</w:t>
      </w:r>
    </w:p>
    <w:p w14:paraId="2B7E3B76"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taśmy. Taśma bitumiczna powinna być wstępnie przyklejona do zimnej krawędzi złącza na całej jego wysokości oraz wystawać ponad powierzchnię warstwy do 5 mm lub wg zaleceń producenta.</w:t>
      </w:r>
    </w:p>
    <w:p w14:paraId="24BBF29D"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5.9.1.6.</w:t>
      </w:r>
      <w:r w:rsidRPr="006431C4">
        <w:rPr>
          <w:rFonts w:cs="Arial"/>
          <w:b/>
          <w:szCs w:val="20"/>
        </w:rPr>
        <w:t xml:space="preserve"> </w:t>
      </w:r>
      <w:r w:rsidRPr="006431C4">
        <w:rPr>
          <w:rFonts w:cs="Arial"/>
          <w:szCs w:val="20"/>
        </w:rPr>
        <w:t>Wymagania wobec wbudowywania past bitumicznych</w:t>
      </w:r>
    </w:p>
    <w:p w14:paraId="59573538"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Przygotowanie krawędzi bocznych jak w przypadku stosowania taśm bitumicznych.</w:t>
      </w:r>
    </w:p>
    <w:p w14:paraId="01A18A6D"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Pasta powinna być nanoszona mechanicznie z zapewnieniem równomiernego jej</w:t>
      </w:r>
    </w:p>
    <w:p w14:paraId="2D482C59"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lastRenderedPageBreak/>
        <w:t>rozprowadzenia na bocznej krawędzi w ilości 3 - 4 kg/m</w:t>
      </w:r>
      <w:r w:rsidRPr="006431C4">
        <w:rPr>
          <w:rFonts w:cs="Arial"/>
          <w:szCs w:val="20"/>
          <w:vertAlign w:val="superscript"/>
        </w:rPr>
        <w:t>2</w:t>
      </w:r>
      <w:r w:rsidRPr="006431C4">
        <w:rPr>
          <w:rFonts w:cs="Arial"/>
          <w:szCs w:val="20"/>
        </w:rPr>
        <w:t xml:space="preserve"> (warstwa o grubości 3 - 4 mm przy gęstości około 1,0 g/cm</w:t>
      </w:r>
      <w:r w:rsidRPr="006431C4">
        <w:rPr>
          <w:rFonts w:cs="Arial"/>
          <w:szCs w:val="20"/>
          <w:vertAlign w:val="superscript"/>
        </w:rPr>
        <w:t>3</w:t>
      </w:r>
      <w:r w:rsidRPr="006431C4">
        <w:rPr>
          <w:rFonts w:cs="Arial"/>
          <w:szCs w:val="20"/>
        </w:rPr>
        <w:t>).</w:t>
      </w:r>
    </w:p>
    <w:p w14:paraId="44DA2760"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Dopuszcza się ręczne nanoszenie past w miejscach niedostępnych.</w:t>
      </w:r>
    </w:p>
    <w:p w14:paraId="0025797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5.9.2.</w:t>
      </w:r>
      <w:r w:rsidRPr="006431C4">
        <w:rPr>
          <w:rFonts w:cs="Arial"/>
          <w:szCs w:val="20"/>
        </w:rPr>
        <w:t xml:space="preserve"> Wykonanie spoin  </w:t>
      </w:r>
    </w:p>
    <w:p w14:paraId="38B07A88"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Spoiny należy wykonywać w wypadku połączeń warstwy z urządzeniami w nawierzchni lub ją ograniczającymi.</w:t>
      </w:r>
    </w:p>
    <w:p w14:paraId="655979C3"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Spoiny należy wykonywać z materiałów termoplastycznych (taśmy, pasty, zalewy drogowe na </w:t>
      </w:r>
      <w:proofErr w:type="spellStart"/>
      <w:r w:rsidRPr="006431C4">
        <w:rPr>
          <w:rFonts w:cs="Arial"/>
          <w:szCs w:val="20"/>
        </w:rPr>
        <w:t>goraco</w:t>
      </w:r>
      <w:proofErr w:type="spellEnd"/>
      <w:r w:rsidRPr="006431C4">
        <w:rPr>
          <w:rFonts w:cs="Arial"/>
          <w:szCs w:val="20"/>
        </w:rPr>
        <w:t xml:space="preserve">) zgodnych z </w:t>
      </w:r>
      <w:proofErr w:type="spellStart"/>
      <w:r w:rsidRPr="006431C4">
        <w:rPr>
          <w:rFonts w:cs="Arial"/>
          <w:szCs w:val="20"/>
        </w:rPr>
        <w:t>pktem</w:t>
      </w:r>
      <w:proofErr w:type="spellEnd"/>
      <w:r w:rsidRPr="006431C4">
        <w:rPr>
          <w:rFonts w:cs="Arial"/>
          <w:szCs w:val="20"/>
        </w:rPr>
        <w:t xml:space="preserve"> 2.6. </w:t>
      </w:r>
    </w:p>
    <w:p w14:paraId="34A12B9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Grubość elastycznej taśmy uszczelniającej w spoinach w warstwie ścieralnej powinna wynosić nie mniej niż 10 mm.</w:t>
      </w:r>
    </w:p>
    <w:p w14:paraId="261151F0"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Pasta powinna być nanoszona mechanicznie z zapewnieniem równomiernego jej rozprowadzenia na bocznej krawędzi w ilości 3 - 4 kg/m</w:t>
      </w:r>
      <w:r w:rsidRPr="006431C4">
        <w:rPr>
          <w:rFonts w:cs="Arial"/>
          <w:szCs w:val="20"/>
          <w:vertAlign w:val="superscript"/>
        </w:rPr>
        <w:t>2</w:t>
      </w:r>
      <w:r w:rsidRPr="006431C4">
        <w:rPr>
          <w:rFonts w:cs="Arial"/>
          <w:szCs w:val="20"/>
        </w:rPr>
        <w:t xml:space="preserve"> (warstwa o grubości 3 - 4 mm przy gęstości około 1,0 g/cm</w:t>
      </w:r>
      <w:r w:rsidRPr="006431C4">
        <w:rPr>
          <w:rFonts w:cs="Arial"/>
          <w:szCs w:val="20"/>
          <w:vertAlign w:val="superscript"/>
        </w:rPr>
        <w:t>3</w:t>
      </w:r>
      <w:r w:rsidRPr="006431C4">
        <w:rPr>
          <w:rFonts w:cs="Arial"/>
          <w:szCs w:val="20"/>
        </w:rPr>
        <w:t>).</w:t>
      </w:r>
    </w:p>
    <w:p w14:paraId="01812C1F"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Zalewy drogowe na gorąco należy stosować zgodnie z zaleceniami producenta, przy czym szerokość naciętej spoiny powinna wynosić ok. 10 mm.</w:t>
      </w:r>
    </w:p>
    <w:p w14:paraId="5386631F"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5.10. Krawędzie </w:t>
      </w:r>
    </w:p>
    <w:p w14:paraId="65958F80"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35AF14BE"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6431C4">
        <w:rPr>
          <w:rFonts w:cs="Arial"/>
          <w:szCs w:val="20"/>
        </w:rPr>
        <w:t>tzw</w:t>
      </w:r>
      <w:proofErr w:type="spellEnd"/>
      <w:r w:rsidRPr="006431C4">
        <w:rPr>
          <w:rFonts w:cs="Arial"/>
          <w:szCs w:val="20"/>
        </w:rPr>
        <w:t xml:space="preserve"> „buta” („na gorąco”).</w:t>
      </w:r>
    </w:p>
    <w:p w14:paraId="18BB7E70"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krawędzie nie zostały uformowane na gorąco krawędzie należy wyfrezować je na zimno.</w:t>
      </w:r>
    </w:p>
    <w:p w14:paraId="6BEE581D"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 wykonaniu nawierzchni asfaltowej o jednostronnym nachyleniu jezdni należy uszczelnić krawędź położoną wyżej (niżej położona krawędź powinna zostać nieuszczelniona).</w:t>
      </w:r>
    </w:p>
    <w:p w14:paraId="31B7510A"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W przypadku nawierzchni o dwustronnym nachyleniu (przekrój daszkowy) decyzję o potrzebie i sposobie uszczelnienia krawędzi zewnętrznych podejmie Projektant w uzgodnieniu z Inżynierem.</w:t>
      </w:r>
    </w:p>
    <w:p w14:paraId="60ACB3E3"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Krawędzie zewnętrzne oraz powierzchnie odsadzek poziomych należy uszczelnić przez pokrycie gorącym asfaltem w ilości:</w:t>
      </w:r>
    </w:p>
    <w:p w14:paraId="5C7E01B3" w14:textId="77777777" w:rsidR="00CF11BE" w:rsidRPr="006431C4" w:rsidRDefault="00CF11BE" w:rsidP="00CF1E7D">
      <w:pPr>
        <w:numPr>
          <w:ilvl w:val="0"/>
          <w:numId w:val="157"/>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powierzchnie odsadzek - 1,5 kg/m</w:t>
      </w:r>
      <w:r w:rsidRPr="006431C4">
        <w:rPr>
          <w:rFonts w:cs="Arial"/>
          <w:szCs w:val="20"/>
          <w:vertAlign w:val="superscript"/>
        </w:rPr>
        <w:t>2</w:t>
      </w:r>
      <w:r w:rsidRPr="006431C4">
        <w:rPr>
          <w:rFonts w:cs="Arial"/>
          <w:szCs w:val="20"/>
        </w:rPr>
        <w:t>,</w:t>
      </w:r>
    </w:p>
    <w:p w14:paraId="691421FE" w14:textId="77777777" w:rsidR="00CF11BE" w:rsidRPr="006431C4" w:rsidRDefault="00CF11BE" w:rsidP="00CF1E7D">
      <w:pPr>
        <w:numPr>
          <w:ilvl w:val="0"/>
          <w:numId w:val="157"/>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krawędzie zewnętrzne - 4 kg/m</w:t>
      </w:r>
      <w:r w:rsidRPr="006431C4">
        <w:rPr>
          <w:rFonts w:cs="Arial"/>
          <w:szCs w:val="20"/>
          <w:vertAlign w:val="superscript"/>
        </w:rPr>
        <w:t>2</w:t>
      </w:r>
      <w:r w:rsidRPr="006431C4">
        <w:rPr>
          <w:rFonts w:cs="Arial"/>
          <w:szCs w:val="20"/>
        </w:rPr>
        <w:t>.</w:t>
      </w:r>
    </w:p>
    <w:p w14:paraId="4468F1AD"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Gorący asfalt może być nanoszony w kilku przejściach roboczych.</w:t>
      </w:r>
    </w:p>
    <w:p w14:paraId="090C62FA"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14:paraId="3B3DBE3A"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Lepiszcze powinno być naniesione odpowiednio szybko tak, aby krawędzie nie uległy zabrudzeniu. Niżej położona krawędź (z wyjątkiem strefy zmiany przechyłki) powinna pozostać nieuszczelniona. </w:t>
      </w:r>
    </w:p>
    <w:p w14:paraId="4AB793C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6431C4">
          <w:rPr>
            <w:rFonts w:cs="Arial"/>
            <w:szCs w:val="20"/>
          </w:rPr>
          <w:t>10 cm</w:t>
        </w:r>
      </w:smartTag>
      <w:r w:rsidRPr="006431C4">
        <w:rPr>
          <w:rFonts w:cs="Arial"/>
          <w:szCs w:val="20"/>
        </w:rPr>
        <w:t>.</w:t>
      </w:r>
    </w:p>
    <w:p w14:paraId="7FAC4766"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5.11. Wykończenie warstwy ścieralnej</w:t>
      </w:r>
    </w:p>
    <w:p w14:paraId="0F3C10A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Warstwa ścieralna powinna mieć jednorodną teksturę i strukturę dostosowaną do przeznaczenia, np. ze względu na właściwości przeciwpoślizgowe, hałas toczenia kół lub względy estetyczne.</w:t>
      </w:r>
    </w:p>
    <w:p w14:paraId="0E57FFE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Nie wymaga się uszorstnienia warstwy ścieralnej z betonu asfaltowego.</w:t>
      </w:r>
    </w:p>
    <w:p w14:paraId="610233D0"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5.12. Jasność nawierzchni</w:t>
      </w:r>
    </w:p>
    <w:p w14:paraId="2C8A910C"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Powierzchnią wymagającą rozjaśnienia warstwy ścieralnej jest nawierzchnia KR5-6 na obiektach inżynierskich w ciągu głównym dróg krajowych i nawierzchnia w tunelach.</w:t>
      </w:r>
    </w:p>
    <w:p w14:paraId="5AEB5512"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Rozjaśnienie do żądanego poziomu luminancji można uzyskać przez dodanie jasnego kruszywa grubego lub jasnego kruszywa drobnego lub kombinacji drobnych i grubych kruszyw jasnych do warstwy  ścieralnej.</w:t>
      </w:r>
    </w:p>
    <w:p w14:paraId="112B79F8"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Kruszywa stosowane do rozjaśnienia muszą posiadać własności fizyko-mechaniczne określone dla danej kategorii ruchu warstw ścieralnych w WT-1 2014 [79]. Możliwe jest również zastosowanie innych składników mieszanki mineralno-asfaltowej w celu rozjaśnienia nawierzchni (np. lepiszcza syntetyczne).</w:t>
      </w:r>
    </w:p>
    <w:p w14:paraId="4BF2DE2F" w14:textId="77777777" w:rsidR="00CF11BE" w:rsidRPr="006431C4" w:rsidRDefault="00CF11BE" w:rsidP="00CF11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40" w:name="_Toc462133771"/>
      <w:r w:rsidRPr="006431C4">
        <w:rPr>
          <w:rFonts w:cs="Arial"/>
          <w:b/>
          <w:caps/>
          <w:kern w:val="28"/>
          <w:szCs w:val="20"/>
        </w:rPr>
        <w:t>6. Kontrola jakości robót</w:t>
      </w:r>
      <w:bookmarkEnd w:id="940"/>
    </w:p>
    <w:p w14:paraId="3F4288AA"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6.1. Ogólne zasady kontroli jakości robót</w:t>
      </w:r>
    </w:p>
    <w:p w14:paraId="7681C88E"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kontroli jakości robót podano w SST   D-M-00.00.00 „Wymagania ogólne” [1] pkt 6.</w:t>
      </w:r>
    </w:p>
    <w:p w14:paraId="6BF7F7E1"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6.2. Badania przed przystąpieniem do robót</w:t>
      </w:r>
    </w:p>
    <w:p w14:paraId="22ED5C2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Przed przystąpieniem do robót Wykonawca powinien:</w:t>
      </w:r>
    </w:p>
    <w:p w14:paraId="06F5809E"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1353DA35"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ew. wykonać własne badania właściwości materiałów przeznaczonych do wykonania robót, określone przez Inżyniera.</w:t>
      </w:r>
    </w:p>
    <w:p w14:paraId="12E6EE8F"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Wszystkie dokumenty oraz wyniki badań Wykonawca przedstawia Inżynierowi do akceptacji.</w:t>
      </w:r>
    </w:p>
    <w:p w14:paraId="405AAC7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6.2.1.</w:t>
      </w:r>
      <w:r w:rsidRPr="006431C4">
        <w:rPr>
          <w:rFonts w:cs="Arial"/>
          <w:szCs w:val="20"/>
        </w:rPr>
        <w:t xml:space="preserve"> Badanie typu </w:t>
      </w:r>
    </w:p>
    <w:p w14:paraId="7197BDED"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655E25BB"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Badanie typu powinno zawierać:</w:t>
      </w:r>
    </w:p>
    <w:p w14:paraId="67DA61DB" w14:textId="77777777" w:rsidR="00CF11BE" w:rsidRPr="006431C4" w:rsidRDefault="00CF11BE" w:rsidP="00CF1E7D">
      <w:pPr>
        <w:numPr>
          <w:ilvl w:val="0"/>
          <w:numId w:val="159"/>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informacje ogólne:</w:t>
      </w:r>
    </w:p>
    <w:p w14:paraId="3FE8F01E" w14:textId="77777777" w:rsidR="00CF11BE" w:rsidRPr="006431C4" w:rsidRDefault="00CF11BE" w:rsidP="00CF1E7D">
      <w:pPr>
        <w:numPr>
          <w:ilvl w:val="0"/>
          <w:numId w:val="150"/>
        </w:numPr>
        <w:overflowPunct w:val="0"/>
        <w:autoSpaceDE w:val="0"/>
        <w:autoSpaceDN w:val="0"/>
        <w:adjustRightInd w:val="0"/>
        <w:spacing w:line="240" w:lineRule="auto"/>
        <w:jc w:val="both"/>
        <w:textAlignment w:val="baseline"/>
        <w:rPr>
          <w:rFonts w:cs="Arial"/>
          <w:szCs w:val="20"/>
        </w:rPr>
      </w:pPr>
      <w:r w:rsidRPr="006431C4">
        <w:rPr>
          <w:rFonts w:cs="Arial"/>
          <w:szCs w:val="20"/>
        </w:rPr>
        <w:t>nazwę i adres producenta mieszanki mineralno-asfaltowej,</w:t>
      </w:r>
    </w:p>
    <w:p w14:paraId="66507567" w14:textId="77777777" w:rsidR="00CF11BE" w:rsidRPr="006431C4" w:rsidRDefault="00CF11BE" w:rsidP="00CF1E7D">
      <w:pPr>
        <w:numPr>
          <w:ilvl w:val="0"/>
          <w:numId w:val="150"/>
        </w:numPr>
        <w:overflowPunct w:val="0"/>
        <w:autoSpaceDE w:val="0"/>
        <w:autoSpaceDN w:val="0"/>
        <w:adjustRightInd w:val="0"/>
        <w:spacing w:line="240" w:lineRule="auto"/>
        <w:jc w:val="both"/>
        <w:textAlignment w:val="baseline"/>
        <w:rPr>
          <w:rFonts w:cs="Arial"/>
          <w:szCs w:val="20"/>
        </w:rPr>
      </w:pPr>
      <w:r w:rsidRPr="006431C4">
        <w:rPr>
          <w:rFonts w:cs="Arial"/>
          <w:szCs w:val="20"/>
        </w:rPr>
        <w:t>datę wydania,</w:t>
      </w:r>
    </w:p>
    <w:p w14:paraId="37B4EDB3" w14:textId="77777777" w:rsidR="00CF11BE" w:rsidRPr="006431C4" w:rsidRDefault="00CF11BE" w:rsidP="00CF1E7D">
      <w:pPr>
        <w:numPr>
          <w:ilvl w:val="0"/>
          <w:numId w:val="150"/>
        </w:numPr>
        <w:overflowPunct w:val="0"/>
        <w:autoSpaceDE w:val="0"/>
        <w:autoSpaceDN w:val="0"/>
        <w:adjustRightInd w:val="0"/>
        <w:spacing w:line="240" w:lineRule="auto"/>
        <w:jc w:val="both"/>
        <w:textAlignment w:val="baseline"/>
        <w:rPr>
          <w:rFonts w:cs="Arial"/>
          <w:szCs w:val="20"/>
        </w:rPr>
      </w:pPr>
      <w:r w:rsidRPr="006431C4">
        <w:rPr>
          <w:rFonts w:cs="Arial"/>
          <w:szCs w:val="20"/>
        </w:rPr>
        <w:t>nazwę wytwórni produkującej mieszankę mineralno –asfaltową,</w:t>
      </w:r>
    </w:p>
    <w:p w14:paraId="330FBA7A" w14:textId="77777777" w:rsidR="00CF11BE" w:rsidRPr="006431C4" w:rsidRDefault="00CF11BE" w:rsidP="00CF1E7D">
      <w:pPr>
        <w:numPr>
          <w:ilvl w:val="0"/>
          <w:numId w:val="150"/>
        </w:numPr>
        <w:overflowPunct w:val="0"/>
        <w:autoSpaceDE w:val="0"/>
        <w:autoSpaceDN w:val="0"/>
        <w:adjustRightInd w:val="0"/>
        <w:spacing w:line="240" w:lineRule="auto"/>
        <w:jc w:val="both"/>
        <w:textAlignment w:val="baseline"/>
        <w:rPr>
          <w:rFonts w:cs="Arial"/>
          <w:szCs w:val="20"/>
        </w:rPr>
      </w:pPr>
      <w:r w:rsidRPr="006431C4">
        <w:rPr>
          <w:rFonts w:cs="Arial"/>
          <w:szCs w:val="20"/>
        </w:rPr>
        <w:t>określenie typu mieszanki i kategorii, z którymi jest deklarowana zgodność,</w:t>
      </w:r>
    </w:p>
    <w:p w14:paraId="7D71BAF9" w14:textId="77777777" w:rsidR="00CF11BE" w:rsidRPr="006431C4" w:rsidRDefault="00CF11BE" w:rsidP="00CF1E7D">
      <w:pPr>
        <w:numPr>
          <w:ilvl w:val="0"/>
          <w:numId w:val="150"/>
        </w:numPr>
        <w:overflowPunct w:val="0"/>
        <w:autoSpaceDE w:val="0"/>
        <w:autoSpaceDN w:val="0"/>
        <w:adjustRightInd w:val="0"/>
        <w:spacing w:line="240" w:lineRule="auto"/>
        <w:jc w:val="both"/>
        <w:textAlignment w:val="baseline"/>
        <w:rPr>
          <w:rFonts w:cs="Arial"/>
          <w:szCs w:val="20"/>
        </w:rPr>
      </w:pPr>
      <w:r w:rsidRPr="006431C4">
        <w:rPr>
          <w:rFonts w:cs="Arial"/>
          <w:szCs w:val="20"/>
        </w:rPr>
        <w:t>zestawienie metod przygotowania próbek oraz metod i warunków badania poszczególnych właściwości.</w:t>
      </w:r>
    </w:p>
    <w:p w14:paraId="0F1EEECD" w14:textId="77777777" w:rsidR="00CF11BE" w:rsidRPr="006431C4" w:rsidRDefault="00CF11BE" w:rsidP="00CF1E7D">
      <w:pPr>
        <w:numPr>
          <w:ilvl w:val="0"/>
          <w:numId w:val="159"/>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informacje o składnikach:</w:t>
      </w:r>
    </w:p>
    <w:p w14:paraId="30BBEA31" w14:textId="77777777" w:rsidR="00CF11BE" w:rsidRPr="006431C4" w:rsidRDefault="00CF11BE" w:rsidP="00CF1E7D">
      <w:pPr>
        <w:numPr>
          <w:ilvl w:val="0"/>
          <w:numId w:val="151"/>
        </w:numPr>
        <w:overflowPunct w:val="0"/>
        <w:autoSpaceDE w:val="0"/>
        <w:autoSpaceDN w:val="0"/>
        <w:adjustRightInd w:val="0"/>
        <w:spacing w:line="240" w:lineRule="auto"/>
        <w:jc w:val="both"/>
        <w:textAlignment w:val="baseline"/>
        <w:rPr>
          <w:rFonts w:cs="Arial"/>
          <w:szCs w:val="20"/>
        </w:rPr>
      </w:pPr>
      <w:r w:rsidRPr="006431C4">
        <w:rPr>
          <w:rFonts w:cs="Arial"/>
          <w:szCs w:val="20"/>
        </w:rPr>
        <w:t>każdy wymiar kruszywa: źródło i rodzaj,</w:t>
      </w:r>
    </w:p>
    <w:p w14:paraId="34142AB9" w14:textId="77777777" w:rsidR="00CF11BE" w:rsidRPr="006431C4" w:rsidRDefault="00CF11BE" w:rsidP="00CF1E7D">
      <w:pPr>
        <w:numPr>
          <w:ilvl w:val="0"/>
          <w:numId w:val="151"/>
        </w:numPr>
        <w:overflowPunct w:val="0"/>
        <w:autoSpaceDE w:val="0"/>
        <w:autoSpaceDN w:val="0"/>
        <w:adjustRightInd w:val="0"/>
        <w:spacing w:line="240" w:lineRule="auto"/>
        <w:jc w:val="both"/>
        <w:textAlignment w:val="baseline"/>
        <w:rPr>
          <w:rFonts w:cs="Arial"/>
          <w:szCs w:val="20"/>
        </w:rPr>
      </w:pPr>
      <w:r w:rsidRPr="006431C4">
        <w:rPr>
          <w:rFonts w:cs="Arial"/>
          <w:szCs w:val="20"/>
        </w:rPr>
        <w:t>lepiszcze: typ i rodzaj,</w:t>
      </w:r>
    </w:p>
    <w:p w14:paraId="04B7DBA5" w14:textId="77777777" w:rsidR="00CF11BE" w:rsidRPr="006431C4" w:rsidRDefault="00CF11BE" w:rsidP="00CF1E7D">
      <w:pPr>
        <w:numPr>
          <w:ilvl w:val="0"/>
          <w:numId w:val="151"/>
        </w:numPr>
        <w:overflowPunct w:val="0"/>
        <w:autoSpaceDE w:val="0"/>
        <w:autoSpaceDN w:val="0"/>
        <w:adjustRightInd w:val="0"/>
        <w:spacing w:line="240" w:lineRule="auto"/>
        <w:jc w:val="both"/>
        <w:textAlignment w:val="baseline"/>
        <w:rPr>
          <w:rFonts w:cs="Arial"/>
          <w:szCs w:val="20"/>
        </w:rPr>
      </w:pPr>
      <w:r w:rsidRPr="006431C4">
        <w:rPr>
          <w:rFonts w:cs="Arial"/>
          <w:szCs w:val="20"/>
        </w:rPr>
        <w:t>wypełniacz: źródło i rodzaj,</w:t>
      </w:r>
    </w:p>
    <w:p w14:paraId="1C71F3A7" w14:textId="77777777" w:rsidR="00CF11BE" w:rsidRPr="006431C4" w:rsidRDefault="00CF11BE" w:rsidP="00CF1E7D">
      <w:pPr>
        <w:numPr>
          <w:ilvl w:val="0"/>
          <w:numId w:val="151"/>
        </w:numPr>
        <w:overflowPunct w:val="0"/>
        <w:autoSpaceDE w:val="0"/>
        <w:autoSpaceDN w:val="0"/>
        <w:adjustRightInd w:val="0"/>
        <w:spacing w:line="240" w:lineRule="auto"/>
        <w:jc w:val="both"/>
        <w:textAlignment w:val="baseline"/>
        <w:rPr>
          <w:rFonts w:cs="Arial"/>
          <w:szCs w:val="20"/>
        </w:rPr>
      </w:pPr>
      <w:r w:rsidRPr="006431C4">
        <w:rPr>
          <w:rFonts w:cs="Arial"/>
          <w:szCs w:val="20"/>
        </w:rPr>
        <w:t>dodatki: źródło i rodzaj,</w:t>
      </w:r>
    </w:p>
    <w:p w14:paraId="5A9D15AC" w14:textId="77777777" w:rsidR="00CF11BE" w:rsidRPr="006431C4" w:rsidRDefault="00CF11BE" w:rsidP="00CF1E7D">
      <w:pPr>
        <w:numPr>
          <w:ilvl w:val="0"/>
          <w:numId w:val="151"/>
        </w:numPr>
        <w:overflowPunct w:val="0"/>
        <w:autoSpaceDE w:val="0"/>
        <w:autoSpaceDN w:val="0"/>
        <w:adjustRightInd w:val="0"/>
        <w:spacing w:line="240" w:lineRule="auto"/>
        <w:jc w:val="both"/>
        <w:textAlignment w:val="baseline"/>
        <w:rPr>
          <w:rFonts w:cs="Arial"/>
          <w:szCs w:val="20"/>
        </w:rPr>
      </w:pPr>
      <w:r w:rsidRPr="006431C4">
        <w:rPr>
          <w:rFonts w:cs="Arial"/>
          <w:szCs w:val="20"/>
        </w:rPr>
        <w:t>wszystkie składniki: wyniki badań zgodnie z zestawieniem podanym w tablicy 24.</w:t>
      </w:r>
    </w:p>
    <w:p w14:paraId="575556A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7FEB19F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795000E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Tablica 24. Rodzaj i liczba badań składników mieszanki mineralno-asfaltowej</w:t>
      </w:r>
    </w:p>
    <w:tbl>
      <w:tblPr>
        <w:tblW w:w="10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3402"/>
        <w:gridCol w:w="2337"/>
        <w:gridCol w:w="1387"/>
      </w:tblGrid>
      <w:tr w:rsidR="00CF11BE" w:rsidRPr="006431C4" w14:paraId="6898A83D" w14:textId="77777777" w:rsidTr="00CF11BE">
        <w:tc>
          <w:tcPr>
            <w:tcW w:w="3256" w:type="dxa"/>
          </w:tcPr>
          <w:p w14:paraId="0D3EA42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Składnik</w:t>
            </w:r>
          </w:p>
        </w:tc>
        <w:tc>
          <w:tcPr>
            <w:tcW w:w="3402" w:type="dxa"/>
          </w:tcPr>
          <w:p w14:paraId="372C8C7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2337" w:type="dxa"/>
          </w:tcPr>
          <w:p w14:paraId="431492D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 badania</w:t>
            </w:r>
          </w:p>
        </w:tc>
        <w:tc>
          <w:tcPr>
            <w:tcW w:w="1387" w:type="dxa"/>
          </w:tcPr>
          <w:p w14:paraId="0751CFA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Liczba badań</w:t>
            </w:r>
          </w:p>
        </w:tc>
      </w:tr>
      <w:tr w:rsidR="00CF11BE" w:rsidRPr="006431C4" w14:paraId="08F6829E" w14:textId="77777777" w:rsidTr="00CF11BE">
        <w:tc>
          <w:tcPr>
            <w:tcW w:w="3256" w:type="dxa"/>
            <w:vMerge w:val="restart"/>
          </w:tcPr>
          <w:p w14:paraId="437B133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Kruszywo</w:t>
            </w:r>
          </w:p>
          <w:p w14:paraId="639BE8E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13043 [49])</w:t>
            </w:r>
          </w:p>
        </w:tc>
        <w:tc>
          <w:tcPr>
            <w:tcW w:w="3402" w:type="dxa"/>
          </w:tcPr>
          <w:p w14:paraId="6F430FA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w:t>
            </w:r>
          </w:p>
        </w:tc>
        <w:tc>
          <w:tcPr>
            <w:tcW w:w="2337" w:type="dxa"/>
          </w:tcPr>
          <w:p w14:paraId="7ABB7D4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933-1 [6]</w:t>
            </w:r>
          </w:p>
        </w:tc>
        <w:tc>
          <w:tcPr>
            <w:tcW w:w="1387" w:type="dxa"/>
          </w:tcPr>
          <w:p w14:paraId="05C245A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 na frakcję</w:t>
            </w:r>
          </w:p>
        </w:tc>
      </w:tr>
      <w:tr w:rsidR="00CF11BE" w:rsidRPr="006431C4" w14:paraId="0AC49EB8" w14:textId="77777777" w:rsidTr="00CF11BE">
        <w:tc>
          <w:tcPr>
            <w:tcW w:w="3256" w:type="dxa"/>
            <w:vMerge/>
          </w:tcPr>
          <w:p w14:paraId="73FD994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3402" w:type="dxa"/>
          </w:tcPr>
          <w:p w14:paraId="62EEF7C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Gęstość</w:t>
            </w:r>
          </w:p>
        </w:tc>
        <w:tc>
          <w:tcPr>
            <w:tcW w:w="2337" w:type="dxa"/>
          </w:tcPr>
          <w:p w14:paraId="04A3D72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1097-6 [16]</w:t>
            </w:r>
          </w:p>
        </w:tc>
        <w:tc>
          <w:tcPr>
            <w:tcW w:w="1387" w:type="dxa"/>
          </w:tcPr>
          <w:p w14:paraId="1C808D9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 na frakcję</w:t>
            </w:r>
          </w:p>
        </w:tc>
      </w:tr>
      <w:tr w:rsidR="00CF11BE" w:rsidRPr="006431C4" w14:paraId="1FD10962" w14:textId="77777777" w:rsidTr="00CF11BE">
        <w:tc>
          <w:tcPr>
            <w:tcW w:w="3256" w:type="dxa"/>
            <w:vMerge w:val="restart"/>
          </w:tcPr>
          <w:p w14:paraId="3409A98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Lepiszcze (PN-EN 12591 [24], PN-EN 13924-2 [63], PN-EN 14023 [64])</w:t>
            </w:r>
          </w:p>
        </w:tc>
        <w:tc>
          <w:tcPr>
            <w:tcW w:w="3402" w:type="dxa"/>
          </w:tcPr>
          <w:p w14:paraId="71BA3C3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Penetracja lub tem-peratura mięknienia</w:t>
            </w:r>
          </w:p>
        </w:tc>
        <w:tc>
          <w:tcPr>
            <w:tcW w:w="2337" w:type="dxa"/>
          </w:tcPr>
          <w:p w14:paraId="10A6154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[21] lub</w:t>
            </w:r>
          </w:p>
          <w:p w14:paraId="4E8C11B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[22]</w:t>
            </w:r>
          </w:p>
        </w:tc>
        <w:tc>
          <w:tcPr>
            <w:tcW w:w="1387" w:type="dxa"/>
          </w:tcPr>
          <w:p w14:paraId="6E8FDAF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2E11C89D" w14:textId="77777777" w:rsidTr="00CF11BE">
        <w:tc>
          <w:tcPr>
            <w:tcW w:w="3256" w:type="dxa"/>
            <w:vMerge/>
          </w:tcPr>
          <w:p w14:paraId="3161B69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3402" w:type="dxa"/>
          </w:tcPr>
          <w:p w14:paraId="0CA77FD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vertAlign w:val="superscript"/>
              </w:rPr>
            </w:pPr>
            <w:r w:rsidRPr="006431C4">
              <w:rPr>
                <w:rFonts w:cs="Arial"/>
                <w:szCs w:val="20"/>
              </w:rPr>
              <w:t>Nawrót sprężysty</w:t>
            </w:r>
            <w:r w:rsidRPr="006431C4">
              <w:rPr>
                <w:rFonts w:cs="Arial"/>
                <w:szCs w:val="20"/>
                <w:vertAlign w:val="superscript"/>
              </w:rPr>
              <w:t>*)</w:t>
            </w:r>
          </w:p>
        </w:tc>
        <w:tc>
          <w:tcPr>
            <w:tcW w:w="2337" w:type="dxa"/>
          </w:tcPr>
          <w:p w14:paraId="10E0875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13398 [56]</w:t>
            </w:r>
          </w:p>
        </w:tc>
        <w:tc>
          <w:tcPr>
            <w:tcW w:w="1387" w:type="dxa"/>
          </w:tcPr>
          <w:p w14:paraId="10B5EB5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2051FA70" w14:textId="77777777" w:rsidTr="00CF11BE">
        <w:tc>
          <w:tcPr>
            <w:tcW w:w="3256" w:type="dxa"/>
            <w:vMerge w:val="restart"/>
          </w:tcPr>
          <w:p w14:paraId="7B49F35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Wypełniacz </w:t>
            </w:r>
          </w:p>
          <w:p w14:paraId="5F0A502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13043[49])</w:t>
            </w:r>
          </w:p>
        </w:tc>
        <w:tc>
          <w:tcPr>
            <w:tcW w:w="3402" w:type="dxa"/>
          </w:tcPr>
          <w:p w14:paraId="29B22E3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w:t>
            </w:r>
          </w:p>
        </w:tc>
        <w:tc>
          <w:tcPr>
            <w:tcW w:w="2337" w:type="dxa"/>
          </w:tcPr>
          <w:p w14:paraId="33A35DA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933-10 [12]</w:t>
            </w:r>
          </w:p>
        </w:tc>
        <w:tc>
          <w:tcPr>
            <w:tcW w:w="1387" w:type="dxa"/>
          </w:tcPr>
          <w:p w14:paraId="1D4CA49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3F39ABBF" w14:textId="77777777" w:rsidTr="00CF11BE">
        <w:tc>
          <w:tcPr>
            <w:tcW w:w="3256" w:type="dxa"/>
            <w:vMerge/>
          </w:tcPr>
          <w:p w14:paraId="0401512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3402" w:type="dxa"/>
          </w:tcPr>
          <w:p w14:paraId="41936DC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Gęstość</w:t>
            </w:r>
          </w:p>
        </w:tc>
        <w:tc>
          <w:tcPr>
            <w:tcW w:w="2337" w:type="dxa"/>
          </w:tcPr>
          <w:p w14:paraId="4FE6797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1097-7 [17]</w:t>
            </w:r>
          </w:p>
        </w:tc>
        <w:tc>
          <w:tcPr>
            <w:tcW w:w="1387" w:type="dxa"/>
          </w:tcPr>
          <w:p w14:paraId="57CF1A8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58D06233" w14:textId="77777777" w:rsidTr="00CF11BE">
        <w:tc>
          <w:tcPr>
            <w:tcW w:w="3256" w:type="dxa"/>
          </w:tcPr>
          <w:p w14:paraId="227E9E2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Dodatki</w:t>
            </w:r>
          </w:p>
        </w:tc>
        <w:tc>
          <w:tcPr>
            <w:tcW w:w="3402" w:type="dxa"/>
          </w:tcPr>
          <w:p w14:paraId="6E85D08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Typ</w:t>
            </w:r>
          </w:p>
        </w:tc>
        <w:tc>
          <w:tcPr>
            <w:tcW w:w="2337" w:type="dxa"/>
          </w:tcPr>
          <w:p w14:paraId="1E9D91C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1387" w:type="dxa"/>
          </w:tcPr>
          <w:p w14:paraId="1DEE44C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r>
    </w:tbl>
    <w:p w14:paraId="4D54204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vertAlign w:val="superscript"/>
        </w:rPr>
        <w:t>*)</w:t>
      </w:r>
      <w:r w:rsidRPr="006431C4">
        <w:rPr>
          <w:rFonts w:cs="Arial"/>
          <w:szCs w:val="20"/>
        </w:rPr>
        <w:t xml:space="preserve"> dotyczy jedynie lepiszczy wg PN-EN 14023[64]</w:t>
      </w:r>
    </w:p>
    <w:p w14:paraId="2F68521D" w14:textId="77777777" w:rsidR="00CF11BE" w:rsidRPr="006431C4" w:rsidRDefault="00CF11BE" w:rsidP="00CF1E7D">
      <w:pPr>
        <w:numPr>
          <w:ilvl w:val="0"/>
          <w:numId w:val="159"/>
        </w:numPr>
        <w:overflowPunct w:val="0"/>
        <w:autoSpaceDE w:val="0"/>
        <w:autoSpaceDN w:val="0"/>
        <w:adjustRightInd w:val="0"/>
        <w:spacing w:line="240" w:lineRule="auto"/>
        <w:ind w:left="425" w:hanging="357"/>
        <w:jc w:val="both"/>
        <w:textAlignment w:val="baseline"/>
        <w:rPr>
          <w:rFonts w:cs="Arial"/>
          <w:szCs w:val="20"/>
        </w:rPr>
      </w:pPr>
      <w:r w:rsidRPr="006431C4">
        <w:rPr>
          <w:rFonts w:cs="Arial"/>
          <w:szCs w:val="20"/>
        </w:rPr>
        <w:t>informacje o mieszance mineralno-asfaltowej:</w:t>
      </w:r>
    </w:p>
    <w:p w14:paraId="5022ED17" w14:textId="77777777" w:rsidR="00CF11BE" w:rsidRPr="006431C4" w:rsidRDefault="00CF11BE" w:rsidP="00CF1E7D">
      <w:pPr>
        <w:numPr>
          <w:ilvl w:val="0"/>
          <w:numId w:val="152"/>
        </w:numPr>
        <w:overflowPunct w:val="0"/>
        <w:autoSpaceDE w:val="0"/>
        <w:autoSpaceDN w:val="0"/>
        <w:adjustRightInd w:val="0"/>
        <w:spacing w:line="240" w:lineRule="auto"/>
        <w:jc w:val="both"/>
        <w:textAlignment w:val="baseline"/>
        <w:rPr>
          <w:rFonts w:cs="Arial"/>
          <w:szCs w:val="20"/>
        </w:rPr>
      </w:pPr>
      <w:r w:rsidRPr="006431C4">
        <w:rPr>
          <w:rFonts w:cs="Arial"/>
          <w:szCs w:val="20"/>
        </w:rPr>
        <w:t>skład mieszaki podany jako wejściowy (w przypadku walidacji w laboratorium) lub wyjściowy skład (w wypadku walidacji produkcji),</w:t>
      </w:r>
    </w:p>
    <w:p w14:paraId="66EE5AED" w14:textId="77777777" w:rsidR="00CF11BE" w:rsidRPr="006431C4" w:rsidRDefault="00CF11BE" w:rsidP="00CF1E7D">
      <w:pPr>
        <w:numPr>
          <w:ilvl w:val="0"/>
          <w:numId w:val="152"/>
        </w:numPr>
        <w:overflowPunct w:val="0"/>
        <w:autoSpaceDE w:val="0"/>
        <w:autoSpaceDN w:val="0"/>
        <w:adjustRightInd w:val="0"/>
        <w:spacing w:line="240" w:lineRule="auto"/>
        <w:jc w:val="both"/>
        <w:textAlignment w:val="baseline"/>
        <w:rPr>
          <w:rFonts w:cs="Arial"/>
          <w:szCs w:val="20"/>
        </w:rPr>
      </w:pPr>
      <w:r w:rsidRPr="006431C4">
        <w:rPr>
          <w:rFonts w:cs="Arial"/>
          <w:szCs w:val="20"/>
        </w:rPr>
        <w:t>wyniki badań zgodnie z zestawieniem podanym w tablicy 25.</w:t>
      </w:r>
    </w:p>
    <w:p w14:paraId="6123328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Tablica 25. Rodzaj i liczba badań mieszanki mineralno-asfaltowej</w:t>
      </w:r>
    </w:p>
    <w:tbl>
      <w:tblPr>
        <w:tblW w:w="10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3969"/>
        <w:gridCol w:w="1680"/>
      </w:tblGrid>
      <w:tr w:rsidR="00CF11BE" w:rsidRPr="006431C4" w14:paraId="75A28E1C" w14:textId="77777777" w:rsidTr="00CF11BE">
        <w:tc>
          <w:tcPr>
            <w:tcW w:w="4673" w:type="dxa"/>
          </w:tcPr>
          <w:p w14:paraId="1E57401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3969" w:type="dxa"/>
          </w:tcPr>
          <w:p w14:paraId="144359C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Metoda badania</w:t>
            </w:r>
          </w:p>
        </w:tc>
        <w:tc>
          <w:tcPr>
            <w:tcW w:w="1680" w:type="dxa"/>
          </w:tcPr>
          <w:p w14:paraId="76D8C8F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Liczba badań</w:t>
            </w:r>
          </w:p>
        </w:tc>
      </w:tr>
      <w:tr w:rsidR="00CF11BE" w:rsidRPr="006431C4" w14:paraId="2FE231F7" w14:textId="77777777" w:rsidTr="00CF11BE">
        <w:tc>
          <w:tcPr>
            <w:tcW w:w="4673" w:type="dxa"/>
          </w:tcPr>
          <w:p w14:paraId="7832B50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lepiszcza (obowiązkowa)</w:t>
            </w:r>
          </w:p>
        </w:tc>
        <w:tc>
          <w:tcPr>
            <w:tcW w:w="3969" w:type="dxa"/>
          </w:tcPr>
          <w:p w14:paraId="4C583DF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12697-1[31]</w:t>
            </w:r>
          </w:p>
          <w:p w14:paraId="704EE86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12697-39[45]</w:t>
            </w:r>
          </w:p>
        </w:tc>
        <w:tc>
          <w:tcPr>
            <w:tcW w:w="1680" w:type="dxa"/>
          </w:tcPr>
          <w:p w14:paraId="1E369AE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60F09E09" w14:textId="77777777" w:rsidTr="00CF11BE">
        <w:tc>
          <w:tcPr>
            <w:tcW w:w="4673" w:type="dxa"/>
          </w:tcPr>
          <w:p w14:paraId="13A3AF9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 (obowiązkowa)</w:t>
            </w:r>
          </w:p>
        </w:tc>
        <w:tc>
          <w:tcPr>
            <w:tcW w:w="3969" w:type="dxa"/>
          </w:tcPr>
          <w:p w14:paraId="09940C0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 [32]</w:t>
            </w:r>
          </w:p>
        </w:tc>
        <w:tc>
          <w:tcPr>
            <w:tcW w:w="1680" w:type="dxa"/>
          </w:tcPr>
          <w:p w14:paraId="0F9EFA2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54A338B5" w14:textId="77777777" w:rsidTr="00CF11BE">
        <w:tc>
          <w:tcPr>
            <w:tcW w:w="4673" w:type="dxa"/>
          </w:tcPr>
          <w:p w14:paraId="09EBAB9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 łącznie z VFB i VMA przy wymaganej zawartości wolnych przestrzeni V</w:t>
            </w:r>
            <w:r w:rsidRPr="006431C4">
              <w:rPr>
                <w:rFonts w:cs="Arial"/>
                <w:szCs w:val="20"/>
                <w:vertAlign w:val="subscript"/>
              </w:rPr>
              <w:t>max</w:t>
            </w:r>
            <w:r w:rsidRPr="006431C4">
              <w:rPr>
                <w:rFonts w:cs="Arial"/>
                <w:szCs w:val="20"/>
              </w:rPr>
              <w:t>≤7% (obowiązkowa)</w:t>
            </w:r>
          </w:p>
        </w:tc>
        <w:tc>
          <w:tcPr>
            <w:tcW w:w="3969" w:type="dxa"/>
          </w:tcPr>
          <w:p w14:paraId="312398E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12697-8 [35]</w:t>
            </w:r>
          </w:p>
          <w:p w14:paraId="3DAD9ADA"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Gęstość objętościowa wg PN-EN 12697-6 [34], metoda B, w stanie nasyconym powierz-chniowo suchym. Gęstość wg PN-EN 12697-5 [33], metoda A w wodzie</w:t>
            </w:r>
          </w:p>
        </w:tc>
        <w:tc>
          <w:tcPr>
            <w:tcW w:w="1680" w:type="dxa"/>
          </w:tcPr>
          <w:p w14:paraId="481A7B3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3AF65EB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189BD1D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2CCD222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68927DC3" w14:textId="77777777" w:rsidTr="00CF11BE">
        <w:tc>
          <w:tcPr>
            <w:tcW w:w="4673" w:type="dxa"/>
          </w:tcPr>
          <w:p w14:paraId="14C3671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Wrażliwość na działanie wody (powiązana funkcjonalnie)</w:t>
            </w:r>
          </w:p>
        </w:tc>
        <w:tc>
          <w:tcPr>
            <w:tcW w:w="3969" w:type="dxa"/>
          </w:tcPr>
          <w:p w14:paraId="275700C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12697-12 [37]</w:t>
            </w:r>
          </w:p>
        </w:tc>
        <w:tc>
          <w:tcPr>
            <w:tcW w:w="1680" w:type="dxa"/>
          </w:tcPr>
          <w:p w14:paraId="4FC58BD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5403D2F1" w14:textId="77777777" w:rsidTr="00CF11BE">
        <w:tc>
          <w:tcPr>
            <w:tcW w:w="4673" w:type="dxa"/>
          </w:tcPr>
          <w:p w14:paraId="56EF86B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Odporność na deformacje trwałe (powiązana funkcjonalnie), dotyczy betonu asfaltowego </w:t>
            </w:r>
            <w:proofErr w:type="spellStart"/>
            <w:r w:rsidRPr="006431C4">
              <w:rPr>
                <w:rFonts w:cs="Arial"/>
                <w:szCs w:val="20"/>
              </w:rPr>
              <w:t>zaprojektowa-nego</w:t>
            </w:r>
            <w:proofErr w:type="spellEnd"/>
            <w:r w:rsidRPr="006431C4">
              <w:rPr>
                <w:rFonts w:cs="Arial"/>
                <w:szCs w:val="20"/>
              </w:rPr>
              <w:t xml:space="preserve"> do maksymalnego obciążenia osi poniżej 130 kN</w:t>
            </w:r>
          </w:p>
        </w:tc>
        <w:tc>
          <w:tcPr>
            <w:tcW w:w="3969" w:type="dxa"/>
          </w:tcPr>
          <w:p w14:paraId="3E0F20D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12697-22 [39]</w:t>
            </w:r>
          </w:p>
          <w:p w14:paraId="656CEC6B"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mały aparat, metoda B w powietrzu, przy wymaganej temperaturze</w:t>
            </w:r>
          </w:p>
        </w:tc>
        <w:tc>
          <w:tcPr>
            <w:tcW w:w="1680" w:type="dxa"/>
          </w:tcPr>
          <w:p w14:paraId="1EB6A3C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5FB6F4F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8E1A85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2B0F4B1C" w14:textId="77777777" w:rsidTr="00CF11BE">
        <w:tc>
          <w:tcPr>
            <w:tcW w:w="4673" w:type="dxa"/>
          </w:tcPr>
          <w:p w14:paraId="31C0506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Sztywność (funkcjonalna)</w:t>
            </w:r>
          </w:p>
        </w:tc>
        <w:tc>
          <w:tcPr>
            <w:tcW w:w="3969" w:type="dxa"/>
          </w:tcPr>
          <w:p w14:paraId="39D8512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12697-26 [42]</w:t>
            </w:r>
          </w:p>
        </w:tc>
        <w:tc>
          <w:tcPr>
            <w:tcW w:w="1680" w:type="dxa"/>
          </w:tcPr>
          <w:p w14:paraId="3AAD728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4547D9E2" w14:textId="77777777" w:rsidTr="00CF11BE">
        <w:tc>
          <w:tcPr>
            <w:tcW w:w="4673" w:type="dxa"/>
          </w:tcPr>
          <w:p w14:paraId="04C12F2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Zmęczenie (funkcjonalna) do nawierzchni zaprojektowanych wg kryterium opartym na czteropunktowym zginaniu </w:t>
            </w:r>
          </w:p>
        </w:tc>
        <w:tc>
          <w:tcPr>
            <w:tcW w:w="3969" w:type="dxa"/>
          </w:tcPr>
          <w:p w14:paraId="023A33E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DE4C9E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12697-24 [41], załącznik D</w:t>
            </w:r>
          </w:p>
        </w:tc>
        <w:tc>
          <w:tcPr>
            <w:tcW w:w="1680" w:type="dxa"/>
          </w:tcPr>
          <w:p w14:paraId="1D227F3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4F77E2E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22AAB870" w14:textId="77777777" w:rsidTr="00CF11BE">
        <w:tc>
          <w:tcPr>
            <w:tcW w:w="4673" w:type="dxa"/>
          </w:tcPr>
          <w:p w14:paraId="707E8E8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Odporność na paliwo (powiązana funkcjonalnie)</w:t>
            </w:r>
          </w:p>
        </w:tc>
        <w:tc>
          <w:tcPr>
            <w:tcW w:w="3969" w:type="dxa"/>
          </w:tcPr>
          <w:p w14:paraId="422E288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12697-43 [47]</w:t>
            </w:r>
          </w:p>
        </w:tc>
        <w:tc>
          <w:tcPr>
            <w:tcW w:w="1680" w:type="dxa"/>
          </w:tcPr>
          <w:p w14:paraId="7FD4D2D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CF11BE" w:rsidRPr="006431C4" w14:paraId="2A982EE0" w14:textId="77777777" w:rsidTr="00CF11BE">
        <w:tc>
          <w:tcPr>
            <w:tcW w:w="4673" w:type="dxa"/>
          </w:tcPr>
          <w:p w14:paraId="0A726B3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Odporność na środki odladzające (powiązana funkcjonalnie)</w:t>
            </w:r>
          </w:p>
        </w:tc>
        <w:tc>
          <w:tcPr>
            <w:tcW w:w="3969" w:type="dxa"/>
          </w:tcPr>
          <w:p w14:paraId="6288F91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12697-41 [46]</w:t>
            </w:r>
          </w:p>
        </w:tc>
        <w:tc>
          <w:tcPr>
            <w:tcW w:w="1680" w:type="dxa"/>
          </w:tcPr>
          <w:p w14:paraId="3BC90A2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bl>
    <w:p w14:paraId="2B4B08A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highlight w:val="yellow"/>
        </w:rPr>
      </w:pPr>
    </w:p>
    <w:p w14:paraId="78973711"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Badanie typu należy przeprowadzić zgodnie z PN-EN 13108-20 [52] przy pierwszym wprowadzeniu mieszanek mineralno-asfaltowych do obrotu i powinno być powtórzone w wypadku:</w:t>
      </w:r>
    </w:p>
    <w:p w14:paraId="5C288FEB"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upływu trzech lat,</w:t>
      </w:r>
    </w:p>
    <w:p w14:paraId="1B26173F"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zmiany złoża kruszywa,</w:t>
      </w:r>
    </w:p>
    <w:p w14:paraId="1F567C71"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zmiany rodzaju kruszywa (typu petrograficznego),</w:t>
      </w:r>
    </w:p>
    <w:p w14:paraId="53F0C980"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zmiany kategorii kruszywa grubego, jak definiowano w PN-EN 13043 [49], jednej z następujących właściwości: kształtu, udziału ziaren częściowo przekruszonych, odporności na rozdrabnianie, odporności na ścieranie lub kanciastości kruszywa drobnego,</w:t>
      </w:r>
    </w:p>
    <w:p w14:paraId="576F1428"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lastRenderedPageBreak/>
        <w:t>zmiany gęstości ziaren (średnia ważona) o więcej niż 0,05 Mg/m</w:t>
      </w:r>
      <w:r w:rsidRPr="006431C4">
        <w:rPr>
          <w:rFonts w:cs="Arial"/>
          <w:color w:val="000000"/>
          <w:szCs w:val="20"/>
          <w:vertAlign w:val="superscript"/>
        </w:rPr>
        <w:t>3</w:t>
      </w:r>
      <w:r w:rsidRPr="006431C4">
        <w:rPr>
          <w:rFonts w:cs="Arial"/>
          <w:color w:val="000000"/>
          <w:szCs w:val="20"/>
        </w:rPr>
        <w:t>,</w:t>
      </w:r>
    </w:p>
    <w:p w14:paraId="5B652882"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zmiany rodzaju lepiszcza,</w:t>
      </w:r>
    </w:p>
    <w:p w14:paraId="52CFE53B"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zmiany typu mineralogicznego wypełniacza.</w:t>
      </w:r>
    </w:p>
    <w:p w14:paraId="0C99F8C1"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09E8C24F"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6.3. Badania w czasie robót</w:t>
      </w:r>
    </w:p>
    <w:p w14:paraId="4172FB0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dzielą się na:</w:t>
      </w:r>
    </w:p>
    <w:p w14:paraId="731553CB" w14:textId="77777777" w:rsidR="00CF11BE" w:rsidRPr="006431C4" w:rsidRDefault="00CF11BE" w:rsidP="00CF1E7D">
      <w:pPr>
        <w:numPr>
          <w:ilvl w:val="0"/>
          <w:numId w:val="136"/>
        </w:numPr>
        <w:overflowPunct w:val="0"/>
        <w:autoSpaceDE w:val="0"/>
        <w:autoSpaceDN w:val="0"/>
        <w:adjustRightInd w:val="0"/>
        <w:spacing w:line="240" w:lineRule="auto"/>
        <w:jc w:val="both"/>
        <w:textAlignment w:val="baseline"/>
        <w:rPr>
          <w:rFonts w:cs="Arial"/>
          <w:szCs w:val="20"/>
        </w:rPr>
      </w:pPr>
      <w:r w:rsidRPr="006431C4">
        <w:rPr>
          <w:rFonts w:cs="Arial"/>
          <w:szCs w:val="20"/>
        </w:rPr>
        <w:t>badania Wykonawcy (w ramach własnego nadzoru),</w:t>
      </w:r>
    </w:p>
    <w:p w14:paraId="143C968C" w14:textId="77777777" w:rsidR="00CF11BE" w:rsidRPr="006431C4" w:rsidRDefault="00CF11BE" w:rsidP="00CF1E7D">
      <w:pPr>
        <w:numPr>
          <w:ilvl w:val="0"/>
          <w:numId w:val="136"/>
        </w:numPr>
        <w:overflowPunct w:val="0"/>
        <w:autoSpaceDE w:val="0"/>
        <w:autoSpaceDN w:val="0"/>
        <w:adjustRightInd w:val="0"/>
        <w:spacing w:line="240" w:lineRule="auto"/>
        <w:jc w:val="both"/>
        <w:textAlignment w:val="baseline"/>
        <w:rPr>
          <w:rFonts w:cs="Arial"/>
          <w:szCs w:val="20"/>
        </w:rPr>
      </w:pPr>
      <w:r w:rsidRPr="006431C4">
        <w:rPr>
          <w:rFonts w:cs="Arial"/>
          <w:szCs w:val="20"/>
        </w:rPr>
        <w:t>badania kontrolne (w ramach nadzoru zleceniodawcy – Inżyniera):</w:t>
      </w:r>
    </w:p>
    <w:p w14:paraId="73683FD0" w14:textId="77777777" w:rsidR="00CF11BE" w:rsidRPr="006431C4" w:rsidRDefault="00CF11BE" w:rsidP="00CF1E7D">
      <w:pPr>
        <w:numPr>
          <w:ilvl w:val="0"/>
          <w:numId w:val="136"/>
        </w:numPr>
        <w:overflowPunct w:val="0"/>
        <w:autoSpaceDE w:val="0"/>
        <w:autoSpaceDN w:val="0"/>
        <w:adjustRightInd w:val="0"/>
        <w:spacing w:line="240" w:lineRule="auto"/>
        <w:ind w:hanging="37"/>
        <w:jc w:val="both"/>
        <w:textAlignment w:val="baseline"/>
        <w:rPr>
          <w:rFonts w:cs="Arial"/>
          <w:szCs w:val="20"/>
        </w:rPr>
      </w:pPr>
      <w:r w:rsidRPr="006431C4">
        <w:rPr>
          <w:rFonts w:cs="Arial"/>
          <w:szCs w:val="20"/>
        </w:rPr>
        <w:t>dodatkowe,</w:t>
      </w:r>
    </w:p>
    <w:p w14:paraId="01650F4B" w14:textId="77777777" w:rsidR="00CF11BE" w:rsidRPr="006431C4" w:rsidRDefault="00CF11BE" w:rsidP="00CF1E7D">
      <w:pPr>
        <w:numPr>
          <w:ilvl w:val="0"/>
          <w:numId w:val="136"/>
        </w:numPr>
        <w:overflowPunct w:val="0"/>
        <w:autoSpaceDE w:val="0"/>
        <w:autoSpaceDN w:val="0"/>
        <w:adjustRightInd w:val="0"/>
        <w:spacing w:line="240" w:lineRule="auto"/>
        <w:ind w:hanging="37"/>
        <w:jc w:val="both"/>
        <w:textAlignment w:val="baseline"/>
        <w:rPr>
          <w:rFonts w:cs="Arial"/>
          <w:szCs w:val="20"/>
        </w:rPr>
      </w:pPr>
      <w:r w:rsidRPr="006431C4">
        <w:rPr>
          <w:rFonts w:cs="Arial"/>
          <w:szCs w:val="20"/>
        </w:rPr>
        <w:t>arbitrażowe.</w:t>
      </w:r>
    </w:p>
    <w:p w14:paraId="1D08661F"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6.4. Badania Wykonawcy</w:t>
      </w:r>
    </w:p>
    <w:p w14:paraId="66427DB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6.4.1.</w:t>
      </w:r>
      <w:r w:rsidRPr="006431C4">
        <w:rPr>
          <w:rFonts w:cs="Arial"/>
          <w:szCs w:val="20"/>
        </w:rPr>
        <w:t xml:space="preserve"> Badania w czasie wytwarzania mieszanki mineralno-asfaltowej </w:t>
      </w:r>
    </w:p>
    <w:p w14:paraId="1FDEB622"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Badania Wykonawcy w czasie wytwarzania mieszanki mineralno–asfaltowej powinny być wykonywane w ramach zakładowej kontroli produkcji, zgodnie z normą PN-EN 13108-21 [53].</w:t>
      </w:r>
    </w:p>
    <w:p w14:paraId="3DFDF8E3"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Zakres badań Wykonawcy w systemie zakładowej kontroli produkcji obejmuje:</w:t>
      </w:r>
    </w:p>
    <w:p w14:paraId="534201B1" w14:textId="77777777" w:rsidR="00CF11BE" w:rsidRPr="006431C4" w:rsidRDefault="00CF11BE" w:rsidP="00CF1E7D">
      <w:pPr>
        <w:numPr>
          <w:ilvl w:val="0"/>
          <w:numId w:val="146"/>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badania materiałów wsadowych do mieszanki mineralno-asfaltowej (asfaltów, kruszyw wypełniacza  i dodatków), </w:t>
      </w:r>
    </w:p>
    <w:p w14:paraId="2647CC5A" w14:textId="77777777" w:rsidR="00CF11BE" w:rsidRPr="006431C4" w:rsidRDefault="00CF11BE" w:rsidP="00CF1E7D">
      <w:pPr>
        <w:numPr>
          <w:ilvl w:val="0"/>
          <w:numId w:val="146"/>
        </w:numPr>
        <w:overflowPunct w:val="0"/>
        <w:autoSpaceDE w:val="0"/>
        <w:autoSpaceDN w:val="0"/>
        <w:adjustRightInd w:val="0"/>
        <w:spacing w:line="240" w:lineRule="auto"/>
        <w:jc w:val="both"/>
        <w:textAlignment w:val="baseline"/>
        <w:rPr>
          <w:rFonts w:cs="Arial"/>
          <w:szCs w:val="20"/>
        </w:rPr>
      </w:pPr>
      <w:r w:rsidRPr="006431C4">
        <w:rPr>
          <w:rFonts w:cs="Arial"/>
          <w:szCs w:val="20"/>
        </w:rPr>
        <w:t>badanie składu i właściwości mieszanki mineralno-asfaltowej.</w:t>
      </w:r>
    </w:p>
    <w:p w14:paraId="2B776580"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Częstotliwość oraz zakres badań i pomiarów w czasie wytwarzania mieszanki mineralno-asfaltowej powinno być zgodne z certyfikowanym systemem ZKP. </w:t>
      </w:r>
    </w:p>
    <w:p w14:paraId="1E7D99F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6.4.2.</w:t>
      </w:r>
      <w:r w:rsidRPr="006431C4">
        <w:rPr>
          <w:rFonts w:cs="Arial"/>
          <w:szCs w:val="20"/>
        </w:rPr>
        <w:t xml:space="preserve"> Badania w czasie wykonywania warstwy asfaltowej i badania gotowej warstwy</w:t>
      </w:r>
      <w:r w:rsidRPr="006431C4">
        <w:rPr>
          <w:rFonts w:cs="Arial"/>
          <w:szCs w:val="20"/>
        </w:rPr>
        <w:tab/>
      </w:r>
    </w:p>
    <w:p w14:paraId="5387A677"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14:paraId="1609FCF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183B8D5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Wyniki badań Wykonawcy należy przekazywać Inżynierowi na jego żądanie. Inżynier może zdecydować o dokonaniu odbioru na podstawie badań Wykonawcy. W razie zastrzeżeń Inżynier może przeprowadzić badania kontrolne według pktu 6.5.</w:t>
      </w:r>
    </w:p>
    <w:p w14:paraId="3FAA201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Zakres badań Wykonawcy związany z wykonywaniem nawierzchni:</w:t>
      </w:r>
    </w:p>
    <w:p w14:paraId="7C9EECBF"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temperatury powietrza,</w:t>
      </w:r>
    </w:p>
    <w:p w14:paraId="77ED5105"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temperatury mieszanki mineralno-asfaltowej podczas wykonywania nawierzchni (wg PN-EN 12697-13 [38]),</w:t>
      </w:r>
    </w:p>
    <w:p w14:paraId="664A33E9"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mieszanki mineralno-asfaltowej,</w:t>
      </w:r>
    </w:p>
    <w:p w14:paraId="47B65EAA"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posypki,</w:t>
      </w:r>
    </w:p>
    <w:p w14:paraId="3A5A849D"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wykaz ilości materiałów lub grubości wykonanej warstwy,</w:t>
      </w:r>
    </w:p>
    <w:p w14:paraId="3D9E413E"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spadku poprzecznego warstwy asfaltowej,</w:t>
      </w:r>
    </w:p>
    <w:p w14:paraId="7B39C8ED"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równości warstwy asfaltowej (wg pktu 6.5.4.4),</w:t>
      </w:r>
    </w:p>
    <w:p w14:paraId="72DE3164"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dokumentacja działań podejmowanych celem zapewnienia odpowiednich właściwości przeciwpoślizgowych,</w:t>
      </w:r>
    </w:p>
    <w:p w14:paraId="5119CEED"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parametrów geometrycznych poboczy,</w:t>
      </w:r>
    </w:p>
    <w:p w14:paraId="66242ED7"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jednorodności powierzchni warstwy,</w:t>
      </w:r>
    </w:p>
    <w:p w14:paraId="1525D8A8" w14:textId="77777777" w:rsidR="00CF11BE" w:rsidRPr="006431C4" w:rsidRDefault="00CF11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jakości wykonania połączeń technologicznych.</w:t>
      </w:r>
    </w:p>
    <w:p w14:paraId="67F563BE"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6.5. Badania kontrolne zamawiającego</w:t>
      </w:r>
    </w:p>
    <w:p w14:paraId="4C00718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480F108B" w14:textId="77777777" w:rsidR="00CF11BE" w:rsidRPr="006431C4" w:rsidRDefault="00CF11BE" w:rsidP="00CF11BE">
      <w:pPr>
        <w:spacing w:line="240" w:lineRule="auto"/>
        <w:ind w:firstLine="709"/>
        <w:jc w:val="both"/>
        <w:rPr>
          <w:rFonts w:cs="Arial"/>
          <w:szCs w:val="20"/>
        </w:rPr>
      </w:pPr>
      <w:r w:rsidRPr="006431C4">
        <w:rPr>
          <w:rFonts w:cs="Arial"/>
          <w:szCs w:val="20"/>
        </w:rPr>
        <w:t xml:space="preserve">Rodzaj i zakres badań kontrolnych Zamawiającego mieszanki mineralno-asfaltowej i wykonanej warstwy jest następujący: </w:t>
      </w:r>
    </w:p>
    <w:p w14:paraId="04FA848F" w14:textId="77777777" w:rsidR="00CF11BE" w:rsidRPr="006431C4" w:rsidRDefault="00CF11BE" w:rsidP="00CF1E7D">
      <w:pPr>
        <w:numPr>
          <w:ilvl w:val="0"/>
          <w:numId w:val="142"/>
        </w:numPr>
        <w:overflowPunct w:val="0"/>
        <w:autoSpaceDE w:val="0"/>
        <w:autoSpaceDN w:val="0"/>
        <w:adjustRightInd w:val="0"/>
        <w:spacing w:line="240" w:lineRule="auto"/>
        <w:jc w:val="both"/>
        <w:textAlignment w:val="baseline"/>
        <w:rPr>
          <w:rFonts w:cs="Arial"/>
          <w:szCs w:val="20"/>
        </w:rPr>
      </w:pPr>
      <w:r w:rsidRPr="006431C4">
        <w:rPr>
          <w:rFonts w:cs="Arial"/>
          <w:szCs w:val="20"/>
        </w:rPr>
        <w:t>badania materiałów wsadowych do mieszanki mineralno-asfaltowej (asfaltów, kruszyw, wypełniacza  i dodatków).</w:t>
      </w:r>
    </w:p>
    <w:p w14:paraId="19BC102F" w14:textId="77777777" w:rsidR="00CF11BE" w:rsidRPr="006431C4" w:rsidRDefault="00CF11BE" w:rsidP="00CF11BE">
      <w:pPr>
        <w:spacing w:line="240" w:lineRule="auto"/>
        <w:jc w:val="both"/>
        <w:rPr>
          <w:rFonts w:cs="Arial"/>
          <w:szCs w:val="20"/>
        </w:rPr>
      </w:pPr>
      <w:r w:rsidRPr="006431C4">
        <w:rPr>
          <w:rFonts w:cs="Arial"/>
          <w:szCs w:val="20"/>
        </w:rPr>
        <w:t>Mieszanka mineralno-asfaltowa:</w:t>
      </w:r>
    </w:p>
    <w:p w14:paraId="5EC59152" w14:textId="77777777" w:rsidR="00CF11BE" w:rsidRPr="006431C4" w:rsidRDefault="00CF11BE" w:rsidP="00CF1E7D">
      <w:pPr>
        <w:numPr>
          <w:ilvl w:val="0"/>
          <w:numId w:val="143"/>
        </w:numPr>
        <w:overflowPunct w:val="0"/>
        <w:autoSpaceDE w:val="0"/>
        <w:autoSpaceDN w:val="0"/>
        <w:adjustRightInd w:val="0"/>
        <w:spacing w:line="240" w:lineRule="auto"/>
        <w:jc w:val="both"/>
        <w:textAlignment w:val="baseline"/>
        <w:rPr>
          <w:rFonts w:cs="Arial"/>
          <w:szCs w:val="20"/>
        </w:rPr>
      </w:pPr>
      <w:r w:rsidRPr="006431C4">
        <w:rPr>
          <w:rFonts w:cs="Arial"/>
          <w:szCs w:val="20"/>
        </w:rPr>
        <w:t>uziarnienie,</w:t>
      </w:r>
    </w:p>
    <w:p w14:paraId="5C64E41C" w14:textId="77777777" w:rsidR="00CF11BE" w:rsidRPr="006431C4" w:rsidRDefault="00CF11BE" w:rsidP="00CF1E7D">
      <w:pPr>
        <w:numPr>
          <w:ilvl w:val="0"/>
          <w:numId w:val="143"/>
        </w:numPr>
        <w:overflowPunct w:val="0"/>
        <w:autoSpaceDE w:val="0"/>
        <w:autoSpaceDN w:val="0"/>
        <w:adjustRightInd w:val="0"/>
        <w:spacing w:line="240" w:lineRule="auto"/>
        <w:jc w:val="both"/>
        <w:textAlignment w:val="baseline"/>
        <w:rPr>
          <w:rFonts w:cs="Arial"/>
          <w:szCs w:val="20"/>
        </w:rPr>
      </w:pPr>
      <w:r w:rsidRPr="006431C4">
        <w:rPr>
          <w:rFonts w:cs="Arial"/>
          <w:szCs w:val="20"/>
        </w:rPr>
        <w:t>zawartość lepiszcza,</w:t>
      </w:r>
    </w:p>
    <w:p w14:paraId="258FE08A" w14:textId="77777777" w:rsidR="00CF11BE" w:rsidRPr="006431C4" w:rsidRDefault="00CF11BE" w:rsidP="00CF1E7D">
      <w:pPr>
        <w:numPr>
          <w:ilvl w:val="0"/>
          <w:numId w:val="143"/>
        </w:num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 odzyskanego lepiszcza,</w:t>
      </w:r>
    </w:p>
    <w:p w14:paraId="1BA5C3DC" w14:textId="77777777" w:rsidR="00CF11BE" w:rsidRPr="006431C4" w:rsidRDefault="00CF11BE" w:rsidP="00CF1E7D">
      <w:pPr>
        <w:numPr>
          <w:ilvl w:val="0"/>
          <w:numId w:val="143"/>
        </w:numPr>
        <w:overflowPunct w:val="0"/>
        <w:autoSpaceDE w:val="0"/>
        <w:autoSpaceDN w:val="0"/>
        <w:adjustRightInd w:val="0"/>
        <w:spacing w:line="240" w:lineRule="auto"/>
        <w:jc w:val="both"/>
        <w:textAlignment w:val="baseline"/>
        <w:rPr>
          <w:rFonts w:cs="Arial"/>
          <w:szCs w:val="20"/>
        </w:rPr>
      </w:pPr>
      <w:r w:rsidRPr="006431C4">
        <w:rPr>
          <w:rFonts w:cs="Arial"/>
          <w:szCs w:val="20"/>
        </w:rPr>
        <w:t>gęstość i zawartość wolnych przestrzeni próbki.</w:t>
      </w:r>
    </w:p>
    <w:p w14:paraId="41578B7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Warunki technologiczne wbudowywania mieszanki mineralno-asfaltowej:</w:t>
      </w:r>
    </w:p>
    <w:p w14:paraId="568E2514" w14:textId="77777777" w:rsidR="00CF11BE" w:rsidRPr="006431C4" w:rsidRDefault="00CF11BE" w:rsidP="00CF1E7D">
      <w:pPr>
        <w:numPr>
          <w:ilvl w:val="0"/>
          <w:numId w:val="144"/>
        </w:numPr>
        <w:overflowPunct w:val="0"/>
        <w:autoSpaceDE w:val="0"/>
        <w:autoSpaceDN w:val="0"/>
        <w:adjustRightInd w:val="0"/>
        <w:spacing w:line="240" w:lineRule="auto"/>
        <w:jc w:val="both"/>
        <w:textAlignment w:val="baseline"/>
        <w:rPr>
          <w:rFonts w:cs="Arial"/>
          <w:szCs w:val="20"/>
        </w:rPr>
      </w:pPr>
      <w:r w:rsidRPr="006431C4">
        <w:rPr>
          <w:rFonts w:cs="Arial"/>
          <w:szCs w:val="20"/>
        </w:rPr>
        <w:t>pomiar temperatury powietrza podczas pobrania  próby do badań,</w:t>
      </w:r>
    </w:p>
    <w:p w14:paraId="263149BB" w14:textId="77777777" w:rsidR="00CF11BE" w:rsidRPr="006431C4" w:rsidRDefault="00CF11BE" w:rsidP="00CF1E7D">
      <w:pPr>
        <w:numPr>
          <w:ilvl w:val="0"/>
          <w:numId w:val="144"/>
        </w:numPr>
        <w:overflowPunct w:val="0"/>
        <w:autoSpaceDE w:val="0"/>
        <w:autoSpaceDN w:val="0"/>
        <w:adjustRightInd w:val="0"/>
        <w:spacing w:line="240" w:lineRule="auto"/>
        <w:jc w:val="both"/>
        <w:textAlignment w:val="baseline"/>
        <w:rPr>
          <w:rFonts w:cs="Arial"/>
          <w:szCs w:val="20"/>
        </w:rPr>
      </w:pPr>
      <w:r w:rsidRPr="006431C4">
        <w:rPr>
          <w:rFonts w:cs="Arial"/>
          <w:szCs w:val="20"/>
        </w:rPr>
        <w:t>pomiar temperatury mieszanki mineralno-asfaltowej,</w:t>
      </w:r>
    </w:p>
    <w:p w14:paraId="4BE66020" w14:textId="77777777" w:rsidR="00CF11BE" w:rsidRPr="006431C4" w:rsidRDefault="00CF11BE" w:rsidP="00CF1E7D">
      <w:pPr>
        <w:numPr>
          <w:ilvl w:val="0"/>
          <w:numId w:val="144"/>
        </w:num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ocena wizualna dostarczonej mieszanki mineralno-asfaltowej.</w:t>
      </w:r>
    </w:p>
    <w:p w14:paraId="6002999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Wykonana warstwa:</w:t>
      </w:r>
    </w:p>
    <w:p w14:paraId="5ECC351D"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wskaźnik zagęszczenia</w:t>
      </w:r>
    </w:p>
    <w:p w14:paraId="5B1E76E5"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grubość warstwy lub ilość zużytego materiału,</w:t>
      </w:r>
    </w:p>
    <w:p w14:paraId="3AC41578"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równość podłużna i poprzeczna,</w:t>
      </w:r>
    </w:p>
    <w:p w14:paraId="0F78741D"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spadki poprzeczne,</w:t>
      </w:r>
    </w:p>
    <w:p w14:paraId="1B0B3602"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w:t>
      </w:r>
    </w:p>
    <w:p w14:paraId="1823AA6B"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złącza technologiczne,</w:t>
      </w:r>
    </w:p>
    <w:p w14:paraId="2B4D8D7C"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szerokość warstwy,</w:t>
      </w:r>
    </w:p>
    <w:p w14:paraId="593993E1"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rzędne wysokościowe,</w:t>
      </w:r>
    </w:p>
    <w:p w14:paraId="10EB03AB"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ukształtowanie osi w planie,</w:t>
      </w:r>
    </w:p>
    <w:p w14:paraId="22F8844D"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warstwy,</w:t>
      </w:r>
    </w:p>
    <w:p w14:paraId="32F834E5" w14:textId="77777777" w:rsidR="00CF11BE" w:rsidRPr="006431C4" w:rsidRDefault="00CF11BE" w:rsidP="00CF1E7D">
      <w:pPr>
        <w:numPr>
          <w:ilvl w:val="0"/>
          <w:numId w:val="145"/>
        </w:numPr>
        <w:overflowPunct w:val="0"/>
        <w:autoSpaceDE w:val="0"/>
        <w:autoSpaceDN w:val="0"/>
        <w:adjustRightInd w:val="0"/>
        <w:spacing w:line="240" w:lineRule="auto"/>
        <w:jc w:val="both"/>
        <w:textAlignment w:val="baseline"/>
        <w:rPr>
          <w:rFonts w:cs="Arial"/>
          <w:szCs w:val="20"/>
        </w:rPr>
      </w:pPr>
      <w:r w:rsidRPr="006431C4">
        <w:rPr>
          <w:rFonts w:cs="Arial"/>
          <w:szCs w:val="20"/>
        </w:rPr>
        <w:t>właściwości przeciwpoślizgowe warstwy ścieralnej.</w:t>
      </w:r>
    </w:p>
    <w:p w14:paraId="7712147F" w14:textId="77777777" w:rsidR="00CF11BE" w:rsidRPr="006431C4" w:rsidRDefault="00CF11BE" w:rsidP="00CF11BE">
      <w:pPr>
        <w:keepNext/>
        <w:overflowPunct w:val="0"/>
        <w:autoSpaceDE w:val="0"/>
        <w:autoSpaceDN w:val="0"/>
        <w:adjustRightInd w:val="0"/>
        <w:spacing w:line="240" w:lineRule="auto"/>
        <w:jc w:val="both"/>
        <w:textAlignment w:val="baseline"/>
        <w:rPr>
          <w:rFonts w:cs="Arial"/>
          <w:b/>
          <w:color w:val="000000"/>
          <w:szCs w:val="20"/>
        </w:rPr>
      </w:pPr>
      <w:r w:rsidRPr="006431C4">
        <w:rPr>
          <w:rFonts w:cs="Arial"/>
          <w:b/>
          <w:color w:val="000000"/>
          <w:szCs w:val="20"/>
        </w:rPr>
        <w:t xml:space="preserve">6.5.1. </w:t>
      </w:r>
      <w:r w:rsidRPr="006431C4">
        <w:rPr>
          <w:rFonts w:cs="Arial"/>
          <w:color w:val="000000"/>
          <w:szCs w:val="20"/>
        </w:rPr>
        <w:t>Badanie materiałów wsadowych</w:t>
      </w:r>
    </w:p>
    <w:p w14:paraId="0BA94E24"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Właściwości materiałów wsadowych należy oceniać na podstawie badań pobranych próbek w miejscu produkcji  mieszanki mineralno-asfaltowej. </w:t>
      </w:r>
    </w:p>
    <w:p w14:paraId="7927743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oceny jakości materiałów wsadowych mieszanki mineralno-asfaltowej, za zgodą nadzoru i Zamawiającego mogą posłużyć wyniki badań wykonanych w ramach zakładowej kontroli produkcji. </w:t>
      </w:r>
    </w:p>
    <w:p w14:paraId="79A3856D" w14:textId="77777777" w:rsidR="00CF11BE" w:rsidRPr="006431C4" w:rsidRDefault="00CF11BE" w:rsidP="00CF11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6.5.1.1.</w:t>
      </w:r>
      <w:r w:rsidRPr="006431C4">
        <w:rPr>
          <w:rFonts w:cs="Arial"/>
          <w:b/>
          <w:color w:val="000000"/>
          <w:szCs w:val="20"/>
        </w:rPr>
        <w:t xml:space="preserve"> </w:t>
      </w:r>
      <w:r w:rsidRPr="006431C4">
        <w:rPr>
          <w:rFonts w:cs="Arial"/>
          <w:color w:val="000000"/>
          <w:szCs w:val="20"/>
        </w:rPr>
        <w:t>Kruszywa i wypełniacz</w:t>
      </w:r>
    </w:p>
    <w:p w14:paraId="1142A036" w14:textId="77777777" w:rsidR="00CF11BE" w:rsidRPr="006431C4" w:rsidRDefault="00CF11BE" w:rsidP="00CF11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 xml:space="preserve">Z kruszywa należy pobrać i zbadać średnie próbki. Wielkość pobranej średniej próbki nie może być mniejsza niż: </w:t>
      </w:r>
    </w:p>
    <w:p w14:paraId="4408E39A"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wypełniacz</w:t>
      </w:r>
      <w:r w:rsidRPr="006431C4">
        <w:rPr>
          <w:rFonts w:cs="Arial"/>
          <w:color w:val="000000"/>
          <w:szCs w:val="20"/>
        </w:rPr>
        <w:tab/>
      </w:r>
      <w:r w:rsidRPr="006431C4">
        <w:rPr>
          <w:rFonts w:cs="Arial"/>
          <w:color w:val="000000"/>
          <w:szCs w:val="20"/>
        </w:rPr>
        <w:tab/>
      </w:r>
      <w:r w:rsidRPr="006431C4">
        <w:rPr>
          <w:rFonts w:cs="Arial"/>
          <w:color w:val="000000"/>
          <w:szCs w:val="20"/>
        </w:rPr>
        <w:tab/>
      </w:r>
      <w:r w:rsidRPr="006431C4">
        <w:rPr>
          <w:rFonts w:cs="Arial"/>
          <w:color w:val="000000"/>
          <w:szCs w:val="20"/>
        </w:rPr>
        <w:tab/>
      </w:r>
      <w:r w:rsidRPr="006431C4">
        <w:rPr>
          <w:rFonts w:cs="Arial"/>
          <w:color w:val="000000"/>
          <w:szCs w:val="20"/>
        </w:rPr>
        <w:tab/>
      </w:r>
      <w:smartTag w:uri="urn:schemas-microsoft-com:office:smarttags" w:element="metricconverter">
        <w:smartTagPr>
          <w:attr w:name="ProductID" w:val="2 kg"/>
        </w:smartTagPr>
        <w:r w:rsidRPr="006431C4">
          <w:rPr>
            <w:rFonts w:cs="Arial"/>
            <w:color w:val="000000"/>
            <w:szCs w:val="20"/>
          </w:rPr>
          <w:t>2 kg</w:t>
        </w:r>
      </w:smartTag>
      <w:r w:rsidRPr="006431C4">
        <w:rPr>
          <w:rFonts w:cs="Arial"/>
          <w:color w:val="000000"/>
          <w:szCs w:val="20"/>
        </w:rPr>
        <w:t>,</w:t>
      </w:r>
    </w:p>
    <w:p w14:paraId="24105653"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 xml:space="preserve">kruszywa o uziarnieniu do </w:t>
      </w:r>
      <w:smartTag w:uri="urn:schemas-microsoft-com:office:smarttags" w:element="metricconverter">
        <w:smartTagPr>
          <w:attr w:name="ProductID" w:val="8 mm"/>
        </w:smartTagPr>
        <w:r w:rsidRPr="006431C4">
          <w:rPr>
            <w:rFonts w:cs="Arial"/>
            <w:color w:val="000000"/>
            <w:szCs w:val="20"/>
          </w:rPr>
          <w:t>8 mm</w:t>
        </w:r>
      </w:smartTag>
      <w:r w:rsidRPr="006431C4">
        <w:rPr>
          <w:rFonts w:cs="Arial"/>
          <w:color w:val="000000"/>
          <w:szCs w:val="20"/>
        </w:rPr>
        <w:tab/>
      </w:r>
      <w:r w:rsidRPr="006431C4">
        <w:rPr>
          <w:rFonts w:cs="Arial"/>
          <w:color w:val="000000"/>
          <w:szCs w:val="20"/>
        </w:rPr>
        <w:tab/>
      </w:r>
      <w:smartTag w:uri="urn:schemas-microsoft-com:office:smarttags" w:element="metricconverter">
        <w:smartTagPr>
          <w:attr w:name="ProductID" w:val="5 kg"/>
        </w:smartTagPr>
        <w:r w:rsidRPr="006431C4">
          <w:rPr>
            <w:rFonts w:cs="Arial"/>
            <w:color w:val="000000"/>
            <w:szCs w:val="20"/>
          </w:rPr>
          <w:t>5 kg</w:t>
        </w:r>
      </w:smartTag>
      <w:r w:rsidRPr="006431C4">
        <w:rPr>
          <w:rFonts w:cs="Arial"/>
          <w:color w:val="000000"/>
          <w:szCs w:val="20"/>
        </w:rPr>
        <w:t>,</w:t>
      </w:r>
    </w:p>
    <w:p w14:paraId="21CC7DA7" w14:textId="77777777" w:rsidR="00CF11BE" w:rsidRPr="006431C4" w:rsidRDefault="00CF11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 xml:space="preserve">kruszywa o uziarnieniu powyżej </w:t>
      </w:r>
      <w:smartTag w:uri="urn:schemas-microsoft-com:office:smarttags" w:element="metricconverter">
        <w:smartTagPr>
          <w:attr w:name="ProductID" w:val="8 mm"/>
        </w:smartTagPr>
        <w:r w:rsidRPr="006431C4">
          <w:rPr>
            <w:rFonts w:cs="Arial"/>
            <w:color w:val="000000"/>
            <w:szCs w:val="20"/>
          </w:rPr>
          <w:t>8 mm</w:t>
        </w:r>
      </w:smartTag>
      <w:r w:rsidRPr="006431C4">
        <w:rPr>
          <w:rFonts w:cs="Arial"/>
          <w:color w:val="000000"/>
          <w:szCs w:val="20"/>
        </w:rPr>
        <w:tab/>
      </w:r>
      <w:r w:rsidRPr="006431C4">
        <w:rPr>
          <w:rFonts w:cs="Arial"/>
          <w:color w:val="000000"/>
          <w:szCs w:val="20"/>
        </w:rPr>
        <w:tab/>
      </w:r>
      <w:smartTag w:uri="urn:schemas-microsoft-com:office:smarttags" w:element="metricconverter">
        <w:smartTagPr>
          <w:attr w:name="ProductID" w:val="15 kg"/>
        </w:smartTagPr>
        <w:r w:rsidRPr="006431C4">
          <w:rPr>
            <w:rFonts w:cs="Arial"/>
            <w:color w:val="000000"/>
            <w:szCs w:val="20"/>
          </w:rPr>
          <w:t>15 kg</w:t>
        </w:r>
      </w:smartTag>
      <w:r w:rsidRPr="006431C4">
        <w:rPr>
          <w:rFonts w:cs="Arial"/>
          <w:color w:val="000000"/>
          <w:szCs w:val="20"/>
        </w:rPr>
        <w:t>.</w:t>
      </w:r>
    </w:p>
    <w:p w14:paraId="3CFD3ECB" w14:textId="77777777" w:rsidR="00CF11BE" w:rsidRPr="006431C4" w:rsidRDefault="00CF11BE" w:rsidP="00CF11BE">
      <w:pPr>
        <w:widowControl w:val="0"/>
        <w:tabs>
          <w:tab w:val="left" w:pos="426"/>
        </w:tabs>
        <w:spacing w:line="240" w:lineRule="auto"/>
        <w:ind w:right="-57"/>
        <w:jc w:val="both"/>
        <w:rPr>
          <w:rFonts w:cs="Arial"/>
          <w:color w:val="000000"/>
          <w:szCs w:val="20"/>
        </w:rPr>
      </w:pPr>
      <w:r w:rsidRPr="006431C4">
        <w:rPr>
          <w:rFonts w:cs="Arial"/>
          <w:color w:val="000000"/>
          <w:szCs w:val="20"/>
        </w:rPr>
        <w:tab/>
      </w:r>
      <w:r w:rsidRPr="006431C4">
        <w:rPr>
          <w:rFonts w:cs="Arial"/>
          <w:color w:val="000000"/>
          <w:szCs w:val="20"/>
        </w:rPr>
        <w:tab/>
        <w:t>Wypełniacz i kruszywa powinny spełniać wymagania podane w pkcie  2.3. i 2.4.</w:t>
      </w:r>
    </w:p>
    <w:p w14:paraId="5A5EC464" w14:textId="77777777" w:rsidR="00CF11BE" w:rsidRPr="006431C4" w:rsidRDefault="00CF11BE" w:rsidP="00CF11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 xml:space="preserve">6.5.1.2. Lepiszcze </w:t>
      </w:r>
    </w:p>
    <w:p w14:paraId="00A11795" w14:textId="77777777" w:rsidR="00CF11BE" w:rsidRPr="006431C4" w:rsidRDefault="00CF11BE" w:rsidP="00CF11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6431C4">
          <w:rPr>
            <w:rFonts w:cs="Arial"/>
            <w:color w:val="000000"/>
            <w:szCs w:val="20"/>
          </w:rPr>
          <w:t>2 kg</w:t>
        </w:r>
      </w:smartTag>
      <w:r w:rsidRPr="006431C4">
        <w:rPr>
          <w:rFonts w:cs="Arial"/>
          <w:color w:val="000000"/>
          <w:szCs w:val="20"/>
        </w:rPr>
        <w:t>. Z tego jedną próbkę częściową należy poddać badaniom. Ponadto należy  zbadać kolejną próbkę, jeżeli wygląd zewnętrzny (jednolitość, kolor, zapach, zanieczyszczenia) może budzić obawy.</w:t>
      </w:r>
    </w:p>
    <w:p w14:paraId="3F126E25" w14:textId="77777777" w:rsidR="00CF11BE" w:rsidRPr="006431C4" w:rsidRDefault="00CF11BE" w:rsidP="00CF11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Asfalty powinny spełniać wymagania podane w pkcie 2.2.</w:t>
      </w:r>
    </w:p>
    <w:p w14:paraId="41185211" w14:textId="77777777" w:rsidR="00CF11BE" w:rsidRPr="006431C4" w:rsidRDefault="00CF11BE" w:rsidP="00CF11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 xml:space="preserve">6.5.1.3. Materiały do uszczelniania połączeń </w:t>
      </w:r>
    </w:p>
    <w:p w14:paraId="5D112633" w14:textId="77777777" w:rsidR="00CF11BE" w:rsidRPr="006431C4" w:rsidRDefault="00CF11BE" w:rsidP="00CF11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szCs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6431C4">
          <w:rPr>
            <w:rFonts w:cs="Arial"/>
            <w:szCs w:val="20"/>
          </w:rPr>
          <w:t>2 kg</w:t>
        </w:r>
      </w:smartTag>
      <w:r w:rsidRPr="006431C4">
        <w:rPr>
          <w:rFonts w:cs="Arial"/>
          <w:szCs w:val="20"/>
        </w:rPr>
        <w:t>. Z tego jedną próbkę częściową należy</w:t>
      </w:r>
      <w:r w:rsidRPr="006431C4">
        <w:rPr>
          <w:rFonts w:cs="Arial"/>
          <w:color w:val="000000"/>
          <w:szCs w:val="20"/>
        </w:rPr>
        <w:t xml:space="preserve"> poddać badaniom. Ponadto należy pobrać i zbadać kolejną próbkę, jeżeli zewnętrzny wygląd (jednolitość, kolor, połysk, zapach, zanieczyszczenia) może budzić obawy.</w:t>
      </w:r>
    </w:p>
    <w:p w14:paraId="75F34C10" w14:textId="77777777" w:rsidR="00CF11BE" w:rsidRPr="006431C4" w:rsidRDefault="00CF11BE" w:rsidP="00CF11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Materiały do uszczelniania połączeń powinny spełniać wymagania podane w pkcie 2.6.</w:t>
      </w:r>
    </w:p>
    <w:p w14:paraId="11BA0457" w14:textId="77777777" w:rsidR="00CF11BE" w:rsidRPr="006431C4" w:rsidRDefault="00CF11BE" w:rsidP="00CF11BE">
      <w:pPr>
        <w:keepNext/>
        <w:overflowPunct w:val="0"/>
        <w:autoSpaceDE w:val="0"/>
        <w:autoSpaceDN w:val="0"/>
        <w:adjustRightInd w:val="0"/>
        <w:spacing w:line="240" w:lineRule="auto"/>
        <w:ind w:right="-57"/>
        <w:jc w:val="both"/>
        <w:textAlignment w:val="baseline"/>
        <w:rPr>
          <w:rFonts w:cs="Arial"/>
          <w:color w:val="000000"/>
          <w:szCs w:val="20"/>
        </w:rPr>
      </w:pPr>
      <w:r w:rsidRPr="006431C4">
        <w:rPr>
          <w:rFonts w:cs="Arial"/>
          <w:b/>
          <w:color w:val="000000"/>
          <w:szCs w:val="20"/>
        </w:rPr>
        <w:t>6.5.2.</w:t>
      </w:r>
      <w:r w:rsidRPr="006431C4">
        <w:rPr>
          <w:rFonts w:cs="Arial"/>
          <w:color w:val="000000"/>
          <w:szCs w:val="20"/>
        </w:rPr>
        <w:t xml:space="preserve"> Badania mieszanki mineralno-asfaltowej  </w:t>
      </w:r>
    </w:p>
    <w:p w14:paraId="28454144"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03E5A85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oceny jakości mieszanki mineralno-asfaltowej za zgodą nadzoru i Zamawiającego mogą posłużyć wyniki badań wykonanych w ramach zakładowej kontroli produkcji.  </w:t>
      </w:r>
    </w:p>
    <w:p w14:paraId="1C78EFB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669244CE"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Właściwości materiałów budowlanych należy określać dla każdej warstwy technologicznej, a metody badań powinny być zgodne z wymaganiami podanymi poniżej, chyba że SST lub dokumentacja projektowa podają inaczej. </w:t>
      </w:r>
    </w:p>
    <w:p w14:paraId="14668B8C" w14:textId="77777777" w:rsidR="00CF11BE" w:rsidRPr="006431C4" w:rsidRDefault="00CF11BE" w:rsidP="00CF11BE">
      <w:pPr>
        <w:keepNext/>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6.5.2.1. Uziarnienie </w:t>
      </w:r>
    </w:p>
    <w:p w14:paraId="3D04453D" w14:textId="77777777" w:rsidR="00CF11BE" w:rsidRPr="006431C4" w:rsidRDefault="00CF11BE" w:rsidP="00CF11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14:paraId="67E104A8" w14:textId="77777777" w:rsidR="00CF11BE" w:rsidRPr="006431C4" w:rsidRDefault="00CF11BE" w:rsidP="00CF11BE">
      <w:pPr>
        <w:overflowPunct w:val="0"/>
        <w:autoSpaceDE w:val="0"/>
        <w:autoSpaceDN w:val="0"/>
        <w:adjustRightInd w:val="0"/>
        <w:spacing w:line="240" w:lineRule="auto"/>
        <w:ind w:left="1134" w:hanging="1134"/>
        <w:jc w:val="both"/>
        <w:textAlignment w:val="baseline"/>
        <w:rPr>
          <w:rFonts w:cs="Arial"/>
          <w:color w:val="000000"/>
          <w:szCs w:val="20"/>
        </w:rPr>
      </w:pPr>
      <w:r w:rsidRPr="006431C4">
        <w:rPr>
          <w:rFonts w:cs="Arial"/>
          <w:color w:val="000000"/>
          <w:szCs w:val="20"/>
        </w:rPr>
        <w:t>Tablica 26.</w:t>
      </w:r>
      <w:r w:rsidRPr="006431C4">
        <w:rPr>
          <w:rFonts w:cs="Arial"/>
          <w:color w:val="000000"/>
          <w:szCs w:val="20"/>
        </w:rPr>
        <w:tab/>
        <w:t xml:space="preserve">Dopuszczalne odchyłki dotyczące pojedynczego wyniku badania i średniej arytmetycznej wyników badań zawartości kruszywa  </w:t>
      </w:r>
    </w:p>
    <w:tbl>
      <w:tblPr>
        <w:tblW w:w="109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24"/>
        <w:gridCol w:w="730"/>
        <w:gridCol w:w="894"/>
        <w:gridCol w:w="1016"/>
        <w:gridCol w:w="960"/>
        <w:gridCol w:w="894"/>
        <w:gridCol w:w="906"/>
      </w:tblGrid>
      <w:tr w:rsidR="00CF11BE" w:rsidRPr="006431C4" w14:paraId="496674C7" w14:textId="77777777" w:rsidTr="00CF11BE">
        <w:tc>
          <w:tcPr>
            <w:tcW w:w="5524" w:type="dxa"/>
            <w:vMerge w:val="restart"/>
          </w:tcPr>
          <w:p w14:paraId="3E7C9685" w14:textId="77777777" w:rsidR="00CF11BE" w:rsidRPr="006431C4" w:rsidRDefault="00CF11BE" w:rsidP="00CF11BE">
            <w:pPr>
              <w:tabs>
                <w:tab w:val="left" w:pos="1877"/>
              </w:tabs>
              <w:overflowPunct w:val="0"/>
              <w:autoSpaceDE w:val="0"/>
              <w:autoSpaceDN w:val="0"/>
              <w:adjustRightInd w:val="0"/>
              <w:spacing w:line="240" w:lineRule="auto"/>
              <w:ind w:right="-57"/>
              <w:jc w:val="center"/>
              <w:textAlignment w:val="baseline"/>
              <w:rPr>
                <w:rFonts w:cs="Arial"/>
                <w:color w:val="000000"/>
                <w:szCs w:val="20"/>
              </w:rPr>
            </w:pPr>
          </w:p>
          <w:p w14:paraId="4CA73EF6" w14:textId="77777777" w:rsidR="00CF11BE" w:rsidRPr="006431C4" w:rsidRDefault="00CF11BE" w:rsidP="00CF11BE">
            <w:pPr>
              <w:tabs>
                <w:tab w:val="left" w:pos="1877"/>
              </w:tabs>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Kruszywo o wymiarze</w:t>
            </w:r>
          </w:p>
        </w:tc>
        <w:tc>
          <w:tcPr>
            <w:tcW w:w="5400" w:type="dxa"/>
            <w:gridSpan w:val="6"/>
          </w:tcPr>
          <w:p w14:paraId="47274A9E"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Liczba wyników badań</w:t>
            </w:r>
          </w:p>
        </w:tc>
      </w:tr>
      <w:tr w:rsidR="00CF11BE" w:rsidRPr="006431C4" w14:paraId="3E9410D3" w14:textId="77777777" w:rsidTr="00CF11BE">
        <w:tc>
          <w:tcPr>
            <w:tcW w:w="5524" w:type="dxa"/>
            <w:vMerge/>
          </w:tcPr>
          <w:p w14:paraId="7A9AC6EA" w14:textId="77777777" w:rsidR="00CF11BE" w:rsidRPr="006431C4" w:rsidRDefault="00CF11BE" w:rsidP="00CF11BE">
            <w:pPr>
              <w:tabs>
                <w:tab w:val="left" w:pos="1877"/>
              </w:tabs>
              <w:overflowPunct w:val="0"/>
              <w:autoSpaceDE w:val="0"/>
              <w:autoSpaceDN w:val="0"/>
              <w:adjustRightInd w:val="0"/>
              <w:spacing w:line="240" w:lineRule="auto"/>
              <w:ind w:right="-57"/>
              <w:jc w:val="both"/>
              <w:textAlignment w:val="baseline"/>
              <w:rPr>
                <w:rFonts w:cs="Arial"/>
                <w:color w:val="000000"/>
                <w:szCs w:val="20"/>
              </w:rPr>
            </w:pPr>
          </w:p>
        </w:tc>
        <w:tc>
          <w:tcPr>
            <w:tcW w:w="730" w:type="dxa"/>
          </w:tcPr>
          <w:p w14:paraId="1ECDE9EF"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1</w:t>
            </w:r>
          </w:p>
        </w:tc>
        <w:tc>
          <w:tcPr>
            <w:tcW w:w="894" w:type="dxa"/>
          </w:tcPr>
          <w:p w14:paraId="5C943117"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w:t>
            </w:r>
          </w:p>
        </w:tc>
        <w:tc>
          <w:tcPr>
            <w:tcW w:w="1016" w:type="dxa"/>
          </w:tcPr>
          <w:p w14:paraId="3C2C3332"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od 3</w:t>
            </w:r>
          </w:p>
          <w:p w14:paraId="06B4D7F7"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do 4</w:t>
            </w:r>
          </w:p>
        </w:tc>
        <w:tc>
          <w:tcPr>
            <w:tcW w:w="960" w:type="dxa"/>
          </w:tcPr>
          <w:p w14:paraId="62CDC731"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 xml:space="preserve">od 5 </w:t>
            </w:r>
          </w:p>
          <w:p w14:paraId="0B5F7FF1"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do 8</w:t>
            </w:r>
          </w:p>
        </w:tc>
        <w:tc>
          <w:tcPr>
            <w:tcW w:w="894" w:type="dxa"/>
          </w:tcPr>
          <w:p w14:paraId="69BBEB8F"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 xml:space="preserve">od 9 </w:t>
            </w:r>
          </w:p>
          <w:p w14:paraId="6948B0D4"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do 19</w:t>
            </w:r>
          </w:p>
        </w:tc>
        <w:tc>
          <w:tcPr>
            <w:tcW w:w="906" w:type="dxa"/>
          </w:tcPr>
          <w:p w14:paraId="24B493BA"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≥20</w:t>
            </w:r>
          </w:p>
        </w:tc>
      </w:tr>
      <w:tr w:rsidR="00CF11BE" w:rsidRPr="006431C4" w14:paraId="7494E861" w14:textId="77777777" w:rsidTr="00CF11BE">
        <w:tc>
          <w:tcPr>
            <w:tcW w:w="5524" w:type="dxa"/>
          </w:tcPr>
          <w:p w14:paraId="515648B7" w14:textId="77777777" w:rsidR="00CF11BE" w:rsidRPr="006431C4" w:rsidRDefault="00CF11BE" w:rsidP="00CF11BE">
            <w:pPr>
              <w:tabs>
                <w:tab w:val="left" w:pos="1877"/>
              </w:tabs>
              <w:overflowPunct w:val="0"/>
              <w:autoSpaceDE w:val="0"/>
              <w:autoSpaceDN w:val="0"/>
              <w:adjustRightInd w:val="0"/>
              <w:spacing w:line="240" w:lineRule="auto"/>
              <w:textAlignment w:val="baseline"/>
              <w:rPr>
                <w:rFonts w:cs="Arial"/>
                <w:color w:val="000000"/>
                <w:szCs w:val="20"/>
              </w:rPr>
            </w:pPr>
            <w:r w:rsidRPr="006431C4">
              <w:rPr>
                <w:rFonts w:cs="Arial"/>
                <w:color w:val="000000"/>
                <w:szCs w:val="20"/>
              </w:rPr>
              <w:t>&lt;</w:t>
            </w:r>
            <w:smartTag w:uri="urn:schemas-microsoft-com:office:smarttags" w:element="metricconverter">
              <w:smartTagPr>
                <w:attr w:name="ProductID" w:val="0,063 mm"/>
              </w:smartTagPr>
              <w:r w:rsidRPr="006431C4">
                <w:rPr>
                  <w:rFonts w:cs="Arial"/>
                  <w:color w:val="000000"/>
                  <w:szCs w:val="20"/>
                </w:rPr>
                <w:t>0,063 mm</w:t>
              </w:r>
            </w:smartTag>
            <w:r w:rsidRPr="006431C4">
              <w:rPr>
                <w:rFonts w:cs="Arial"/>
                <w:color w:val="000000"/>
                <w:szCs w:val="20"/>
              </w:rPr>
              <w:t>, [%(m/m)], mieszanki gruboziarniste</w:t>
            </w:r>
          </w:p>
        </w:tc>
        <w:tc>
          <w:tcPr>
            <w:tcW w:w="730" w:type="dxa"/>
          </w:tcPr>
          <w:p w14:paraId="76307B0E"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±4,0</w:t>
            </w:r>
          </w:p>
        </w:tc>
        <w:tc>
          <w:tcPr>
            <w:tcW w:w="894" w:type="dxa"/>
          </w:tcPr>
          <w:p w14:paraId="3CEDBB7A"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±3,6</w:t>
            </w:r>
          </w:p>
        </w:tc>
        <w:tc>
          <w:tcPr>
            <w:tcW w:w="1016" w:type="dxa"/>
          </w:tcPr>
          <w:p w14:paraId="073E06AC"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±3,2</w:t>
            </w:r>
          </w:p>
        </w:tc>
        <w:tc>
          <w:tcPr>
            <w:tcW w:w="960" w:type="dxa"/>
          </w:tcPr>
          <w:p w14:paraId="7192B5AB"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±2,9</w:t>
            </w:r>
          </w:p>
        </w:tc>
        <w:tc>
          <w:tcPr>
            <w:tcW w:w="894" w:type="dxa"/>
          </w:tcPr>
          <w:p w14:paraId="24506260"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±2,4</w:t>
            </w:r>
          </w:p>
        </w:tc>
        <w:tc>
          <w:tcPr>
            <w:tcW w:w="906" w:type="dxa"/>
          </w:tcPr>
          <w:p w14:paraId="3ADABD17"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±2,0</w:t>
            </w:r>
          </w:p>
        </w:tc>
      </w:tr>
      <w:tr w:rsidR="00CF11BE" w:rsidRPr="006431C4" w14:paraId="70046998" w14:textId="77777777" w:rsidTr="00CF11BE">
        <w:tc>
          <w:tcPr>
            <w:tcW w:w="5524" w:type="dxa"/>
          </w:tcPr>
          <w:p w14:paraId="0FA3C6F4" w14:textId="77777777" w:rsidR="00CF11BE" w:rsidRPr="006431C4" w:rsidRDefault="00CF11BE" w:rsidP="00CF11BE">
            <w:pPr>
              <w:tabs>
                <w:tab w:val="left" w:pos="1877"/>
              </w:tabs>
              <w:overflowPunct w:val="0"/>
              <w:autoSpaceDE w:val="0"/>
              <w:autoSpaceDN w:val="0"/>
              <w:adjustRightInd w:val="0"/>
              <w:spacing w:line="240" w:lineRule="auto"/>
              <w:textAlignment w:val="baseline"/>
              <w:rPr>
                <w:rFonts w:cs="Arial"/>
                <w:color w:val="000000"/>
                <w:szCs w:val="20"/>
              </w:rPr>
            </w:pPr>
            <w:r w:rsidRPr="006431C4">
              <w:rPr>
                <w:rFonts w:cs="Arial"/>
                <w:color w:val="000000"/>
                <w:szCs w:val="20"/>
              </w:rPr>
              <w:t>&lt;</w:t>
            </w:r>
            <w:smartTag w:uri="urn:schemas-microsoft-com:office:smarttags" w:element="metricconverter">
              <w:smartTagPr>
                <w:attr w:name="ProductID" w:val="0,063 mm"/>
              </w:smartTagPr>
              <w:r w:rsidRPr="006431C4">
                <w:rPr>
                  <w:rFonts w:cs="Arial"/>
                  <w:color w:val="000000"/>
                  <w:szCs w:val="20"/>
                </w:rPr>
                <w:t>0,063 mm</w:t>
              </w:r>
            </w:smartTag>
            <w:r w:rsidRPr="006431C4">
              <w:rPr>
                <w:rFonts w:cs="Arial"/>
                <w:color w:val="000000"/>
                <w:szCs w:val="20"/>
              </w:rPr>
              <w:t>, [%(m/m)], mieszanki drobnoziarniste</w:t>
            </w:r>
          </w:p>
        </w:tc>
        <w:tc>
          <w:tcPr>
            <w:tcW w:w="730" w:type="dxa"/>
          </w:tcPr>
          <w:p w14:paraId="19143FE8"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±3,0</w:t>
            </w:r>
          </w:p>
        </w:tc>
        <w:tc>
          <w:tcPr>
            <w:tcW w:w="894" w:type="dxa"/>
          </w:tcPr>
          <w:p w14:paraId="38E462C6"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±2,7</w:t>
            </w:r>
          </w:p>
        </w:tc>
        <w:tc>
          <w:tcPr>
            <w:tcW w:w="1016" w:type="dxa"/>
          </w:tcPr>
          <w:p w14:paraId="2CAE2850"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±2,4</w:t>
            </w:r>
          </w:p>
        </w:tc>
        <w:tc>
          <w:tcPr>
            <w:tcW w:w="960" w:type="dxa"/>
          </w:tcPr>
          <w:p w14:paraId="304D4B7F"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±2,1</w:t>
            </w:r>
          </w:p>
        </w:tc>
        <w:tc>
          <w:tcPr>
            <w:tcW w:w="894" w:type="dxa"/>
          </w:tcPr>
          <w:p w14:paraId="20561716"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±1,8</w:t>
            </w:r>
          </w:p>
        </w:tc>
        <w:tc>
          <w:tcPr>
            <w:tcW w:w="906" w:type="dxa"/>
          </w:tcPr>
          <w:p w14:paraId="21C07991"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±1,5</w:t>
            </w:r>
          </w:p>
        </w:tc>
      </w:tr>
      <w:tr w:rsidR="00CF11BE" w:rsidRPr="006431C4" w14:paraId="3DA07D79" w14:textId="77777777" w:rsidTr="00CF11BE">
        <w:tc>
          <w:tcPr>
            <w:tcW w:w="5524" w:type="dxa"/>
          </w:tcPr>
          <w:p w14:paraId="7453D5B7" w14:textId="77777777" w:rsidR="00CF11BE" w:rsidRPr="006431C4" w:rsidRDefault="00CF11BE" w:rsidP="00CF11BE">
            <w:pPr>
              <w:tabs>
                <w:tab w:val="left" w:pos="1877"/>
              </w:tabs>
              <w:overflowPunct w:val="0"/>
              <w:autoSpaceDE w:val="0"/>
              <w:autoSpaceDN w:val="0"/>
              <w:adjustRightInd w:val="0"/>
              <w:spacing w:line="240" w:lineRule="auto"/>
              <w:textAlignment w:val="baseline"/>
              <w:rPr>
                <w:rFonts w:cs="Arial"/>
                <w:color w:val="000000"/>
                <w:szCs w:val="20"/>
              </w:rPr>
            </w:pPr>
            <w:r w:rsidRPr="006431C4">
              <w:rPr>
                <w:rFonts w:cs="Arial"/>
                <w:color w:val="000000"/>
                <w:szCs w:val="20"/>
              </w:rPr>
              <w:t>&lt;</w:t>
            </w:r>
            <w:smartTag w:uri="urn:schemas-microsoft-com:office:smarttags" w:element="metricconverter">
              <w:smartTagPr>
                <w:attr w:name="ProductID" w:val="0,125 mm"/>
              </w:smartTagPr>
              <w:r w:rsidRPr="006431C4">
                <w:rPr>
                  <w:rFonts w:cs="Arial"/>
                  <w:color w:val="000000"/>
                  <w:szCs w:val="20"/>
                </w:rPr>
                <w:t>0,125 mm</w:t>
              </w:r>
            </w:smartTag>
            <w:r w:rsidRPr="006431C4">
              <w:rPr>
                <w:rFonts w:cs="Arial"/>
                <w:color w:val="000000"/>
                <w:szCs w:val="20"/>
              </w:rPr>
              <w:t>, [%(m/m)], mieszanki gruboziarniste</w:t>
            </w:r>
          </w:p>
        </w:tc>
        <w:tc>
          <w:tcPr>
            <w:tcW w:w="730" w:type="dxa"/>
          </w:tcPr>
          <w:p w14:paraId="4F3AC417"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±5,0</w:t>
            </w:r>
          </w:p>
        </w:tc>
        <w:tc>
          <w:tcPr>
            <w:tcW w:w="894" w:type="dxa"/>
          </w:tcPr>
          <w:p w14:paraId="1C8194E1"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±4,4</w:t>
            </w:r>
          </w:p>
        </w:tc>
        <w:tc>
          <w:tcPr>
            <w:tcW w:w="1016" w:type="dxa"/>
          </w:tcPr>
          <w:p w14:paraId="32392C25"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±3,9</w:t>
            </w:r>
          </w:p>
        </w:tc>
        <w:tc>
          <w:tcPr>
            <w:tcW w:w="960" w:type="dxa"/>
          </w:tcPr>
          <w:p w14:paraId="565F47F4"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±3,4</w:t>
            </w:r>
          </w:p>
        </w:tc>
        <w:tc>
          <w:tcPr>
            <w:tcW w:w="894" w:type="dxa"/>
          </w:tcPr>
          <w:p w14:paraId="2058448B"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±2,7</w:t>
            </w:r>
          </w:p>
        </w:tc>
        <w:tc>
          <w:tcPr>
            <w:tcW w:w="906" w:type="dxa"/>
          </w:tcPr>
          <w:p w14:paraId="754A475C"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±2,0</w:t>
            </w:r>
          </w:p>
        </w:tc>
      </w:tr>
      <w:tr w:rsidR="00CF11BE" w:rsidRPr="006431C4" w14:paraId="5553A142" w14:textId="77777777" w:rsidTr="00CF11BE">
        <w:tc>
          <w:tcPr>
            <w:tcW w:w="5524" w:type="dxa"/>
          </w:tcPr>
          <w:p w14:paraId="50FA57E8" w14:textId="77777777" w:rsidR="00CF11BE" w:rsidRPr="006431C4" w:rsidRDefault="00CF11BE" w:rsidP="00CF11BE">
            <w:pPr>
              <w:tabs>
                <w:tab w:val="left" w:pos="1877"/>
              </w:tabs>
              <w:overflowPunct w:val="0"/>
              <w:autoSpaceDE w:val="0"/>
              <w:autoSpaceDN w:val="0"/>
              <w:adjustRightInd w:val="0"/>
              <w:spacing w:line="240" w:lineRule="auto"/>
              <w:textAlignment w:val="baseline"/>
              <w:rPr>
                <w:rFonts w:cs="Arial"/>
                <w:color w:val="000000"/>
                <w:szCs w:val="20"/>
              </w:rPr>
            </w:pPr>
            <w:r w:rsidRPr="006431C4">
              <w:rPr>
                <w:rFonts w:cs="Arial"/>
                <w:color w:val="000000"/>
                <w:szCs w:val="20"/>
              </w:rPr>
              <w:t>&lt;</w:t>
            </w:r>
            <w:smartTag w:uri="urn:schemas-microsoft-com:office:smarttags" w:element="metricconverter">
              <w:smartTagPr>
                <w:attr w:name="ProductID" w:val="0,125 mm"/>
              </w:smartTagPr>
              <w:r w:rsidRPr="006431C4">
                <w:rPr>
                  <w:rFonts w:cs="Arial"/>
                  <w:color w:val="000000"/>
                  <w:szCs w:val="20"/>
                </w:rPr>
                <w:t>0,125 mm</w:t>
              </w:r>
            </w:smartTag>
            <w:r w:rsidRPr="006431C4">
              <w:rPr>
                <w:rFonts w:cs="Arial"/>
                <w:color w:val="000000"/>
                <w:szCs w:val="20"/>
              </w:rPr>
              <w:t>, [%(m/m)], mieszanki drobnoziarniste</w:t>
            </w:r>
          </w:p>
        </w:tc>
        <w:tc>
          <w:tcPr>
            <w:tcW w:w="730" w:type="dxa"/>
          </w:tcPr>
          <w:p w14:paraId="2F0B4E07"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±4,0</w:t>
            </w:r>
          </w:p>
        </w:tc>
        <w:tc>
          <w:tcPr>
            <w:tcW w:w="894" w:type="dxa"/>
          </w:tcPr>
          <w:p w14:paraId="5FBD27DA"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±3,6</w:t>
            </w:r>
          </w:p>
        </w:tc>
        <w:tc>
          <w:tcPr>
            <w:tcW w:w="1016" w:type="dxa"/>
          </w:tcPr>
          <w:p w14:paraId="76AEB0B5"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±3,3</w:t>
            </w:r>
          </w:p>
        </w:tc>
        <w:tc>
          <w:tcPr>
            <w:tcW w:w="960" w:type="dxa"/>
          </w:tcPr>
          <w:p w14:paraId="26BDF9C8"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±2,9</w:t>
            </w:r>
          </w:p>
        </w:tc>
        <w:tc>
          <w:tcPr>
            <w:tcW w:w="894" w:type="dxa"/>
          </w:tcPr>
          <w:p w14:paraId="61242208"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±2,5</w:t>
            </w:r>
          </w:p>
        </w:tc>
        <w:tc>
          <w:tcPr>
            <w:tcW w:w="906" w:type="dxa"/>
          </w:tcPr>
          <w:p w14:paraId="423A6579"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±2,0</w:t>
            </w:r>
          </w:p>
        </w:tc>
      </w:tr>
      <w:tr w:rsidR="00CF11BE" w:rsidRPr="006431C4" w14:paraId="508333BA" w14:textId="77777777" w:rsidTr="00CF11BE">
        <w:tc>
          <w:tcPr>
            <w:tcW w:w="5524" w:type="dxa"/>
          </w:tcPr>
          <w:p w14:paraId="045E33B4" w14:textId="77777777" w:rsidR="00CF11BE" w:rsidRPr="006431C4" w:rsidRDefault="00CF11BE" w:rsidP="00CF11BE">
            <w:pPr>
              <w:tabs>
                <w:tab w:val="left" w:pos="1877"/>
              </w:tabs>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Od </w:t>
            </w:r>
            <w:smartTag w:uri="urn:schemas-microsoft-com:office:smarttags" w:element="metricconverter">
              <w:smartTagPr>
                <w:attr w:name="ProductID" w:val="0,063 mm"/>
              </w:smartTagPr>
              <w:r w:rsidRPr="006431C4">
                <w:rPr>
                  <w:rFonts w:cs="Arial"/>
                  <w:color w:val="000000"/>
                  <w:szCs w:val="20"/>
                </w:rPr>
                <w:t>0,063 mm</w:t>
              </w:r>
            </w:smartTag>
            <w:r w:rsidRPr="006431C4">
              <w:rPr>
                <w:rFonts w:cs="Arial"/>
                <w:color w:val="000000"/>
                <w:szCs w:val="20"/>
              </w:rPr>
              <w:t xml:space="preserve"> do </w:t>
            </w:r>
            <w:smartTag w:uri="urn:schemas-microsoft-com:office:smarttags" w:element="metricconverter">
              <w:smartTagPr>
                <w:attr w:name="ProductID" w:val="2 mm"/>
              </w:smartTagPr>
              <w:r w:rsidRPr="006431C4">
                <w:rPr>
                  <w:rFonts w:cs="Arial"/>
                  <w:color w:val="000000"/>
                  <w:szCs w:val="20"/>
                </w:rPr>
                <w:t>2 mm</w:t>
              </w:r>
            </w:smartTag>
          </w:p>
        </w:tc>
        <w:tc>
          <w:tcPr>
            <w:tcW w:w="730" w:type="dxa"/>
          </w:tcPr>
          <w:p w14:paraId="2CF221E3"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±8</w:t>
            </w:r>
          </w:p>
        </w:tc>
        <w:tc>
          <w:tcPr>
            <w:tcW w:w="894" w:type="dxa"/>
          </w:tcPr>
          <w:p w14:paraId="600ABC5B"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±6,1</w:t>
            </w:r>
          </w:p>
        </w:tc>
        <w:tc>
          <w:tcPr>
            <w:tcW w:w="1016" w:type="dxa"/>
          </w:tcPr>
          <w:p w14:paraId="16E8E66C"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±5,0</w:t>
            </w:r>
          </w:p>
        </w:tc>
        <w:tc>
          <w:tcPr>
            <w:tcW w:w="960" w:type="dxa"/>
          </w:tcPr>
          <w:p w14:paraId="7FDC7E45"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±4,1</w:t>
            </w:r>
          </w:p>
        </w:tc>
        <w:tc>
          <w:tcPr>
            <w:tcW w:w="894" w:type="dxa"/>
          </w:tcPr>
          <w:p w14:paraId="48E51061"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±3,3</w:t>
            </w:r>
          </w:p>
        </w:tc>
        <w:tc>
          <w:tcPr>
            <w:tcW w:w="906" w:type="dxa"/>
          </w:tcPr>
          <w:p w14:paraId="16B2480F"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±3,0</w:t>
            </w:r>
          </w:p>
        </w:tc>
      </w:tr>
      <w:tr w:rsidR="00CF11BE" w:rsidRPr="006431C4" w14:paraId="3EB8CA8F" w14:textId="77777777" w:rsidTr="00CF11BE">
        <w:tc>
          <w:tcPr>
            <w:tcW w:w="5524" w:type="dxa"/>
          </w:tcPr>
          <w:p w14:paraId="54643CF6" w14:textId="77777777" w:rsidR="00CF11BE" w:rsidRPr="006431C4" w:rsidRDefault="00CF11BE" w:rsidP="00CF11BE">
            <w:pPr>
              <w:tabs>
                <w:tab w:val="left" w:pos="1877"/>
              </w:tabs>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&gt;</w:t>
            </w:r>
            <w:smartTag w:uri="urn:schemas-microsoft-com:office:smarttags" w:element="metricconverter">
              <w:smartTagPr>
                <w:attr w:name="ProductID" w:val="2 mm"/>
              </w:smartTagPr>
              <w:r w:rsidRPr="006431C4">
                <w:rPr>
                  <w:rFonts w:cs="Arial"/>
                  <w:color w:val="000000"/>
                  <w:szCs w:val="20"/>
                </w:rPr>
                <w:t>2 mm</w:t>
              </w:r>
            </w:smartTag>
            <w:r w:rsidRPr="006431C4">
              <w:rPr>
                <w:rFonts w:cs="Arial"/>
                <w:color w:val="000000"/>
                <w:szCs w:val="20"/>
              </w:rPr>
              <w:t xml:space="preserve"> </w:t>
            </w:r>
          </w:p>
        </w:tc>
        <w:tc>
          <w:tcPr>
            <w:tcW w:w="730" w:type="dxa"/>
          </w:tcPr>
          <w:p w14:paraId="248393C4"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±8</w:t>
            </w:r>
          </w:p>
        </w:tc>
        <w:tc>
          <w:tcPr>
            <w:tcW w:w="894" w:type="dxa"/>
          </w:tcPr>
          <w:p w14:paraId="66C89D58"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±6,1</w:t>
            </w:r>
          </w:p>
        </w:tc>
        <w:tc>
          <w:tcPr>
            <w:tcW w:w="1016" w:type="dxa"/>
          </w:tcPr>
          <w:p w14:paraId="39491C53"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±5,0</w:t>
            </w:r>
          </w:p>
        </w:tc>
        <w:tc>
          <w:tcPr>
            <w:tcW w:w="960" w:type="dxa"/>
          </w:tcPr>
          <w:p w14:paraId="44D07072"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±4,1</w:t>
            </w:r>
          </w:p>
        </w:tc>
        <w:tc>
          <w:tcPr>
            <w:tcW w:w="894" w:type="dxa"/>
          </w:tcPr>
          <w:p w14:paraId="0B76AC85"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±3,3</w:t>
            </w:r>
          </w:p>
        </w:tc>
        <w:tc>
          <w:tcPr>
            <w:tcW w:w="906" w:type="dxa"/>
          </w:tcPr>
          <w:p w14:paraId="62C51B65"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±3,0</w:t>
            </w:r>
          </w:p>
        </w:tc>
      </w:tr>
      <w:tr w:rsidR="00CF11BE" w:rsidRPr="006431C4" w14:paraId="2A4756CF" w14:textId="77777777" w:rsidTr="00CF11BE">
        <w:tc>
          <w:tcPr>
            <w:tcW w:w="5524" w:type="dxa"/>
          </w:tcPr>
          <w:p w14:paraId="523F93C2" w14:textId="77777777" w:rsidR="00CF11BE" w:rsidRPr="006431C4" w:rsidRDefault="00CF11BE" w:rsidP="00CF11BE">
            <w:pPr>
              <w:tabs>
                <w:tab w:val="left" w:pos="1877"/>
              </w:tabs>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 xml:space="preserve">Ziarna grube </w:t>
            </w:r>
          </w:p>
          <w:p w14:paraId="6C146213" w14:textId="77777777" w:rsidR="00CF11BE" w:rsidRPr="006431C4" w:rsidRDefault="00CF11BE" w:rsidP="00CF11BE">
            <w:pPr>
              <w:tabs>
                <w:tab w:val="left" w:pos="1877"/>
              </w:tabs>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(mieszanki drobnoziarniste)</w:t>
            </w:r>
          </w:p>
        </w:tc>
        <w:tc>
          <w:tcPr>
            <w:tcW w:w="730" w:type="dxa"/>
          </w:tcPr>
          <w:p w14:paraId="6503629E"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-8    +5</w:t>
            </w:r>
          </w:p>
        </w:tc>
        <w:tc>
          <w:tcPr>
            <w:tcW w:w="894" w:type="dxa"/>
          </w:tcPr>
          <w:p w14:paraId="4DEB4102"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-6,7   +4,7</w:t>
            </w:r>
          </w:p>
        </w:tc>
        <w:tc>
          <w:tcPr>
            <w:tcW w:w="1016" w:type="dxa"/>
          </w:tcPr>
          <w:p w14:paraId="5529BBFF"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-5,8   +4,5</w:t>
            </w:r>
          </w:p>
        </w:tc>
        <w:tc>
          <w:tcPr>
            <w:tcW w:w="960" w:type="dxa"/>
          </w:tcPr>
          <w:p w14:paraId="3D1E1069"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-5,1   +4,3</w:t>
            </w:r>
          </w:p>
        </w:tc>
        <w:tc>
          <w:tcPr>
            <w:tcW w:w="894" w:type="dxa"/>
          </w:tcPr>
          <w:p w14:paraId="45685FC4"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-4,4   +4,1</w:t>
            </w:r>
          </w:p>
        </w:tc>
        <w:tc>
          <w:tcPr>
            <w:tcW w:w="906" w:type="dxa"/>
          </w:tcPr>
          <w:p w14:paraId="502EB0F4"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±4,0</w:t>
            </w:r>
          </w:p>
        </w:tc>
      </w:tr>
      <w:tr w:rsidR="00CF11BE" w:rsidRPr="006431C4" w14:paraId="6907ADB8" w14:textId="77777777" w:rsidTr="00CF11BE">
        <w:tc>
          <w:tcPr>
            <w:tcW w:w="5524" w:type="dxa"/>
          </w:tcPr>
          <w:p w14:paraId="0DDA18B2" w14:textId="77777777" w:rsidR="00CF11BE" w:rsidRPr="006431C4" w:rsidRDefault="00CF11BE" w:rsidP="00CF11BE">
            <w:pPr>
              <w:tabs>
                <w:tab w:val="left" w:pos="1877"/>
              </w:tabs>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 xml:space="preserve">Ziarna grube </w:t>
            </w:r>
          </w:p>
          <w:p w14:paraId="02F221CF" w14:textId="77777777" w:rsidR="00CF11BE" w:rsidRPr="006431C4" w:rsidRDefault="00CF11BE" w:rsidP="00CF11BE">
            <w:pPr>
              <w:tabs>
                <w:tab w:val="left" w:pos="1877"/>
              </w:tabs>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(mieszanki gruboziarniste)</w:t>
            </w:r>
          </w:p>
        </w:tc>
        <w:tc>
          <w:tcPr>
            <w:tcW w:w="730" w:type="dxa"/>
          </w:tcPr>
          <w:p w14:paraId="1E07BE12"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-9 +5,0</w:t>
            </w:r>
          </w:p>
        </w:tc>
        <w:tc>
          <w:tcPr>
            <w:tcW w:w="894" w:type="dxa"/>
          </w:tcPr>
          <w:p w14:paraId="2A13710A"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-7,6 +5,0</w:t>
            </w:r>
          </w:p>
        </w:tc>
        <w:tc>
          <w:tcPr>
            <w:tcW w:w="1016" w:type="dxa"/>
          </w:tcPr>
          <w:p w14:paraId="46E45577"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-6,8 +5,0</w:t>
            </w:r>
          </w:p>
        </w:tc>
        <w:tc>
          <w:tcPr>
            <w:tcW w:w="960" w:type="dxa"/>
          </w:tcPr>
          <w:p w14:paraId="40AF7EFC"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-6,1 +5,0</w:t>
            </w:r>
          </w:p>
        </w:tc>
        <w:tc>
          <w:tcPr>
            <w:tcW w:w="894" w:type="dxa"/>
          </w:tcPr>
          <w:p w14:paraId="27A771B3"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-5,5 +5,0</w:t>
            </w:r>
          </w:p>
        </w:tc>
        <w:tc>
          <w:tcPr>
            <w:tcW w:w="906" w:type="dxa"/>
          </w:tcPr>
          <w:p w14:paraId="5DC1A5EF"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±5,0</w:t>
            </w:r>
          </w:p>
        </w:tc>
      </w:tr>
    </w:tbl>
    <w:p w14:paraId="66A05B43"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color w:val="000000"/>
          <w:szCs w:val="20"/>
        </w:rPr>
      </w:pPr>
      <w:r w:rsidRPr="006431C4">
        <w:rPr>
          <w:rFonts w:cs="Arial"/>
          <w:color w:val="000000"/>
          <w:szCs w:val="20"/>
        </w:rPr>
        <w:lastRenderedPageBreak/>
        <w:t>Jeżeli w składzie mieszanki mineralno-asfaltowej określono dodatki kruszywa o szczególnych właściwościach, np. kruszywo rozjaśniające lub odporne na polerowanie, to dopuszczalna odchyłka zawartości tego kruszywa wynosi:</w:t>
      </w:r>
    </w:p>
    <w:p w14:paraId="30D9F700" w14:textId="77777777" w:rsidR="00CF11BE" w:rsidRPr="006431C4" w:rsidRDefault="00CF11BE" w:rsidP="00CF11BE">
      <w:p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 20% w wypadku kruszywa grubego,</w:t>
      </w:r>
    </w:p>
    <w:p w14:paraId="34E596CA" w14:textId="77777777" w:rsidR="00CF11BE" w:rsidRPr="006431C4" w:rsidRDefault="00CF11BE" w:rsidP="00CF11BE">
      <w:p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±30% w wypadku kruszywa drobnego.</w:t>
      </w:r>
    </w:p>
    <w:p w14:paraId="66D68A6A" w14:textId="77777777" w:rsidR="00CF11BE" w:rsidRPr="006431C4" w:rsidRDefault="00CF11BE" w:rsidP="00CF11BE">
      <w:p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6.5.2.2. Zawartość lepiszcza </w:t>
      </w:r>
    </w:p>
    <w:p w14:paraId="4F88E5D7" w14:textId="77777777" w:rsidR="00CF11BE" w:rsidRPr="006431C4" w:rsidRDefault="00CF11BE" w:rsidP="00CF11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14:paraId="51E64112" w14:textId="77777777" w:rsidR="00CF11BE" w:rsidRPr="006431C4" w:rsidRDefault="00CF11BE" w:rsidP="00CF11BE">
      <w:pPr>
        <w:overflowPunct w:val="0"/>
        <w:autoSpaceDE w:val="0"/>
        <w:autoSpaceDN w:val="0"/>
        <w:adjustRightInd w:val="0"/>
        <w:spacing w:line="240" w:lineRule="auto"/>
        <w:ind w:left="1200" w:right="-57" w:hanging="1200"/>
        <w:jc w:val="both"/>
        <w:textAlignment w:val="baseline"/>
        <w:rPr>
          <w:rFonts w:cs="Arial"/>
          <w:color w:val="000000"/>
          <w:szCs w:val="20"/>
        </w:rPr>
      </w:pPr>
      <w:r w:rsidRPr="006431C4">
        <w:rPr>
          <w:rFonts w:cs="Arial"/>
          <w:color w:val="000000"/>
          <w:szCs w:val="20"/>
        </w:rPr>
        <w:t>Tablica 27.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06"/>
        <w:gridCol w:w="960"/>
        <w:gridCol w:w="1002"/>
        <w:gridCol w:w="1158"/>
        <w:gridCol w:w="1058"/>
        <w:gridCol w:w="1178"/>
        <w:gridCol w:w="1364"/>
      </w:tblGrid>
      <w:tr w:rsidR="00CF11BE" w:rsidRPr="006431C4" w14:paraId="06FBC543" w14:textId="77777777" w:rsidTr="00CF11BE">
        <w:tc>
          <w:tcPr>
            <w:tcW w:w="4106" w:type="dxa"/>
            <w:vMerge w:val="restart"/>
            <w:vAlign w:val="center"/>
          </w:tcPr>
          <w:p w14:paraId="095B32D3"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Rodzaj mieszanki</w:t>
            </w:r>
          </w:p>
        </w:tc>
        <w:tc>
          <w:tcPr>
            <w:tcW w:w="6720" w:type="dxa"/>
            <w:gridSpan w:val="6"/>
          </w:tcPr>
          <w:p w14:paraId="0AB96F9E"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Liczba wyników badań</w:t>
            </w:r>
          </w:p>
        </w:tc>
      </w:tr>
      <w:tr w:rsidR="00CF11BE" w:rsidRPr="006431C4" w14:paraId="1C72AB6B" w14:textId="77777777" w:rsidTr="00CF11BE">
        <w:tc>
          <w:tcPr>
            <w:tcW w:w="4106" w:type="dxa"/>
            <w:vMerge/>
          </w:tcPr>
          <w:p w14:paraId="03CB4C0C"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p>
        </w:tc>
        <w:tc>
          <w:tcPr>
            <w:tcW w:w="960" w:type="dxa"/>
            <w:vAlign w:val="center"/>
          </w:tcPr>
          <w:p w14:paraId="29311E62"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1</w:t>
            </w:r>
          </w:p>
        </w:tc>
        <w:tc>
          <w:tcPr>
            <w:tcW w:w="1002" w:type="dxa"/>
            <w:vAlign w:val="center"/>
          </w:tcPr>
          <w:p w14:paraId="5C676E04"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w:t>
            </w:r>
          </w:p>
        </w:tc>
        <w:tc>
          <w:tcPr>
            <w:tcW w:w="1158" w:type="dxa"/>
            <w:vAlign w:val="center"/>
          </w:tcPr>
          <w:p w14:paraId="06F4762F"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Od 3 do 4</w:t>
            </w:r>
          </w:p>
        </w:tc>
        <w:tc>
          <w:tcPr>
            <w:tcW w:w="1058" w:type="dxa"/>
            <w:vAlign w:val="center"/>
          </w:tcPr>
          <w:p w14:paraId="6B669DAC"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Od 5</w:t>
            </w:r>
          </w:p>
          <w:p w14:paraId="5ABBBCF4"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vertAlign w:val="superscript"/>
              </w:rPr>
            </w:pPr>
            <w:r w:rsidRPr="006431C4">
              <w:rPr>
                <w:rFonts w:cs="Arial"/>
                <w:color w:val="000000"/>
                <w:szCs w:val="20"/>
              </w:rPr>
              <w:t>do 8</w:t>
            </w:r>
            <w:r w:rsidRPr="006431C4">
              <w:rPr>
                <w:rFonts w:cs="Arial"/>
                <w:color w:val="000000"/>
                <w:szCs w:val="20"/>
                <w:vertAlign w:val="superscript"/>
              </w:rPr>
              <w:t>a)</w:t>
            </w:r>
          </w:p>
        </w:tc>
        <w:tc>
          <w:tcPr>
            <w:tcW w:w="1178" w:type="dxa"/>
            <w:vAlign w:val="center"/>
          </w:tcPr>
          <w:p w14:paraId="6F4CC503"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Od 9</w:t>
            </w:r>
          </w:p>
          <w:p w14:paraId="6F2F0543"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vertAlign w:val="superscript"/>
              </w:rPr>
            </w:pPr>
            <w:r w:rsidRPr="006431C4">
              <w:rPr>
                <w:rFonts w:cs="Arial"/>
                <w:color w:val="000000"/>
                <w:szCs w:val="20"/>
              </w:rPr>
              <w:t>do 19</w:t>
            </w:r>
            <w:r w:rsidRPr="006431C4">
              <w:rPr>
                <w:rFonts w:cs="Arial"/>
                <w:color w:val="000000"/>
                <w:szCs w:val="20"/>
                <w:vertAlign w:val="superscript"/>
              </w:rPr>
              <w:t>a)</w:t>
            </w:r>
          </w:p>
        </w:tc>
        <w:tc>
          <w:tcPr>
            <w:tcW w:w="1364" w:type="dxa"/>
            <w:vAlign w:val="center"/>
          </w:tcPr>
          <w:p w14:paraId="79E9E13C" w14:textId="77777777" w:rsidR="00CF11BE" w:rsidRPr="006431C4" w:rsidRDefault="00CF11BE" w:rsidP="00CF11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≥20</w:t>
            </w:r>
          </w:p>
        </w:tc>
      </w:tr>
      <w:tr w:rsidR="00CF11BE" w:rsidRPr="006431C4" w14:paraId="335BDC37" w14:textId="77777777" w:rsidTr="00CF11BE">
        <w:tc>
          <w:tcPr>
            <w:tcW w:w="4106" w:type="dxa"/>
          </w:tcPr>
          <w:p w14:paraId="7626DBA5"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Mieszanki gruboziarniste</w:t>
            </w:r>
          </w:p>
        </w:tc>
        <w:tc>
          <w:tcPr>
            <w:tcW w:w="960" w:type="dxa"/>
          </w:tcPr>
          <w:p w14:paraId="4BC5367C"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±0,6</w:t>
            </w:r>
          </w:p>
        </w:tc>
        <w:tc>
          <w:tcPr>
            <w:tcW w:w="1002" w:type="dxa"/>
          </w:tcPr>
          <w:p w14:paraId="67C82277"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±0,55</w:t>
            </w:r>
          </w:p>
        </w:tc>
        <w:tc>
          <w:tcPr>
            <w:tcW w:w="1158" w:type="dxa"/>
          </w:tcPr>
          <w:p w14:paraId="03DF0CE5"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±0,50</w:t>
            </w:r>
          </w:p>
        </w:tc>
        <w:tc>
          <w:tcPr>
            <w:tcW w:w="1058" w:type="dxa"/>
          </w:tcPr>
          <w:p w14:paraId="1EFE629E"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±0,40</w:t>
            </w:r>
          </w:p>
        </w:tc>
        <w:tc>
          <w:tcPr>
            <w:tcW w:w="1178" w:type="dxa"/>
          </w:tcPr>
          <w:p w14:paraId="201A0E6F"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±0,35</w:t>
            </w:r>
          </w:p>
        </w:tc>
        <w:tc>
          <w:tcPr>
            <w:tcW w:w="1364" w:type="dxa"/>
          </w:tcPr>
          <w:p w14:paraId="22A8734B"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±0,30</w:t>
            </w:r>
          </w:p>
        </w:tc>
      </w:tr>
      <w:tr w:rsidR="00CF11BE" w:rsidRPr="006431C4" w14:paraId="3CC78F51" w14:textId="77777777" w:rsidTr="00CF11BE">
        <w:tc>
          <w:tcPr>
            <w:tcW w:w="4106" w:type="dxa"/>
          </w:tcPr>
          <w:p w14:paraId="661BE6E5"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Mieszanki drobnoziarniste</w:t>
            </w:r>
          </w:p>
        </w:tc>
        <w:tc>
          <w:tcPr>
            <w:tcW w:w="960" w:type="dxa"/>
          </w:tcPr>
          <w:p w14:paraId="5775D2E1"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±0,5</w:t>
            </w:r>
          </w:p>
        </w:tc>
        <w:tc>
          <w:tcPr>
            <w:tcW w:w="1002" w:type="dxa"/>
          </w:tcPr>
          <w:p w14:paraId="5E27ECF6"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±0,45</w:t>
            </w:r>
          </w:p>
        </w:tc>
        <w:tc>
          <w:tcPr>
            <w:tcW w:w="1158" w:type="dxa"/>
          </w:tcPr>
          <w:p w14:paraId="3CBA706F"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±0,40</w:t>
            </w:r>
          </w:p>
        </w:tc>
        <w:tc>
          <w:tcPr>
            <w:tcW w:w="1058" w:type="dxa"/>
          </w:tcPr>
          <w:p w14:paraId="57782EB6"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±0,40</w:t>
            </w:r>
          </w:p>
        </w:tc>
        <w:tc>
          <w:tcPr>
            <w:tcW w:w="1178" w:type="dxa"/>
          </w:tcPr>
          <w:p w14:paraId="38A4D489"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±0,35</w:t>
            </w:r>
          </w:p>
        </w:tc>
        <w:tc>
          <w:tcPr>
            <w:tcW w:w="1364" w:type="dxa"/>
          </w:tcPr>
          <w:p w14:paraId="267A4C23"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±0,30</w:t>
            </w:r>
          </w:p>
        </w:tc>
      </w:tr>
      <w:tr w:rsidR="00CF11BE" w:rsidRPr="006431C4" w14:paraId="642C92B4" w14:textId="77777777" w:rsidTr="00CF11BE">
        <w:tc>
          <w:tcPr>
            <w:tcW w:w="10826" w:type="dxa"/>
            <w:gridSpan w:val="7"/>
          </w:tcPr>
          <w:p w14:paraId="4ED1DD88" w14:textId="77777777" w:rsidR="00CF11BE" w:rsidRPr="006431C4" w:rsidRDefault="00CF11BE" w:rsidP="00CF1E7D">
            <w:pPr>
              <w:numPr>
                <w:ilvl w:val="0"/>
                <w:numId w:val="147"/>
              </w:numPr>
              <w:tabs>
                <w:tab w:val="left" w:pos="426"/>
              </w:tabs>
              <w:overflowPunct w:val="0"/>
              <w:autoSpaceDE w:val="0"/>
              <w:autoSpaceDN w:val="0"/>
              <w:adjustRightInd w:val="0"/>
              <w:spacing w:line="240" w:lineRule="auto"/>
              <w:ind w:left="426" w:right="-57"/>
              <w:jc w:val="both"/>
              <w:textAlignment w:val="baseline"/>
              <w:rPr>
                <w:rFonts w:cs="Arial"/>
                <w:color w:val="000000"/>
                <w:szCs w:val="20"/>
              </w:rPr>
            </w:pPr>
            <w:r w:rsidRPr="006431C4">
              <w:rPr>
                <w:rFonts w:cs="Arial"/>
                <w:color w:val="00000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1D04FD9A" w14:textId="77777777" w:rsidR="00CF11BE" w:rsidRPr="006431C4" w:rsidRDefault="00CF11BE" w:rsidP="00CF11BE">
      <w:p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6.5.2.3. Temperatura mięknienia i nawrót sprężysty lepiszcza odzyskanego </w:t>
      </w:r>
    </w:p>
    <w:p w14:paraId="6381BA3C"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02D27FF8"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Temperatura mięknienia polimeroasfaltu wyekstrahowanego z mieszanki mineralno asfaltowej nie powinna przekroczyć wartości dopuszczalnych podanych w tablicy 28.</w:t>
      </w:r>
    </w:p>
    <w:p w14:paraId="6083FD59" w14:textId="77777777" w:rsidR="00CF11BE" w:rsidRPr="006431C4" w:rsidRDefault="00CF11BE" w:rsidP="00CF11BE">
      <w:pPr>
        <w:overflowPunct w:val="0"/>
        <w:autoSpaceDE w:val="0"/>
        <w:autoSpaceDN w:val="0"/>
        <w:adjustRightInd w:val="0"/>
        <w:spacing w:line="240" w:lineRule="auto"/>
        <w:ind w:left="1276" w:hanging="1276"/>
        <w:jc w:val="both"/>
        <w:textAlignment w:val="baseline"/>
        <w:rPr>
          <w:rFonts w:cs="Arial"/>
          <w:color w:val="000000"/>
          <w:szCs w:val="20"/>
        </w:rPr>
      </w:pPr>
      <w:r w:rsidRPr="006431C4">
        <w:rPr>
          <w:rFonts w:cs="Arial"/>
          <w:color w:val="000000"/>
          <w:szCs w:val="20"/>
        </w:rPr>
        <w:t>Tablica 28.</w:t>
      </w:r>
      <w:r w:rsidRPr="006431C4">
        <w:rPr>
          <w:rFonts w:cs="Arial"/>
          <w:color w:val="000000"/>
          <w:szCs w:val="20"/>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CF11BE" w:rsidRPr="006431C4" w14:paraId="1F2A4E08" w14:textId="77777777" w:rsidTr="007F1241">
        <w:tc>
          <w:tcPr>
            <w:tcW w:w="3755" w:type="dxa"/>
            <w:vAlign w:val="center"/>
          </w:tcPr>
          <w:p w14:paraId="429B1846"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Rodzaj lepiszcza</w:t>
            </w:r>
          </w:p>
        </w:tc>
        <w:tc>
          <w:tcPr>
            <w:tcW w:w="3756" w:type="dxa"/>
            <w:vAlign w:val="center"/>
          </w:tcPr>
          <w:p w14:paraId="52FF1736"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Najwyższa temperatura mięknienia, °C</w:t>
            </w:r>
          </w:p>
        </w:tc>
      </w:tr>
      <w:tr w:rsidR="00CF11BE" w:rsidRPr="006431C4" w14:paraId="436DB625" w14:textId="77777777" w:rsidTr="007F1241">
        <w:tc>
          <w:tcPr>
            <w:tcW w:w="3755" w:type="dxa"/>
          </w:tcPr>
          <w:p w14:paraId="35005376"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PMB-45/80-55</w:t>
            </w:r>
          </w:p>
        </w:tc>
        <w:tc>
          <w:tcPr>
            <w:tcW w:w="3756" w:type="dxa"/>
          </w:tcPr>
          <w:p w14:paraId="688EA570"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73</w:t>
            </w:r>
          </w:p>
        </w:tc>
      </w:tr>
      <w:tr w:rsidR="00CF11BE" w:rsidRPr="006431C4" w14:paraId="229052EB" w14:textId="77777777" w:rsidTr="007F1241">
        <w:tc>
          <w:tcPr>
            <w:tcW w:w="3755" w:type="dxa"/>
          </w:tcPr>
          <w:p w14:paraId="62F177F7"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PMB 45/80-65</w:t>
            </w:r>
          </w:p>
        </w:tc>
        <w:tc>
          <w:tcPr>
            <w:tcW w:w="3756" w:type="dxa"/>
          </w:tcPr>
          <w:p w14:paraId="6494265B"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83</w:t>
            </w:r>
          </w:p>
        </w:tc>
      </w:tr>
      <w:tr w:rsidR="00CF11BE" w:rsidRPr="006431C4" w14:paraId="21F9E7CA" w14:textId="77777777" w:rsidTr="007F1241">
        <w:tc>
          <w:tcPr>
            <w:tcW w:w="3755" w:type="dxa"/>
          </w:tcPr>
          <w:p w14:paraId="15C9BD64"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PMB 45/80-80</w:t>
            </w:r>
          </w:p>
        </w:tc>
        <w:tc>
          <w:tcPr>
            <w:tcW w:w="3756" w:type="dxa"/>
          </w:tcPr>
          <w:p w14:paraId="77736BC2" w14:textId="77777777" w:rsidR="00CF11BE" w:rsidRPr="006431C4" w:rsidRDefault="00CF11BE" w:rsidP="00CF11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Nie dotyczy</w:t>
            </w:r>
          </w:p>
        </w:tc>
      </w:tr>
    </w:tbl>
    <w:p w14:paraId="0B3E0308"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65070ACB"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Najwyższa dopuszczalna temperatura mięknienia wyekstrahowanego polimeroasfaltu = temperatura mięknienia zbadanej dostawy na wytwórnię + dopuszczalny wg Załącznika krajowego NA do PN-EN 14023 [64a] wzrost temperatury mięknienia po starzeniu RTFOT.</w:t>
      </w:r>
    </w:p>
    <w:p w14:paraId="5A35F31F" w14:textId="77777777" w:rsidR="00CF11BE" w:rsidRPr="006431C4" w:rsidRDefault="00CF11BE" w:rsidP="00CF11BE">
      <w:pPr>
        <w:autoSpaceDE w:val="0"/>
        <w:autoSpaceDN w:val="0"/>
        <w:adjustRightInd w:val="0"/>
        <w:spacing w:line="240" w:lineRule="auto"/>
        <w:ind w:firstLine="709"/>
        <w:jc w:val="both"/>
        <w:rPr>
          <w:rFonts w:cs="Arial"/>
          <w:color w:val="000000"/>
          <w:szCs w:val="20"/>
        </w:rPr>
      </w:pPr>
      <w:r w:rsidRPr="006431C4">
        <w:rPr>
          <w:rFonts w:cs="Arial"/>
          <w:szCs w:val="20"/>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[56]).</w:t>
      </w:r>
    </w:p>
    <w:p w14:paraId="62BCE33F" w14:textId="77777777" w:rsidR="00CF11BE" w:rsidRPr="006431C4" w:rsidRDefault="00CF11BE" w:rsidP="00CF11BE">
      <w:pPr>
        <w:keepNext/>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6.5.2.4. Gęstość i zawartość wolnych przestrzeni</w:t>
      </w:r>
    </w:p>
    <w:p w14:paraId="0366D2D0" w14:textId="77777777" w:rsidR="00CF11BE" w:rsidRPr="006431C4" w:rsidRDefault="00CF11BE" w:rsidP="00CF11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Zawartość wolnych przestrzeni w próbce Marshalla pobranej z mieszanki mineralno-asfaltowej lub wyjątkowo powtórnie rozgrzanej próbki pobranej z nawierzchni nie może wykroczyć poza wartości podane w pkcie 2.10 o więcej niż 1,5% (v/v).</w:t>
      </w:r>
    </w:p>
    <w:p w14:paraId="1AB230C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6.5.3. </w:t>
      </w:r>
      <w:r w:rsidRPr="006431C4">
        <w:rPr>
          <w:rFonts w:cs="Arial"/>
          <w:szCs w:val="20"/>
        </w:rPr>
        <w:t xml:space="preserve">Warunki technologiczne wbudowywania mieszanki mineralno-asfaltowej </w:t>
      </w:r>
    </w:p>
    <w:p w14:paraId="410548FC"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Temperatura powietrza powinna być mierzona przed i w czasie robót; nie powinna być mniejsza niż podano w tablicy 23.  </w:t>
      </w:r>
    </w:p>
    <w:p w14:paraId="02CDC278"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2AAA1DAF" w14:textId="77777777" w:rsidR="00CF11BE" w:rsidRPr="006431C4" w:rsidRDefault="00CF11BE" w:rsidP="00CF11BE">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Pomiar temperatury mieszanki  mineralno-asfaltowej należy wykonać zgodnie z wymaganiami normy PN-EN 12697-13 [38]. </w:t>
      </w:r>
    </w:p>
    <w:p w14:paraId="5B417CDF"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b/>
          <w:szCs w:val="20"/>
        </w:rPr>
      </w:pPr>
      <w:r w:rsidRPr="006431C4">
        <w:rPr>
          <w:rFonts w:cs="Arial"/>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7A604DA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6.5.4.</w:t>
      </w:r>
      <w:r w:rsidRPr="006431C4">
        <w:rPr>
          <w:rFonts w:cs="Arial"/>
          <w:szCs w:val="20"/>
        </w:rPr>
        <w:t xml:space="preserve"> Wykonana warstwa</w:t>
      </w:r>
    </w:p>
    <w:p w14:paraId="5B8EF26D" w14:textId="77777777" w:rsidR="00CF11BE" w:rsidRPr="006431C4" w:rsidRDefault="00CF11BE" w:rsidP="00CF11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 xml:space="preserve">6.5.4.1. Wskaźnik zagęszczenia i zawartość wolnych przestrzeni </w:t>
      </w:r>
    </w:p>
    <w:p w14:paraId="15F730D1"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color w:val="000000"/>
          <w:szCs w:val="20"/>
        </w:rPr>
        <w:t xml:space="preserve">Zagęszczenie wykonanej warstwy wyrażone wskaźnikiem zagęszczenia oraz zawartością wolnych przestrzeni nie może przekroczyć wartości dopuszczalnych  podanych w tablicy 29. </w:t>
      </w:r>
      <w:r w:rsidRPr="006431C4">
        <w:rPr>
          <w:rFonts w:cs="Arial"/>
          <w:szCs w:val="20"/>
        </w:rPr>
        <w:t>Dotyczy to każdego pojedynczego oznaczenia danej właściwości.</w:t>
      </w:r>
    </w:p>
    <w:p w14:paraId="4718870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Określenie gęstości objętościowej należy wykonywać według PN-EN 12697-6 [34].</w:t>
      </w:r>
    </w:p>
    <w:p w14:paraId="130043B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0C31FA0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74529E4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Tablica 29.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1680"/>
        <w:gridCol w:w="2400"/>
      </w:tblGrid>
      <w:tr w:rsidR="00CF11BE" w:rsidRPr="006431C4" w14:paraId="6A78326D" w14:textId="77777777" w:rsidTr="007F1241">
        <w:tc>
          <w:tcPr>
            <w:tcW w:w="2748" w:type="dxa"/>
          </w:tcPr>
          <w:p w14:paraId="208E4C8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p w14:paraId="0E19B48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Typ i wymiar mieszanki</w:t>
            </w:r>
          </w:p>
        </w:tc>
        <w:tc>
          <w:tcPr>
            <w:tcW w:w="1680" w:type="dxa"/>
          </w:tcPr>
          <w:p w14:paraId="0B2F535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Wskaźnik zagęszczenia</w:t>
            </w:r>
          </w:p>
          <w:p w14:paraId="319D2891" w14:textId="77777777" w:rsidR="00CF11BE" w:rsidRPr="006431C4" w:rsidRDefault="00CF11BE" w:rsidP="00CF11BE">
            <w:pPr>
              <w:overflowPunct w:val="0"/>
              <w:autoSpaceDE w:val="0"/>
              <w:autoSpaceDN w:val="0"/>
              <w:adjustRightInd w:val="0"/>
              <w:spacing w:line="240" w:lineRule="auto"/>
              <w:ind w:left="87"/>
              <w:jc w:val="center"/>
              <w:textAlignment w:val="baseline"/>
              <w:rPr>
                <w:rFonts w:cs="Arial"/>
                <w:szCs w:val="20"/>
              </w:rPr>
            </w:pPr>
            <w:r w:rsidRPr="006431C4">
              <w:rPr>
                <w:rFonts w:cs="Arial"/>
                <w:szCs w:val="20"/>
              </w:rPr>
              <w:t>[%]</w:t>
            </w:r>
          </w:p>
        </w:tc>
        <w:tc>
          <w:tcPr>
            <w:tcW w:w="2400" w:type="dxa"/>
          </w:tcPr>
          <w:p w14:paraId="752A151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Zawartość wolnych przestrzeni w warstwie  [%(v/v)]</w:t>
            </w:r>
          </w:p>
        </w:tc>
      </w:tr>
      <w:tr w:rsidR="00CF11BE" w:rsidRPr="006431C4" w14:paraId="2BC1BBC0" w14:textId="77777777" w:rsidTr="007F1241">
        <w:tc>
          <w:tcPr>
            <w:tcW w:w="2748" w:type="dxa"/>
          </w:tcPr>
          <w:p w14:paraId="2033716A"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AC5S,     KR1-KR2</w:t>
            </w:r>
          </w:p>
        </w:tc>
        <w:tc>
          <w:tcPr>
            <w:tcW w:w="1680" w:type="dxa"/>
          </w:tcPr>
          <w:p w14:paraId="7092C5F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2400" w:type="dxa"/>
          </w:tcPr>
          <w:p w14:paraId="49C1D2D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 ÷ 5,0</w:t>
            </w:r>
          </w:p>
        </w:tc>
      </w:tr>
      <w:tr w:rsidR="00CF11BE" w:rsidRPr="006431C4" w14:paraId="58F9125B" w14:textId="77777777" w:rsidTr="007F1241">
        <w:tc>
          <w:tcPr>
            <w:tcW w:w="2748" w:type="dxa"/>
          </w:tcPr>
          <w:p w14:paraId="424C7916"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AC8S,     KR1-KR2</w:t>
            </w:r>
          </w:p>
        </w:tc>
        <w:tc>
          <w:tcPr>
            <w:tcW w:w="1680" w:type="dxa"/>
          </w:tcPr>
          <w:p w14:paraId="0ACE0DA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2400" w:type="dxa"/>
          </w:tcPr>
          <w:p w14:paraId="1DEE45D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 ÷ 4,5</w:t>
            </w:r>
          </w:p>
        </w:tc>
      </w:tr>
      <w:tr w:rsidR="00CF11BE" w:rsidRPr="006431C4" w14:paraId="3E259BDD" w14:textId="77777777" w:rsidTr="007F1241">
        <w:tc>
          <w:tcPr>
            <w:tcW w:w="2748" w:type="dxa"/>
          </w:tcPr>
          <w:p w14:paraId="66420612"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AC11S,   KR1-KR2</w:t>
            </w:r>
          </w:p>
        </w:tc>
        <w:tc>
          <w:tcPr>
            <w:tcW w:w="1680" w:type="dxa"/>
          </w:tcPr>
          <w:p w14:paraId="0DEFD8A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2400" w:type="dxa"/>
          </w:tcPr>
          <w:p w14:paraId="455738A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 ÷ 4,5</w:t>
            </w:r>
          </w:p>
        </w:tc>
      </w:tr>
      <w:tr w:rsidR="00CF11BE" w:rsidRPr="006431C4" w14:paraId="2CCF4A45" w14:textId="77777777" w:rsidTr="007F1241">
        <w:tc>
          <w:tcPr>
            <w:tcW w:w="2748" w:type="dxa"/>
          </w:tcPr>
          <w:p w14:paraId="43D9396A"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AC8S,     KR3-KR4</w:t>
            </w:r>
          </w:p>
        </w:tc>
        <w:tc>
          <w:tcPr>
            <w:tcW w:w="1680" w:type="dxa"/>
          </w:tcPr>
          <w:p w14:paraId="7F7C5FF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2400" w:type="dxa"/>
          </w:tcPr>
          <w:p w14:paraId="617A530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2,0÷5,0</w:t>
            </w:r>
          </w:p>
        </w:tc>
      </w:tr>
      <w:tr w:rsidR="00CF11BE" w:rsidRPr="006431C4" w14:paraId="0CC2F4D8" w14:textId="77777777" w:rsidTr="007F1241">
        <w:tc>
          <w:tcPr>
            <w:tcW w:w="2748" w:type="dxa"/>
          </w:tcPr>
          <w:p w14:paraId="27610B0A"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AC11S,   KR3-KR4</w:t>
            </w:r>
          </w:p>
        </w:tc>
        <w:tc>
          <w:tcPr>
            <w:tcW w:w="1680" w:type="dxa"/>
          </w:tcPr>
          <w:p w14:paraId="50F14D8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2400" w:type="dxa"/>
          </w:tcPr>
          <w:p w14:paraId="54383E8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2,0÷5,0</w:t>
            </w:r>
          </w:p>
        </w:tc>
      </w:tr>
      <w:tr w:rsidR="00CF11BE" w:rsidRPr="006431C4" w14:paraId="5C4E6583" w14:textId="77777777" w:rsidTr="007F1241">
        <w:tc>
          <w:tcPr>
            <w:tcW w:w="2748" w:type="dxa"/>
          </w:tcPr>
          <w:p w14:paraId="2E37C05C"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AC8S,     KR5-KR6</w:t>
            </w:r>
          </w:p>
        </w:tc>
        <w:tc>
          <w:tcPr>
            <w:tcW w:w="1680" w:type="dxa"/>
          </w:tcPr>
          <w:p w14:paraId="2BDB649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2400" w:type="dxa"/>
          </w:tcPr>
          <w:p w14:paraId="1AAF90B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2,0÷5,0</w:t>
            </w:r>
          </w:p>
        </w:tc>
      </w:tr>
      <w:tr w:rsidR="00CF11BE" w:rsidRPr="006431C4" w14:paraId="522AAC91" w14:textId="77777777" w:rsidTr="007F1241">
        <w:tc>
          <w:tcPr>
            <w:tcW w:w="2748" w:type="dxa"/>
          </w:tcPr>
          <w:p w14:paraId="4699278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AC11S,   KR5-KR6</w:t>
            </w:r>
          </w:p>
        </w:tc>
        <w:tc>
          <w:tcPr>
            <w:tcW w:w="1680" w:type="dxa"/>
          </w:tcPr>
          <w:p w14:paraId="7C8F720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2400" w:type="dxa"/>
          </w:tcPr>
          <w:p w14:paraId="2616C25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2,0÷5,0</w:t>
            </w:r>
          </w:p>
        </w:tc>
      </w:tr>
    </w:tbl>
    <w:p w14:paraId="4A2B2784"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color w:val="000000"/>
          <w:szCs w:val="20"/>
        </w:rPr>
      </w:pPr>
      <w:r w:rsidRPr="006431C4">
        <w:rPr>
          <w:rFonts w:cs="Arial"/>
          <w:color w:val="000000"/>
          <w:szCs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6431C4">
          <w:rPr>
            <w:rFonts w:cs="Arial"/>
            <w:color w:val="000000"/>
            <w:szCs w:val="20"/>
          </w:rPr>
          <w:t>6000 m</w:t>
        </w:r>
        <w:r w:rsidRPr="006431C4">
          <w:rPr>
            <w:rFonts w:cs="Arial"/>
            <w:color w:val="000000"/>
            <w:szCs w:val="20"/>
            <w:vertAlign w:val="superscript"/>
          </w:rPr>
          <w:t>2</w:t>
        </w:r>
      </w:smartTag>
      <w:r w:rsidRPr="006431C4">
        <w:rPr>
          <w:rFonts w:cs="Arial"/>
          <w:color w:val="000000"/>
          <w:szCs w:val="20"/>
        </w:rPr>
        <w:t xml:space="preserve"> nawierzchni jedna próbka; w razie potrzeby liczba próbek może zostać zwiększona (np. nawierzchnie mostowe).</w:t>
      </w:r>
    </w:p>
    <w:p w14:paraId="7497E1EB" w14:textId="77777777" w:rsidR="00CF11BE" w:rsidRPr="006431C4" w:rsidRDefault="00CF11BE" w:rsidP="00CF11BE">
      <w:pPr>
        <w:keepNext/>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 xml:space="preserve"> 6.5.4.2. Grubość warstwy   </w:t>
      </w:r>
    </w:p>
    <w:p w14:paraId="01C2F4F4"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14:paraId="2F3BDC6E" w14:textId="77777777" w:rsidR="00CF11BE" w:rsidRPr="006431C4" w:rsidRDefault="00CF11BE" w:rsidP="00CF11BE">
      <w:pPr>
        <w:overflowPunct w:val="0"/>
        <w:autoSpaceDE w:val="0"/>
        <w:autoSpaceDN w:val="0"/>
        <w:adjustRightInd w:val="0"/>
        <w:spacing w:line="240" w:lineRule="auto"/>
        <w:ind w:left="992" w:hanging="992"/>
        <w:jc w:val="both"/>
        <w:textAlignment w:val="baseline"/>
        <w:rPr>
          <w:rFonts w:cs="Arial"/>
          <w:szCs w:val="20"/>
        </w:rPr>
      </w:pPr>
      <w:r w:rsidRPr="006431C4">
        <w:rPr>
          <w:rFonts w:cs="Arial"/>
          <w:szCs w:val="20"/>
        </w:rPr>
        <w:t xml:space="preserve">Tablica 30. Dopuszczalne odchyłki grubości warstwy [%] </w:t>
      </w:r>
    </w:p>
    <w:tbl>
      <w:tblPr>
        <w:tblW w:w="106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3428"/>
        <w:gridCol w:w="2331"/>
      </w:tblGrid>
      <w:tr w:rsidR="00CF11BE" w:rsidRPr="006431C4" w14:paraId="61CEA00F" w14:textId="77777777" w:rsidTr="00CF11BE">
        <w:tc>
          <w:tcPr>
            <w:tcW w:w="4931" w:type="dxa"/>
            <w:vAlign w:val="center"/>
          </w:tcPr>
          <w:p w14:paraId="26842CC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Warunki oceny</w:t>
            </w:r>
          </w:p>
        </w:tc>
        <w:tc>
          <w:tcPr>
            <w:tcW w:w="3428" w:type="dxa"/>
            <w:vAlign w:val="center"/>
          </w:tcPr>
          <w:p w14:paraId="37B5827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Pakiet: warstwa ścieralna+wiążąca +podbudowa asfaltowa razem</w:t>
            </w:r>
          </w:p>
        </w:tc>
        <w:tc>
          <w:tcPr>
            <w:tcW w:w="2331" w:type="dxa"/>
            <w:vAlign w:val="center"/>
          </w:tcPr>
          <w:p w14:paraId="495BCCD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Warstwa ścieralna</w:t>
            </w:r>
          </w:p>
        </w:tc>
      </w:tr>
      <w:tr w:rsidR="00CF11BE" w:rsidRPr="006431C4" w14:paraId="44457640" w14:textId="77777777" w:rsidTr="00CF11BE">
        <w:trPr>
          <w:trHeight w:val="892"/>
        </w:trPr>
        <w:tc>
          <w:tcPr>
            <w:tcW w:w="4931" w:type="dxa"/>
            <w:tcBorders>
              <w:bottom w:val="nil"/>
            </w:tcBorders>
          </w:tcPr>
          <w:p w14:paraId="4EDF499F"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Dla wartości średniej grubości wbudowanej warstwy z całego odcinka budowy</w:t>
            </w:r>
          </w:p>
        </w:tc>
        <w:tc>
          <w:tcPr>
            <w:tcW w:w="3428" w:type="dxa"/>
            <w:tcBorders>
              <w:bottom w:val="nil"/>
            </w:tcBorders>
          </w:tcPr>
          <w:p w14:paraId="6718415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Nie dopuszcza się zaniżenia grubości</w:t>
            </w:r>
          </w:p>
        </w:tc>
        <w:tc>
          <w:tcPr>
            <w:tcW w:w="2331" w:type="dxa"/>
            <w:tcBorders>
              <w:bottom w:val="nil"/>
            </w:tcBorders>
          </w:tcPr>
          <w:p w14:paraId="2890562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Nie dopuszcza się zaniżenia grubości</w:t>
            </w:r>
          </w:p>
        </w:tc>
      </w:tr>
      <w:tr w:rsidR="00CF11BE" w:rsidRPr="006431C4" w14:paraId="1F46F7B7" w14:textId="77777777" w:rsidTr="00CF11BE">
        <w:tc>
          <w:tcPr>
            <w:tcW w:w="4931" w:type="dxa"/>
          </w:tcPr>
          <w:p w14:paraId="37D6408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Dla wartości pojedynczych wyników pomiarów grubości wbudowanej warstwy</w:t>
            </w:r>
          </w:p>
        </w:tc>
        <w:tc>
          <w:tcPr>
            <w:tcW w:w="3428" w:type="dxa"/>
          </w:tcPr>
          <w:p w14:paraId="3177501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0÷10%, ale nie więcej niż 1,0 cm</w:t>
            </w:r>
          </w:p>
        </w:tc>
        <w:tc>
          <w:tcPr>
            <w:tcW w:w="2331" w:type="dxa"/>
          </w:tcPr>
          <w:p w14:paraId="4949622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0÷5%</w:t>
            </w:r>
          </w:p>
        </w:tc>
      </w:tr>
    </w:tbl>
    <w:p w14:paraId="0099EBE5"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Należy sprawdzić zachowanie zasady mówiącej, że grubość warstwy musi być co najmniej dwuipółkrotnie większa od wymiaru D kruszywa danej mieszanki (h ≥ 2,5×D).</w:t>
      </w:r>
    </w:p>
    <w:p w14:paraId="2BFB5D73"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Zwiększone grubości poszczególnych warstw będą zaliczane jako wyrównanie ewentualnych niedoborów niżej leżącej warstwy.</w:t>
      </w:r>
    </w:p>
    <w:p w14:paraId="653CD38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6.5.4.3. Spadki poprzeczne</w:t>
      </w:r>
    </w:p>
    <w:p w14:paraId="698BC3B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Spadki poprzeczne nawierzchni należy badać nie rzadziej niż co </w:t>
      </w:r>
      <w:smartTag w:uri="urn:schemas-microsoft-com:office:smarttags" w:element="metricconverter">
        <w:smartTagPr>
          <w:attr w:name="ProductID" w:val="20 m"/>
        </w:smartTagPr>
        <w:r w:rsidRPr="006431C4">
          <w:rPr>
            <w:rFonts w:cs="Arial"/>
            <w:szCs w:val="20"/>
          </w:rPr>
          <w:t>20 m</w:t>
        </w:r>
      </w:smartTag>
      <w:r w:rsidRPr="006431C4">
        <w:rPr>
          <w:rFonts w:cs="Arial"/>
          <w:szCs w:val="20"/>
        </w:rPr>
        <w:t xml:space="preserve"> oraz w punktach głównych łuków poziomych.</w:t>
      </w:r>
    </w:p>
    <w:p w14:paraId="31E00139"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color w:val="000000"/>
          <w:szCs w:val="20"/>
        </w:rPr>
      </w:pPr>
      <w:r w:rsidRPr="006431C4">
        <w:rPr>
          <w:rFonts w:cs="Arial"/>
          <w:szCs w:val="20"/>
        </w:rPr>
        <w:t xml:space="preserve">Spadki poprzeczne powinny być zgodne z dokumentacją projektową, z tolerancją       </w:t>
      </w:r>
      <w:r w:rsidRPr="006431C4">
        <w:rPr>
          <w:rFonts w:cs="Arial"/>
          <w:color w:val="000000"/>
          <w:szCs w:val="20"/>
        </w:rPr>
        <w:sym w:font="Symbol" w:char="00B1"/>
      </w:r>
      <w:r w:rsidRPr="006431C4">
        <w:rPr>
          <w:rFonts w:cs="Arial"/>
          <w:color w:val="000000"/>
          <w:szCs w:val="20"/>
        </w:rPr>
        <w:t xml:space="preserve"> 0,5%. </w:t>
      </w:r>
    </w:p>
    <w:p w14:paraId="799BB4F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6.5.4.4. Równość </w:t>
      </w:r>
    </w:p>
    <w:p w14:paraId="6579FF4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 Równość podłużna</w:t>
      </w:r>
    </w:p>
    <w:p w14:paraId="14426251"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W pomiarach równości podłużnej warstw konstrukcji nawierzchni należy stosować metody:</w:t>
      </w:r>
    </w:p>
    <w:p w14:paraId="51C28103" w14:textId="77777777" w:rsidR="00CF11BE" w:rsidRPr="006431C4" w:rsidRDefault="00CF11BE" w:rsidP="00CF1E7D">
      <w:pPr>
        <w:numPr>
          <w:ilvl w:val="0"/>
          <w:numId w:val="158"/>
        </w:numPr>
        <w:overflowPunct w:val="0"/>
        <w:autoSpaceDE w:val="0"/>
        <w:autoSpaceDN w:val="0"/>
        <w:adjustRightInd w:val="0"/>
        <w:spacing w:line="240" w:lineRule="auto"/>
        <w:ind w:left="284" w:hanging="218"/>
        <w:jc w:val="both"/>
        <w:textAlignment w:val="baseline"/>
        <w:rPr>
          <w:rFonts w:cs="Arial"/>
          <w:szCs w:val="20"/>
        </w:rPr>
      </w:pPr>
      <w:r w:rsidRPr="006431C4">
        <w:rPr>
          <w:rFonts w:cs="Arial"/>
          <w:szCs w:val="20"/>
        </w:rPr>
        <w:t>profilometryczną bazującą na wskaźnikach równości IRI,</w:t>
      </w:r>
    </w:p>
    <w:p w14:paraId="2DDC23C9" w14:textId="77777777" w:rsidR="00CF11BE" w:rsidRPr="006431C4" w:rsidRDefault="00CF11BE" w:rsidP="00CF1E7D">
      <w:pPr>
        <w:numPr>
          <w:ilvl w:val="0"/>
          <w:numId w:val="158"/>
        </w:numPr>
        <w:overflowPunct w:val="0"/>
        <w:autoSpaceDE w:val="0"/>
        <w:autoSpaceDN w:val="0"/>
        <w:adjustRightInd w:val="0"/>
        <w:spacing w:line="240" w:lineRule="auto"/>
        <w:ind w:left="284" w:hanging="218"/>
        <w:jc w:val="both"/>
        <w:textAlignment w:val="baseline"/>
        <w:rPr>
          <w:rFonts w:cs="Arial"/>
          <w:szCs w:val="20"/>
        </w:rPr>
      </w:pPr>
      <w:r w:rsidRPr="006431C4">
        <w:rPr>
          <w:rFonts w:cs="Arial"/>
          <w:szCs w:val="20"/>
        </w:rPr>
        <w:t>pomiaru ciągłego równoważną użyciu łaty i klina np. z wykorzystaniem planografu (w miejscach niedostępnych dla planografu pomiar z użyciem łaty i klina). Długość łaty w pomiarze równości podłużnej powinna wynosić 4 m.</w:t>
      </w:r>
    </w:p>
    <w:p w14:paraId="7155ABBC"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14:paraId="7EAA43B4"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14:paraId="64F44CB2"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Do oceny równości podłużnej</w:t>
      </w:r>
      <w:r w:rsidRPr="006431C4">
        <w:rPr>
          <w:rFonts w:eastAsia="TimesNewRoman" w:cs="Arial"/>
          <w:szCs w:val="20"/>
        </w:rPr>
        <w:t xml:space="preserve"> </w:t>
      </w:r>
      <w:r w:rsidRPr="006431C4">
        <w:rPr>
          <w:rFonts w:cs="Arial"/>
          <w:szCs w:val="20"/>
        </w:rPr>
        <w:t>warstwy ścieralnej nawierzchni dróg klasy Z, L, D 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0B2F2FB2"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W miejscach niedostępnych dla planografu pomiar równości podłużnej warstw nawierzchni należy wykonać w sposób ciągły z użyciem łaty i klina.</w:t>
      </w:r>
    </w:p>
    <w:p w14:paraId="2C4569C6"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Wymagana równość podłużna jest określona przez dopuszczalną wartość średnią</w:t>
      </w:r>
    </w:p>
    <w:p w14:paraId="7DF7ADEA"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wyników pomiaru IRI</w:t>
      </w:r>
      <w:r w:rsidRPr="006431C4">
        <w:rPr>
          <w:rFonts w:cs="Arial"/>
          <w:szCs w:val="20"/>
          <w:vertAlign w:val="subscript"/>
        </w:rPr>
        <w:t>śr</w:t>
      </w:r>
      <w:r w:rsidRPr="006431C4">
        <w:rPr>
          <w:rFonts w:cs="Arial"/>
          <w:szCs w:val="20"/>
        </w:rPr>
        <w:t xml:space="preserve"> oraz dopuszczalną wartość maksymalną pojedynczego pomiaru</w:t>
      </w:r>
    </w:p>
    <w:p w14:paraId="21D7D3CF"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IRI</w:t>
      </w:r>
      <w:r w:rsidRPr="006431C4">
        <w:rPr>
          <w:rFonts w:cs="Arial"/>
          <w:szCs w:val="20"/>
          <w:vertAlign w:val="subscript"/>
        </w:rPr>
        <w:t>max</w:t>
      </w:r>
      <w:r w:rsidRPr="006431C4">
        <w:rPr>
          <w:rFonts w:cs="Arial"/>
          <w:szCs w:val="20"/>
        </w:rPr>
        <w:t>, których nie można przekroczyć na długości ocenianego odcinka nawierzchni.</w:t>
      </w:r>
    </w:p>
    <w:p w14:paraId="6FE571F4"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Maksymalne wartości dla warstwy ścieralnej oznaczone metodą profilometryczną określa</w:t>
      </w:r>
    </w:p>
    <w:p w14:paraId="5051A1F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tablica 31.</w:t>
      </w:r>
    </w:p>
    <w:p w14:paraId="66BF522D" w14:textId="77777777" w:rsidR="00CF11BE" w:rsidRPr="006431C4" w:rsidRDefault="00CF11BE" w:rsidP="00CF11BE">
      <w:pPr>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4848"/>
        <w:gridCol w:w="2232"/>
        <w:gridCol w:w="2232"/>
      </w:tblGrid>
      <w:tr w:rsidR="00CF11BE" w:rsidRPr="006431C4" w14:paraId="64DFC490" w14:textId="77777777" w:rsidTr="00CF11BE">
        <w:tc>
          <w:tcPr>
            <w:tcW w:w="1526" w:type="dxa"/>
            <w:vMerge w:val="restart"/>
            <w:vAlign w:val="center"/>
          </w:tcPr>
          <w:p w14:paraId="54C0733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Klasa drogi</w:t>
            </w:r>
          </w:p>
        </w:tc>
        <w:tc>
          <w:tcPr>
            <w:tcW w:w="4848" w:type="dxa"/>
            <w:vMerge w:val="restart"/>
            <w:vAlign w:val="center"/>
          </w:tcPr>
          <w:p w14:paraId="76101FC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Element nawierzchni</w:t>
            </w:r>
          </w:p>
        </w:tc>
        <w:tc>
          <w:tcPr>
            <w:tcW w:w="4464" w:type="dxa"/>
            <w:gridSpan w:val="2"/>
            <w:vAlign w:val="center"/>
          </w:tcPr>
          <w:p w14:paraId="639EF9B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Maksymalne wartości wskaźników dla </w:t>
            </w:r>
            <w:r w:rsidRPr="006431C4">
              <w:rPr>
                <w:rFonts w:cs="Arial"/>
                <w:szCs w:val="20"/>
              </w:rPr>
              <w:lastRenderedPageBreak/>
              <w:t>zadanego zakresu długości odcinka drogi [mm/m]</w:t>
            </w:r>
          </w:p>
        </w:tc>
      </w:tr>
      <w:tr w:rsidR="00CF11BE" w:rsidRPr="006431C4" w14:paraId="0937329D" w14:textId="77777777" w:rsidTr="00CF11BE">
        <w:tc>
          <w:tcPr>
            <w:tcW w:w="1526" w:type="dxa"/>
            <w:vMerge/>
            <w:vAlign w:val="center"/>
          </w:tcPr>
          <w:p w14:paraId="7784C0A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4848" w:type="dxa"/>
            <w:vMerge/>
            <w:vAlign w:val="center"/>
          </w:tcPr>
          <w:p w14:paraId="3ADF6F3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2232" w:type="dxa"/>
            <w:vAlign w:val="center"/>
          </w:tcPr>
          <w:p w14:paraId="28BA021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IRIśr*</w:t>
            </w:r>
          </w:p>
        </w:tc>
        <w:tc>
          <w:tcPr>
            <w:tcW w:w="2232" w:type="dxa"/>
            <w:vAlign w:val="center"/>
          </w:tcPr>
          <w:p w14:paraId="02EE40C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IRImax</w:t>
            </w:r>
          </w:p>
        </w:tc>
      </w:tr>
      <w:tr w:rsidR="00CF11BE" w:rsidRPr="006431C4" w14:paraId="6F3226ED" w14:textId="77777777" w:rsidTr="00CF11BE">
        <w:tc>
          <w:tcPr>
            <w:tcW w:w="1526" w:type="dxa"/>
            <w:vMerge w:val="restart"/>
          </w:tcPr>
          <w:p w14:paraId="259D663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 GP</w:t>
            </w:r>
          </w:p>
        </w:tc>
        <w:tc>
          <w:tcPr>
            <w:tcW w:w="4848" w:type="dxa"/>
          </w:tcPr>
          <w:p w14:paraId="2267FB48"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Pasy ruchu zasadnicze, awaryjne,</w:t>
            </w:r>
          </w:p>
          <w:p w14:paraId="0A1FCE8A"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dodatkowe, włączenia i wyłączenia,</w:t>
            </w:r>
          </w:p>
          <w:p w14:paraId="01434A0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jezdnie łącznic, utwardzone pobocza</w:t>
            </w:r>
          </w:p>
        </w:tc>
        <w:tc>
          <w:tcPr>
            <w:tcW w:w="2232" w:type="dxa"/>
          </w:tcPr>
          <w:p w14:paraId="0D7ADD9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1,3</w:t>
            </w:r>
          </w:p>
        </w:tc>
        <w:tc>
          <w:tcPr>
            <w:tcW w:w="2232" w:type="dxa"/>
          </w:tcPr>
          <w:p w14:paraId="3D93EE8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2,4</w:t>
            </w:r>
          </w:p>
        </w:tc>
      </w:tr>
      <w:tr w:rsidR="00CF11BE" w:rsidRPr="006431C4" w14:paraId="5E2644EE" w14:textId="77777777" w:rsidTr="00CF11BE">
        <w:tc>
          <w:tcPr>
            <w:tcW w:w="1526" w:type="dxa"/>
            <w:vMerge/>
          </w:tcPr>
          <w:p w14:paraId="720C3E4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4848" w:type="dxa"/>
          </w:tcPr>
          <w:p w14:paraId="5ABEA82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Jezdnie MOP</w:t>
            </w:r>
          </w:p>
        </w:tc>
        <w:tc>
          <w:tcPr>
            <w:tcW w:w="2232" w:type="dxa"/>
          </w:tcPr>
          <w:p w14:paraId="5F46939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2232" w:type="dxa"/>
          </w:tcPr>
          <w:p w14:paraId="319938D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2,7</w:t>
            </w:r>
          </w:p>
        </w:tc>
      </w:tr>
    </w:tbl>
    <w:p w14:paraId="7D2F3A7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4848"/>
        <w:gridCol w:w="2232"/>
        <w:gridCol w:w="2232"/>
      </w:tblGrid>
      <w:tr w:rsidR="00CF11BE" w:rsidRPr="006431C4" w14:paraId="7C7508E0" w14:textId="77777777" w:rsidTr="00CF11BE">
        <w:tc>
          <w:tcPr>
            <w:tcW w:w="1526" w:type="dxa"/>
          </w:tcPr>
          <w:p w14:paraId="17E30FE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w:t>
            </w:r>
          </w:p>
        </w:tc>
        <w:tc>
          <w:tcPr>
            <w:tcW w:w="4848" w:type="dxa"/>
          </w:tcPr>
          <w:p w14:paraId="7CE5993B"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Pasy ruchu zasadnicze, dodatkowe,</w:t>
            </w:r>
          </w:p>
          <w:p w14:paraId="0F3472DC"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włączenia i wyłączenia, postojowe,</w:t>
            </w:r>
          </w:p>
          <w:p w14:paraId="6A27104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jezdnie łącznic, utwardzone pobocza</w:t>
            </w:r>
          </w:p>
        </w:tc>
        <w:tc>
          <w:tcPr>
            <w:tcW w:w="2232" w:type="dxa"/>
          </w:tcPr>
          <w:p w14:paraId="77A9448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1,7</w:t>
            </w:r>
          </w:p>
        </w:tc>
        <w:tc>
          <w:tcPr>
            <w:tcW w:w="2232" w:type="dxa"/>
          </w:tcPr>
          <w:p w14:paraId="33B6876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3,4</w:t>
            </w:r>
          </w:p>
        </w:tc>
      </w:tr>
      <w:tr w:rsidR="00CF11BE" w:rsidRPr="006431C4" w14:paraId="44E241F8" w14:textId="77777777" w:rsidTr="00CF11BE">
        <w:tc>
          <w:tcPr>
            <w:tcW w:w="10838" w:type="dxa"/>
            <w:gridSpan w:val="4"/>
          </w:tcPr>
          <w:p w14:paraId="30E27BC0"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 w przypadku:</w:t>
            </w:r>
          </w:p>
          <w:p w14:paraId="7BB250AF"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 odbioru odcinków warstwy nawierzchni o całkowitej długości mniejszej niż 500 m,</w:t>
            </w:r>
          </w:p>
          <w:p w14:paraId="02CE44E9" w14:textId="77777777" w:rsidR="00CF11BE" w:rsidRPr="006431C4" w:rsidRDefault="00CF11BE" w:rsidP="00CF11BE">
            <w:pPr>
              <w:autoSpaceDE w:val="0"/>
              <w:autoSpaceDN w:val="0"/>
              <w:adjustRightInd w:val="0"/>
              <w:spacing w:line="240" w:lineRule="auto"/>
              <w:ind w:left="142" w:hanging="142"/>
              <w:rPr>
                <w:rFonts w:cs="Arial"/>
                <w:szCs w:val="20"/>
              </w:rPr>
            </w:pPr>
            <w:r w:rsidRPr="006431C4">
              <w:rPr>
                <w:rFonts w:cs="Arial"/>
                <w:szCs w:val="20"/>
              </w:rPr>
              <w:t>− odbioru robót polegających na ułożeniu na istniejącej nawierzchni jedynie warstwy ścieralnej (niezależnie od długości odcinka robot),</w:t>
            </w:r>
          </w:p>
          <w:p w14:paraId="3E365185"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dopuszczalną wartość IRIśr wg tablicy należy zwiększyć o 0,2 mm/m.</w:t>
            </w:r>
          </w:p>
        </w:tc>
      </w:tr>
    </w:tbl>
    <w:p w14:paraId="3709B218"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Maksymalne wartości odchyleń równości podłużnej dla warstwy oznaczone pomiarem ciągłym równoważnym użyciu łaty i klina np. z wykorzystaniem planografu, łaty i klina określa tablica 32.</w:t>
      </w:r>
    </w:p>
    <w:p w14:paraId="0A0204E2" w14:textId="77777777" w:rsidR="00CF11BE" w:rsidRPr="006431C4" w:rsidRDefault="00CF11BE" w:rsidP="00CF11BE">
      <w:pPr>
        <w:tabs>
          <w:tab w:val="left" w:pos="1134"/>
        </w:tabs>
        <w:autoSpaceDE w:val="0"/>
        <w:autoSpaceDN w:val="0"/>
        <w:adjustRightInd w:val="0"/>
        <w:spacing w:line="240" w:lineRule="auto"/>
        <w:ind w:left="1134" w:hanging="1134"/>
        <w:jc w:val="both"/>
        <w:rPr>
          <w:rFonts w:cs="Arial"/>
          <w:szCs w:val="20"/>
        </w:rPr>
      </w:pPr>
      <w:r w:rsidRPr="006431C4">
        <w:rPr>
          <w:rFonts w:cs="Arial"/>
          <w:bCs/>
          <w:szCs w:val="20"/>
        </w:rPr>
        <w:t>Tablica 32.</w:t>
      </w:r>
      <w:r w:rsidRPr="006431C4">
        <w:rPr>
          <w:rFonts w:cs="Arial"/>
          <w:bCs/>
          <w:szCs w:val="20"/>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5983"/>
        <w:gridCol w:w="2976"/>
      </w:tblGrid>
      <w:tr w:rsidR="00CF11BE" w:rsidRPr="006431C4" w14:paraId="38614FD8" w14:textId="77777777" w:rsidTr="00CF11BE">
        <w:tc>
          <w:tcPr>
            <w:tcW w:w="1809" w:type="dxa"/>
            <w:vAlign w:val="center"/>
          </w:tcPr>
          <w:p w14:paraId="0A82147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Klasa drogi</w:t>
            </w:r>
          </w:p>
        </w:tc>
        <w:tc>
          <w:tcPr>
            <w:tcW w:w="5983" w:type="dxa"/>
            <w:vAlign w:val="center"/>
          </w:tcPr>
          <w:p w14:paraId="3B58D6B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Element nawierzchni</w:t>
            </w:r>
          </w:p>
        </w:tc>
        <w:tc>
          <w:tcPr>
            <w:tcW w:w="2976" w:type="dxa"/>
            <w:vAlign w:val="center"/>
          </w:tcPr>
          <w:p w14:paraId="5A31825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Maksymalne wartości odchyleń równości podłużnej warstwy [mm] dla warstwy ścieralnej</w:t>
            </w:r>
          </w:p>
        </w:tc>
      </w:tr>
      <w:tr w:rsidR="00CF11BE" w:rsidRPr="006431C4" w14:paraId="4322E08C" w14:textId="77777777" w:rsidTr="00CF11BE">
        <w:tc>
          <w:tcPr>
            <w:tcW w:w="1809" w:type="dxa"/>
            <w:vMerge w:val="restart"/>
          </w:tcPr>
          <w:p w14:paraId="0840D2F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A,S,GP</w:t>
            </w:r>
          </w:p>
        </w:tc>
        <w:tc>
          <w:tcPr>
            <w:tcW w:w="5983" w:type="dxa"/>
          </w:tcPr>
          <w:p w14:paraId="39E9D167"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Pasy ruchu zasadnicze, awaryjne,</w:t>
            </w:r>
          </w:p>
          <w:p w14:paraId="5A13326F"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dodatkowe, włączenia i wyłączenia,</w:t>
            </w:r>
          </w:p>
          <w:p w14:paraId="2D82BA3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jezdnie łącznic, utwardzone pobocza</w:t>
            </w:r>
          </w:p>
        </w:tc>
        <w:tc>
          <w:tcPr>
            <w:tcW w:w="2976" w:type="dxa"/>
          </w:tcPr>
          <w:p w14:paraId="0B2FC84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CF11BE" w:rsidRPr="006431C4" w14:paraId="6A228BBD" w14:textId="77777777" w:rsidTr="00CF11BE">
        <w:tc>
          <w:tcPr>
            <w:tcW w:w="1809" w:type="dxa"/>
            <w:vMerge/>
          </w:tcPr>
          <w:p w14:paraId="2C0D40C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5983" w:type="dxa"/>
          </w:tcPr>
          <w:p w14:paraId="137A53E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Jezdnie MOP</w:t>
            </w:r>
          </w:p>
        </w:tc>
        <w:tc>
          <w:tcPr>
            <w:tcW w:w="2976" w:type="dxa"/>
          </w:tcPr>
          <w:p w14:paraId="56F0ACD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CF11BE" w:rsidRPr="006431C4" w14:paraId="5DA6CB3E" w14:textId="77777777" w:rsidTr="00CF11BE">
        <w:tc>
          <w:tcPr>
            <w:tcW w:w="1809" w:type="dxa"/>
          </w:tcPr>
          <w:p w14:paraId="4A57CC3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G,Z</w:t>
            </w:r>
          </w:p>
        </w:tc>
        <w:tc>
          <w:tcPr>
            <w:tcW w:w="5983" w:type="dxa"/>
          </w:tcPr>
          <w:p w14:paraId="254346A9"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Pasy ruchu zasadnicze, dodatkowe,</w:t>
            </w:r>
          </w:p>
          <w:p w14:paraId="20FA7699"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włączenia i wyłączenia, postojowe,</w:t>
            </w:r>
          </w:p>
          <w:p w14:paraId="43A47DB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jezdnie łącznic, utwardzone pobocza</w:t>
            </w:r>
          </w:p>
        </w:tc>
        <w:tc>
          <w:tcPr>
            <w:tcW w:w="2976" w:type="dxa"/>
          </w:tcPr>
          <w:p w14:paraId="1877767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p w14:paraId="3A07F09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(dotyczy jedynie klasy Z)</w:t>
            </w:r>
          </w:p>
        </w:tc>
      </w:tr>
      <w:tr w:rsidR="00CF11BE" w:rsidRPr="006431C4" w14:paraId="510A1205" w14:textId="77777777" w:rsidTr="00CF11BE">
        <w:tc>
          <w:tcPr>
            <w:tcW w:w="1809" w:type="dxa"/>
          </w:tcPr>
          <w:p w14:paraId="62CFEE4D"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 xml:space="preserve">L,D, place parkingi, </w:t>
            </w:r>
          </w:p>
        </w:tc>
        <w:tc>
          <w:tcPr>
            <w:tcW w:w="5983" w:type="dxa"/>
          </w:tcPr>
          <w:p w14:paraId="5DF5E59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Wszystkie pasy ruchu i powierzchnie przeznaczone do ruchu i postoju pojazdów</w:t>
            </w:r>
          </w:p>
        </w:tc>
        <w:tc>
          <w:tcPr>
            <w:tcW w:w="2976" w:type="dxa"/>
          </w:tcPr>
          <w:p w14:paraId="3D751DE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bl>
    <w:p w14:paraId="0A622C8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7351E67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 Równość poprzeczna</w:t>
      </w:r>
    </w:p>
    <w:p w14:paraId="280262E1"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7E9825E1"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W miejscach niedostępnych dla profilografu pomiar równości poprzecznej warstw</w:t>
      </w:r>
    </w:p>
    <w:p w14:paraId="2DF22845"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nawierzchni należy wykonać z użyciem łaty i klina. Długość łaty w pomiarze równości</w:t>
      </w:r>
    </w:p>
    <w:p w14:paraId="3DFF9889"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szCs w:val="20"/>
        </w:rPr>
        <w:t>poprzecznej powinna wynosić 2 m. Pomiar powinien być wykonywany nie rzadziej niż co</w:t>
      </w:r>
    </w:p>
    <w:p w14:paraId="118BA5D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5 m.</w:t>
      </w:r>
    </w:p>
    <w:p w14:paraId="35655244"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Maksymalne wartości odchyleń równości poprzecznej określa tablica 33.</w:t>
      </w:r>
    </w:p>
    <w:p w14:paraId="0B11C08A" w14:textId="77777777" w:rsidR="00CF11BE" w:rsidRPr="006431C4" w:rsidRDefault="00CF11BE" w:rsidP="00CF11BE">
      <w:pPr>
        <w:autoSpaceDE w:val="0"/>
        <w:autoSpaceDN w:val="0"/>
        <w:adjustRightInd w:val="0"/>
        <w:spacing w:line="240" w:lineRule="auto"/>
        <w:jc w:val="both"/>
        <w:rPr>
          <w:rFonts w:cs="Arial"/>
          <w:bCs/>
          <w:szCs w:val="20"/>
        </w:rPr>
      </w:pPr>
    </w:p>
    <w:p w14:paraId="43142CB3" w14:textId="77777777" w:rsidR="00CF11BE" w:rsidRPr="006431C4" w:rsidRDefault="00CF11BE" w:rsidP="00CF11BE">
      <w:pPr>
        <w:autoSpaceDE w:val="0"/>
        <w:autoSpaceDN w:val="0"/>
        <w:adjustRightInd w:val="0"/>
        <w:spacing w:line="240" w:lineRule="auto"/>
        <w:jc w:val="both"/>
        <w:rPr>
          <w:rFonts w:cs="Arial"/>
          <w:szCs w:val="20"/>
        </w:rPr>
      </w:pPr>
      <w:r w:rsidRPr="006431C4">
        <w:rPr>
          <w:rFonts w:cs="Arial"/>
          <w:bCs/>
          <w:szCs w:val="20"/>
        </w:rPr>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5983"/>
        <w:gridCol w:w="2976"/>
      </w:tblGrid>
      <w:tr w:rsidR="00CF11BE" w:rsidRPr="006431C4" w14:paraId="73C8E589" w14:textId="77777777" w:rsidTr="00CF11BE">
        <w:tc>
          <w:tcPr>
            <w:tcW w:w="1809" w:type="dxa"/>
            <w:vAlign w:val="center"/>
          </w:tcPr>
          <w:p w14:paraId="78039C3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Klasa drogi</w:t>
            </w:r>
          </w:p>
        </w:tc>
        <w:tc>
          <w:tcPr>
            <w:tcW w:w="5983" w:type="dxa"/>
            <w:vAlign w:val="center"/>
          </w:tcPr>
          <w:p w14:paraId="3D8C542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Element nawierzchni</w:t>
            </w:r>
          </w:p>
        </w:tc>
        <w:tc>
          <w:tcPr>
            <w:tcW w:w="2976" w:type="dxa"/>
            <w:vAlign w:val="center"/>
          </w:tcPr>
          <w:p w14:paraId="4B8621B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Maksymalne wartości odchyleń równości poprzecznej warstwy [mm] dla warstwy ścieralnej</w:t>
            </w:r>
          </w:p>
        </w:tc>
      </w:tr>
      <w:tr w:rsidR="00CF11BE" w:rsidRPr="006431C4" w14:paraId="7318714C" w14:textId="77777777" w:rsidTr="00CF11BE">
        <w:tc>
          <w:tcPr>
            <w:tcW w:w="1809" w:type="dxa"/>
            <w:vMerge w:val="restart"/>
          </w:tcPr>
          <w:p w14:paraId="7D1ABA7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A,S,GP</w:t>
            </w:r>
          </w:p>
        </w:tc>
        <w:tc>
          <w:tcPr>
            <w:tcW w:w="5983" w:type="dxa"/>
          </w:tcPr>
          <w:p w14:paraId="0570779F"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Pasy ruchu zasadnicze, awaryjne,</w:t>
            </w:r>
          </w:p>
          <w:p w14:paraId="46A9C323"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dodatkowe, włączenia i wyłączenia,</w:t>
            </w:r>
          </w:p>
          <w:p w14:paraId="79AFEE4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jezdnie łącznic, utwardzone pobocza</w:t>
            </w:r>
          </w:p>
        </w:tc>
        <w:tc>
          <w:tcPr>
            <w:tcW w:w="2976" w:type="dxa"/>
          </w:tcPr>
          <w:p w14:paraId="6D550E7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r>
      <w:tr w:rsidR="00CF11BE" w:rsidRPr="006431C4" w14:paraId="693D9BF2" w14:textId="77777777" w:rsidTr="00CF11BE">
        <w:tc>
          <w:tcPr>
            <w:tcW w:w="1809" w:type="dxa"/>
            <w:vMerge/>
          </w:tcPr>
          <w:p w14:paraId="0BBF65E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5983" w:type="dxa"/>
          </w:tcPr>
          <w:p w14:paraId="48B4003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Jezdnie MOP</w:t>
            </w:r>
          </w:p>
        </w:tc>
        <w:tc>
          <w:tcPr>
            <w:tcW w:w="2976" w:type="dxa"/>
          </w:tcPr>
          <w:p w14:paraId="3C782C0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r>
      <w:tr w:rsidR="00CF11BE" w:rsidRPr="006431C4" w14:paraId="02D282D5" w14:textId="77777777" w:rsidTr="00CF11BE">
        <w:tc>
          <w:tcPr>
            <w:tcW w:w="1809" w:type="dxa"/>
          </w:tcPr>
          <w:p w14:paraId="7B9494D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G,Z</w:t>
            </w:r>
          </w:p>
        </w:tc>
        <w:tc>
          <w:tcPr>
            <w:tcW w:w="5983" w:type="dxa"/>
          </w:tcPr>
          <w:p w14:paraId="0E1ED499"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Pasy ruchu zasadnicze, dodatkowe,</w:t>
            </w:r>
          </w:p>
          <w:p w14:paraId="4FCEB8FD" w14:textId="77777777" w:rsidR="00CF11BE" w:rsidRPr="006431C4" w:rsidRDefault="00CF11BE" w:rsidP="00CF11BE">
            <w:pPr>
              <w:autoSpaceDE w:val="0"/>
              <w:autoSpaceDN w:val="0"/>
              <w:adjustRightInd w:val="0"/>
              <w:spacing w:line="240" w:lineRule="auto"/>
              <w:rPr>
                <w:rFonts w:cs="Arial"/>
                <w:szCs w:val="20"/>
              </w:rPr>
            </w:pPr>
            <w:r w:rsidRPr="006431C4">
              <w:rPr>
                <w:rFonts w:cs="Arial"/>
                <w:szCs w:val="20"/>
              </w:rPr>
              <w:t>włączenia i wyłączenia, postojowe,</w:t>
            </w:r>
          </w:p>
          <w:p w14:paraId="489B9FB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jezdnie łącznic, utwardzone pobocza</w:t>
            </w:r>
          </w:p>
        </w:tc>
        <w:tc>
          <w:tcPr>
            <w:tcW w:w="2976" w:type="dxa"/>
          </w:tcPr>
          <w:p w14:paraId="154B3F9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r>
      <w:tr w:rsidR="00CF11BE" w:rsidRPr="006431C4" w14:paraId="1B0F7E7B" w14:textId="77777777" w:rsidTr="00CF11BE">
        <w:tc>
          <w:tcPr>
            <w:tcW w:w="1809" w:type="dxa"/>
          </w:tcPr>
          <w:p w14:paraId="60F1E118"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 xml:space="preserve">L,D, place parkingi, </w:t>
            </w:r>
          </w:p>
        </w:tc>
        <w:tc>
          <w:tcPr>
            <w:tcW w:w="5983" w:type="dxa"/>
          </w:tcPr>
          <w:p w14:paraId="3A554D0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Wszystkie pasy ruchu i powierzchnie przeznaczone do ruchu i postoju pojazdów</w:t>
            </w:r>
          </w:p>
        </w:tc>
        <w:tc>
          <w:tcPr>
            <w:tcW w:w="2976" w:type="dxa"/>
          </w:tcPr>
          <w:p w14:paraId="757816C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bl>
    <w:p w14:paraId="3C73FD9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48D4599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6.5.4.5. Złącza technologiczne </w:t>
      </w:r>
    </w:p>
    <w:p w14:paraId="157D66CC"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Złącza podłużne i poprzeczne, sprawdzone wizualnie, powinny być równe i związane, wykonane w linii prostej, równolegle lub prostopadle do osi drogi. Przylegające warstwy powinny być w jednym poziomie.</w:t>
      </w:r>
    </w:p>
    <w:p w14:paraId="06DD666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6.5.4.6. Szerokość warstwy </w:t>
      </w:r>
    </w:p>
    <w:p w14:paraId="76ADF2B3" w14:textId="77777777" w:rsidR="00CF11BE" w:rsidRPr="006431C4" w:rsidRDefault="00CF11BE" w:rsidP="00CF11BE">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Szerokość warstwy, mierzona 10 razy na </w:t>
      </w:r>
      <w:smartTag w:uri="urn:schemas-microsoft-com:office:smarttags" w:element="metricconverter">
        <w:smartTagPr>
          <w:attr w:name="ProductID" w:val="1 km"/>
        </w:smartTagPr>
        <w:r w:rsidRPr="006431C4">
          <w:rPr>
            <w:rFonts w:cs="Arial"/>
            <w:szCs w:val="20"/>
          </w:rPr>
          <w:t>1 km</w:t>
        </w:r>
      </w:smartTag>
      <w:r w:rsidRPr="006431C4">
        <w:rPr>
          <w:rFonts w:cs="Arial"/>
          <w:szCs w:val="20"/>
        </w:rPr>
        <w:t xml:space="preserve"> każdej jezdni powinna być zgodna z dokumentacją projektową, z tolerancją  w zakresie od 0</w:t>
      </w:r>
      <w:r w:rsidRPr="006431C4">
        <w:rPr>
          <w:rFonts w:cs="Arial"/>
          <w:color w:val="000000"/>
          <w:szCs w:val="20"/>
        </w:rPr>
        <w:t xml:space="preserve"> do </w:t>
      </w:r>
      <w:r w:rsidRPr="006431C4">
        <w:rPr>
          <w:rFonts w:cs="Arial"/>
          <w:szCs w:val="20"/>
        </w:rPr>
        <w:t>+</w:t>
      </w:r>
      <w:smartTag w:uri="urn:schemas-microsoft-com:office:smarttags" w:element="metricconverter">
        <w:smartTagPr>
          <w:attr w:name="ProductID" w:val="5 cm"/>
        </w:smartTagPr>
        <w:r w:rsidRPr="006431C4">
          <w:rPr>
            <w:rFonts w:cs="Arial"/>
            <w:szCs w:val="20"/>
          </w:rPr>
          <w:t>5 cm</w:t>
        </w:r>
      </w:smartTag>
      <w:r w:rsidRPr="006431C4">
        <w:rPr>
          <w:rFonts w:cs="Arial"/>
          <w:szCs w:val="20"/>
        </w:rPr>
        <w:t>, przy czym szerokość warstwy wiążącej powinna być odpowiednio szersza, tak aby stanowiła odsadzkę dla warstwy ścieralnej. W przypadku wyprofilowanej ukośnej krawędzi szerokość należy mierzyć w środku linii skosu.</w:t>
      </w:r>
    </w:p>
    <w:p w14:paraId="0A44BE35"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6.5.4.7. Rzędne wysokościowe </w:t>
      </w:r>
    </w:p>
    <w:p w14:paraId="0A41B06E"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Rzędne wysokościowe, mierzone co </w:t>
      </w:r>
      <w:smartTag w:uri="urn:schemas-microsoft-com:office:smarttags" w:element="metricconverter">
        <w:smartTagPr>
          <w:attr w:name="ProductID" w:val="10 m"/>
        </w:smartTagPr>
        <w:r w:rsidRPr="006431C4">
          <w:rPr>
            <w:rFonts w:cs="Arial"/>
            <w:szCs w:val="20"/>
          </w:rPr>
          <w:t>10 m</w:t>
        </w:r>
      </w:smartTag>
      <w:r w:rsidRPr="006431C4">
        <w:rPr>
          <w:rFonts w:cs="Arial"/>
          <w:szCs w:val="20"/>
        </w:rPr>
        <w:t xml:space="preserve"> na prostych i co </w:t>
      </w:r>
      <w:smartTag w:uri="urn:schemas-microsoft-com:office:smarttags" w:element="metricconverter">
        <w:smartTagPr>
          <w:attr w:name="ProductID" w:val="10 m"/>
        </w:smartTagPr>
        <w:r w:rsidRPr="006431C4">
          <w:rPr>
            <w:rFonts w:cs="Arial"/>
            <w:szCs w:val="20"/>
          </w:rPr>
          <w:t>10 m</w:t>
        </w:r>
      </w:smartTag>
      <w:r w:rsidRPr="006431C4">
        <w:rPr>
          <w:rFonts w:cs="Arial"/>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6431C4">
          <w:rPr>
            <w:rFonts w:cs="Arial"/>
            <w:szCs w:val="20"/>
          </w:rPr>
          <w:t>1 cm</w:t>
        </w:r>
      </w:smartTag>
      <w:r w:rsidRPr="006431C4">
        <w:rPr>
          <w:rFonts w:cs="Arial"/>
          <w:szCs w:val="20"/>
        </w:rPr>
        <w:t>, przy czym co najmniej 95% wykonanych pomiarów nie może przekraczać przedziału dopuszczalnych odchyleń.</w:t>
      </w:r>
    </w:p>
    <w:p w14:paraId="151A0FC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6.5.4.8. Ukształtowanie osi w planie </w:t>
      </w:r>
    </w:p>
    <w:p w14:paraId="23DC1864"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Ukształtowanie osi w planie, mierzone co </w:t>
      </w:r>
      <w:smartTag w:uri="urn:schemas-microsoft-com:office:smarttags" w:element="metricconverter">
        <w:smartTagPr>
          <w:attr w:name="ProductID" w:val="100 m"/>
        </w:smartTagPr>
        <w:r w:rsidRPr="006431C4">
          <w:rPr>
            <w:rFonts w:cs="Arial"/>
            <w:szCs w:val="20"/>
          </w:rPr>
          <w:t>100 m</w:t>
        </w:r>
      </w:smartTag>
      <w:r w:rsidRPr="006431C4">
        <w:rPr>
          <w:rFonts w:cs="Arial"/>
          <w:szCs w:val="20"/>
        </w:rPr>
        <w:t xml:space="preserve">, nie powinno różnić się od dokumentacji projektowej o więcej niż ± </w:t>
      </w:r>
      <w:smartTag w:uri="urn:schemas-microsoft-com:office:smarttags" w:element="metricconverter">
        <w:smartTagPr>
          <w:attr w:name="ProductID" w:val="5 cm"/>
        </w:smartTagPr>
        <w:r w:rsidRPr="006431C4">
          <w:rPr>
            <w:rFonts w:cs="Arial"/>
            <w:szCs w:val="20"/>
          </w:rPr>
          <w:t>5 cm</w:t>
        </w:r>
      </w:smartTag>
      <w:r w:rsidRPr="006431C4">
        <w:rPr>
          <w:rFonts w:cs="Arial"/>
          <w:szCs w:val="20"/>
        </w:rPr>
        <w:t>.</w:t>
      </w:r>
    </w:p>
    <w:p w14:paraId="4DA078A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6.5.4.9. Ocena wizualna warstwy </w:t>
      </w:r>
    </w:p>
    <w:p w14:paraId="2041DE69"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Wygląd zewnętrzny warstwy, sprawdzony wizualnie, powinien być jednorodny, bez spękań, deformacji, plam i wykruszeń.</w:t>
      </w:r>
    </w:p>
    <w:p w14:paraId="19FE3505" w14:textId="77777777" w:rsidR="00CF11BE" w:rsidRPr="006431C4" w:rsidRDefault="00CF11BE" w:rsidP="00CF11BE">
      <w:pPr>
        <w:keepNext/>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6.5.4.10. Właściwości przeciwpoślizgowe warstwy ścieralnej </w:t>
      </w:r>
    </w:p>
    <w:p w14:paraId="4844B03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Przy ocenie właściwości przeciwpoślizgowych nawierzchni drogi klasy G i </w:t>
      </w:r>
      <w:r w:rsidRPr="006431C4">
        <w:rPr>
          <w:rFonts w:cs="Arial"/>
          <w:szCs w:val="20"/>
        </w:rPr>
        <w:pgNum/>
      </w:r>
      <w:r w:rsidRPr="006431C4">
        <w:rPr>
          <w:rFonts w:cs="Arial"/>
          <w:szCs w:val="20"/>
        </w:rPr>
        <w:t xml:space="preserve">dróg wyższych klas powinien być określony współczynnik tarcia na mokrej nawierzchni przy całkowitym poślizgu opony testowej. </w:t>
      </w:r>
    </w:p>
    <w:p w14:paraId="0E2A39E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Pomiar wykonuje się przy temperaturze otoczenia od 5 do </w:t>
      </w:r>
      <w:smartTag w:uri="urn:schemas-microsoft-com:office:smarttags" w:element="metricconverter">
        <w:smartTagPr>
          <w:attr w:name="ProductID" w:val="30ﾰC"/>
        </w:smartTagPr>
        <w:r w:rsidRPr="006431C4">
          <w:rPr>
            <w:rFonts w:cs="Arial"/>
            <w:szCs w:val="20"/>
          </w:rPr>
          <w:t>30°C</w:t>
        </w:r>
      </w:smartTag>
      <w:r w:rsidRPr="006431C4">
        <w:rPr>
          <w:rFonts w:cs="Arial"/>
          <w:szCs w:val="20"/>
        </w:rPr>
        <w:t xml:space="preserve">, nie rzadziej niż co </w:t>
      </w:r>
      <w:smartTag w:uri="urn:schemas-microsoft-com:office:smarttags" w:element="metricconverter">
        <w:smartTagPr>
          <w:attr w:name="ProductID" w:val="50 m"/>
        </w:smartTagPr>
        <w:r w:rsidRPr="006431C4">
          <w:rPr>
            <w:rFonts w:cs="Arial"/>
            <w:szCs w:val="20"/>
          </w:rPr>
          <w:t>50 m</w:t>
        </w:r>
      </w:smartTag>
      <w:r w:rsidRPr="006431C4">
        <w:rPr>
          <w:rFonts w:cs="Arial"/>
          <w:szCs w:val="20"/>
        </w:rPr>
        <w:t xml:space="preserve"> na nawierzchni zwilżanej wodą w ilości 0,5 l/m</w:t>
      </w:r>
      <w:r w:rsidRPr="006431C4">
        <w:rPr>
          <w:rFonts w:cs="Arial"/>
          <w:szCs w:val="20"/>
          <w:vertAlign w:val="superscript"/>
        </w:rPr>
        <w:t>2</w:t>
      </w:r>
      <w:r w:rsidRPr="006431C4">
        <w:rPr>
          <w:rFonts w:cs="Arial"/>
          <w:szCs w:val="20"/>
        </w:rPr>
        <w:t>, a wynik pomiaru powinien być przeliczany na wartość przy 100% poślizgu opony testowej rowkowanej (</w:t>
      </w:r>
      <w:proofErr w:type="spellStart"/>
      <w:r w:rsidRPr="006431C4">
        <w:rPr>
          <w:rFonts w:cs="Arial"/>
          <w:szCs w:val="20"/>
        </w:rPr>
        <w:t>ribbed</w:t>
      </w:r>
      <w:proofErr w:type="spellEnd"/>
      <w:r w:rsidRPr="006431C4">
        <w:rPr>
          <w:rFonts w:cs="Arial"/>
          <w:szCs w:val="20"/>
        </w:rPr>
        <w:t xml:space="preserve"> </w:t>
      </w:r>
      <w:proofErr w:type="spellStart"/>
      <w:r w:rsidRPr="006431C4">
        <w:rPr>
          <w:rFonts w:cs="Arial"/>
          <w:szCs w:val="20"/>
        </w:rPr>
        <w:t>type</w:t>
      </w:r>
      <w:proofErr w:type="spellEnd"/>
      <w:r w:rsidRPr="006431C4">
        <w:rPr>
          <w:rFonts w:cs="Arial"/>
          <w:szCs w:val="20"/>
        </w:rPr>
        <w:t>)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14:paraId="04FC24AB" w14:textId="77777777" w:rsidR="00CF11BE" w:rsidRPr="006431C4" w:rsidRDefault="00CF11BE" w:rsidP="00CF11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Miarą właściwości przeciwpoślizgowych jest miarodajny współczynnik tarcia. Za miarodajny współczynnik tarcia przyjmuje się różnicę wartości średniej E(μ) i odchylenia standardowego D: E(μ)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14:paraId="58176E1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Dopuszczalne wartości miarodajnego współczynnika tarcia nawierzchni są określone w tablicy 34.</w:t>
      </w:r>
    </w:p>
    <w:p w14:paraId="15E83F0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Tablica 34. Wymagane minimalne wartości miarodajne współczynnika tarcia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4140"/>
        <w:gridCol w:w="1785"/>
        <w:gridCol w:w="1786"/>
        <w:gridCol w:w="1786"/>
      </w:tblGrid>
      <w:tr w:rsidR="00CF11BE" w:rsidRPr="006431C4" w14:paraId="66EF1C0E" w14:textId="77777777" w:rsidTr="00CF11BE">
        <w:tc>
          <w:tcPr>
            <w:tcW w:w="1384" w:type="dxa"/>
            <w:vMerge w:val="restart"/>
            <w:vAlign w:val="center"/>
          </w:tcPr>
          <w:p w14:paraId="09C5D57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Klasa drogi</w:t>
            </w:r>
          </w:p>
        </w:tc>
        <w:tc>
          <w:tcPr>
            <w:tcW w:w="4140" w:type="dxa"/>
            <w:vMerge w:val="restart"/>
            <w:vAlign w:val="center"/>
          </w:tcPr>
          <w:p w14:paraId="059C0B3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Element nawierzchni</w:t>
            </w:r>
          </w:p>
        </w:tc>
        <w:tc>
          <w:tcPr>
            <w:tcW w:w="5357" w:type="dxa"/>
            <w:gridSpan w:val="3"/>
            <w:vAlign w:val="center"/>
          </w:tcPr>
          <w:p w14:paraId="4E67A2B6" w14:textId="77777777" w:rsidR="00CF11BE" w:rsidRPr="006431C4" w:rsidRDefault="00CF11BE" w:rsidP="00CF11BE">
            <w:pPr>
              <w:autoSpaceDE w:val="0"/>
              <w:autoSpaceDN w:val="0"/>
              <w:adjustRightInd w:val="0"/>
              <w:spacing w:line="240" w:lineRule="auto"/>
              <w:jc w:val="center"/>
              <w:rPr>
                <w:rFonts w:cs="Arial"/>
                <w:szCs w:val="20"/>
              </w:rPr>
            </w:pPr>
            <w:r w:rsidRPr="006431C4">
              <w:rPr>
                <w:rFonts w:cs="Arial"/>
                <w:szCs w:val="20"/>
              </w:rPr>
              <w:t>Minimalna wartość miarodajnego</w:t>
            </w:r>
          </w:p>
          <w:p w14:paraId="78D9F682" w14:textId="77777777" w:rsidR="00CF11BE" w:rsidRPr="006431C4" w:rsidRDefault="00CF11BE" w:rsidP="00CF11BE">
            <w:pPr>
              <w:autoSpaceDE w:val="0"/>
              <w:autoSpaceDN w:val="0"/>
              <w:adjustRightInd w:val="0"/>
              <w:spacing w:line="240" w:lineRule="auto"/>
              <w:jc w:val="center"/>
              <w:rPr>
                <w:rFonts w:cs="Arial"/>
                <w:szCs w:val="20"/>
              </w:rPr>
            </w:pPr>
            <w:r w:rsidRPr="006431C4">
              <w:rPr>
                <w:rFonts w:cs="Arial"/>
                <w:szCs w:val="20"/>
              </w:rPr>
              <w:t>współczynnika tarcia przy prędkości</w:t>
            </w:r>
          </w:p>
          <w:p w14:paraId="5CD2C3A0" w14:textId="77777777" w:rsidR="00CF11BE" w:rsidRPr="006431C4" w:rsidRDefault="00CF11BE" w:rsidP="00CF11BE">
            <w:pPr>
              <w:autoSpaceDE w:val="0"/>
              <w:autoSpaceDN w:val="0"/>
              <w:adjustRightInd w:val="0"/>
              <w:spacing w:line="240" w:lineRule="auto"/>
              <w:jc w:val="center"/>
              <w:rPr>
                <w:rFonts w:cs="Arial"/>
                <w:szCs w:val="20"/>
              </w:rPr>
            </w:pPr>
            <w:r w:rsidRPr="006431C4">
              <w:rPr>
                <w:rFonts w:cs="Arial"/>
                <w:szCs w:val="20"/>
              </w:rPr>
              <w:t>zablokowanej opony względem nawierzchni</w:t>
            </w:r>
          </w:p>
          <w:p w14:paraId="1CA7A84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r>
      <w:tr w:rsidR="00CF11BE" w:rsidRPr="006431C4" w14:paraId="6DBF1B6F" w14:textId="77777777" w:rsidTr="00CF11BE">
        <w:tc>
          <w:tcPr>
            <w:tcW w:w="1384" w:type="dxa"/>
            <w:vMerge/>
            <w:vAlign w:val="center"/>
          </w:tcPr>
          <w:p w14:paraId="7E143FB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4140" w:type="dxa"/>
            <w:vMerge/>
            <w:vAlign w:val="center"/>
          </w:tcPr>
          <w:p w14:paraId="69DE431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p>
        </w:tc>
        <w:tc>
          <w:tcPr>
            <w:tcW w:w="1785" w:type="dxa"/>
            <w:vAlign w:val="center"/>
          </w:tcPr>
          <w:p w14:paraId="0EC1FA1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30 km/n</w:t>
            </w:r>
          </w:p>
        </w:tc>
        <w:tc>
          <w:tcPr>
            <w:tcW w:w="1786" w:type="dxa"/>
            <w:vAlign w:val="center"/>
          </w:tcPr>
          <w:p w14:paraId="42A3370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60 km/h</w:t>
            </w:r>
          </w:p>
        </w:tc>
        <w:tc>
          <w:tcPr>
            <w:tcW w:w="1786" w:type="dxa"/>
            <w:vAlign w:val="center"/>
          </w:tcPr>
          <w:p w14:paraId="0A8364C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90 km/h</w:t>
            </w:r>
          </w:p>
        </w:tc>
      </w:tr>
      <w:tr w:rsidR="00CF11BE" w:rsidRPr="006431C4" w14:paraId="4D418AF0" w14:textId="77777777" w:rsidTr="00CF11BE">
        <w:tc>
          <w:tcPr>
            <w:tcW w:w="1384" w:type="dxa"/>
            <w:vMerge w:val="restart"/>
          </w:tcPr>
          <w:p w14:paraId="578C610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w:t>
            </w:r>
          </w:p>
        </w:tc>
        <w:tc>
          <w:tcPr>
            <w:tcW w:w="4140" w:type="dxa"/>
          </w:tcPr>
          <w:p w14:paraId="3F73B63E"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Pasy ruchu zasadnicze, dodatkowe, awaryjne</w:t>
            </w:r>
          </w:p>
        </w:tc>
        <w:tc>
          <w:tcPr>
            <w:tcW w:w="1785" w:type="dxa"/>
          </w:tcPr>
          <w:p w14:paraId="55233AC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786" w:type="dxa"/>
          </w:tcPr>
          <w:p w14:paraId="4393688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0,49*</w:t>
            </w:r>
          </w:p>
        </w:tc>
        <w:tc>
          <w:tcPr>
            <w:tcW w:w="1786" w:type="dxa"/>
          </w:tcPr>
          <w:p w14:paraId="091D89F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0,44</w:t>
            </w:r>
          </w:p>
        </w:tc>
      </w:tr>
      <w:tr w:rsidR="00CF11BE" w:rsidRPr="006431C4" w14:paraId="5EC44811" w14:textId="77777777" w:rsidTr="00CF11BE">
        <w:tc>
          <w:tcPr>
            <w:tcW w:w="1384" w:type="dxa"/>
            <w:vMerge/>
          </w:tcPr>
          <w:p w14:paraId="667BEF5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c>
        <w:tc>
          <w:tcPr>
            <w:tcW w:w="4140" w:type="dxa"/>
          </w:tcPr>
          <w:p w14:paraId="3B9A4B8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Pasy włączenia i wyłączenia, jezdnie łącznic</w:t>
            </w:r>
          </w:p>
        </w:tc>
        <w:tc>
          <w:tcPr>
            <w:tcW w:w="1785" w:type="dxa"/>
          </w:tcPr>
          <w:p w14:paraId="295143B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0,55**</w:t>
            </w:r>
          </w:p>
        </w:tc>
        <w:tc>
          <w:tcPr>
            <w:tcW w:w="1786" w:type="dxa"/>
          </w:tcPr>
          <w:p w14:paraId="2DA018C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0,51</w:t>
            </w:r>
          </w:p>
        </w:tc>
        <w:tc>
          <w:tcPr>
            <w:tcW w:w="1786" w:type="dxa"/>
          </w:tcPr>
          <w:p w14:paraId="71E44F5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CF11BE" w:rsidRPr="006431C4" w14:paraId="0A197ABA" w14:textId="77777777" w:rsidTr="00CF11BE">
        <w:tc>
          <w:tcPr>
            <w:tcW w:w="1384" w:type="dxa"/>
          </w:tcPr>
          <w:p w14:paraId="2B0DAC7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GP,G</w:t>
            </w:r>
          </w:p>
        </w:tc>
        <w:tc>
          <w:tcPr>
            <w:tcW w:w="4140" w:type="dxa"/>
          </w:tcPr>
          <w:p w14:paraId="469D0C9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Pasy ruchu, pasy dodatkowe, jezdnie łącznic, utwardzone pobocza</w:t>
            </w:r>
          </w:p>
        </w:tc>
        <w:tc>
          <w:tcPr>
            <w:tcW w:w="1785" w:type="dxa"/>
          </w:tcPr>
          <w:p w14:paraId="11F9F1A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0,51**</w:t>
            </w:r>
          </w:p>
        </w:tc>
        <w:tc>
          <w:tcPr>
            <w:tcW w:w="1786" w:type="dxa"/>
          </w:tcPr>
          <w:p w14:paraId="3CB7540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0,41</w:t>
            </w:r>
          </w:p>
        </w:tc>
        <w:tc>
          <w:tcPr>
            <w:tcW w:w="1786" w:type="dxa"/>
          </w:tcPr>
          <w:p w14:paraId="601E6BC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CF11BE" w:rsidRPr="006431C4" w14:paraId="701CE6DB" w14:textId="77777777" w:rsidTr="00CF11BE">
        <w:tc>
          <w:tcPr>
            <w:tcW w:w="10881" w:type="dxa"/>
            <w:gridSpan w:val="5"/>
          </w:tcPr>
          <w:p w14:paraId="0E85E559" w14:textId="77777777" w:rsidR="00CF11BE" w:rsidRPr="006431C4" w:rsidRDefault="00CF11BE" w:rsidP="00CF11BE">
            <w:pPr>
              <w:autoSpaceDE w:val="0"/>
              <w:autoSpaceDN w:val="0"/>
              <w:adjustRightInd w:val="0"/>
              <w:spacing w:line="240" w:lineRule="auto"/>
              <w:ind w:left="284" w:hanging="284"/>
              <w:rPr>
                <w:rFonts w:cs="Arial"/>
                <w:szCs w:val="20"/>
              </w:rPr>
            </w:pPr>
            <w:r w:rsidRPr="006431C4">
              <w:rPr>
                <w:rFonts w:cs="Arial"/>
                <w:szCs w:val="20"/>
              </w:rPr>
              <w:t>*  wartość wymagania dla odcinków nawierzchni, na których nie można wykonać pomiarów z prędkością 90 km/h,</w:t>
            </w:r>
          </w:p>
          <w:p w14:paraId="41BC4E84" w14:textId="77777777" w:rsidR="00CF11BE" w:rsidRPr="006431C4" w:rsidRDefault="00CF11BE" w:rsidP="00CF11BE">
            <w:pPr>
              <w:tabs>
                <w:tab w:val="left" w:pos="284"/>
              </w:tabs>
              <w:autoSpaceDE w:val="0"/>
              <w:autoSpaceDN w:val="0"/>
              <w:adjustRightInd w:val="0"/>
              <w:spacing w:line="240" w:lineRule="auto"/>
              <w:ind w:left="284" w:hanging="284"/>
              <w:rPr>
                <w:rFonts w:cs="Arial"/>
                <w:szCs w:val="20"/>
              </w:rPr>
            </w:pPr>
            <w:r w:rsidRPr="006431C4">
              <w:rPr>
                <w:rFonts w:cs="Arial"/>
                <w:szCs w:val="20"/>
              </w:rPr>
              <w:t>** wartości wymagań dla odcinków nawierzchni, na których nie można wykonać pomiarów z prędkością 60 km/h.</w:t>
            </w:r>
          </w:p>
        </w:tc>
      </w:tr>
    </w:tbl>
    <w:p w14:paraId="1FD155A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3CCF7EF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6.5.4.11 Jasność nawierzchni</w:t>
      </w:r>
    </w:p>
    <w:p w14:paraId="7F46DCBC"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Za jasną uważa się taką nawierzchnię, dla której oznaczona wartość współczynnika luminancji na etapie: przeprowadzania procedury badania typu (wartość towarzysząca badaniu typu) i zatwierdzania badania typu przez Zamawiającego, wynosi co najmniej 70 mcd/(m</w:t>
      </w:r>
      <w:r w:rsidRPr="006431C4">
        <w:rPr>
          <w:rFonts w:cs="Arial"/>
          <w:szCs w:val="20"/>
          <w:vertAlign w:val="superscript"/>
        </w:rPr>
        <w:t>2</w:t>
      </w:r>
      <w:r w:rsidRPr="006431C4">
        <w:rPr>
          <w:rFonts w:cs="Arial"/>
          <w:szCs w:val="20"/>
        </w:rPr>
        <w:t>∙lux) – dotyczy zastosowań na powierzchniach określonych w niniejszym punkcie.</w:t>
      </w:r>
    </w:p>
    <w:p w14:paraId="5C8F2709" w14:textId="77777777" w:rsidR="00CF11BE" w:rsidRPr="006431C4" w:rsidRDefault="00CF11BE" w:rsidP="00CF11BE">
      <w:pPr>
        <w:autoSpaceDE w:val="0"/>
        <w:autoSpaceDN w:val="0"/>
        <w:adjustRightInd w:val="0"/>
        <w:spacing w:line="240" w:lineRule="auto"/>
        <w:ind w:firstLine="709"/>
        <w:jc w:val="both"/>
        <w:rPr>
          <w:rFonts w:cs="Arial"/>
          <w:szCs w:val="20"/>
        </w:rPr>
      </w:pPr>
      <w:r w:rsidRPr="006431C4">
        <w:rPr>
          <w:rFonts w:cs="Arial"/>
          <w:szCs w:val="20"/>
        </w:rPr>
        <w:t>Pomiar współczynnika luminancji należy wykonać wg załącznika 4 z WT-2 2014 -część I.</w:t>
      </w:r>
    </w:p>
    <w:p w14:paraId="7AD95F2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6.5.5. </w:t>
      </w:r>
      <w:r w:rsidRPr="006431C4">
        <w:rPr>
          <w:rFonts w:cs="Arial"/>
          <w:szCs w:val="20"/>
        </w:rPr>
        <w:t>Badania kontrolne dodatkowe</w:t>
      </w:r>
    </w:p>
    <w:p w14:paraId="0024680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W wypadku uznania, że jeden z wyników badań kontrolnych nie jest reprezentatywny dla ocenianego odcinka budowy, Wykonawca ma prawo żądać przeprowadzenia badań kontrolnych dodatkowych.</w:t>
      </w:r>
    </w:p>
    <w:p w14:paraId="0FB7E75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1D3254F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ab/>
        <w:t>Do odbioru uwzględniane są wyniki badań kontrolnych i badań kontrolnych dodatkowych do wyznaczonych odcinków częściowych.</w:t>
      </w:r>
    </w:p>
    <w:p w14:paraId="2EF33D1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Koszty badań kontrolnych dodatkowych zażądanych przez Wykonawcę ponosi Wykonawca.</w:t>
      </w:r>
    </w:p>
    <w:p w14:paraId="447B7CD6" w14:textId="77777777" w:rsidR="00CF11BE" w:rsidRPr="006431C4" w:rsidRDefault="00CF11BE" w:rsidP="00CF11BE">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6.5.6. </w:t>
      </w:r>
      <w:r w:rsidRPr="006431C4">
        <w:rPr>
          <w:rFonts w:cs="Arial"/>
          <w:szCs w:val="20"/>
        </w:rPr>
        <w:t>Badania arbitrażowe</w:t>
      </w:r>
    </w:p>
    <w:p w14:paraId="507103A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arbitrażowe są powtórzeniem badań kontrolnych, co do których istnieją uzasadnione wątpliwości ze strony Inżyniera lub Wykonawcy (np. na podstawie własnych badań).</w:t>
      </w:r>
    </w:p>
    <w:p w14:paraId="1AA5ABF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arbitrażowe wykonuje na wniosek strony kontraktu niezależne laboratorium, które nie wykonywało badań kontrolnych.</w:t>
      </w:r>
    </w:p>
    <w:p w14:paraId="60C38A4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Koszty badań arbitrażowych wraz ze wszystkimi kosztami ubocznymi ponosi strona, na której niekorzyść przemawia wynik badania.</w:t>
      </w:r>
    </w:p>
    <w:p w14:paraId="489BEA28" w14:textId="77777777" w:rsidR="00CF11BE" w:rsidRPr="006431C4" w:rsidRDefault="00CF11BE" w:rsidP="00CF11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41" w:name="_Toc462133772"/>
      <w:r w:rsidRPr="006431C4">
        <w:rPr>
          <w:rFonts w:cs="Arial"/>
          <w:b/>
          <w:caps/>
          <w:kern w:val="28"/>
          <w:szCs w:val="20"/>
        </w:rPr>
        <w:t>7. Obmiar robót</w:t>
      </w:r>
      <w:bookmarkEnd w:id="941"/>
    </w:p>
    <w:p w14:paraId="2072D4C1"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7.1. Ogólne zasady obmiaru robót</w:t>
      </w:r>
    </w:p>
    <w:p w14:paraId="7058A9E1"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obmiaru robót podano w SST  D-M-00.00.00 „Wymagania ogólne” [1] pkt 7.</w:t>
      </w:r>
    </w:p>
    <w:p w14:paraId="147A1EAB"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7.2. Jednostka obmiarowa</w:t>
      </w:r>
    </w:p>
    <w:p w14:paraId="2BF7386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Jednostką obmiarową jest m</w:t>
      </w:r>
      <w:r w:rsidRPr="006431C4">
        <w:rPr>
          <w:rFonts w:cs="Arial"/>
          <w:szCs w:val="20"/>
          <w:vertAlign w:val="superscript"/>
        </w:rPr>
        <w:t>2</w:t>
      </w:r>
      <w:r w:rsidRPr="006431C4">
        <w:rPr>
          <w:rFonts w:cs="Arial"/>
          <w:szCs w:val="20"/>
        </w:rPr>
        <w:t xml:space="preserve"> (metr kwadratowy) wykonanej warstwy ścieralnej z betonu asfaltowego (AC).</w:t>
      </w:r>
    </w:p>
    <w:p w14:paraId="463B7653" w14:textId="77777777" w:rsidR="00CF11BE" w:rsidRPr="006431C4" w:rsidRDefault="00CF11BE" w:rsidP="00CF11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42" w:name="_Toc462133773"/>
      <w:r w:rsidRPr="006431C4">
        <w:rPr>
          <w:rFonts w:cs="Arial"/>
          <w:b/>
          <w:caps/>
          <w:kern w:val="28"/>
          <w:szCs w:val="20"/>
        </w:rPr>
        <w:t>8. Odbiór robót</w:t>
      </w:r>
      <w:bookmarkEnd w:id="942"/>
    </w:p>
    <w:p w14:paraId="72371CC0"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odbioru robót podano w SST  D-M-00.00.00 „Wymagania ogólne” [1] pkt 8.</w:t>
      </w:r>
    </w:p>
    <w:p w14:paraId="4756E058"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Roboty uznaje się za wykonane zgodnie z dokumentacją projektową, SST                  i wymaganiami Inżyniera, jeżeli wszystkie pomiary i badania z zachowaniem tolerancji według pktu 6 dały wyniki pozytywne.</w:t>
      </w:r>
    </w:p>
    <w:p w14:paraId="6AE96DB4" w14:textId="77777777" w:rsidR="00CF11BE" w:rsidRPr="006431C4" w:rsidRDefault="00CF11BE" w:rsidP="00CF11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43" w:name="_Toc462133774"/>
      <w:r w:rsidRPr="006431C4">
        <w:rPr>
          <w:rFonts w:cs="Arial"/>
          <w:b/>
          <w:caps/>
          <w:kern w:val="28"/>
          <w:szCs w:val="20"/>
        </w:rPr>
        <w:t>9. Podstawa płatności</w:t>
      </w:r>
      <w:bookmarkEnd w:id="943"/>
    </w:p>
    <w:p w14:paraId="18227526"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9.1. Ogólne ustalenia dotyczące podstawy płatności</w:t>
      </w:r>
    </w:p>
    <w:p w14:paraId="7CF4F5DD" w14:textId="77777777" w:rsidR="00CF11BE" w:rsidRPr="006431C4" w:rsidRDefault="00CF11BE" w:rsidP="00CF11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ustalenia dotyczące podstawy płatności podano w SST D-M-00.00.00 „Wymagania ogólne” [1] pkt 9.</w:t>
      </w:r>
    </w:p>
    <w:p w14:paraId="5C890EED" w14:textId="77777777" w:rsidR="00CF11BE" w:rsidRPr="006431C4" w:rsidRDefault="00CF11BE" w:rsidP="00CF11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9.2. Cena jednostki obmiarowej</w:t>
      </w:r>
    </w:p>
    <w:p w14:paraId="110E8CD1" w14:textId="77777777" w:rsidR="00CF11BE" w:rsidRPr="006431C4" w:rsidRDefault="00CF11BE" w:rsidP="00CF11BE">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Cena wykonania </w:t>
      </w:r>
      <w:smartTag w:uri="urn:schemas-microsoft-com:office:smarttags" w:element="metricconverter">
        <w:smartTagPr>
          <w:attr w:name="ProductID" w:val="1 m2"/>
        </w:smartTagPr>
        <w:r w:rsidRPr="006431C4">
          <w:rPr>
            <w:rFonts w:cs="Arial"/>
            <w:szCs w:val="20"/>
          </w:rPr>
          <w:t>1 m</w:t>
        </w:r>
        <w:r w:rsidRPr="006431C4">
          <w:rPr>
            <w:rFonts w:cs="Arial"/>
            <w:szCs w:val="20"/>
            <w:vertAlign w:val="superscript"/>
          </w:rPr>
          <w:t>2</w:t>
        </w:r>
      </w:smartTag>
      <w:r w:rsidRPr="006431C4">
        <w:rPr>
          <w:rFonts w:cs="Arial"/>
          <w:szCs w:val="20"/>
        </w:rPr>
        <w:t xml:space="preserve"> warstwy ścieralnej z betonu asfaltowego (AC) obejmuje:</w:t>
      </w:r>
    </w:p>
    <w:p w14:paraId="763CE4EC"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prace pomiarowe i roboty przygotowawcze, </w:t>
      </w:r>
    </w:p>
    <w:p w14:paraId="19271804"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oznakowanie robót,</w:t>
      </w:r>
    </w:p>
    <w:p w14:paraId="0BD102AF"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oczyszczenie i skropienie podłoża,</w:t>
      </w:r>
    </w:p>
    <w:p w14:paraId="6C60B403"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dostarczenie materiałów i sprzętu,</w:t>
      </w:r>
    </w:p>
    <w:p w14:paraId="54E6B905"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opracowanie recepty laboratoryjnej,</w:t>
      </w:r>
    </w:p>
    <w:p w14:paraId="3254DE3E"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wykonanie próby technologicznej i odcinka próbnego,</w:t>
      </w:r>
    </w:p>
    <w:p w14:paraId="7CDEB9CD"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wyprodukowanie mieszanki betonu asfaltowego i jej transport na miejsce wbudowania,</w:t>
      </w:r>
    </w:p>
    <w:p w14:paraId="078AE00B"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posmarowanie lepiszczem lub pokrycie taśmą asfaltową krawędzi urządzeń obcych i krawężników,</w:t>
      </w:r>
    </w:p>
    <w:p w14:paraId="75C1AF21"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rozłożenie i zagęszczenie mieszanki betonu asfaltowego,</w:t>
      </w:r>
    </w:p>
    <w:p w14:paraId="22687A7A"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obcięcie krawędzi i posmarowanie lepiszczem,</w:t>
      </w:r>
    </w:p>
    <w:p w14:paraId="1D2F6CF8"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przeprowadzenie pomiarów i badań  wymaganych w specyfikacji technicznej,</w:t>
      </w:r>
    </w:p>
    <w:p w14:paraId="3F7426FB"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b/>
          <w:szCs w:val="20"/>
        </w:rPr>
      </w:pPr>
      <w:r w:rsidRPr="006431C4">
        <w:rPr>
          <w:rFonts w:cs="Arial"/>
          <w:szCs w:val="20"/>
        </w:rPr>
        <w:t>odwiezienie sprzętu.</w:t>
      </w:r>
    </w:p>
    <w:p w14:paraId="6608508F"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9.3. Sposób rozliczenia robót tymczasowych i prac towarzyszących</w:t>
      </w:r>
    </w:p>
    <w:p w14:paraId="680774E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b/>
        <w:t>Cena wykonania robót określonych niniejszą SST obejmuje:</w:t>
      </w:r>
    </w:p>
    <w:p w14:paraId="011DDFC0"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roboty tymczasowe, które są potrzebne do wykonania robót podstawowych, ale nie są przekazywane Zamawiającemu i są usuwane po wykonaniu robót podstawowych,</w:t>
      </w:r>
    </w:p>
    <w:p w14:paraId="721D83F1" w14:textId="77777777" w:rsidR="00CF11BE" w:rsidRPr="006431C4" w:rsidRDefault="00CF11BE" w:rsidP="00CF11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prace towarzyszące, które są niezbędne do wykonania robót podstawowych, niezaliczane do robót tymczasowych, jak geodezyjne wytyczenie robót itd.</w:t>
      </w:r>
    </w:p>
    <w:p w14:paraId="715BA16C" w14:textId="77777777" w:rsidR="00CF11BE" w:rsidRPr="006431C4" w:rsidRDefault="00CF11BE" w:rsidP="00CF11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44" w:name="_Toc462133775"/>
      <w:r w:rsidRPr="006431C4">
        <w:rPr>
          <w:rFonts w:cs="Arial"/>
          <w:b/>
          <w:caps/>
          <w:kern w:val="28"/>
          <w:szCs w:val="20"/>
        </w:rPr>
        <w:t>10. Przepisy związane</w:t>
      </w:r>
      <w:bookmarkEnd w:id="944"/>
    </w:p>
    <w:p w14:paraId="634C8EC3"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670"/>
        <w:gridCol w:w="1701"/>
        <w:gridCol w:w="6492"/>
      </w:tblGrid>
      <w:tr w:rsidR="00CF11BE" w:rsidRPr="006431C4" w14:paraId="13CD5038" w14:textId="77777777" w:rsidTr="007F1241">
        <w:tc>
          <w:tcPr>
            <w:tcW w:w="670" w:type="dxa"/>
          </w:tcPr>
          <w:p w14:paraId="0B0DC9A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1701" w:type="dxa"/>
          </w:tcPr>
          <w:p w14:paraId="2AFDB3F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D-M-00.00.00</w:t>
            </w:r>
          </w:p>
        </w:tc>
        <w:tc>
          <w:tcPr>
            <w:tcW w:w="6492" w:type="dxa"/>
          </w:tcPr>
          <w:p w14:paraId="61EE736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Wymagania ogólne</w:t>
            </w:r>
          </w:p>
        </w:tc>
      </w:tr>
      <w:tr w:rsidR="00CF11BE" w:rsidRPr="006431C4" w14:paraId="310DEBD9" w14:textId="77777777" w:rsidTr="007F1241">
        <w:tc>
          <w:tcPr>
            <w:tcW w:w="670" w:type="dxa"/>
          </w:tcPr>
          <w:p w14:paraId="468B311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1701" w:type="dxa"/>
          </w:tcPr>
          <w:p w14:paraId="64E7E4E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D-04.03.01a</w:t>
            </w:r>
          </w:p>
        </w:tc>
        <w:tc>
          <w:tcPr>
            <w:tcW w:w="6492" w:type="dxa"/>
          </w:tcPr>
          <w:p w14:paraId="2F46253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Połączenie międzywarstwowe nawierzchni drogowej emulsją asfaltową</w:t>
            </w:r>
          </w:p>
        </w:tc>
      </w:tr>
    </w:tbl>
    <w:p w14:paraId="7E1DA0E5"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10.2. Normy</w:t>
      </w:r>
    </w:p>
    <w:p w14:paraId="51B272D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(Zestawienie zawiera dodatkowo normy PN-EN związane z badaniami materiałów występujących w niniejszej SST)</w:t>
      </w:r>
    </w:p>
    <w:tbl>
      <w:tblPr>
        <w:tblW w:w="10773" w:type="dxa"/>
        <w:tblLayout w:type="fixed"/>
        <w:tblLook w:val="01E0" w:firstRow="1" w:lastRow="1" w:firstColumn="1" w:lastColumn="1" w:noHBand="0" w:noVBand="0"/>
      </w:tblPr>
      <w:tblGrid>
        <w:gridCol w:w="708"/>
        <w:gridCol w:w="2280"/>
        <w:gridCol w:w="7785"/>
      </w:tblGrid>
      <w:tr w:rsidR="00CF11BE" w:rsidRPr="006431C4" w14:paraId="7A4B21A5" w14:textId="77777777" w:rsidTr="00CF11BE">
        <w:tc>
          <w:tcPr>
            <w:tcW w:w="708" w:type="dxa"/>
          </w:tcPr>
          <w:p w14:paraId="45EB9F0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2280" w:type="dxa"/>
          </w:tcPr>
          <w:p w14:paraId="7B41C1D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196-2</w:t>
            </w:r>
          </w:p>
        </w:tc>
        <w:tc>
          <w:tcPr>
            <w:tcW w:w="7785" w:type="dxa"/>
          </w:tcPr>
          <w:p w14:paraId="24B6223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Metody badania cementu – Część 2: Analiza chemiczna cementu</w:t>
            </w:r>
          </w:p>
        </w:tc>
      </w:tr>
      <w:tr w:rsidR="00CF11BE" w:rsidRPr="006431C4" w14:paraId="71B38C51" w14:textId="77777777" w:rsidTr="00CF11BE">
        <w:tc>
          <w:tcPr>
            <w:tcW w:w="708" w:type="dxa"/>
          </w:tcPr>
          <w:p w14:paraId="2F56A15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2280" w:type="dxa"/>
          </w:tcPr>
          <w:p w14:paraId="29785DC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459-2</w:t>
            </w:r>
          </w:p>
        </w:tc>
        <w:tc>
          <w:tcPr>
            <w:tcW w:w="7785" w:type="dxa"/>
          </w:tcPr>
          <w:p w14:paraId="09B14BB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Wapno budowlane – Część 2: Metody badań</w:t>
            </w:r>
          </w:p>
        </w:tc>
      </w:tr>
      <w:tr w:rsidR="00CF11BE" w:rsidRPr="006431C4" w14:paraId="2B400DF8" w14:textId="77777777" w:rsidTr="00CF11BE">
        <w:tc>
          <w:tcPr>
            <w:tcW w:w="708" w:type="dxa"/>
          </w:tcPr>
          <w:p w14:paraId="101AE68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2280" w:type="dxa"/>
          </w:tcPr>
          <w:p w14:paraId="730AA07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932-3</w:t>
            </w:r>
          </w:p>
        </w:tc>
        <w:tc>
          <w:tcPr>
            <w:tcW w:w="7785" w:type="dxa"/>
          </w:tcPr>
          <w:p w14:paraId="79BB8DE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podstawowych właściwości kruszyw – Procedura i terminologia uproszczonego opisu petrograficznego</w:t>
            </w:r>
          </w:p>
        </w:tc>
      </w:tr>
      <w:tr w:rsidR="00CF11BE" w:rsidRPr="006431C4" w14:paraId="71948A50" w14:textId="77777777" w:rsidTr="00CF11BE">
        <w:tc>
          <w:tcPr>
            <w:tcW w:w="708" w:type="dxa"/>
          </w:tcPr>
          <w:p w14:paraId="5364B35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2280" w:type="dxa"/>
          </w:tcPr>
          <w:p w14:paraId="5940FF0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933-1</w:t>
            </w:r>
          </w:p>
        </w:tc>
        <w:tc>
          <w:tcPr>
            <w:tcW w:w="7785" w:type="dxa"/>
          </w:tcPr>
          <w:p w14:paraId="2D85658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1: Oznaczanie składu ziarnowego – Metoda przesiewania</w:t>
            </w:r>
          </w:p>
        </w:tc>
      </w:tr>
      <w:tr w:rsidR="00CF11BE" w:rsidRPr="006431C4" w14:paraId="6C7161E4" w14:textId="77777777" w:rsidTr="00CF11BE">
        <w:tc>
          <w:tcPr>
            <w:tcW w:w="708" w:type="dxa"/>
          </w:tcPr>
          <w:p w14:paraId="6A8B079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2280" w:type="dxa"/>
          </w:tcPr>
          <w:p w14:paraId="72AEEE5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933-3</w:t>
            </w:r>
          </w:p>
        </w:tc>
        <w:tc>
          <w:tcPr>
            <w:tcW w:w="7785" w:type="dxa"/>
          </w:tcPr>
          <w:p w14:paraId="3BF977B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3: Oznaczanie kształtu ziarn za pomocą wskaźnika płaskości</w:t>
            </w:r>
          </w:p>
        </w:tc>
      </w:tr>
      <w:tr w:rsidR="00CF11BE" w:rsidRPr="006431C4" w14:paraId="498988F5" w14:textId="77777777" w:rsidTr="00CF11BE">
        <w:tc>
          <w:tcPr>
            <w:tcW w:w="708" w:type="dxa"/>
          </w:tcPr>
          <w:p w14:paraId="54C5688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2280" w:type="dxa"/>
          </w:tcPr>
          <w:p w14:paraId="3448EBD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933-4</w:t>
            </w:r>
          </w:p>
        </w:tc>
        <w:tc>
          <w:tcPr>
            <w:tcW w:w="7785" w:type="dxa"/>
          </w:tcPr>
          <w:p w14:paraId="6C8BC82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4: Oznaczanie kształtu ziarn – Wskaźnik kształtu</w:t>
            </w:r>
          </w:p>
        </w:tc>
      </w:tr>
      <w:tr w:rsidR="00CF11BE" w:rsidRPr="006431C4" w14:paraId="0C1FB90A" w14:textId="77777777" w:rsidTr="00CF11BE">
        <w:tc>
          <w:tcPr>
            <w:tcW w:w="708" w:type="dxa"/>
          </w:tcPr>
          <w:p w14:paraId="3C57F94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2280" w:type="dxa"/>
          </w:tcPr>
          <w:p w14:paraId="1603875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933-5</w:t>
            </w:r>
          </w:p>
        </w:tc>
        <w:tc>
          <w:tcPr>
            <w:tcW w:w="7785" w:type="dxa"/>
          </w:tcPr>
          <w:p w14:paraId="206CE1D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Oznaczanie procentowej zawartości ziarn o powierzchniach powstałych w wyniku przekruszenia lub łamania kruszyw grubych</w:t>
            </w:r>
          </w:p>
        </w:tc>
      </w:tr>
      <w:tr w:rsidR="00CF11BE" w:rsidRPr="006431C4" w14:paraId="39504CAB" w14:textId="77777777" w:rsidTr="00CF11BE">
        <w:tc>
          <w:tcPr>
            <w:tcW w:w="708" w:type="dxa"/>
          </w:tcPr>
          <w:p w14:paraId="380A6B4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2280" w:type="dxa"/>
          </w:tcPr>
          <w:p w14:paraId="02C1866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933-6</w:t>
            </w:r>
          </w:p>
        </w:tc>
        <w:tc>
          <w:tcPr>
            <w:tcW w:w="7785" w:type="dxa"/>
          </w:tcPr>
          <w:p w14:paraId="554E564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6: Ocena właściwości powierzchni – Wskaźnik przepływu kruszyw</w:t>
            </w:r>
          </w:p>
        </w:tc>
      </w:tr>
      <w:tr w:rsidR="00CF11BE" w:rsidRPr="006431C4" w14:paraId="7801E8B8" w14:textId="77777777" w:rsidTr="00CF11BE">
        <w:tc>
          <w:tcPr>
            <w:tcW w:w="708" w:type="dxa"/>
          </w:tcPr>
          <w:p w14:paraId="5899FE0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11.</w:t>
            </w:r>
          </w:p>
        </w:tc>
        <w:tc>
          <w:tcPr>
            <w:tcW w:w="2280" w:type="dxa"/>
          </w:tcPr>
          <w:p w14:paraId="26B4594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933-9</w:t>
            </w:r>
          </w:p>
        </w:tc>
        <w:tc>
          <w:tcPr>
            <w:tcW w:w="7785" w:type="dxa"/>
          </w:tcPr>
          <w:p w14:paraId="6FD275E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9: Ocena zawartości drobnych cząstek – Badania błękitem metylenowym</w:t>
            </w:r>
          </w:p>
        </w:tc>
      </w:tr>
      <w:tr w:rsidR="00CF11BE" w:rsidRPr="006431C4" w14:paraId="75680414" w14:textId="77777777" w:rsidTr="00CF11BE">
        <w:tc>
          <w:tcPr>
            <w:tcW w:w="708" w:type="dxa"/>
          </w:tcPr>
          <w:p w14:paraId="7C49D7E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c>
          <w:tcPr>
            <w:tcW w:w="2280" w:type="dxa"/>
          </w:tcPr>
          <w:p w14:paraId="37EC728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933-10</w:t>
            </w:r>
          </w:p>
        </w:tc>
        <w:tc>
          <w:tcPr>
            <w:tcW w:w="7785" w:type="dxa"/>
          </w:tcPr>
          <w:p w14:paraId="04F2E5D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10: Ocena zawartości drobnych cząstek – Uziarnienie wypełniaczy (przesiewanie w strumieniu powietrza)</w:t>
            </w:r>
          </w:p>
        </w:tc>
      </w:tr>
      <w:tr w:rsidR="00CF11BE" w:rsidRPr="006431C4" w14:paraId="29C6E793" w14:textId="77777777" w:rsidTr="00CF11BE">
        <w:tc>
          <w:tcPr>
            <w:tcW w:w="708" w:type="dxa"/>
          </w:tcPr>
          <w:p w14:paraId="32715C1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13.</w:t>
            </w:r>
          </w:p>
        </w:tc>
        <w:tc>
          <w:tcPr>
            <w:tcW w:w="2280" w:type="dxa"/>
          </w:tcPr>
          <w:p w14:paraId="41E6BCB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1097-2</w:t>
            </w:r>
          </w:p>
        </w:tc>
        <w:tc>
          <w:tcPr>
            <w:tcW w:w="7785" w:type="dxa"/>
          </w:tcPr>
          <w:p w14:paraId="4BE1A01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Część 2: Metody oznaczania odporności na rozdrabnianie</w:t>
            </w:r>
          </w:p>
        </w:tc>
      </w:tr>
      <w:tr w:rsidR="00CF11BE" w:rsidRPr="006431C4" w14:paraId="73DAAE65" w14:textId="77777777" w:rsidTr="00CF11BE">
        <w:tc>
          <w:tcPr>
            <w:tcW w:w="708" w:type="dxa"/>
          </w:tcPr>
          <w:p w14:paraId="4EAEB0B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14.</w:t>
            </w:r>
          </w:p>
        </w:tc>
        <w:tc>
          <w:tcPr>
            <w:tcW w:w="2280" w:type="dxa"/>
          </w:tcPr>
          <w:p w14:paraId="1EBF47A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1097-4</w:t>
            </w:r>
          </w:p>
        </w:tc>
        <w:tc>
          <w:tcPr>
            <w:tcW w:w="7785" w:type="dxa"/>
          </w:tcPr>
          <w:p w14:paraId="2B2CE1A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Część 4: Oznaczanie pustych przestrzeni suchego, zagęszczonego wypełniacza</w:t>
            </w:r>
          </w:p>
        </w:tc>
      </w:tr>
      <w:tr w:rsidR="00CF11BE" w:rsidRPr="006431C4" w14:paraId="30D529B7" w14:textId="77777777" w:rsidTr="00CF11BE">
        <w:tc>
          <w:tcPr>
            <w:tcW w:w="708" w:type="dxa"/>
          </w:tcPr>
          <w:p w14:paraId="27613EE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2280" w:type="dxa"/>
          </w:tcPr>
          <w:p w14:paraId="58B6A7B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1097-5</w:t>
            </w:r>
          </w:p>
        </w:tc>
        <w:tc>
          <w:tcPr>
            <w:tcW w:w="7785" w:type="dxa"/>
          </w:tcPr>
          <w:p w14:paraId="724DE19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Część 5: Oznaczanie zawartości wody przez suszenie w suszarce z wentylacją</w:t>
            </w:r>
          </w:p>
        </w:tc>
      </w:tr>
      <w:tr w:rsidR="00CF11BE" w:rsidRPr="006431C4" w14:paraId="03E80F15" w14:textId="77777777" w:rsidTr="00CF11BE">
        <w:tc>
          <w:tcPr>
            <w:tcW w:w="708" w:type="dxa"/>
          </w:tcPr>
          <w:p w14:paraId="7CAE17A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2280" w:type="dxa"/>
          </w:tcPr>
          <w:p w14:paraId="3DCF9C5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1097-6</w:t>
            </w:r>
          </w:p>
        </w:tc>
        <w:tc>
          <w:tcPr>
            <w:tcW w:w="7785" w:type="dxa"/>
          </w:tcPr>
          <w:p w14:paraId="60ADBAE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Część 6: Oznaczanie gęstości ziarn i nasiąkliwości</w:t>
            </w:r>
          </w:p>
        </w:tc>
      </w:tr>
      <w:tr w:rsidR="00CF11BE" w:rsidRPr="006431C4" w14:paraId="4C8D0F47" w14:textId="77777777" w:rsidTr="00CF11BE">
        <w:tc>
          <w:tcPr>
            <w:tcW w:w="708" w:type="dxa"/>
          </w:tcPr>
          <w:p w14:paraId="78973FF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17.</w:t>
            </w:r>
          </w:p>
        </w:tc>
        <w:tc>
          <w:tcPr>
            <w:tcW w:w="2280" w:type="dxa"/>
          </w:tcPr>
          <w:p w14:paraId="5D7DCE6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1097-7</w:t>
            </w:r>
          </w:p>
        </w:tc>
        <w:tc>
          <w:tcPr>
            <w:tcW w:w="7785" w:type="dxa"/>
          </w:tcPr>
          <w:p w14:paraId="3E653AC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Część 7: Oznaczanie gęstości wypełniacza – Metoda piknometryczna</w:t>
            </w:r>
          </w:p>
        </w:tc>
      </w:tr>
      <w:tr w:rsidR="00CF11BE" w:rsidRPr="006431C4" w14:paraId="4F6A5314" w14:textId="77777777" w:rsidTr="00CF11BE">
        <w:tc>
          <w:tcPr>
            <w:tcW w:w="708" w:type="dxa"/>
          </w:tcPr>
          <w:p w14:paraId="5A9003F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18.</w:t>
            </w:r>
          </w:p>
        </w:tc>
        <w:tc>
          <w:tcPr>
            <w:tcW w:w="2280" w:type="dxa"/>
          </w:tcPr>
          <w:p w14:paraId="61F4E72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1097-8</w:t>
            </w:r>
          </w:p>
        </w:tc>
        <w:tc>
          <w:tcPr>
            <w:tcW w:w="7785" w:type="dxa"/>
          </w:tcPr>
          <w:p w14:paraId="0B54CDD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Część 8: Oznaczanie polerowalności kamienia</w:t>
            </w:r>
          </w:p>
        </w:tc>
      </w:tr>
      <w:tr w:rsidR="00CF11BE" w:rsidRPr="006431C4" w14:paraId="1BCD2EDC" w14:textId="77777777" w:rsidTr="00CF11BE">
        <w:tc>
          <w:tcPr>
            <w:tcW w:w="708" w:type="dxa"/>
          </w:tcPr>
          <w:p w14:paraId="3D01FE2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19.</w:t>
            </w:r>
          </w:p>
        </w:tc>
        <w:tc>
          <w:tcPr>
            <w:tcW w:w="2280" w:type="dxa"/>
          </w:tcPr>
          <w:p w14:paraId="108020D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1367-3</w:t>
            </w:r>
          </w:p>
        </w:tc>
        <w:tc>
          <w:tcPr>
            <w:tcW w:w="7785" w:type="dxa"/>
          </w:tcPr>
          <w:p w14:paraId="1E78CFE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właściwości cieplnych i odporności kruszyw na działanie czynników atmosferycznych – Część 3: Badanie bazaltowej zgorzeli słonecznej metodą gotowania</w:t>
            </w:r>
          </w:p>
        </w:tc>
      </w:tr>
      <w:tr w:rsidR="00CF11BE" w:rsidRPr="006431C4" w14:paraId="3A0AF49F" w14:textId="77777777" w:rsidTr="00CF11BE">
        <w:tc>
          <w:tcPr>
            <w:tcW w:w="708" w:type="dxa"/>
          </w:tcPr>
          <w:p w14:paraId="298B622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c>
          <w:tcPr>
            <w:tcW w:w="2280" w:type="dxa"/>
          </w:tcPr>
          <w:p w14:paraId="6341166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1367-6</w:t>
            </w:r>
          </w:p>
        </w:tc>
        <w:tc>
          <w:tcPr>
            <w:tcW w:w="7785" w:type="dxa"/>
          </w:tcPr>
          <w:p w14:paraId="530676D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właściwości cieplnych i odporności kruszyw na działanie czynników atmosferycznych - Część 6: Mrozoodporność w obecności soli</w:t>
            </w:r>
          </w:p>
        </w:tc>
      </w:tr>
      <w:tr w:rsidR="00CF11BE" w:rsidRPr="006431C4" w14:paraId="3D0A6601" w14:textId="77777777" w:rsidTr="00CF11BE">
        <w:tc>
          <w:tcPr>
            <w:tcW w:w="708" w:type="dxa"/>
          </w:tcPr>
          <w:p w14:paraId="515746A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21.</w:t>
            </w:r>
          </w:p>
        </w:tc>
        <w:tc>
          <w:tcPr>
            <w:tcW w:w="2280" w:type="dxa"/>
          </w:tcPr>
          <w:p w14:paraId="1C3EA58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1426</w:t>
            </w:r>
          </w:p>
        </w:tc>
        <w:tc>
          <w:tcPr>
            <w:tcW w:w="7785" w:type="dxa"/>
          </w:tcPr>
          <w:p w14:paraId="2A5FECC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Oznaczanie penetracji igłą</w:t>
            </w:r>
          </w:p>
        </w:tc>
      </w:tr>
      <w:tr w:rsidR="00CF11BE" w:rsidRPr="006431C4" w14:paraId="2057C645" w14:textId="77777777" w:rsidTr="00CF11BE">
        <w:tc>
          <w:tcPr>
            <w:tcW w:w="708" w:type="dxa"/>
          </w:tcPr>
          <w:p w14:paraId="52F80F8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22.</w:t>
            </w:r>
          </w:p>
        </w:tc>
        <w:tc>
          <w:tcPr>
            <w:tcW w:w="2280" w:type="dxa"/>
          </w:tcPr>
          <w:p w14:paraId="1179703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1427</w:t>
            </w:r>
          </w:p>
        </w:tc>
        <w:tc>
          <w:tcPr>
            <w:tcW w:w="7785" w:type="dxa"/>
          </w:tcPr>
          <w:p w14:paraId="7AD389B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Oznaczanie temperatury mięknienia – Metoda Pierścień i Kula</w:t>
            </w:r>
          </w:p>
        </w:tc>
      </w:tr>
      <w:tr w:rsidR="00CF11BE" w:rsidRPr="006431C4" w14:paraId="705E2CB1" w14:textId="77777777" w:rsidTr="00CF11BE">
        <w:tc>
          <w:tcPr>
            <w:tcW w:w="708" w:type="dxa"/>
          </w:tcPr>
          <w:p w14:paraId="625DF7F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23.</w:t>
            </w:r>
          </w:p>
        </w:tc>
        <w:tc>
          <w:tcPr>
            <w:tcW w:w="2280" w:type="dxa"/>
          </w:tcPr>
          <w:p w14:paraId="49FDBF3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1744-1</w:t>
            </w:r>
          </w:p>
        </w:tc>
        <w:tc>
          <w:tcPr>
            <w:tcW w:w="7785" w:type="dxa"/>
          </w:tcPr>
          <w:p w14:paraId="269D01E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chemicznych właściwości kruszyw – Analiza chemiczna</w:t>
            </w:r>
          </w:p>
        </w:tc>
      </w:tr>
      <w:tr w:rsidR="00CF11BE" w:rsidRPr="006431C4" w14:paraId="09A17851" w14:textId="77777777" w:rsidTr="00CF11BE">
        <w:tc>
          <w:tcPr>
            <w:tcW w:w="708" w:type="dxa"/>
          </w:tcPr>
          <w:p w14:paraId="67E56A3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24.</w:t>
            </w:r>
          </w:p>
        </w:tc>
        <w:tc>
          <w:tcPr>
            <w:tcW w:w="2280" w:type="dxa"/>
          </w:tcPr>
          <w:p w14:paraId="67290A8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12591</w:t>
            </w:r>
          </w:p>
        </w:tc>
        <w:tc>
          <w:tcPr>
            <w:tcW w:w="7785" w:type="dxa"/>
          </w:tcPr>
          <w:p w14:paraId="2C851C7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Wymagania dla asfaltów drogowych</w:t>
            </w:r>
          </w:p>
        </w:tc>
      </w:tr>
    </w:tbl>
    <w:p w14:paraId="12917DA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bl>
      <w:tblPr>
        <w:tblW w:w="10773" w:type="dxa"/>
        <w:tblLayout w:type="fixed"/>
        <w:tblLook w:val="01E0" w:firstRow="1" w:lastRow="1" w:firstColumn="1" w:lastColumn="1" w:noHBand="0" w:noVBand="0"/>
      </w:tblPr>
      <w:tblGrid>
        <w:gridCol w:w="708"/>
        <w:gridCol w:w="2280"/>
        <w:gridCol w:w="7785"/>
      </w:tblGrid>
      <w:tr w:rsidR="00CF11BE" w:rsidRPr="006431C4" w14:paraId="5EDA45B8" w14:textId="77777777" w:rsidTr="00CF11BE">
        <w:tc>
          <w:tcPr>
            <w:tcW w:w="708" w:type="dxa"/>
          </w:tcPr>
          <w:p w14:paraId="728EAC1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25.</w:t>
            </w:r>
          </w:p>
        </w:tc>
        <w:tc>
          <w:tcPr>
            <w:tcW w:w="2280" w:type="dxa"/>
          </w:tcPr>
          <w:p w14:paraId="666DA7B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12592</w:t>
            </w:r>
          </w:p>
        </w:tc>
        <w:tc>
          <w:tcPr>
            <w:tcW w:w="7785" w:type="dxa"/>
          </w:tcPr>
          <w:p w14:paraId="17C7963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Oznaczanie rozpuszczalności</w:t>
            </w:r>
          </w:p>
        </w:tc>
      </w:tr>
      <w:tr w:rsidR="00CF11BE" w:rsidRPr="006431C4" w14:paraId="28ACC7B0" w14:textId="77777777" w:rsidTr="00CF11BE">
        <w:tc>
          <w:tcPr>
            <w:tcW w:w="708" w:type="dxa"/>
          </w:tcPr>
          <w:p w14:paraId="76B1953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26.</w:t>
            </w:r>
          </w:p>
        </w:tc>
        <w:tc>
          <w:tcPr>
            <w:tcW w:w="2280" w:type="dxa"/>
          </w:tcPr>
          <w:p w14:paraId="15B60BA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12593</w:t>
            </w:r>
          </w:p>
        </w:tc>
        <w:tc>
          <w:tcPr>
            <w:tcW w:w="7785" w:type="dxa"/>
          </w:tcPr>
          <w:p w14:paraId="03E94FF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Oznaczanie temperatury łamliwości Fraassa</w:t>
            </w:r>
          </w:p>
        </w:tc>
      </w:tr>
      <w:tr w:rsidR="00CF11BE" w:rsidRPr="006431C4" w14:paraId="4C02979E" w14:textId="77777777" w:rsidTr="00CF11BE">
        <w:tc>
          <w:tcPr>
            <w:tcW w:w="708" w:type="dxa"/>
          </w:tcPr>
          <w:p w14:paraId="07757D7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27.</w:t>
            </w:r>
          </w:p>
        </w:tc>
        <w:tc>
          <w:tcPr>
            <w:tcW w:w="2280" w:type="dxa"/>
          </w:tcPr>
          <w:p w14:paraId="4159E4A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12595</w:t>
            </w:r>
          </w:p>
        </w:tc>
        <w:tc>
          <w:tcPr>
            <w:tcW w:w="7785" w:type="dxa"/>
          </w:tcPr>
          <w:p w14:paraId="30A52ED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lepkości kinematycznej</w:t>
            </w:r>
          </w:p>
        </w:tc>
      </w:tr>
      <w:tr w:rsidR="00CF11BE" w:rsidRPr="006431C4" w14:paraId="410D4844" w14:textId="77777777" w:rsidTr="00CF11BE">
        <w:tc>
          <w:tcPr>
            <w:tcW w:w="708" w:type="dxa"/>
          </w:tcPr>
          <w:p w14:paraId="1A7F540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28.</w:t>
            </w:r>
          </w:p>
        </w:tc>
        <w:tc>
          <w:tcPr>
            <w:tcW w:w="2280" w:type="dxa"/>
          </w:tcPr>
          <w:p w14:paraId="21C6686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12596</w:t>
            </w:r>
          </w:p>
        </w:tc>
        <w:tc>
          <w:tcPr>
            <w:tcW w:w="7785" w:type="dxa"/>
          </w:tcPr>
          <w:p w14:paraId="53A0208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lepkości dynamicznej metodą próżniowej kapilary</w:t>
            </w:r>
          </w:p>
        </w:tc>
      </w:tr>
      <w:tr w:rsidR="00CF11BE" w:rsidRPr="006431C4" w14:paraId="0391B819" w14:textId="77777777" w:rsidTr="00CF11BE">
        <w:tc>
          <w:tcPr>
            <w:tcW w:w="708" w:type="dxa"/>
          </w:tcPr>
          <w:p w14:paraId="359A356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29.</w:t>
            </w:r>
          </w:p>
        </w:tc>
        <w:tc>
          <w:tcPr>
            <w:tcW w:w="2280" w:type="dxa"/>
          </w:tcPr>
          <w:p w14:paraId="77FF0B4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12606-1</w:t>
            </w:r>
          </w:p>
        </w:tc>
        <w:tc>
          <w:tcPr>
            <w:tcW w:w="7785" w:type="dxa"/>
          </w:tcPr>
          <w:p w14:paraId="0E5F92D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zawartości parafiny – Część 1: Metoda destylacji</w:t>
            </w:r>
          </w:p>
        </w:tc>
      </w:tr>
      <w:tr w:rsidR="00CF11BE" w:rsidRPr="006431C4" w14:paraId="08A3BA42" w14:textId="77777777" w:rsidTr="00CF11BE">
        <w:tc>
          <w:tcPr>
            <w:tcW w:w="708" w:type="dxa"/>
          </w:tcPr>
          <w:p w14:paraId="0850571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2280" w:type="dxa"/>
          </w:tcPr>
          <w:p w14:paraId="0D292C0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12607-1</w:t>
            </w:r>
          </w:p>
        </w:tc>
        <w:tc>
          <w:tcPr>
            <w:tcW w:w="7785" w:type="dxa"/>
          </w:tcPr>
          <w:p w14:paraId="7F8ABDE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odporności na starzenie pod wpływem ciepła i powietrza – Część 1: Metoda RTFOT</w:t>
            </w:r>
          </w:p>
        </w:tc>
      </w:tr>
      <w:tr w:rsidR="00CF11BE" w:rsidRPr="006431C4" w14:paraId="788E8A7F" w14:textId="77777777" w:rsidTr="00CF11BE">
        <w:tc>
          <w:tcPr>
            <w:tcW w:w="708" w:type="dxa"/>
          </w:tcPr>
          <w:p w14:paraId="0C2D352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31.</w:t>
            </w:r>
          </w:p>
        </w:tc>
        <w:tc>
          <w:tcPr>
            <w:tcW w:w="2280" w:type="dxa"/>
          </w:tcPr>
          <w:p w14:paraId="3D5C84A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12697-1</w:t>
            </w:r>
          </w:p>
        </w:tc>
        <w:tc>
          <w:tcPr>
            <w:tcW w:w="7785" w:type="dxa"/>
          </w:tcPr>
          <w:p w14:paraId="215943E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1: Zawartość lepiszcza rozpuszczalnego</w:t>
            </w:r>
          </w:p>
        </w:tc>
      </w:tr>
      <w:tr w:rsidR="00CF11BE" w:rsidRPr="006431C4" w14:paraId="434329D1" w14:textId="77777777" w:rsidTr="00CF11BE">
        <w:tc>
          <w:tcPr>
            <w:tcW w:w="708" w:type="dxa"/>
          </w:tcPr>
          <w:p w14:paraId="0F640FF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32.</w:t>
            </w:r>
          </w:p>
        </w:tc>
        <w:tc>
          <w:tcPr>
            <w:tcW w:w="2280" w:type="dxa"/>
          </w:tcPr>
          <w:p w14:paraId="0CC54AE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w:t>
            </w:r>
          </w:p>
        </w:tc>
        <w:tc>
          <w:tcPr>
            <w:tcW w:w="7785" w:type="dxa"/>
          </w:tcPr>
          <w:p w14:paraId="07D64C8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 Oznaczanie składu ziarnowego</w:t>
            </w:r>
          </w:p>
        </w:tc>
      </w:tr>
      <w:tr w:rsidR="00CF11BE" w:rsidRPr="006431C4" w14:paraId="663F91C2" w14:textId="77777777" w:rsidTr="00CF11BE">
        <w:tc>
          <w:tcPr>
            <w:tcW w:w="708" w:type="dxa"/>
          </w:tcPr>
          <w:p w14:paraId="02A80F0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33.</w:t>
            </w:r>
          </w:p>
        </w:tc>
        <w:tc>
          <w:tcPr>
            <w:tcW w:w="2280" w:type="dxa"/>
          </w:tcPr>
          <w:p w14:paraId="0455E3D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12697-5</w:t>
            </w:r>
          </w:p>
        </w:tc>
        <w:tc>
          <w:tcPr>
            <w:tcW w:w="7785" w:type="dxa"/>
          </w:tcPr>
          <w:p w14:paraId="6E12E74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5: Oznaczanie gęstości</w:t>
            </w:r>
          </w:p>
        </w:tc>
      </w:tr>
      <w:tr w:rsidR="00CF11BE" w:rsidRPr="006431C4" w14:paraId="1DE7ADF2" w14:textId="77777777" w:rsidTr="00CF11BE">
        <w:tc>
          <w:tcPr>
            <w:tcW w:w="708" w:type="dxa"/>
          </w:tcPr>
          <w:p w14:paraId="2FC79DA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34.</w:t>
            </w:r>
          </w:p>
        </w:tc>
        <w:tc>
          <w:tcPr>
            <w:tcW w:w="2280" w:type="dxa"/>
          </w:tcPr>
          <w:p w14:paraId="17F8429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12697-6</w:t>
            </w:r>
          </w:p>
        </w:tc>
        <w:tc>
          <w:tcPr>
            <w:tcW w:w="7785" w:type="dxa"/>
          </w:tcPr>
          <w:p w14:paraId="2A1FB82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6: Oznaczanie gęstości objętościowej próbek mieszanki mineralno-asfaltowej</w:t>
            </w:r>
          </w:p>
        </w:tc>
      </w:tr>
      <w:tr w:rsidR="00CF11BE" w:rsidRPr="006431C4" w14:paraId="00ACED98" w14:textId="77777777" w:rsidTr="00CF11BE">
        <w:tc>
          <w:tcPr>
            <w:tcW w:w="708" w:type="dxa"/>
          </w:tcPr>
          <w:p w14:paraId="5C08DC3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35.</w:t>
            </w:r>
          </w:p>
        </w:tc>
        <w:tc>
          <w:tcPr>
            <w:tcW w:w="2280" w:type="dxa"/>
          </w:tcPr>
          <w:p w14:paraId="5AF5899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12697-8</w:t>
            </w:r>
          </w:p>
        </w:tc>
        <w:tc>
          <w:tcPr>
            <w:tcW w:w="7785" w:type="dxa"/>
          </w:tcPr>
          <w:p w14:paraId="18AB5A1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8: Oznaczanie zawartości wolnej przestrzeni</w:t>
            </w:r>
          </w:p>
        </w:tc>
      </w:tr>
      <w:tr w:rsidR="00CF11BE" w:rsidRPr="006431C4" w14:paraId="2A5DE9A4" w14:textId="77777777" w:rsidTr="00CF11BE">
        <w:tc>
          <w:tcPr>
            <w:tcW w:w="708" w:type="dxa"/>
          </w:tcPr>
          <w:p w14:paraId="052398A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36.</w:t>
            </w:r>
          </w:p>
        </w:tc>
        <w:tc>
          <w:tcPr>
            <w:tcW w:w="2280" w:type="dxa"/>
          </w:tcPr>
          <w:p w14:paraId="41A39CC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12697-11</w:t>
            </w:r>
          </w:p>
        </w:tc>
        <w:tc>
          <w:tcPr>
            <w:tcW w:w="7785" w:type="dxa"/>
          </w:tcPr>
          <w:p w14:paraId="3CC345E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badania mieszanek mineralno-asfaltowych na gorąco – Część 11: Oznaczanie powinowactwa pomiędzy kruszywem i asfaltem</w:t>
            </w:r>
          </w:p>
        </w:tc>
      </w:tr>
      <w:tr w:rsidR="00CF11BE" w:rsidRPr="006431C4" w14:paraId="7C5C8B01" w14:textId="77777777" w:rsidTr="00CF11BE">
        <w:tc>
          <w:tcPr>
            <w:tcW w:w="708" w:type="dxa"/>
          </w:tcPr>
          <w:p w14:paraId="6FD904E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37.</w:t>
            </w:r>
          </w:p>
        </w:tc>
        <w:tc>
          <w:tcPr>
            <w:tcW w:w="2280" w:type="dxa"/>
          </w:tcPr>
          <w:p w14:paraId="739EFBD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12697-12</w:t>
            </w:r>
          </w:p>
        </w:tc>
        <w:tc>
          <w:tcPr>
            <w:tcW w:w="7785" w:type="dxa"/>
          </w:tcPr>
          <w:p w14:paraId="352F8DB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badania mieszanek mineralno-asfaltowych na gorąco – Część 12: Określanie wrażliwości próbek asfaltowych na wodę</w:t>
            </w:r>
          </w:p>
        </w:tc>
      </w:tr>
      <w:tr w:rsidR="00CF11BE" w:rsidRPr="006431C4" w14:paraId="08E24FFE" w14:textId="77777777" w:rsidTr="00CF11BE">
        <w:tc>
          <w:tcPr>
            <w:tcW w:w="708" w:type="dxa"/>
          </w:tcPr>
          <w:p w14:paraId="054DAA4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38.</w:t>
            </w:r>
          </w:p>
        </w:tc>
        <w:tc>
          <w:tcPr>
            <w:tcW w:w="2280" w:type="dxa"/>
          </w:tcPr>
          <w:p w14:paraId="0F8A955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12697-13</w:t>
            </w:r>
          </w:p>
        </w:tc>
        <w:tc>
          <w:tcPr>
            <w:tcW w:w="7785" w:type="dxa"/>
          </w:tcPr>
          <w:p w14:paraId="5290679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13: Pomiar temperatury</w:t>
            </w:r>
          </w:p>
        </w:tc>
      </w:tr>
      <w:tr w:rsidR="00CF11BE" w:rsidRPr="006431C4" w14:paraId="2FEE6FA3" w14:textId="77777777" w:rsidTr="00CF11BE">
        <w:tc>
          <w:tcPr>
            <w:tcW w:w="708" w:type="dxa"/>
          </w:tcPr>
          <w:p w14:paraId="6D2371B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39.</w:t>
            </w:r>
          </w:p>
        </w:tc>
        <w:tc>
          <w:tcPr>
            <w:tcW w:w="2280" w:type="dxa"/>
          </w:tcPr>
          <w:p w14:paraId="03CEDE1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12697-22</w:t>
            </w:r>
          </w:p>
        </w:tc>
        <w:tc>
          <w:tcPr>
            <w:tcW w:w="7785" w:type="dxa"/>
          </w:tcPr>
          <w:p w14:paraId="322AD30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22: Koleinowanie</w:t>
            </w:r>
          </w:p>
        </w:tc>
      </w:tr>
      <w:tr w:rsidR="00CF11BE" w:rsidRPr="006431C4" w14:paraId="02CA2C4B" w14:textId="77777777" w:rsidTr="00CF11BE">
        <w:tc>
          <w:tcPr>
            <w:tcW w:w="708" w:type="dxa"/>
          </w:tcPr>
          <w:p w14:paraId="693D8D9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2280" w:type="dxa"/>
          </w:tcPr>
          <w:p w14:paraId="796EB23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12697-22</w:t>
            </w:r>
          </w:p>
        </w:tc>
        <w:tc>
          <w:tcPr>
            <w:tcW w:w="7785" w:type="dxa"/>
          </w:tcPr>
          <w:p w14:paraId="26B82E0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22: Koleinowanie</w:t>
            </w:r>
          </w:p>
        </w:tc>
      </w:tr>
    </w:tbl>
    <w:p w14:paraId="2111EEB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4800E36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bl>
      <w:tblPr>
        <w:tblW w:w="10773" w:type="dxa"/>
        <w:tblLayout w:type="fixed"/>
        <w:tblLook w:val="01E0" w:firstRow="1" w:lastRow="1" w:firstColumn="1" w:lastColumn="1" w:noHBand="0" w:noVBand="0"/>
      </w:tblPr>
      <w:tblGrid>
        <w:gridCol w:w="708"/>
        <w:gridCol w:w="2280"/>
        <w:gridCol w:w="7785"/>
      </w:tblGrid>
      <w:tr w:rsidR="00CF11BE" w:rsidRPr="006431C4" w14:paraId="1AD73500" w14:textId="77777777" w:rsidTr="00CF11BE">
        <w:tc>
          <w:tcPr>
            <w:tcW w:w="708" w:type="dxa"/>
          </w:tcPr>
          <w:p w14:paraId="6520412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41.</w:t>
            </w:r>
          </w:p>
        </w:tc>
        <w:tc>
          <w:tcPr>
            <w:tcW w:w="2280" w:type="dxa"/>
          </w:tcPr>
          <w:p w14:paraId="217150F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12697-24</w:t>
            </w:r>
          </w:p>
        </w:tc>
        <w:tc>
          <w:tcPr>
            <w:tcW w:w="7785" w:type="dxa"/>
          </w:tcPr>
          <w:p w14:paraId="133CB42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24: Odporność na zmęczenie</w:t>
            </w:r>
          </w:p>
        </w:tc>
      </w:tr>
      <w:tr w:rsidR="00CF11BE" w:rsidRPr="006431C4" w14:paraId="2C1AB33D" w14:textId="77777777" w:rsidTr="00CF11BE">
        <w:tc>
          <w:tcPr>
            <w:tcW w:w="708" w:type="dxa"/>
          </w:tcPr>
          <w:p w14:paraId="4D1900C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42.</w:t>
            </w:r>
          </w:p>
        </w:tc>
        <w:tc>
          <w:tcPr>
            <w:tcW w:w="2280" w:type="dxa"/>
          </w:tcPr>
          <w:p w14:paraId="533F28C8"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12697-26</w:t>
            </w:r>
          </w:p>
        </w:tc>
        <w:tc>
          <w:tcPr>
            <w:tcW w:w="7785" w:type="dxa"/>
          </w:tcPr>
          <w:p w14:paraId="390C68B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26: Sztywność</w:t>
            </w:r>
          </w:p>
        </w:tc>
      </w:tr>
      <w:tr w:rsidR="00CF11BE" w:rsidRPr="006431C4" w14:paraId="3D78A8CE" w14:textId="77777777" w:rsidTr="00CF11BE">
        <w:tc>
          <w:tcPr>
            <w:tcW w:w="708" w:type="dxa"/>
          </w:tcPr>
          <w:p w14:paraId="175AF4D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43.</w:t>
            </w:r>
          </w:p>
        </w:tc>
        <w:tc>
          <w:tcPr>
            <w:tcW w:w="2280" w:type="dxa"/>
          </w:tcPr>
          <w:p w14:paraId="176EBE9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12697-27</w:t>
            </w:r>
          </w:p>
        </w:tc>
        <w:tc>
          <w:tcPr>
            <w:tcW w:w="7785" w:type="dxa"/>
          </w:tcPr>
          <w:p w14:paraId="0E93217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Mieszanki mineralno-asfaltowe – Metody badań mieszanek mineralno-asfaltowych na </w:t>
            </w:r>
            <w:r w:rsidRPr="006431C4">
              <w:rPr>
                <w:rFonts w:cs="Arial"/>
                <w:szCs w:val="20"/>
              </w:rPr>
              <w:lastRenderedPageBreak/>
              <w:t>gorąco – Część 27: Pobieranie próbek</w:t>
            </w:r>
          </w:p>
        </w:tc>
      </w:tr>
      <w:tr w:rsidR="00CF11BE" w:rsidRPr="006431C4" w14:paraId="05B8AF05" w14:textId="77777777" w:rsidTr="00CF11BE">
        <w:tc>
          <w:tcPr>
            <w:tcW w:w="708" w:type="dxa"/>
          </w:tcPr>
          <w:p w14:paraId="58F0ABFE"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44.</w:t>
            </w:r>
          </w:p>
        </w:tc>
        <w:tc>
          <w:tcPr>
            <w:tcW w:w="2280" w:type="dxa"/>
          </w:tcPr>
          <w:p w14:paraId="2403223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12697-36</w:t>
            </w:r>
          </w:p>
        </w:tc>
        <w:tc>
          <w:tcPr>
            <w:tcW w:w="7785" w:type="dxa"/>
          </w:tcPr>
          <w:p w14:paraId="274463E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36: Oznaczanie grubości nawierzchni asfaltowych</w:t>
            </w:r>
          </w:p>
        </w:tc>
      </w:tr>
      <w:tr w:rsidR="00CF11BE" w:rsidRPr="006431C4" w14:paraId="0FBEEFD3" w14:textId="77777777" w:rsidTr="00CF11BE">
        <w:tc>
          <w:tcPr>
            <w:tcW w:w="708" w:type="dxa"/>
          </w:tcPr>
          <w:p w14:paraId="191F051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45.</w:t>
            </w:r>
          </w:p>
        </w:tc>
        <w:tc>
          <w:tcPr>
            <w:tcW w:w="2280" w:type="dxa"/>
          </w:tcPr>
          <w:p w14:paraId="56133EF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12697-39</w:t>
            </w:r>
          </w:p>
        </w:tc>
        <w:tc>
          <w:tcPr>
            <w:tcW w:w="7785" w:type="dxa"/>
          </w:tcPr>
          <w:p w14:paraId="3B643E8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39: Oznaczanie zawartości lepiszcza metodą spalania</w:t>
            </w:r>
          </w:p>
        </w:tc>
      </w:tr>
      <w:tr w:rsidR="00CF11BE" w:rsidRPr="006431C4" w14:paraId="73F207C9" w14:textId="77777777" w:rsidTr="00CF11BE">
        <w:tc>
          <w:tcPr>
            <w:tcW w:w="708" w:type="dxa"/>
          </w:tcPr>
          <w:p w14:paraId="2B03290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46.</w:t>
            </w:r>
          </w:p>
        </w:tc>
        <w:tc>
          <w:tcPr>
            <w:tcW w:w="2280" w:type="dxa"/>
          </w:tcPr>
          <w:p w14:paraId="3349ADF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12697-41</w:t>
            </w:r>
          </w:p>
        </w:tc>
        <w:tc>
          <w:tcPr>
            <w:tcW w:w="7785" w:type="dxa"/>
          </w:tcPr>
          <w:p w14:paraId="2CA2931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41: Odporność na płyny zapobiegające oblodzeniu</w:t>
            </w:r>
          </w:p>
        </w:tc>
      </w:tr>
      <w:tr w:rsidR="00CF11BE" w:rsidRPr="006431C4" w14:paraId="609CF201" w14:textId="77777777" w:rsidTr="00CF11BE">
        <w:tc>
          <w:tcPr>
            <w:tcW w:w="708" w:type="dxa"/>
          </w:tcPr>
          <w:p w14:paraId="2721A4D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47.</w:t>
            </w:r>
          </w:p>
        </w:tc>
        <w:tc>
          <w:tcPr>
            <w:tcW w:w="2280" w:type="dxa"/>
          </w:tcPr>
          <w:p w14:paraId="50BD27C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12697-43</w:t>
            </w:r>
          </w:p>
        </w:tc>
        <w:tc>
          <w:tcPr>
            <w:tcW w:w="7785" w:type="dxa"/>
          </w:tcPr>
          <w:p w14:paraId="03AB606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43: Odporność na paliwo</w:t>
            </w:r>
          </w:p>
        </w:tc>
      </w:tr>
      <w:tr w:rsidR="00CF11BE" w:rsidRPr="006431C4" w14:paraId="0F69B8A6" w14:textId="77777777" w:rsidTr="00CF11BE">
        <w:tc>
          <w:tcPr>
            <w:tcW w:w="708" w:type="dxa"/>
          </w:tcPr>
          <w:p w14:paraId="7FFCF3D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48.</w:t>
            </w:r>
          </w:p>
        </w:tc>
        <w:tc>
          <w:tcPr>
            <w:tcW w:w="2280" w:type="dxa"/>
          </w:tcPr>
          <w:p w14:paraId="26246DE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12846-1</w:t>
            </w:r>
          </w:p>
        </w:tc>
        <w:tc>
          <w:tcPr>
            <w:tcW w:w="7785" w:type="dxa"/>
          </w:tcPr>
          <w:p w14:paraId="5E982FA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czasu wypływu lepkościomierzem wypływowym - Część 1: Emulsje asfaltowe</w:t>
            </w:r>
          </w:p>
        </w:tc>
      </w:tr>
      <w:tr w:rsidR="00CF11BE" w:rsidRPr="006431C4" w14:paraId="6F41D5BB" w14:textId="77777777" w:rsidTr="00CF11BE">
        <w:tc>
          <w:tcPr>
            <w:tcW w:w="708" w:type="dxa"/>
          </w:tcPr>
          <w:p w14:paraId="65DD5FA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49.</w:t>
            </w:r>
          </w:p>
        </w:tc>
        <w:tc>
          <w:tcPr>
            <w:tcW w:w="2280" w:type="dxa"/>
          </w:tcPr>
          <w:p w14:paraId="78AAFE4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13043</w:t>
            </w:r>
          </w:p>
        </w:tc>
        <w:tc>
          <w:tcPr>
            <w:tcW w:w="7785" w:type="dxa"/>
          </w:tcPr>
          <w:p w14:paraId="52E9D29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Kruszywa do mieszanek bitumicznych i powierzchniowych utrwaleń stosowanych na drogach, lotniskach i innych powierzchniach przeznaczonych do ruchu</w:t>
            </w:r>
          </w:p>
        </w:tc>
      </w:tr>
      <w:tr w:rsidR="00CF11BE" w:rsidRPr="006431C4" w14:paraId="589EFA91" w14:textId="77777777" w:rsidTr="00CF11BE">
        <w:tc>
          <w:tcPr>
            <w:tcW w:w="708" w:type="dxa"/>
          </w:tcPr>
          <w:p w14:paraId="4BB15B1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50.</w:t>
            </w:r>
          </w:p>
        </w:tc>
        <w:tc>
          <w:tcPr>
            <w:tcW w:w="2280" w:type="dxa"/>
          </w:tcPr>
          <w:p w14:paraId="6DFFB05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13108-1</w:t>
            </w:r>
          </w:p>
        </w:tc>
        <w:tc>
          <w:tcPr>
            <w:tcW w:w="7785" w:type="dxa"/>
          </w:tcPr>
          <w:p w14:paraId="051D85B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Wymagania – Część 1: Beton asfaltowy</w:t>
            </w:r>
          </w:p>
        </w:tc>
      </w:tr>
      <w:tr w:rsidR="00CF11BE" w:rsidRPr="006431C4" w14:paraId="4960DEB4" w14:textId="77777777" w:rsidTr="00CF11BE">
        <w:tc>
          <w:tcPr>
            <w:tcW w:w="708" w:type="dxa"/>
          </w:tcPr>
          <w:p w14:paraId="65FF850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51.</w:t>
            </w:r>
          </w:p>
        </w:tc>
        <w:tc>
          <w:tcPr>
            <w:tcW w:w="2280" w:type="dxa"/>
          </w:tcPr>
          <w:p w14:paraId="169E92F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13108-4</w:t>
            </w:r>
          </w:p>
        </w:tc>
        <w:tc>
          <w:tcPr>
            <w:tcW w:w="7785" w:type="dxa"/>
          </w:tcPr>
          <w:p w14:paraId="5C79D80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Wymagania - Część 4: Mieszanka HRA</w:t>
            </w:r>
          </w:p>
        </w:tc>
      </w:tr>
      <w:tr w:rsidR="00CF11BE" w:rsidRPr="006431C4" w14:paraId="44723DF0" w14:textId="77777777" w:rsidTr="00CF11BE">
        <w:tc>
          <w:tcPr>
            <w:tcW w:w="708" w:type="dxa"/>
          </w:tcPr>
          <w:p w14:paraId="244C83A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52.</w:t>
            </w:r>
          </w:p>
        </w:tc>
        <w:tc>
          <w:tcPr>
            <w:tcW w:w="2280" w:type="dxa"/>
          </w:tcPr>
          <w:p w14:paraId="26632C2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13108-20</w:t>
            </w:r>
          </w:p>
        </w:tc>
        <w:tc>
          <w:tcPr>
            <w:tcW w:w="7785" w:type="dxa"/>
          </w:tcPr>
          <w:p w14:paraId="45A0CA0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Wymagania – Część 20: Badanie typu</w:t>
            </w:r>
          </w:p>
        </w:tc>
      </w:tr>
      <w:tr w:rsidR="00CF11BE" w:rsidRPr="006431C4" w14:paraId="3FA5186E" w14:textId="77777777" w:rsidTr="00CF11BE">
        <w:tc>
          <w:tcPr>
            <w:tcW w:w="708" w:type="dxa"/>
          </w:tcPr>
          <w:p w14:paraId="6DBEF52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53.</w:t>
            </w:r>
          </w:p>
        </w:tc>
        <w:tc>
          <w:tcPr>
            <w:tcW w:w="2280" w:type="dxa"/>
          </w:tcPr>
          <w:p w14:paraId="51CFD89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13108-21</w:t>
            </w:r>
          </w:p>
        </w:tc>
        <w:tc>
          <w:tcPr>
            <w:tcW w:w="7785" w:type="dxa"/>
          </w:tcPr>
          <w:p w14:paraId="2DB6248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Wymagania - Część 21: Zakładowa kontrola produkcji</w:t>
            </w:r>
          </w:p>
        </w:tc>
      </w:tr>
      <w:tr w:rsidR="00CF11BE" w:rsidRPr="006431C4" w14:paraId="25AE33E3" w14:textId="77777777" w:rsidTr="00CF11BE">
        <w:tc>
          <w:tcPr>
            <w:tcW w:w="708" w:type="dxa"/>
          </w:tcPr>
          <w:p w14:paraId="3BA6FA5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54.</w:t>
            </w:r>
          </w:p>
        </w:tc>
        <w:tc>
          <w:tcPr>
            <w:tcW w:w="2280" w:type="dxa"/>
          </w:tcPr>
          <w:p w14:paraId="0FDDE4C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13179-1</w:t>
            </w:r>
          </w:p>
        </w:tc>
        <w:tc>
          <w:tcPr>
            <w:tcW w:w="7785" w:type="dxa"/>
          </w:tcPr>
          <w:p w14:paraId="4E9E304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kruszyw wypełniających stosowanych do mieszanek bitumicznych – Część 1: Badanie metodą pierścienia delta i kuli</w:t>
            </w:r>
          </w:p>
        </w:tc>
      </w:tr>
      <w:tr w:rsidR="00CF11BE" w:rsidRPr="006431C4" w14:paraId="4B7AF237" w14:textId="77777777" w:rsidTr="00CF11BE">
        <w:tc>
          <w:tcPr>
            <w:tcW w:w="708" w:type="dxa"/>
          </w:tcPr>
          <w:p w14:paraId="2709522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55.</w:t>
            </w:r>
          </w:p>
        </w:tc>
        <w:tc>
          <w:tcPr>
            <w:tcW w:w="2280" w:type="dxa"/>
          </w:tcPr>
          <w:p w14:paraId="2BA0541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13179-2</w:t>
            </w:r>
          </w:p>
        </w:tc>
        <w:tc>
          <w:tcPr>
            <w:tcW w:w="7785" w:type="dxa"/>
          </w:tcPr>
          <w:p w14:paraId="40C7C91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Badania kruszyw wypełniających stosowanych do mieszanek bitumicznych – Część 2: Liczba bitumiczna</w:t>
            </w:r>
          </w:p>
        </w:tc>
      </w:tr>
      <w:tr w:rsidR="00CF11BE" w:rsidRPr="006431C4" w14:paraId="094BA27E" w14:textId="77777777" w:rsidTr="00CF11BE">
        <w:tc>
          <w:tcPr>
            <w:tcW w:w="708" w:type="dxa"/>
          </w:tcPr>
          <w:p w14:paraId="46AB06E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56.</w:t>
            </w:r>
          </w:p>
        </w:tc>
        <w:tc>
          <w:tcPr>
            <w:tcW w:w="2280" w:type="dxa"/>
          </w:tcPr>
          <w:p w14:paraId="2A351E2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13398</w:t>
            </w:r>
          </w:p>
        </w:tc>
        <w:tc>
          <w:tcPr>
            <w:tcW w:w="7785" w:type="dxa"/>
          </w:tcPr>
          <w:p w14:paraId="52D3255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nawrotu sprężystego asfaltów modyfikowanych</w:t>
            </w:r>
          </w:p>
        </w:tc>
      </w:tr>
      <w:tr w:rsidR="00CF11BE" w:rsidRPr="006431C4" w14:paraId="66B11067" w14:textId="77777777" w:rsidTr="00CF11BE">
        <w:tc>
          <w:tcPr>
            <w:tcW w:w="708" w:type="dxa"/>
          </w:tcPr>
          <w:p w14:paraId="35A57E3C"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57.</w:t>
            </w:r>
          </w:p>
        </w:tc>
        <w:tc>
          <w:tcPr>
            <w:tcW w:w="2280" w:type="dxa"/>
          </w:tcPr>
          <w:p w14:paraId="28E8A20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13399</w:t>
            </w:r>
          </w:p>
        </w:tc>
        <w:tc>
          <w:tcPr>
            <w:tcW w:w="7785" w:type="dxa"/>
          </w:tcPr>
          <w:p w14:paraId="7F9DE04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Asfalty i lepiszcza asfaltowe – Oznaczanie stabilności podczas magazynowania asfaltów modyfikowanych </w:t>
            </w:r>
          </w:p>
        </w:tc>
      </w:tr>
      <w:tr w:rsidR="00CF11BE" w:rsidRPr="006431C4" w14:paraId="5216265A" w14:textId="77777777" w:rsidTr="00CF11BE">
        <w:tc>
          <w:tcPr>
            <w:tcW w:w="708" w:type="dxa"/>
          </w:tcPr>
          <w:p w14:paraId="31CF23C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58.</w:t>
            </w:r>
          </w:p>
        </w:tc>
        <w:tc>
          <w:tcPr>
            <w:tcW w:w="2280" w:type="dxa"/>
          </w:tcPr>
          <w:p w14:paraId="729B388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13587</w:t>
            </w:r>
          </w:p>
        </w:tc>
        <w:tc>
          <w:tcPr>
            <w:tcW w:w="7785" w:type="dxa"/>
          </w:tcPr>
          <w:p w14:paraId="47D5046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właściwości mechanicznych lepiszczy asfaltowych metodą rozciągania</w:t>
            </w:r>
          </w:p>
        </w:tc>
      </w:tr>
    </w:tbl>
    <w:p w14:paraId="36CA231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bl>
      <w:tblPr>
        <w:tblW w:w="10915" w:type="dxa"/>
        <w:tblLayout w:type="fixed"/>
        <w:tblLook w:val="01E0" w:firstRow="1" w:lastRow="1" w:firstColumn="1" w:lastColumn="1" w:noHBand="0" w:noVBand="0"/>
      </w:tblPr>
      <w:tblGrid>
        <w:gridCol w:w="708"/>
        <w:gridCol w:w="2280"/>
        <w:gridCol w:w="7927"/>
      </w:tblGrid>
      <w:tr w:rsidR="00CF11BE" w:rsidRPr="006431C4" w14:paraId="5FBF4588" w14:textId="77777777" w:rsidTr="00CF11BE">
        <w:tc>
          <w:tcPr>
            <w:tcW w:w="708" w:type="dxa"/>
          </w:tcPr>
          <w:p w14:paraId="03B1CFE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59.</w:t>
            </w:r>
          </w:p>
        </w:tc>
        <w:tc>
          <w:tcPr>
            <w:tcW w:w="2280" w:type="dxa"/>
          </w:tcPr>
          <w:p w14:paraId="5781858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13588</w:t>
            </w:r>
          </w:p>
        </w:tc>
        <w:tc>
          <w:tcPr>
            <w:tcW w:w="7927" w:type="dxa"/>
          </w:tcPr>
          <w:p w14:paraId="1EEC066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kohezji lepiszczy asfaltowych metodą testu wahadłowego</w:t>
            </w:r>
          </w:p>
        </w:tc>
      </w:tr>
      <w:tr w:rsidR="00CF11BE" w:rsidRPr="006431C4" w14:paraId="6DBB486C" w14:textId="77777777" w:rsidTr="00CF11BE">
        <w:tc>
          <w:tcPr>
            <w:tcW w:w="708" w:type="dxa"/>
          </w:tcPr>
          <w:p w14:paraId="47DB6C9D"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c>
          <w:tcPr>
            <w:tcW w:w="2280" w:type="dxa"/>
          </w:tcPr>
          <w:p w14:paraId="47E2A6B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13589</w:t>
            </w:r>
          </w:p>
        </w:tc>
        <w:tc>
          <w:tcPr>
            <w:tcW w:w="7927" w:type="dxa"/>
          </w:tcPr>
          <w:p w14:paraId="5D219E1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siły rozciągania asfaltów modyfikowanych – Metoda z duktylometrem</w:t>
            </w:r>
          </w:p>
        </w:tc>
      </w:tr>
      <w:tr w:rsidR="00CF11BE" w:rsidRPr="006431C4" w14:paraId="3AAF1865" w14:textId="77777777" w:rsidTr="00CF11BE">
        <w:tc>
          <w:tcPr>
            <w:tcW w:w="708" w:type="dxa"/>
          </w:tcPr>
          <w:p w14:paraId="44D6568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61.</w:t>
            </w:r>
          </w:p>
        </w:tc>
        <w:tc>
          <w:tcPr>
            <w:tcW w:w="2280" w:type="dxa"/>
          </w:tcPr>
          <w:p w14:paraId="6DC2B6F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13703</w:t>
            </w:r>
          </w:p>
        </w:tc>
        <w:tc>
          <w:tcPr>
            <w:tcW w:w="7927" w:type="dxa"/>
          </w:tcPr>
          <w:p w14:paraId="61F2CCF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energii odkształcenia</w:t>
            </w:r>
          </w:p>
        </w:tc>
      </w:tr>
      <w:tr w:rsidR="00CF11BE" w:rsidRPr="006431C4" w14:paraId="501B3D68" w14:textId="77777777" w:rsidTr="00CF11BE">
        <w:tc>
          <w:tcPr>
            <w:tcW w:w="708" w:type="dxa"/>
          </w:tcPr>
          <w:p w14:paraId="6A47B8A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62.</w:t>
            </w:r>
          </w:p>
        </w:tc>
        <w:tc>
          <w:tcPr>
            <w:tcW w:w="2280" w:type="dxa"/>
          </w:tcPr>
          <w:p w14:paraId="5C83AFF7"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13808</w:t>
            </w:r>
          </w:p>
        </w:tc>
        <w:tc>
          <w:tcPr>
            <w:tcW w:w="7927" w:type="dxa"/>
          </w:tcPr>
          <w:p w14:paraId="430273A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specyfikacji kationowych emulsji asfaltowych</w:t>
            </w:r>
          </w:p>
        </w:tc>
      </w:tr>
      <w:tr w:rsidR="00CF11BE" w:rsidRPr="006431C4" w14:paraId="5EE61B55" w14:textId="77777777" w:rsidTr="00CF11BE">
        <w:tc>
          <w:tcPr>
            <w:tcW w:w="708" w:type="dxa"/>
          </w:tcPr>
          <w:p w14:paraId="400FAF0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62a.</w:t>
            </w:r>
          </w:p>
        </w:tc>
        <w:tc>
          <w:tcPr>
            <w:tcW w:w="2280" w:type="dxa"/>
          </w:tcPr>
          <w:p w14:paraId="34BA56C4"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PN-EN 13808:2013-10/Ap1:2014-07</w:t>
            </w:r>
          </w:p>
        </w:tc>
        <w:tc>
          <w:tcPr>
            <w:tcW w:w="7927" w:type="dxa"/>
          </w:tcPr>
          <w:p w14:paraId="6B9F720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specyfikacji kationowych emulsji asfaltowych. Załącznik krajowy NA</w:t>
            </w:r>
          </w:p>
        </w:tc>
      </w:tr>
      <w:tr w:rsidR="00CF11BE" w:rsidRPr="006431C4" w14:paraId="606C0BA8" w14:textId="77777777" w:rsidTr="00CF11BE">
        <w:tc>
          <w:tcPr>
            <w:tcW w:w="708" w:type="dxa"/>
          </w:tcPr>
          <w:p w14:paraId="3CB36CE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63.</w:t>
            </w:r>
          </w:p>
        </w:tc>
        <w:tc>
          <w:tcPr>
            <w:tcW w:w="2280" w:type="dxa"/>
          </w:tcPr>
          <w:p w14:paraId="4A66091A" w14:textId="77777777" w:rsidR="00CF11BE" w:rsidRPr="006431C4" w:rsidRDefault="00CF11BE" w:rsidP="00CF11BE">
            <w:pPr>
              <w:overflowPunct w:val="0"/>
              <w:autoSpaceDE w:val="0"/>
              <w:autoSpaceDN w:val="0"/>
              <w:adjustRightInd w:val="0"/>
              <w:spacing w:line="240" w:lineRule="auto"/>
              <w:textAlignment w:val="baseline"/>
              <w:rPr>
                <w:rFonts w:cs="Arial"/>
                <w:szCs w:val="20"/>
              </w:rPr>
            </w:pPr>
            <w:r w:rsidRPr="006431C4">
              <w:rPr>
                <w:rFonts w:cs="Arial"/>
                <w:szCs w:val="20"/>
              </w:rPr>
              <w:t>PN-EN 13924-2</w:t>
            </w:r>
          </w:p>
        </w:tc>
        <w:tc>
          <w:tcPr>
            <w:tcW w:w="7927" w:type="dxa"/>
          </w:tcPr>
          <w:p w14:paraId="4777F7D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Asfalty i lepiszcza asfaltowe - Zasady klasyfikacji asfaltów drogowych specjalnych - Część 2: Asfalty drogowe wielorodzajowe </w:t>
            </w:r>
          </w:p>
        </w:tc>
      </w:tr>
      <w:tr w:rsidR="00CF11BE" w:rsidRPr="006431C4" w14:paraId="6970ED28" w14:textId="77777777" w:rsidTr="00CF11BE">
        <w:tc>
          <w:tcPr>
            <w:tcW w:w="708" w:type="dxa"/>
          </w:tcPr>
          <w:p w14:paraId="2C082557"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63a</w:t>
            </w:r>
          </w:p>
        </w:tc>
        <w:tc>
          <w:tcPr>
            <w:tcW w:w="2280" w:type="dxa"/>
          </w:tcPr>
          <w:p w14:paraId="4F8D575E" w14:textId="77777777" w:rsidR="00CF11BE" w:rsidRPr="006431C4" w:rsidRDefault="00CF11BE" w:rsidP="00CF11BE">
            <w:pPr>
              <w:overflowPunct w:val="0"/>
              <w:autoSpaceDE w:val="0"/>
              <w:autoSpaceDN w:val="0"/>
              <w:adjustRightInd w:val="0"/>
              <w:spacing w:line="240" w:lineRule="auto"/>
              <w:textAlignment w:val="baseline"/>
              <w:rPr>
                <w:rFonts w:cs="Arial"/>
                <w:szCs w:val="20"/>
                <w:lang w:val="en-US"/>
              </w:rPr>
            </w:pPr>
            <w:r w:rsidRPr="006431C4">
              <w:rPr>
                <w:rFonts w:cs="Arial"/>
                <w:szCs w:val="20"/>
                <w:lang w:val="en-US"/>
              </w:rPr>
              <w:t>PN-EN 13924-2:</w:t>
            </w:r>
          </w:p>
          <w:p w14:paraId="7C5D860A" w14:textId="77777777" w:rsidR="00CF11BE" w:rsidRPr="006431C4" w:rsidRDefault="00CF11BE" w:rsidP="00CF11BE">
            <w:pPr>
              <w:overflowPunct w:val="0"/>
              <w:autoSpaceDE w:val="0"/>
              <w:autoSpaceDN w:val="0"/>
              <w:adjustRightInd w:val="0"/>
              <w:spacing w:line="240" w:lineRule="auto"/>
              <w:textAlignment w:val="baseline"/>
              <w:rPr>
                <w:rFonts w:cs="Arial"/>
                <w:szCs w:val="20"/>
                <w:lang w:val="en-US"/>
              </w:rPr>
            </w:pPr>
            <w:r w:rsidRPr="006431C4">
              <w:rPr>
                <w:rFonts w:cs="Arial"/>
                <w:szCs w:val="20"/>
                <w:lang w:val="en-US"/>
              </w:rPr>
              <w:t>2014-04/Ap1:</w:t>
            </w:r>
          </w:p>
          <w:p w14:paraId="2AEC261E" w14:textId="77777777" w:rsidR="00CF11BE" w:rsidRPr="006431C4" w:rsidRDefault="00CF11BE" w:rsidP="00CF11BE">
            <w:pPr>
              <w:overflowPunct w:val="0"/>
              <w:autoSpaceDE w:val="0"/>
              <w:autoSpaceDN w:val="0"/>
              <w:adjustRightInd w:val="0"/>
              <w:spacing w:line="240" w:lineRule="auto"/>
              <w:textAlignment w:val="baseline"/>
              <w:rPr>
                <w:rFonts w:cs="Arial"/>
                <w:szCs w:val="20"/>
                <w:lang w:val="en-US"/>
              </w:rPr>
            </w:pPr>
            <w:r w:rsidRPr="006431C4">
              <w:rPr>
                <w:rFonts w:cs="Arial"/>
                <w:szCs w:val="20"/>
                <w:lang w:val="en-US"/>
              </w:rPr>
              <w:t xml:space="preserve">2014-07 </w:t>
            </w:r>
            <w:proofErr w:type="spellStart"/>
            <w:r w:rsidRPr="006431C4">
              <w:rPr>
                <w:rFonts w:cs="Arial"/>
                <w:szCs w:val="20"/>
                <w:lang w:val="en-US"/>
              </w:rPr>
              <w:t>i</w:t>
            </w:r>
            <w:proofErr w:type="spellEnd"/>
            <w:r w:rsidRPr="006431C4">
              <w:rPr>
                <w:rFonts w:cs="Arial"/>
                <w:szCs w:val="20"/>
                <w:lang w:val="en-US"/>
              </w:rPr>
              <w:t xml:space="preserve"> PN-EN 13924-2:2014-04/Ap2:2015-09E</w:t>
            </w:r>
          </w:p>
        </w:tc>
        <w:tc>
          <w:tcPr>
            <w:tcW w:w="7927" w:type="dxa"/>
          </w:tcPr>
          <w:p w14:paraId="407F29B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klasyfikacji asfaltów drogowych specjalnych - Część 2: Asfalty drogowe wielorodzajowe. Załącznik krajowy NA</w:t>
            </w:r>
          </w:p>
        </w:tc>
      </w:tr>
      <w:tr w:rsidR="00CF11BE" w:rsidRPr="006431C4" w14:paraId="14F6123D" w14:textId="77777777" w:rsidTr="00CF11BE">
        <w:tc>
          <w:tcPr>
            <w:tcW w:w="708" w:type="dxa"/>
          </w:tcPr>
          <w:p w14:paraId="2C470BE5"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64.</w:t>
            </w:r>
          </w:p>
        </w:tc>
        <w:tc>
          <w:tcPr>
            <w:tcW w:w="2280" w:type="dxa"/>
          </w:tcPr>
          <w:p w14:paraId="3CA02D67" w14:textId="77777777" w:rsidR="00CF11BE" w:rsidRPr="006431C4" w:rsidRDefault="00CF11BE" w:rsidP="00CF11BE">
            <w:pPr>
              <w:tabs>
                <w:tab w:val="right" w:pos="2064"/>
              </w:tabs>
              <w:overflowPunct w:val="0"/>
              <w:autoSpaceDE w:val="0"/>
              <w:autoSpaceDN w:val="0"/>
              <w:adjustRightInd w:val="0"/>
              <w:spacing w:line="240" w:lineRule="auto"/>
              <w:jc w:val="both"/>
              <w:textAlignment w:val="baseline"/>
              <w:rPr>
                <w:rFonts w:cs="Arial"/>
                <w:szCs w:val="20"/>
              </w:rPr>
            </w:pPr>
            <w:r w:rsidRPr="006431C4">
              <w:rPr>
                <w:rFonts w:cs="Arial"/>
                <w:szCs w:val="20"/>
              </w:rPr>
              <w:t>PN-EN 14023</w:t>
            </w:r>
            <w:r w:rsidRPr="006431C4">
              <w:rPr>
                <w:rFonts w:cs="Arial"/>
                <w:szCs w:val="20"/>
              </w:rPr>
              <w:tab/>
            </w:r>
          </w:p>
        </w:tc>
        <w:tc>
          <w:tcPr>
            <w:tcW w:w="7927" w:type="dxa"/>
          </w:tcPr>
          <w:p w14:paraId="67FAA0C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specyfikacji asfaltów modyfikowanych polimerami</w:t>
            </w:r>
          </w:p>
        </w:tc>
      </w:tr>
      <w:tr w:rsidR="00CF11BE" w:rsidRPr="006431C4" w14:paraId="3DCD7DC1" w14:textId="77777777" w:rsidTr="00CF11BE">
        <w:tc>
          <w:tcPr>
            <w:tcW w:w="708" w:type="dxa"/>
          </w:tcPr>
          <w:p w14:paraId="3F2666E2"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64a.</w:t>
            </w:r>
          </w:p>
        </w:tc>
        <w:tc>
          <w:tcPr>
            <w:tcW w:w="2280" w:type="dxa"/>
          </w:tcPr>
          <w:p w14:paraId="3F45B2D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14023:2011/Ap1:</w:t>
            </w:r>
          </w:p>
          <w:p w14:paraId="6FEA813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2014-04</w:t>
            </w:r>
          </w:p>
        </w:tc>
        <w:tc>
          <w:tcPr>
            <w:tcW w:w="7927" w:type="dxa"/>
          </w:tcPr>
          <w:p w14:paraId="126B69FB"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klasyfikacji asfaltów modyfikowanych polimerami. Załącznik krajowy NA</w:t>
            </w:r>
          </w:p>
        </w:tc>
      </w:tr>
      <w:tr w:rsidR="00CF11BE" w:rsidRPr="006431C4" w14:paraId="6CE33885" w14:textId="77777777" w:rsidTr="00CF11BE">
        <w:tc>
          <w:tcPr>
            <w:tcW w:w="708" w:type="dxa"/>
          </w:tcPr>
          <w:p w14:paraId="0F5E181A"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65.</w:t>
            </w:r>
          </w:p>
        </w:tc>
        <w:tc>
          <w:tcPr>
            <w:tcW w:w="2280" w:type="dxa"/>
          </w:tcPr>
          <w:p w14:paraId="27CF5FC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14188-1</w:t>
            </w:r>
          </w:p>
        </w:tc>
        <w:tc>
          <w:tcPr>
            <w:tcW w:w="7927" w:type="dxa"/>
          </w:tcPr>
          <w:p w14:paraId="599965CC"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Wypełniacze szczelin i zalewy drogowe – Część 1: Wymagania wobec zalew drogowych na gorąco</w:t>
            </w:r>
          </w:p>
        </w:tc>
      </w:tr>
      <w:tr w:rsidR="00CF11BE" w:rsidRPr="006431C4" w14:paraId="2A0721A8" w14:textId="77777777" w:rsidTr="00CF11BE">
        <w:tc>
          <w:tcPr>
            <w:tcW w:w="708" w:type="dxa"/>
          </w:tcPr>
          <w:p w14:paraId="63FC385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66.</w:t>
            </w:r>
          </w:p>
        </w:tc>
        <w:tc>
          <w:tcPr>
            <w:tcW w:w="2280" w:type="dxa"/>
          </w:tcPr>
          <w:p w14:paraId="5E0AE69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14188-2</w:t>
            </w:r>
          </w:p>
        </w:tc>
        <w:tc>
          <w:tcPr>
            <w:tcW w:w="7927" w:type="dxa"/>
          </w:tcPr>
          <w:p w14:paraId="633CAEB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Wypełniacze szczelin i zalewy drogowe – Część 2: Wymagania wobec zalew drogowych na zimno</w:t>
            </w:r>
          </w:p>
        </w:tc>
      </w:tr>
      <w:tr w:rsidR="00CF11BE" w:rsidRPr="006431C4" w14:paraId="027EB71C" w14:textId="77777777" w:rsidTr="00CF11BE">
        <w:tc>
          <w:tcPr>
            <w:tcW w:w="708" w:type="dxa"/>
          </w:tcPr>
          <w:p w14:paraId="6EA303F1"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67.</w:t>
            </w:r>
          </w:p>
        </w:tc>
        <w:tc>
          <w:tcPr>
            <w:tcW w:w="2280" w:type="dxa"/>
          </w:tcPr>
          <w:p w14:paraId="7EDB338D"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22592</w:t>
            </w:r>
          </w:p>
        </w:tc>
        <w:tc>
          <w:tcPr>
            <w:tcW w:w="7927" w:type="dxa"/>
          </w:tcPr>
          <w:p w14:paraId="3A55A3EE"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Przetwory naftowe – Oznaczanie temperatury zapłonu i palenia – Pomiar metodą otwartego tygla Clevelanda</w:t>
            </w:r>
          </w:p>
        </w:tc>
      </w:tr>
      <w:tr w:rsidR="00CF11BE" w:rsidRPr="006431C4" w14:paraId="7F8A8F44" w14:textId="77777777" w:rsidTr="00CF11BE">
        <w:tc>
          <w:tcPr>
            <w:tcW w:w="708" w:type="dxa"/>
          </w:tcPr>
          <w:p w14:paraId="524351E3"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68.</w:t>
            </w:r>
          </w:p>
        </w:tc>
        <w:tc>
          <w:tcPr>
            <w:tcW w:w="2280" w:type="dxa"/>
          </w:tcPr>
          <w:p w14:paraId="7BA94B7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ISO 2592</w:t>
            </w:r>
          </w:p>
        </w:tc>
        <w:tc>
          <w:tcPr>
            <w:tcW w:w="7927" w:type="dxa"/>
          </w:tcPr>
          <w:p w14:paraId="28C097C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Oznaczanie temperatury zapłonu i palenia – Metoda otwartego tygla Clevelanda</w:t>
            </w:r>
          </w:p>
        </w:tc>
      </w:tr>
      <w:tr w:rsidR="00CF11BE" w:rsidRPr="006431C4" w14:paraId="400A3619" w14:textId="77777777" w:rsidTr="00CF11BE">
        <w:tc>
          <w:tcPr>
            <w:tcW w:w="708" w:type="dxa"/>
          </w:tcPr>
          <w:p w14:paraId="01A720D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69.</w:t>
            </w:r>
          </w:p>
        </w:tc>
        <w:tc>
          <w:tcPr>
            <w:tcW w:w="2280" w:type="dxa"/>
          </w:tcPr>
          <w:p w14:paraId="03A3726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13880-2</w:t>
            </w:r>
          </w:p>
        </w:tc>
        <w:tc>
          <w:tcPr>
            <w:tcW w:w="7927" w:type="dxa"/>
          </w:tcPr>
          <w:p w14:paraId="3068D04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Zalewy szczelin na gorąco -- Część 2: Metoda badania dla określenia penetracji stożka w temperaturze 25 C</w:t>
            </w:r>
          </w:p>
        </w:tc>
      </w:tr>
      <w:tr w:rsidR="00CF11BE" w:rsidRPr="006431C4" w14:paraId="76A71798" w14:textId="77777777" w:rsidTr="00CF11BE">
        <w:tc>
          <w:tcPr>
            <w:tcW w:w="708" w:type="dxa"/>
          </w:tcPr>
          <w:p w14:paraId="62CA278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70.</w:t>
            </w:r>
          </w:p>
        </w:tc>
        <w:tc>
          <w:tcPr>
            <w:tcW w:w="2280" w:type="dxa"/>
          </w:tcPr>
          <w:p w14:paraId="005B17F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13880-3</w:t>
            </w:r>
          </w:p>
        </w:tc>
        <w:tc>
          <w:tcPr>
            <w:tcW w:w="7927" w:type="dxa"/>
          </w:tcPr>
          <w:p w14:paraId="41B277B4"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Zalewy szczelin na gorąco -- Część 3: Metoda badania określająca penetrację i odprężenie sprężyste (odbojność)</w:t>
            </w:r>
          </w:p>
        </w:tc>
      </w:tr>
      <w:tr w:rsidR="00CF11BE" w:rsidRPr="006431C4" w14:paraId="465C7AE4" w14:textId="77777777" w:rsidTr="00CF11BE">
        <w:tc>
          <w:tcPr>
            <w:tcW w:w="708" w:type="dxa"/>
          </w:tcPr>
          <w:p w14:paraId="03411D54"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71.</w:t>
            </w:r>
          </w:p>
        </w:tc>
        <w:tc>
          <w:tcPr>
            <w:tcW w:w="2280" w:type="dxa"/>
          </w:tcPr>
          <w:p w14:paraId="740EE3C6"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13880-5</w:t>
            </w:r>
          </w:p>
        </w:tc>
        <w:tc>
          <w:tcPr>
            <w:tcW w:w="7927" w:type="dxa"/>
          </w:tcPr>
          <w:p w14:paraId="7A450EF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Zalewy szczelin na gorąco -- Część 5: Metody badań do oznaczania odporności na spływanie</w:t>
            </w:r>
          </w:p>
        </w:tc>
      </w:tr>
      <w:tr w:rsidR="00CF11BE" w:rsidRPr="006431C4" w14:paraId="41A19394" w14:textId="77777777" w:rsidTr="00CF11BE">
        <w:tc>
          <w:tcPr>
            <w:tcW w:w="708" w:type="dxa"/>
          </w:tcPr>
          <w:p w14:paraId="64E35039"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72.</w:t>
            </w:r>
          </w:p>
        </w:tc>
        <w:tc>
          <w:tcPr>
            <w:tcW w:w="2280" w:type="dxa"/>
          </w:tcPr>
          <w:p w14:paraId="7F897AE9"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13880-6</w:t>
            </w:r>
          </w:p>
        </w:tc>
        <w:tc>
          <w:tcPr>
            <w:tcW w:w="7927" w:type="dxa"/>
          </w:tcPr>
          <w:p w14:paraId="583D458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Zalewy szczelin na gorąco -- Część 6: Metoda przygotowania próbek do badania</w:t>
            </w:r>
          </w:p>
        </w:tc>
      </w:tr>
      <w:tr w:rsidR="00CF11BE" w:rsidRPr="006431C4" w14:paraId="5034AE49" w14:textId="77777777" w:rsidTr="00CF11BE">
        <w:tc>
          <w:tcPr>
            <w:tcW w:w="708" w:type="dxa"/>
          </w:tcPr>
          <w:p w14:paraId="6EA76370"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73.</w:t>
            </w:r>
          </w:p>
        </w:tc>
        <w:tc>
          <w:tcPr>
            <w:tcW w:w="2280" w:type="dxa"/>
          </w:tcPr>
          <w:p w14:paraId="269EB540"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13880-13</w:t>
            </w:r>
          </w:p>
        </w:tc>
        <w:tc>
          <w:tcPr>
            <w:tcW w:w="7927" w:type="dxa"/>
          </w:tcPr>
          <w:p w14:paraId="319C31F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Zalewy szczelin na gorąco -- Część 13: Metoda badania służąca do określenia </w:t>
            </w:r>
            <w:r w:rsidRPr="006431C4">
              <w:rPr>
                <w:rFonts w:cs="Arial"/>
                <w:szCs w:val="20"/>
              </w:rPr>
              <w:lastRenderedPageBreak/>
              <w:t>wydłużenia nieciągłego (próba przyczepności)</w:t>
            </w:r>
          </w:p>
        </w:tc>
      </w:tr>
      <w:tr w:rsidR="00CF11BE" w:rsidRPr="006431C4" w14:paraId="5194B27C" w14:textId="77777777" w:rsidTr="00CF11BE">
        <w:trPr>
          <w:trHeight w:val="555"/>
        </w:trPr>
        <w:tc>
          <w:tcPr>
            <w:tcW w:w="708" w:type="dxa"/>
          </w:tcPr>
          <w:p w14:paraId="100F0828"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74.</w:t>
            </w:r>
          </w:p>
        </w:tc>
        <w:tc>
          <w:tcPr>
            <w:tcW w:w="2280" w:type="dxa"/>
          </w:tcPr>
          <w:p w14:paraId="2BB88DA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DIN 52123</w:t>
            </w:r>
          </w:p>
        </w:tc>
        <w:tc>
          <w:tcPr>
            <w:tcW w:w="7927" w:type="dxa"/>
          </w:tcPr>
          <w:p w14:paraId="621EC5BC"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szCs w:val="20"/>
              </w:rPr>
              <w:t>Prüfung von Bitumen- und Polymerbitumenbahnen (Badanie taśm bitumicznych i polimerowo-bitumicznych)</w:t>
            </w:r>
          </w:p>
        </w:tc>
      </w:tr>
      <w:tr w:rsidR="00CF11BE" w:rsidRPr="006431C4" w14:paraId="34A5D8F5" w14:textId="77777777" w:rsidTr="00CF11BE">
        <w:tc>
          <w:tcPr>
            <w:tcW w:w="708" w:type="dxa"/>
          </w:tcPr>
          <w:p w14:paraId="50901C2F"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75.</w:t>
            </w:r>
          </w:p>
        </w:tc>
        <w:tc>
          <w:tcPr>
            <w:tcW w:w="2280" w:type="dxa"/>
          </w:tcPr>
          <w:p w14:paraId="4396087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1425</w:t>
            </w:r>
          </w:p>
        </w:tc>
        <w:tc>
          <w:tcPr>
            <w:tcW w:w="7927" w:type="dxa"/>
          </w:tcPr>
          <w:p w14:paraId="6DCEE14A"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szCs w:val="20"/>
              </w:rPr>
            </w:pPr>
            <w:r w:rsidRPr="006431C4">
              <w:rPr>
                <w:rFonts w:cs="Arial"/>
                <w:szCs w:val="20"/>
              </w:rPr>
              <w:t>Asfalty i lepiszcza asfaltowe -- Ocena organoleptyczna</w:t>
            </w:r>
          </w:p>
        </w:tc>
      </w:tr>
    </w:tbl>
    <w:p w14:paraId="5980F942"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p w14:paraId="43E7330A"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p>
    <w:tbl>
      <w:tblPr>
        <w:tblW w:w="10915" w:type="dxa"/>
        <w:tblLayout w:type="fixed"/>
        <w:tblLook w:val="01E0" w:firstRow="1" w:lastRow="1" w:firstColumn="1" w:lastColumn="1" w:noHBand="0" w:noVBand="0"/>
      </w:tblPr>
      <w:tblGrid>
        <w:gridCol w:w="708"/>
        <w:gridCol w:w="2280"/>
        <w:gridCol w:w="7927"/>
      </w:tblGrid>
      <w:tr w:rsidR="00CF11BE" w:rsidRPr="006431C4" w14:paraId="04096870" w14:textId="77777777" w:rsidTr="00CF11BE">
        <w:tc>
          <w:tcPr>
            <w:tcW w:w="708" w:type="dxa"/>
          </w:tcPr>
          <w:p w14:paraId="179DED3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76.</w:t>
            </w:r>
          </w:p>
        </w:tc>
        <w:tc>
          <w:tcPr>
            <w:tcW w:w="2280" w:type="dxa"/>
          </w:tcPr>
          <w:p w14:paraId="20A1FDA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1428</w:t>
            </w:r>
          </w:p>
        </w:tc>
        <w:tc>
          <w:tcPr>
            <w:tcW w:w="7927" w:type="dxa"/>
          </w:tcPr>
          <w:p w14:paraId="018C724B" w14:textId="77777777" w:rsidR="00CF11BE" w:rsidRPr="006431C4" w:rsidRDefault="00CF11BE" w:rsidP="00CF11BE">
            <w:pPr>
              <w:overflowPunct w:val="0"/>
              <w:autoSpaceDE w:val="0"/>
              <w:autoSpaceDN w:val="0"/>
              <w:adjustRightInd w:val="0"/>
              <w:spacing w:line="240" w:lineRule="auto"/>
              <w:jc w:val="both"/>
              <w:textAlignment w:val="baseline"/>
              <w:rPr>
                <w:rFonts w:cs="Arial"/>
                <w:b/>
                <w:szCs w:val="20"/>
              </w:rPr>
            </w:pPr>
            <w:r w:rsidRPr="006431C4">
              <w:rPr>
                <w:rFonts w:cs="Arial"/>
                <w:szCs w:val="20"/>
              </w:rPr>
              <w:t>Asfalty i lepiszcza asfaltowe -- Oznaczanie zawartości wody w emulsjach asfaltowych -- Metoda destylacji azeotropowej</w:t>
            </w:r>
          </w:p>
        </w:tc>
      </w:tr>
      <w:tr w:rsidR="00CF11BE" w:rsidRPr="006431C4" w14:paraId="1066C0D2" w14:textId="77777777" w:rsidTr="00CF11BE">
        <w:tc>
          <w:tcPr>
            <w:tcW w:w="708" w:type="dxa"/>
          </w:tcPr>
          <w:p w14:paraId="77F84536"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77. </w:t>
            </w:r>
          </w:p>
        </w:tc>
        <w:tc>
          <w:tcPr>
            <w:tcW w:w="2280" w:type="dxa"/>
          </w:tcPr>
          <w:p w14:paraId="0A841A9F"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13074-1</w:t>
            </w:r>
          </w:p>
        </w:tc>
        <w:tc>
          <w:tcPr>
            <w:tcW w:w="7927" w:type="dxa"/>
          </w:tcPr>
          <w:p w14:paraId="08FDEC81"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Odzyskiwanie lepiszcza z emulsji asfaltowych lub asfaltów upłynnionych lub fluksowanych -- Część 1: Odzyskiwanie metodą odparowania</w:t>
            </w:r>
          </w:p>
        </w:tc>
      </w:tr>
      <w:tr w:rsidR="00CF11BE" w:rsidRPr="006431C4" w14:paraId="04121063" w14:textId="77777777" w:rsidTr="00CF11BE">
        <w:tc>
          <w:tcPr>
            <w:tcW w:w="708" w:type="dxa"/>
          </w:tcPr>
          <w:p w14:paraId="50FFF55B" w14:textId="77777777" w:rsidR="00CF11BE" w:rsidRPr="006431C4" w:rsidRDefault="00CF11BE" w:rsidP="00CF11BE">
            <w:pPr>
              <w:overflowPunct w:val="0"/>
              <w:autoSpaceDE w:val="0"/>
              <w:autoSpaceDN w:val="0"/>
              <w:adjustRightInd w:val="0"/>
              <w:spacing w:line="240" w:lineRule="auto"/>
              <w:jc w:val="center"/>
              <w:textAlignment w:val="baseline"/>
              <w:rPr>
                <w:rFonts w:cs="Arial"/>
                <w:szCs w:val="20"/>
              </w:rPr>
            </w:pPr>
            <w:r w:rsidRPr="006431C4">
              <w:rPr>
                <w:rFonts w:cs="Arial"/>
                <w:szCs w:val="20"/>
              </w:rPr>
              <w:t>78.</w:t>
            </w:r>
          </w:p>
        </w:tc>
        <w:tc>
          <w:tcPr>
            <w:tcW w:w="2280" w:type="dxa"/>
          </w:tcPr>
          <w:p w14:paraId="06747F53"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PN-EN 13074-2</w:t>
            </w:r>
          </w:p>
        </w:tc>
        <w:tc>
          <w:tcPr>
            <w:tcW w:w="7927" w:type="dxa"/>
          </w:tcPr>
          <w:p w14:paraId="3E454FC5" w14:textId="77777777" w:rsidR="00CF11BE" w:rsidRPr="006431C4" w:rsidRDefault="00CF11BE" w:rsidP="00CF11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Odzyskiwanie lepiszcza z emulsji asfaltowych lub asfaltów upłynnionych lub fluksowanych -- Część 2: Stabilizacja po odzyskaniu metodą odparowania</w:t>
            </w:r>
          </w:p>
        </w:tc>
      </w:tr>
    </w:tbl>
    <w:p w14:paraId="440B54F2"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10.3. Wymagania techniczne i katalogi</w:t>
      </w:r>
    </w:p>
    <w:p w14:paraId="01C69D7C" w14:textId="77777777" w:rsidR="00CF11BE" w:rsidRPr="006431C4" w:rsidRDefault="00CF11BE" w:rsidP="00CF1E7D">
      <w:pPr>
        <w:numPr>
          <w:ilvl w:val="0"/>
          <w:numId w:val="160"/>
        </w:numPr>
        <w:tabs>
          <w:tab w:val="left" w:pos="426"/>
        </w:tabs>
        <w:overflowPunct w:val="0"/>
        <w:autoSpaceDE w:val="0"/>
        <w:autoSpaceDN w:val="0"/>
        <w:adjustRightInd w:val="0"/>
        <w:spacing w:line="240" w:lineRule="auto"/>
        <w:ind w:left="426" w:hanging="66"/>
        <w:jc w:val="both"/>
        <w:textAlignment w:val="baseline"/>
        <w:rPr>
          <w:rFonts w:cs="Arial"/>
          <w:szCs w:val="20"/>
        </w:rPr>
      </w:pPr>
      <w:r w:rsidRPr="006431C4">
        <w:rPr>
          <w:rFonts w:cs="Arial"/>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3B946228" w14:textId="77777777" w:rsidR="00CF11BE" w:rsidRPr="006431C4" w:rsidRDefault="00CF11BE" w:rsidP="00CF1E7D">
      <w:pPr>
        <w:numPr>
          <w:ilvl w:val="0"/>
          <w:numId w:val="160"/>
        </w:numPr>
        <w:tabs>
          <w:tab w:val="left" w:pos="426"/>
        </w:tabs>
        <w:overflowPunct w:val="0"/>
        <w:autoSpaceDE w:val="0"/>
        <w:autoSpaceDN w:val="0"/>
        <w:adjustRightInd w:val="0"/>
        <w:spacing w:line="240" w:lineRule="auto"/>
        <w:ind w:left="426" w:hanging="66"/>
        <w:jc w:val="both"/>
        <w:textAlignment w:val="baseline"/>
        <w:rPr>
          <w:rFonts w:cs="Arial"/>
          <w:szCs w:val="20"/>
        </w:rPr>
      </w:pPr>
      <w:r w:rsidRPr="006431C4">
        <w:rPr>
          <w:rFonts w:cs="Arial"/>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468676A5" w14:textId="77777777" w:rsidR="00CF11BE" w:rsidRPr="006431C4" w:rsidRDefault="00CF11BE" w:rsidP="00CF1E7D">
      <w:pPr>
        <w:numPr>
          <w:ilvl w:val="0"/>
          <w:numId w:val="160"/>
        </w:numPr>
        <w:tabs>
          <w:tab w:val="left" w:pos="426"/>
        </w:tabs>
        <w:overflowPunct w:val="0"/>
        <w:autoSpaceDE w:val="0"/>
        <w:autoSpaceDN w:val="0"/>
        <w:adjustRightInd w:val="0"/>
        <w:spacing w:line="240" w:lineRule="auto"/>
        <w:ind w:left="426" w:hanging="66"/>
        <w:jc w:val="both"/>
        <w:textAlignment w:val="baseline"/>
        <w:rPr>
          <w:rFonts w:cs="Arial"/>
          <w:szCs w:val="20"/>
        </w:rPr>
      </w:pPr>
      <w:r w:rsidRPr="006431C4">
        <w:rPr>
          <w:rFonts w:cs="Arial"/>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2F8267D1" w14:textId="77777777" w:rsidR="00CF11BE" w:rsidRPr="006431C4" w:rsidRDefault="00CF11BE" w:rsidP="00CF1E7D">
      <w:pPr>
        <w:numPr>
          <w:ilvl w:val="0"/>
          <w:numId w:val="160"/>
        </w:numPr>
        <w:tabs>
          <w:tab w:val="left" w:pos="426"/>
          <w:tab w:val="left" w:pos="567"/>
        </w:tabs>
        <w:overflowPunct w:val="0"/>
        <w:autoSpaceDE w:val="0"/>
        <w:autoSpaceDN w:val="0"/>
        <w:adjustRightInd w:val="0"/>
        <w:spacing w:line="240" w:lineRule="auto"/>
        <w:ind w:left="426" w:hanging="66"/>
        <w:jc w:val="both"/>
        <w:textAlignment w:val="baseline"/>
        <w:rPr>
          <w:rFonts w:cs="Arial"/>
          <w:szCs w:val="20"/>
        </w:rPr>
      </w:pPr>
      <w:r w:rsidRPr="006431C4">
        <w:rPr>
          <w:rFonts w:cs="Arial"/>
          <w:szCs w:val="20"/>
        </w:rPr>
        <w:t>Katalog typowych konstrukcji nawierzchni podatnych i półsztywnych. Załącznik do Zarządzenia nr 31 Generalnego Dyrektora Dróg Krajowych i Autostrad z dnia 16 czerwca 2014 r.</w:t>
      </w:r>
    </w:p>
    <w:p w14:paraId="38D58887" w14:textId="77777777" w:rsidR="00CF11BE" w:rsidRPr="006431C4" w:rsidRDefault="00CF11BE" w:rsidP="00CF11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10.4. Inne dokumenty</w:t>
      </w:r>
    </w:p>
    <w:p w14:paraId="72E38772" w14:textId="77777777" w:rsidR="00CF11BE" w:rsidRPr="006431C4" w:rsidRDefault="00CF11BE" w:rsidP="00CF1E7D">
      <w:pPr>
        <w:numPr>
          <w:ilvl w:val="0"/>
          <w:numId w:val="160"/>
        </w:numPr>
        <w:tabs>
          <w:tab w:val="left" w:pos="426"/>
          <w:tab w:val="left" w:pos="567"/>
        </w:tabs>
        <w:overflowPunct w:val="0"/>
        <w:autoSpaceDE w:val="0"/>
        <w:autoSpaceDN w:val="0"/>
        <w:adjustRightInd w:val="0"/>
        <w:spacing w:line="240" w:lineRule="auto"/>
        <w:ind w:left="426" w:hanging="66"/>
        <w:jc w:val="both"/>
        <w:textAlignment w:val="baseline"/>
        <w:rPr>
          <w:rFonts w:cs="Arial"/>
          <w:szCs w:val="20"/>
        </w:rPr>
      </w:pPr>
      <w:r w:rsidRPr="006431C4">
        <w:rPr>
          <w:rFonts w:cs="Arial"/>
          <w:szCs w:val="20"/>
        </w:rPr>
        <w:t>Rozporządzenie Ministra Transportu i Gospodarki Morskiej z dnia 2 marca 1999 r. w sprawie warunków technicznych, jakim powinny odpowiadać drogi publiczne i ich usytuowanie (jednolity tekst Dz.U. z 2016, poz. 124)</w:t>
      </w:r>
    </w:p>
    <w:p w14:paraId="1DD0098A" w14:textId="77777777" w:rsidR="00CF11BE" w:rsidRPr="006431C4" w:rsidRDefault="00CF11BE" w:rsidP="00CF1E7D">
      <w:pPr>
        <w:numPr>
          <w:ilvl w:val="0"/>
          <w:numId w:val="160"/>
        </w:numPr>
        <w:tabs>
          <w:tab w:val="left" w:pos="426"/>
          <w:tab w:val="left" w:pos="567"/>
        </w:tabs>
        <w:overflowPunct w:val="0"/>
        <w:autoSpaceDE w:val="0"/>
        <w:autoSpaceDN w:val="0"/>
        <w:adjustRightInd w:val="0"/>
        <w:spacing w:line="240" w:lineRule="auto"/>
        <w:ind w:left="426" w:hanging="66"/>
        <w:jc w:val="both"/>
        <w:textAlignment w:val="baseline"/>
        <w:rPr>
          <w:rFonts w:cs="Arial"/>
          <w:szCs w:val="20"/>
        </w:rPr>
      </w:pPr>
      <w:r w:rsidRPr="006431C4">
        <w:rPr>
          <w:rFonts w:cs="Arial"/>
          <w:szCs w:val="20"/>
        </w:rPr>
        <w:t>Ustawa z dnia 19 sierpnia 2011 r. o przewozie drogowym towarów niebezpiecznych (Dz.U. nr 227, poz. 1367 z późn. zm.)</w:t>
      </w:r>
    </w:p>
    <w:p w14:paraId="45693A20" w14:textId="77777777" w:rsidR="006C142C" w:rsidRPr="006431C4" w:rsidRDefault="006C142C" w:rsidP="009F7169">
      <w:pPr>
        <w:pStyle w:val="Nagwek4"/>
        <w:shd w:val="clear" w:color="auto" w:fill="FFFFFF" w:themeFill="background1"/>
        <w:spacing w:before="240"/>
        <w:jc w:val="both"/>
        <w:rPr>
          <w:rFonts w:cs="Arial"/>
        </w:rPr>
      </w:pPr>
      <w:bookmarkStart w:id="945" w:name="_Toc474248432"/>
      <w:bookmarkStart w:id="946" w:name="_Toc111635986"/>
      <w:r w:rsidRPr="006431C4">
        <w:rPr>
          <w:rFonts w:cs="Arial"/>
        </w:rPr>
        <w:t>D-05.03.05b – NAWIERZCHNIA Z BETONU ASFALTOWEGO. WARSTWA WIĄŻĄCA i WYRÓWNAWCZA wg WT-1 i WT-2</w:t>
      </w:r>
      <w:bookmarkEnd w:id="945"/>
      <w:bookmarkEnd w:id="946"/>
    </w:p>
    <w:p w14:paraId="70E7B43D" w14:textId="77777777" w:rsidR="006C142C" w:rsidRPr="006431C4" w:rsidRDefault="006C142C" w:rsidP="00D232E1">
      <w:pPr>
        <w:keepNext/>
        <w:shd w:val="clear" w:color="auto" w:fill="FFFFFF" w:themeFill="background1"/>
        <w:tabs>
          <w:tab w:val="left" w:pos="142"/>
          <w:tab w:val="left" w:pos="1511"/>
        </w:tabs>
        <w:spacing w:line="240" w:lineRule="auto"/>
        <w:jc w:val="both"/>
        <w:outlineLvl w:val="0"/>
        <w:rPr>
          <w:rFonts w:cs="Arial"/>
          <w:b/>
          <w:bCs/>
          <w:szCs w:val="20"/>
        </w:rPr>
      </w:pPr>
      <w:r w:rsidRPr="006431C4">
        <w:rPr>
          <w:rFonts w:cs="Arial"/>
          <w:b/>
          <w:bCs/>
          <w:szCs w:val="20"/>
        </w:rPr>
        <w:t>1. WSTĘP</w:t>
      </w:r>
      <w:r w:rsidRPr="006431C4">
        <w:rPr>
          <w:rFonts w:cs="Arial"/>
          <w:b/>
          <w:bCs/>
          <w:szCs w:val="20"/>
        </w:rPr>
        <w:tab/>
      </w:r>
    </w:p>
    <w:p w14:paraId="03FA8778" w14:textId="77777777" w:rsidR="006C142C" w:rsidRPr="006431C4" w:rsidRDefault="006C142C" w:rsidP="00D232E1">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1.1. Przedmiot SST</w:t>
      </w:r>
    </w:p>
    <w:p w14:paraId="3D2BAB16" w14:textId="77777777" w:rsidR="006C142C" w:rsidRPr="006431C4" w:rsidRDefault="006C142C" w:rsidP="00D232E1">
      <w:p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ab/>
        <w:t>Przedmiotem niniejszej szczegółowej specyfikacji technicznej są wymagania dotyczące wykonania i odbioru robót związanych z wykonaniem warstwy wiążącej i wyrównawczej z betonu asfaltowego.</w:t>
      </w:r>
    </w:p>
    <w:p w14:paraId="4F4F3013" w14:textId="77777777" w:rsidR="006C142C" w:rsidRPr="006431C4" w:rsidRDefault="006C142C" w:rsidP="00D232E1">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1.2. Zakres stosowania SST</w:t>
      </w:r>
    </w:p>
    <w:p w14:paraId="2BF434E0" w14:textId="77777777" w:rsidR="006C142C" w:rsidRPr="006431C4" w:rsidRDefault="006C142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p w14:paraId="529D4566" w14:textId="120970C9" w:rsidR="006C142C" w:rsidRPr="006431C4" w:rsidRDefault="008D66D8" w:rsidP="00D232E1">
      <w:pPr>
        <w:shd w:val="clear" w:color="auto" w:fill="FFFFFF" w:themeFill="background1"/>
        <w:tabs>
          <w:tab w:val="left" w:pos="142"/>
        </w:tabs>
        <w:spacing w:line="240" w:lineRule="auto"/>
        <w:jc w:val="both"/>
        <w:rPr>
          <w:rFonts w:cs="Arial"/>
          <w:szCs w:val="20"/>
        </w:rPr>
      </w:pPr>
      <w:sdt>
        <w:sdtPr>
          <w:rPr>
            <w:rFonts w:cs="Arial"/>
            <w:i/>
            <w:szCs w:val="20"/>
          </w:rPr>
          <w:alias w:val="Temat"/>
          <w:tag w:val=""/>
          <w:id w:val="884067912"/>
          <w:placeholder>
            <w:docPart w:val="6371F167CDA84610BEE71BBDB593C041"/>
          </w:placeholder>
          <w:dataBinding w:prefixMappings="xmlns:ns0='http://purl.org/dc/elements/1.1/' xmlns:ns1='http://schemas.openxmlformats.org/package/2006/metadata/core-properties' " w:xpath="/ns1:coreProperties[1]/ns0:subject[1]" w:storeItemID="{6C3C8BC8-F283-45AE-878A-BAB7291924A1}"/>
          <w:text/>
        </w:sdtPr>
        <w:sdtEndPr/>
        <w:sdtContent>
          <w:r w:rsidR="00484E05">
            <w:rPr>
              <w:rFonts w:cs="Arial"/>
              <w:i/>
              <w:szCs w:val="20"/>
            </w:rPr>
            <w:t>„Przebudowa drogi wojewódzkiej nr 957 w miejscowości Jabłonka odc. referencyjny 100 w km 9+073.78 - 9+279.58 (budowa chodnika) "</w:t>
          </w:r>
        </w:sdtContent>
      </w:sdt>
    </w:p>
    <w:p w14:paraId="767C3397" w14:textId="77777777" w:rsidR="006C142C" w:rsidRPr="006431C4" w:rsidRDefault="006C142C" w:rsidP="00D232E1">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1.3. Zakres robót objętych SST</w:t>
      </w:r>
    </w:p>
    <w:p w14:paraId="15D42A62" w14:textId="77777777" w:rsidR="00284CBE" w:rsidRPr="006431C4" w:rsidRDefault="006C142C" w:rsidP="00284CBE">
      <w:pPr>
        <w:shd w:val="clear" w:color="auto" w:fill="FFFFFF" w:themeFill="background1"/>
        <w:tabs>
          <w:tab w:val="left" w:pos="142"/>
        </w:tabs>
        <w:spacing w:line="240" w:lineRule="auto"/>
        <w:jc w:val="both"/>
        <w:rPr>
          <w:rFonts w:cs="Arial"/>
          <w:szCs w:val="20"/>
        </w:rPr>
      </w:pPr>
      <w:r w:rsidRPr="006431C4">
        <w:rPr>
          <w:rFonts w:cs="Arial"/>
          <w:szCs w:val="20"/>
        </w:rPr>
        <w:tab/>
        <w:t>Ustalenia zawarte w niniejszej sz</w:t>
      </w:r>
      <w:r w:rsidR="00284CBE" w:rsidRPr="006431C4">
        <w:rPr>
          <w:rFonts w:cs="Arial"/>
          <w:szCs w:val="20"/>
        </w:rPr>
        <w:t>czegółowej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14:paraId="076AB54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Warstwę wiążącą i wyrównawczą z betonu asfaltowego można wykonywać dla dróg kategorii ruchu od KR1 do KR7 (określenie kategorii ruchu podano w punkcie 1.4.8). Stosowane mieszanki  betonu asfaltowego o wymiarze D (patrz pkt 1.4.5.) podano w tablicy 1.</w:t>
      </w:r>
    </w:p>
    <w:p w14:paraId="23B8A60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284CBE" w:rsidRPr="006431C4" w14:paraId="6A31EC4F" w14:textId="77777777" w:rsidTr="00284CBE">
        <w:trPr>
          <w:trHeight w:val="710"/>
        </w:trPr>
        <w:tc>
          <w:tcPr>
            <w:tcW w:w="1276" w:type="dxa"/>
            <w:vAlign w:val="center"/>
          </w:tcPr>
          <w:p w14:paraId="7DC545F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Kategoria</w:t>
            </w:r>
          </w:p>
          <w:p w14:paraId="1419C0C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ruchu</w:t>
            </w:r>
          </w:p>
        </w:tc>
        <w:tc>
          <w:tcPr>
            <w:tcW w:w="6132" w:type="dxa"/>
            <w:vAlign w:val="center"/>
          </w:tcPr>
          <w:p w14:paraId="3B05D7B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Mieszanki  o wymiarze D</w:t>
            </w:r>
            <w:r w:rsidRPr="006431C4">
              <w:rPr>
                <w:rFonts w:cs="Arial"/>
                <w:szCs w:val="20"/>
                <w:vertAlign w:val="superscript"/>
              </w:rPr>
              <w:t>1)</w:t>
            </w:r>
            <w:r w:rsidRPr="006431C4">
              <w:rPr>
                <w:rFonts w:cs="Arial"/>
                <w:szCs w:val="20"/>
              </w:rPr>
              <w:t>,  mm</w:t>
            </w:r>
          </w:p>
        </w:tc>
      </w:tr>
      <w:tr w:rsidR="00284CBE" w:rsidRPr="006431C4" w14:paraId="702E3594" w14:textId="77777777" w:rsidTr="00284CBE">
        <w:tc>
          <w:tcPr>
            <w:tcW w:w="1276" w:type="dxa"/>
          </w:tcPr>
          <w:p w14:paraId="1843889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 1-2</w:t>
            </w:r>
          </w:p>
          <w:p w14:paraId="71DACB6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 3-4</w:t>
            </w:r>
          </w:p>
          <w:p w14:paraId="71BB5A5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 5-7</w:t>
            </w:r>
          </w:p>
        </w:tc>
        <w:tc>
          <w:tcPr>
            <w:tcW w:w="6132" w:type="dxa"/>
          </w:tcPr>
          <w:p w14:paraId="3B85563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AC11W , AC16W</w:t>
            </w:r>
          </w:p>
          <w:p w14:paraId="0548F55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AC16W, AC22W</w:t>
            </w:r>
          </w:p>
          <w:p w14:paraId="5AF7D18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AC16W, AC22W</w:t>
            </w:r>
          </w:p>
        </w:tc>
      </w:tr>
    </w:tbl>
    <w:p w14:paraId="37CA738A" w14:textId="77777777" w:rsidR="00284CBE" w:rsidRPr="006431C4" w:rsidRDefault="00284CBE" w:rsidP="00284CBE">
      <w:pPr>
        <w:tabs>
          <w:tab w:val="left" w:pos="142"/>
        </w:tabs>
        <w:overflowPunct w:val="0"/>
        <w:autoSpaceDE w:val="0"/>
        <w:autoSpaceDN w:val="0"/>
        <w:adjustRightInd w:val="0"/>
        <w:spacing w:line="240" w:lineRule="auto"/>
        <w:ind w:left="142" w:hanging="142"/>
        <w:jc w:val="both"/>
        <w:textAlignment w:val="baseline"/>
        <w:rPr>
          <w:rFonts w:cs="Arial"/>
          <w:szCs w:val="20"/>
        </w:rPr>
      </w:pPr>
      <w:r w:rsidRPr="006431C4">
        <w:rPr>
          <w:rFonts w:cs="Arial"/>
          <w:szCs w:val="20"/>
          <w:vertAlign w:val="superscript"/>
        </w:rPr>
        <w:t>1)</w:t>
      </w:r>
      <w:r w:rsidRPr="006431C4">
        <w:rPr>
          <w:rFonts w:cs="Arial"/>
          <w:szCs w:val="20"/>
          <w:vertAlign w:val="superscript"/>
        </w:rPr>
        <w:tab/>
      </w:r>
      <w:r w:rsidRPr="006431C4">
        <w:rPr>
          <w:rFonts w:cs="Arial"/>
          <w:szCs w:val="20"/>
        </w:rPr>
        <w:t>Podział ze względu na wymiar największego kruszywa w mieszance.</w:t>
      </w:r>
    </w:p>
    <w:p w14:paraId="6CBF49E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lastRenderedPageBreak/>
        <w:t>Uwaga:</w:t>
      </w:r>
      <w:r w:rsidRPr="006431C4">
        <w:rPr>
          <w:rFonts w:cs="Arial"/>
          <w:szCs w:val="20"/>
        </w:rPr>
        <w:t xml:space="preserve"> niniejsza SST nie obejmuje wykonania warstw nawierzchni z betonu asfaltowego o wysokim module sztywności.  </w:t>
      </w:r>
    </w:p>
    <w:p w14:paraId="018200ED"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1.4. Określenia podstawowe</w:t>
      </w:r>
    </w:p>
    <w:p w14:paraId="736A42F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 </w:t>
      </w:r>
      <w:r w:rsidRPr="006431C4">
        <w:rPr>
          <w:rFonts w:cs="Arial"/>
          <w:szCs w:val="20"/>
        </w:rPr>
        <w:t>Nawierzchnia – konstrukcja składająca się z jednej lub kilku warstw służących do przejmowania i rozkładania obciążeń od ruchu pojazdów na podłoże.</w:t>
      </w:r>
    </w:p>
    <w:p w14:paraId="4E97C06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1.4.2. </w:t>
      </w:r>
      <w:r w:rsidRPr="006431C4">
        <w:rPr>
          <w:rFonts w:cs="Arial"/>
          <w:szCs w:val="20"/>
        </w:rPr>
        <w:t>Warstwa wiążąca – warstwa nawierzchni między warstwą ścieralną a podbudową.</w:t>
      </w:r>
    </w:p>
    <w:p w14:paraId="2EBDA13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1.4.3. </w:t>
      </w:r>
      <w:r w:rsidRPr="006431C4">
        <w:rPr>
          <w:rFonts w:cs="Arial"/>
          <w:szCs w:val="20"/>
        </w:rPr>
        <w:t>Warstwa wyrównawcza – warstwa o zmiennej grubości, ułożona na istniejącej warstwie w celu uzyskania odpowiedniego profilu potrzebnego do ułożenia kolejnej warstwy.</w:t>
      </w:r>
    </w:p>
    <w:p w14:paraId="3BDE746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1.4.4. </w:t>
      </w:r>
      <w:r w:rsidRPr="006431C4">
        <w:rPr>
          <w:rFonts w:cs="Arial"/>
          <w:szCs w:val="20"/>
        </w:rPr>
        <w:t>Mieszanka mineralno-asfaltowa (MMA) – mieszanka kruszyw i lepiszcza asfaltowego.</w:t>
      </w:r>
    </w:p>
    <w:p w14:paraId="602365F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1.4.5. </w:t>
      </w:r>
      <w:r w:rsidRPr="006431C4">
        <w:rPr>
          <w:rFonts w:cs="Arial"/>
          <w:szCs w:val="20"/>
        </w:rPr>
        <w:t>Wymiar mieszanki mineralno-asfaltowej – określenie mieszanki mineralno-asfaltowej, ze względu na największy wymiar kruszywa D, np. wymiar 11, 16, 22.</w:t>
      </w:r>
    </w:p>
    <w:p w14:paraId="490B551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1.4.6. </w:t>
      </w:r>
      <w:r w:rsidRPr="006431C4">
        <w:rPr>
          <w:rFonts w:cs="Arial"/>
          <w:szCs w:val="20"/>
        </w:rPr>
        <w:t>Beton asfaltowy – mieszanka mineralno-asfaltowa, w której kruszywo o uziarnieniu ciągłym lub nieciągłym tworzy strukturę wzajemnie klinującą się.</w:t>
      </w:r>
    </w:p>
    <w:p w14:paraId="52CC8BE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1.4.7. </w:t>
      </w:r>
      <w:r w:rsidRPr="006431C4">
        <w:rPr>
          <w:rFonts w:cs="Arial"/>
          <w:szCs w:val="20"/>
        </w:rPr>
        <w:t>Uziarnienie – skład ziarnowy kruszywa, wyrażony w procentach masy ziaren przechodzących przez określony zestaw sit.</w:t>
      </w:r>
    </w:p>
    <w:p w14:paraId="0C20055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1.4.8. </w:t>
      </w:r>
      <w:r w:rsidRPr="006431C4">
        <w:rPr>
          <w:rFonts w:cs="Arial"/>
          <w:szCs w:val="20"/>
        </w:rPr>
        <w:t>Kategoria ruchu – obciążenie drogi ruchem samochodowym, wyrażone w osiach obliczeniowych (100 kN) wg „Katalogu typowych konstrukcji nawierzchni podatnych i półsztywnych” GDDKiA [84].</w:t>
      </w:r>
    </w:p>
    <w:p w14:paraId="437AC8E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1.4.9. </w:t>
      </w:r>
      <w:r w:rsidRPr="006431C4">
        <w:rPr>
          <w:rFonts w:cs="Arial"/>
          <w:szCs w:val="20"/>
        </w:rPr>
        <w:t>Wymiar kruszywa – wielkość ziaren kruszywa, określona przez dolny (d) i górny (D) wymiar sita.</w:t>
      </w:r>
    </w:p>
    <w:p w14:paraId="587B2DD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1.4.10. </w:t>
      </w:r>
      <w:r w:rsidRPr="006431C4">
        <w:rPr>
          <w:rFonts w:cs="Arial"/>
          <w:szCs w:val="20"/>
        </w:rPr>
        <w:t xml:space="preserve">Kruszywo grube – kruszywo z ziaren o wymiarze: D ≤ </w:t>
      </w:r>
      <w:smartTag w:uri="urn:schemas-microsoft-com:office:smarttags" w:element="metricconverter">
        <w:smartTagPr>
          <w:attr w:name="ProductID" w:val="45 mm"/>
        </w:smartTagPr>
        <w:r w:rsidRPr="006431C4">
          <w:rPr>
            <w:rFonts w:cs="Arial"/>
            <w:szCs w:val="20"/>
          </w:rPr>
          <w:t>45 mm</w:t>
        </w:r>
      </w:smartTag>
      <w:r w:rsidRPr="006431C4">
        <w:rPr>
          <w:rFonts w:cs="Arial"/>
          <w:szCs w:val="20"/>
        </w:rPr>
        <w:t xml:space="preserve"> oraz d &gt; </w:t>
      </w:r>
      <w:smartTag w:uri="urn:schemas-microsoft-com:office:smarttags" w:element="metricconverter">
        <w:smartTagPr>
          <w:attr w:name="ProductID" w:val="2 mm"/>
        </w:smartTagPr>
        <w:r w:rsidRPr="006431C4">
          <w:rPr>
            <w:rFonts w:cs="Arial"/>
            <w:szCs w:val="20"/>
          </w:rPr>
          <w:t>2 mm</w:t>
        </w:r>
      </w:smartTag>
      <w:r w:rsidRPr="006431C4">
        <w:rPr>
          <w:rFonts w:cs="Arial"/>
          <w:szCs w:val="20"/>
        </w:rPr>
        <w:t>.</w:t>
      </w:r>
    </w:p>
    <w:p w14:paraId="089BB4E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1.4.11. </w:t>
      </w:r>
      <w:r w:rsidRPr="006431C4">
        <w:rPr>
          <w:rFonts w:cs="Arial"/>
          <w:szCs w:val="20"/>
        </w:rPr>
        <w:t xml:space="preserve">Kruszywo drobne – kruszywo z ziaren o wymiarze: D ≤ </w:t>
      </w:r>
      <w:smartTag w:uri="urn:schemas-microsoft-com:office:smarttags" w:element="metricconverter">
        <w:smartTagPr>
          <w:attr w:name="ProductID" w:val="2 mm"/>
        </w:smartTagPr>
        <w:r w:rsidRPr="006431C4">
          <w:rPr>
            <w:rFonts w:cs="Arial"/>
            <w:szCs w:val="20"/>
          </w:rPr>
          <w:t>2 mm</w:t>
        </w:r>
      </w:smartTag>
      <w:r w:rsidRPr="006431C4">
        <w:rPr>
          <w:rFonts w:cs="Arial"/>
          <w:szCs w:val="20"/>
        </w:rPr>
        <w:t xml:space="preserve">, którego większa część pozostaje na sicie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w:t>
      </w:r>
    </w:p>
    <w:p w14:paraId="5878DE0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1.4.12. </w:t>
      </w:r>
      <w:r w:rsidRPr="006431C4">
        <w:rPr>
          <w:rFonts w:cs="Arial"/>
          <w:szCs w:val="20"/>
        </w:rPr>
        <w:t xml:space="preserve">Pył – kruszywo z ziaren przechodzących przez sito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w:t>
      </w:r>
    </w:p>
    <w:p w14:paraId="2FEAD55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1.4.13. </w:t>
      </w:r>
      <w:r w:rsidRPr="006431C4">
        <w:rPr>
          <w:rFonts w:cs="Arial"/>
          <w:szCs w:val="20"/>
        </w:rPr>
        <w:t xml:space="preserve">Wypełniacz – kruszywo, którego większa część przechodzi przez sito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 (Wypełniacz mieszany – kruszywo, które składa się z wypełniacza pochodzenia mineralnego i wodorotlenku wapnia. Wypełniacz dodany – wypełniacz pochodzenia mineralnego, wyprodukowany oddzielnie).</w:t>
      </w:r>
    </w:p>
    <w:p w14:paraId="5F081F4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1.4.14.</w:t>
      </w:r>
      <w:r w:rsidRPr="006431C4">
        <w:rPr>
          <w:rFonts w:cs="Arial"/>
          <w:szCs w:val="20"/>
        </w:rPr>
        <w:t xml:space="preserve"> Granulat asfaltowy – jest to przetworzony destrukt asfaltowy o udokumentowanej jakości jako materiał składowy w produkcji mieszanek mineralno-asfaltowych w technologii na gorąco.</w:t>
      </w:r>
    </w:p>
    <w:p w14:paraId="55A6015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1.4.15. </w:t>
      </w:r>
      <w:r w:rsidRPr="006431C4">
        <w:rPr>
          <w:rFonts w:cs="Arial"/>
          <w:szCs w:val="20"/>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5C8DAF02"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b/>
          <w:szCs w:val="20"/>
        </w:rPr>
        <w:t xml:space="preserve">1.4.16. </w:t>
      </w:r>
      <w:r w:rsidRPr="006431C4">
        <w:rPr>
          <w:rFonts w:cs="Arial"/>
          <w:szCs w:val="20"/>
        </w:rPr>
        <w:t>Kationowa emulsja asfaltowa – emulsja, w której emulgator nadaje dodatnie ładunki cząstkom zdyspergowanego asfaltu.</w:t>
      </w:r>
    </w:p>
    <w:p w14:paraId="427FC21C"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b/>
          <w:bCs/>
          <w:szCs w:val="20"/>
        </w:rPr>
        <w:t>1.4.17.</w:t>
      </w:r>
      <w:r w:rsidRPr="006431C4">
        <w:rPr>
          <w:rFonts w:cs="Arial"/>
          <w:bCs/>
          <w:szCs w:val="20"/>
        </w:rPr>
        <w:t xml:space="preserve">Połączenia technologiczne </w:t>
      </w:r>
      <w:r w:rsidRPr="006431C4">
        <w:rPr>
          <w:rFonts w:cs="Arial"/>
          <w:b/>
          <w:bCs/>
          <w:szCs w:val="20"/>
        </w:rPr>
        <w:t xml:space="preserve">– </w:t>
      </w:r>
      <w:r w:rsidRPr="006431C4">
        <w:rPr>
          <w:rFonts w:cs="Arial"/>
          <w:szCs w:val="20"/>
        </w:rPr>
        <w:t>połączenia rożnych warstw ze sobą lub tych samych</w:t>
      </w:r>
    </w:p>
    <w:p w14:paraId="3A46729B"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szCs w:val="20"/>
        </w:rPr>
        <w:t>warstw wykonywanych w rożnym czasie nie będących połączeniem międzywarstwowym</w:t>
      </w:r>
    </w:p>
    <w:p w14:paraId="3BA77442"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b/>
          <w:bCs/>
          <w:szCs w:val="20"/>
        </w:rPr>
        <w:t>1.4.18.</w:t>
      </w:r>
      <w:r w:rsidRPr="006431C4">
        <w:rPr>
          <w:rFonts w:cs="Arial"/>
          <w:bCs/>
          <w:szCs w:val="20"/>
        </w:rPr>
        <w:t>Złącza podłużne i poprzeczne</w:t>
      </w:r>
      <w:r w:rsidRPr="006431C4">
        <w:rPr>
          <w:rFonts w:cs="Arial"/>
          <w:b/>
          <w:bCs/>
          <w:szCs w:val="20"/>
        </w:rPr>
        <w:t xml:space="preserve"> </w:t>
      </w:r>
      <w:r w:rsidRPr="006431C4">
        <w:rPr>
          <w:rFonts w:cs="Arial"/>
          <w:szCs w:val="20"/>
        </w:rPr>
        <w:t>– połączenia tego samego materiału wbudowywanego</w:t>
      </w:r>
    </w:p>
    <w:p w14:paraId="2223DA8D"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szCs w:val="20"/>
        </w:rPr>
        <w:t>w rożnym czasie</w:t>
      </w:r>
    </w:p>
    <w:p w14:paraId="54840D24" w14:textId="77777777" w:rsidR="00284CBE" w:rsidRPr="006431C4" w:rsidRDefault="00284CBE" w:rsidP="00284CBE">
      <w:pPr>
        <w:autoSpaceDE w:val="0"/>
        <w:autoSpaceDN w:val="0"/>
        <w:adjustRightInd w:val="0"/>
        <w:spacing w:line="240" w:lineRule="auto"/>
        <w:jc w:val="both"/>
        <w:rPr>
          <w:rFonts w:cs="Arial"/>
          <w:b/>
          <w:szCs w:val="20"/>
        </w:rPr>
      </w:pPr>
      <w:r w:rsidRPr="006431C4">
        <w:rPr>
          <w:rFonts w:cs="Arial"/>
          <w:b/>
          <w:bCs/>
          <w:szCs w:val="20"/>
        </w:rPr>
        <w:t>1.4.19.</w:t>
      </w:r>
      <w:r w:rsidRPr="006431C4">
        <w:rPr>
          <w:rFonts w:cs="Arial"/>
          <w:bCs/>
          <w:szCs w:val="20"/>
        </w:rPr>
        <w:t xml:space="preserve">Spoiny </w:t>
      </w:r>
      <w:r w:rsidRPr="006431C4">
        <w:rPr>
          <w:rFonts w:cs="Arial"/>
          <w:szCs w:val="20"/>
        </w:rPr>
        <w:t>– połączenia rożnych materiałów, np. asfaltu lanego i betonu asfaltowego oraz warstwy asfaltowej z urządzeniami obcymi w nawierzchni lub ją ograniczającymi</w:t>
      </w:r>
    </w:p>
    <w:p w14:paraId="68F9079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1.4.20. </w:t>
      </w:r>
      <w:r w:rsidRPr="006431C4">
        <w:rPr>
          <w:rFonts w:cs="Arial"/>
          <w:szCs w:val="20"/>
        </w:rPr>
        <w:t>Pozostałe określenia podstawowe są zgodne z obowiązującymi, odpowiednimi polskimi normami i z definicjami podanymi w SST D-M-00.00.00 „Wymagania ogólne” pkt 1.4.</w:t>
      </w:r>
    </w:p>
    <w:p w14:paraId="34A4890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1.4.18. </w:t>
      </w:r>
      <w:r w:rsidRPr="006431C4">
        <w:rPr>
          <w:rFonts w:cs="Arial"/>
          <w:szCs w:val="20"/>
        </w:rPr>
        <w:t>Symbole i skróty dodatkowe</w:t>
      </w:r>
    </w:p>
    <w:tbl>
      <w:tblPr>
        <w:tblW w:w="0" w:type="auto"/>
        <w:tblLook w:val="04A0" w:firstRow="1" w:lastRow="0" w:firstColumn="1" w:lastColumn="0" w:noHBand="0" w:noVBand="1"/>
      </w:tblPr>
      <w:tblGrid>
        <w:gridCol w:w="817"/>
        <w:gridCol w:w="8186"/>
      </w:tblGrid>
      <w:tr w:rsidR="00284CBE" w:rsidRPr="006431C4" w14:paraId="638616AC" w14:textId="77777777" w:rsidTr="00284CBE">
        <w:tc>
          <w:tcPr>
            <w:tcW w:w="817" w:type="dxa"/>
          </w:tcPr>
          <w:p w14:paraId="2729268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AC_W</w:t>
            </w:r>
          </w:p>
        </w:tc>
        <w:tc>
          <w:tcPr>
            <w:tcW w:w="8186" w:type="dxa"/>
          </w:tcPr>
          <w:p w14:paraId="70B82591" w14:textId="77777777" w:rsidR="00284CBE" w:rsidRPr="006431C4" w:rsidRDefault="00284CBE" w:rsidP="00284CBE">
            <w:pPr>
              <w:overflowPunct w:val="0"/>
              <w:autoSpaceDE w:val="0"/>
              <w:autoSpaceDN w:val="0"/>
              <w:adjustRightInd w:val="0"/>
              <w:spacing w:line="240" w:lineRule="auto"/>
              <w:ind w:left="176" w:hanging="142"/>
              <w:jc w:val="both"/>
              <w:textAlignment w:val="baseline"/>
              <w:rPr>
                <w:rFonts w:cs="Arial"/>
                <w:szCs w:val="20"/>
              </w:rPr>
            </w:pPr>
            <w:r w:rsidRPr="006431C4">
              <w:rPr>
                <w:rFonts w:cs="Arial"/>
                <w:szCs w:val="20"/>
              </w:rPr>
              <w:t>- beton asfaltowy do warstwy wiążącej i wyrównawczej,</w:t>
            </w:r>
          </w:p>
        </w:tc>
      </w:tr>
      <w:tr w:rsidR="00284CBE" w:rsidRPr="00747F93" w14:paraId="2B2A359D" w14:textId="77777777" w:rsidTr="00284CBE">
        <w:tc>
          <w:tcPr>
            <w:tcW w:w="817" w:type="dxa"/>
          </w:tcPr>
          <w:p w14:paraId="2A20AD0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PMB</w:t>
            </w:r>
          </w:p>
        </w:tc>
        <w:tc>
          <w:tcPr>
            <w:tcW w:w="8186" w:type="dxa"/>
          </w:tcPr>
          <w:p w14:paraId="429A0E7A" w14:textId="77777777" w:rsidR="00284CBE" w:rsidRPr="006431C4" w:rsidRDefault="00284CBE" w:rsidP="00284CBE">
            <w:pPr>
              <w:tabs>
                <w:tab w:val="left" w:pos="567"/>
                <w:tab w:val="left" w:pos="709"/>
              </w:tabs>
              <w:overflowPunct w:val="0"/>
              <w:autoSpaceDE w:val="0"/>
              <w:autoSpaceDN w:val="0"/>
              <w:adjustRightInd w:val="0"/>
              <w:spacing w:line="240" w:lineRule="auto"/>
              <w:jc w:val="both"/>
              <w:textAlignment w:val="baseline"/>
              <w:rPr>
                <w:rFonts w:cs="Arial"/>
                <w:szCs w:val="20"/>
                <w:lang w:val="en-US"/>
              </w:rPr>
            </w:pPr>
            <w:r w:rsidRPr="006431C4">
              <w:rPr>
                <w:rFonts w:cs="Arial"/>
                <w:szCs w:val="20"/>
                <w:lang w:val="en-US"/>
              </w:rPr>
              <w:t>- polimeroasfalt (ang. polymer modified bitumen),</w:t>
            </w:r>
          </w:p>
        </w:tc>
      </w:tr>
      <w:tr w:rsidR="00284CBE" w:rsidRPr="006431C4" w14:paraId="6F88B581" w14:textId="77777777" w:rsidTr="00284CBE">
        <w:tc>
          <w:tcPr>
            <w:tcW w:w="817" w:type="dxa"/>
          </w:tcPr>
          <w:p w14:paraId="0D5792F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MG</w:t>
            </w:r>
          </w:p>
        </w:tc>
        <w:tc>
          <w:tcPr>
            <w:tcW w:w="8186" w:type="dxa"/>
          </w:tcPr>
          <w:p w14:paraId="73ADD9C8" w14:textId="77777777" w:rsidR="00284CBE" w:rsidRPr="006431C4" w:rsidRDefault="00284CBE" w:rsidP="00284CBE">
            <w:pPr>
              <w:tabs>
                <w:tab w:val="left" w:pos="176"/>
              </w:tabs>
              <w:overflowPunct w:val="0"/>
              <w:autoSpaceDE w:val="0"/>
              <w:autoSpaceDN w:val="0"/>
              <w:adjustRightInd w:val="0"/>
              <w:spacing w:line="240" w:lineRule="auto"/>
              <w:ind w:left="176" w:hanging="142"/>
              <w:jc w:val="both"/>
              <w:textAlignment w:val="baseline"/>
              <w:rPr>
                <w:rFonts w:cs="Arial"/>
                <w:szCs w:val="20"/>
              </w:rPr>
            </w:pPr>
            <w:r w:rsidRPr="006431C4">
              <w:rPr>
                <w:rFonts w:cs="Arial"/>
                <w:szCs w:val="20"/>
              </w:rPr>
              <w:t>- asfalt wielorodzajowy (ang. multigrade),</w:t>
            </w:r>
          </w:p>
        </w:tc>
      </w:tr>
      <w:tr w:rsidR="00284CBE" w:rsidRPr="006431C4" w14:paraId="0DAF02A7" w14:textId="77777777" w:rsidTr="00284CBE">
        <w:tc>
          <w:tcPr>
            <w:tcW w:w="817" w:type="dxa"/>
          </w:tcPr>
          <w:p w14:paraId="6AA80CC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D</w:t>
            </w:r>
          </w:p>
        </w:tc>
        <w:tc>
          <w:tcPr>
            <w:tcW w:w="8186" w:type="dxa"/>
          </w:tcPr>
          <w:p w14:paraId="4BFEEBF5" w14:textId="77777777" w:rsidR="00284CBE" w:rsidRPr="006431C4" w:rsidRDefault="00284CBE" w:rsidP="00284CBE">
            <w:pPr>
              <w:tabs>
                <w:tab w:val="left" w:pos="176"/>
              </w:tabs>
              <w:overflowPunct w:val="0"/>
              <w:autoSpaceDE w:val="0"/>
              <w:autoSpaceDN w:val="0"/>
              <w:adjustRightInd w:val="0"/>
              <w:spacing w:line="240" w:lineRule="auto"/>
              <w:ind w:left="176" w:hanging="142"/>
              <w:jc w:val="both"/>
              <w:textAlignment w:val="baseline"/>
              <w:rPr>
                <w:rFonts w:cs="Arial"/>
                <w:szCs w:val="20"/>
              </w:rPr>
            </w:pPr>
            <w:r w:rsidRPr="006431C4">
              <w:rPr>
                <w:rFonts w:cs="Arial"/>
                <w:szCs w:val="20"/>
              </w:rPr>
              <w:t>- górny wymiar sita (przy określaniu wielkości ziaren kruszywa),</w:t>
            </w:r>
          </w:p>
        </w:tc>
      </w:tr>
      <w:tr w:rsidR="00284CBE" w:rsidRPr="006431C4" w14:paraId="50D34DB6" w14:textId="77777777" w:rsidTr="00284CBE">
        <w:tc>
          <w:tcPr>
            <w:tcW w:w="817" w:type="dxa"/>
          </w:tcPr>
          <w:p w14:paraId="0E0582A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D</w:t>
            </w:r>
          </w:p>
        </w:tc>
        <w:tc>
          <w:tcPr>
            <w:tcW w:w="8186" w:type="dxa"/>
          </w:tcPr>
          <w:p w14:paraId="04732807" w14:textId="77777777" w:rsidR="00284CBE" w:rsidRPr="006431C4" w:rsidRDefault="00284CBE" w:rsidP="00284CBE">
            <w:pPr>
              <w:overflowPunct w:val="0"/>
              <w:autoSpaceDE w:val="0"/>
              <w:autoSpaceDN w:val="0"/>
              <w:adjustRightInd w:val="0"/>
              <w:spacing w:line="240" w:lineRule="auto"/>
              <w:ind w:left="176" w:hanging="142"/>
              <w:jc w:val="both"/>
              <w:textAlignment w:val="baseline"/>
              <w:rPr>
                <w:rFonts w:cs="Arial"/>
                <w:szCs w:val="20"/>
              </w:rPr>
            </w:pPr>
            <w:r w:rsidRPr="006431C4">
              <w:rPr>
                <w:rFonts w:cs="Arial"/>
                <w:szCs w:val="20"/>
              </w:rPr>
              <w:t>- dolny wymiar sita (przy określaniu wielkości ziaren kruszywa),</w:t>
            </w:r>
          </w:p>
        </w:tc>
      </w:tr>
      <w:tr w:rsidR="00284CBE" w:rsidRPr="006431C4" w14:paraId="0D585B1D" w14:textId="77777777" w:rsidTr="00284CBE">
        <w:tc>
          <w:tcPr>
            <w:tcW w:w="817" w:type="dxa"/>
          </w:tcPr>
          <w:p w14:paraId="55592FA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C</w:t>
            </w:r>
          </w:p>
        </w:tc>
        <w:tc>
          <w:tcPr>
            <w:tcW w:w="8186" w:type="dxa"/>
          </w:tcPr>
          <w:p w14:paraId="5986397D" w14:textId="77777777" w:rsidR="00284CBE" w:rsidRPr="006431C4" w:rsidRDefault="00284CBE" w:rsidP="00284CBE">
            <w:pPr>
              <w:overflowPunct w:val="0"/>
              <w:autoSpaceDE w:val="0"/>
              <w:autoSpaceDN w:val="0"/>
              <w:adjustRightInd w:val="0"/>
              <w:spacing w:line="240" w:lineRule="auto"/>
              <w:ind w:left="176" w:hanging="142"/>
              <w:jc w:val="both"/>
              <w:textAlignment w:val="baseline"/>
              <w:rPr>
                <w:rFonts w:cs="Arial"/>
                <w:szCs w:val="20"/>
              </w:rPr>
            </w:pPr>
            <w:r w:rsidRPr="006431C4">
              <w:rPr>
                <w:rFonts w:cs="Arial"/>
                <w:szCs w:val="20"/>
              </w:rPr>
              <w:t>- kationowa emulsja asfaltowa,</w:t>
            </w:r>
          </w:p>
        </w:tc>
      </w:tr>
      <w:tr w:rsidR="00284CBE" w:rsidRPr="006431C4" w14:paraId="2BBB2C79" w14:textId="77777777" w:rsidTr="00284CBE">
        <w:tc>
          <w:tcPr>
            <w:tcW w:w="817" w:type="dxa"/>
          </w:tcPr>
          <w:p w14:paraId="11AC0DD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NPD</w:t>
            </w:r>
          </w:p>
        </w:tc>
        <w:tc>
          <w:tcPr>
            <w:tcW w:w="8186" w:type="dxa"/>
          </w:tcPr>
          <w:p w14:paraId="109B2A87" w14:textId="77777777" w:rsidR="00284CBE" w:rsidRPr="006431C4" w:rsidRDefault="00284CBE" w:rsidP="00284CBE">
            <w:pPr>
              <w:overflowPunct w:val="0"/>
              <w:autoSpaceDE w:val="0"/>
              <w:autoSpaceDN w:val="0"/>
              <w:adjustRightInd w:val="0"/>
              <w:spacing w:line="240" w:lineRule="auto"/>
              <w:ind w:left="176" w:hanging="142"/>
              <w:jc w:val="both"/>
              <w:textAlignment w:val="baseline"/>
              <w:rPr>
                <w:rFonts w:cs="Arial"/>
                <w:szCs w:val="20"/>
              </w:rPr>
            </w:pPr>
            <w:r w:rsidRPr="006431C4">
              <w:rPr>
                <w:rFonts w:cs="Arial"/>
                <w:szCs w:val="20"/>
              </w:rPr>
              <w:t>- właściwość użytkowa nie określana (ang. No Performance Determined; producent może jej nie określać),</w:t>
            </w:r>
          </w:p>
        </w:tc>
      </w:tr>
      <w:tr w:rsidR="00284CBE" w:rsidRPr="006431C4" w14:paraId="76432B3F" w14:textId="77777777" w:rsidTr="00284CBE">
        <w:tc>
          <w:tcPr>
            <w:tcW w:w="817" w:type="dxa"/>
          </w:tcPr>
          <w:p w14:paraId="46A5F6F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TBR</w:t>
            </w:r>
          </w:p>
        </w:tc>
        <w:tc>
          <w:tcPr>
            <w:tcW w:w="8186" w:type="dxa"/>
          </w:tcPr>
          <w:p w14:paraId="68008034" w14:textId="77777777" w:rsidR="00284CBE" w:rsidRPr="006431C4" w:rsidRDefault="00284CBE" w:rsidP="00284CBE">
            <w:pPr>
              <w:overflowPunct w:val="0"/>
              <w:autoSpaceDE w:val="0"/>
              <w:autoSpaceDN w:val="0"/>
              <w:adjustRightInd w:val="0"/>
              <w:spacing w:line="240" w:lineRule="auto"/>
              <w:ind w:left="176" w:hanging="142"/>
              <w:jc w:val="both"/>
              <w:textAlignment w:val="baseline"/>
              <w:rPr>
                <w:rFonts w:cs="Arial"/>
                <w:szCs w:val="20"/>
              </w:rPr>
            </w:pPr>
            <w:r w:rsidRPr="006431C4">
              <w:rPr>
                <w:rFonts w:cs="Arial"/>
                <w:szCs w:val="20"/>
              </w:rPr>
              <w:t>- do zadeklarowania (ang. To Be Reported; producent może dostarczyć odpowiednie informacje, jednak nie jest do tego zobowiązany),</w:t>
            </w:r>
          </w:p>
        </w:tc>
      </w:tr>
      <w:tr w:rsidR="00284CBE" w:rsidRPr="006431C4" w14:paraId="43422CC4" w14:textId="77777777" w:rsidTr="00284CBE">
        <w:tc>
          <w:tcPr>
            <w:tcW w:w="817" w:type="dxa"/>
          </w:tcPr>
          <w:p w14:paraId="09DF005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MOP</w:t>
            </w:r>
          </w:p>
        </w:tc>
        <w:tc>
          <w:tcPr>
            <w:tcW w:w="8186" w:type="dxa"/>
          </w:tcPr>
          <w:p w14:paraId="4B1D6F43" w14:textId="77777777" w:rsidR="00284CBE" w:rsidRPr="006431C4" w:rsidRDefault="00284CBE" w:rsidP="00284CBE">
            <w:pPr>
              <w:overflowPunct w:val="0"/>
              <w:autoSpaceDE w:val="0"/>
              <w:autoSpaceDN w:val="0"/>
              <w:adjustRightInd w:val="0"/>
              <w:spacing w:line="240" w:lineRule="auto"/>
              <w:ind w:left="176" w:hanging="142"/>
              <w:jc w:val="both"/>
              <w:textAlignment w:val="baseline"/>
              <w:rPr>
                <w:rFonts w:cs="Arial"/>
                <w:szCs w:val="20"/>
              </w:rPr>
            </w:pPr>
            <w:r w:rsidRPr="006431C4">
              <w:rPr>
                <w:rFonts w:cs="Arial"/>
                <w:szCs w:val="20"/>
              </w:rPr>
              <w:t>- miejsce obsługi podróżnych,</w:t>
            </w:r>
          </w:p>
        </w:tc>
      </w:tr>
      <w:tr w:rsidR="00284CBE" w:rsidRPr="006431C4" w14:paraId="3A0EB351" w14:textId="77777777" w:rsidTr="00284CBE">
        <w:tc>
          <w:tcPr>
            <w:tcW w:w="817" w:type="dxa"/>
          </w:tcPr>
          <w:p w14:paraId="5CBC235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ZKP</w:t>
            </w:r>
          </w:p>
        </w:tc>
        <w:tc>
          <w:tcPr>
            <w:tcW w:w="8186" w:type="dxa"/>
          </w:tcPr>
          <w:p w14:paraId="38A5573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zakładowa kontrola produkcji.</w:t>
            </w:r>
          </w:p>
        </w:tc>
      </w:tr>
    </w:tbl>
    <w:p w14:paraId="6101ECF6"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1.5. Ogólne wymagania dotyczące robót</w:t>
      </w:r>
    </w:p>
    <w:p w14:paraId="21EC7E9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ab/>
      </w:r>
      <w:r w:rsidRPr="006431C4">
        <w:rPr>
          <w:rFonts w:cs="Arial"/>
          <w:szCs w:val="20"/>
        </w:rPr>
        <w:t>Ogólne wymagania dotyczące robót podano w SST D-M-00.00.00 „Wymagania ogólne” [1] pkt 1.5.</w:t>
      </w:r>
    </w:p>
    <w:p w14:paraId="08C17646" w14:textId="77777777" w:rsidR="00284CBE" w:rsidRPr="006431C4" w:rsidRDefault="00284CBE" w:rsidP="00284C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47" w:name="_Toc462133145"/>
      <w:r w:rsidRPr="006431C4">
        <w:rPr>
          <w:rFonts w:cs="Arial"/>
          <w:b/>
          <w:caps/>
          <w:kern w:val="28"/>
          <w:szCs w:val="20"/>
        </w:rPr>
        <w:t>2. Materiały</w:t>
      </w:r>
      <w:bookmarkEnd w:id="947"/>
    </w:p>
    <w:p w14:paraId="00E301DF"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2.1. Ogólne wymagania dotyczące materiałów</w:t>
      </w:r>
    </w:p>
    <w:p w14:paraId="1FCB827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materiałów, ich pozyskiwania i składowania, podano w  SST D-M-00.00.00 „Wymagania ogólne” [1] pkt 2.</w:t>
      </w:r>
    </w:p>
    <w:p w14:paraId="5D58900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299B4E5A"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Wbudowywana mieszanka mineralno-asfaltowa może pochodzić z kilku wytwórni pod warunkiem, że jest produkowana z tych samych materiałów (o ustalonej przydatności ) i w oparciu o takie samo badanie typu.</w:t>
      </w:r>
    </w:p>
    <w:p w14:paraId="4619AC03"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lastRenderedPageBreak/>
        <w:t>2.2. Materiały stosowane do betonu asfaltowego do warstwy wyrównawczej i wiążącej</w:t>
      </w:r>
    </w:p>
    <w:p w14:paraId="61E8B65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Rodzaje stosowanych materiałów do betonu asfaltowego do warstwy wyrównawczej i wiążącej w zależności od kategorii ruchu podano w tablicy 2. </w:t>
      </w:r>
    </w:p>
    <w:p w14:paraId="37A84435" w14:textId="77777777" w:rsidR="00284CBE" w:rsidRPr="006431C4" w:rsidRDefault="00284CBE" w:rsidP="00284CBE">
      <w:pPr>
        <w:overflowPunct w:val="0"/>
        <w:autoSpaceDE w:val="0"/>
        <w:autoSpaceDN w:val="0"/>
        <w:adjustRightInd w:val="0"/>
        <w:spacing w:line="240" w:lineRule="auto"/>
        <w:ind w:left="900" w:hanging="900"/>
        <w:jc w:val="both"/>
        <w:textAlignment w:val="baseline"/>
        <w:rPr>
          <w:rFonts w:cs="Arial"/>
          <w:szCs w:val="20"/>
        </w:rPr>
      </w:pPr>
      <w:r w:rsidRPr="006431C4">
        <w:rPr>
          <w:rFonts w:cs="Arial"/>
          <w:szCs w:val="20"/>
        </w:rPr>
        <w:t>Tablica 2. Materiały  do warstwy wiążącej i wyrównawczej z betonu asfaltowego</w:t>
      </w:r>
    </w:p>
    <w:p w14:paraId="4D4D70DB" w14:textId="77777777" w:rsidR="00284CBE" w:rsidRPr="006431C4" w:rsidRDefault="00284CBE" w:rsidP="00284CBE">
      <w:pPr>
        <w:overflowPunct w:val="0"/>
        <w:autoSpaceDE w:val="0"/>
        <w:autoSpaceDN w:val="0"/>
        <w:adjustRightInd w:val="0"/>
        <w:spacing w:line="240" w:lineRule="auto"/>
        <w:ind w:left="993" w:hanging="993"/>
        <w:jc w:val="both"/>
        <w:textAlignment w:val="baseline"/>
        <w:rPr>
          <w:rFonts w:cs="Arial"/>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49"/>
        <w:gridCol w:w="942"/>
        <w:gridCol w:w="942"/>
        <w:gridCol w:w="942"/>
        <w:gridCol w:w="942"/>
        <w:gridCol w:w="942"/>
        <w:gridCol w:w="942"/>
      </w:tblGrid>
      <w:tr w:rsidR="00284CBE" w:rsidRPr="006431C4" w14:paraId="521FF08B" w14:textId="77777777" w:rsidTr="00284CBE">
        <w:tc>
          <w:tcPr>
            <w:tcW w:w="4849" w:type="dxa"/>
            <w:vMerge w:val="restart"/>
          </w:tcPr>
          <w:p w14:paraId="2EEF65F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Materiał</w:t>
            </w:r>
          </w:p>
        </w:tc>
        <w:tc>
          <w:tcPr>
            <w:tcW w:w="5652" w:type="dxa"/>
            <w:gridSpan w:val="6"/>
          </w:tcPr>
          <w:p w14:paraId="3127777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Kategoria ruchu</w:t>
            </w:r>
          </w:p>
        </w:tc>
      </w:tr>
      <w:tr w:rsidR="00284CBE" w:rsidRPr="006431C4" w14:paraId="71696514" w14:textId="77777777" w:rsidTr="00284CBE">
        <w:tc>
          <w:tcPr>
            <w:tcW w:w="4849" w:type="dxa"/>
            <w:vMerge/>
          </w:tcPr>
          <w:p w14:paraId="2E5BE12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1884" w:type="dxa"/>
            <w:gridSpan w:val="2"/>
          </w:tcPr>
          <w:p w14:paraId="15DA960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KR1 ÷ KR2</w:t>
            </w:r>
          </w:p>
        </w:tc>
        <w:tc>
          <w:tcPr>
            <w:tcW w:w="1884" w:type="dxa"/>
            <w:gridSpan w:val="2"/>
          </w:tcPr>
          <w:p w14:paraId="7DB9543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KR3 ÷ KR4</w:t>
            </w:r>
          </w:p>
        </w:tc>
        <w:tc>
          <w:tcPr>
            <w:tcW w:w="1884" w:type="dxa"/>
            <w:gridSpan w:val="2"/>
          </w:tcPr>
          <w:p w14:paraId="49E1AAF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KR5 ÷ KR7</w:t>
            </w:r>
          </w:p>
        </w:tc>
      </w:tr>
      <w:tr w:rsidR="00284CBE" w:rsidRPr="006431C4" w14:paraId="62A548E8" w14:textId="77777777" w:rsidTr="00284CBE">
        <w:tc>
          <w:tcPr>
            <w:tcW w:w="4849" w:type="dxa"/>
          </w:tcPr>
          <w:p w14:paraId="7357A0CE"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Mieszanka mineralno-asfaltowa o wymiarze D, [mm]</w:t>
            </w:r>
          </w:p>
        </w:tc>
        <w:tc>
          <w:tcPr>
            <w:tcW w:w="942" w:type="dxa"/>
          </w:tcPr>
          <w:p w14:paraId="03C0F87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1D07FFC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11</w:t>
            </w:r>
            <w:r w:rsidRPr="006431C4">
              <w:rPr>
                <w:rFonts w:cs="Arial"/>
                <w:szCs w:val="20"/>
                <w:vertAlign w:val="superscript"/>
              </w:rPr>
              <w:t>a)</w:t>
            </w:r>
          </w:p>
        </w:tc>
        <w:tc>
          <w:tcPr>
            <w:tcW w:w="942" w:type="dxa"/>
          </w:tcPr>
          <w:p w14:paraId="56EBA73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297ADED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942" w:type="dxa"/>
          </w:tcPr>
          <w:p w14:paraId="69C3D39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189940D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942" w:type="dxa"/>
          </w:tcPr>
          <w:p w14:paraId="4A5A458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042A7E2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22</w:t>
            </w:r>
          </w:p>
        </w:tc>
        <w:tc>
          <w:tcPr>
            <w:tcW w:w="942" w:type="dxa"/>
          </w:tcPr>
          <w:p w14:paraId="6D36486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5685688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942" w:type="dxa"/>
          </w:tcPr>
          <w:p w14:paraId="570797F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595D12C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22</w:t>
            </w:r>
          </w:p>
        </w:tc>
      </w:tr>
      <w:tr w:rsidR="00284CBE" w:rsidRPr="006431C4" w14:paraId="2C6F3440" w14:textId="77777777" w:rsidTr="00284CBE">
        <w:tc>
          <w:tcPr>
            <w:tcW w:w="4849" w:type="dxa"/>
          </w:tcPr>
          <w:p w14:paraId="79EAE177"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Granulat asfaltowy o wymiarze U, [mm]</w:t>
            </w:r>
          </w:p>
        </w:tc>
        <w:tc>
          <w:tcPr>
            <w:tcW w:w="942" w:type="dxa"/>
          </w:tcPr>
          <w:p w14:paraId="42D895B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09F4F86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16</w:t>
            </w:r>
            <w:r w:rsidRPr="006431C4">
              <w:rPr>
                <w:rFonts w:cs="Arial"/>
                <w:szCs w:val="20"/>
                <w:vertAlign w:val="superscript"/>
              </w:rPr>
              <w:t>a)</w:t>
            </w:r>
          </w:p>
        </w:tc>
        <w:tc>
          <w:tcPr>
            <w:tcW w:w="942" w:type="dxa"/>
          </w:tcPr>
          <w:p w14:paraId="15E98C1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3BB0029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22,4</w:t>
            </w:r>
          </w:p>
        </w:tc>
        <w:tc>
          <w:tcPr>
            <w:tcW w:w="942" w:type="dxa"/>
          </w:tcPr>
          <w:p w14:paraId="6A5FD8C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7A0B610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22,4</w:t>
            </w:r>
          </w:p>
        </w:tc>
        <w:tc>
          <w:tcPr>
            <w:tcW w:w="942" w:type="dxa"/>
          </w:tcPr>
          <w:p w14:paraId="2195CEC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0B2AEA7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31,5</w:t>
            </w:r>
          </w:p>
        </w:tc>
        <w:tc>
          <w:tcPr>
            <w:tcW w:w="942" w:type="dxa"/>
          </w:tcPr>
          <w:p w14:paraId="0870700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5C859B5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22,4</w:t>
            </w:r>
          </w:p>
        </w:tc>
        <w:tc>
          <w:tcPr>
            <w:tcW w:w="942" w:type="dxa"/>
          </w:tcPr>
          <w:p w14:paraId="0CA6708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68374C1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31,5</w:t>
            </w:r>
          </w:p>
        </w:tc>
      </w:tr>
      <w:tr w:rsidR="00284CBE" w:rsidRPr="006431C4" w14:paraId="7400A962" w14:textId="77777777" w:rsidTr="00284CBE">
        <w:tc>
          <w:tcPr>
            <w:tcW w:w="4849" w:type="dxa"/>
          </w:tcPr>
          <w:p w14:paraId="4134349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Lepiszcze asfaltowe</w:t>
            </w:r>
          </w:p>
        </w:tc>
        <w:tc>
          <w:tcPr>
            <w:tcW w:w="1884" w:type="dxa"/>
            <w:gridSpan w:val="2"/>
          </w:tcPr>
          <w:p w14:paraId="0AD19D2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50/70</w:t>
            </w:r>
          </w:p>
          <w:p w14:paraId="2686D26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MG 50/70-54/64</w:t>
            </w:r>
          </w:p>
        </w:tc>
        <w:tc>
          <w:tcPr>
            <w:tcW w:w="1884" w:type="dxa"/>
            <w:gridSpan w:val="2"/>
          </w:tcPr>
          <w:p w14:paraId="1D41E50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35/50, 50,70</w:t>
            </w:r>
          </w:p>
          <w:p w14:paraId="03FCE95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PMB 25/55-60</w:t>
            </w:r>
          </w:p>
          <w:p w14:paraId="189031E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MG 50/70-54/64</w:t>
            </w:r>
          </w:p>
          <w:p w14:paraId="6ED7447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MG 35/50-57/69</w:t>
            </w:r>
          </w:p>
        </w:tc>
        <w:tc>
          <w:tcPr>
            <w:tcW w:w="1884" w:type="dxa"/>
            <w:gridSpan w:val="2"/>
          </w:tcPr>
          <w:p w14:paraId="536A18A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35/50</w:t>
            </w:r>
          </w:p>
          <w:p w14:paraId="28411BC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PMB 25/55-60</w:t>
            </w:r>
          </w:p>
          <w:p w14:paraId="64D3A25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PMB 25/55-80</w:t>
            </w:r>
          </w:p>
          <w:p w14:paraId="2606F56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MG 35/50-57/69</w:t>
            </w:r>
          </w:p>
        </w:tc>
      </w:tr>
      <w:tr w:rsidR="00284CBE" w:rsidRPr="006431C4" w14:paraId="3F9B7B6C" w14:textId="77777777" w:rsidTr="00284CBE">
        <w:tc>
          <w:tcPr>
            <w:tcW w:w="4849" w:type="dxa"/>
          </w:tcPr>
          <w:p w14:paraId="586F0D4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Kruszywa mineralne</w:t>
            </w:r>
          </w:p>
        </w:tc>
        <w:tc>
          <w:tcPr>
            <w:tcW w:w="5652" w:type="dxa"/>
            <w:gridSpan w:val="6"/>
          </w:tcPr>
          <w:p w14:paraId="375E818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Tabele  8, 9,10,11 wg WT-1 2014 [81] (tablice 6-9 wg SST)</w:t>
            </w:r>
          </w:p>
        </w:tc>
      </w:tr>
      <w:tr w:rsidR="00284CBE" w:rsidRPr="006431C4" w14:paraId="419B5C2E" w14:textId="77777777" w:rsidTr="00284CBE">
        <w:tc>
          <w:tcPr>
            <w:tcW w:w="10501" w:type="dxa"/>
            <w:gridSpan w:val="7"/>
          </w:tcPr>
          <w:p w14:paraId="4ADAA93D" w14:textId="77777777" w:rsidR="00284CBE" w:rsidRPr="006431C4" w:rsidRDefault="00284CBE" w:rsidP="00CF1E7D">
            <w:pPr>
              <w:numPr>
                <w:ilvl w:val="0"/>
                <w:numId w:val="172"/>
              </w:numPr>
              <w:overflowPunct w:val="0"/>
              <w:autoSpaceDE w:val="0"/>
              <w:autoSpaceDN w:val="0"/>
              <w:adjustRightInd w:val="0"/>
              <w:spacing w:line="240" w:lineRule="auto"/>
              <w:ind w:left="459"/>
              <w:jc w:val="both"/>
              <w:textAlignment w:val="baseline"/>
              <w:rPr>
                <w:rFonts w:cs="Arial"/>
                <w:szCs w:val="20"/>
              </w:rPr>
            </w:pPr>
            <w:r w:rsidRPr="006431C4">
              <w:rPr>
                <w:rFonts w:cs="Arial"/>
                <w:szCs w:val="20"/>
              </w:rPr>
              <w:t>Dopuszcza się AC11 do warstwy wyrównawczej dróg KR1 do KR4 przy spełnieniu wymagań tablicy 21</w:t>
            </w:r>
          </w:p>
        </w:tc>
      </w:tr>
    </w:tbl>
    <w:p w14:paraId="002C3472"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2.3. Lepiszcza asfaltowe</w:t>
      </w:r>
    </w:p>
    <w:p w14:paraId="3AE4A3D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Należy stosować asfalty drogowe wg PN-EN 12591 [23],  polimeroasfalty wg PN-EN 14023 [66] [66a] lub asfalty wielorodzajowe wg   PN-EN 13924-2 [65] [65a].</w:t>
      </w:r>
    </w:p>
    <w:p w14:paraId="706DA826" w14:textId="77777777" w:rsidR="00284CBE" w:rsidRPr="006431C4" w:rsidRDefault="00284CBE" w:rsidP="00284CBE">
      <w:pPr>
        <w:overflowPunct w:val="0"/>
        <w:autoSpaceDE w:val="0"/>
        <w:autoSpaceDN w:val="0"/>
        <w:adjustRightInd w:val="0"/>
        <w:spacing w:line="240" w:lineRule="auto"/>
        <w:ind w:firstLine="708"/>
        <w:jc w:val="both"/>
        <w:textAlignment w:val="baseline"/>
        <w:rPr>
          <w:rFonts w:cs="Arial"/>
          <w:szCs w:val="20"/>
        </w:rPr>
      </w:pPr>
      <w:r w:rsidRPr="006431C4">
        <w:rPr>
          <w:rFonts w:cs="Arial"/>
          <w:szCs w:val="20"/>
        </w:rPr>
        <w:t xml:space="preserve"> Oprócz lepiszcz wymienionych w tablicy 2 można stosować inne lepiszcza nienormowe według aprobat technicznych. </w:t>
      </w:r>
    </w:p>
    <w:p w14:paraId="39D8A182" w14:textId="77777777" w:rsidR="00284CBE" w:rsidRPr="006431C4" w:rsidRDefault="00284CBE" w:rsidP="00284CBE">
      <w:pPr>
        <w:overflowPunct w:val="0"/>
        <w:autoSpaceDE w:val="0"/>
        <w:autoSpaceDN w:val="0"/>
        <w:adjustRightInd w:val="0"/>
        <w:spacing w:line="240" w:lineRule="auto"/>
        <w:ind w:firstLine="708"/>
        <w:jc w:val="both"/>
        <w:textAlignment w:val="baseline"/>
        <w:rPr>
          <w:rFonts w:cs="Arial"/>
          <w:szCs w:val="20"/>
        </w:rPr>
      </w:pPr>
      <w:r w:rsidRPr="006431C4">
        <w:rPr>
          <w:rFonts w:cs="Arial"/>
          <w:szCs w:val="20"/>
        </w:rPr>
        <w:t xml:space="preserve">Asfalty drogowe powinny spełniać wymagania podane w tablicy 3. </w:t>
      </w:r>
    </w:p>
    <w:p w14:paraId="46B8BAB0" w14:textId="77777777" w:rsidR="00284CBE" w:rsidRPr="006431C4" w:rsidRDefault="00284CBE" w:rsidP="00284CBE">
      <w:pPr>
        <w:overflowPunct w:val="0"/>
        <w:autoSpaceDE w:val="0"/>
        <w:autoSpaceDN w:val="0"/>
        <w:adjustRightInd w:val="0"/>
        <w:spacing w:line="240" w:lineRule="auto"/>
        <w:ind w:firstLine="708"/>
        <w:jc w:val="both"/>
        <w:textAlignment w:val="baseline"/>
        <w:rPr>
          <w:rFonts w:cs="Arial"/>
          <w:szCs w:val="20"/>
        </w:rPr>
      </w:pPr>
      <w:r w:rsidRPr="006431C4">
        <w:rPr>
          <w:rFonts w:cs="Arial"/>
          <w:szCs w:val="20"/>
        </w:rPr>
        <w:t>Polimeroasfalty  powinny spełniać wymagania podane  w tablicy 4.</w:t>
      </w:r>
    </w:p>
    <w:p w14:paraId="37DED033" w14:textId="77777777" w:rsidR="00284CBE" w:rsidRPr="006431C4" w:rsidRDefault="00284CBE" w:rsidP="00284CBE">
      <w:pPr>
        <w:overflowPunct w:val="0"/>
        <w:autoSpaceDE w:val="0"/>
        <w:autoSpaceDN w:val="0"/>
        <w:adjustRightInd w:val="0"/>
        <w:spacing w:line="240" w:lineRule="auto"/>
        <w:ind w:firstLine="708"/>
        <w:jc w:val="both"/>
        <w:textAlignment w:val="baseline"/>
        <w:rPr>
          <w:rFonts w:cs="Arial"/>
          <w:szCs w:val="20"/>
        </w:rPr>
      </w:pPr>
      <w:r w:rsidRPr="006431C4">
        <w:rPr>
          <w:rFonts w:cs="Arial"/>
          <w:szCs w:val="20"/>
        </w:rPr>
        <w:t>Asfalty wielorodzajowe powinny spełniać wymagania podane w tablicy 5.</w:t>
      </w:r>
    </w:p>
    <w:p w14:paraId="79E5FB5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325"/>
        <w:gridCol w:w="1230"/>
        <w:gridCol w:w="1276"/>
        <w:gridCol w:w="1917"/>
        <w:gridCol w:w="1150"/>
        <w:gridCol w:w="1150"/>
      </w:tblGrid>
      <w:tr w:rsidR="00284CBE" w:rsidRPr="006431C4" w14:paraId="09FA147D" w14:textId="77777777" w:rsidTr="00284CBE">
        <w:tc>
          <w:tcPr>
            <w:tcW w:w="543" w:type="dxa"/>
            <w:vMerge w:val="restart"/>
            <w:vAlign w:val="center"/>
          </w:tcPr>
          <w:p w14:paraId="06E7DEA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4555" w:type="dxa"/>
            <w:gridSpan w:val="2"/>
            <w:vMerge w:val="restart"/>
            <w:vAlign w:val="center"/>
          </w:tcPr>
          <w:p w14:paraId="08562A7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w:t>
            </w:r>
          </w:p>
        </w:tc>
        <w:tc>
          <w:tcPr>
            <w:tcW w:w="1276" w:type="dxa"/>
            <w:vMerge w:val="restart"/>
            <w:vAlign w:val="center"/>
          </w:tcPr>
          <w:p w14:paraId="6CA75FE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Jed-nostka</w:t>
            </w:r>
          </w:p>
        </w:tc>
        <w:tc>
          <w:tcPr>
            <w:tcW w:w="1917" w:type="dxa"/>
            <w:vMerge w:val="restart"/>
            <w:vAlign w:val="center"/>
          </w:tcPr>
          <w:p w14:paraId="6C182BB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w:t>
            </w:r>
          </w:p>
          <w:p w14:paraId="7651E7D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badania</w:t>
            </w:r>
          </w:p>
        </w:tc>
        <w:tc>
          <w:tcPr>
            <w:tcW w:w="2300" w:type="dxa"/>
            <w:gridSpan w:val="2"/>
          </w:tcPr>
          <w:p w14:paraId="3F39082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Rodzaj asfaltu</w:t>
            </w:r>
          </w:p>
        </w:tc>
      </w:tr>
      <w:tr w:rsidR="00284CBE" w:rsidRPr="006431C4" w14:paraId="1358B509" w14:textId="77777777" w:rsidTr="00284CBE">
        <w:tc>
          <w:tcPr>
            <w:tcW w:w="543" w:type="dxa"/>
            <w:vMerge/>
          </w:tcPr>
          <w:p w14:paraId="59F0B6D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4555" w:type="dxa"/>
            <w:gridSpan w:val="2"/>
            <w:vMerge/>
          </w:tcPr>
          <w:p w14:paraId="02A3D94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276" w:type="dxa"/>
            <w:vMerge/>
          </w:tcPr>
          <w:p w14:paraId="62D3844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917" w:type="dxa"/>
            <w:vMerge/>
          </w:tcPr>
          <w:p w14:paraId="6787ACC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150" w:type="dxa"/>
          </w:tcPr>
          <w:p w14:paraId="5AFC5C9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35/50</w:t>
            </w:r>
          </w:p>
        </w:tc>
        <w:tc>
          <w:tcPr>
            <w:tcW w:w="1150" w:type="dxa"/>
          </w:tcPr>
          <w:p w14:paraId="1E78977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50/70</w:t>
            </w:r>
          </w:p>
        </w:tc>
      </w:tr>
      <w:tr w:rsidR="00284CBE" w:rsidRPr="006431C4" w14:paraId="4163A6C1" w14:textId="77777777" w:rsidTr="00284CBE">
        <w:tc>
          <w:tcPr>
            <w:tcW w:w="10591" w:type="dxa"/>
            <w:gridSpan w:val="7"/>
          </w:tcPr>
          <w:p w14:paraId="4D25E23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OBLIGATORYJNE</w:t>
            </w:r>
          </w:p>
        </w:tc>
      </w:tr>
      <w:tr w:rsidR="00284CBE" w:rsidRPr="006431C4" w14:paraId="7BE26059" w14:textId="77777777" w:rsidTr="00284CBE">
        <w:tc>
          <w:tcPr>
            <w:tcW w:w="543" w:type="dxa"/>
          </w:tcPr>
          <w:p w14:paraId="270106F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4555" w:type="dxa"/>
            <w:gridSpan w:val="2"/>
          </w:tcPr>
          <w:p w14:paraId="6D75FFA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Penetracja w </w:t>
            </w:r>
            <w:smartTag w:uri="urn:schemas-microsoft-com:office:smarttags" w:element="metricconverter">
              <w:smartTagPr>
                <w:attr w:name="ProductID" w:val="25ﾰC"/>
              </w:smartTagPr>
              <w:r w:rsidRPr="006431C4">
                <w:rPr>
                  <w:rFonts w:cs="Arial"/>
                  <w:szCs w:val="20"/>
                </w:rPr>
                <w:t>25°C</w:t>
              </w:r>
            </w:smartTag>
          </w:p>
        </w:tc>
        <w:tc>
          <w:tcPr>
            <w:tcW w:w="1276" w:type="dxa"/>
          </w:tcPr>
          <w:p w14:paraId="62DECC5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smartTag w:uri="urn:schemas-microsoft-com:office:smarttags" w:element="metricconverter">
              <w:smartTagPr>
                <w:attr w:name="ProductID" w:val="0,1 mm"/>
              </w:smartTagPr>
              <w:r w:rsidRPr="006431C4">
                <w:rPr>
                  <w:rFonts w:cs="Arial"/>
                  <w:szCs w:val="20"/>
                </w:rPr>
                <w:t>0,1 mm</w:t>
              </w:r>
            </w:smartTag>
          </w:p>
        </w:tc>
        <w:tc>
          <w:tcPr>
            <w:tcW w:w="1917" w:type="dxa"/>
          </w:tcPr>
          <w:p w14:paraId="18530C4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[20]</w:t>
            </w:r>
          </w:p>
        </w:tc>
        <w:tc>
          <w:tcPr>
            <w:tcW w:w="1150" w:type="dxa"/>
          </w:tcPr>
          <w:p w14:paraId="450B3A1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35÷50</w:t>
            </w:r>
          </w:p>
        </w:tc>
        <w:tc>
          <w:tcPr>
            <w:tcW w:w="1150" w:type="dxa"/>
          </w:tcPr>
          <w:p w14:paraId="5ABF671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50÷70</w:t>
            </w:r>
          </w:p>
        </w:tc>
      </w:tr>
      <w:tr w:rsidR="00284CBE" w:rsidRPr="006431C4" w14:paraId="0980039E" w14:textId="77777777" w:rsidTr="00284CBE">
        <w:tc>
          <w:tcPr>
            <w:tcW w:w="543" w:type="dxa"/>
          </w:tcPr>
          <w:p w14:paraId="369740B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4555" w:type="dxa"/>
            <w:gridSpan w:val="2"/>
          </w:tcPr>
          <w:p w14:paraId="639AE5E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w:t>
            </w:r>
          </w:p>
        </w:tc>
        <w:tc>
          <w:tcPr>
            <w:tcW w:w="1276" w:type="dxa"/>
          </w:tcPr>
          <w:p w14:paraId="4873A47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1917" w:type="dxa"/>
          </w:tcPr>
          <w:p w14:paraId="177859B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[21]</w:t>
            </w:r>
          </w:p>
        </w:tc>
        <w:tc>
          <w:tcPr>
            <w:tcW w:w="1150" w:type="dxa"/>
          </w:tcPr>
          <w:p w14:paraId="7F17ADE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50÷58</w:t>
            </w:r>
          </w:p>
        </w:tc>
        <w:tc>
          <w:tcPr>
            <w:tcW w:w="1150" w:type="dxa"/>
          </w:tcPr>
          <w:p w14:paraId="4A78707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46÷54</w:t>
            </w:r>
          </w:p>
        </w:tc>
      </w:tr>
      <w:tr w:rsidR="00284CBE" w:rsidRPr="006431C4" w14:paraId="1784DAA6" w14:textId="77777777" w:rsidTr="00284CBE">
        <w:tc>
          <w:tcPr>
            <w:tcW w:w="543" w:type="dxa"/>
          </w:tcPr>
          <w:p w14:paraId="0F176B3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4555" w:type="dxa"/>
            <w:gridSpan w:val="2"/>
          </w:tcPr>
          <w:p w14:paraId="1078D3E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Temperatura zapłonu, </w:t>
            </w:r>
          </w:p>
          <w:p w14:paraId="0666243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nie mniej niż</w:t>
            </w:r>
          </w:p>
        </w:tc>
        <w:tc>
          <w:tcPr>
            <w:tcW w:w="1276" w:type="dxa"/>
          </w:tcPr>
          <w:p w14:paraId="1788A0B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1917" w:type="dxa"/>
          </w:tcPr>
          <w:p w14:paraId="6F8A1F3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22592 [69]</w:t>
            </w:r>
          </w:p>
        </w:tc>
        <w:tc>
          <w:tcPr>
            <w:tcW w:w="1150" w:type="dxa"/>
          </w:tcPr>
          <w:p w14:paraId="20DC443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240</w:t>
            </w:r>
          </w:p>
        </w:tc>
        <w:tc>
          <w:tcPr>
            <w:tcW w:w="1150" w:type="dxa"/>
          </w:tcPr>
          <w:p w14:paraId="3D30E31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230</w:t>
            </w:r>
          </w:p>
        </w:tc>
      </w:tr>
      <w:tr w:rsidR="00284CBE" w:rsidRPr="006431C4" w14:paraId="213B0B71" w14:textId="77777777" w:rsidTr="00284CBE">
        <w:tc>
          <w:tcPr>
            <w:tcW w:w="543" w:type="dxa"/>
          </w:tcPr>
          <w:p w14:paraId="5EC4DE5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4555" w:type="dxa"/>
            <w:gridSpan w:val="2"/>
          </w:tcPr>
          <w:p w14:paraId="419330E9"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Zawartość składników rozpusz-czalnych, nie mniej niż</w:t>
            </w:r>
          </w:p>
        </w:tc>
        <w:tc>
          <w:tcPr>
            <w:tcW w:w="1276" w:type="dxa"/>
          </w:tcPr>
          <w:p w14:paraId="46C82B0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m/m</w:t>
            </w:r>
          </w:p>
        </w:tc>
        <w:tc>
          <w:tcPr>
            <w:tcW w:w="1917" w:type="dxa"/>
          </w:tcPr>
          <w:p w14:paraId="08281B0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12592 [24]</w:t>
            </w:r>
          </w:p>
        </w:tc>
        <w:tc>
          <w:tcPr>
            <w:tcW w:w="1150" w:type="dxa"/>
          </w:tcPr>
          <w:p w14:paraId="05A1300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99</w:t>
            </w:r>
          </w:p>
        </w:tc>
        <w:tc>
          <w:tcPr>
            <w:tcW w:w="1150" w:type="dxa"/>
          </w:tcPr>
          <w:p w14:paraId="13BBA87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99</w:t>
            </w:r>
          </w:p>
        </w:tc>
      </w:tr>
      <w:tr w:rsidR="00284CBE" w:rsidRPr="006431C4" w14:paraId="05D6E033" w14:textId="77777777" w:rsidTr="00284CBE">
        <w:tc>
          <w:tcPr>
            <w:tcW w:w="543" w:type="dxa"/>
          </w:tcPr>
          <w:p w14:paraId="7132AD9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4555" w:type="dxa"/>
            <w:gridSpan w:val="2"/>
          </w:tcPr>
          <w:p w14:paraId="403A54E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Zmiana masy po starzeniu (ubytek lub przyrost), </w:t>
            </w:r>
          </w:p>
          <w:p w14:paraId="18D7A35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nie więcej niż</w:t>
            </w:r>
          </w:p>
        </w:tc>
        <w:tc>
          <w:tcPr>
            <w:tcW w:w="1276" w:type="dxa"/>
          </w:tcPr>
          <w:p w14:paraId="23A22BC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1F755B3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m/m</w:t>
            </w:r>
          </w:p>
        </w:tc>
        <w:tc>
          <w:tcPr>
            <w:tcW w:w="1917" w:type="dxa"/>
          </w:tcPr>
          <w:p w14:paraId="7439071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 [29]</w:t>
            </w:r>
          </w:p>
        </w:tc>
        <w:tc>
          <w:tcPr>
            <w:tcW w:w="1150" w:type="dxa"/>
          </w:tcPr>
          <w:p w14:paraId="4AD32EA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22B21A1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0,5</w:t>
            </w:r>
          </w:p>
        </w:tc>
        <w:tc>
          <w:tcPr>
            <w:tcW w:w="1150" w:type="dxa"/>
          </w:tcPr>
          <w:p w14:paraId="259F67C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6F5E0AF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0,5</w:t>
            </w:r>
          </w:p>
        </w:tc>
      </w:tr>
      <w:tr w:rsidR="00284CBE" w:rsidRPr="006431C4" w14:paraId="58C0D2D0" w14:textId="77777777" w:rsidTr="00284CBE">
        <w:tc>
          <w:tcPr>
            <w:tcW w:w="543" w:type="dxa"/>
          </w:tcPr>
          <w:p w14:paraId="1F63C8C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4555" w:type="dxa"/>
            <w:gridSpan w:val="2"/>
          </w:tcPr>
          <w:p w14:paraId="521AB31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Pozostała penetracja po starzeniu, nie mniej niż</w:t>
            </w:r>
          </w:p>
        </w:tc>
        <w:tc>
          <w:tcPr>
            <w:tcW w:w="1276" w:type="dxa"/>
          </w:tcPr>
          <w:p w14:paraId="65546A2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917" w:type="dxa"/>
          </w:tcPr>
          <w:p w14:paraId="7279C90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[20]</w:t>
            </w:r>
          </w:p>
        </w:tc>
        <w:tc>
          <w:tcPr>
            <w:tcW w:w="1150" w:type="dxa"/>
          </w:tcPr>
          <w:p w14:paraId="4522612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53</w:t>
            </w:r>
          </w:p>
        </w:tc>
        <w:tc>
          <w:tcPr>
            <w:tcW w:w="1150" w:type="dxa"/>
          </w:tcPr>
          <w:p w14:paraId="52F6950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w:t>
            </w:r>
          </w:p>
        </w:tc>
      </w:tr>
      <w:tr w:rsidR="00284CBE" w:rsidRPr="006431C4" w14:paraId="5639D48A" w14:textId="77777777" w:rsidTr="00284CBE">
        <w:tc>
          <w:tcPr>
            <w:tcW w:w="543" w:type="dxa"/>
          </w:tcPr>
          <w:p w14:paraId="78644D2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4555" w:type="dxa"/>
            <w:gridSpan w:val="2"/>
          </w:tcPr>
          <w:p w14:paraId="3AF0B7F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 po starzeniu, nie mniej niż</w:t>
            </w:r>
          </w:p>
        </w:tc>
        <w:tc>
          <w:tcPr>
            <w:tcW w:w="1276" w:type="dxa"/>
          </w:tcPr>
          <w:p w14:paraId="3FCE870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1917" w:type="dxa"/>
          </w:tcPr>
          <w:p w14:paraId="711EDA8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[21]</w:t>
            </w:r>
          </w:p>
        </w:tc>
        <w:tc>
          <w:tcPr>
            <w:tcW w:w="1150" w:type="dxa"/>
          </w:tcPr>
          <w:p w14:paraId="47B255B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52</w:t>
            </w:r>
          </w:p>
        </w:tc>
        <w:tc>
          <w:tcPr>
            <w:tcW w:w="1150" w:type="dxa"/>
          </w:tcPr>
          <w:p w14:paraId="1F8F443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48</w:t>
            </w:r>
          </w:p>
        </w:tc>
      </w:tr>
      <w:tr w:rsidR="00284CBE" w:rsidRPr="006431C4" w14:paraId="65D70CE6" w14:textId="77777777" w:rsidTr="00284CBE">
        <w:tc>
          <w:tcPr>
            <w:tcW w:w="543" w:type="dxa"/>
          </w:tcPr>
          <w:p w14:paraId="039BA00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4555" w:type="dxa"/>
            <w:gridSpan w:val="2"/>
          </w:tcPr>
          <w:p w14:paraId="0457FE7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Wzrost temp. mięknienia po starzeniu, nie więcej niż</w:t>
            </w:r>
          </w:p>
        </w:tc>
        <w:tc>
          <w:tcPr>
            <w:tcW w:w="1276" w:type="dxa"/>
          </w:tcPr>
          <w:p w14:paraId="3ECA231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1917" w:type="dxa"/>
          </w:tcPr>
          <w:p w14:paraId="6BB075C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[21]</w:t>
            </w:r>
          </w:p>
        </w:tc>
        <w:tc>
          <w:tcPr>
            <w:tcW w:w="1150" w:type="dxa"/>
          </w:tcPr>
          <w:p w14:paraId="6BA43AD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1150" w:type="dxa"/>
          </w:tcPr>
          <w:p w14:paraId="1673718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r w:rsidR="00284CBE" w:rsidRPr="006431C4" w14:paraId="345C2FEF" w14:textId="77777777" w:rsidTr="00284CBE">
        <w:tc>
          <w:tcPr>
            <w:tcW w:w="10591" w:type="dxa"/>
            <w:gridSpan w:val="7"/>
          </w:tcPr>
          <w:p w14:paraId="0616D0F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SPECJALNE   KRAJOWE</w:t>
            </w:r>
          </w:p>
        </w:tc>
      </w:tr>
      <w:tr w:rsidR="00284CBE" w:rsidRPr="006431C4" w14:paraId="22B4CB10" w14:textId="77777777" w:rsidTr="00284CBE">
        <w:tc>
          <w:tcPr>
            <w:tcW w:w="543" w:type="dxa"/>
          </w:tcPr>
          <w:p w14:paraId="4FA7BC3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3325" w:type="dxa"/>
          </w:tcPr>
          <w:p w14:paraId="70ED56E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łamliwości Fraassa, nie więcej niż</w:t>
            </w:r>
          </w:p>
        </w:tc>
        <w:tc>
          <w:tcPr>
            <w:tcW w:w="2506" w:type="dxa"/>
            <w:gridSpan w:val="2"/>
          </w:tcPr>
          <w:p w14:paraId="5C2B1D6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1917" w:type="dxa"/>
          </w:tcPr>
          <w:p w14:paraId="7D14CC3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12593 [25]</w:t>
            </w:r>
          </w:p>
        </w:tc>
        <w:tc>
          <w:tcPr>
            <w:tcW w:w="1150" w:type="dxa"/>
          </w:tcPr>
          <w:p w14:paraId="21EB503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1150" w:type="dxa"/>
          </w:tcPr>
          <w:p w14:paraId="5B71401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r>
      <w:tr w:rsidR="00284CBE" w:rsidRPr="006431C4" w14:paraId="0562D5FF" w14:textId="77777777" w:rsidTr="00284CBE">
        <w:tc>
          <w:tcPr>
            <w:tcW w:w="543" w:type="dxa"/>
          </w:tcPr>
          <w:p w14:paraId="0CDEDF5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3325" w:type="dxa"/>
          </w:tcPr>
          <w:p w14:paraId="5D2A946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Indeks penetracji</w:t>
            </w:r>
          </w:p>
        </w:tc>
        <w:tc>
          <w:tcPr>
            <w:tcW w:w="2506" w:type="dxa"/>
            <w:gridSpan w:val="2"/>
          </w:tcPr>
          <w:p w14:paraId="458BE2B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917" w:type="dxa"/>
          </w:tcPr>
          <w:p w14:paraId="2284B81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12591[23]</w:t>
            </w:r>
          </w:p>
        </w:tc>
        <w:tc>
          <w:tcPr>
            <w:tcW w:w="1150" w:type="dxa"/>
          </w:tcPr>
          <w:p w14:paraId="5897BDC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c>
          <w:tcPr>
            <w:tcW w:w="1150" w:type="dxa"/>
          </w:tcPr>
          <w:p w14:paraId="50591AB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r>
      <w:tr w:rsidR="00284CBE" w:rsidRPr="006431C4" w14:paraId="177081BA" w14:textId="77777777" w:rsidTr="00284CBE">
        <w:tc>
          <w:tcPr>
            <w:tcW w:w="543" w:type="dxa"/>
          </w:tcPr>
          <w:p w14:paraId="3BB8404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11</w:t>
            </w:r>
          </w:p>
        </w:tc>
        <w:tc>
          <w:tcPr>
            <w:tcW w:w="3325" w:type="dxa"/>
          </w:tcPr>
          <w:p w14:paraId="26859BF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Lepkość dynamiczna w 60°C</w:t>
            </w:r>
          </w:p>
        </w:tc>
        <w:tc>
          <w:tcPr>
            <w:tcW w:w="2506" w:type="dxa"/>
            <w:gridSpan w:val="2"/>
          </w:tcPr>
          <w:p w14:paraId="6EBCF57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Pa∙s</w:t>
            </w:r>
          </w:p>
        </w:tc>
        <w:tc>
          <w:tcPr>
            <w:tcW w:w="1917" w:type="dxa"/>
          </w:tcPr>
          <w:p w14:paraId="6222EDC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12596[27]</w:t>
            </w:r>
          </w:p>
        </w:tc>
        <w:tc>
          <w:tcPr>
            <w:tcW w:w="1150" w:type="dxa"/>
          </w:tcPr>
          <w:p w14:paraId="71084FF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c>
          <w:tcPr>
            <w:tcW w:w="1150" w:type="dxa"/>
          </w:tcPr>
          <w:p w14:paraId="66EFC54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r>
      <w:tr w:rsidR="00284CBE" w:rsidRPr="006431C4" w14:paraId="7BB8A852" w14:textId="77777777" w:rsidTr="00284CBE">
        <w:tc>
          <w:tcPr>
            <w:tcW w:w="543" w:type="dxa"/>
          </w:tcPr>
          <w:p w14:paraId="522D67E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c>
          <w:tcPr>
            <w:tcW w:w="3325" w:type="dxa"/>
          </w:tcPr>
          <w:p w14:paraId="32F6FC2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Lepkość kinematyczna w 135°C</w:t>
            </w:r>
          </w:p>
        </w:tc>
        <w:tc>
          <w:tcPr>
            <w:tcW w:w="2506" w:type="dxa"/>
            <w:gridSpan w:val="2"/>
          </w:tcPr>
          <w:p w14:paraId="48334C3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mm</w:t>
            </w:r>
            <w:r w:rsidRPr="006431C4">
              <w:rPr>
                <w:rFonts w:cs="Arial"/>
                <w:szCs w:val="20"/>
                <w:vertAlign w:val="superscript"/>
              </w:rPr>
              <w:t>2</w:t>
            </w:r>
            <w:r w:rsidRPr="006431C4">
              <w:rPr>
                <w:rFonts w:cs="Arial"/>
                <w:szCs w:val="20"/>
              </w:rPr>
              <w:t>/s</w:t>
            </w:r>
          </w:p>
        </w:tc>
        <w:tc>
          <w:tcPr>
            <w:tcW w:w="1917" w:type="dxa"/>
          </w:tcPr>
          <w:p w14:paraId="72FFA5B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12595[26]</w:t>
            </w:r>
          </w:p>
        </w:tc>
        <w:tc>
          <w:tcPr>
            <w:tcW w:w="1150" w:type="dxa"/>
          </w:tcPr>
          <w:p w14:paraId="5485E94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c>
          <w:tcPr>
            <w:tcW w:w="1150" w:type="dxa"/>
          </w:tcPr>
          <w:p w14:paraId="3053037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r>
    </w:tbl>
    <w:p w14:paraId="761E458D" w14:textId="77777777" w:rsidR="00284CBE" w:rsidRPr="006431C4" w:rsidRDefault="00284CBE" w:rsidP="00284CBE">
      <w:pPr>
        <w:tabs>
          <w:tab w:val="left" w:pos="1200"/>
        </w:tabs>
        <w:overflowPunct w:val="0"/>
        <w:autoSpaceDE w:val="0"/>
        <w:autoSpaceDN w:val="0"/>
        <w:adjustRightInd w:val="0"/>
        <w:spacing w:line="240" w:lineRule="auto"/>
        <w:jc w:val="both"/>
        <w:textAlignment w:val="baseline"/>
        <w:rPr>
          <w:rFonts w:cs="Arial"/>
          <w:szCs w:val="20"/>
        </w:rPr>
      </w:pPr>
    </w:p>
    <w:p w14:paraId="025F247E" w14:textId="77777777" w:rsidR="00284CBE" w:rsidRPr="006431C4" w:rsidRDefault="00284CBE" w:rsidP="00284CBE">
      <w:pPr>
        <w:tabs>
          <w:tab w:val="left" w:pos="1200"/>
        </w:tabs>
        <w:overflowPunct w:val="0"/>
        <w:autoSpaceDE w:val="0"/>
        <w:autoSpaceDN w:val="0"/>
        <w:adjustRightInd w:val="0"/>
        <w:spacing w:line="240" w:lineRule="auto"/>
        <w:ind w:left="1200" w:hanging="1200"/>
        <w:jc w:val="both"/>
        <w:textAlignment w:val="baseline"/>
        <w:rPr>
          <w:rFonts w:cs="Arial"/>
          <w:szCs w:val="20"/>
        </w:rPr>
      </w:pPr>
    </w:p>
    <w:p w14:paraId="1707A967" w14:textId="77777777" w:rsidR="00284CBE" w:rsidRPr="006431C4" w:rsidRDefault="00284CBE" w:rsidP="00284CBE">
      <w:pPr>
        <w:tabs>
          <w:tab w:val="left" w:pos="1200"/>
        </w:tabs>
        <w:overflowPunct w:val="0"/>
        <w:autoSpaceDE w:val="0"/>
        <w:autoSpaceDN w:val="0"/>
        <w:adjustRightInd w:val="0"/>
        <w:spacing w:line="240" w:lineRule="auto"/>
        <w:ind w:left="1202" w:hanging="1202"/>
        <w:jc w:val="both"/>
        <w:textAlignment w:val="baseline"/>
        <w:rPr>
          <w:rFonts w:cs="Arial"/>
          <w:szCs w:val="20"/>
        </w:rPr>
      </w:pPr>
      <w:r w:rsidRPr="006431C4">
        <w:rPr>
          <w:rFonts w:cs="Arial"/>
          <w:szCs w:val="20"/>
        </w:rPr>
        <w:t>Tablica 4. Wymagania wobec asfaltów modyfikowanych polimerami (polimeroasfaltów) wg PN-EN 14023 [66] [66a]</w:t>
      </w:r>
    </w:p>
    <w:tbl>
      <w:tblPr>
        <w:tblW w:w="10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0"/>
        <w:gridCol w:w="2410"/>
        <w:gridCol w:w="1440"/>
        <w:gridCol w:w="756"/>
        <w:gridCol w:w="993"/>
        <w:gridCol w:w="708"/>
        <w:gridCol w:w="851"/>
        <w:gridCol w:w="850"/>
      </w:tblGrid>
      <w:tr w:rsidR="00284CBE" w:rsidRPr="006431C4" w14:paraId="0304342E" w14:textId="77777777" w:rsidTr="00997FC3">
        <w:tc>
          <w:tcPr>
            <w:tcW w:w="2830" w:type="dxa"/>
            <w:vMerge w:val="restart"/>
            <w:vAlign w:val="center"/>
          </w:tcPr>
          <w:p w14:paraId="1BFA8DA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p w14:paraId="76199AE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podstawowe</w:t>
            </w:r>
          </w:p>
        </w:tc>
        <w:tc>
          <w:tcPr>
            <w:tcW w:w="2410" w:type="dxa"/>
            <w:vMerge w:val="restart"/>
            <w:vAlign w:val="center"/>
          </w:tcPr>
          <w:p w14:paraId="4F58A28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1440" w:type="dxa"/>
            <w:vMerge w:val="restart"/>
            <w:vAlign w:val="center"/>
          </w:tcPr>
          <w:p w14:paraId="1660E73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w:t>
            </w:r>
          </w:p>
          <w:p w14:paraId="1E92393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badania</w:t>
            </w:r>
          </w:p>
        </w:tc>
        <w:tc>
          <w:tcPr>
            <w:tcW w:w="756" w:type="dxa"/>
            <w:vMerge w:val="restart"/>
            <w:vAlign w:val="center"/>
          </w:tcPr>
          <w:p w14:paraId="6AA8BFF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Jed-nostka</w:t>
            </w:r>
          </w:p>
        </w:tc>
        <w:tc>
          <w:tcPr>
            <w:tcW w:w="3402" w:type="dxa"/>
            <w:gridSpan w:val="4"/>
          </w:tcPr>
          <w:p w14:paraId="66D9B5F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Gatunki asfaltów modyfikowanych</w:t>
            </w:r>
          </w:p>
          <w:p w14:paraId="4927480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polimerami (PMB)</w:t>
            </w:r>
          </w:p>
        </w:tc>
      </w:tr>
      <w:tr w:rsidR="00284CBE" w:rsidRPr="006431C4" w14:paraId="0B9A6F38" w14:textId="77777777" w:rsidTr="00997FC3">
        <w:tc>
          <w:tcPr>
            <w:tcW w:w="2830" w:type="dxa"/>
            <w:vMerge/>
          </w:tcPr>
          <w:p w14:paraId="53527C3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2410" w:type="dxa"/>
            <w:vMerge/>
          </w:tcPr>
          <w:p w14:paraId="1E730F1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440" w:type="dxa"/>
            <w:vMerge/>
          </w:tcPr>
          <w:p w14:paraId="3F17959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756" w:type="dxa"/>
            <w:vMerge/>
          </w:tcPr>
          <w:p w14:paraId="06D1A0D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701" w:type="dxa"/>
            <w:gridSpan w:val="2"/>
          </w:tcPr>
          <w:p w14:paraId="3313FE5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25/55 – 60</w:t>
            </w:r>
          </w:p>
        </w:tc>
        <w:tc>
          <w:tcPr>
            <w:tcW w:w="1701" w:type="dxa"/>
            <w:gridSpan w:val="2"/>
          </w:tcPr>
          <w:p w14:paraId="21105BB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25/55 – 80</w:t>
            </w:r>
          </w:p>
        </w:tc>
      </w:tr>
      <w:tr w:rsidR="00284CBE" w:rsidRPr="006431C4" w14:paraId="30789983" w14:textId="77777777" w:rsidTr="00997FC3">
        <w:tc>
          <w:tcPr>
            <w:tcW w:w="2830" w:type="dxa"/>
            <w:vMerge/>
          </w:tcPr>
          <w:p w14:paraId="3EA9699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2410" w:type="dxa"/>
            <w:vMerge/>
          </w:tcPr>
          <w:p w14:paraId="0445CE0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440" w:type="dxa"/>
            <w:vMerge/>
          </w:tcPr>
          <w:p w14:paraId="04FDD78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756" w:type="dxa"/>
            <w:vMerge/>
          </w:tcPr>
          <w:p w14:paraId="19415E7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993" w:type="dxa"/>
          </w:tcPr>
          <w:p w14:paraId="7BD18C3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c>
          <w:tcPr>
            <w:tcW w:w="708" w:type="dxa"/>
          </w:tcPr>
          <w:p w14:paraId="30FDE2E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klasa</w:t>
            </w:r>
          </w:p>
        </w:tc>
        <w:tc>
          <w:tcPr>
            <w:tcW w:w="851" w:type="dxa"/>
          </w:tcPr>
          <w:p w14:paraId="16F7146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c>
          <w:tcPr>
            <w:tcW w:w="850" w:type="dxa"/>
          </w:tcPr>
          <w:p w14:paraId="1FD7AF9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klasa</w:t>
            </w:r>
          </w:p>
        </w:tc>
      </w:tr>
      <w:tr w:rsidR="00284CBE" w:rsidRPr="006431C4" w14:paraId="4ED7A44E" w14:textId="77777777" w:rsidTr="00997FC3">
        <w:tc>
          <w:tcPr>
            <w:tcW w:w="2830" w:type="dxa"/>
          </w:tcPr>
          <w:p w14:paraId="1DA60604"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Konsystencja w pośrednich </w:t>
            </w:r>
            <w:proofErr w:type="spellStart"/>
            <w:r w:rsidRPr="006431C4">
              <w:rPr>
                <w:rFonts w:cs="Arial"/>
                <w:szCs w:val="20"/>
              </w:rPr>
              <w:t>tempe-raturach</w:t>
            </w:r>
            <w:proofErr w:type="spellEnd"/>
            <w:r w:rsidRPr="006431C4">
              <w:rPr>
                <w:rFonts w:cs="Arial"/>
                <w:szCs w:val="20"/>
              </w:rPr>
              <w:t xml:space="preserve"> </w:t>
            </w:r>
            <w:proofErr w:type="spellStart"/>
            <w:r w:rsidRPr="006431C4">
              <w:rPr>
                <w:rFonts w:cs="Arial"/>
                <w:szCs w:val="20"/>
              </w:rPr>
              <w:t>eksploa-tacyjnych</w:t>
            </w:r>
            <w:proofErr w:type="spellEnd"/>
          </w:p>
        </w:tc>
        <w:tc>
          <w:tcPr>
            <w:tcW w:w="2410" w:type="dxa"/>
            <w:vAlign w:val="center"/>
          </w:tcPr>
          <w:p w14:paraId="05418F9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Penetracja </w:t>
            </w:r>
          </w:p>
          <w:p w14:paraId="3F2F2A7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 </w:t>
            </w:r>
            <w:smartTag w:uri="urn:schemas-microsoft-com:office:smarttags" w:element="metricconverter">
              <w:smartTagPr>
                <w:attr w:name="ProductID" w:val="25ﾰC"/>
              </w:smartTagPr>
              <w:r w:rsidRPr="006431C4">
                <w:rPr>
                  <w:rFonts w:cs="Arial"/>
                  <w:szCs w:val="20"/>
                </w:rPr>
                <w:t>25°C</w:t>
              </w:r>
            </w:smartTag>
          </w:p>
        </w:tc>
        <w:tc>
          <w:tcPr>
            <w:tcW w:w="1440" w:type="dxa"/>
            <w:vAlign w:val="center"/>
          </w:tcPr>
          <w:p w14:paraId="0F7BF191" w14:textId="77777777" w:rsidR="00284CBE" w:rsidRPr="006431C4" w:rsidRDefault="00284CBE" w:rsidP="00284CBE">
            <w:pPr>
              <w:tabs>
                <w:tab w:val="left" w:pos="285"/>
              </w:tabs>
              <w:overflowPunct w:val="0"/>
              <w:autoSpaceDE w:val="0"/>
              <w:autoSpaceDN w:val="0"/>
              <w:adjustRightInd w:val="0"/>
              <w:spacing w:line="240" w:lineRule="auto"/>
              <w:jc w:val="center"/>
              <w:textAlignment w:val="baseline"/>
              <w:rPr>
                <w:rFonts w:cs="Arial"/>
                <w:szCs w:val="20"/>
              </w:rPr>
            </w:pPr>
            <w:r w:rsidRPr="006431C4">
              <w:rPr>
                <w:rFonts w:cs="Arial"/>
                <w:szCs w:val="20"/>
              </w:rPr>
              <w:t>PN-EN 1426 [20]</w:t>
            </w:r>
          </w:p>
        </w:tc>
        <w:tc>
          <w:tcPr>
            <w:tcW w:w="756" w:type="dxa"/>
            <w:vAlign w:val="center"/>
          </w:tcPr>
          <w:p w14:paraId="20EF0A3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smartTag w:uri="urn:schemas-microsoft-com:office:smarttags" w:element="metricconverter">
              <w:smartTagPr>
                <w:attr w:name="ProductID" w:val="0,1 mm"/>
              </w:smartTagPr>
              <w:r w:rsidRPr="006431C4">
                <w:rPr>
                  <w:rFonts w:cs="Arial"/>
                  <w:szCs w:val="20"/>
                </w:rPr>
                <w:t>0,1 mm</w:t>
              </w:r>
            </w:smartTag>
          </w:p>
        </w:tc>
        <w:tc>
          <w:tcPr>
            <w:tcW w:w="993" w:type="dxa"/>
            <w:vAlign w:val="center"/>
          </w:tcPr>
          <w:p w14:paraId="0D679ED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25-55</w:t>
            </w:r>
          </w:p>
        </w:tc>
        <w:tc>
          <w:tcPr>
            <w:tcW w:w="708" w:type="dxa"/>
            <w:tcBorders>
              <w:right w:val="single" w:sz="4" w:space="0" w:color="auto"/>
            </w:tcBorders>
            <w:vAlign w:val="center"/>
          </w:tcPr>
          <w:p w14:paraId="5B45AD8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851" w:type="dxa"/>
            <w:tcBorders>
              <w:right w:val="single" w:sz="4" w:space="0" w:color="auto"/>
            </w:tcBorders>
            <w:vAlign w:val="center"/>
          </w:tcPr>
          <w:p w14:paraId="1B1E941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25-55</w:t>
            </w:r>
          </w:p>
        </w:tc>
        <w:tc>
          <w:tcPr>
            <w:tcW w:w="850" w:type="dxa"/>
            <w:tcBorders>
              <w:right w:val="single" w:sz="4" w:space="0" w:color="auto"/>
            </w:tcBorders>
            <w:vAlign w:val="center"/>
          </w:tcPr>
          <w:p w14:paraId="7F2523B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284CBE" w:rsidRPr="006431C4" w14:paraId="3E629699" w14:textId="77777777" w:rsidTr="00997FC3">
        <w:tc>
          <w:tcPr>
            <w:tcW w:w="2830" w:type="dxa"/>
          </w:tcPr>
          <w:p w14:paraId="41C71E2D"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Konsystencja  w wysokich  </w:t>
            </w:r>
            <w:r w:rsidRPr="006431C4">
              <w:rPr>
                <w:rFonts w:cs="Arial"/>
                <w:szCs w:val="20"/>
              </w:rPr>
              <w:lastRenderedPageBreak/>
              <w:t>temperaturach eksploatacyjnych</w:t>
            </w:r>
          </w:p>
        </w:tc>
        <w:tc>
          <w:tcPr>
            <w:tcW w:w="2410" w:type="dxa"/>
            <w:vAlign w:val="center"/>
          </w:tcPr>
          <w:p w14:paraId="0EDD760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 xml:space="preserve">Temperatura  </w:t>
            </w:r>
            <w:r w:rsidRPr="006431C4">
              <w:rPr>
                <w:rFonts w:cs="Arial"/>
                <w:szCs w:val="20"/>
              </w:rPr>
              <w:lastRenderedPageBreak/>
              <w:t>mięknienia</w:t>
            </w:r>
          </w:p>
        </w:tc>
        <w:tc>
          <w:tcPr>
            <w:tcW w:w="1440" w:type="dxa"/>
            <w:vAlign w:val="center"/>
          </w:tcPr>
          <w:p w14:paraId="6105773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 xml:space="preserve">PN-EN 1427 </w:t>
            </w:r>
            <w:r w:rsidRPr="006431C4">
              <w:rPr>
                <w:rFonts w:cs="Arial"/>
                <w:szCs w:val="20"/>
              </w:rPr>
              <w:lastRenderedPageBreak/>
              <w:t>[21]</w:t>
            </w:r>
          </w:p>
        </w:tc>
        <w:tc>
          <w:tcPr>
            <w:tcW w:w="756" w:type="dxa"/>
            <w:vAlign w:val="center"/>
          </w:tcPr>
          <w:p w14:paraId="29BAFA7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°C</w:t>
            </w:r>
          </w:p>
        </w:tc>
        <w:tc>
          <w:tcPr>
            <w:tcW w:w="993" w:type="dxa"/>
            <w:vAlign w:val="center"/>
          </w:tcPr>
          <w:p w14:paraId="05280C7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60</w:t>
            </w:r>
          </w:p>
        </w:tc>
        <w:tc>
          <w:tcPr>
            <w:tcW w:w="708" w:type="dxa"/>
            <w:tcBorders>
              <w:right w:val="single" w:sz="4" w:space="0" w:color="auto"/>
            </w:tcBorders>
            <w:vAlign w:val="center"/>
          </w:tcPr>
          <w:p w14:paraId="6C71F0A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851" w:type="dxa"/>
            <w:tcBorders>
              <w:right w:val="single" w:sz="4" w:space="0" w:color="auto"/>
            </w:tcBorders>
            <w:vAlign w:val="center"/>
          </w:tcPr>
          <w:p w14:paraId="6A2A8AA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80</w:t>
            </w:r>
          </w:p>
        </w:tc>
        <w:tc>
          <w:tcPr>
            <w:tcW w:w="850" w:type="dxa"/>
            <w:tcBorders>
              <w:right w:val="single" w:sz="4" w:space="0" w:color="auto"/>
            </w:tcBorders>
            <w:vAlign w:val="center"/>
          </w:tcPr>
          <w:p w14:paraId="7D158A2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284CBE" w:rsidRPr="006431C4" w14:paraId="12134A03" w14:textId="77777777" w:rsidTr="00997FC3">
        <w:tc>
          <w:tcPr>
            <w:tcW w:w="2830" w:type="dxa"/>
            <w:vMerge w:val="restart"/>
            <w:vAlign w:val="center"/>
          </w:tcPr>
          <w:p w14:paraId="6738328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Kohezja</w:t>
            </w:r>
          </w:p>
        </w:tc>
        <w:tc>
          <w:tcPr>
            <w:tcW w:w="2410" w:type="dxa"/>
            <w:vAlign w:val="center"/>
          </w:tcPr>
          <w:p w14:paraId="71F7B27E"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Siła rozciągania (mała prędkość rozciągania)</w:t>
            </w:r>
          </w:p>
        </w:tc>
        <w:tc>
          <w:tcPr>
            <w:tcW w:w="1440" w:type="dxa"/>
            <w:vAlign w:val="center"/>
          </w:tcPr>
          <w:p w14:paraId="46878E3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13589 [62]      PN-EN 13703 [63]</w:t>
            </w:r>
          </w:p>
        </w:tc>
        <w:tc>
          <w:tcPr>
            <w:tcW w:w="756" w:type="dxa"/>
            <w:vAlign w:val="center"/>
          </w:tcPr>
          <w:p w14:paraId="596803B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J/cm</w:t>
            </w:r>
            <w:r w:rsidRPr="006431C4">
              <w:rPr>
                <w:rFonts w:cs="Arial"/>
                <w:szCs w:val="20"/>
                <w:vertAlign w:val="superscript"/>
              </w:rPr>
              <w:t>2</w:t>
            </w:r>
          </w:p>
        </w:tc>
        <w:tc>
          <w:tcPr>
            <w:tcW w:w="993" w:type="dxa"/>
            <w:vAlign w:val="center"/>
          </w:tcPr>
          <w:p w14:paraId="06624EC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 2 w </w:t>
            </w:r>
            <w:smartTag w:uri="urn:schemas-microsoft-com:office:smarttags" w:element="metricconverter">
              <w:smartTagPr>
                <w:attr w:name="ProductID" w:val="10ﾰC"/>
              </w:smartTagPr>
              <w:r w:rsidRPr="006431C4">
                <w:rPr>
                  <w:rFonts w:cs="Arial"/>
                  <w:szCs w:val="20"/>
                </w:rPr>
                <w:t>10°C</w:t>
              </w:r>
            </w:smartTag>
          </w:p>
        </w:tc>
        <w:tc>
          <w:tcPr>
            <w:tcW w:w="708" w:type="dxa"/>
            <w:tcBorders>
              <w:right w:val="single" w:sz="4" w:space="0" w:color="auto"/>
            </w:tcBorders>
            <w:vAlign w:val="center"/>
          </w:tcPr>
          <w:p w14:paraId="0474177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851" w:type="dxa"/>
            <w:tcBorders>
              <w:right w:val="single" w:sz="4" w:space="0" w:color="auto"/>
            </w:tcBorders>
          </w:tcPr>
          <w:p w14:paraId="74B4B91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542CD20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TBR</w:t>
            </w:r>
            <w:r w:rsidRPr="006431C4">
              <w:rPr>
                <w:rFonts w:cs="Arial"/>
                <w:szCs w:val="20"/>
                <w:vertAlign w:val="superscript"/>
              </w:rPr>
              <w:t>b</w:t>
            </w:r>
          </w:p>
          <w:p w14:paraId="56819B4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 15°C)</w:t>
            </w:r>
          </w:p>
        </w:tc>
        <w:tc>
          <w:tcPr>
            <w:tcW w:w="850" w:type="dxa"/>
            <w:tcBorders>
              <w:right w:val="single" w:sz="4" w:space="0" w:color="auto"/>
            </w:tcBorders>
          </w:tcPr>
          <w:p w14:paraId="452EB2A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2B87C16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284CBE" w:rsidRPr="006431C4" w14:paraId="5B408E55" w14:textId="77777777" w:rsidTr="00997FC3">
        <w:tc>
          <w:tcPr>
            <w:tcW w:w="2830" w:type="dxa"/>
            <w:vMerge/>
          </w:tcPr>
          <w:p w14:paraId="090B146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091A9FEB"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Rozciąganie bezpośrednie  w </w:t>
            </w:r>
            <w:smartTag w:uri="urn:schemas-microsoft-com:office:smarttags" w:element="metricconverter">
              <w:smartTagPr>
                <w:attr w:name="ProductID" w:val="5ﾰC"/>
              </w:smartTagPr>
              <w:r w:rsidRPr="006431C4">
                <w:rPr>
                  <w:rFonts w:cs="Arial"/>
                  <w:szCs w:val="20"/>
                </w:rPr>
                <w:t>5°C</w:t>
              </w:r>
            </w:smartTag>
            <w:r w:rsidRPr="006431C4">
              <w:rPr>
                <w:rFonts w:cs="Arial"/>
                <w:szCs w:val="20"/>
              </w:rPr>
              <w:t xml:space="preserve"> (rozciąganie 100 mm/min)</w:t>
            </w:r>
          </w:p>
        </w:tc>
        <w:tc>
          <w:tcPr>
            <w:tcW w:w="1440" w:type="dxa"/>
            <w:vAlign w:val="center"/>
          </w:tcPr>
          <w:p w14:paraId="5D75AE7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13587 [60]      PN-EN 13703 [63]</w:t>
            </w:r>
          </w:p>
        </w:tc>
        <w:tc>
          <w:tcPr>
            <w:tcW w:w="756" w:type="dxa"/>
            <w:vAlign w:val="center"/>
          </w:tcPr>
          <w:p w14:paraId="06B22E7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J/cm</w:t>
            </w:r>
            <w:r w:rsidRPr="006431C4">
              <w:rPr>
                <w:rFonts w:cs="Arial"/>
                <w:szCs w:val="20"/>
                <w:vertAlign w:val="superscript"/>
              </w:rPr>
              <w:t>2</w:t>
            </w:r>
          </w:p>
        </w:tc>
        <w:tc>
          <w:tcPr>
            <w:tcW w:w="993" w:type="dxa"/>
            <w:vAlign w:val="center"/>
          </w:tcPr>
          <w:p w14:paraId="7CAD906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NPD</w:t>
            </w:r>
            <w:r w:rsidRPr="006431C4">
              <w:rPr>
                <w:rFonts w:cs="Arial"/>
                <w:szCs w:val="20"/>
                <w:vertAlign w:val="superscript"/>
              </w:rPr>
              <w:t>a</w:t>
            </w:r>
          </w:p>
        </w:tc>
        <w:tc>
          <w:tcPr>
            <w:tcW w:w="708" w:type="dxa"/>
            <w:tcBorders>
              <w:right w:val="single" w:sz="4" w:space="0" w:color="auto"/>
            </w:tcBorders>
            <w:vAlign w:val="center"/>
          </w:tcPr>
          <w:p w14:paraId="2988AA7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tcBorders>
              <w:right w:val="single" w:sz="4" w:space="0" w:color="auto"/>
            </w:tcBorders>
          </w:tcPr>
          <w:p w14:paraId="7B0046C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54A95A2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0" w:type="dxa"/>
            <w:tcBorders>
              <w:right w:val="single" w:sz="4" w:space="0" w:color="auto"/>
            </w:tcBorders>
          </w:tcPr>
          <w:p w14:paraId="7FF453D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284CBE" w:rsidRPr="006431C4" w14:paraId="23CC096D" w14:textId="77777777" w:rsidTr="00997FC3">
        <w:tc>
          <w:tcPr>
            <w:tcW w:w="2830" w:type="dxa"/>
            <w:vMerge/>
          </w:tcPr>
          <w:p w14:paraId="56A1343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015CD396"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Wahadło Vialit (metoda uderzenia)</w:t>
            </w:r>
          </w:p>
        </w:tc>
        <w:tc>
          <w:tcPr>
            <w:tcW w:w="1440" w:type="dxa"/>
            <w:vAlign w:val="center"/>
          </w:tcPr>
          <w:p w14:paraId="612DDE6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13588 [61]</w:t>
            </w:r>
          </w:p>
        </w:tc>
        <w:tc>
          <w:tcPr>
            <w:tcW w:w="756" w:type="dxa"/>
            <w:vAlign w:val="center"/>
          </w:tcPr>
          <w:p w14:paraId="37BA2F7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J/cm</w:t>
            </w:r>
            <w:r w:rsidRPr="006431C4">
              <w:rPr>
                <w:rFonts w:cs="Arial"/>
                <w:szCs w:val="20"/>
                <w:vertAlign w:val="superscript"/>
              </w:rPr>
              <w:t>2</w:t>
            </w:r>
          </w:p>
        </w:tc>
        <w:tc>
          <w:tcPr>
            <w:tcW w:w="993" w:type="dxa"/>
            <w:vAlign w:val="center"/>
          </w:tcPr>
          <w:p w14:paraId="7CBC054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NPD</w:t>
            </w:r>
            <w:r w:rsidRPr="006431C4">
              <w:rPr>
                <w:rFonts w:cs="Arial"/>
                <w:szCs w:val="20"/>
                <w:vertAlign w:val="superscript"/>
              </w:rPr>
              <w:t>a</w:t>
            </w:r>
          </w:p>
        </w:tc>
        <w:tc>
          <w:tcPr>
            <w:tcW w:w="708" w:type="dxa"/>
            <w:tcBorders>
              <w:right w:val="single" w:sz="4" w:space="0" w:color="auto"/>
            </w:tcBorders>
            <w:vAlign w:val="center"/>
          </w:tcPr>
          <w:p w14:paraId="54236A3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tcBorders>
              <w:right w:val="single" w:sz="4" w:space="0" w:color="auto"/>
            </w:tcBorders>
          </w:tcPr>
          <w:p w14:paraId="6DAE3F0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50" w:type="dxa"/>
            <w:tcBorders>
              <w:right w:val="single" w:sz="4" w:space="0" w:color="auto"/>
            </w:tcBorders>
          </w:tcPr>
          <w:p w14:paraId="50B3FBB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284CBE" w:rsidRPr="006431C4" w14:paraId="6803E6D3" w14:textId="77777777" w:rsidTr="00997FC3">
        <w:tc>
          <w:tcPr>
            <w:tcW w:w="2830" w:type="dxa"/>
            <w:vMerge w:val="restart"/>
          </w:tcPr>
          <w:p w14:paraId="659256B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Stałość konsystencji (Odporność </w:t>
            </w:r>
          </w:p>
          <w:p w14:paraId="3A1491B4"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na starzenie wg PN-EN 12607-1 lub  -3 [29] [30]</w:t>
            </w:r>
          </w:p>
        </w:tc>
        <w:tc>
          <w:tcPr>
            <w:tcW w:w="2410" w:type="dxa"/>
            <w:vAlign w:val="center"/>
          </w:tcPr>
          <w:p w14:paraId="4226723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Zmiana masy</w:t>
            </w:r>
          </w:p>
        </w:tc>
        <w:tc>
          <w:tcPr>
            <w:tcW w:w="1440" w:type="dxa"/>
            <w:vAlign w:val="center"/>
          </w:tcPr>
          <w:p w14:paraId="57F8A14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12607-1[29]</w:t>
            </w:r>
          </w:p>
        </w:tc>
        <w:tc>
          <w:tcPr>
            <w:tcW w:w="756" w:type="dxa"/>
            <w:vAlign w:val="center"/>
          </w:tcPr>
          <w:p w14:paraId="785070A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993" w:type="dxa"/>
            <w:vAlign w:val="center"/>
          </w:tcPr>
          <w:p w14:paraId="40FE3ED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0,5</w:t>
            </w:r>
          </w:p>
        </w:tc>
        <w:tc>
          <w:tcPr>
            <w:tcW w:w="708" w:type="dxa"/>
            <w:tcBorders>
              <w:right w:val="single" w:sz="4" w:space="0" w:color="auto"/>
            </w:tcBorders>
            <w:vAlign w:val="center"/>
          </w:tcPr>
          <w:p w14:paraId="74BD69F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851" w:type="dxa"/>
            <w:tcBorders>
              <w:right w:val="single" w:sz="4" w:space="0" w:color="auto"/>
            </w:tcBorders>
            <w:vAlign w:val="center"/>
          </w:tcPr>
          <w:p w14:paraId="2195FFF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0,5</w:t>
            </w:r>
          </w:p>
        </w:tc>
        <w:tc>
          <w:tcPr>
            <w:tcW w:w="850" w:type="dxa"/>
            <w:tcBorders>
              <w:right w:val="single" w:sz="4" w:space="0" w:color="auto"/>
            </w:tcBorders>
            <w:vAlign w:val="center"/>
          </w:tcPr>
          <w:p w14:paraId="128A8B0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284CBE" w:rsidRPr="006431C4" w14:paraId="3603F68F" w14:textId="77777777" w:rsidTr="00997FC3">
        <w:tc>
          <w:tcPr>
            <w:tcW w:w="2830" w:type="dxa"/>
            <w:vMerge/>
          </w:tcPr>
          <w:p w14:paraId="78BB2CB4"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p>
        </w:tc>
        <w:tc>
          <w:tcPr>
            <w:tcW w:w="2410" w:type="dxa"/>
            <w:vAlign w:val="center"/>
          </w:tcPr>
          <w:p w14:paraId="3FAEDF7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Pozostała penetracja</w:t>
            </w:r>
          </w:p>
        </w:tc>
        <w:tc>
          <w:tcPr>
            <w:tcW w:w="1440" w:type="dxa"/>
            <w:vAlign w:val="center"/>
          </w:tcPr>
          <w:p w14:paraId="32C0A00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[20]</w:t>
            </w:r>
          </w:p>
        </w:tc>
        <w:tc>
          <w:tcPr>
            <w:tcW w:w="756" w:type="dxa"/>
            <w:vAlign w:val="center"/>
          </w:tcPr>
          <w:p w14:paraId="22C8937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993" w:type="dxa"/>
            <w:vAlign w:val="center"/>
          </w:tcPr>
          <w:p w14:paraId="03CE5BC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60</w:t>
            </w:r>
          </w:p>
        </w:tc>
        <w:tc>
          <w:tcPr>
            <w:tcW w:w="708" w:type="dxa"/>
            <w:tcBorders>
              <w:right w:val="single" w:sz="4" w:space="0" w:color="auto"/>
            </w:tcBorders>
            <w:vAlign w:val="center"/>
          </w:tcPr>
          <w:p w14:paraId="1EA2C9F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851" w:type="dxa"/>
            <w:tcBorders>
              <w:right w:val="single" w:sz="4" w:space="0" w:color="auto"/>
            </w:tcBorders>
            <w:vAlign w:val="center"/>
          </w:tcPr>
          <w:p w14:paraId="6629D95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60</w:t>
            </w:r>
          </w:p>
        </w:tc>
        <w:tc>
          <w:tcPr>
            <w:tcW w:w="850" w:type="dxa"/>
            <w:tcBorders>
              <w:right w:val="single" w:sz="4" w:space="0" w:color="auto"/>
            </w:tcBorders>
            <w:vAlign w:val="center"/>
          </w:tcPr>
          <w:p w14:paraId="6E83168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r>
      <w:tr w:rsidR="00284CBE" w:rsidRPr="006431C4" w14:paraId="32BEFA07" w14:textId="77777777" w:rsidTr="00997FC3">
        <w:tc>
          <w:tcPr>
            <w:tcW w:w="2830" w:type="dxa"/>
            <w:vMerge/>
          </w:tcPr>
          <w:p w14:paraId="5116AABC"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p>
        </w:tc>
        <w:tc>
          <w:tcPr>
            <w:tcW w:w="2410" w:type="dxa"/>
            <w:tcBorders>
              <w:top w:val="nil"/>
            </w:tcBorders>
            <w:vAlign w:val="center"/>
          </w:tcPr>
          <w:p w14:paraId="6DA0BF84"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Wzrost temperatury mięknienia</w:t>
            </w:r>
          </w:p>
        </w:tc>
        <w:tc>
          <w:tcPr>
            <w:tcW w:w="1440" w:type="dxa"/>
            <w:tcBorders>
              <w:top w:val="nil"/>
            </w:tcBorders>
            <w:vAlign w:val="center"/>
          </w:tcPr>
          <w:p w14:paraId="4AE0274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[21]</w:t>
            </w:r>
          </w:p>
        </w:tc>
        <w:tc>
          <w:tcPr>
            <w:tcW w:w="756" w:type="dxa"/>
            <w:tcBorders>
              <w:top w:val="nil"/>
            </w:tcBorders>
            <w:vAlign w:val="center"/>
          </w:tcPr>
          <w:p w14:paraId="144EF60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993" w:type="dxa"/>
            <w:tcBorders>
              <w:top w:val="nil"/>
            </w:tcBorders>
            <w:vAlign w:val="center"/>
          </w:tcPr>
          <w:p w14:paraId="344054D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8</w:t>
            </w:r>
          </w:p>
        </w:tc>
        <w:tc>
          <w:tcPr>
            <w:tcW w:w="708" w:type="dxa"/>
            <w:tcBorders>
              <w:top w:val="nil"/>
              <w:bottom w:val="single" w:sz="4" w:space="0" w:color="auto"/>
              <w:right w:val="single" w:sz="4" w:space="0" w:color="auto"/>
            </w:tcBorders>
            <w:vAlign w:val="center"/>
          </w:tcPr>
          <w:p w14:paraId="230372B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851" w:type="dxa"/>
            <w:tcBorders>
              <w:top w:val="nil"/>
              <w:bottom w:val="single" w:sz="4" w:space="0" w:color="auto"/>
              <w:right w:val="single" w:sz="4" w:space="0" w:color="auto"/>
            </w:tcBorders>
            <w:vAlign w:val="center"/>
          </w:tcPr>
          <w:p w14:paraId="5655335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8</w:t>
            </w:r>
          </w:p>
        </w:tc>
        <w:tc>
          <w:tcPr>
            <w:tcW w:w="850" w:type="dxa"/>
            <w:tcBorders>
              <w:top w:val="nil"/>
              <w:bottom w:val="single" w:sz="4" w:space="0" w:color="auto"/>
              <w:right w:val="single" w:sz="4" w:space="0" w:color="auto"/>
            </w:tcBorders>
            <w:vAlign w:val="center"/>
          </w:tcPr>
          <w:p w14:paraId="1DA0894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284CBE" w:rsidRPr="006431C4" w14:paraId="328F151B" w14:textId="77777777" w:rsidTr="00997FC3">
        <w:trPr>
          <w:trHeight w:val="510"/>
        </w:trPr>
        <w:tc>
          <w:tcPr>
            <w:tcW w:w="2830" w:type="dxa"/>
            <w:tcBorders>
              <w:bottom w:val="single" w:sz="4" w:space="0" w:color="auto"/>
            </w:tcBorders>
            <w:vAlign w:val="center"/>
          </w:tcPr>
          <w:p w14:paraId="638AAFD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Inne właściwości</w:t>
            </w:r>
          </w:p>
        </w:tc>
        <w:tc>
          <w:tcPr>
            <w:tcW w:w="2410" w:type="dxa"/>
            <w:tcBorders>
              <w:bottom w:val="single" w:sz="4" w:space="0" w:color="auto"/>
            </w:tcBorders>
            <w:vAlign w:val="center"/>
          </w:tcPr>
          <w:p w14:paraId="5A88A80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zapłonu</w:t>
            </w:r>
          </w:p>
        </w:tc>
        <w:tc>
          <w:tcPr>
            <w:tcW w:w="1440" w:type="dxa"/>
            <w:tcBorders>
              <w:bottom w:val="single" w:sz="4" w:space="0" w:color="auto"/>
            </w:tcBorders>
            <w:vAlign w:val="center"/>
          </w:tcPr>
          <w:p w14:paraId="47A2844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ISO 2592 [70]</w:t>
            </w:r>
          </w:p>
        </w:tc>
        <w:tc>
          <w:tcPr>
            <w:tcW w:w="756" w:type="dxa"/>
            <w:tcBorders>
              <w:bottom w:val="single" w:sz="4" w:space="0" w:color="auto"/>
            </w:tcBorders>
            <w:vAlign w:val="center"/>
          </w:tcPr>
          <w:p w14:paraId="40B9AE6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993" w:type="dxa"/>
            <w:tcBorders>
              <w:bottom w:val="single" w:sz="4" w:space="0" w:color="auto"/>
            </w:tcBorders>
            <w:vAlign w:val="center"/>
          </w:tcPr>
          <w:p w14:paraId="2E645CA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235</w:t>
            </w:r>
          </w:p>
        </w:tc>
        <w:tc>
          <w:tcPr>
            <w:tcW w:w="708" w:type="dxa"/>
            <w:tcBorders>
              <w:top w:val="single" w:sz="4" w:space="0" w:color="auto"/>
              <w:bottom w:val="single" w:sz="4" w:space="0" w:color="auto"/>
              <w:right w:val="single" w:sz="4" w:space="0" w:color="auto"/>
            </w:tcBorders>
            <w:vAlign w:val="center"/>
          </w:tcPr>
          <w:p w14:paraId="5B42D46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851" w:type="dxa"/>
            <w:tcBorders>
              <w:top w:val="single" w:sz="4" w:space="0" w:color="auto"/>
              <w:bottom w:val="single" w:sz="4" w:space="0" w:color="auto"/>
              <w:right w:val="single" w:sz="4" w:space="0" w:color="auto"/>
            </w:tcBorders>
            <w:vAlign w:val="center"/>
          </w:tcPr>
          <w:p w14:paraId="2DDB183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235</w:t>
            </w:r>
          </w:p>
        </w:tc>
        <w:tc>
          <w:tcPr>
            <w:tcW w:w="850" w:type="dxa"/>
            <w:tcBorders>
              <w:top w:val="single" w:sz="4" w:space="0" w:color="auto"/>
              <w:bottom w:val="single" w:sz="4" w:space="0" w:color="auto"/>
              <w:right w:val="single" w:sz="4" w:space="0" w:color="auto"/>
            </w:tcBorders>
            <w:vAlign w:val="center"/>
          </w:tcPr>
          <w:p w14:paraId="493C8A3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284CBE" w:rsidRPr="006431C4" w14:paraId="6DD57B44" w14:textId="77777777" w:rsidTr="00997FC3">
        <w:trPr>
          <w:trHeight w:val="590"/>
        </w:trPr>
        <w:tc>
          <w:tcPr>
            <w:tcW w:w="2830" w:type="dxa"/>
            <w:vMerge w:val="restart"/>
            <w:vAlign w:val="center"/>
          </w:tcPr>
          <w:p w14:paraId="36297E5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Wymagania</w:t>
            </w:r>
          </w:p>
          <w:p w14:paraId="70E04E5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Dodatkowe</w:t>
            </w:r>
          </w:p>
        </w:tc>
        <w:tc>
          <w:tcPr>
            <w:tcW w:w="2410" w:type="dxa"/>
            <w:tcBorders>
              <w:bottom w:val="single" w:sz="4" w:space="0" w:color="auto"/>
            </w:tcBorders>
            <w:vAlign w:val="center"/>
          </w:tcPr>
          <w:p w14:paraId="6829E95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łamliwości</w:t>
            </w:r>
          </w:p>
        </w:tc>
        <w:tc>
          <w:tcPr>
            <w:tcW w:w="1440" w:type="dxa"/>
            <w:tcBorders>
              <w:bottom w:val="single" w:sz="4" w:space="0" w:color="auto"/>
            </w:tcBorders>
            <w:vAlign w:val="center"/>
          </w:tcPr>
          <w:p w14:paraId="2AE9C67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12593 [25]</w:t>
            </w:r>
          </w:p>
        </w:tc>
        <w:tc>
          <w:tcPr>
            <w:tcW w:w="756" w:type="dxa"/>
            <w:tcBorders>
              <w:bottom w:val="single" w:sz="4" w:space="0" w:color="auto"/>
            </w:tcBorders>
            <w:vAlign w:val="center"/>
          </w:tcPr>
          <w:p w14:paraId="6570640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993" w:type="dxa"/>
            <w:tcBorders>
              <w:bottom w:val="single" w:sz="4" w:space="0" w:color="auto"/>
            </w:tcBorders>
            <w:vAlign w:val="center"/>
          </w:tcPr>
          <w:p w14:paraId="23B955D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-10</w:t>
            </w:r>
          </w:p>
        </w:tc>
        <w:tc>
          <w:tcPr>
            <w:tcW w:w="708" w:type="dxa"/>
            <w:tcBorders>
              <w:bottom w:val="single" w:sz="4" w:space="0" w:color="auto"/>
              <w:right w:val="single" w:sz="4" w:space="0" w:color="auto"/>
            </w:tcBorders>
            <w:vAlign w:val="center"/>
          </w:tcPr>
          <w:p w14:paraId="181F5DB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851" w:type="dxa"/>
            <w:tcBorders>
              <w:bottom w:val="single" w:sz="4" w:space="0" w:color="auto"/>
              <w:right w:val="single" w:sz="4" w:space="0" w:color="auto"/>
            </w:tcBorders>
            <w:vAlign w:val="center"/>
          </w:tcPr>
          <w:p w14:paraId="065B274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-15</w:t>
            </w:r>
          </w:p>
        </w:tc>
        <w:tc>
          <w:tcPr>
            <w:tcW w:w="850" w:type="dxa"/>
            <w:tcBorders>
              <w:bottom w:val="single" w:sz="4" w:space="0" w:color="auto"/>
              <w:right w:val="single" w:sz="4" w:space="0" w:color="auto"/>
            </w:tcBorders>
            <w:vAlign w:val="center"/>
          </w:tcPr>
          <w:p w14:paraId="71FF651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r>
      <w:tr w:rsidR="00284CBE" w:rsidRPr="006431C4" w14:paraId="3FD9BF4C" w14:textId="77777777" w:rsidTr="00997FC3">
        <w:tc>
          <w:tcPr>
            <w:tcW w:w="2830" w:type="dxa"/>
            <w:vMerge/>
          </w:tcPr>
          <w:p w14:paraId="31E6D92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0025E4A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Nawrót sprężysty w </w:t>
            </w:r>
            <w:smartTag w:uri="urn:schemas-microsoft-com:office:smarttags" w:element="metricconverter">
              <w:smartTagPr>
                <w:attr w:name="ProductID" w:val="25ﾰC"/>
              </w:smartTagPr>
              <w:r w:rsidRPr="006431C4">
                <w:rPr>
                  <w:rFonts w:cs="Arial"/>
                  <w:szCs w:val="20"/>
                </w:rPr>
                <w:t>25°C</w:t>
              </w:r>
            </w:smartTag>
          </w:p>
        </w:tc>
        <w:tc>
          <w:tcPr>
            <w:tcW w:w="1440" w:type="dxa"/>
            <w:tcBorders>
              <w:bottom w:val="single" w:sz="4" w:space="0" w:color="auto"/>
            </w:tcBorders>
            <w:vAlign w:val="center"/>
          </w:tcPr>
          <w:p w14:paraId="48C247BE"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PN-EN 13398 [58]</w:t>
            </w:r>
          </w:p>
        </w:tc>
        <w:tc>
          <w:tcPr>
            <w:tcW w:w="756" w:type="dxa"/>
            <w:tcBorders>
              <w:bottom w:val="single" w:sz="4" w:space="0" w:color="auto"/>
            </w:tcBorders>
            <w:vAlign w:val="center"/>
          </w:tcPr>
          <w:p w14:paraId="604712C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993" w:type="dxa"/>
            <w:tcBorders>
              <w:bottom w:val="single" w:sz="4" w:space="0" w:color="auto"/>
            </w:tcBorders>
            <w:vAlign w:val="center"/>
          </w:tcPr>
          <w:p w14:paraId="21A81A7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60</w:t>
            </w:r>
          </w:p>
        </w:tc>
        <w:tc>
          <w:tcPr>
            <w:tcW w:w="708" w:type="dxa"/>
            <w:tcBorders>
              <w:top w:val="nil"/>
            </w:tcBorders>
            <w:vAlign w:val="center"/>
          </w:tcPr>
          <w:p w14:paraId="490CD7B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851" w:type="dxa"/>
            <w:tcBorders>
              <w:top w:val="nil"/>
            </w:tcBorders>
            <w:vAlign w:val="center"/>
          </w:tcPr>
          <w:p w14:paraId="0CBD85E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80</w:t>
            </w:r>
          </w:p>
        </w:tc>
        <w:tc>
          <w:tcPr>
            <w:tcW w:w="850" w:type="dxa"/>
            <w:tcBorders>
              <w:top w:val="nil"/>
            </w:tcBorders>
            <w:vAlign w:val="center"/>
          </w:tcPr>
          <w:p w14:paraId="5DC73F7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284CBE" w:rsidRPr="006431C4" w14:paraId="5A7C0419" w14:textId="77777777" w:rsidTr="00997FC3">
        <w:tc>
          <w:tcPr>
            <w:tcW w:w="2830" w:type="dxa"/>
            <w:vMerge/>
          </w:tcPr>
          <w:p w14:paraId="1F8C9A0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6FFCF89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Nawrót sprężysty w </w:t>
            </w:r>
            <w:smartTag w:uri="urn:schemas-microsoft-com:office:smarttags" w:element="metricconverter">
              <w:smartTagPr>
                <w:attr w:name="ProductID" w:val="150C"/>
              </w:smartTagPr>
              <w:r w:rsidRPr="006431C4">
                <w:rPr>
                  <w:rFonts w:cs="Arial"/>
                  <w:szCs w:val="20"/>
                </w:rPr>
                <w:t>10°C</w:t>
              </w:r>
            </w:smartTag>
          </w:p>
        </w:tc>
        <w:tc>
          <w:tcPr>
            <w:tcW w:w="1440" w:type="dxa"/>
            <w:tcBorders>
              <w:top w:val="single" w:sz="4" w:space="0" w:color="auto"/>
            </w:tcBorders>
            <w:vAlign w:val="center"/>
          </w:tcPr>
          <w:p w14:paraId="56D8DB9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756" w:type="dxa"/>
            <w:tcBorders>
              <w:top w:val="single" w:sz="4" w:space="0" w:color="auto"/>
            </w:tcBorders>
            <w:vAlign w:val="center"/>
          </w:tcPr>
          <w:p w14:paraId="586C447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993" w:type="dxa"/>
            <w:tcBorders>
              <w:top w:val="single" w:sz="4" w:space="0" w:color="auto"/>
            </w:tcBorders>
            <w:vAlign w:val="center"/>
          </w:tcPr>
          <w:p w14:paraId="4C8C17B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NPD</w:t>
            </w:r>
            <w:r w:rsidRPr="006431C4">
              <w:rPr>
                <w:rFonts w:cs="Arial"/>
                <w:szCs w:val="20"/>
                <w:vertAlign w:val="superscript"/>
              </w:rPr>
              <w:t>a</w:t>
            </w:r>
          </w:p>
        </w:tc>
        <w:tc>
          <w:tcPr>
            <w:tcW w:w="708" w:type="dxa"/>
            <w:vAlign w:val="center"/>
          </w:tcPr>
          <w:p w14:paraId="3576E36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tcPr>
          <w:p w14:paraId="2CFEE66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TBR</w:t>
            </w:r>
            <w:r w:rsidRPr="006431C4">
              <w:rPr>
                <w:rFonts w:cs="Arial"/>
                <w:szCs w:val="20"/>
                <w:vertAlign w:val="superscript"/>
              </w:rPr>
              <w:t>b</w:t>
            </w:r>
          </w:p>
          <w:p w14:paraId="49D993D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850" w:type="dxa"/>
          </w:tcPr>
          <w:p w14:paraId="3B08C50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3580C40D" w14:textId="77777777" w:rsidTr="00997FC3">
        <w:tc>
          <w:tcPr>
            <w:tcW w:w="2830" w:type="dxa"/>
            <w:vMerge/>
          </w:tcPr>
          <w:p w14:paraId="62B6096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7C93717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Zakres plastyczności</w:t>
            </w:r>
          </w:p>
        </w:tc>
        <w:tc>
          <w:tcPr>
            <w:tcW w:w="1440" w:type="dxa"/>
            <w:vAlign w:val="center"/>
          </w:tcPr>
          <w:p w14:paraId="3F757D4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14023 [66] Punkt 5.1.9</w:t>
            </w:r>
          </w:p>
        </w:tc>
        <w:tc>
          <w:tcPr>
            <w:tcW w:w="756" w:type="dxa"/>
            <w:vAlign w:val="center"/>
          </w:tcPr>
          <w:p w14:paraId="195522D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993" w:type="dxa"/>
            <w:vAlign w:val="center"/>
          </w:tcPr>
          <w:p w14:paraId="722604C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NPD</w:t>
            </w:r>
            <w:r w:rsidRPr="006431C4">
              <w:rPr>
                <w:rFonts w:cs="Arial"/>
                <w:szCs w:val="20"/>
                <w:vertAlign w:val="superscript"/>
              </w:rPr>
              <w:t>a</w:t>
            </w:r>
          </w:p>
        </w:tc>
        <w:tc>
          <w:tcPr>
            <w:tcW w:w="708" w:type="dxa"/>
            <w:vAlign w:val="center"/>
          </w:tcPr>
          <w:p w14:paraId="3791C6A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tcPr>
          <w:p w14:paraId="6E7F648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NPD</w:t>
            </w:r>
            <w:r w:rsidRPr="006431C4">
              <w:rPr>
                <w:rFonts w:cs="Arial"/>
                <w:szCs w:val="20"/>
                <w:vertAlign w:val="superscript"/>
              </w:rPr>
              <w:t>a</w:t>
            </w:r>
          </w:p>
        </w:tc>
        <w:tc>
          <w:tcPr>
            <w:tcW w:w="850" w:type="dxa"/>
          </w:tcPr>
          <w:p w14:paraId="283FDFF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r w:rsidR="00284CBE" w:rsidRPr="006431C4" w14:paraId="49E48B5D" w14:textId="77777777" w:rsidTr="00997FC3">
        <w:tc>
          <w:tcPr>
            <w:tcW w:w="2830" w:type="dxa"/>
            <w:vMerge/>
          </w:tcPr>
          <w:p w14:paraId="27EE0A1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7205758F"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Stabilność magazyno-wania. Różnica tempe-ratur mięknienia</w:t>
            </w:r>
          </w:p>
        </w:tc>
        <w:tc>
          <w:tcPr>
            <w:tcW w:w="1440" w:type="dxa"/>
            <w:vAlign w:val="center"/>
          </w:tcPr>
          <w:p w14:paraId="567BD60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13399 [59]</w:t>
            </w:r>
          </w:p>
          <w:p w14:paraId="67CF882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[21]</w:t>
            </w:r>
          </w:p>
        </w:tc>
        <w:tc>
          <w:tcPr>
            <w:tcW w:w="756" w:type="dxa"/>
            <w:vAlign w:val="center"/>
          </w:tcPr>
          <w:p w14:paraId="1FA78C2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993" w:type="dxa"/>
            <w:vAlign w:val="center"/>
          </w:tcPr>
          <w:p w14:paraId="79B76B6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5</w:t>
            </w:r>
          </w:p>
        </w:tc>
        <w:tc>
          <w:tcPr>
            <w:tcW w:w="708" w:type="dxa"/>
            <w:vAlign w:val="center"/>
          </w:tcPr>
          <w:p w14:paraId="0CA169E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851" w:type="dxa"/>
            <w:vAlign w:val="center"/>
          </w:tcPr>
          <w:p w14:paraId="2769727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5</w:t>
            </w:r>
          </w:p>
        </w:tc>
        <w:tc>
          <w:tcPr>
            <w:tcW w:w="850" w:type="dxa"/>
            <w:vAlign w:val="center"/>
          </w:tcPr>
          <w:p w14:paraId="13589F5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284CBE" w:rsidRPr="006431C4" w14:paraId="76BB3C63" w14:textId="77777777" w:rsidTr="00997FC3">
        <w:tc>
          <w:tcPr>
            <w:tcW w:w="2830" w:type="dxa"/>
            <w:vMerge/>
          </w:tcPr>
          <w:p w14:paraId="5FC35DA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64EDAF7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Stabilność magazynowania. Różnica penetracji</w:t>
            </w:r>
          </w:p>
        </w:tc>
        <w:tc>
          <w:tcPr>
            <w:tcW w:w="1440" w:type="dxa"/>
            <w:vAlign w:val="center"/>
          </w:tcPr>
          <w:p w14:paraId="0D70EDC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13399 [59]</w:t>
            </w:r>
          </w:p>
          <w:p w14:paraId="405EAFB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[20]</w:t>
            </w:r>
          </w:p>
        </w:tc>
        <w:tc>
          <w:tcPr>
            <w:tcW w:w="756" w:type="dxa"/>
            <w:vAlign w:val="center"/>
          </w:tcPr>
          <w:p w14:paraId="0B87600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smartTag w:uri="urn:schemas-microsoft-com:office:smarttags" w:element="metricconverter">
              <w:smartTagPr>
                <w:attr w:name="ProductID" w:val="0,1 mm"/>
              </w:smartTagPr>
              <w:r w:rsidRPr="006431C4">
                <w:rPr>
                  <w:rFonts w:cs="Arial"/>
                  <w:szCs w:val="20"/>
                </w:rPr>
                <w:t>0,1 mm</w:t>
              </w:r>
            </w:smartTag>
          </w:p>
        </w:tc>
        <w:tc>
          <w:tcPr>
            <w:tcW w:w="993" w:type="dxa"/>
            <w:vAlign w:val="center"/>
          </w:tcPr>
          <w:p w14:paraId="637B21D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NPD</w:t>
            </w:r>
            <w:r w:rsidRPr="006431C4">
              <w:rPr>
                <w:rFonts w:cs="Arial"/>
                <w:szCs w:val="20"/>
                <w:vertAlign w:val="superscript"/>
              </w:rPr>
              <w:t>a</w:t>
            </w:r>
          </w:p>
        </w:tc>
        <w:tc>
          <w:tcPr>
            <w:tcW w:w="708" w:type="dxa"/>
            <w:vAlign w:val="center"/>
          </w:tcPr>
          <w:p w14:paraId="05CE0B4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vAlign w:val="center"/>
          </w:tcPr>
          <w:p w14:paraId="4C9351E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NPD</w:t>
            </w:r>
            <w:r w:rsidRPr="006431C4">
              <w:rPr>
                <w:rFonts w:cs="Arial"/>
                <w:szCs w:val="20"/>
                <w:vertAlign w:val="superscript"/>
              </w:rPr>
              <w:t>a</w:t>
            </w:r>
          </w:p>
        </w:tc>
        <w:tc>
          <w:tcPr>
            <w:tcW w:w="850" w:type="dxa"/>
            <w:vAlign w:val="center"/>
          </w:tcPr>
          <w:p w14:paraId="4ABAAE3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r w:rsidR="00284CBE" w:rsidRPr="006431C4" w14:paraId="78F85B1E" w14:textId="77777777" w:rsidTr="00997FC3">
        <w:tc>
          <w:tcPr>
            <w:tcW w:w="2830" w:type="dxa"/>
            <w:vMerge/>
          </w:tcPr>
          <w:p w14:paraId="0808A73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4F02B4C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Spadek temperatury mięknienia po sta-rzeniu wg PN-EN 12607-1lub-3 [29] [30]</w:t>
            </w:r>
          </w:p>
        </w:tc>
        <w:tc>
          <w:tcPr>
            <w:tcW w:w="1440" w:type="dxa"/>
            <w:tcBorders>
              <w:bottom w:val="single" w:sz="4" w:space="0" w:color="auto"/>
            </w:tcBorders>
            <w:vAlign w:val="center"/>
          </w:tcPr>
          <w:p w14:paraId="35DE160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 [29]</w:t>
            </w:r>
          </w:p>
          <w:p w14:paraId="2400CFC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[21]</w:t>
            </w:r>
          </w:p>
        </w:tc>
        <w:tc>
          <w:tcPr>
            <w:tcW w:w="756" w:type="dxa"/>
            <w:tcBorders>
              <w:bottom w:val="single" w:sz="4" w:space="0" w:color="auto"/>
            </w:tcBorders>
            <w:vAlign w:val="center"/>
          </w:tcPr>
          <w:p w14:paraId="4E30FEE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993" w:type="dxa"/>
            <w:vAlign w:val="center"/>
          </w:tcPr>
          <w:p w14:paraId="48B0DC4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TBR</w:t>
            </w:r>
            <w:r w:rsidRPr="006431C4">
              <w:rPr>
                <w:rFonts w:cs="Arial"/>
                <w:szCs w:val="20"/>
                <w:vertAlign w:val="superscript"/>
              </w:rPr>
              <w:t>b</w:t>
            </w:r>
          </w:p>
        </w:tc>
        <w:tc>
          <w:tcPr>
            <w:tcW w:w="708" w:type="dxa"/>
            <w:vAlign w:val="center"/>
          </w:tcPr>
          <w:p w14:paraId="43FF9E9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851" w:type="dxa"/>
            <w:vAlign w:val="center"/>
          </w:tcPr>
          <w:p w14:paraId="4074821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TBR</w:t>
            </w:r>
            <w:r w:rsidRPr="006431C4">
              <w:rPr>
                <w:rFonts w:cs="Arial"/>
                <w:szCs w:val="20"/>
                <w:vertAlign w:val="superscript"/>
              </w:rPr>
              <w:t>b</w:t>
            </w:r>
          </w:p>
        </w:tc>
        <w:tc>
          <w:tcPr>
            <w:tcW w:w="850" w:type="dxa"/>
            <w:vAlign w:val="center"/>
          </w:tcPr>
          <w:p w14:paraId="50AF87C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33C26E9D" w14:textId="77777777" w:rsidTr="00997FC3">
        <w:tc>
          <w:tcPr>
            <w:tcW w:w="2830" w:type="dxa"/>
            <w:vMerge/>
          </w:tcPr>
          <w:p w14:paraId="6ACC83D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42EA7EFC"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Nawrót sprężysty w </w:t>
            </w:r>
            <w:smartTag w:uri="urn:schemas-microsoft-com:office:smarttags" w:element="metricconverter">
              <w:smartTagPr>
                <w:attr w:name="ProductID" w:val="25ﾰC"/>
              </w:smartTagPr>
              <w:r w:rsidRPr="006431C4">
                <w:rPr>
                  <w:rFonts w:cs="Arial"/>
                  <w:szCs w:val="20"/>
                </w:rPr>
                <w:t>25°C</w:t>
              </w:r>
            </w:smartTag>
            <w:r w:rsidRPr="006431C4">
              <w:rPr>
                <w:rFonts w:cs="Arial"/>
                <w:szCs w:val="20"/>
              </w:rPr>
              <w:t xml:space="preserve"> po starzeniu wg PN-EN 12607-1 lub  </w:t>
            </w:r>
          </w:p>
          <w:p w14:paraId="39166616"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 -3 [29] [30]</w:t>
            </w:r>
          </w:p>
        </w:tc>
        <w:tc>
          <w:tcPr>
            <w:tcW w:w="1440" w:type="dxa"/>
            <w:vMerge w:val="restart"/>
            <w:vAlign w:val="center"/>
          </w:tcPr>
          <w:p w14:paraId="2B5719F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 [29]</w:t>
            </w:r>
          </w:p>
          <w:p w14:paraId="478C90A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13398 [58]</w:t>
            </w:r>
          </w:p>
        </w:tc>
        <w:tc>
          <w:tcPr>
            <w:tcW w:w="756" w:type="dxa"/>
            <w:vMerge w:val="restart"/>
            <w:vAlign w:val="center"/>
          </w:tcPr>
          <w:p w14:paraId="7696CBD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993" w:type="dxa"/>
            <w:vAlign w:val="center"/>
          </w:tcPr>
          <w:p w14:paraId="121690C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50</w:t>
            </w:r>
          </w:p>
        </w:tc>
        <w:tc>
          <w:tcPr>
            <w:tcW w:w="708" w:type="dxa"/>
            <w:vAlign w:val="center"/>
          </w:tcPr>
          <w:p w14:paraId="06BE145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851" w:type="dxa"/>
            <w:vAlign w:val="center"/>
          </w:tcPr>
          <w:p w14:paraId="4520125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50</w:t>
            </w:r>
          </w:p>
        </w:tc>
        <w:tc>
          <w:tcPr>
            <w:tcW w:w="850" w:type="dxa"/>
            <w:vAlign w:val="center"/>
          </w:tcPr>
          <w:p w14:paraId="7A6C9CA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r>
      <w:tr w:rsidR="00284CBE" w:rsidRPr="006431C4" w14:paraId="04F698B6" w14:textId="77777777" w:rsidTr="00997FC3">
        <w:tc>
          <w:tcPr>
            <w:tcW w:w="2830" w:type="dxa"/>
            <w:vMerge/>
          </w:tcPr>
          <w:p w14:paraId="451A3C8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410" w:type="dxa"/>
            <w:vAlign w:val="center"/>
          </w:tcPr>
          <w:p w14:paraId="1A8FCE92"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Nawrót sprężysty w </w:t>
            </w:r>
            <w:smartTag w:uri="urn:schemas-microsoft-com:office:smarttags" w:element="metricconverter">
              <w:smartTagPr>
                <w:attr w:name="ProductID" w:val="10ﾰC"/>
              </w:smartTagPr>
              <w:r w:rsidRPr="006431C4">
                <w:rPr>
                  <w:rFonts w:cs="Arial"/>
                  <w:szCs w:val="20"/>
                </w:rPr>
                <w:t>10°C</w:t>
              </w:r>
            </w:smartTag>
            <w:r w:rsidRPr="006431C4">
              <w:rPr>
                <w:rFonts w:cs="Arial"/>
                <w:szCs w:val="20"/>
              </w:rPr>
              <w:t xml:space="preserve"> po starzeniu wg PN-EN 12607-1 lub  </w:t>
            </w:r>
          </w:p>
          <w:p w14:paraId="19F4893D"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 -3 [29] [30]</w:t>
            </w:r>
          </w:p>
        </w:tc>
        <w:tc>
          <w:tcPr>
            <w:tcW w:w="1440" w:type="dxa"/>
            <w:vMerge/>
            <w:vAlign w:val="center"/>
          </w:tcPr>
          <w:p w14:paraId="5541A69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756" w:type="dxa"/>
            <w:vMerge/>
            <w:vAlign w:val="center"/>
          </w:tcPr>
          <w:p w14:paraId="52A139A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993" w:type="dxa"/>
            <w:vAlign w:val="center"/>
          </w:tcPr>
          <w:p w14:paraId="0E2EE35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NPD</w:t>
            </w:r>
            <w:r w:rsidRPr="006431C4">
              <w:rPr>
                <w:rFonts w:cs="Arial"/>
                <w:szCs w:val="20"/>
                <w:vertAlign w:val="superscript"/>
              </w:rPr>
              <w:t>a</w:t>
            </w:r>
          </w:p>
        </w:tc>
        <w:tc>
          <w:tcPr>
            <w:tcW w:w="708" w:type="dxa"/>
            <w:vAlign w:val="center"/>
          </w:tcPr>
          <w:p w14:paraId="37D34DC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851" w:type="dxa"/>
            <w:tcBorders>
              <w:bottom w:val="single" w:sz="4" w:space="0" w:color="auto"/>
            </w:tcBorders>
            <w:vAlign w:val="center"/>
          </w:tcPr>
          <w:p w14:paraId="405AA8D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NPD</w:t>
            </w:r>
            <w:r w:rsidRPr="006431C4">
              <w:rPr>
                <w:rFonts w:cs="Arial"/>
                <w:szCs w:val="20"/>
                <w:vertAlign w:val="superscript"/>
              </w:rPr>
              <w:t>a</w:t>
            </w:r>
          </w:p>
        </w:tc>
        <w:tc>
          <w:tcPr>
            <w:tcW w:w="850" w:type="dxa"/>
            <w:tcBorders>
              <w:bottom w:val="single" w:sz="4" w:space="0" w:color="auto"/>
            </w:tcBorders>
            <w:vAlign w:val="center"/>
          </w:tcPr>
          <w:p w14:paraId="710C6E7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r w:rsidR="00284CBE" w:rsidRPr="006431C4" w14:paraId="41F30624" w14:textId="77777777" w:rsidTr="00997FC3">
        <w:tc>
          <w:tcPr>
            <w:tcW w:w="9137" w:type="dxa"/>
            <w:gridSpan w:val="6"/>
            <w:tcBorders>
              <w:top w:val="nil"/>
              <w:right w:val="nil"/>
            </w:tcBorders>
          </w:tcPr>
          <w:p w14:paraId="034D2AB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vertAlign w:val="superscript"/>
              </w:rPr>
              <w:t>a</w:t>
            </w:r>
            <w:r w:rsidRPr="006431C4">
              <w:rPr>
                <w:rFonts w:cs="Arial"/>
                <w:szCs w:val="20"/>
              </w:rPr>
              <w:t xml:space="preserve"> NPD – No Performance Determined (właściwość użytkowa nie określana)</w:t>
            </w:r>
          </w:p>
          <w:p w14:paraId="426BF1C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vertAlign w:val="superscript"/>
              </w:rPr>
              <w:t>b</w:t>
            </w:r>
            <w:r w:rsidRPr="006431C4">
              <w:rPr>
                <w:rFonts w:cs="Arial"/>
                <w:szCs w:val="20"/>
              </w:rPr>
              <w:t xml:space="preserve"> TBR – To Be Reported (do zadeklarowania)</w:t>
            </w:r>
          </w:p>
        </w:tc>
        <w:tc>
          <w:tcPr>
            <w:tcW w:w="851" w:type="dxa"/>
            <w:tcBorders>
              <w:top w:val="single" w:sz="4" w:space="0" w:color="auto"/>
              <w:left w:val="nil"/>
              <w:right w:val="nil"/>
            </w:tcBorders>
          </w:tcPr>
          <w:p w14:paraId="4227A74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vertAlign w:val="superscript"/>
              </w:rPr>
            </w:pPr>
          </w:p>
        </w:tc>
        <w:tc>
          <w:tcPr>
            <w:tcW w:w="850" w:type="dxa"/>
            <w:tcBorders>
              <w:top w:val="single" w:sz="4" w:space="0" w:color="auto"/>
              <w:left w:val="nil"/>
            </w:tcBorders>
          </w:tcPr>
          <w:p w14:paraId="064937E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vertAlign w:val="superscript"/>
              </w:rPr>
            </w:pPr>
          </w:p>
        </w:tc>
      </w:tr>
    </w:tbl>
    <w:p w14:paraId="233F6FC4" w14:textId="77777777" w:rsidR="00997FC3" w:rsidRPr="006431C4" w:rsidRDefault="00997FC3" w:rsidP="00284CBE">
      <w:pPr>
        <w:overflowPunct w:val="0"/>
        <w:autoSpaceDE w:val="0"/>
        <w:autoSpaceDN w:val="0"/>
        <w:adjustRightInd w:val="0"/>
        <w:spacing w:line="240" w:lineRule="auto"/>
        <w:ind w:left="1202" w:hanging="1202"/>
        <w:jc w:val="both"/>
        <w:textAlignment w:val="baseline"/>
        <w:rPr>
          <w:rFonts w:cs="Arial"/>
          <w:szCs w:val="20"/>
        </w:rPr>
      </w:pPr>
    </w:p>
    <w:p w14:paraId="53AF8021" w14:textId="77777777" w:rsidR="00997FC3" w:rsidRPr="006431C4" w:rsidRDefault="00997FC3" w:rsidP="00284CBE">
      <w:pPr>
        <w:overflowPunct w:val="0"/>
        <w:autoSpaceDE w:val="0"/>
        <w:autoSpaceDN w:val="0"/>
        <w:adjustRightInd w:val="0"/>
        <w:spacing w:line="240" w:lineRule="auto"/>
        <w:ind w:left="1202" w:hanging="1202"/>
        <w:jc w:val="both"/>
        <w:textAlignment w:val="baseline"/>
        <w:rPr>
          <w:rFonts w:cs="Arial"/>
          <w:szCs w:val="20"/>
        </w:rPr>
      </w:pPr>
    </w:p>
    <w:p w14:paraId="0ED3483C" w14:textId="77777777" w:rsidR="00284CBE" w:rsidRPr="006431C4" w:rsidRDefault="00284CBE" w:rsidP="00284CBE">
      <w:pPr>
        <w:overflowPunct w:val="0"/>
        <w:autoSpaceDE w:val="0"/>
        <w:autoSpaceDN w:val="0"/>
        <w:adjustRightInd w:val="0"/>
        <w:spacing w:line="240" w:lineRule="auto"/>
        <w:ind w:left="1202" w:hanging="1202"/>
        <w:jc w:val="both"/>
        <w:textAlignment w:val="baseline"/>
        <w:rPr>
          <w:rFonts w:cs="Arial"/>
          <w:szCs w:val="20"/>
        </w:rPr>
      </w:pPr>
      <w:r w:rsidRPr="006431C4">
        <w:rPr>
          <w:rFonts w:cs="Arial"/>
          <w:szCs w:val="20"/>
        </w:rPr>
        <w:t>Tablica 5. Wymagania wobec asfaltów wielorodzajowych wg PN-EN 13924-2:2014-04/Ap1 i Ap2 [65a]</w:t>
      </w:r>
    </w:p>
    <w:tbl>
      <w:tblPr>
        <w:tblW w:w="108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2"/>
        <w:gridCol w:w="2594"/>
        <w:gridCol w:w="827"/>
        <w:gridCol w:w="27"/>
        <w:gridCol w:w="2122"/>
        <w:gridCol w:w="1556"/>
        <w:gridCol w:w="27"/>
        <w:gridCol w:w="965"/>
        <w:gridCol w:w="27"/>
        <w:gridCol w:w="963"/>
        <w:gridCol w:w="54"/>
        <w:gridCol w:w="938"/>
        <w:gridCol w:w="54"/>
      </w:tblGrid>
      <w:tr w:rsidR="00284CBE" w:rsidRPr="006431C4" w14:paraId="7C08368C" w14:textId="77777777" w:rsidTr="00997FC3">
        <w:tc>
          <w:tcPr>
            <w:tcW w:w="662" w:type="dxa"/>
            <w:vMerge w:val="restart"/>
          </w:tcPr>
          <w:p w14:paraId="5A86DBE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02AEBF9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2594" w:type="dxa"/>
            <w:vMerge w:val="restart"/>
          </w:tcPr>
          <w:p w14:paraId="04F84D0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44AF211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w:t>
            </w:r>
          </w:p>
        </w:tc>
        <w:tc>
          <w:tcPr>
            <w:tcW w:w="827" w:type="dxa"/>
            <w:vMerge w:val="restart"/>
          </w:tcPr>
          <w:p w14:paraId="0D9463C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Jed-nos-tka</w:t>
            </w:r>
          </w:p>
        </w:tc>
        <w:tc>
          <w:tcPr>
            <w:tcW w:w="2149" w:type="dxa"/>
            <w:gridSpan w:val="2"/>
            <w:vMerge w:val="restart"/>
          </w:tcPr>
          <w:p w14:paraId="10C3C4D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416280B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w:t>
            </w:r>
          </w:p>
          <w:p w14:paraId="7AF17AF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badania</w:t>
            </w:r>
          </w:p>
        </w:tc>
        <w:tc>
          <w:tcPr>
            <w:tcW w:w="2575" w:type="dxa"/>
            <w:gridSpan w:val="4"/>
          </w:tcPr>
          <w:p w14:paraId="1D0771A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asfalt</w:t>
            </w:r>
          </w:p>
          <w:p w14:paraId="41A013B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MG 50/70-54/64</w:t>
            </w:r>
          </w:p>
        </w:tc>
        <w:tc>
          <w:tcPr>
            <w:tcW w:w="2009" w:type="dxa"/>
            <w:gridSpan w:val="4"/>
          </w:tcPr>
          <w:p w14:paraId="352163F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asfalt</w:t>
            </w:r>
          </w:p>
          <w:p w14:paraId="5D03F62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MG 35/50-57/69</w:t>
            </w:r>
          </w:p>
        </w:tc>
      </w:tr>
      <w:tr w:rsidR="00284CBE" w:rsidRPr="006431C4" w14:paraId="7F8F7F7F" w14:textId="77777777" w:rsidTr="00997FC3">
        <w:tc>
          <w:tcPr>
            <w:tcW w:w="662" w:type="dxa"/>
            <w:vMerge/>
          </w:tcPr>
          <w:p w14:paraId="6221920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2594" w:type="dxa"/>
            <w:vMerge/>
          </w:tcPr>
          <w:p w14:paraId="3CEB98B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827" w:type="dxa"/>
            <w:vMerge/>
          </w:tcPr>
          <w:p w14:paraId="354E889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2149" w:type="dxa"/>
            <w:gridSpan w:val="2"/>
            <w:vMerge/>
          </w:tcPr>
          <w:p w14:paraId="20DAAFB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583" w:type="dxa"/>
            <w:gridSpan w:val="2"/>
          </w:tcPr>
          <w:p w14:paraId="0094F04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c>
          <w:tcPr>
            <w:tcW w:w="992" w:type="dxa"/>
            <w:gridSpan w:val="2"/>
          </w:tcPr>
          <w:p w14:paraId="6CD2AEF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klasa</w:t>
            </w:r>
          </w:p>
        </w:tc>
        <w:tc>
          <w:tcPr>
            <w:tcW w:w="1017" w:type="dxa"/>
            <w:gridSpan w:val="2"/>
          </w:tcPr>
          <w:p w14:paraId="698FAF3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c>
          <w:tcPr>
            <w:tcW w:w="992" w:type="dxa"/>
            <w:gridSpan w:val="2"/>
          </w:tcPr>
          <w:p w14:paraId="4840F8A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klasa</w:t>
            </w:r>
          </w:p>
        </w:tc>
      </w:tr>
      <w:tr w:rsidR="00284CBE" w:rsidRPr="006431C4" w14:paraId="0E1F6CA9" w14:textId="77777777" w:rsidTr="00997FC3">
        <w:tc>
          <w:tcPr>
            <w:tcW w:w="662" w:type="dxa"/>
          </w:tcPr>
          <w:p w14:paraId="3F1B15C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2594" w:type="dxa"/>
          </w:tcPr>
          <w:p w14:paraId="0D1E9F9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Penetracja w </w:t>
            </w:r>
            <w:smartTag w:uri="urn:schemas-microsoft-com:office:smarttags" w:element="metricconverter">
              <w:smartTagPr>
                <w:attr w:name="ProductID" w:val="25ﾰC"/>
              </w:smartTagPr>
              <w:r w:rsidRPr="006431C4">
                <w:rPr>
                  <w:rFonts w:cs="Arial"/>
                  <w:szCs w:val="20"/>
                </w:rPr>
                <w:t>25°C</w:t>
              </w:r>
            </w:smartTag>
          </w:p>
        </w:tc>
        <w:tc>
          <w:tcPr>
            <w:tcW w:w="827" w:type="dxa"/>
            <w:vAlign w:val="center"/>
          </w:tcPr>
          <w:p w14:paraId="6ADD8E8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smartTag w:uri="urn:schemas-microsoft-com:office:smarttags" w:element="metricconverter">
              <w:smartTagPr>
                <w:attr w:name="ProductID" w:val="0,1 mm"/>
              </w:smartTagPr>
              <w:r w:rsidRPr="006431C4">
                <w:rPr>
                  <w:rFonts w:cs="Arial"/>
                  <w:szCs w:val="20"/>
                </w:rPr>
                <w:t>0,1 mm</w:t>
              </w:r>
            </w:smartTag>
          </w:p>
        </w:tc>
        <w:tc>
          <w:tcPr>
            <w:tcW w:w="2149" w:type="dxa"/>
            <w:gridSpan w:val="2"/>
            <w:vAlign w:val="center"/>
          </w:tcPr>
          <w:p w14:paraId="50B23BC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[20]</w:t>
            </w:r>
          </w:p>
        </w:tc>
        <w:tc>
          <w:tcPr>
            <w:tcW w:w="1583" w:type="dxa"/>
            <w:gridSpan w:val="2"/>
            <w:vAlign w:val="center"/>
          </w:tcPr>
          <w:p w14:paraId="60ACB7B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50÷70</w:t>
            </w:r>
          </w:p>
        </w:tc>
        <w:tc>
          <w:tcPr>
            <w:tcW w:w="992" w:type="dxa"/>
            <w:gridSpan w:val="2"/>
          </w:tcPr>
          <w:p w14:paraId="5D116AB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1017" w:type="dxa"/>
            <w:gridSpan w:val="2"/>
            <w:vAlign w:val="center"/>
          </w:tcPr>
          <w:p w14:paraId="0038740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35÷50</w:t>
            </w:r>
          </w:p>
        </w:tc>
        <w:tc>
          <w:tcPr>
            <w:tcW w:w="992" w:type="dxa"/>
            <w:gridSpan w:val="2"/>
          </w:tcPr>
          <w:p w14:paraId="10C91B0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284CBE" w:rsidRPr="006431C4" w14:paraId="31FB1828" w14:textId="77777777" w:rsidTr="00997FC3">
        <w:tc>
          <w:tcPr>
            <w:tcW w:w="662" w:type="dxa"/>
          </w:tcPr>
          <w:p w14:paraId="6698544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2594" w:type="dxa"/>
          </w:tcPr>
          <w:p w14:paraId="7CE7409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w:t>
            </w:r>
          </w:p>
        </w:tc>
        <w:tc>
          <w:tcPr>
            <w:tcW w:w="827" w:type="dxa"/>
            <w:vAlign w:val="center"/>
          </w:tcPr>
          <w:p w14:paraId="4EA5770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149" w:type="dxa"/>
            <w:gridSpan w:val="2"/>
            <w:vAlign w:val="center"/>
          </w:tcPr>
          <w:p w14:paraId="3CD4651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[21]</w:t>
            </w:r>
          </w:p>
        </w:tc>
        <w:tc>
          <w:tcPr>
            <w:tcW w:w="1583" w:type="dxa"/>
            <w:gridSpan w:val="2"/>
            <w:vAlign w:val="center"/>
          </w:tcPr>
          <w:p w14:paraId="3B38095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54÷64</w:t>
            </w:r>
          </w:p>
        </w:tc>
        <w:tc>
          <w:tcPr>
            <w:tcW w:w="992" w:type="dxa"/>
            <w:gridSpan w:val="2"/>
          </w:tcPr>
          <w:p w14:paraId="6FCC09F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1017" w:type="dxa"/>
            <w:gridSpan w:val="2"/>
            <w:vAlign w:val="center"/>
          </w:tcPr>
          <w:p w14:paraId="01A7A9D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57÷69</w:t>
            </w:r>
          </w:p>
        </w:tc>
        <w:tc>
          <w:tcPr>
            <w:tcW w:w="992" w:type="dxa"/>
            <w:gridSpan w:val="2"/>
          </w:tcPr>
          <w:p w14:paraId="182A834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5F41C7A2" w14:textId="77777777" w:rsidTr="00997FC3">
        <w:tc>
          <w:tcPr>
            <w:tcW w:w="662" w:type="dxa"/>
          </w:tcPr>
          <w:p w14:paraId="08DA81F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2594" w:type="dxa"/>
          </w:tcPr>
          <w:p w14:paraId="41B8071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Indeks penetracji</w:t>
            </w:r>
          </w:p>
        </w:tc>
        <w:tc>
          <w:tcPr>
            <w:tcW w:w="827" w:type="dxa"/>
            <w:vAlign w:val="center"/>
          </w:tcPr>
          <w:p w14:paraId="4BF46A8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149" w:type="dxa"/>
            <w:gridSpan w:val="2"/>
            <w:vAlign w:val="center"/>
          </w:tcPr>
          <w:p w14:paraId="7AA6F67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13924-2 [65]</w:t>
            </w:r>
          </w:p>
        </w:tc>
        <w:tc>
          <w:tcPr>
            <w:tcW w:w="1583" w:type="dxa"/>
            <w:gridSpan w:val="2"/>
            <w:vAlign w:val="center"/>
          </w:tcPr>
          <w:p w14:paraId="7249E2A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+0,3 do +2,0</w:t>
            </w:r>
          </w:p>
        </w:tc>
        <w:tc>
          <w:tcPr>
            <w:tcW w:w="992" w:type="dxa"/>
            <w:gridSpan w:val="2"/>
          </w:tcPr>
          <w:p w14:paraId="1789467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1017" w:type="dxa"/>
            <w:gridSpan w:val="2"/>
            <w:vAlign w:val="center"/>
          </w:tcPr>
          <w:p w14:paraId="0861DBD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+0,3 do </w:t>
            </w:r>
            <w:r w:rsidRPr="006431C4">
              <w:rPr>
                <w:rFonts w:cs="Arial"/>
                <w:szCs w:val="20"/>
              </w:rPr>
              <w:lastRenderedPageBreak/>
              <w:t>+2,0</w:t>
            </w:r>
          </w:p>
        </w:tc>
        <w:tc>
          <w:tcPr>
            <w:tcW w:w="992" w:type="dxa"/>
            <w:gridSpan w:val="2"/>
          </w:tcPr>
          <w:p w14:paraId="2D3B83F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3</w:t>
            </w:r>
          </w:p>
        </w:tc>
      </w:tr>
      <w:tr w:rsidR="00284CBE" w:rsidRPr="006431C4" w14:paraId="4D4F8713" w14:textId="77777777" w:rsidTr="00997FC3">
        <w:tc>
          <w:tcPr>
            <w:tcW w:w="662" w:type="dxa"/>
          </w:tcPr>
          <w:p w14:paraId="7994813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2594" w:type="dxa"/>
          </w:tcPr>
          <w:p w14:paraId="512D31D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zapłonu</w:t>
            </w:r>
          </w:p>
        </w:tc>
        <w:tc>
          <w:tcPr>
            <w:tcW w:w="827" w:type="dxa"/>
            <w:vAlign w:val="center"/>
          </w:tcPr>
          <w:p w14:paraId="4DDE7E8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149" w:type="dxa"/>
            <w:gridSpan w:val="2"/>
            <w:vAlign w:val="center"/>
          </w:tcPr>
          <w:p w14:paraId="6BA9681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ISO 2592 [70]</w:t>
            </w:r>
          </w:p>
        </w:tc>
        <w:tc>
          <w:tcPr>
            <w:tcW w:w="1583" w:type="dxa"/>
            <w:gridSpan w:val="2"/>
            <w:vAlign w:val="center"/>
          </w:tcPr>
          <w:p w14:paraId="5D0C4DF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≥250</w:t>
            </w:r>
          </w:p>
        </w:tc>
        <w:tc>
          <w:tcPr>
            <w:tcW w:w="992" w:type="dxa"/>
            <w:gridSpan w:val="2"/>
          </w:tcPr>
          <w:p w14:paraId="3C18F64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1017" w:type="dxa"/>
            <w:gridSpan w:val="2"/>
            <w:vAlign w:val="center"/>
          </w:tcPr>
          <w:p w14:paraId="24AD801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≥250</w:t>
            </w:r>
          </w:p>
        </w:tc>
        <w:tc>
          <w:tcPr>
            <w:tcW w:w="992" w:type="dxa"/>
            <w:gridSpan w:val="2"/>
          </w:tcPr>
          <w:p w14:paraId="2F182BA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r>
      <w:tr w:rsidR="00284CBE" w:rsidRPr="006431C4" w14:paraId="356A75FF" w14:textId="77777777" w:rsidTr="00997FC3">
        <w:tc>
          <w:tcPr>
            <w:tcW w:w="662" w:type="dxa"/>
          </w:tcPr>
          <w:p w14:paraId="7EFDC2D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2594" w:type="dxa"/>
          </w:tcPr>
          <w:p w14:paraId="68286AE6"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Rozpuszczal-ność</w:t>
            </w:r>
          </w:p>
        </w:tc>
        <w:tc>
          <w:tcPr>
            <w:tcW w:w="827" w:type="dxa"/>
            <w:vAlign w:val="center"/>
          </w:tcPr>
          <w:p w14:paraId="7199EDC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149" w:type="dxa"/>
            <w:gridSpan w:val="2"/>
            <w:vAlign w:val="center"/>
          </w:tcPr>
          <w:p w14:paraId="39436DD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12592 [24]</w:t>
            </w:r>
          </w:p>
        </w:tc>
        <w:tc>
          <w:tcPr>
            <w:tcW w:w="1583" w:type="dxa"/>
            <w:gridSpan w:val="2"/>
            <w:vAlign w:val="center"/>
          </w:tcPr>
          <w:p w14:paraId="6AD9B1D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≥99,0</w:t>
            </w:r>
          </w:p>
        </w:tc>
        <w:tc>
          <w:tcPr>
            <w:tcW w:w="992" w:type="dxa"/>
            <w:gridSpan w:val="2"/>
          </w:tcPr>
          <w:p w14:paraId="3C884BB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1017" w:type="dxa"/>
            <w:gridSpan w:val="2"/>
            <w:vAlign w:val="center"/>
          </w:tcPr>
          <w:p w14:paraId="53CC7CF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≥99,0</w:t>
            </w:r>
          </w:p>
        </w:tc>
        <w:tc>
          <w:tcPr>
            <w:tcW w:w="992" w:type="dxa"/>
            <w:gridSpan w:val="2"/>
          </w:tcPr>
          <w:p w14:paraId="66E334B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r>
      <w:tr w:rsidR="00284CBE" w:rsidRPr="006431C4" w14:paraId="5128EF9A" w14:textId="77777777" w:rsidTr="00997FC3">
        <w:tc>
          <w:tcPr>
            <w:tcW w:w="662" w:type="dxa"/>
          </w:tcPr>
          <w:p w14:paraId="503D9AD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2594" w:type="dxa"/>
          </w:tcPr>
          <w:p w14:paraId="666A16D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łamliwości Fraassa</w:t>
            </w:r>
          </w:p>
        </w:tc>
        <w:tc>
          <w:tcPr>
            <w:tcW w:w="827" w:type="dxa"/>
            <w:vAlign w:val="center"/>
          </w:tcPr>
          <w:p w14:paraId="0EFA8C0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149" w:type="dxa"/>
            <w:gridSpan w:val="2"/>
            <w:vAlign w:val="center"/>
          </w:tcPr>
          <w:p w14:paraId="3CD98C5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12593 [25]</w:t>
            </w:r>
          </w:p>
        </w:tc>
        <w:tc>
          <w:tcPr>
            <w:tcW w:w="1583" w:type="dxa"/>
            <w:gridSpan w:val="2"/>
            <w:vAlign w:val="center"/>
          </w:tcPr>
          <w:p w14:paraId="00E9526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≤-17</w:t>
            </w:r>
          </w:p>
        </w:tc>
        <w:tc>
          <w:tcPr>
            <w:tcW w:w="992" w:type="dxa"/>
            <w:gridSpan w:val="2"/>
          </w:tcPr>
          <w:p w14:paraId="120BE64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6D8D307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1017" w:type="dxa"/>
            <w:gridSpan w:val="2"/>
            <w:vAlign w:val="center"/>
          </w:tcPr>
          <w:p w14:paraId="5C893D4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992" w:type="dxa"/>
            <w:gridSpan w:val="2"/>
          </w:tcPr>
          <w:p w14:paraId="1801A32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11DC72B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r>
      <w:tr w:rsidR="00284CBE" w:rsidRPr="006431C4" w14:paraId="0B52CF01" w14:textId="77777777" w:rsidTr="00997FC3">
        <w:tc>
          <w:tcPr>
            <w:tcW w:w="662" w:type="dxa"/>
          </w:tcPr>
          <w:p w14:paraId="2A7CD81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2594" w:type="dxa"/>
          </w:tcPr>
          <w:p w14:paraId="127AA879"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Lepkość dynamiczna w 60°C</w:t>
            </w:r>
          </w:p>
        </w:tc>
        <w:tc>
          <w:tcPr>
            <w:tcW w:w="827" w:type="dxa"/>
            <w:vAlign w:val="center"/>
          </w:tcPr>
          <w:p w14:paraId="069DF3B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Pa∙s</w:t>
            </w:r>
          </w:p>
        </w:tc>
        <w:tc>
          <w:tcPr>
            <w:tcW w:w="2149" w:type="dxa"/>
            <w:gridSpan w:val="2"/>
            <w:vAlign w:val="center"/>
          </w:tcPr>
          <w:p w14:paraId="749A769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12596 [27]</w:t>
            </w:r>
          </w:p>
        </w:tc>
        <w:tc>
          <w:tcPr>
            <w:tcW w:w="1583" w:type="dxa"/>
            <w:gridSpan w:val="2"/>
            <w:vAlign w:val="center"/>
          </w:tcPr>
          <w:p w14:paraId="64C4358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≥900</w:t>
            </w:r>
          </w:p>
        </w:tc>
        <w:tc>
          <w:tcPr>
            <w:tcW w:w="992" w:type="dxa"/>
            <w:gridSpan w:val="2"/>
          </w:tcPr>
          <w:p w14:paraId="5647532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094D5BA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1017" w:type="dxa"/>
            <w:gridSpan w:val="2"/>
            <w:vAlign w:val="center"/>
          </w:tcPr>
          <w:p w14:paraId="77C1EBC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≥1500</w:t>
            </w:r>
          </w:p>
        </w:tc>
        <w:tc>
          <w:tcPr>
            <w:tcW w:w="992" w:type="dxa"/>
            <w:gridSpan w:val="2"/>
          </w:tcPr>
          <w:p w14:paraId="657E665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3D29E56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r>
      <w:tr w:rsidR="00284CBE" w:rsidRPr="006431C4" w14:paraId="64281310" w14:textId="77777777" w:rsidTr="00997FC3">
        <w:tc>
          <w:tcPr>
            <w:tcW w:w="662" w:type="dxa"/>
          </w:tcPr>
          <w:p w14:paraId="02DC156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2594" w:type="dxa"/>
          </w:tcPr>
          <w:p w14:paraId="502D1709"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Lepkość kinematyczna w 135°C</w:t>
            </w:r>
          </w:p>
        </w:tc>
        <w:tc>
          <w:tcPr>
            <w:tcW w:w="827" w:type="dxa"/>
            <w:vAlign w:val="center"/>
          </w:tcPr>
          <w:p w14:paraId="6CD9843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mm</w:t>
            </w:r>
            <w:r w:rsidRPr="006431C4">
              <w:rPr>
                <w:rFonts w:cs="Arial"/>
                <w:szCs w:val="20"/>
                <w:vertAlign w:val="superscript"/>
              </w:rPr>
              <w:t>2</w:t>
            </w:r>
            <w:r w:rsidRPr="006431C4">
              <w:rPr>
                <w:rFonts w:cs="Arial"/>
                <w:szCs w:val="20"/>
              </w:rPr>
              <w:t>/s</w:t>
            </w:r>
          </w:p>
        </w:tc>
        <w:tc>
          <w:tcPr>
            <w:tcW w:w="2149" w:type="dxa"/>
            <w:gridSpan w:val="2"/>
            <w:vAlign w:val="center"/>
          </w:tcPr>
          <w:p w14:paraId="6FB241E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12595 [26]</w:t>
            </w:r>
          </w:p>
        </w:tc>
        <w:tc>
          <w:tcPr>
            <w:tcW w:w="1583" w:type="dxa"/>
            <w:gridSpan w:val="2"/>
            <w:vAlign w:val="center"/>
          </w:tcPr>
          <w:p w14:paraId="2497ABA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c>
          <w:tcPr>
            <w:tcW w:w="992" w:type="dxa"/>
            <w:gridSpan w:val="2"/>
          </w:tcPr>
          <w:p w14:paraId="69A163C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6F7D02D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c>
          <w:tcPr>
            <w:tcW w:w="1017" w:type="dxa"/>
            <w:gridSpan w:val="2"/>
            <w:vAlign w:val="center"/>
          </w:tcPr>
          <w:p w14:paraId="29E395A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brak wyma-gań</w:t>
            </w:r>
          </w:p>
        </w:tc>
        <w:tc>
          <w:tcPr>
            <w:tcW w:w="992" w:type="dxa"/>
            <w:gridSpan w:val="2"/>
          </w:tcPr>
          <w:p w14:paraId="1AF0F88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297AB96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r w:rsidR="00284CBE" w:rsidRPr="006431C4" w14:paraId="1C8CE38E" w14:textId="77777777" w:rsidTr="00997FC3">
        <w:tc>
          <w:tcPr>
            <w:tcW w:w="10816" w:type="dxa"/>
            <w:gridSpan w:val="13"/>
          </w:tcPr>
          <w:p w14:paraId="70703AC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po starzeniu</w:t>
            </w:r>
          </w:p>
        </w:tc>
      </w:tr>
      <w:tr w:rsidR="00284CBE" w:rsidRPr="006431C4" w14:paraId="3A7C6BFE" w14:textId="77777777" w:rsidTr="00997FC3">
        <w:trPr>
          <w:gridAfter w:val="1"/>
          <w:wAfter w:w="54" w:type="dxa"/>
        </w:trPr>
        <w:tc>
          <w:tcPr>
            <w:tcW w:w="662" w:type="dxa"/>
          </w:tcPr>
          <w:p w14:paraId="640275A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2594" w:type="dxa"/>
          </w:tcPr>
          <w:p w14:paraId="4D689B4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Pozostała penetracja po starzeniu</w:t>
            </w:r>
          </w:p>
        </w:tc>
        <w:tc>
          <w:tcPr>
            <w:tcW w:w="854" w:type="dxa"/>
            <w:gridSpan w:val="2"/>
            <w:vAlign w:val="center"/>
          </w:tcPr>
          <w:p w14:paraId="4119C63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122" w:type="dxa"/>
            <w:vAlign w:val="center"/>
          </w:tcPr>
          <w:p w14:paraId="14D4FFA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1426 [20]</w:t>
            </w:r>
          </w:p>
        </w:tc>
        <w:tc>
          <w:tcPr>
            <w:tcW w:w="1556" w:type="dxa"/>
            <w:vAlign w:val="center"/>
          </w:tcPr>
          <w:p w14:paraId="4A603F7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w:t>
            </w:r>
          </w:p>
        </w:tc>
        <w:tc>
          <w:tcPr>
            <w:tcW w:w="992" w:type="dxa"/>
            <w:gridSpan w:val="2"/>
          </w:tcPr>
          <w:p w14:paraId="696FD95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02F1333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990" w:type="dxa"/>
            <w:gridSpan w:val="2"/>
            <w:vAlign w:val="center"/>
          </w:tcPr>
          <w:p w14:paraId="7A46E50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c>
          <w:tcPr>
            <w:tcW w:w="992" w:type="dxa"/>
            <w:gridSpan w:val="2"/>
          </w:tcPr>
          <w:p w14:paraId="0CCD16C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32EFF45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284CBE" w:rsidRPr="006431C4" w14:paraId="374B611A" w14:textId="77777777" w:rsidTr="00997FC3">
        <w:trPr>
          <w:gridAfter w:val="1"/>
          <w:wAfter w:w="54" w:type="dxa"/>
        </w:trPr>
        <w:tc>
          <w:tcPr>
            <w:tcW w:w="662" w:type="dxa"/>
          </w:tcPr>
          <w:p w14:paraId="5247BB5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2594" w:type="dxa"/>
          </w:tcPr>
          <w:p w14:paraId="24EA470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Wzrost temp. mięknienia po starzeniu</w:t>
            </w:r>
          </w:p>
        </w:tc>
        <w:tc>
          <w:tcPr>
            <w:tcW w:w="854" w:type="dxa"/>
            <w:gridSpan w:val="2"/>
            <w:vAlign w:val="center"/>
          </w:tcPr>
          <w:p w14:paraId="4AB2C1C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w:t>
            </w:r>
          </w:p>
        </w:tc>
        <w:tc>
          <w:tcPr>
            <w:tcW w:w="2122" w:type="dxa"/>
            <w:vAlign w:val="center"/>
          </w:tcPr>
          <w:p w14:paraId="46C02BD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 [21]</w:t>
            </w:r>
          </w:p>
        </w:tc>
        <w:tc>
          <w:tcPr>
            <w:tcW w:w="1556" w:type="dxa"/>
            <w:vAlign w:val="center"/>
          </w:tcPr>
          <w:p w14:paraId="555F5E7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992" w:type="dxa"/>
            <w:gridSpan w:val="2"/>
          </w:tcPr>
          <w:p w14:paraId="46B85A1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29641FA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990" w:type="dxa"/>
            <w:gridSpan w:val="2"/>
            <w:vAlign w:val="center"/>
          </w:tcPr>
          <w:p w14:paraId="011F55F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992" w:type="dxa"/>
            <w:gridSpan w:val="2"/>
          </w:tcPr>
          <w:p w14:paraId="2A308CD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2398C85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284CBE" w:rsidRPr="006431C4" w14:paraId="38340940" w14:textId="77777777" w:rsidTr="00997FC3">
        <w:trPr>
          <w:gridAfter w:val="1"/>
          <w:wAfter w:w="54" w:type="dxa"/>
        </w:trPr>
        <w:tc>
          <w:tcPr>
            <w:tcW w:w="662" w:type="dxa"/>
          </w:tcPr>
          <w:p w14:paraId="61D9055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11</w:t>
            </w:r>
          </w:p>
        </w:tc>
        <w:tc>
          <w:tcPr>
            <w:tcW w:w="2594" w:type="dxa"/>
          </w:tcPr>
          <w:p w14:paraId="5DADAE9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Zmiana masy po starzeniu</w:t>
            </w:r>
          </w:p>
        </w:tc>
        <w:tc>
          <w:tcPr>
            <w:tcW w:w="854" w:type="dxa"/>
            <w:gridSpan w:val="2"/>
            <w:vAlign w:val="center"/>
          </w:tcPr>
          <w:p w14:paraId="6B0EEF1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2122" w:type="dxa"/>
            <w:vAlign w:val="center"/>
          </w:tcPr>
          <w:p w14:paraId="36F6BC8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12607-1 [29]</w:t>
            </w:r>
          </w:p>
        </w:tc>
        <w:tc>
          <w:tcPr>
            <w:tcW w:w="1556" w:type="dxa"/>
            <w:vAlign w:val="center"/>
          </w:tcPr>
          <w:p w14:paraId="32AADD4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&lt;0,5</w:t>
            </w:r>
          </w:p>
        </w:tc>
        <w:tc>
          <w:tcPr>
            <w:tcW w:w="992" w:type="dxa"/>
            <w:gridSpan w:val="2"/>
          </w:tcPr>
          <w:p w14:paraId="5FF8F2D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990" w:type="dxa"/>
            <w:gridSpan w:val="2"/>
            <w:vAlign w:val="center"/>
          </w:tcPr>
          <w:p w14:paraId="6C8A205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&lt;0,5</w:t>
            </w:r>
          </w:p>
        </w:tc>
        <w:tc>
          <w:tcPr>
            <w:tcW w:w="992" w:type="dxa"/>
            <w:gridSpan w:val="2"/>
          </w:tcPr>
          <w:p w14:paraId="0A068BF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bl>
    <w:p w14:paraId="3F53AE8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085B0F1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6431C4">
          <w:rPr>
            <w:rFonts w:cs="Arial"/>
            <w:szCs w:val="20"/>
          </w:rPr>
          <w:t>5°C</w:t>
        </w:r>
      </w:smartTag>
      <w:r w:rsidRPr="006431C4">
        <w:rPr>
          <w:rFonts w:cs="Arial"/>
          <w:szCs w:val="20"/>
        </w:rPr>
        <w:t xml:space="preserve"> oraz układ cyrkulacji asfaltu. </w:t>
      </w:r>
    </w:p>
    <w:p w14:paraId="285EB8F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6431C4">
          <w:rPr>
            <w:rFonts w:cs="Arial"/>
            <w:szCs w:val="20"/>
          </w:rPr>
          <w:t>5°C</w:t>
        </w:r>
      </w:smartTag>
      <w:r w:rsidRPr="006431C4">
        <w:rPr>
          <w:rFonts w:cs="Arial"/>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54EB1D92"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Temperatura lepiszcza asfaltowego w zbiorniku magazynowym (roboczym) nie powinna przekraczać w okresie krótkotrwałym, nie dłuższym niż 5 dni,  poniższych wartości: </w:t>
      </w:r>
    </w:p>
    <w:p w14:paraId="5ADA4035" w14:textId="77777777" w:rsidR="00284CBE" w:rsidRPr="006431C4" w:rsidRDefault="00284CBE" w:rsidP="00CF1E7D">
      <w:pPr>
        <w:numPr>
          <w:ilvl w:val="0"/>
          <w:numId w:val="161"/>
        </w:numPr>
        <w:overflowPunct w:val="0"/>
        <w:autoSpaceDE w:val="0"/>
        <w:autoSpaceDN w:val="0"/>
        <w:adjustRightInd w:val="0"/>
        <w:spacing w:line="240" w:lineRule="auto"/>
        <w:jc w:val="both"/>
        <w:textAlignment w:val="baseline"/>
        <w:rPr>
          <w:rFonts w:cs="Arial"/>
          <w:szCs w:val="20"/>
        </w:rPr>
      </w:pPr>
      <w:r w:rsidRPr="006431C4">
        <w:rPr>
          <w:rFonts w:cs="Arial"/>
          <w:szCs w:val="20"/>
        </w:rPr>
        <w:t>asfaltu drogowego 35/50: 190°C,</w:t>
      </w:r>
    </w:p>
    <w:p w14:paraId="01DE06C0" w14:textId="77777777" w:rsidR="00284CBE" w:rsidRPr="006431C4" w:rsidRDefault="00284CBE" w:rsidP="00CF1E7D">
      <w:pPr>
        <w:numPr>
          <w:ilvl w:val="0"/>
          <w:numId w:val="161"/>
        </w:numPr>
        <w:overflowPunct w:val="0"/>
        <w:autoSpaceDE w:val="0"/>
        <w:autoSpaceDN w:val="0"/>
        <w:adjustRightInd w:val="0"/>
        <w:spacing w:line="240" w:lineRule="auto"/>
        <w:jc w:val="both"/>
        <w:textAlignment w:val="baseline"/>
        <w:rPr>
          <w:rFonts w:cs="Arial"/>
          <w:szCs w:val="20"/>
        </w:rPr>
      </w:pPr>
      <w:r w:rsidRPr="006431C4">
        <w:rPr>
          <w:rFonts w:cs="Arial"/>
          <w:szCs w:val="20"/>
        </w:rPr>
        <w:t>asfaltu drogowego 50/70: 180°C,</w:t>
      </w:r>
    </w:p>
    <w:p w14:paraId="3DB5B0E4" w14:textId="77777777" w:rsidR="00284CBE" w:rsidRPr="006431C4" w:rsidRDefault="00284CBE" w:rsidP="00CF1E7D">
      <w:pPr>
        <w:numPr>
          <w:ilvl w:val="0"/>
          <w:numId w:val="161"/>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polimeroasfaltu: wg wskazań producenta,</w:t>
      </w:r>
    </w:p>
    <w:p w14:paraId="7E4FFD0F" w14:textId="77777777" w:rsidR="00284CBE" w:rsidRPr="006431C4" w:rsidRDefault="00284CBE" w:rsidP="00CF1E7D">
      <w:pPr>
        <w:numPr>
          <w:ilvl w:val="0"/>
          <w:numId w:val="161"/>
        </w:numPr>
        <w:overflowPunct w:val="0"/>
        <w:autoSpaceDE w:val="0"/>
        <w:autoSpaceDN w:val="0"/>
        <w:adjustRightInd w:val="0"/>
        <w:spacing w:line="240" w:lineRule="auto"/>
        <w:jc w:val="both"/>
        <w:textAlignment w:val="baseline"/>
        <w:rPr>
          <w:rFonts w:cs="Arial"/>
          <w:szCs w:val="20"/>
        </w:rPr>
      </w:pPr>
      <w:r w:rsidRPr="006431C4">
        <w:rPr>
          <w:rFonts w:cs="Arial"/>
          <w:szCs w:val="20"/>
        </w:rPr>
        <w:t>asfaltu drogowego wielorodzajowego: wg wskazań producenta.</w:t>
      </w:r>
    </w:p>
    <w:p w14:paraId="5DAC1E4F"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celu ograniczenia ilości emisji gazów cieplarnianych oraz obniżenia temperatury mieszania składników i poprawienia urabialności mieszanki mineralno-asfaltowej dopuszcza się zastosowanie asfaltu spienionego.</w:t>
      </w:r>
    </w:p>
    <w:p w14:paraId="2F13B243"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2.4. Kruszywo </w:t>
      </w:r>
    </w:p>
    <w:p w14:paraId="21AA8DF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2714ACC6"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Jeżeli stosowana jest mieszanka kruszywa drobnego niełamanego i łamanego, to należy przyjąć proporcje kruszywa łamanego do niełamanego co najmniej 50/50.</w:t>
      </w:r>
    </w:p>
    <w:p w14:paraId="5F34E751"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Wymagania dla kruszyw według WT-1 Kruszywa 2014 [81]  są podane w tablicach poniżej. </w:t>
      </w:r>
    </w:p>
    <w:p w14:paraId="0B9B01E5" w14:textId="77777777" w:rsidR="00284CBE" w:rsidRPr="006431C4" w:rsidRDefault="00284CBE" w:rsidP="00284CBE">
      <w:pPr>
        <w:overflowPunct w:val="0"/>
        <w:autoSpaceDE w:val="0"/>
        <w:autoSpaceDN w:val="0"/>
        <w:adjustRightInd w:val="0"/>
        <w:spacing w:line="240" w:lineRule="auto"/>
        <w:ind w:left="240" w:hanging="240"/>
        <w:jc w:val="both"/>
        <w:textAlignment w:val="baseline"/>
        <w:rPr>
          <w:rFonts w:cs="Arial"/>
          <w:szCs w:val="20"/>
        </w:rPr>
      </w:pPr>
      <w:r w:rsidRPr="006431C4">
        <w:rPr>
          <w:rFonts w:cs="Arial"/>
          <w:szCs w:val="20"/>
        </w:rPr>
        <w:t>a) Kruszywo grube do warstwy wiążącej i wyrównawczej z betonu asfaltowego powinno spełniać wymagania podane w tablicy 6.</w:t>
      </w:r>
    </w:p>
    <w:p w14:paraId="54A45E25" w14:textId="77777777" w:rsidR="00997FC3" w:rsidRPr="006431C4" w:rsidRDefault="00997FC3" w:rsidP="00284CBE">
      <w:pPr>
        <w:overflowPunct w:val="0"/>
        <w:autoSpaceDE w:val="0"/>
        <w:autoSpaceDN w:val="0"/>
        <w:adjustRightInd w:val="0"/>
        <w:spacing w:line="240" w:lineRule="auto"/>
        <w:ind w:left="240" w:hanging="240"/>
        <w:jc w:val="both"/>
        <w:textAlignment w:val="baseline"/>
        <w:rPr>
          <w:rFonts w:cs="Arial"/>
          <w:szCs w:val="20"/>
        </w:rPr>
      </w:pPr>
    </w:p>
    <w:p w14:paraId="40BC94DF" w14:textId="77777777" w:rsidR="00284CBE" w:rsidRPr="006431C4" w:rsidRDefault="00284CBE" w:rsidP="00284CBE">
      <w:pPr>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6.</w:t>
      </w:r>
      <w:r w:rsidRPr="006431C4">
        <w:rPr>
          <w:rFonts w:cs="Arial"/>
          <w:szCs w:val="20"/>
        </w:rPr>
        <w:tab/>
        <w:t>Wymagane właściwości kruszywa grubego do warstwy wiążącej i wyrównawczej  z betonu asfaltowego</w:t>
      </w:r>
    </w:p>
    <w:tbl>
      <w:tblPr>
        <w:tblW w:w="1051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0"/>
        <w:gridCol w:w="5099"/>
        <w:gridCol w:w="1800"/>
        <w:gridCol w:w="19"/>
        <w:gridCol w:w="1300"/>
        <w:gridCol w:w="236"/>
        <w:gridCol w:w="1226"/>
        <w:gridCol w:w="236"/>
      </w:tblGrid>
      <w:tr w:rsidR="00284CBE" w:rsidRPr="006431C4" w14:paraId="762F3632" w14:textId="77777777" w:rsidTr="00697F2D">
        <w:trPr>
          <w:gridAfter w:val="1"/>
          <w:wAfter w:w="236" w:type="dxa"/>
        </w:trPr>
        <w:tc>
          <w:tcPr>
            <w:tcW w:w="600" w:type="dxa"/>
            <w:vAlign w:val="center"/>
          </w:tcPr>
          <w:p w14:paraId="1DA80A47" w14:textId="77777777" w:rsidR="00284CBE" w:rsidRPr="006431C4" w:rsidRDefault="00284CBE" w:rsidP="00284CBE">
            <w:pPr>
              <w:overflowPunct w:val="0"/>
              <w:autoSpaceDE w:val="0"/>
              <w:autoSpaceDN w:val="0"/>
              <w:adjustRightInd w:val="0"/>
              <w:spacing w:line="240" w:lineRule="auto"/>
              <w:ind w:left="-1418" w:right="252"/>
              <w:jc w:val="both"/>
              <w:textAlignment w:val="baseline"/>
              <w:rPr>
                <w:rFonts w:cs="Arial"/>
                <w:szCs w:val="20"/>
              </w:rPr>
            </w:pPr>
            <w:r w:rsidRPr="006431C4">
              <w:rPr>
                <w:rFonts w:cs="Arial"/>
                <w:szCs w:val="20"/>
              </w:rPr>
              <w:t>Lp.</w:t>
            </w:r>
          </w:p>
        </w:tc>
        <w:tc>
          <w:tcPr>
            <w:tcW w:w="5099" w:type="dxa"/>
            <w:vAlign w:val="center"/>
          </w:tcPr>
          <w:p w14:paraId="529F026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kruszywa</w:t>
            </w:r>
          </w:p>
        </w:tc>
        <w:tc>
          <w:tcPr>
            <w:tcW w:w="1819" w:type="dxa"/>
            <w:gridSpan w:val="2"/>
          </w:tcPr>
          <w:p w14:paraId="392C4DF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KR1÷KR2</w:t>
            </w:r>
          </w:p>
        </w:tc>
        <w:tc>
          <w:tcPr>
            <w:tcW w:w="1300" w:type="dxa"/>
          </w:tcPr>
          <w:p w14:paraId="73B7ABB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KR3÷KR4</w:t>
            </w:r>
          </w:p>
        </w:tc>
        <w:tc>
          <w:tcPr>
            <w:tcW w:w="1462" w:type="dxa"/>
            <w:gridSpan w:val="2"/>
          </w:tcPr>
          <w:p w14:paraId="68433AAF" w14:textId="77777777" w:rsidR="00284CBE" w:rsidRPr="006431C4" w:rsidRDefault="00284CBE" w:rsidP="00284CBE">
            <w:pPr>
              <w:overflowPunct w:val="0"/>
              <w:autoSpaceDE w:val="0"/>
              <w:autoSpaceDN w:val="0"/>
              <w:adjustRightInd w:val="0"/>
              <w:spacing w:line="240" w:lineRule="auto"/>
              <w:ind w:right="12"/>
              <w:jc w:val="center"/>
              <w:textAlignment w:val="baseline"/>
              <w:rPr>
                <w:rFonts w:cs="Arial"/>
                <w:szCs w:val="20"/>
              </w:rPr>
            </w:pPr>
            <w:r w:rsidRPr="006431C4">
              <w:rPr>
                <w:rFonts w:cs="Arial"/>
                <w:szCs w:val="20"/>
              </w:rPr>
              <w:t>KR5÷KR7</w:t>
            </w:r>
          </w:p>
        </w:tc>
      </w:tr>
      <w:tr w:rsidR="00284CBE" w:rsidRPr="006431C4" w14:paraId="2C4FA0EF" w14:textId="77777777" w:rsidTr="00697F2D">
        <w:trPr>
          <w:gridAfter w:val="1"/>
          <w:wAfter w:w="236" w:type="dxa"/>
        </w:trPr>
        <w:tc>
          <w:tcPr>
            <w:tcW w:w="600" w:type="dxa"/>
          </w:tcPr>
          <w:p w14:paraId="0C3F083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5099" w:type="dxa"/>
            <w:vAlign w:val="center"/>
          </w:tcPr>
          <w:p w14:paraId="692AD6C2"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Uziarnienie według PN-EN 933-1[6]; kategoria nie niższa niż:</w:t>
            </w:r>
          </w:p>
        </w:tc>
        <w:tc>
          <w:tcPr>
            <w:tcW w:w="1819" w:type="dxa"/>
            <w:gridSpan w:val="2"/>
            <w:vAlign w:val="center"/>
          </w:tcPr>
          <w:p w14:paraId="2B7DB3D5"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vertAlign w:val="superscript"/>
              </w:rPr>
            </w:pPr>
            <w:r w:rsidRPr="006431C4">
              <w:rPr>
                <w:rFonts w:cs="Arial"/>
                <w:szCs w:val="20"/>
              </w:rPr>
              <w:t>G</w:t>
            </w:r>
            <w:r w:rsidRPr="006431C4">
              <w:rPr>
                <w:rFonts w:cs="Arial"/>
                <w:szCs w:val="20"/>
                <w:vertAlign w:val="subscript"/>
              </w:rPr>
              <w:t>C</w:t>
            </w:r>
            <w:r w:rsidRPr="006431C4">
              <w:rPr>
                <w:rFonts w:cs="Arial"/>
                <w:szCs w:val="20"/>
              </w:rPr>
              <w:t>85/20</w:t>
            </w:r>
          </w:p>
        </w:tc>
        <w:tc>
          <w:tcPr>
            <w:tcW w:w="1300" w:type="dxa"/>
            <w:vAlign w:val="center"/>
          </w:tcPr>
          <w:p w14:paraId="1068C6AD"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vertAlign w:val="superscript"/>
              </w:rPr>
            </w:pPr>
            <w:r w:rsidRPr="006431C4">
              <w:rPr>
                <w:rFonts w:cs="Arial"/>
                <w:szCs w:val="20"/>
              </w:rPr>
              <w:t>G</w:t>
            </w:r>
            <w:r w:rsidRPr="006431C4">
              <w:rPr>
                <w:rFonts w:cs="Arial"/>
                <w:szCs w:val="20"/>
                <w:vertAlign w:val="subscript"/>
              </w:rPr>
              <w:t>C</w:t>
            </w:r>
            <w:r w:rsidRPr="006431C4">
              <w:rPr>
                <w:rFonts w:cs="Arial"/>
                <w:szCs w:val="20"/>
              </w:rPr>
              <w:t>90/20</w:t>
            </w:r>
          </w:p>
        </w:tc>
        <w:tc>
          <w:tcPr>
            <w:tcW w:w="1462" w:type="dxa"/>
            <w:gridSpan w:val="2"/>
            <w:vAlign w:val="center"/>
          </w:tcPr>
          <w:p w14:paraId="1E9A9B97"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vertAlign w:val="superscript"/>
              </w:rPr>
            </w:pPr>
            <w:r w:rsidRPr="006431C4">
              <w:rPr>
                <w:rFonts w:cs="Arial"/>
                <w:szCs w:val="20"/>
              </w:rPr>
              <w:t>G</w:t>
            </w:r>
            <w:r w:rsidRPr="006431C4">
              <w:rPr>
                <w:rFonts w:cs="Arial"/>
                <w:szCs w:val="20"/>
                <w:vertAlign w:val="subscript"/>
              </w:rPr>
              <w:t>C</w:t>
            </w:r>
            <w:r w:rsidRPr="006431C4">
              <w:rPr>
                <w:rFonts w:cs="Arial"/>
                <w:szCs w:val="20"/>
              </w:rPr>
              <w:t>90/20</w:t>
            </w:r>
          </w:p>
        </w:tc>
      </w:tr>
      <w:tr w:rsidR="00284CBE" w:rsidRPr="006431C4" w14:paraId="2948BD85" w14:textId="77777777" w:rsidTr="00697F2D">
        <w:trPr>
          <w:gridAfter w:val="1"/>
          <w:wAfter w:w="236" w:type="dxa"/>
        </w:trPr>
        <w:tc>
          <w:tcPr>
            <w:tcW w:w="600" w:type="dxa"/>
          </w:tcPr>
          <w:p w14:paraId="05DDC9B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5099" w:type="dxa"/>
            <w:vAlign w:val="center"/>
          </w:tcPr>
          <w:p w14:paraId="288F4F1D"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Tolerancja uziarnienia; odchylenia nie większe niż według kategorii:</w:t>
            </w:r>
          </w:p>
        </w:tc>
        <w:tc>
          <w:tcPr>
            <w:tcW w:w="1819" w:type="dxa"/>
            <w:gridSpan w:val="2"/>
          </w:tcPr>
          <w:p w14:paraId="1CDACDC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25/15</w:t>
            </w:r>
          </w:p>
          <w:p w14:paraId="1114EE4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20/15</w:t>
            </w:r>
          </w:p>
          <w:p w14:paraId="6B0639B0"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G</w:t>
            </w:r>
            <w:r w:rsidRPr="006431C4">
              <w:rPr>
                <w:rFonts w:cs="Arial"/>
                <w:szCs w:val="20"/>
                <w:vertAlign w:val="subscript"/>
              </w:rPr>
              <w:t>20/17,5</w:t>
            </w:r>
          </w:p>
        </w:tc>
        <w:tc>
          <w:tcPr>
            <w:tcW w:w="1300" w:type="dxa"/>
          </w:tcPr>
          <w:p w14:paraId="68E0069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25/15</w:t>
            </w:r>
          </w:p>
          <w:p w14:paraId="756A30E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20/15</w:t>
            </w:r>
          </w:p>
          <w:p w14:paraId="05E35B3A"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G</w:t>
            </w:r>
            <w:r w:rsidRPr="006431C4">
              <w:rPr>
                <w:rFonts w:cs="Arial"/>
                <w:szCs w:val="20"/>
                <w:vertAlign w:val="subscript"/>
              </w:rPr>
              <w:t>20/17,5</w:t>
            </w:r>
          </w:p>
        </w:tc>
        <w:tc>
          <w:tcPr>
            <w:tcW w:w="1462" w:type="dxa"/>
            <w:gridSpan w:val="2"/>
            <w:vAlign w:val="center"/>
          </w:tcPr>
          <w:p w14:paraId="7E2F67D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25/15</w:t>
            </w:r>
          </w:p>
          <w:p w14:paraId="7BB027B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G</w:t>
            </w:r>
            <w:r w:rsidRPr="006431C4">
              <w:rPr>
                <w:rFonts w:cs="Arial"/>
                <w:szCs w:val="20"/>
                <w:vertAlign w:val="subscript"/>
              </w:rPr>
              <w:t>20/15</w:t>
            </w:r>
          </w:p>
          <w:p w14:paraId="2FF01B01"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G</w:t>
            </w:r>
            <w:r w:rsidRPr="006431C4">
              <w:rPr>
                <w:rFonts w:cs="Arial"/>
                <w:szCs w:val="20"/>
                <w:vertAlign w:val="subscript"/>
              </w:rPr>
              <w:t>20/17,5</w:t>
            </w:r>
          </w:p>
        </w:tc>
      </w:tr>
      <w:tr w:rsidR="00284CBE" w:rsidRPr="006431C4" w14:paraId="7B2C5FDE" w14:textId="77777777" w:rsidTr="00697F2D">
        <w:trPr>
          <w:gridAfter w:val="1"/>
          <w:wAfter w:w="236" w:type="dxa"/>
        </w:trPr>
        <w:tc>
          <w:tcPr>
            <w:tcW w:w="600" w:type="dxa"/>
          </w:tcPr>
          <w:p w14:paraId="669B6E1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5099" w:type="dxa"/>
            <w:vAlign w:val="center"/>
          </w:tcPr>
          <w:p w14:paraId="73DB0281"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Zawartość pyłu według PN-EN 933-1 [6]; kategoria nie wyższa niż:</w:t>
            </w:r>
          </w:p>
        </w:tc>
        <w:tc>
          <w:tcPr>
            <w:tcW w:w="1819" w:type="dxa"/>
            <w:gridSpan w:val="2"/>
          </w:tcPr>
          <w:p w14:paraId="33FBF7C4"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f</w:t>
            </w:r>
            <w:r w:rsidRPr="006431C4">
              <w:rPr>
                <w:rFonts w:cs="Arial"/>
                <w:szCs w:val="20"/>
                <w:vertAlign w:val="subscript"/>
              </w:rPr>
              <w:t>2</w:t>
            </w:r>
          </w:p>
        </w:tc>
        <w:tc>
          <w:tcPr>
            <w:tcW w:w="1300" w:type="dxa"/>
          </w:tcPr>
          <w:p w14:paraId="645CD911"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f</w:t>
            </w:r>
            <w:r w:rsidRPr="006431C4">
              <w:rPr>
                <w:rFonts w:cs="Arial"/>
                <w:szCs w:val="20"/>
                <w:vertAlign w:val="subscript"/>
              </w:rPr>
              <w:t>2</w:t>
            </w:r>
          </w:p>
        </w:tc>
        <w:tc>
          <w:tcPr>
            <w:tcW w:w="1462" w:type="dxa"/>
            <w:gridSpan w:val="2"/>
            <w:vAlign w:val="center"/>
          </w:tcPr>
          <w:p w14:paraId="59004A39"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f</w:t>
            </w:r>
            <w:r w:rsidRPr="006431C4">
              <w:rPr>
                <w:rFonts w:cs="Arial"/>
                <w:szCs w:val="20"/>
                <w:vertAlign w:val="subscript"/>
              </w:rPr>
              <w:t>2</w:t>
            </w:r>
          </w:p>
        </w:tc>
      </w:tr>
      <w:tr w:rsidR="00284CBE" w:rsidRPr="006431C4" w14:paraId="67E5B066" w14:textId="77777777" w:rsidTr="00697F2D">
        <w:trPr>
          <w:gridAfter w:val="1"/>
          <w:wAfter w:w="236" w:type="dxa"/>
        </w:trPr>
        <w:tc>
          <w:tcPr>
            <w:tcW w:w="600" w:type="dxa"/>
          </w:tcPr>
          <w:p w14:paraId="7066CED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5099" w:type="dxa"/>
            <w:vAlign w:val="center"/>
          </w:tcPr>
          <w:p w14:paraId="33191BD7"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Kształt kruszywa według PN-EN 933-3 [7] lub według PN-EN 933-4 [8]; kategoria nie wyższa niż:</w:t>
            </w:r>
          </w:p>
        </w:tc>
        <w:tc>
          <w:tcPr>
            <w:tcW w:w="1819" w:type="dxa"/>
            <w:gridSpan w:val="2"/>
            <w:vAlign w:val="center"/>
          </w:tcPr>
          <w:p w14:paraId="654DE0F1"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FI</w:t>
            </w:r>
            <w:r w:rsidRPr="006431C4">
              <w:rPr>
                <w:rFonts w:cs="Arial"/>
                <w:i/>
                <w:szCs w:val="20"/>
                <w:vertAlign w:val="subscript"/>
              </w:rPr>
              <w:t>35</w:t>
            </w:r>
            <w:r w:rsidRPr="006431C4">
              <w:rPr>
                <w:rFonts w:cs="Arial"/>
                <w:szCs w:val="20"/>
              </w:rPr>
              <w:t xml:space="preserve"> lub </w:t>
            </w:r>
            <w:r w:rsidRPr="006431C4">
              <w:rPr>
                <w:rFonts w:cs="Arial"/>
                <w:i/>
                <w:szCs w:val="20"/>
              </w:rPr>
              <w:t>SI</w:t>
            </w:r>
            <w:r w:rsidRPr="006431C4">
              <w:rPr>
                <w:rFonts w:cs="Arial"/>
                <w:i/>
                <w:szCs w:val="20"/>
                <w:vertAlign w:val="subscript"/>
              </w:rPr>
              <w:t>35</w:t>
            </w:r>
          </w:p>
        </w:tc>
        <w:tc>
          <w:tcPr>
            <w:tcW w:w="1300" w:type="dxa"/>
            <w:vAlign w:val="center"/>
          </w:tcPr>
          <w:p w14:paraId="77BB7595"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FI</w:t>
            </w:r>
            <w:r w:rsidRPr="006431C4">
              <w:rPr>
                <w:rFonts w:cs="Arial"/>
                <w:i/>
                <w:szCs w:val="20"/>
                <w:vertAlign w:val="subscript"/>
              </w:rPr>
              <w:t>25</w:t>
            </w:r>
            <w:r w:rsidRPr="006431C4">
              <w:rPr>
                <w:rFonts w:cs="Arial"/>
                <w:szCs w:val="20"/>
              </w:rPr>
              <w:t xml:space="preserve"> lub </w:t>
            </w:r>
            <w:r w:rsidRPr="006431C4">
              <w:rPr>
                <w:rFonts w:cs="Arial"/>
                <w:i/>
                <w:szCs w:val="20"/>
              </w:rPr>
              <w:t>SI</w:t>
            </w:r>
            <w:r w:rsidRPr="006431C4">
              <w:rPr>
                <w:rFonts w:cs="Arial"/>
                <w:i/>
                <w:szCs w:val="20"/>
                <w:vertAlign w:val="subscript"/>
              </w:rPr>
              <w:t>25</w:t>
            </w:r>
          </w:p>
        </w:tc>
        <w:tc>
          <w:tcPr>
            <w:tcW w:w="1462" w:type="dxa"/>
            <w:gridSpan w:val="2"/>
            <w:vAlign w:val="center"/>
          </w:tcPr>
          <w:p w14:paraId="6D9AD4E1"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FI</w:t>
            </w:r>
            <w:r w:rsidRPr="006431C4">
              <w:rPr>
                <w:rFonts w:cs="Arial"/>
                <w:i/>
                <w:szCs w:val="20"/>
                <w:vertAlign w:val="subscript"/>
              </w:rPr>
              <w:t>25</w:t>
            </w:r>
            <w:r w:rsidRPr="006431C4">
              <w:rPr>
                <w:rFonts w:cs="Arial"/>
                <w:szCs w:val="20"/>
              </w:rPr>
              <w:t xml:space="preserve"> lub </w:t>
            </w:r>
            <w:r w:rsidRPr="006431C4">
              <w:rPr>
                <w:rFonts w:cs="Arial"/>
                <w:i/>
                <w:szCs w:val="20"/>
              </w:rPr>
              <w:t>SI</w:t>
            </w:r>
            <w:r w:rsidRPr="006431C4">
              <w:rPr>
                <w:rFonts w:cs="Arial"/>
                <w:i/>
                <w:szCs w:val="20"/>
                <w:vertAlign w:val="subscript"/>
              </w:rPr>
              <w:t>25</w:t>
            </w:r>
          </w:p>
        </w:tc>
      </w:tr>
      <w:tr w:rsidR="00284CBE" w:rsidRPr="006431C4" w14:paraId="681B9DB7" w14:textId="77777777" w:rsidTr="00697F2D">
        <w:trPr>
          <w:gridAfter w:val="1"/>
          <w:wAfter w:w="236" w:type="dxa"/>
        </w:trPr>
        <w:tc>
          <w:tcPr>
            <w:tcW w:w="600" w:type="dxa"/>
          </w:tcPr>
          <w:p w14:paraId="71AD323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5099" w:type="dxa"/>
            <w:vAlign w:val="center"/>
          </w:tcPr>
          <w:p w14:paraId="1C6C36CF"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Procentowa zawartość ziaren o powierzchni przekruszonej i łamanej w kruszywie grubym według PN-EN 933-5 [9]; kategoria nie niższa niż:</w:t>
            </w:r>
          </w:p>
        </w:tc>
        <w:tc>
          <w:tcPr>
            <w:tcW w:w="1819" w:type="dxa"/>
            <w:gridSpan w:val="2"/>
            <w:vAlign w:val="center"/>
          </w:tcPr>
          <w:p w14:paraId="7E7F59F8"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C</w:t>
            </w:r>
            <w:r w:rsidRPr="006431C4">
              <w:rPr>
                <w:rFonts w:cs="Arial"/>
                <w:i/>
                <w:szCs w:val="20"/>
                <w:vertAlign w:val="subscript"/>
              </w:rPr>
              <w:t>deklarowana</w:t>
            </w:r>
          </w:p>
        </w:tc>
        <w:tc>
          <w:tcPr>
            <w:tcW w:w="1300" w:type="dxa"/>
            <w:vAlign w:val="center"/>
          </w:tcPr>
          <w:p w14:paraId="76AB76D3"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C</w:t>
            </w:r>
            <w:r w:rsidRPr="006431C4">
              <w:rPr>
                <w:rFonts w:cs="Arial"/>
                <w:i/>
                <w:szCs w:val="20"/>
                <w:vertAlign w:val="subscript"/>
              </w:rPr>
              <w:t>50</w:t>
            </w:r>
            <w:r w:rsidRPr="006431C4">
              <w:rPr>
                <w:rFonts w:cs="Arial"/>
                <w:szCs w:val="20"/>
                <w:vertAlign w:val="subscript"/>
              </w:rPr>
              <w:t>/10</w:t>
            </w:r>
          </w:p>
        </w:tc>
        <w:tc>
          <w:tcPr>
            <w:tcW w:w="1462" w:type="dxa"/>
            <w:gridSpan w:val="2"/>
            <w:vAlign w:val="center"/>
          </w:tcPr>
          <w:p w14:paraId="2AFA870C"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C</w:t>
            </w:r>
            <w:r w:rsidRPr="006431C4">
              <w:rPr>
                <w:rFonts w:cs="Arial"/>
                <w:i/>
                <w:szCs w:val="20"/>
                <w:vertAlign w:val="subscript"/>
              </w:rPr>
              <w:t>50</w:t>
            </w:r>
            <w:r w:rsidRPr="006431C4">
              <w:rPr>
                <w:rFonts w:cs="Arial"/>
                <w:szCs w:val="20"/>
                <w:vertAlign w:val="subscript"/>
              </w:rPr>
              <w:t>/10</w:t>
            </w:r>
          </w:p>
        </w:tc>
      </w:tr>
      <w:tr w:rsidR="00284CBE" w:rsidRPr="006431C4" w14:paraId="08EC9E12" w14:textId="77777777" w:rsidTr="00697F2D">
        <w:trPr>
          <w:gridAfter w:val="1"/>
          <w:wAfter w:w="236" w:type="dxa"/>
        </w:trPr>
        <w:tc>
          <w:tcPr>
            <w:tcW w:w="600" w:type="dxa"/>
          </w:tcPr>
          <w:p w14:paraId="067E64D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5099" w:type="dxa"/>
            <w:vAlign w:val="center"/>
          </w:tcPr>
          <w:p w14:paraId="39EEC958"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Odporność kruszywa na rozdrabnianie według normy PN-EN 1097-2[13], badana na kruszywie o wymiarze 10/14, rozdział 5, kategoria nie wyższa niż:</w:t>
            </w:r>
          </w:p>
        </w:tc>
        <w:tc>
          <w:tcPr>
            <w:tcW w:w="1819" w:type="dxa"/>
            <w:gridSpan w:val="2"/>
            <w:vAlign w:val="center"/>
          </w:tcPr>
          <w:p w14:paraId="18AF14E1"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LA</w:t>
            </w:r>
            <w:r w:rsidRPr="006431C4">
              <w:rPr>
                <w:rFonts w:cs="Arial"/>
                <w:i/>
                <w:szCs w:val="20"/>
                <w:vertAlign w:val="subscript"/>
              </w:rPr>
              <w:t>40</w:t>
            </w:r>
          </w:p>
        </w:tc>
        <w:tc>
          <w:tcPr>
            <w:tcW w:w="1300" w:type="dxa"/>
            <w:vAlign w:val="center"/>
          </w:tcPr>
          <w:p w14:paraId="0FC0C266"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LA</w:t>
            </w:r>
            <w:r w:rsidRPr="006431C4">
              <w:rPr>
                <w:rFonts w:cs="Arial"/>
                <w:i/>
                <w:szCs w:val="20"/>
                <w:vertAlign w:val="subscript"/>
              </w:rPr>
              <w:t>30</w:t>
            </w:r>
          </w:p>
        </w:tc>
        <w:tc>
          <w:tcPr>
            <w:tcW w:w="1462" w:type="dxa"/>
            <w:gridSpan w:val="2"/>
            <w:vAlign w:val="center"/>
          </w:tcPr>
          <w:p w14:paraId="70EE818B"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LA</w:t>
            </w:r>
            <w:r w:rsidRPr="006431C4">
              <w:rPr>
                <w:rFonts w:cs="Arial"/>
                <w:szCs w:val="20"/>
                <w:vertAlign w:val="subscript"/>
              </w:rPr>
              <w:t>30</w:t>
            </w:r>
          </w:p>
        </w:tc>
      </w:tr>
      <w:tr w:rsidR="00284CBE" w:rsidRPr="006431C4" w14:paraId="227A6D2B" w14:textId="77777777" w:rsidTr="00697F2D">
        <w:tc>
          <w:tcPr>
            <w:tcW w:w="600" w:type="dxa"/>
          </w:tcPr>
          <w:p w14:paraId="7878D3A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5099" w:type="dxa"/>
            <w:vAlign w:val="center"/>
          </w:tcPr>
          <w:p w14:paraId="4E5CB9EF"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 xml:space="preserve">Gęstość ziaren według PN-EN 1097-6 [16], rozdział 7, </w:t>
            </w:r>
            <w:r w:rsidRPr="006431C4">
              <w:rPr>
                <w:rFonts w:cs="Arial"/>
                <w:szCs w:val="20"/>
              </w:rPr>
              <w:lastRenderedPageBreak/>
              <w:t>8 lub 9:</w:t>
            </w:r>
          </w:p>
        </w:tc>
        <w:tc>
          <w:tcPr>
            <w:tcW w:w="1800" w:type="dxa"/>
            <w:vAlign w:val="center"/>
          </w:tcPr>
          <w:p w14:paraId="5655E0DC"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lastRenderedPageBreak/>
              <w:t xml:space="preserve">deklarowana </w:t>
            </w:r>
            <w:r w:rsidRPr="006431C4">
              <w:rPr>
                <w:rFonts w:cs="Arial"/>
                <w:szCs w:val="20"/>
              </w:rPr>
              <w:lastRenderedPageBreak/>
              <w:t>przez producenta</w:t>
            </w:r>
          </w:p>
        </w:tc>
        <w:tc>
          <w:tcPr>
            <w:tcW w:w="1555" w:type="dxa"/>
            <w:gridSpan w:val="3"/>
            <w:vAlign w:val="center"/>
          </w:tcPr>
          <w:p w14:paraId="37A04C5C"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lastRenderedPageBreak/>
              <w:t xml:space="preserve">deklarowana </w:t>
            </w:r>
            <w:r w:rsidRPr="006431C4">
              <w:rPr>
                <w:rFonts w:cs="Arial"/>
                <w:szCs w:val="20"/>
              </w:rPr>
              <w:lastRenderedPageBreak/>
              <w:t>przez producenta</w:t>
            </w:r>
          </w:p>
        </w:tc>
        <w:tc>
          <w:tcPr>
            <w:tcW w:w="1462" w:type="dxa"/>
            <w:gridSpan w:val="2"/>
            <w:vAlign w:val="center"/>
          </w:tcPr>
          <w:p w14:paraId="1B9E499B"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lastRenderedPageBreak/>
              <w:t xml:space="preserve">deklarowana </w:t>
            </w:r>
            <w:r w:rsidRPr="006431C4">
              <w:rPr>
                <w:rFonts w:cs="Arial"/>
                <w:szCs w:val="20"/>
              </w:rPr>
              <w:lastRenderedPageBreak/>
              <w:t>przez producenta</w:t>
            </w:r>
          </w:p>
        </w:tc>
      </w:tr>
      <w:tr w:rsidR="00284CBE" w:rsidRPr="006431C4" w14:paraId="4664424A" w14:textId="77777777" w:rsidTr="00697F2D">
        <w:tc>
          <w:tcPr>
            <w:tcW w:w="600" w:type="dxa"/>
          </w:tcPr>
          <w:p w14:paraId="4DBAC46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8</w:t>
            </w:r>
          </w:p>
        </w:tc>
        <w:tc>
          <w:tcPr>
            <w:tcW w:w="5099" w:type="dxa"/>
            <w:vAlign w:val="center"/>
          </w:tcPr>
          <w:p w14:paraId="110D0BE5"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Nasiąkliwość według PN-EN 1097-6 [16], rozdział 7, 8 lub 9:</w:t>
            </w:r>
          </w:p>
        </w:tc>
        <w:tc>
          <w:tcPr>
            <w:tcW w:w="1800" w:type="dxa"/>
            <w:vAlign w:val="center"/>
          </w:tcPr>
          <w:p w14:paraId="3C8E0252"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deklarowana przez producenta</w:t>
            </w:r>
          </w:p>
        </w:tc>
        <w:tc>
          <w:tcPr>
            <w:tcW w:w="1555" w:type="dxa"/>
            <w:gridSpan w:val="3"/>
            <w:vAlign w:val="center"/>
          </w:tcPr>
          <w:p w14:paraId="2EFBCB1F"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deklarowana przez producenta</w:t>
            </w:r>
          </w:p>
        </w:tc>
        <w:tc>
          <w:tcPr>
            <w:tcW w:w="1462" w:type="dxa"/>
            <w:gridSpan w:val="2"/>
            <w:vAlign w:val="center"/>
          </w:tcPr>
          <w:p w14:paraId="0CAC3B1B"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deklarowana przez producenta</w:t>
            </w:r>
          </w:p>
        </w:tc>
      </w:tr>
      <w:tr w:rsidR="00284CBE" w:rsidRPr="006431C4" w14:paraId="70E737FE" w14:textId="77777777" w:rsidTr="00697F2D">
        <w:tc>
          <w:tcPr>
            <w:tcW w:w="600" w:type="dxa"/>
          </w:tcPr>
          <w:p w14:paraId="0F4FF5A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c>
          <w:tcPr>
            <w:tcW w:w="5099" w:type="dxa"/>
            <w:vAlign w:val="center"/>
          </w:tcPr>
          <w:p w14:paraId="09903A00"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Mrozoodporność według PN-EN 1367-1 [18], badana na kruszywie 8/11, 11/16 lub 8/16; kategoria nie wyższa niż:</w:t>
            </w:r>
          </w:p>
        </w:tc>
        <w:tc>
          <w:tcPr>
            <w:tcW w:w="1800" w:type="dxa"/>
          </w:tcPr>
          <w:p w14:paraId="7D0DD129"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p>
          <w:p w14:paraId="161E16D2"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F</w:t>
            </w:r>
            <w:r w:rsidRPr="006431C4">
              <w:rPr>
                <w:rFonts w:cs="Arial"/>
                <w:i/>
                <w:szCs w:val="20"/>
                <w:vertAlign w:val="subscript"/>
              </w:rPr>
              <w:t>2</w:t>
            </w:r>
          </w:p>
        </w:tc>
        <w:tc>
          <w:tcPr>
            <w:tcW w:w="1555" w:type="dxa"/>
            <w:gridSpan w:val="3"/>
          </w:tcPr>
          <w:p w14:paraId="1B5E32C2"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p>
          <w:p w14:paraId="07CE065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F</w:t>
            </w:r>
            <w:r w:rsidRPr="006431C4">
              <w:rPr>
                <w:rFonts w:cs="Arial"/>
                <w:i/>
                <w:szCs w:val="20"/>
                <w:vertAlign w:val="subscript"/>
              </w:rPr>
              <w:t>2</w:t>
            </w:r>
          </w:p>
        </w:tc>
        <w:tc>
          <w:tcPr>
            <w:tcW w:w="1462" w:type="dxa"/>
            <w:gridSpan w:val="2"/>
          </w:tcPr>
          <w:p w14:paraId="05D6AEA6"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p>
          <w:p w14:paraId="17F6C4C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F</w:t>
            </w:r>
            <w:r w:rsidRPr="006431C4">
              <w:rPr>
                <w:rFonts w:cs="Arial"/>
                <w:i/>
                <w:szCs w:val="20"/>
                <w:vertAlign w:val="subscript"/>
              </w:rPr>
              <w:t>2</w:t>
            </w:r>
          </w:p>
        </w:tc>
      </w:tr>
      <w:tr w:rsidR="00284CBE" w:rsidRPr="006431C4" w14:paraId="55B291EF" w14:textId="77777777" w:rsidTr="00697F2D">
        <w:tc>
          <w:tcPr>
            <w:tcW w:w="600" w:type="dxa"/>
          </w:tcPr>
          <w:p w14:paraId="715BEC3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5099" w:type="dxa"/>
            <w:vAlign w:val="center"/>
          </w:tcPr>
          <w:p w14:paraId="6E826F12"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 xml:space="preserve">„Zgorzel słoneczna” bazaltu według </w:t>
            </w:r>
            <w:r w:rsidRPr="006431C4">
              <w:rPr>
                <w:rFonts w:cs="Arial"/>
                <w:szCs w:val="20"/>
              </w:rPr>
              <w:br/>
              <w:t>PN-EN 1367-3 [19]; wymagana kategoria:</w:t>
            </w:r>
          </w:p>
        </w:tc>
        <w:tc>
          <w:tcPr>
            <w:tcW w:w="1800" w:type="dxa"/>
          </w:tcPr>
          <w:p w14:paraId="1CEBE513"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p>
          <w:p w14:paraId="20BFD429"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SB</w:t>
            </w:r>
            <w:r w:rsidRPr="006431C4">
              <w:rPr>
                <w:rFonts w:cs="Arial"/>
                <w:szCs w:val="20"/>
                <w:vertAlign w:val="subscript"/>
              </w:rPr>
              <w:t>LA</w:t>
            </w:r>
          </w:p>
        </w:tc>
        <w:tc>
          <w:tcPr>
            <w:tcW w:w="1555" w:type="dxa"/>
            <w:gridSpan w:val="3"/>
          </w:tcPr>
          <w:p w14:paraId="7A3ADC98"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p>
          <w:p w14:paraId="3F2D99CC"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SB</w:t>
            </w:r>
            <w:r w:rsidRPr="006431C4">
              <w:rPr>
                <w:rFonts w:cs="Arial"/>
                <w:szCs w:val="20"/>
                <w:vertAlign w:val="subscript"/>
              </w:rPr>
              <w:t>LA</w:t>
            </w:r>
          </w:p>
        </w:tc>
        <w:tc>
          <w:tcPr>
            <w:tcW w:w="1462" w:type="dxa"/>
            <w:gridSpan w:val="2"/>
            <w:vAlign w:val="center"/>
          </w:tcPr>
          <w:p w14:paraId="5371F436"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SB</w:t>
            </w:r>
            <w:r w:rsidRPr="006431C4">
              <w:rPr>
                <w:rFonts w:cs="Arial"/>
                <w:szCs w:val="20"/>
                <w:vertAlign w:val="subscript"/>
              </w:rPr>
              <w:t>LA</w:t>
            </w:r>
          </w:p>
        </w:tc>
      </w:tr>
      <w:tr w:rsidR="00284CBE" w:rsidRPr="006431C4" w14:paraId="6CAC6969" w14:textId="77777777" w:rsidTr="00697F2D">
        <w:tc>
          <w:tcPr>
            <w:tcW w:w="600" w:type="dxa"/>
          </w:tcPr>
          <w:p w14:paraId="3E95614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11</w:t>
            </w:r>
          </w:p>
        </w:tc>
        <w:tc>
          <w:tcPr>
            <w:tcW w:w="5099" w:type="dxa"/>
            <w:vAlign w:val="center"/>
          </w:tcPr>
          <w:p w14:paraId="03C0D5E1"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Skład chemiczny – uproszczony opis petrograficzny według PN-EN 932-3 [5]</w:t>
            </w:r>
          </w:p>
        </w:tc>
        <w:tc>
          <w:tcPr>
            <w:tcW w:w="1800" w:type="dxa"/>
          </w:tcPr>
          <w:p w14:paraId="17D9D55C"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deklarowany przez producenta</w:t>
            </w:r>
          </w:p>
        </w:tc>
        <w:tc>
          <w:tcPr>
            <w:tcW w:w="1555" w:type="dxa"/>
            <w:gridSpan w:val="3"/>
          </w:tcPr>
          <w:p w14:paraId="1ADADBE1"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deklarowany przez producenta</w:t>
            </w:r>
          </w:p>
        </w:tc>
        <w:tc>
          <w:tcPr>
            <w:tcW w:w="1462" w:type="dxa"/>
            <w:gridSpan w:val="2"/>
            <w:vAlign w:val="center"/>
          </w:tcPr>
          <w:p w14:paraId="5931F5B8"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deklarowany przez producenta</w:t>
            </w:r>
          </w:p>
        </w:tc>
      </w:tr>
      <w:tr w:rsidR="00284CBE" w:rsidRPr="006431C4" w14:paraId="2446DD1C" w14:textId="77777777" w:rsidTr="00697F2D">
        <w:tc>
          <w:tcPr>
            <w:tcW w:w="600" w:type="dxa"/>
          </w:tcPr>
          <w:p w14:paraId="2D54CB9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c>
          <w:tcPr>
            <w:tcW w:w="5099" w:type="dxa"/>
            <w:vAlign w:val="center"/>
          </w:tcPr>
          <w:p w14:paraId="29144A96"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Grube zanieczyszczenia lekkie według PN-EN 1744-1 [22], p. 14.2; kategoria nie wyższa niż:</w:t>
            </w:r>
          </w:p>
        </w:tc>
        <w:tc>
          <w:tcPr>
            <w:tcW w:w="1800" w:type="dxa"/>
          </w:tcPr>
          <w:p w14:paraId="0A7E1C56"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p>
          <w:p w14:paraId="2311B96E"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m</w:t>
            </w:r>
            <w:r w:rsidRPr="006431C4">
              <w:rPr>
                <w:rFonts w:cs="Arial"/>
                <w:szCs w:val="20"/>
                <w:vertAlign w:val="subscript"/>
              </w:rPr>
              <w:t>LPC</w:t>
            </w:r>
            <w:r w:rsidRPr="006431C4">
              <w:rPr>
                <w:rFonts w:cs="Arial"/>
                <w:szCs w:val="20"/>
              </w:rPr>
              <w:t xml:space="preserve"> 0,1</w:t>
            </w:r>
          </w:p>
        </w:tc>
        <w:tc>
          <w:tcPr>
            <w:tcW w:w="1555" w:type="dxa"/>
            <w:gridSpan w:val="3"/>
          </w:tcPr>
          <w:p w14:paraId="7A036E8C"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p>
          <w:p w14:paraId="70B4FCE6"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m</w:t>
            </w:r>
            <w:r w:rsidRPr="006431C4">
              <w:rPr>
                <w:rFonts w:cs="Arial"/>
                <w:szCs w:val="20"/>
                <w:vertAlign w:val="subscript"/>
              </w:rPr>
              <w:t>LPC</w:t>
            </w:r>
            <w:r w:rsidRPr="006431C4">
              <w:rPr>
                <w:rFonts w:cs="Arial"/>
                <w:szCs w:val="20"/>
              </w:rPr>
              <w:t xml:space="preserve"> 0,1</w:t>
            </w:r>
          </w:p>
        </w:tc>
        <w:tc>
          <w:tcPr>
            <w:tcW w:w="1462" w:type="dxa"/>
            <w:gridSpan w:val="2"/>
            <w:vAlign w:val="center"/>
          </w:tcPr>
          <w:p w14:paraId="6A56F020"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m</w:t>
            </w:r>
            <w:r w:rsidRPr="006431C4">
              <w:rPr>
                <w:rFonts w:cs="Arial"/>
                <w:szCs w:val="20"/>
                <w:vertAlign w:val="subscript"/>
              </w:rPr>
              <w:t>LPC</w:t>
            </w:r>
            <w:r w:rsidRPr="006431C4">
              <w:rPr>
                <w:rFonts w:cs="Arial"/>
                <w:szCs w:val="20"/>
              </w:rPr>
              <w:t xml:space="preserve"> 0,1</w:t>
            </w:r>
          </w:p>
        </w:tc>
      </w:tr>
      <w:tr w:rsidR="00284CBE" w:rsidRPr="006431C4" w14:paraId="094620A0" w14:textId="77777777" w:rsidTr="00697F2D">
        <w:tc>
          <w:tcPr>
            <w:tcW w:w="600" w:type="dxa"/>
          </w:tcPr>
          <w:p w14:paraId="4D9D3AB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13</w:t>
            </w:r>
          </w:p>
        </w:tc>
        <w:tc>
          <w:tcPr>
            <w:tcW w:w="5099" w:type="dxa"/>
            <w:vAlign w:val="center"/>
          </w:tcPr>
          <w:p w14:paraId="23E23328"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Rozpad krzemianowy żużla wielko-piecowego chłodzonego powietrzem według PN-EN 1744-1 [22], p. 19.1:</w:t>
            </w:r>
          </w:p>
        </w:tc>
        <w:tc>
          <w:tcPr>
            <w:tcW w:w="1800" w:type="dxa"/>
            <w:vAlign w:val="center"/>
          </w:tcPr>
          <w:p w14:paraId="37D1539B"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wymagana odporność</w:t>
            </w:r>
          </w:p>
        </w:tc>
        <w:tc>
          <w:tcPr>
            <w:tcW w:w="1555" w:type="dxa"/>
            <w:gridSpan w:val="3"/>
            <w:vAlign w:val="center"/>
          </w:tcPr>
          <w:p w14:paraId="7481457C"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wymagana odporność</w:t>
            </w:r>
          </w:p>
        </w:tc>
        <w:tc>
          <w:tcPr>
            <w:tcW w:w="1462" w:type="dxa"/>
            <w:gridSpan w:val="2"/>
            <w:vAlign w:val="center"/>
          </w:tcPr>
          <w:p w14:paraId="1E53A0A2"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wymagana odporność</w:t>
            </w:r>
          </w:p>
        </w:tc>
      </w:tr>
      <w:tr w:rsidR="00284CBE" w:rsidRPr="006431C4" w14:paraId="0982F2E4" w14:textId="77777777" w:rsidTr="00697F2D">
        <w:tc>
          <w:tcPr>
            <w:tcW w:w="600" w:type="dxa"/>
          </w:tcPr>
          <w:p w14:paraId="625E4F5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14</w:t>
            </w:r>
          </w:p>
        </w:tc>
        <w:tc>
          <w:tcPr>
            <w:tcW w:w="5099" w:type="dxa"/>
            <w:vAlign w:val="center"/>
          </w:tcPr>
          <w:p w14:paraId="5715FBA4"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Rozpad żelazowy żużla wielko-piecowego chłodzonego powietrzem według PN-EN 1744-1[22], p. 19.2:</w:t>
            </w:r>
          </w:p>
        </w:tc>
        <w:tc>
          <w:tcPr>
            <w:tcW w:w="1800" w:type="dxa"/>
            <w:vAlign w:val="center"/>
          </w:tcPr>
          <w:p w14:paraId="0163B047"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wymagana odporność</w:t>
            </w:r>
          </w:p>
        </w:tc>
        <w:tc>
          <w:tcPr>
            <w:tcW w:w="1555" w:type="dxa"/>
            <w:gridSpan w:val="3"/>
            <w:vAlign w:val="center"/>
          </w:tcPr>
          <w:p w14:paraId="686E4445"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wymagana odporność</w:t>
            </w:r>
          </w:p>
        </w:tc>
        <w:tc>
          <w:tcPr>
            <w:tcW w:w="1462" w:type="dxa"/>
            <w:gridSpan w:val="2"/>
            <w:vAlign w:val="center"/>
          </w:tcPr>
          <w:p w14:paraId="693DF8E9"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szCs w:val="20"/>
              </w:rPr>
              <w:t>wymagana odporność</w:t>
            </w:r>
          </w:p>
        </w:tc>
      </w:tr>
      <w:tr w:rsidR="00284CBE" w:rsidRPr="006431C4" w14:paraId="72FC73F5" w14:textId="77777777" w:rsidTr="00697F2D">
        <w:tc>
          <w:tcPr>
            <w:tcW w:w="600" w:type="dxa"/>
          </w:tcPr>
          <w:p w14:paraId="7FACCC0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5099" w:type="dxa"/>
            <w:vAlign w:val="center"/>
          </w:tcPr>
          <w:p w14:paraId="231CE38B"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Stałość objętości kruszywa z żużla stalowniczego według PN-EN 1744-1 [22], p. 19.3; kategoria nie wyższa niż:</w:t>
            </w:r>
          </w:p>
        </w:tc>
        <w:tc>
          <w:tcPr>
            <w:tcW w:w="1800" w:type="dxa"/>
          </w:tcPr>
          <w:p w14:paraId="265216A7"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p>
          <w:p w14:paraId="363BBF43"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V</w:t>
            </w:r>
            <w:r w:rsidRPr="006431C4">
              <w:rPr>
                <w:rFonts w:cs="Arial"/>
                <w:szCs w:val="20"/>
                <w:vertAlign w:val="subscript"/>
              </w:rPr>
              <w:t>3,5</w:t>
            </w:r>
          </w:p>
        </w:tc>
        <w:tc>
          <w:tcPr>
            <w:tcW w:w="1555" w:type="dxa"/>
            <w:gridSpan w:val="3"/>
          </w:tcPr>
          <w:p w14:paraId="2D2548D4"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p>
          <w:p w14:paraId="0A67BE8B"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V</w:t>
            </w:r>
            <w:r w:rsidRPr="006431C4">
              <w:rPr>
                <w:rFonts w:cs="Arial"/>
                <w:szCs w:val="20"/>
                <w:vertAlign w:val="subscript"/>
              </w:rPr>
              <w:t>3,5</w:t>
            </w:r>
          </w:p>
        </w:tc>
        <w:tc>
          <w:tcPr>
            <w:tcW w:w="1462" w:type="dxa"/>
            <w:gridSpan w:val="2"/>
            <w:vAlign w:val="center"/>
          </w:tcPr>
          <w:p w14:paraId="49057F96" w14:textId="77777777" w:rsidR="00284CBE" w:rsidRPr="006431C4" w:rsidRDefault="00284CBE" w:rsidP="00284CBE">
            <w:pPr>
              <w:overflowPunct w:val="0"/>
              <w:autoSpaceDE w:val="0"/>
              <w:autoSpaceDN w:val="0"/>
              <w:adjustRightInd w:val="0"/>
              <w:spacing w:line="240" w:lineRule="auto"/>
              <w:jc w:val="center"/>
              <w:textAlignment w:val="baseline"/>
              <w:rPr>
                <w:rFonts w:cs="Arial"/>
                <w:b/>
                <w:szCs w:val="20"/>
              </w:rPr>
            </w:pPr>
            <w:r w:rsidRPr="006431C4">
              <w:rPr>
                <w:rFonts w:cs="Arial"/>
                <w:i/>
                <w:szCs w:val="20"/>
              </w:rPr>
              <w:t>V</w:t>
            </w:r>
            <w:r w:rsidRPr="006431C4">
              <w:rPr>
                <w:rFonts w:cs="Arial"/>
                <w:szCs w:val="20"/>
                <w:vertAlign w:val="subscript"/>
              </w:rPr>
              <w:t>3,5</w:t>
            </w:r>
          </w:p>
        </w:tc>
      </w:tr>
    </w:tbl>
    <w:p w14:paraId="59F96F5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5132629B" w14:textId="77777777" w:rsidR="00284CBE" w:rsidRPr="006431C4" w:rsidRDefault="00284CBE" w:rsidP="00284CBE">
      <w:pPr>
        <w:shd w:val="clear" w:color="auto" w:fill="FFFFFF"/>
        <w:overflowPunct w:val="0"/>
        <w:autoSpaceDE w:val="0"/>
        <w:autoSpaceDN w:val="0"/>
        <w:adjustRightInd w:val="0"/>
        <w:spacing w:line="240" w:lineRule="auto"/>
        <w:ind w:left="360" w:right="-213" w:hanging="360"/>
        <w:jc w:val="both"/>
        <w:textAlignment w:val="baseline"/>
        <w:rPr>
          <w:rFonts w:cs="Arial"/>
          <w:szCs w:val="20"/>
        </w:rPr>
      </w:pPr>
      <w:r w:rsidRPr="006431C4">
        <w:rPr>
          <w:rFonts w:cs="Arial"/>
          <w:szCs w:val="20"/>
        </w:rPr>
        <w:t xml:space="preserve">b) kruszywo niełamane drobne lub o ciągłym uziarnieniu do D≤8  do warstwy wiążącej i wyrównawczej  z betonu asfaltowego  powinno spełniać wymagania podane w tablicy  7. </w:t>
      </w:r>
    </w:p>
    <w:p w14:paraId="14FDBF02" w14:textId="77777777" w:rsidR="00284CBE" w:rsidRPr="006431C4" w:rsidRDefault="00284CBE" w:rsidP="00284CBE">
      <w:pPr>
        <w:shd w:val="clear" w:color="auto" w:fill="FFFFFF"/>
        <w:overflowPunct w:val="0"/>
        <w:autoSpaceDE w:val="0"/>
        <w:autoSpaceDN w:val="0"/>
        <w:adjustRightInd w:val="0"/>
        <w:spacing w:line="240" w:lineRule="auto"/>
        <w:ind w:left="1200" w:hanging="1200"/>
        <w:jc w:val="both"/>
        <w:textAlignment w:val="baseline"/>
        <w:rPr>
          <w:rFonts w:cs="Arial"/>
          <w:szCs w:val="20"/>
        </w:rPr>
      </w:pPr>
      <w:r w:rsidRPr="006431C4">
        <w:rPr>
          <w:rFonts w:cs="Arial"/>
          <w:szCs w:val="20"/>
        </w:rPr>
        <w:t>Tablica 7.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6550"/>
        <w:gridCol w:w="1293"/>
        <w:gridCol w:w="1062"/>
        <w:gridCol w:w="7"/>
        <w:gridCol w:w="1069"/>
      </w:tblGrid>
      <w:tr w:rsidR="00284CBE" w:rsidRPr="006431C4" w14:paraId="7D442C38" w14:textId="77777777" w:rsidTr="00697F2D">
        <w:tc>
          <w:tcPr>
            <w:tcW w:w="675" w:type="dxa"/>
            <w:vMerge w:val="restart"/>
          </w:tcPr>
          <w:p w14:paraId="65957C6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32D1681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6550" w:type="dxa"/>
            <w:vMerge w:val="restart"/>
          </w:tcPr>
          <w:p w14:paraId="2693CFF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0F9E0FC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kruszywa</w:t>
            </w:r>
          </w:p>
        </w:tc>
        <w:tc>
          <w:tcPr>
            <w:tcW w:w="3431" w:type="dxa"/>
            <w:gridSpan w:val="4"/>
          </w:tcPr>
          <w:p w14:paraId="3DCEE42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Wymagania w zależności </w:t>
            </w:r>
          </w:p>
          <w:p w14:paraId="4512CCB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od kategorii ruchu</w:t>
            </w:r>
          </w:p>
        </w:tc>
      </w:tr>
      <w:tr w:rsidR="00284CBE" w:rsidRPr="006431C4" w14:paraId="437752BC" w14:textId="77777777" w:rsidTr="00697F2D">
        <w:tc>
          <w:tcPr>
            <w:tcW w:w="675" w:type="dxa"/>
            <w:vMerge/>
          </w:tcPr>
          <w:p w14:paraId="3B6152D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6550" w:type="dxa"/>
            <w:vMerge/>
          </w:tcPr>
          <w:p w14:paraId="1FB3A43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293" w:type="dxa"/>
          </w:tcPr>
          <w:p w14:paraId="49AF04C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KR1 </w:t>
            </w:r>
            <w:r w:rsidRPr="006431C4">
              <w:rPr>
                <w:rFonts w:cs="Arial"/>
                <w:szCs w:val="20"/>
              </w:rPr>
              <w:sym w:font="Symbol" w:char="F0B8"/>
            </w:r>
            <w:r w:rsidRPr="006431C4">
              <w:rPr>
                <w:rFonts w:cs="Arial"/>
                <w:szCs w:val="20"/>
              </w:rPr>
              <w:t xml:space="preserve"> KR2</w:t>
            </w:r>
          </w:p>
        </w:tc>
        <w:tc>
          <w:tcPr>
            <w:tcW w:w="1069" w:type="dxa"/>
            <w:gridSpan w:val="2"/>
          </w:tcPr>
          <w:p w14:paraId="5A58293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KR3 </w:t>
            </w:r>
            <w:r w:rsidRPr="006431C4">
              <w:rPr>
                <w:rFonts w:cs="Arial"/>
                <w:szCs w:val="20"/>
              </w:rPr>
              <w:sym w:font="Symbol" w:char="F0B8"/>
            </w:r>
            <w:r w:rsidRPr="006431C4">
              <w:rPr>
                <w:rFonts w:cs="Arial"/>
                <w:szCs w:val="20"/>
              </w:rPr>
              <w:t xml:space="preserve"> KR4</w:t>
            </w:r>
          </w:p>
        </w:tc>
        <w:tc>
          <w:tcPr>
            <w:tcW w:w="1069" w:type="dxa"/>
          </w:tcPr>
          <w:p w14:paraId="0332807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KR5 </w:t>
            </w:r>
            <w:r w:rsidRPr="006431C4">
              <w:rPr>
                <w:rFonts w:cs="Arial"/>
                <w:szCs w:val="20"/>
              </w:rPr>
              <w:sym w:font="Symbol" w:char="F0B8"/>
            </w:r>
            <w:r w:rsidRPr="006431C4">
              <w:rPr>
                <w:rFonts w:cs="Arial"/>
                <w:szCs w:val="20"/>
              </w:rPr>
              <w:t xml:space="preserve"> KR7</w:t>
            </w:r>
          </w:p>
        </w:tc>
      </w:tr>
      <w:tr w:rsidR="00284CBE" w:rsidRPr="006431C4" w14:paraId="7C285661" w14:textId="77777777" w:rsidTr="00697F2D">
        <w:tc>
          <w:tcPr>
            <w:tcW w:w="675" w:type="dxa"/>
          </w:tcPr>
          <w:p w14:paraId="53ADD9A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1</w:t>
            </w:r>
          </w:p>
        </w:tc>
        <w:tc>
          <w:tcPr>
            <w:tcW w:w="6550" w:type="dxa"/>
          </w:tcPr>
          <w:p w14:paraId="4F83C6F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 według PN-EN 933-1 [6], wymagana kategoria:</w:t>
            </w:r>
          </w:p>
        </w:tc>
        <w:tc>
          <w:tcPr>
            <w:tcW w:w="2355" w:type="dxa"/>
            <w:gridSpan w:val="2"/>
            <w:vAlign w:val="center"/>
          </w:tcPr>
          <w:p w14:paraId="0D74CFC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F</w:t>
            </w:r>
            <w:r w:rsidRPr="006431C4">
              <w:rPr>
                <w:rFonts w:cs="Arial"/>
                <w:szCs w:val="20"/>
              </w:rPr>
              <w:t>85 lub G</w:t>
            </w:r>
            <w:r w:rsidRPr="006431C4">
              <w:rPr>
                <w:rFonts w:cs="Arial"/>
                <w:szCs w:val="20"/>
                <w:vertAlign w:val="subscript"/>
              </w:rPr>
              <w:t>A</w:t>
            </w:r>
            <w:r w:rsidRPr="006431C4">
              <w:rPr>
                <w:rFonts w:cs="Arial"/>
                <w:szCs w:val="20"/>
              </w:rPr>
              <w:t>85</w:t>
            </w:r>
          </w:p>
        </w:tc>
        <w:tc>
          <w:tcPr>
            <w:tcW w:w="1076" w:type="dxa"/>
            <w:gridSpan w:val="2"/>
            <w:vAlign w:val="center"/>
          </w:tcPr>
          <w:p w14:paraId="55536A7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F</w:t>
            </w:r>
            <w:r w:rsidRPr="006431C4">
              <w:rPr>
                <w:rFonts w:cs="Arial"/>
                <w:szCs w:val="20"/>
              </w:rPr>
              <w:t>85</w:t>
            </w:r>
          </w:p>
        </w:tc>
      </w:tr>
      <w:tr w:rsidR="00284CBE" w:rsidRPr="006431C4" w14:paraId="14E313B5" w14:textId="77777777" w:rsidTr="00697F2D">
        <w:tc>
          <w:tcPr>
            <w:tcW w:w="675" w:type="dxa"/>
          </w:tcPr>
          <w:p w14:paraId="3286D0C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2</w:t>
            </w:r>
          </w:p>
        </w:tc>
        <w:tc>
          <w:tcPr>
            <w:tcW w:w="6550" w:type="dxa"/>
          </w:tcPr>
          <w:p w14:paraId="79055B8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Tolerancja uziarnienia; odchylenie nie większe niż według kategorii:</w:t>
            </w:r>
          </w:p>
        </w:tc>
        <w:tc>
          <w:tcPr>
            <w:tcW w:w="1293" w:type="dxa"/>
          </w:tcPr>
          <w:p w14:paraId="5D9645E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TC</w:t>
            </w:r>
            <w:r w:rsidRPr="006431C4">
              <w:rPr>
                <w:rFonts w:cs="Arial"/>
                <w:szCs w:val="20"/>
              </w:rPr>
              <w:t>NR</w:t>
            </w:r>
          </w:p>
        </w:tc>
        <w:tc>
          <w:tcPr>
            <w:tcW w:w="1069" w:type="dxa"/>
            <w:gridSpan w:val="2"/>
            <w:vAlign w:val="center"/>
          </w:tcPr>
          <w:p w14:paraId="6905924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TC</w:t>
            </w:r>
            <w:r w:rsidRPr="006431C4">
              <w:rPr>
                <w:rFonts w:cs="Arial"/>
                <w:szCs w:val="20"/>
              </w:rPr>
              <w:t>20</w:t>
            </w:r>
          </w:p>
        </w:tc>
        <w:tc>
          <w:tcPr>
            <w:tcW w:w="1069" w:type="dxa"/>
          </w:tcPr>
          <w:p w14:paraId="15CA81D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TC</w:t>
            </w:r>
            <w:r w:rsidRPr="006431C4">
              <w:rPr>
                <w:rFonts w:cs="Arial"/>
                <w:szCs w:val="20"/>
              </w:rPr>
              <w:t>20</w:t>
            </w:r>
          </w:p>
        </w:tc>
      </w:tr>
      <w:tr w:rsidR="00284CBE" w:rsidRPr="006431C4" w14:paraId="28702697" w14:textId="77777777" w:rsidTr="00697F2D">
        <w:tc>
          <w:tcPr>
            <w:tcW w:w="675" w:type="dxa"/>
          </w:tcPr>
          <w:p w14:paraId="6677C5F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3</w:t>
            </w:r>
          </w:p>
        </w:tc>
        <w:tc>
          <w:tcPr>
            <w:tcW w:w="6550" w:type="dxa"/>
          </w:tcPr>
          <w:p w14:paraId="1BF386C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pyłów według PN-EN 933-1 [6], kategoria nie wyższa niż:</w:t>
            </w:r>
          </w:p>
        </w:tc>
        <w:tc>
          <w:tcPr>
            <w:tcW w:w="3431" w:type="dxa"/>
            <w:gridSpan w:val="4"/>
            <w:vAlign w:val="center"/>
          </w:tcPr>
          <w:p w14:paraId="6887450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A6"/>
            </w:r>
            <w:r w:rsidRPr="006431C4">
              <w:rPr>
                <w:rFonts w:cs="Arial"/>
                <w:szCs w:val="20"/>
                <w:vertAlign w:val="subscript"/>
              </w:rPr>
              <w:t>3</w:t>
            </w:r>
          </w:p>
        </w:tc>
      </w:tr>
      <w:tr w:rsidR="00284CBE" w:rsidRPr="006431C4" w14:paraId="4D5A960B" w14:textId="77777777" w:rsidTr="00697F2D">
        <w:tc>
          <w:tcPr>
            <w:tcW w:w="675" w:type="dxa"/>
          </w:tcPr>
          <w:p w14:paraId="71852AC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4</w:t>
            </w:r>
          </w:p>
        </w:tc>
        <w:tc>
          <w:tcPr>
            <w:tcW w:w="6550" w:type="dxa"/>
          </w:tcPr>
          <w:p w14:paraId="1CC7B9F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Jakość pyłów według PN-EN 933-9 [11]; kategoria nie wyższa niż:</w:t>
            </w:r>
          </w:p>
        </w:tc>
        <w:tc>
          <w:tcPr>
            <w:tcW w:w="3431" w:type="dxa"/>
            <w:gridSpan w:val="4"/>
            <w:vAlign w:val="center"/>
          </w:tcPr>
          <w:p w14:paraId="3535005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MB</w:t>
            </w:r>
            <w:r w:rsidRPr="006431C4">
              <w:rPr>
                <w:rFonts w:cs="Arial"/>
                <w:szCs w:val="20"/>
                <w:vertAlign w:val="subscript"/>
              </w:rPr>
              <w:t>F</w:t>
            </w:r>
            <w:r w:rsidRPr="006431C4">
              <w:rPr>
                <w:rFonts w:cs="Arial"/>
                <w:szCs w:val="20"/>
              </w:rPr>
              <w:t>10</w:t>
            </w:r>
          </w:p>
        </w:tc>
      </w:tr>
      <w:tr w:rsidR="00284CBE" w:rsidRPr="006431C4" w14:paraId="7145D098" w14:textId="77777777" w:rsidTr="00697F2D">
        <w:tc>
          <w:tcPr>
            <w:tcW w:w="675" w:type="dxa"/>
          </w:tcPr>
          <w:p w14:paraId="273B03A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5</w:t>
            </w:r>
          </w:p>
        </w:tc>
        <w:tc>
          <w:tcPr>
            <w:tcW w:w="6550" w:type="dxa"/>
          </w:tcPr>
          <w:p w14:paraId="1E09025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Kanciastość kruszywa drobnego według PN-EN 933-6 [10], rozdz. 8, kategoria nie niższa niż:</w:t>
            </w:r>
          </w:p>
        </w:tc>
        <w:tc>
          <w:tcPr>
            <w:tcW w:w="3431" w:type="dxa"/>
            <w:gridSpan w:val="4"/>
            <w:vAlign w:val="center"/>
          </w:tcPr>
          <w:p w14:paraId="5AAB1B5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E</w:t>
            </w:r>
            <w:r w:rsidRPr="006431C4">
              <w:rPr>
                <w:rFonts w:cs="Arial"/>
                <w:szCs w:val="20"/>
                <w:vertAlign w:val="subscript"/>
              </w:rPr>
              <w:t>csDeklarowana</w:t>
            </w:r>
          </w:p>
        </w:tc>
      </w:tr>
      <w:tr w:rsidR="00284CBE" w:rsidRPr="006431C4" w14:paraId="442923DA" w14:textId="77777777" w:rsidTr="00697F2D">
        <w:tc>
          <w:tcPr>
            <w:tcW w:w="675" w:type="dxa"/>
          </w:tcPr>
          <w:p w14:paraId="1E60433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6</w:t>
            </w:r>
          </w:p>
        </w:tc>
        <w:tc>
          <w:tcPr>
            <w:tcW w:w="6550" w:type="dxa"/>
          </w:tcPr>
          <w:p w14:paraId="6DFE7EE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Gęstość ziaren według PN-EN 1097-6 [16], rozdz. 7, 8 lub 9:</w:t>
            </w:r>
          </w:p>
        </w:tc>
        <w:tc>
          <w:tcPr>
            <w:tcW w:w="3431" w:type="dxa"/>
            <w:gridSpan w:val="4"/>
            <w:vAlign w:val="center"/>
          </w:tcPr>
          <w:p w14:paraId="57571E1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deklarowana przez producenta</w:t>
            </w:r>
          </w:p>
        </w:tc>
      </w:tr>
      <w:tr w:rsidR="00284CBE" w:rsidRPr="006431C4" w14:paraId="6560EC0D" w14:textId="77777777" w:rsidTr="00697F2D">
        <w:tc>
          <w:tcPr>
            <w:tcW w:w="675" w:type="dxa"/>
          </w:tcPr>
          <w:p w14:paraId="79514C7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7</w:t>
            </w:r>
          </w:p>
        </w:tc>
        <w:tc>
          <w:tcPr>
            <w:tcW w:w="6550" w:type="dxa"/>
          </w:tcPr>
          <w:p w14:paraId="3EEE7A9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Nasiąkliwość według PN-EN 1097-6 [16], rozdz. 7, 8 lub 9</w:t>
            </w:r>
          </w:p>
        </w:tc>
        <w:tc>
          <w:tcPr>
            <w:tcW w:w="3431" w:type="dxa"/>
            <w:gridSpan w:val="4"/>
            <w:vAlign w:val="center"/>
          </w:tcPr>
          <w:p w14:paraId="5DE2EB1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deklarowana przez producenta</w:t>
            </w:r>
          </w:p>
        </w:tc>
      </w:tr>
      <w:tr w:rsidR="00284CBE" w:rsidRPr="006431C4" w14:paraId="53701236" w14:textId="77777777" w:rsidTr="00697F2D">
        <w:tc>
          <w:tcPr>
            <w:tcW w:w="675" w:type="dxa"/>
          </w:tcPr>
          <w:p w14:paraId="524C98B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8</w:t>
            </w:r>
          </w:p>
        </w:tc>
        <w:tc>
          <w:tcPr>
            <w:tcW w:w="6550" w:type="dxa"/>
          </w:tcPr>
          <w:p w14:paraId="5F8CB20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Grube zanieczyszczenia lekkie, według PN-EN 1744-1 [22], p. 14.2, kategoria nie wyższa niż:</w:t>
            </w:r>
          </w:p>
        </w:tc>
        <w:tc>
          <w:tcPr>
            <w:tcW w:w="3431" w:type="dxa"/>
            <w:gridSpan w:val="4"/>
            <w:vAlign w:val="center"/>
          </w:tcPr>
          <w:p w14:paraId="33976E5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m</w:t>
            </w:r>
            <w:r w:rsidRPr="006431C4">
              <w:rPr>
                <w:rFonts w:cs="Arial"/>
                <w:szCs w:val="20"/>
                <w:vertAlign w:val="subscript"/>
              </w:rPr>
              <w:t>LPC</w:t>
            </w:r>
            <w:r w:rsidRPr="006431C4">
              <w:rPr>
                <w:rFonts w:cs="Arial"/>
                <w:szCs w:val="20"/>
              </w:rPr>
              <w:t>0,1</w:t>
            </w:r>
          </w:p>
        </w:tc>
      </w:tr>
    </w:tbl>
    <w:p w14:paraId="0D7773F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3AA8961C" w14:textId="77777777" w:rsidR="00284CBE" w:rsidRPr="006431C4" w:rsidRDefault="00284CBE" w:rsidP="00284CBE">
      <w:pPr>
        <w:shd w:val="clear" w:color="auto" w:fill="FFFFFF"/>
        <w:overflowPunct w:val="0"/>
        <w:autoSpaceDE w:val="0"/>
        <w:autoSpaceDN w:val="0"/>
        <w:adjustRightInd w:val="0"/>
        <w:spacing w:line="240" w:lineRule="auto"/>
        <w:ind w:left="360" w:right="-213" w:hanging="360"/>
        <w:jc w:val="both"/>
        <w:textAlignment w:val="baseline"/>
        <w:rPr>
          <w:rFonts w:cs="Arial"/>
          <w:szCs w:val="20"/>
        </w:rPr>
      </w:pPr>
      <w:r w:rsidRPr="006431C4">
        <w:rPr>
          <w:rFonts w:cs="Arial"/>
          <w:szCs w:val="20"/>
        </w:rPr>
        <w:t xml:space="preserve">c) kruszywo łamane drobne lub o ciągłym uziarnieniu do D≤8  do warstwy wiążącej i wyrównawczej  z betonu asfaltowego  powinno spełniać wymagania podane w tablicy  8. </w:t>
      </w:r>
    </w:p>
    <w:p w14:paraId="70937FAB" w14:textId="77777777" w:rsidR="00284CBE" w:rsidRPr="006431C4" w:rsidRDefault="00284CBE" w:rsidP="00284CBE">
      <w:pPr>
        <w:shd w:val="clear" w:color="auto" w:fill="FFFFFF"/>
        <w:overflowPunct w:val="0"/>
        <w:autoSpaceDE w:val="0"/>
        <w:autoSpaceDN w:val="0"/>
        <w:adjustRightInd w:val="0"/>
        <w:spacing w:line="240" w:lineRule="auto"/>
        <w:jc w:val="both"/>
        <w:textAlignment w:val="baseline"/>
        <w:rPr>
          <w:rFonts w:cs="Arial"/>
          <w:b/>
          <w:szCs w:val="20"/>
        </w:rPr>
      </w:pPr>
    </w:p>
    <w:p w14:paraId="6595B89B" w14:textId="77777777" w:rsidR="00284CBE" w:rsidRPr="006431C4" w:rsidRDefault="00284CBE" w:rsidP="00284CBE">
      <w:pPr>
        <w:shd w:val="clear" w:color="auto" w:fill="FFFFFF"/>
        <w:overflowPunct w:val="0"/>
        <w:autoSpaceDE w:val="0"/>
        <w:autoSpaceDN w:val="0"/>
        <w:adjustRightInd w:val="0"/>
        <w:spacing w:line="240" w:lineRule="auto"/>
        <w:ind w:left="993" w:hanging="993"/>
        <w:jc w:val="both"/>
        <w:textAlignment w:val="baseline"/>
        <w:rPr>
          <w:rFonts w:cs="Arial"/>
          <w:szCs w:val="20"/>
        </w:rPr>
      </w:pPr>
      <w:r w:rsidRPr="006431C4">
        <w:rPr>
          <w:rFonts w:cs="Arial"/>
          <w:szCs w:val="20"/>
        </w:rPr>
        <w:t>Tablica 8.</w:t>
      </w:r>
      <w:r w:rsidRPr="006431C4">
        <w:rPr>
          <w:rFonts w:cs="Arial"/>
          <w:szCs w:val="20"/>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6550"/>
        <w:gridCol w:w="1284"/>
        <w:gridCol w:w="865"/>
        <w:gridCol w:w="1253"/>
      </w:tblGrid>
      <w:tr w:rsidR="00284CBE" w:rsidRPr="006431C4" w14:paraId="23AE3557" w14:textId="77777777" w:rsidTr="00697F2D">
        <w:tc>
          <w:tcPr>
            <w:tcW w:w="675" w:type="dxa"/>
            <w:vMerge w:val="restart"/>
          </w:tcPr>
          <w:p w14:paraId="3BD80B5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6A3709A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Lp.</w:t>
            </w:r>
          </w:p>
        </w:tc>
        <w:tc>
          <w:tcPr>
            <w:tcW w:w="6550" w:type="dxa"/>
            <w:vMerge w:val="restart"/>
          </w:tcPr>
          <w:p w14:paraId="5C7B173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7936DCB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kruszywa</w:t>
            </w:r>
          </w:p>
        </w:tc>
        <w:tc>
          <w:tcPr>
            <w:tcW w:w="3402" w:type="dxa"/>
            <w:gridSpan w:val="3"/>
          </w:tcPr>
          <w:p w14:paraId="48BD5D3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Wymagania w zależności od kategorii ruchu</w:t>
            </w:r>
          </w:p>
        </w:tc>
      </w:tr>
      <w:tr w:rsidR="00284CBE" w:rsidRPr="006431C4" w14:paraId="58940513" w14:textId="77777777" w:rsidTr="00697F2D">
        <w:tc>
          <w:tcPr>
            <w:tcW w:w="675" w:type="dxa"/>
            <w:vMerge/>
          </w:tcPr>
          <w:p w14:paraId="6D41181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6550" w:type="dxa"/>
            <w:vMerge/>
          </w:tcPr>
          <w:p w14:paraId="7545B06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284" w:type="dxa"/>
          </w:tcPr>
          <w:p w14:paraId="0D8E148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KR1 </w:t>
            </w:r>
            <w:r w:rsidRPr="006431C4">
              <w:rPr>
                <w:rFonts w:cs="Arial"/>
                <w:szCs w:val="20"/>
              </w:rPr>
              <w:sym w:font="Symbol" w:char="F0B8"/>
            </w:r>
            <w:r w:rsidRPr="006431C4">
              <w:rPr>
                <w:rFonts w:cs="Arial"/>
                <w:szCs w:val="20"/>
              </w:rPr>
              <w:t xml:space="preserve"> KR2</w:t>
            </w:r>
          </w:p>
        </w:tc>
        <w:tc>
          <w:tcPr>
            <w:tcW w:w="865" w:type="dxa"/>
          </w:tcPr>
          <w:p w14:paraId="1EB5305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KR3 </w:t>
            </w:r>
            <w:r w:rsidRPr="006431C4">
              <w:rPr>
                <w:rFonts w:cs="Arial"/>
                <w:szCs w:val="20"/>
              </w:rPr>
              <w:sym w:font="Symbol" w:char="F0B8"/>
            </w:r>
            <w:r w:rsidRPr="006431C4">
              <w:rPr>
                <w:rFonts w:cs="Arial"/>
                <w:szCs w:val="20"/>
              </w:rPr>
              <w:t xml:space="preserve"> KR4</w:t>
            </w:r>
          </w:p>
        </w:tc>
        <w:tc>
          <w:tcPr>
            <w:tcW w:w="1253" w:type="dxa"/>
          </w:tcPr>
          <w:p w14:paraId="280B67A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KR5 </w:t>
            </w:r>
            <w:r w:rsidRPr="006431C4">
              <w:rPr>
                <w:rFonts w:cs="Arial"/>
                <w:szCs w:val="20"/>
              </w:rPr>
              <w:sym w:font="Symbol" w:char="F0B8"/>
            </w:r>
            <w:r w:rsidRPr="006431C4">
              <w:rPr>
                <w:rFonts w:cs="Arial"/>
                <w:szCs w:val="20"/>
              </w:rPr>
              <w:t xml:space="preserve"> KR7</w:t>
            </w:r>
          </w:p>
        </w:tc>
      </w:tr>
      <w:tr w:rsidR="00284CBE" w:rsidRPr="006431C4" w14:paraId="267072FA" w14:textId="77777777" w:rsidTr="00697F2D">
        <w:tc>
          <w:tcPr>
            <w:tcW w:w="675" w:type="dxa"/>
          </w:tcPr>
          <w:p w14:paraId="4193857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6550" w:type="dxa"/>
          </w:tcPr>
          <w:p w14:paraId="5373FEB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 według PN-EN 933-1 [6], wymagana kategoria:</w:t>
            </w:r>
          </w:p>
        </w:tc>
        <w:tc>
          <w:tcPr>
            <w:tcW w:w="3402" w:type="dxa"/>
            <w:gridSpan w:val="3"/>
            <w:vAlign w:val="center"/>
          </w:tcPr>
          <w:p w14:paraId="23FFC68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F</w:t>
            </w:r>
            <w:r w:rsidRPr="006431C4">
              <w:rPr>
                <w:rFonts w:cs="Arial"/>
                <w:szCs w:val="20"/>
              </w:rPr>
              <w:t>85 lub G</w:t>
            </w:r>
            <w:r w:rsidRPr="006431C4">
              <w:rPr>
                <w:rFonts w:cs="Arial"/>
                <w:szCs w:val="20"/>
                <w:vertAlign w:val="subscript"/>
              </w:rPr>
              <w:t>A</w:t>
            </w:r>
            <w:r w:rsidRPr="006431C4">
              <w:rPr>
                <w:rFonts w:cs="Arial"/>
                <w:szCs w:val="20"/>
              </w:rPr>
              <w:t>85</w:t>
            </w:r>
          </w:p>
        </w:tc>
      </w:tr>
      <w:tr w:rsidR="00284CBE" w:rsidRPr="006431C4" w14:paraId="47C7D762" w14:textId="77777777" w:rsidTr="00697F2D">
        <w:tc>
          <w:tcPr>
            <w:tcW w:w="675" w:type="dxa"/>
          </w:tcPr>
          <w:p w14:paraId="42F7A84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6550" w:type="dxa"/>
          </w:tcPr>
          <w:p w14:paraId="320076C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Tolerancja uziarnienia; odchylenie nie większe niż według kategorii:</w:t>
            </w:r>
          </w:p>
        </w:tc>
        <w:tc>
          <w:tcPr>
            <w:tcW w:w="1284" w:type="dxa"/>
          </w:tcPr>
          <w:p w14:paraId="56D8895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TC</w:t>
            </w:r>
            <w:r w:rsidRPr="006431C4">
              <w:rPr>
                <w:rFonts w:cs="Arial"/>
                <w:szCs w:val="20"/>
              </w:rPr>
              <w:t>NR</w:t>
            </w:r>
          </w:p>
        </w:tc>
        <w:tc>
          <w:tcPr>
            <w:tcW w:w="865" w:type="dxa"/>
            <w:vAlign w:val="center"/>
          </w:tcPr>
          <w:p w14:paraId="4C1A273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TC</w:t>
            </w:r>
            <w:r w:rsidRPr="006431C4">
              <w:rPr>
                <w:rFonts w:cs="Arial"/>
                <w:szCs w:val="20"/>
              </w:rPr>
              <w:t>20</w:t>
            </w:r>
          </w:p>
        </w:tc>
        <w:tc>
          <w:tcPr>
            <w:tcW w:w="1253" w:type="dxa"/>
          </w:tcPr>
          <w:p w14:paraId="225F944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w:t>
            </w:r>
            <w:r w:rsidRPr="006431C4">
              <w:rPr>
                <w:rFonts w:cs="Arial"/>
                <w:szCs w:val="20"/>
                <w:vertAlign w:val="subscript"/>
              </w:rPr>
              <w:t>TC</w:t>
            </w:r>
            <w:r w:rsidRPr="006431C4">
              <w:rPr>
                <w:rFonts w:cs="Arial"/>
                <w:szCs w:val="20"/>
              </w:rPr>
              <w:t>20</w:t>
            </w:r>
          </w:p>
        </w:tc>
      </w:tr>
      <w:tr w:rsidR="00284CBE" w:rsidRPr="006431C4" w14:paraId="4B9120B8" w14:textId="77777777" w:rsidTr="00697F2D">
        <w:tc>
          <w:tcPr>
            <w:tcW w:w="675" w:type="dxa"/>
          </w:tcPr>
          <w:p w14:paraId="589EACE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6550" w:type="dxa"/>
          </w:tcPr>
          <w:p w14:paraId="5A5C261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pyłów według PN-EN 933-1 [6], kategoria nie wyższa niż:</w:t>
            </w:r>
          </w:p>
        </w:tc>
        <w:tc>
          <w:tcPr>
            <w:tcW w:w="3402" w:type="dxa"/>
            <w:gridSpan w:val="3"/>
            <w:vAlign w:val="center"/>
          </w:tcPr>
          <w:p w14:paraId="1C2ED43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A6"/>
            </w:r>
            <w:r w:rsidRPr="006431C4">
              <w:rPr>
                <w:rFonts w:cs="Arial"/>
                <w:szCs w:val="20"/>
                <w:vertAlign w:val="subscript"/>
              </w:rPr>
              <w:t>16</w:t>
            </w:r>
          </w:p>
        </w:tc>
      </w:tr>
      <w:tr w:rsidR="00284CBE" w:rsidRPr="006431C4" w14:paraId="071DDDFD" w14:textId="77777777" w:rsidTr="00697F2D">
        <w:tc>
          <w:tcPr>
            <w:tcW w:w="675" w:type="dxa"/>
          </w:tcPr>
          <w:p w14:paraId="19A116A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6550" w:type="dxa"/>
          </w:tcPr>
          <w:p w14:paraId="53EEB60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Jakość pyłów według PN-EN 933-9 [11]; kategoria nie wyższa niż:</w:t>
            </w:r>
          </w:p>
        </w:tc>
        <w:tc>
          <w:tcPr>
            <w:tcW w:w="3402" w:type="dxa"/>
            <w:gridSpan w:val="3"/>
            <w:vAlign w:val="center"/>
          </w:tcPr>
          <w:p w14:paraId="07CAB8B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MB</w:t>
            </w:r>
            <w:r w:rsidRPr="006431C4">
              <w:rPr>
                <w:rFonts w:cs="Arial"/>
                <w:szCs w:val="20"/>
                <w:vertAlign w:val="subscript"/>
              </w:rPr>
              <w:t>F</w:t>
            </w:r>
            <w:r w:rsidRPr="006431C4">
              <w:rPr>
                <w:rFonts w:cs="Arial"/>
                <w:szCs w:val="20"/>
              </w:rPr>
              <w:t>10</w:t>
            </w:r>
          </w:p>
        </w:tc>
      </w:tr>
      <w:tr w:rsidR="00284CBE" w:rsidRPr="006431C4" w14:paraId="783FA95A" w14:textId="77777777" w:rsidTr="00697F2D">
        <w:tc>
          <w:tcPr>
            <w:tcW w:w="675" w:type="dxa"/>
          </w:tcPr>
          <w:p w14:paraId="1FD9F6A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6550" w:type="dxa"/>
          </w:tcPr>
          <w:p w14:paraId="07D7F99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Kanciastość kruszywa drobnego według PN-EN 933-6 [10], rozdz. 8, kategoria nie niższa niż:</w:t>
            </w:r>
          </w:p>
        </w:tc>
        <w:tc>
          <w:tcPr>
            <w:tcW w:w="1284" w:type="dxa"/>
            <w:vAlign w:val="center"/>
          </w:tcPr>
          <w:p w14:paraId="038E49E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E</w:t>
            </w:r>
            <w:r w:rsidRPr="006431C4">
              <w:rPr>
                <w:rFonts w:cs="Arial"/>
                <w:szCs w:val="20"/>
                <w:vertAlign w:val="subscript"/>
              </w:rPr>
              <w:t>cs</w:t>
            </w:r>
            <w:r w:rsidRPr="006431C4">
              <w:rPr>
                <w:rFonts w:cs="Arial"/>
                <w:szCs w:val="20"/>
              </w:rPr>
              <w:t>Dekla-rowana</w:t>
            </w:r>
          </w:p>
        </w:tc>
        <w:tc>
          <w:tcPr>
            <w:tcW w:w="865" w:type="dxa"/>
            <w:vAlign w:val="center"/>
          </w:tcPr>
          <w:p w14:paraId="04B50F8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E</w:t>
            </w:r>
            <w:r w:rsidRPr="006431C4">
              <w:rPr>
                <w:rFonts w:cs="Arial"/>
                <w:szCs w:val="20"/>
                <w:vertAlign w:val="subscript"/>
              </w:rPr>
              <w:t>CS</w:t>
            </w:r>
            <w:r w:rsidRPr="006431C4">
              <w:rPr>
                <w:rFonts w:cs="Arial"/>
                <w:szCs w:val="20"/>
              </w:rPr>
              <w:t>30</w:t>
            </w:r>
          </w:p>
        </w:tc>
        <w:tc>
          <w:tcPr>
            <w:tcW w:w="1253" w:type="dxa"/>
            <w:vAlign w:val="center"/>
          </w:tcPr>
          <w:p w14:paraId="3121C99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E</w:t>
            </w:r>
            <w:r w:rsidRPr="006431C4">
              <w:rPr>
                <w:rFonts w:cs="Arial"/>
                <w:szCs w:val="20"/>
                <w:vertAlign w:val="subscript"/>
              </w:rPr>
              <w:t>CS</w:t>
            </w:r>
            <w:r w:rsidRPr="006431C4">
              <w:rPr>
                <w:rFonts w:cs="Arial"/>
                <w:szCs w:val="20"/>
              </w:rPr>
              <w:t>30</w:t>
            </w:r>
          </w:p>
        </w:tc>
      </w:tr>
      <w:tr w:rsidR="00284CBE" w:rsidRPr="006431C4" w14:paraId="19ACC1F7" w14:textId="77777777" w:rsidTr="00697F2D">
        <w:tc>
          <w:tcPr>
            <w:tcW w:w="675" w:type="dxa"/>
          </w:tcPr>
          <w:p w14:paraId="3D50D96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6550" w:type="dxa"/>
          </w:tcPr>
          <w:p w14:paraId="61B234F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Gęstość ziaren według PN-EN 1097-6 [16], rozdz. 7, 8 lub 9:</w:t>
            </w:r>
          </w:p>
        </w:tc>
        <w:tc>
          <w:tcPr>
            <w:tcW w:w="3402" w:type="dxa"/>
            <w:gridSpan w:val="3"/>
            <w:vAlign w:val="center"/>
          </w:tcPr>
          <w:p w14:paraId="0CA7BA8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deklarowana przez producenta</w:t>
            </w:r>
          </w:p>
        </w:tc>
      </w:tr>
      <w:tr w:rsidR="00284CBE" w:rsidRPr="006431C4" w14:paraId="7486DB45" w14:textId="77777777" w:rsidTr="00697F2D">
        <w:tc>
          <w:tcPr>
            <w:tcW w:w="675" w:type="dxa"/>
          </w:tcPr>
          <w:p w14:paraId="1399D52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tc>
        <w:tc>
          <w:tcPr>
            <w:tcW w:w="6550" w:type="dxa"/>
          </w:tcPr>
          <w:p w14:paraId="0F94253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Nasiąkliwość według PN-EN 1097-6 [16], rozdz. 7, 8 lub 9</w:t>
            </w:r>
          </w:p>
        </w:tc>
        <w:tc>
          <w:tcPr>
            <w:tcW w:w="3402" w:type="dxa"/>
            <w:gridSpan w:val="3"/>
            <w:vAlign w:val="center"/>
          </w:tcPr>
          <w:p w14:paraId="4165AC1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deklarowana przez producenta</w:t>
            </w:r>
          </w:p>
        </w:tc>
      </w:tr>
      <w:tr w:rsidR="00284CBE" w:rsidRPr="006431C4" w14:paraId="555998A0" w14:textId="77777777" w:rsidTr="00697F2D">
        <w:tc>
          <w:tcPr>
            <w:tcW w:w="675" w:type="dxa"/>
          </w:tcPr>
          <w:p w14:paraId="7496D0C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6550" w:type="dxa"/>
          </w:tcPr>
          <w:p w14:paraId="58D3BBD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Grube zanieczyszczenia lekkie, według PN-EN 1744-1 [22], p. 14.2, </w:t>
            </w:r>
            <w:r w:rsidRPr="006431C4">
              <w:rPr>
                <w:rFonts w:cs="Arial"/>
                <w:szCs w:val="20"/>
              </w:rPr>
              <w:lastRenderedPageBreak/>
              <w:t>kategoria nie wyższa niż:</w:t>
            </w:r>
          </w:p>
        </w:tc>
        <w:tc>
          <w:tcPr>
            <w:tcW w:w="3402" w:type="dxa"/>
            <w:gridSpan w:val="3"/>
            <w:vAlign w:val="center"/>
          </w:tcPr>
          <w:p w14:paraId="4DDA938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lastRenderedPageBreak/>
              <w:t>m</w:t>
            </w:r>
            <w:r w:rsidRPr="006431C4">
              <w:rPr>
                <w:rFonts w:cs="Arial"/>
                <w:szCs w:val="20"/>
                <w:vertAlign w:val="subscript"/>
              </w:rPr>
              <w:t>LPC</w:t>
            </w:r>
            <w:r w:rsidRPr="006431C4">
              <w:rPr>
                <w:rFonts w:cs="Arial"/>
                <w:szCs w:val="20"/>
              </w:rPr>
              <w:t>0,1</w:t>
            </w:r>
          </w:p>
        </w:tc>
      </w:tr>
    </w:tbl>
    <w:p w14:paraId="6941070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7EB71CEF" w14:textId="77777777" w:rsidR="00284CBE" w:rsidRPr="006431C4" w:rsidRDefault="00284CBE" w:rsidP="00284CBE">
      <w:pPr>
        <w:widowControl w:val="0"/>
        <w:overflowPunct w:val="0"/>
        <w:autoSpaceDE w:val="0"/>
        <w:autoSpaceDN w:val="0"/>
        <w:adjustRightInd w:val="0"/>
        <w:spacing w:line="240" w:lineRule="auto"/>
        <w:ind w:left="360" w:right="-57" w:hanging="360"/>
        <w:jc w:val="both"/>
        <w:textAlignment w:val="baseline"/>
        <w:rPr>
          <w:rFonts w:cs="Arial"/>
          <w:szCs w:val="20"/>
        </w:rPr>
      </w:pPr>
      <w:r w:rsidRPr="006431C4">
        <w:rPr>
          <w:rFonts w:cs="Arial"/>
          <w:szCs w:val="20"/>
        </w:rPr>
        <w:t>d)  do warstwy wiążącej i wyrównawczej z betonu asfaltowego, w zależności od kategorii ruchu,  należy stosować wypełniacz spełniający wymagania podane w tablicy 9.</w:t>
      </w:r>
    </w:p>
    <w:p w14:paraId="51DE0006" w14:textId="77777777" w:rsidR="00697F2D" w:rsidRPr="006431C4" w:rsidRDefault="00697F2D" w:rsidP="00284CBE">
      <w:pPr>
        <w:widowControl w:val="0"/>
        <w:overflowPunct w:val="0"/>
        <w:autoSpaceDE w:val="0"/>
        <w:autoSpaceDN w:val="0"/>
        <w:adjustRightInd w:val="0"/>
        <w:spacing w:line="240" w:lineRule="auto"/>
        <w:ind w:left="360" w:right="-57" w:hanging="360"/>
        <w:jc w:val="both"/>
        <w:textAlignment w:val="baseline"/>
        <w:rPr>
          <w:rFonts w:cs="Arial"/>
          <w:szCs w:val="20"/>
        </w:rPr>
      </w:pPr>
    </w:p>
    <w:p w14:paraId="4CB3C21E" w14:textId="77777777" w:rsidR="00697F2D" w:rsidRPr="006431C4" w:rsidRDefault="00697F2D" w:rsidP="00284CBE">
      <w:pPr>
        <w:widowControl w:val="0"/>
        <w:overflowPunct w:val="0"/>
        <w:autoSpaceDE w:val="0"/>
        <w:autoSpaceDN w:val="0"/>
        <w:adjustRightInd w:val="0"/>
        <w:spacing w:line="240" w:lineRule="auto"/>
        <w:ind w:left="360" w:right="-57" w:hanging="360"/>
        <w:jc w:val="both"/>
        <w:textAlignment w:val="baseline"/>
        <w:rPr>
          <w:rFonts w:cs="Arial"/>
          <w:szCs w:val="20"/>
        </w:rPr>
      </w:pPr>
    </w:p>
    <w:p w14:paraId="272ACDDE" w14:textId="77777777" w:rsidR="00284CBE" w:rsidRPr="006431C4" w:rsidRDefault="00284CBE" w:rsidP="00284CBE">
      <w:pPr>
        <w:overflowPunct w:val="0"/>
        <w:autoSpaceDE w:val="0"/>
        <w:autoSpaceDN w:val="0"/>
        <w:adjustRightInd w:val="0"/>
        <w:spacing w:line="240" w:lineRule="auto"/>
        <w:ind w:left="1202" w:hanging="1202"/>
        <w:jc w:val="both"/>
        <w:textAlignment w:val="baseline"/>
        <w:rPr>
          <w:rFonts w:cs="Arial"/>
          <w:szCs w:val="20"/>
        </w:rPr>
      </w:pPr>
      <w:r w:rsidRPr="006431C4">
        <w:rPr>
          <w:rFonts w:cs="Arial"/>
          <w:szCs w:val="20"/>
        </w:rPr>
        <w:t>Tablica 9. Wymagane właściwości wypełniacza*)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99"/>
        <w:gridCol w:w="1336"/>
        <w:gridCol w:w="1336"/>
        <w:gridCol w:w="1336"/>
      </w:tblGrid>
      <w:tr w:rsidR="00284CBE" w:rsidRPr="006431C4" w14:paraId="6A42DD0E" w14:textId="77777777" w:rsidTr="00697F2D">
        <w:tc>
          <w:tcPr>
            <w:tcW w:w="6799" w:type="dxa"/>
            <w:vMerge w:val="restart"/>
          </w:tcPr>
          <w:p w14:paraId="302896B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202BA96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kruszywa</w:t>
            </w:r>
          </w:p>
        </w:tc>
        <w:tc>
          <w:tcPr>
            <w:tcW w:w="4008" w:type="dxa"/>
            <w:gridSpan w:val="3"/>
          </w:tcPr>
          <w:p w14:paraId="460DA41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Wymagania w zależności </w:t>
            </w:r>
          </w:p>
          <w:p w14:paraId="145DB70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od kategorii ruchu</w:t>
            </w:r>
          </w:p>
        </w:tc>
      </w:tr>
      <w:tr w:rsidR="00284CBE" w:rsidRPr="006431C4" w14:paraId="5A6B87F5" w14:textId="77777777" w:rsidTr="00697F2D">
        <w:tc>
          <w:tcPr>
            <w:tcW w:w="6799" w:type="dxa"/>
            <w:vMerge/>
          </w:tcPr>
          <w:p w14:paraId="222762A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336" w:type="dxa"/>
          </w:tcPr>
          <w:p w14:paraId="5C00E1E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KR1 </w:t>
            </w:r>
            <w:r w:rsidRPr="006431C4">
              <w:rPr>
                <w:rFonts w:cs="Arial"/>
                <w:szCs w:val="20"/>
              </w:rPr>
              <w:sym w:font="Symbol" w:char="F0B8"/>
            </w:r>
            <w:r w:rsidRPr="006431C4">
              <w:rPr>
                <w:rFonts w:cs="Arial"/>
                <w:szCs w:val="20"/>
              </w:rPr>
              <w:t xml:space="preserve"> KR2</w:t>
            </w:r>
          </w:p>
        </w:tc>
        <w:tc>
          <w:tcPr>
            <w:tcW w:w="1336" w:type="dxa"/>
          </w:tcPr>
          <w:p w14:paraId="28E76C6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KR3 </w:t>
            </w:r>
            <w:r w:rsidRPr="006431C4">
              <w:rPr>
                <w:rFonts w:cs="Arial"/>
                <w:szCs w:val="20"/>
              </w:rPr>
              <w:sym w:font="Symbol" w:char="F0B8"/>
            </w:r>
            <w:r w:rsidRPr="006431C4">
              <w:rPr>
                <w:rFonts w:cs="Arial"/>
                <w:szCs w:val="20"/>
              </w:rPr>
              <w:t xml:space="preserve"> KR4</w:t>
            </w:r>
          </w:p>
        </w:tc>
        <w:tc>
          <w:tcPr>
            <w:tcW w:w="1336" w:type="dxa"/>
          </w:tcPr>
          <w:p w14:paraId="5137880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KR5 </w:t>
            </w:r>
            <w:r w:rsidRPr="006431C4">
              <w:rPr>
                <w:rFonts w:cs="Arial"/>
                <w:szCs w:val="20"/>
              </w:rPr>
              <w:sym w:font="Symbol" w:char="F0B8"/>
            </w:r>
            <w:r w:rsidRPr="006431C4">
              <w:rPr>
                <w:rFonts w:cs="Arial"/>
                <w:szCs w:val="20"/>
              </w:rPr>
              <w:t xml:space="preserve"> KR7</w:t>
            </w:r>
          </w:p>
        </w:tc>
      </w:tr>
      <w:tr w:rsidR="00284CBE" w:rsidRPr="006431C4" w14:paraId="3F488207" w14:textId="77777777" w:rsidTr="00697F2D">
        <w:tc>
          <w:tcPr>
            <w:tcW w:w="6799" w:type="dxa"/>
          </w:tcPr>
          <w:p w14:paraId="6A4B9A0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 według PN-EN 933-10 [12]</w:t>
            </w:r>
          </w:p>
        </w:tc>
        <w:tc>
          <w:tcPr>
            <w:tcW w:w="4008" w:type="dxa"/>
            <w:gridSpan w:val="3"/>
            <w:vAlign w:val="center"/>
          </w:tcPr>
          <w:p w14:paraId="7161823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zgodnie z tablicą 24 </w:t>
            </w:r>
          </w:p>
          <w:p w14:paraId="44CE741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wg PN-EN 13043 [50]</w:t>
            </w:r>
          </w:p>
        </w:tc>
      </w:tr>
      <w:tr w:rsidR="00284CBE" w:rsidRPr="006431C4" w14:paraId="0C670CD7" w14:textId="77777777" w:rsidTr="00697F2D">
        <w:tc>
          <w:tcPr>
            <w:tcW w:w="6799" w:type="dxa"/>
          </w:tcPr>
          <w:p w14:paraId="5BB1210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Jakość pyłów według PN-EN 933-9 [11]; kategoria nie wyższa niż:</w:t>
            </w:r>
          </w:p>
        </w:tc>
        <w:tc>
          <w:tcPr>
            <w:tcW w:w="4008" w:type="dxa"/>
            <w:gridSpan w:val="3"/>
            <w:vAlign w:val="center"/>
          </w:tcPr>
          <w:p w14:paraId="354E001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MB</w:t>
            </w:r>
            <w:r w:rsidRPr="006431C4">
              <w:rPr>
                <w:rFonts w:cs="Arial"/>
                <w:szCs w:val="20"/>
                <w:vertAlign w:val="subscript"/>
              </w:rPr>
              <w:t>F</w:t>
            </w:r>
            <w:r w:rsidRPr="006431C4">
              <w:rPr>
                <w:rFonts w:cs="Arial"/>
                <w:szCs w:val="20"/>
              </w:rPr>
              <w:t>10</w:t>
            </w:r>
          </w:p>
        </w:tc>
      </w:tr>
      <w:tr w:rsidR="00284CBE" w:rsidRPr="006431C4" w14:paraId="445341E4" w14:textId="77777777" w:rsidTr="00697F2D">
        <w:tc>
          <w:tcPr>
            <w:tcW w:w="6799" w:type="dxa"/>
          </w:tcPr>
          <w:p w14:paraId="68643F5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wody według PN-EN 1097-5 [15], nie wyższa niż:</w:t>
            </w:r>
          </w:p>
        </w:tc>
        <w:tc>
          <w:tcPr>
            <w:tcW w:w="4008" w:type="dxa"/>
            <w:gridSpan w:val="3"/>
            <w:vAlign w:val="center"/>
          </w:tcPr>
          <w:p w14:paraId="68DEBF0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1 % (m/m)</w:t>
            </w:r>
          </w:p>
        </w:tc>
      </w:tr>
      <w:tr w:rsidR="00284CBE" w:rsidRPr="006431C4" w14:paraId="0718E63E" w14:textId="77777777" w:rsidTr="00697F2D">
        <w:tc>
          <w:tcPr>
            <w:tcW w:w="6799" w:type="dxa"/>
          </w:tcPr>
          <w:p w14:paraId="4913933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Gęstość ziaren według PN-EN 1097-6 [16]</w:t>
            </w:r>
          </w:p>
        </w:tc>
        <w:tc>
          <w:tcPr>
            <w:tcW w:w="4008" w:type="dxa"/>
            <w:gridSpan w:val="3"/>
            <w:vAlign w:val="center"/>
          </w:tcPr>
          <w:p w14:paraId="0F0327C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deklarowana przez producenta</w:t>
            </w:r>
          </w:p>
        </w:tc>
      </w:tr>
      <w:tr w:rsidR="00284CBE" w:rsidRPr="006431C4" w14:paraId="2763C35F" w14:textId="77777777" w:rsidTr="00697F2D">
        <w:tc>
          <w:tcPr>
            <w:tcW w:w="6799" w:type="dxa"/>
          </w:tcPr>
          <w:p w14:paraId="614584C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Wolne przestrzenie w suchym, zagęszczonym wypełniaczu według PN-EN 1097-4 [14], wymagana kategoria:</w:t>
            </w:r>
          </w:p>
        </w:tc>
        <w:tc>
          <w:tcPr>
            <w:tcW w:w="4008" w:type="dxa"/>
            <w:gridSpan w:val="3"/>
            <w:vAlign w:val="center"/>
          </w:tcPr>
          <w:p w14:paraId="4304BA1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V</w:t>
            </w:r>
            <w:r w:rsidRPr="006431C4">
              <w:rPr>
                <w:rFonts w:cs="Arial"/>
                <w:szCs w:val="20"/>
                <w:vertAlign w:val="subscript"/>
              </w:rPr>
              <w:t>28/45</w:t>
            </w:r>
          </w:p>
        </w:tc>
      </w:tr>
      <w:tr w:rsidR="00284CBE" w:rsidRPr="006431C4" w14:paraId="7F3579FC" w14:textId="77777777" w:rsidTr="00697F2D">
        <w:tc>
          <w:tcPr>
            <w:tcW w:w="6799" w:type="dxa"/>
          </w:tcPr>
          <w:p w14:paraId="394AE42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Przyrost temperatury mięknienia według PN-EN 13179-1 [56], wymagana kategoria:</w:t>
            </w:r>
          </w:p>
        </w:tc>
        <w:tc>
          <w:tcPr>
            <w:tcW w:w="4008" w:type="dxa"/>
            <w:gridSpan w:val="3"/>
            <w:vAlign w:val="center"/>
          </w:tcPr>
          <w:p w14:paraId="091ED74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sym w:font="Symbol" w:char="F044"/>
            </w:r>
            <w:r w:rsidRPr="006431C4">
              <w:rPr>
                <w:rFonts w:cs="Arial"/>
                <w:szCs w:val="20"/>
                <w:vertAlign w:val="subscript"/>
              </w:rPr>
              <w:t>R&amp;B</w:t>
            </w:r>
            <w:r w:rsidRPr="006431C4">
              <w:rPr>
                <w:rFonts w:cs="Arial"/>
                <w:szCs w:val="20"/>
              </w:rPr>
              <w:t>8/25</w:t>
            </w:r>
          </w:p>
        </w:tc>
      </w:tr>
      <w:tr w:rsidR="00284CBE" w:rsidRPr="006431C4" w14:paraId="521483B4" w14:textId="77777777" w:rsidTr="00697F2D">
        <w:tc>
          <w:tcPr>
            <w:tcW w:w="6799" w:type="dxa"/>
          </w:tcPr>
          <w:p w14:paraId="4195A56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Rozpuszczalność w wodzie według PN-EN 1744-1 [22], kategoria nie wyższa niż:</w:t>
            </w:r>
          </w:p>
        </w:tc>
        <w:tc>
          <w:tcPr>
            <w:tcW w:w="4008" w:type="dxa"/>
            <w:gridSpan w:val="3"/>
            <w:vAlign w:val="center"/>
          </w:tcPr>
          <w:p w14:paraId="24F7D0D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WS</w:t>
            </w:r>
            <w:r w:rsidRPr="006431C4">
              <w:rPr>
                <w:rFonts w:cs="Arial"/>
                <w:szCs w:val="20"/>
                <w:vertAlign w:val="subscript"/>
              </w:rPr>
              <w:t>10</w:t>
            </w:r>
          </w:p>
        </w:tc>
      </w:tr>
      <w:tr w:rsidR="00284CBE" w:rsidRPr="006431C4" w14:paraId="6AB66869" w14:textId="77777777" w:rsidTr="00697F2D">
        <w:tc>
          <w:tcPr>
            <w:tcW w:w="6799" w:type="dxa"/>
          </w:tcPr>
          <w:p w14:paraId="780D6CE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CaCO</w:t>
            </w:r>
            <w:r w:rsidRPr="006431C4">
              <w:rPr>
                <w:rFonts w:cs="Arial"/>
                <w:szCs w:val="20"/>
                <w:vertAlign w:val="subscript"/>
              </w:rPr>
              <w:t>3</w:t>
            </w:r>
            <w:r w:rsidRPr="006431C4">
              <w:rPr>
                <w:rFonts w:cs="Arial"/>
                <w:szCs w:val="20"/>
              </w:rPr>
              <w:t xml:space="preserve"> w wypełniaczu wapiennym według PN-EN 196-2 [3], kategoria nie niższa niż:</w:t>
            </w:r>
          </w:p>
        </w:tc>
        <w:tc>
          <w:tcPr>
            <w:tcW w:w="4008" w:type="dxa"/>
            <w:gridSpan w:val="3"/>
            <w:vAlign w:val="center"/>
          </w:tcPr>
          <w:p w14:paraId="3618A67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CC</w:t>
            </w:r>
            <w:r w:rsidRPr="006431C4">
              <w:rPr>
                <w:rFonts w:cs="Arial"/>
                <w:szCs w:val="20"/>
                <w:vertAlign w:val="subscript"/>
              </w:rPr>
              <w:t>70</w:t>
            </w:r>
          </w:p>
        </w:tc>
      </w:tr>
      <w:tr w:rsidR="00284CBE" w:rsidRPr="006431C4" w14:paraId="3FDEAABD" w14:textId="77777777" w:rsidTr="00697F2D">
        <w:tc>
          <w:tcPr>
            <w:tcW w:w="6799" w:type="dxa"/>
          </w:tcPr>
          <w:p w14:paraId="72D06DC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wodorotlenku wapnia w wypełniaczu mieszanym wg PN-EN 459-2 [4], wymagana kategoria:</w:t>
            </w:r>
          </w:p>
        </w:tc>
        <w:tc>
          <w:tcPr>
            <w:tcW w:w="4008" w:type="dxa"/>
            <w:gridSpan w:val="3"/>
            <w:vAlign w:val="center"/>
          </w:tcPr>
          <w:p w14:paraId="4110E2E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w:t>
            </w:r>
            <w:r w:rsidRPr="006431C4">
              <w:rPr>
                <w:rFonts w:cs="Arial"/>
                <w:szCs w:val="20"/>
                <w:vertAlign w:val="subscript"/>
              </w:rPr>
              <w:t>a</w:t>
            </w:r>
            <w:r w:rsidRPr="006431C4">
              <w:rPr>
                <w:rFonts w:cs="Arial"/>
                <w:szCs w:val="20"/>
              </w:rPr>
              <w:t>Deklarowana</w:t>
            </w:r>
          </w:p>
        </w:tc>
      </w:tr>
      <w:tr w:rsidR="00284CBE" w:rsidRPr="006431C4" w14:paraId="3A257CC4" w14:textId="77777777" w:rsidTr="00697F2D">
        <w:tc>
          <w:tcPr>
            <w:tcW w:w="6799" w:type="dxa"/>
          </w:tcPr>
          <w:p w14:paraId="5C48EC2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„Liczba asfaltowa” według PN-EN 13179-2 [57], wymagana kategoria:</w:t>
            </w:r>
          </w:p>
        </w:tc>
        <w:tc>
          <w:tcPr>
            <w:tcW w:w="4008" w:type="dxa"/>
            <w:gridSpan w:val="3"/>
            <w:vAlign w:val="center"/>
          </w:tcPr>
          <w:p w14:paraId="74995A2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BN</w:t>
            </w:r>
            <w:r w:rsidRPr="006431C4">
              <w:rPr>
                <w:rFonts w:cs="Arial"/>
                <w:szCs w:val="20"/>
                <w:vertAlign w:val="subscript"/>
              </w:rPr>
              <w:t>Deklarowana</w:t>
            </w:r>
          </w:p>
        </w:tc>
      </w:tr>
    </w:tbl>
    <w:p w14:paraId="4B302DF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Można stosować pyły z odpylania, pod warunkiem spełniania wymagań jak dla wypełniacza zgodnie z pktem 5 PN-EN 13043 [50]. Proporcja pyłów i wypełniacza wapiennego powinna być tak dobrana, aby kategoria zawartości CaCO</w:t>
      </w:r>
      <w:r w:rsidRPr="006431C4">
        <w:rPr>
          <w:rFonts w:cs="Arial"/>
          <w:szCs w:val="20"/>
          <w:vertAlign w:val="subscript"/>
        </w:rPr>
        <w:t>3</w:t>
      </w:r>
      <w:r w:rsidRPr="006431C4">
        <w:rPr>
          <w:rFonts w:cs="Arial"/>
          <w:szCs w:val="20"/>
        </w:rPr>
        <w:t xml:space="preserve"> w mieszance pyłów i wypełniacza wapiennego nie była niższa niż CC</w:t>
      </w:r>
      <w:r w:rsidRPr="006431C4">
        <w:rPr>
          <w:rFonts w:cs="Arial"/>
          <w:szCs w:val="20"/>
          <w:vertAlign w:val="subscript"/>
        </w:rPr>
        <w:t>70</w:t>
      </w:r>
      <w:r w:rsidRPr="006431C4">
        <w:rPr>
          <w:rFonts w:cs="Arial"/>
          <w:szCs w:val="20"/>
        </w:rPr>
        <w:t xml:space="preserve">. </w:t>
      </w:r>
    </w:p>
    <w:p w14:paraId="1260308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r>
    </w:p>
    <w:p w14:paraId="0F317B31"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784FAE5C"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2.5. Środek adhezyjny </w:t>
      </w:r>
    </w:p>
    <w:p w14:paraId="23E0FC0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14:paraId="0931751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Składowanie środka adhezyjnego jest dozwolone tylko w oryginalnych opakowaniach producenta.</w:t>
      </w:r>
    </w:p>
    <w:p w14:paraId="4965669E"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p>
    <w:p w14:paraId="521E99E2"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2.6. Granulat asfaltowy</w:t>
      </w:r>
    </w:p>
    <w:p w14:paraId="7B024EC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2.6.1.</w:t>
      </w:r>
      <w:r w:rsidRPr="006431C4">
        <w:rPr>
          <w:rFonts w:cs="Arial"/>
          <w:szCs w:val="20"/>
        </w:rPr>
        <w:t xml:space="preserve"> Właściwości granulatu asfaltowego</w:t>
      </w:r>
    </w:p>
    <w:p w14:paraId="229667F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Granulat asfaltowy powinien spełniać wymagania podane w tablicy 10. </w:t>
      </w:r>
    </w:p>
    <w:p w14:paraId="7F203A6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Tablica 10.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08"/>
        <w:gridCol w:w="756"/>
        <w:gridCol w:w="7504"/>
      </w:tblGrid>
      <w:tr w:rsidR="00284CBE" w:rsidRPr="006431C4" w14:paraId="011AC4BA" w14:textId="77777777" w:rsidTr="00697F2D">
        <w:tc>
          <w:tcPr>
            <w:tcW w:w="3264" w:type="dxa"/>
            <w:gridSpan w:val="2"/>
          </w:tcPr>
          <w:p w14:paraId="126EB94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Wymagania</w:t>
            </w:r>
          </w:p>
        </w:tc>
        <w:tc>
          <w:tcPr>
            <w:tcW w:w="7504" w:type="dxa"/>
          </w:tcPr>
          <w:p w14:paraId="3CC588B8" w14:textId="77777777" w:rsidR="00284CBE" w:rsidRPr="006431C4" w:rsidRDefault="00284CBE" w:rsidP="00284CBE">
            <w:pPr>
              <w:overflowPunct w:val="0"/>
              <w:autoSpaceDE w:val="0"/>
              <w:autoSpaceDN w:val="0"/>
              <w:adjustRightInd w:val="0"/>
              <w:spacing w:line="240" w:lineRule="auto"/>
              <w:ind w:right="-108"/>
              <w:jc w:val="center"/>
              <w:textAlignment w:val="baseline"/>
              <w:rPr>
                <w:rFonts w:cs="Arial"/>
                <w:szCs w:val="20"/>
              </w:rPr>
            </w:pPr>
            <w:r w:rsidRPr="006431C4">
              <w:rPr>
                <w:rFonts w:cs="Arial"/>
                <w:szCs w:val="20"/>
              </w:rPr>
              <w:t>Warstwa wiążąca</w:t>
            </w:r>
          </w:p>
        </w:tc>
      </w:tr>
      <w:tr w:rsidR="00284CBE" w:rsidRPr="006431C4" w14:paraId="139A6B5F" w14:textId="77777777" w:rsidTr="00697F2D">
        <w:tc>
          <w:tcPr>
            <w:tcW w:w="3264" w:type="dxa"/>
            <w:gridSpan w:val="2"/>
          </w:tcPr>
          <w:p w14:paraId="7AF9CAC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Zawartość minerałów obcych</w:t>
            </w:r>
          </w:p>
        </w:tc>
        <w:tc>
          <w:tcPr>
            <w:tcW w:w="7504" w:type="dxa"/>
          </w:tcPr>
          <w:p w14:paraId="5BE5A29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Kategoria FM</w:t>
            </w:r>
            <w:r w:rsidRPr="006431C4">
              <w:rPr>
                <w:rFonts w:cs="Arial"/>
                <w:szCs w:val="20"/>
                <w:vertAlign w:val="subscript"/>
              </w:rPr>
              <w:t>1/01</w:t>
            </w:r>
          </w:p>
        </w:tc>
      </w:tr>
      <w:tr w:rsidR="00284CBE" w:rsidRPr="006431C4" w14:paraId="2D6E3B24" w14:textId="77777777" w:rsidTr="00697F2D">
        <w:tc>
          <w:tcPr>
            <w:tcW w:w="2508" w:type="dxa"/>
            <w:vMerge w:val="restart"/>
          </w:tcPr>
          <w:p w14:paraId="2615D50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vertAlign w:val="superscript"/>
              </w:rPr>
            </w:pPr>
            <w:r w:rsidRPr="006431C4">
              <w:rPr>
                <w:rFonts w:cs="Arial"/>
                <w:szCs w:val="20"/>
              </w:rPr>
              <w:t>Właściwości lepiszcza odzyskanego w granu-lacie asfaltowym</w:t>
            </w:r>
            <w:r w:rsidRPr="006431C4">
              <w:rPr>
                <w:rFonts w:cs="Arial"/>
                <w:szCs w:val="20"/>
                <w:vertAlign w:val="superscript"/>
              </w:rPr>
              <w:t>a)</w:t>
            </w:r>
          </w:p>
        </w:tc>
        <w:tc>
          <w:tcPr>
            <w:tcW w:w="756" w:type="dxa"/>
          </w:tcPr>
          <w:p w14:paraId="2E9B671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PIK</w:t>
            </w:r>
          </w:p>
        </w:tc>
        <w:tc>
          <w:tcPr>
            <w:tcW w:w="7504" w:type="dxa"/>
          </w:tcPr>
          <w:p w14:paraId="1ACF5BA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vertAlign w:val="subscript"/>
              </w:rPr>
            </w:pPr>
            <w:r w:rsidRPr="006431C4">
              <w:rPr>
                <w:rFonts w:cs="Arial"/>
                <w:szCs w:val="20"/>
              </w:rPr>
              <w:t>Kategoria S</w:t>
            </w:r>
            <w:r w:rsidRPr="006431C4">
              <w:rPr>
                <w:rFonts w:cs="Arial"/>
                <w:szCs w:val="20"/>
                <w:vertAlign w:val="subscript"/>
              </w:rPr>
              <w:t>70</w:t>
            </w:r>
          </w:p>
          <w:p w14:paraId="1FFC4EF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Wartość średnia temperatury mięknienia nie może być wyższa niż 70°C. Pojedyncze wartości temperatury mięknienia nie mogą przekraczać 77°C</w:t>
            </w:r>
          </w:p>
        </w:tc>
      </w:tr>
      <w:tr w:rsidR="00284CBE" w:rsidRPr="006431C4" w14:paraId="666224A6" w14:textId="77777777" w:rsidTr="00697F2D">
        <w:tc>
          <w:tcPr>
            <w:tcW w:w="2508" w:type="dxa"/>
            <w:vMerge/>
          </w:tcPr>
          <w:p w14:paraId="78DF8CA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756" w:type="dxa"/>
          </w:tcPr>
          <w:p w14:paraId="33239B7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Pen.</w:t>
            </w:r>
          </w:p>
        </w:tc>
        <w:tc>
          <w:tcPr>
            <w:tcW w:w="7504" w:type="dxa"/>
          </w:tcPr>
          <w:p w14:paraId="780FF21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vertAlign w:val="subscript"/>
              </w:rPr>
            </w:pPr>
            <w:r w:rsidRPr="006431C4">
              <w:rPr>
                <w:rFonts w:cs="Arial"/>
                <w:szCs w:val="20"/>
              </w:rPr>
              <w:t>Kategoria P</w:t>
            </w:r>
            <w:r w:rsidRPr="006431C4">
              <w:rPr>
                <w:rFonts w:cs="Arial"/>
                <w:szCs w:val="20"/>
                <w:vertAlign w:val="subscript"/>
              </w:rPr>
              <w:t>15</w:t>
            </w:r>
          </w:p>
          <w:p w14:paraId="16C6DEE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6431C4">
                <w:rPr>
                  <w:rFonts w:cs="Arial"/>
                  <w:szCs w:val="20"/>
                </w:rPr>
                <w:t>0,1 mm</w:t>
              </w:r>
            </w:smartTag>
          </w:p>
        </w:tc>
      </w:tr>
      <w:tr w:rsidR="00284CBE" w:rsidRPr="006431C4" w14:paraId="4BAA330B" w14:textId="77777777" w:rsidTr="00697F2D">
        <w:tc>
          <w:tcPr>
            <w:tcW w:w="3264" w:type="dxa"/>
            <w:gridSpan w:val="2"/>
          </w:tcPr>
          <w:p w14:paraId="5E24E14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Jednorodność</w:t>
            </w:r>
          </w:p>
        </w:tc>
        <w:tc>
          <w:tcPr>
            <w:tcW w:w="7504" w:type="dxa"/>
          </w:tcPr>
          <w:p w14:paraId="47E2322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Wg tablicy 12</w:t>
            </w:r>
          </w:p>
        </w:tc>
      </w:tr>
      <w:tr w:rsidR="00284CBE" w:rsidRPr="006431C4" w14:paraId="34A80500" w14:textId="77777777" w:rsidTr="00697F2D">
        <w:tc>
          <w:tcPr>
            <w:tcW w:w="10768" w:type="dxa"/>
            <w:gridSpan w:val="3"/>
          </w:tcPr>
          <w:p w14:paraId="5B750E07" w14:textId="77777777" w:rsidR="00284CBE" w:rsidRPr="006431C4" w:rsidRDefault="00284CBE" w:rsidP="00284CBE">
            <w:pPr>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rPr>
              <w:t xml:space="preserve">a) </w:t>
            </w:r>
            <w:r w:rsidRPr="006431C4">
              <w:rPr>
                <w:rFonts w:cs="Arial"/>
                <w:szCs w:val="20"/>
              </w:rPr>
              <w:tab/>
              <w:t>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14:paraId="2CD49E67"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Zawartość materiałów obcych w granulacie asfaltowym, oznaczona wg PN-EN 12697-42 [48],  powinna spełniać wymagania podane w tablicy 11.</w:t>
      </w:r>
    </w:p>
    <w:p w14:paraId="73CDA13E" w14:textId="77777777" w:rsidR="00697F2D" w:rsidRPr="006431C4" w:rsidRDefault="00697F2D" w:rsidP="00284CBE">
      <w:pPr>
        <w:overflowPunct w:val="0"/>
        <w:autoSpaceDE w:val="0"/>
        <w:autoSpaceDN w:val="0"/>
        <w:adjustRightInd w:val="0"/>
        <w:spacing w:line="240" w:lineRule="auto"/>
        <w:ind w:firstLine="709"/>
        <w:jc w:val="both"/>
        <w:textAlignment w:val="baseline"/>
        <w:rPr>
          <w:rFonts w:cs="Arial"/>
          <w:szCs w:val="20"/>
        </w:rPr>
      </w:pPr>
    </w:p>
    <w:p w14:paraId="32AFC0D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Tablica 11.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645"/>
        <w:gridCol w:w="2740"/>
      </w:tblGrid>
      <w:tr w:rsidR="00284CBE" w:rsidRPr="006431C4" w14:paraId="3CCD0978" w14:textId="77777777" w:rsidTr="00284CBE">
        <w:tc>
          <w:tcPr>
            <w:tcW w:w="5148" w:type="dxa"/>
            <w:gridSpan w:val="2"/>
          </w:tcPr>
          <w:p w14:paraId="1B85883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Materiały obce</w:t>
            </w:r>
            <w:r w:rsidRPr="006431C4">
              <w:rPr>
                <w:rFonts w:cs="Arial"/>
                <w:szCs w:val="20"/>
                <w:vertAlign w:val="superscript"/>
              </w:rPr>
              <w:t>a)</w:t>
            </w:r>
          </w:p>
        </w:tc>
        <w:tc>
          <w:tcPr>
            <w:tcW w:w="2740" w:type="dxa"/>
          </w:tcPr>
          <w:p w14:paraId="6CC781D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Kategoria</w:t>
            </w:r>
          </w:p>
        </w:tc>
      </w:tr>
      <w:tr w:rsidR="00284CBE" w:rsidRPr="006431C4" w14:paraId="14CCF78A" w14:textId="77777777" w:rsidTr="00284CBE">
        <w:tc>
          <w:tcPr>
            <w:tcW w:w="2503" w:type="dxa"/>
          </w:tcPr>
          <w:p w14:paraId="20F11DE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Grupa 1</w:t>
            </w:r>
          </w:p>
          <w:p w14:paraId="5D14200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[%(m/m)]</w:t>
            </w:r>
          </w:p>
        </w:tc>
        <w:tc>
          <w:tcPr>
            <w:tcW w:w="2645" w:type="dxa"/>
          </w:tcPr>
          <w:p w14:paraId="681E47F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Grupa 2</w:t>
            </w:r>
          </w:p>
          <w:p w14:paraId="6CBCE11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[%(m/m)]</w:t>
            </w:r>
          </w:p>
        </w:tc>
        <w:tc>
          <w:tcPr>
            <w:tcW w:w="2740" w:type="dxa"/>
            <w:vAlign w:val="center"/>
          </w:tcPr>
          <w:p w14:paraId="25143F4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PM</w:t>
            </w:r>
          </w:p>
        </w:tc>
      </w:tr>
      <w:tr w:rsidR="00284CBE" w:rsidRPr="006431C4" w14:paraId="10AEBA1E" w14:textId="77777777" w:rsidTr="00284CBE">
        <w:tc>
          <w:tcPr>
            <w:tcW w:w="2503" w:type="dxa"/>
          </w:tcPr>
          <w:p w14:paraId="1641341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&lt;1</w:t>
            </w:r>
          </w:p>
        </w:tc>
        <w:tc>
          <w:tcPr>
            <w:tcW w:w="2645" w:type="dxa"/>
          </w:tcPr>
          <w:p w14:paraId="5E7715D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&lt;0,1</w:t>
            </w:r>
          </w:p>
        </w:tc>
        <w:tc>
          <w:tcPr>
            <w:tcW w:w="2740" w:type="dxa"/>
          </w:tcPr>
          <w:p w14:paraId="198EA72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PM</w:t>
            </w:r>
            <w:r w:rsidRPr="006431C4">
              <w:rPr>
                <w:rFonts w:cs="Arial"/>
                <w:szCs w:val="20"/>
                <w:vertAlign w:val="subscript"/>
              </w:rPr>
              <w:t>1/0,1</w:t>
            </w:r>
          </w:p>
        </w:tc>
      </w:tr>
      <w:tr w:rsidR="00284CBE" w:rsidRPr="006431C4" w14:paraId="55461722" w14:textId="77777777" w:rsidTr="00284CBE">
        <w:tc>
          <w:tcPr>
            <w:tcW w:w="2503" w:type="dxa"/>
          </w:tcPr>
          <w:p w14:paraId="1A26C08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&lt;5</w:t>
            </w:r>
          </w:p>
        </w:tc>
        <w:tc>
          <w:tcPr>
            <w:tcW w:w="2645" w:type="dxa"/>
          </w:tcPr>
          <w:p w14:paraId="5BB5CF2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&lt;0,1</w:t>
            </w:r>
          </w:p>
        </w:tc>
        <w:tc>
          <w:tcPr>
            <w:tcW w:w="2740" w:type="dxa"/>
          </w:tcPr>
          <w:p w14:paraId="68D883D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PM</w:t>
            </w:r>
            <w:r w:rsidRPr="006431C4">
              <w:rPr>
                <w:rFonts w:cs="Arial"/>
                <w:szCs w:val="20"/>
                <w:vertAlign w:val="subscript"/>
              </w:rPr>
              <w:t>5/0,1</w:t>
            </w:r>
          </w:p>
        </w:tc>
      </w:tr>
      <w:tr w:rsidR="00284CBE" w:rsidRPr="006431C4" w14:paraId="119B5627" w14:textId="77777777" w:rsidTr="00284CBE">
        <w:tc>
          <w:tcPr>
            <w:tcW w:w="2503" w:type="dxa"/>
          </w:tcPr>
          <w:p w14:paraId="7CF2594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&gt;5</w:t>
            </w:r>
          </w:p>
        </w:tc>
        <w:tc>
          <w:tcPr>
            <w:tcW w:w="2645" w:type="dxa"/>
          </w:tcPr>
          <w:p w14:paraId="7856EDA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&gt;0,1</w:t>
            </w:r>
          </w:p>
        </w:tc>
        <w:tc>
          <w:tcPr>
            <w:tcW w:w="2740" w:type="dxa"/>
          </w:tcPr>
          <w:p w14:paraId="39E7EDD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PM</w:t>
            </w:r>
            <w:r w:rsidRPr="006431C4">
              <w:rPr>
                <w:rFonts w:cs="Arial"/>
                <w:szCs w:val="20"/>
                <w:vertAlign w:val="subscript"/>
              </w:rPr>
              <w:t>dec</w:t>
            </w:r>
          </w:p>
        </w:tc>
      </w:tr>
      <w:tr w:rsidR="00284CBE" w:rsidRPr="006431C4" w14:paraId="5C8E3566" w14:textId="77777777" w:rsidTr="00284CBE">
        <w:tc>
          <w:tcPr>
            <w:tcW w:w="7888" w:type="dxa"/>
            <w:gridSpan w:val="3"/>
          </w:tcPr>
          <w:p w14:paraId="0F44C6E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 materiały obce grupy 1 i 2 zgodnie z pktem 4.1 normy PN-EN 13108-8 [53]</w:t>
            </w:r>
          </w:p>
        </w:tc>
      </w:tr>
    </w:tbl>
    <w:p w14:paraId="56A3627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55057C52"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Wymiar D kruszywa zawartego w granulacie asfaltowym nie może być większy od  wymiaru D mieszanki mineralnej wchodzącej w skład mieszanki mineralno-asfaltowej.</w:t>
      </w:r>
    </w:p>
    <w:p w14:paraId="4E7F30C0"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 obliczania temperatury mięknienia mieszaniny lepiszcza z granulatu asfaltowego i dodanego asfaltu należy, zgodnie z PN-EN 13108-1 [51], załącznik a,            pkt A.3,  stosować następujące równanie:</w:t>
      </w:r>
    </w:p>
    <w:p w14:paraId="007E233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szCs w:val="20"/>
        </w:rPr>
        <w:t>T</w:t>
      </w:r>
      <w:r w:rsidRPr="006431C4">
        <w:rPr>
          <w:rFonts w:cs="Arial"/>
          <w:szCs w:val="20"/>
          <w:vertAlign w:val="subscript"/>
        </w:rPr>
        <w:t xml:space="preserve">PiKmix </w:t>
      </w:r>
      <w:r w:rsidRPr="006431C4">
        <w:rPr>
          <w:rFonts w:cs="Arial"/>
          <w:szCs w:val="20"/>
        </w:rPr>
        <w:t>= α · T</w:t>
      </w:r>
      <w:r w:rsidRPr="006431C4">
        <w:rPr>
          <w:rFonts w:cs="Arial"/>
          <w:szCs w:val="20"/>
          <w:vertAlign w:val="subscript"/>
        </w:rPr>
        <w:t xml:space="preserve">PiK1 </w:t>
      </w:r>
      <w:r w:rsidRPr="006431C4">
        <w:rPr>
          <w:rFonts w:cs="Arial"/>
          <w:szCs w:val="20"/>
        </w:rPr>
        <w:t>+b · T</w:t>
      </w:r>
      <w:r w:rsidRPr="006431C4">
        <w:rPr>
          <w:rFonts w:cs="Arial"/>
          <w:szCs w:val="20"/>
          <w:vertAlign w:val="subscript"/>
        </w:rPr>
        <w:t>PiK2</w:t>
      </w:r>
    </w:p>
    <w:p w14:paraId="021A03A6"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w którym:</w:t>
      </w:r>
    </w:p>
    <w:p w14:paraId="3B0AA4CA" w14:textId="77777777" w:rsidR="00284CBE" w:rsidRPr="006431C4" w:rsidRDefault="00284CBE" w:rsidP="00284CBE">
      <w:pPr>
        <w:overflowPunct w:val="0"/>
        <w:autoSpaceDE w:val="0"/>
        <w:autoSpaceDN w:val="0"/>
        <w:adjustRightInd w:val="0"/>
        <w:spacing w:line="240" w:lineRule="auto"/>
        <w:ind w:left="960" w:hanging="960"/>
        <w:textAlignment w:val="baseline"/>
        <w:rPr>
          <w:rFonts w:cs="Arial"/>
          <w:szCs w:val="20"/>
        </w:rPr>
      </w:pPr>
      <w:r w:rsidRPr="006431C4">
        <w:rPr>
          <w:rFonts w:cs="Arial"/>
          <w:szCs w:val="20"/>
        </w:rPr>
        <w:t>T</w:t>
      </w:r>
      <w:r w:rsidRPr="006431C4">
        <w:rPr>
          <w:rFonts w:cs="Arial"/>
          <w:szCs w:val="20"/>
          <w:vertAlign w:val="subscript"/>
        </w:rPr>
        <w:t>PiKmix</w:t>
      </w:r>
      <w:r w:rsidRPr="006431C4">
        <w:rPr>
          <w:rFonts w:cs="Arial"/>
          <w:szCs w:val="20"/>
        </w:rPr>
        <w:t xml:space="preserve"> – temperatura mięknienia mieszanki lepiszczy w mieszance mineralno-asfaltowej z dodatkiem granulatu asfaltowego, [°C],</w:t>
      </w:r>
    </w:p>
    <w:p w14:paraId="2260A22D"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T</w:t>
      </w:r>
      <w:r w:rsidRPr="006431C4">
        <w:rPr>
          <w:rFonts w:cs="Arial"/>
          <w:szCs w:val="20"/>
          <w:vertAlign w:val="subscript"/>
        </w:rPr>
        <w:t xml:space="preserve">PiK1    </w:t>
      </w:r>
      <w:r w:rsidRPr="006431C4">
        <w:rPr>
          <w:rFonts w:cs="Arial"/>
          <w:szCs w:val="20"/>
        </w:rPr>
        <w:t xml:space="preserve"> –  temperatura mięknienia lepiszcza odzyskanego z granulatu asfaltowego, [°C],</w:t>
      </w:r>
    </w:p>
    <w:p w14:paraId="703A59D5"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T</w:t>
      </w:r>
      <w:r w:rsidRPr="006431C4">
        <w:rPr>
          <w:rFonts w:cs="Arial"/>
          <w:szCs w:val="20"/>
          <w:vertAlign w:val="subscript"/>
        </w:rPr>
        <w:t xml:space="preserve">PiK2     </w:t>
      </w:r>
      <w:r w:rsidRPr="006431C4">
        <w:rPr>
          <w:rFonts w:cs="Arial"/>
          <w:szCs w:val="20"/>
        </w:rPr>
        <w:t>–  średnia temperatura mięknienia dodanego lepiszcza asfaltowego [°C],</w:t>
      </w:r>
    </w:p>
    <w:p w14:paraId="09953725" w14:textId="77777777" w:rsidR="00284CBE" w:rsidRPr="006431C4" w:rsidRDefault="00284CBE" w:rsidP="00284CBE">
      <w:pPr>
        <w:overflowPunct w:val="0"/>
        <w:autoSpaceDE w:val="0"/>
        <w:autoSpaceDN w:val="0"/>
        <w:adjustRightInd w:val="0"/>
        <w:spacing w:line="240" w:lineRule="auto"/>
        <w:ind w:left="960" w:hanging="960"/>
        <w:jc w:val="both"/>
        <w:textAlignment w:val="baseline"/>
        <w:rPr>
          <w:rFonts w:cs="Arial"/>
          <w:szCs w:val="20"/>
        </w:rPr>
      </w:pPr>
      <w:r w:rsidRPr="006431C4">
        <w:rPr>
          <w:rFonts w:cs="Arial"/>
          <w:szCs w:val="20"/>
        </w:rPr>
        <w:t xml:space="preserve">a i b   – udział masowy: lepiszcza z granulatu asfaltowego (a) i dodanego lepiszcza (b), przy </w:t>
      </w:r>
      <w:proofErr w:type="spellStart"/>
      <w:r w:rsidRPr="006431C4">
        <w:rPr>
          <w:rFonts w:cs="Arial"/>
          <w:szCs w:val="20"/>
        </w:rPr>
        <w:t>a+b</w:t>
      </w:r>
      <w:proofErr w:type="spellEnd"/>
      <w:r w:rsidRPr="006431C4">
        <w:rPr>
          <w:rFonts w:cs="Arial"/>
          <w:szCs w:val="20"/>
        </w:rPr>
        <w:t>=1</w:t>
      </w:r>
    </w:p>
    <w:p w14:paraId="3C71362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2.6.2.</w:t>
      </w:r>
      <w:r w:rsidRPr="006431C4">
        <w:rPr>
          <w:rFonts w:cs="Arial"/>
          <w:szCs w:val="20"/>
        </w:rPr>
        <w:t xml:space="preserve"> Jednorodność granulatu asfaltowego </w:t>
      </w:r>
    </w:p>
    <w:p w14:paraId="5E380482"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14:paraId="2611D6DB"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Wymagane jest podanie zmierzonej wartości jednorodności rozstępu wyników badań właściwości przeprowadzonych na liczbie próbek </w:t>
      </w:r>
      <w:r w:rsidRPr="006431C4">
        <w:rPr>
          <w:rFonts w:cs="Arial"/>
          <w:i/>
          <w:szCs w:val="20"/>
        </w:rPr>
        <w:t>n</w:t>
      </w:r>
      <w:r w:rsidRPr="006431C4">
        <w:rPr>
          <w:rFonts w:cs="Arial"/>
          <w:szCs w:val="20"/>
        </w:rPr>
        <w:t xml:space="preserve">, przy czym </w:t>
      </w:r>
      <w:r w:rsidRPr="006431C4">
        <w:rPr>
          <w:rFonts w:cs="Arial"/>
          <w:i/>
          <w:szCs w:val="20"/>
        </w:rPr>
        <w:t>n</w:t>
      </w:r>
      <w:r w:rsidRPr="006431C4">
        <w:rPr>
          <w:rFonts w:cs="Arial"/>
          <w:szCs w:val="20"/>
        </w:rPr>
        <w:t xml:space="preserve"> powinno wynosić co najmniej 5. Liczbę próbek oblicza się, dzieląc masę materiału wyjściowego podanego w tonach [t], zaokrąglając w górę do pełnej liczby.</w:t>
      </w:r>
    </w:p>
    <w:p w14:paraId="156C4B0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Wymagania dotyczące dopuszczalnego rozstępu wyników badań granulatu asfaltowego podano w tablicy 12. </w:t>
      </w:r>
    </w:p>
    <w:p w14:paraId="7688141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82"/>
        <w:gridCol w:w="3286"/>
      </w:tblGrid>
      <w:tr w:rsidR="00284CBE" w:rsidRPr="006431C4" w14:paraId="2B3634A7" w14:textId="77777777" w:rsidTr="00284CBE">
        <w:trPr>
          <w:trHeight w:val="1160"/>
        </w:trPr>
        <w:tc>
          <w:tcPr>
            <w:tcW w:w="5582" w:type="dxa"/>
          </w:tcPr>
          <w:p w14:paraId="5D78163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62FA187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2F89AC8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3286" w:type="dxa"/>
          </w:tcPr>
          <w:p w14:paraId="4FAC975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Dopuszczalny rozstęp wyników badań (</w:t>
            </w:r>
            <w:proofErr w:type="spellStart"/>
            <w:r w:rsidRPr="006431C4">
              <w:rPr>
                <w:rFonts w:cs="Arial"/>
                <w:szCs w:val="20"/>
              </w:rPr>
              <w:t>T</w:t>
            </w:r>
            <w:r w:rsidRPr="006431C4">
              <w:rPr>
                <w:rFonts w:cs="Arial"/>
                <w:szCs w:val="20"/>
                <w:vertAlign w:val="subscript"/>
              </w:rPr>
              <w:t>roż</w:t>
            </w:r>
            <w:proofErr w:type="spellEnd"/>
            <w:r w:rsidRPr="006431C4">
              <w:rPr>
                <w:rFonts w:cs="Arial"/>
                <w:szCs w:val="20"/>
              </w:rPr>
              <w:t>) partii granulatu asfaltowego do zastosowania w mieszance mineralno-asfaltowej przeznaczonej do warstwy wiążącej</w:t>
            </w:r>
          </w:p>
        </w:tc>
      </w:tr>
      <w:tr w:rsidR="00284CBE" w:rsidRPr="006431C4" w14:paraId="11C9DEF1" w14:textId="77777777" w:rsidTr="00284CBE">
        <w:tc>
          <w:tcPr>
            <w:tcW w:w="5582" w:type="dxa"/>
          </w:tcPr>
          <w:p w14:paraId="598EBAE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 lepiszcza odzyskanego, [°C]</w:t>
            </w:r>
          </w:p>
        </w:tc>
        <w:tc>
          <w:tcPr>
            <w:tcW w:w="3286" w:type="dxa"/>
          </w:tcPr>
          <w:p w14:paraId="53A5917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8,0</w:t>
            </w:r>
          </w:p>
        </w:tc>
      </w:tr>
      <w:tr w:rsidR="00284CBE" w:rsidRPr="006431C4" w14:paraId="7E11E554" w14:textId="77777777" w:rsidTr="00284CBE">
        <w:tc>
          <w:tcPr>
            <w:tcW w:w="5582" w:type="dxa"/>
          </w:tcPr>
          <w:p w14:paraId="087A883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lepiszcza, [%(m/m)]</w:t>
            </w:r>
          </w:p>
        </w:tc>
        <w:tc>
          <w:tcPr>
            <w:tcW w:w="3286" w:type="dxa"/>
          </w:tcPr>
          <w:p w14:paraId="5FC75B9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r>
      <w:tr w:rsidR="00284CBE" w:rsidRPr="006431C4" w14:paraId="176403EF" w14:textId="77777777" w:rsidTr="00284CBE">
        <w:tc>
          <w:tcPr>
            <w:tcW w:w="5582" w:type="dxa"/>
          </w:tcPr>
          <w:p w14:paraId="0F97C52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Kruszywo o uziarnieniu poniżej </w:t>
            </w:r>
            <w:smartTag w:uri="urn:schemas-microsoft-com:office:smarttags" w:element="metricconverter">
              <w:smartTagPr>
                <w:attr w:name="ProductID" w:val="0,063 mm"/>
              </w:smartTagPr>
              <w:r w:rsidRPr="006431C4">
                <w:rPr>
                  <w:rFonts w:cs="Arial"/>
                  <w:szCs w:val="20"/>
                </w:rPr>
                <w:t>0,063 mm</w:t>
              </w:r>
            </w:smartTag>
            <w:r w:rsidRPr="006431C4">
              <w:rPr>
                <w:rFonts w:cs="Arial"/>
                <w:szCs w:val="20"/>
              </w:rPr>
              <w:t xml:space="preserve"> [%(m/m)]</w:t>
            </w:r>
          </w:p>
        </w:tc>
        <w:tc>
          <w:tcPr>
            <w:tcW w:w="3286" w:type="dxa"/>
          </w:tcPr>
          <w:p w14:paraId="4C73F3F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r>
      <w:tr w:rsidR="00284CBE" w:rsidRPr="006431C4" w14:paraId="23A6EF0D" w14:textId="77777777" w:rsidTr="00284CBE">
        <w:tc>
          <w:tcPr>
            <w:tcW w:w="5582" w:type="dxa"/>
          </w:tcPr>
          <w:p w14:paraId="72F7A53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Kruszywo o uziarnieniu od 0,063 do </w:t>
            </w:r>
            <w:smartTag w:uri="urn:schemas-microsoft-com:office:smarttags" w:element="metricconverter">
              <w:smartTagPr>
                <w:attr w:name="ProductID" w:val="2 mm"/>
              </w:smartTagPr>
              <w:r w:rsidRPr="006431C4">
                <w:rPr>
                  <w:rFonts w:cs="Arial"/>
                  <w:szCs w:val="20"/>
                </w:rPr>
                <w:t>2 mm</w:t>
              </w:r>
            </w:smartTag>
            <w:r w:rsidRPr="006431C4">
              <w:rPr>
                <w:rFonts w:cs="Arial"/>
                <w:szCs w:val="20"/>
              </w:rPr>
              <w:t xml:space="preserve"> [%(m/m)]</w:t>
            </w:r>
          </w:p>
        </w:tc>
        <w:tc>
          <w:tcPr>
            <w:tcW w:w="3286" w:type="dxa"/>
          </w:tcPr>
          <w:p w14:paraId="2189199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16,0</w:t>
            </w:r>
          </w:p>
        </w:tc>
      </w:tr>
      <w:tr w:rsidR="00284CBE" w:rsidRPr="006431C4" w14:paraId="194C6759" w14:textId="77777777" w:rsidTr="00284CBE">
        <w:tc>
          <w:tcPr>
            <w:tcW w:w="5582" w:type="dxa"/>
          </w:tcPr>
          <w:p w14:paraId="562D869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Kruszywo o uziarnieniu powyżej </w:t>
            </w:r>
            <w:smartTag w:uri="urn:schemas-microsoft-com:office:smarttags" w:element="metricconverter">
              <w:smartTagPr>
                <w:attr w:name="ProductID" w:val="2 mm"/>
              </w:smartTagPr>
              <w:r w:rsidRPr="006431C4">
                <w:rPr>
                  <w:rFonts w:cs="Arial"/>
                  <w:szCs w:val="20"/>
                </w:rPr>
                <w:t>2 mm</w:t>
              </w:r>
            </w:smartTag>
            <w:r w:rsidRPr="006431C4">
              <w:rPr>
                <w:rFonts w:cs="Arial"/>
                <w:szCs w:val="20"/>
              </w:rPr>
              <w:t xml:space="preserve">  [%(m/m)]</w:t>
            </w:r>
          </w:p>
        </w:tc>
        <w:tc>
          <w:tcPr>
            <w:tcW w:w="3286" w:type="dxa"/>
          </w:tcPr>
          <w:p w14:paraId="2B91F40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16,0</w:t>
            </w:r>
          </w:p>
        </w:tc>
      </w:tr>
    </w:tbl>
    <w:p w14:paraId="232585E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2.6.3.</w:t>
      </w:r>
      <w:r w:rsidRPr="006431C4">
        <w:rPr>
          <w:rFonts w:cs="Arial"/>
          <w:szCs w:val="20"/>
        </w:rPr>
        <w:t xml:space="preserve"> Deklarowanie właściwości  granulatu asfaltowego </w:t>
      </w:r>
    </w:p>
    <w:p w14:paraId="718E5D62"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opisie granulatu asfaltowego producent powinien zadeklarować:</w:t>
      </w:r>
    </w:p>
    <w:p w14:paraId="7DA16578" w14:textId="77777777" w:rsidR="00284CBE" w:rsidRPr="006431C4" w:rsidRDefault="00284CBE" w:rsidP="00CF1E7D">
      <w:pPr>
        <w:numPr>
          <w:ilvl w:val="0"/>
          <w:numId w:val="162"/>
        </w:numPr>
        <w:overflowPunct w:val="0"/>
        <w:autoSpaceDE w:val="0"/>
        <w:autoSpaceDN w:val="0"/>
        <w:adjustRightInd w:val="0"/>
        <w:spacing w:line="240" w:lineRule="auto"/>
        <w:jc w:val="both"/>
        <w:textAlignment w:val="baseline"/>
        <w:rPr>
          <w:rFonts w:cs="Arial"/>
          <w:szCs w:val="20"/>
        </w:rPr>
      </w:pPr>
      <w:r w:rsidRPr="006431C4">
        <w:rPr>
          <w:rFonts w:cs="Arial"/>
          <w:szCs w:val="20"/>
        </w:rPr>
        <w:t>typ mieszanki lub mieszanek, z których pochodzi granulat (np. AC 16 S , droga DK 10), nie dopuszcza się do stosowania granulatu,  którego pochodzenia nie można udokumentować i zadeklarować,</w:t>
      </w:r>
    </w:p>
    <w:p w14:paraId="33BEA9F3" w14:textId="77777777" w:rsidR="00284CBE" w:rsidRPr="006431C4" w:rsidRDefault="00284CBE" w:rsidP="00CF1E7D">
      <w:pPr>
        <w:numPr>
          <w:ilvl w:val="0"/>
          <w:numId w:val="162"/>
        </w:numPr>
        <w:overflowPunct w:val="0"/>
        <w:autoSpaceDE w:val="0"/>
        <w:autoSpaceDN w:val="0"/>
        <w:adjustRightInd w:val="0"/>
        <w:spacing w:line="240" w:lineRule="auto"/>
        <w:jc w:val="both"/>
        <w:textAlignment w:val="baseline"/>
        <w:rPr>
          <w:rFonts w:cs="Arial"/>
          <w:szCs w:val="20"/>
        </w:rPr>
      </w:pPr>
      <w:r w:rsidRPr="006431C4">
        <w:rPr>
          <w:rFonts w:cs="Arial"/>
          <w:szCs w:val="20"/>
        </w:rPr>
        <w:t>rodzaj kruszywa i średnie uziarnienie,</w:t>
      </w:r>
    </w:p>
    <w:p w14:paraId="348AA4C6" w14:textId="77777777" w:rsidR="00284CBE" w:rsidRPr="006431C4" w:rsidRDefault="00284CBE" w:rsidP="00CF1E7D">
      <w:pPr>
        <w:numPr>
          <w:ilvl w:val="0"/>
          <w:numId w:val="162"/>
        </w:numPr>
        <w:overflowPunct w:val="0"/>
        <w:autoSpaceDE w:val="0"/>
        <w:autoSpaceDN w:val="0"/>
        <w:adjustRightInd w:val="0"/>
        <w:spacing w:line="240" w:lineRule="auto"/>
        <w:jc w:val="both"/>
        <w:textAlignment w:val="baseline"/>
        <w:rPr>
          <w:rFonts w:cs="Arial"/>
          <w:szCs w:val="20"/>
        </w:rPr>
      </w:pPr>
      <w:r w:rsidRPr="006431C4">
        <w:rPr>
          <w:rFonts w:cs="Arial"/>
          <w:szCs w:val="20"/>
        </w:rPr>
        <w:t>typ lepiszcza, średnią zawartość lepiszcza i średnia temperaturę mięknienia lepiszcza odzyskanego,</w:t>
      </w:r>
    </w:p>
    <w:p w14:paraId="45DFFD12" w14:textId="77777777" w:rsidR="00284CBE" w:rsidRPr="006431C4" w:rsidRDefault="00284CBE" w:rsidP="00CF1E7D">
      <w:pPr>
        <w:numPr>
          <w:ilvl w:val="0"/>
          <w:numId w:val="162"/>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maksymalną wielkość kawałków granulatu asfaltowego U GRA D/d. </w:t>
      </w:r>
    </w:p>
    <w:p w14:paraId="3CFC7DC5"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Właściwości kruszywa z granulatu asfaltowego powinny spełniać wymagania określone dla kruszywa w danej mieszance mineralno-asfaltowej.</w:t>
      </w:r>
    </w:p>
    <w:p w14:paraId="3D71CD6D"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Dopuszcza się deklarowanie właściwości kruszywa mineralnego w granulacie asfaltowym na podstawie udokumentowanego wcześniej zastosowania. </w:t>
      </w:r>
    </w:p>
    <w:p w14:paraId="51E2A6C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2.6.4.</w:t>
      </w:r>
      <w:r w:rsidRPr="006431C4">
        <w:rPr>
          <w:rFonts w:cs="Arial"/>
          <w:szCs w:val="20"/>
        </w:rPr>
        <w:t xml:space="preserve"> Warunki stosowania granulatu asfaltowego </w:t>
      </w:r>
    </w:p>
    <w:p w14:paraId="7F256533"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58A86337"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Granulat dodawany na zimno wymaga wyższego podgrzewania kruszywa, zgodnie z tablicą 13. Jeżeli granulat asfaltowy jest wilgotny to należy temperaturę kruszywa jeszcze podnieść o korektę z tablicy 14. </w:t>
      </w:r>
    </w:p>
    <w:p w14:paraId="4EF32167" w14:textId="77777777" w:rsidR="00284CBE" w:rsidRPr="006431C4" w:rsidRDefault="00284CBE" w:rsidP="00284CBE">
      <w:pPr>
        <w:tabs>
          <w:tab w:val="left" w:pos="1134"/>
        </w:tabs>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13.</w:t>
      </w:r>
      <w:r w:rsidRPr="006431C4">
        <w:rPr>
          <w:rFonts w:cs="Arial"/>
          <w:szCs w:val="20"/>
        </w:rPr>
        <w:tab/>
        <w:t>Temperatura kruszywa w zależności od ilości zimnego i suchego granulatu asfaltowego</w:t>
      </w:r>
    </w:p>
    <w:p w14:paraId="60553FE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noProof/>
          <w:szCs w:val="20"/>
        </w:rPr>
        <w:lastRenderedPageBreak/>
        <w:drawing>
          <wp:inline distT="0" distB="0" distL="0" distR="0" wp14:anchorId="096A6E0B" wp14:editId="530C643A">
            <wp:extent cx="4676775" cy="3028950"/>
            <wp:effectExtent l="0" t="0" r="9525"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676775" cy="3028950"/>
                    </a:xfrm>
                    <a:prstGeom prst="rect">
                      <a:avLst/>
                    </a:prstGeom>
                    <a:noFill/>
                    <a:ln>
                      <a:noFill/>
                    </a:ln>
                  </pic:spPr>
                </pic:pic>
              </a:graphicData>
            </a:graphic>
          </wp:inline>
        </w:drawing>
      </w:r>
    </w:p>
    <w:p w14:paraId="4180CEA4"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Należy oznaczyć wilgotność granulatu asfaltowego i skorygować temperaturę produkcji mma zgodnie z tablicą 14 o tyle, aby nie została przekroczona dopuszczalna najwyższa temperatura lepiszcza asfaltowego w zbiorniku magazynowym (roboczym) - patrz pkt 2.3. </w:t>
      </w:r>
    </w:p>
    <w:p w14:paraId="058447FE" w14:textId="77777777" w:rsidR="00284CBE" w:rsidRPr="006431C4" w:rsidRDefault="00284CBE" w:rsidP="00284CBE">
      <w:pPr>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14.</w:t>
      </w:r>
      <w:r w:rsidRPr="006431C4">
        <w:rPr>
          <w:rFonts w:cs="Arial"/>
          <w:szCs w:val="20"/>
        </w:rPr>
        <w:tab/>
        <w:t>Korekta 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84"/>
        <w:gridCol w:w="1068"/>
        <w:gridCol w:w="1067"/>
        <w:gridCol w:w="1067"/>
        <w:gridCol w:w="1067"/>
        <w:gridCol w:w="1067"/>
        <w:gridCol w:w="1067"/>
      </w:tblGrid>
      <w:tr w:rsidR="00284CBE" w:rsidRPr="006431C4" w14:paraId="24CE4110" w14:textId="77777777" w:rsidTr="00284CBE">
        <w:tc>
          <w:tcPr>
            <w:tcW w:w="1184" w:type="dxa"/>
            <w:vMerge w:val="restart"/>
          </w:tcPr>
          <w:p w14:paraId="3ECA89A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Udział granulatu asfaltowego M[%]</w:t>
            </w:r>
          </w:p>
        </w:tc>
        <w:tc>
          <w:tcPr>
            <w:tcW w:w="6403" w:type="dxa"/>
            <w:gridSpan w:val="6"/>
          </w:tcPr>
          <w:p w14:paraId="7B0FB63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Wilgotność granulatu asfaltowego [%]</w:t>
            </w:r>
          </w:p>
        </w:tc>
      </w:tr>
      <w:tr w:rsidR="00284CBE" w:rsidRPr="006431C4" w14:paraId="46A42018" w14:textId="77777777" w:rsidTr="00284CBE">
        <w:tc>
          <w:tcPr>
            <w:tcW w:w="1184" w:type="dxa"/>
            <w:vMerge/>
          </w:tcPr>
          <w:p w14:paraId="17A2B7A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1068" w:type="dxa"/>
          </w:tcPr>
          <w:p w14:paraId="586BC43A" w14:textId="77777777" w:rsidR="00284CBE" w:rsidRPr="006431C4" w:rsidRDefault="00284CBE" w:rsidP="00284CBE">
            <w:pPr>
              <w:tabs>
                <w:tab w:val="left" w:pos="810"/>
              </w:tabs>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1067" w:type="dxa"/>
          </w:tcPr>
          <w:p w14:paraId="3953C10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1067" w:type="dxa"/>
          </w:tcPr>
          <w:p w14:paraId="5D203EB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c>
          <w:tcPr>
            <w:tcW w:w="1067" w:type="dxa"/>
          </w:tcPr>
          <w:p w14:paraId="39120BC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1067" w:type="dxa"/>
          </w:tcPr>
          <w:p w14:paraId="0459C3D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1067" w:type="dxa"/>
          </w:tcPr>
          <w:p w14:paraId="02BA784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r>
      <w:tr w:rsidR="00284CBE" w:rsidRPr="006431C4" w14:paraId="68670798" w14:textId="77777777" w:rsidTr="00284CBE">
        <w:tc>
          <w:tcPr>
            <w:tcW w:w="1184" w:type="dxa"/>
            <w:vMerge/>
          </w:tcPr>
          <w:p w14:paraId="2170015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6403" w:type="dxa"/>
            <w:gridSpan w:val="6"/>
          </w:tcPr>
          <w:p w14:paraId="60EFBE5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Korekta temperatury °C</w:t>
            </w:r>
          </w:p>
        </w:tc>
      </w:tr>
      <w:tr w:rsidR="00284CBE" w:rsidRPr="006431C4" w14:paraId="022D8370" w14:textId="77777777" w:rsidTr="00284CBE">
        <w:tc>
          <w:tcPr>
            <w:tcW w:w="1184" w:type="dxa"/>
          </w:tcPr>
          <w:p w14:paraId="539B3E3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1068" w:type="dxa"/>
          </w:tcPr>
          <w:p w14:paraId="05ADADD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1067" w:type="dxa"/>
          </w:tcPr>
          <w:p w14:paraId="72F2513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1067" w:type="dxa"/>
          </w:tcPr>
          <w:p w14:paraId="5521A0F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c>
          <w:tcPr>
            <w:tcW w:w="1067" w:type="dxa"/>
          </w:tcPr>
          <w:p w14:paraId="0628E76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1067" w:type="dxa"/>
          </w:tcPr>
          <w:p w14:paraId="6A41C1F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c>
          <w:tcPr>
            <w:tcW w:w="1067" w:type="dxa"/>
          </w:tcPr>
          <w:p w14:paraId="77BBFED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24</w:t>
            </w:r>
          </w:p>
        </w:tc>
      </w:tr>
      <w:tr w:rsidR="00284CBE" w:rsidRPr="006431C4" w14:paraId="4C5665D1" w14:textId="77777777" w:rsidTr="00284CBE">
        <w:tc>
          <w:tcPr>
            <w:tcW w:w="1184" w:type="dxa"/>
          </w:tcPr>
          <w:p w14:paraId="27180BA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1068" w:type="dxa"/>
          </w:tcPr>
          <w:p w14:paraId="608490D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1067" w:type="dxa"/>
          </w:tcPr>
          <w:p w14:paraId="58B654C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c>
          <w:tcPr>
            <w:tcW w:w="1067" w:type="dxa"/>
          </w:tcPr>
          <w:p w14:paraId="65DF8F7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18</w:t>
            </w:r>
          </w:p>
        </w:tc>
        <w:tc>
          <w:tcPr>
            <w:tcW w:w="1067" w:type="dxa"/>
            <w:shd w:val="clear" w:color="auto" w:fill="auto"/>
          </w:tcPr>
          <w:p w14:paraId="4C8EB58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24</w:t>
            </w:r>
          </w:p>
        </w:tc>
        <w:tc>
          <w:tcPr>
            <w:tcW w:w="1067" w:type="dxa"/>
            <w:shd w:val="clear" w:color="auto" w:fill="EEECE1"/>
          </w:tcPr>
          <w:p w14:paraId="19D6967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1067" w:type="dxa"/>
            <w:shd w:val="clear" w:color="auto" w:fill="EEECE1"/>
          </w:tcPr>
          <w:p w14:paraId="58583E2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36</w:t>
            </w:r>
          </w:p>
        </w:tc>
      </w:tr>
      <w:tr w:rsidR="00284CBE" w:rsidRPr="006431C4" w14:paraId="63466756" w14:textId="77777777" w:rsidTr="00284CBE">
        <w:tc>
          <w:tcPr>
            <w:tcW w:w="1184" w:type="dxa"/>
          </w:tcPr>
          <w:p w14:paraId="298CED7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c>
          <w:tcPr>
            <w:tcW w:w="1068" w:type="dxa"/>
          </w:tcPr>
          <w:p w14:paraId="1E7F200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1067" w:type="dxa"/>
          </w:tcPr>
          <w:p w14:paraId="0DFCD46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1067" w:type="dxa"/>
          </w:tcPr>
          <w:p w14:paraId="376C88A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24</w:t>
            </w:r>
          </w:p>
        </w:tc>
        <w:tc>
          <w:tcPr>
            <w:tcW w:w="1067" w:type="dxa"/>
            <w:shd w:val="clear" w:color="auto" w:fill="EEECE1"/>
          </w:tcPr>
          <w:p w14:paraId="59C3020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32</w:t>
            </w:r>
          </w:p>
        </w:tc>
        <w:tc>
          <w:tcPr>
            <w:tcW w:w="1067" w:type="dxa"/>
            <w:shd w:val="clear" w:color="auto" w:fill="EEECE1"/>
          </w:tcPr>
          <w:p w14:paraId="29308E9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1067" w:type="dxa"/>
            <w:shd w:val="clear" w:color="auto" w:fill="EEECE1"/>
          </w:tcPr>
          <w:p w14:paraId="46DB39D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48</w:t>
            </w:r>
          </w:p>
        </w:tc>
      </w:tr>
      <w:tr w:rsidR="00284CBE" w:rsidRPr="006431C4" w14:paraId="21CEFCCC" w14:textId="77777777" w:rsidTr="00284CBE">
        <w:tc>
          <w:tcPr>
            <w:tcW w:w="1184" w:type="dxa"/>
          </w:tcPr>
          <w:p w14:paraId="1EF7289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25</w:t>
            </w:r>
          </w:p>
        </w:tc>
        <w:tc>
          <w:tcPr>
            <w:tcW w:w="1068" w:type="dxa"/>
          </w:tcPr>
          <w:p w14:paraId="0ADD9E6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1067" w:type="dxa"/>
          </w:tcPr>
          <w:p w14:paraId="73126B9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c>
          <w:tcPr>
            <w:tcW w:w="1067" w:type="dxa"/>
            <w:shd w:val="clear" w:color="auto" w:fill="EEECE1"/>
          </w:tcPr>
          <w:p w14:paraId="24B69D6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1067" w:type="dxa"/>
            <w:shd w:val="clear" w:color="auto" w:fill="EEECE1"/>
          </w:tcPr>
          <w:p w14:paraId="0CC25E8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1067" w:type="dxa"/>
            <w:shd w:val="clear" w:color="auto" w:fill="EEECE1"/>
          </w:tcPr>
          <w:p w14:paraId="17B030A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w:t>
            </w:r>
          </w:p>
        </w:tc>
        <w:tc>
          <w:tcPr>
            <w:tcW w:w="1067" w:type="dxa"/>
            <w:shd w:val="clear" w:color="auto" w:fill="EEECE1"/>
          </w:tcPr>
          <w:p w14:paraId="5D47AD4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r>
      <w:tr w:rsidR="00284CBE" w:rsidRPr="006431C4" w14:paraId="3209129A" w14:textId="77777777" w:rsidTr="00284CBE">
        <w:tc>
          <w:tcPr>
            <w:tcW w:w="1184" w:type="dxa"/>
          </w:tcPr>
          <w:p w14:paraId="1CC4D19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1068" w:type="dxa"/>
          </w:tcPr>
          <w:p w14:paraId="45A9392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c>
          <w:tcPr>
            <w:tcW w:w="1067" w:type="dxa"/>
          </w:tcPr>
          <w:p w14:paraId="0802D9A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24</w:t>
            </w:r>
          </w:p>
        </w:tc>
        <w:tc>
          <w:tcPr>
            <w:tcW w:w="1067" w:type="dxa"/>
            <w:shd w:val="clear" w:color="auto" w:fill="EEECE1"/>
          </w:tcPr>
          <w:p w14:paraId="7064838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067" w:type="dxa"/>
            <w:shd w:val="clear" w:color="auto" w:fill="EEECE1"/>
          </w:tcPr>
          <w:p w14:paraId="5B16C42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067" w:type="dxa"/>
            <w:shd w:val="clear" w:color="auto" w:fill="EEECE1"/>
          </w:tcPr>
          <w:p w14:paraId="137024F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067" w:type="dxa"/>
            <w:shd w:val="clear" w:color="auto" w:fill="EEECE1"/>
          </w:tcPr>
          <w:p w14:paraId="50463FC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bl>
    <w:p w14:paraId="211B73F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353C924A"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Szare pola wskazują dodatek granulatu nieekonomiczny i niebezpieczny ze względu na duże ilości pary wodnej powstającej przy odparowaniu wody z wilgotnego granulatu. </w:t>
      </w:r>
    </w:p>
    <w:p w14:paraId="6FC4E644"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Dopuszcza się użycie granulatu asfaltowego w metodzie „na zimno”  (bez wstępnego ogrzewania) w ilości do 20% masy mieszanki mineralno-asfaltowej na podstawie wykazania spełnienia wymagań podanych powyżej oraz spełniania właściwości mma. </w:t>
      </w:r>
    </w:p>
    <w:p w14:paraId="6FC2A02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Uwaga: Stosowanie granulatu asfaltowego nie może obniżać właściwości mieszanek mineralno-asfaltowych.</w:t>
      </w:r>
    </w:p>
    <w:p w14:paraId="1888110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 produkcji mieszanek mineralno-asfaltowych z zastosowaniem granulatu nie dopuszcza się stosowania środków obniżających lepkość asfaltu.</w:t>
      </w:r>
    </w:p>
    <w:p w14:paraId="370301CE"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2.7. Materiały do uszczelnienia połączeń i krawędzi</w:t>
      </w:r>
    </w:p>
    <w:p w14:paraId="09690CC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14:paraId="1E1B4EE9" w14:textId="77777777" w:rsidR="00697F2D" w:rsidRPr="006431C4" w:rsidRDefault="00697F2D" w:rsidP="00284CBE">
      <w:pPr>
        <w:tabs>
          <w:tab w:val="left" w:pos="1134"/>
        </w:tabs>
        <w:overflowPunct w:val="0"/>
        <w:autoSpaceDE w:val="0"/>
        <w:autoSpaceDN w:val="0"/>
        <w:adjustRightInd w:val="0"/>
        <w:spacing w:line="240" w:lineRule="auto"/>
        <w:ind w:left="1134" w:hanging="1134"/>
        <w:jc w:val="both"/>
        <w:textAlignment w:val="baseline"/>
        <w:rPr>
          <w:rFonts w:cs="Arial"/>
          <w:szCs w:val="20"/>
        </w:rPr>
      </w:pPr>
    </w:p>
    <w:p w14:paraId="18AF11B8" w14:textId="77777777" w:rsidR="00284CBE" w:rsidRPr="006431C4" w:rsidRDefault="00284CBE" w:rsidP="00284CBE">
      <w:pPr>
        <w:tabs>
          <w:tab w:val="left" w:pos="1134"/>
        </w:tabs>
        <w:overflowPunct w:val="0"/>
        <w:autoSpaceDE w:val="0"/>
        <w:autoSpaceDN w:val="0"/>
        <w:adjustRightInd w:val="0"/>
        <w:spacing w:line="240" w:lineRule="auto"/>
        <w:ind w:left="1134" w:hanging="1134"/>
        <w:jc w:val="both"/>
        <w:textAlignment w:val="baseline"/>
        <w:rPr>
          <w:rFonts w:cs="Arial"/>
          <w:szCs w:val="20"/>
          <w:highlight w:val="yellow"/>
        </w:rPr>
      </w:pPr>
      <w:r w:rsidRPr="006431C4">
        <w:rPr>
          <w:rFonts w:cs="Arial"/>
          <w:szCs w:val="20"/>
        </w:rPr>
        <w:t>Tablica 15.</w:t>
      </w:r>
      <w:r w:rsidRPr="006431C4">
        <w:rPr>
          <w:rFonts w:cs="Arial"/>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2804"/>
        <w:gridCol w:w="1786"/>
        <w:gridCol w:w="2635"/>
      </w:tblGrid>
      <w:tr w:rsidR="00284CBE" w:rsidRPr="006431C4" w14:paraId="60EE63C2" w14:textId="77777777" w:rsidTr="00697F2D">
        <w:tc>
          <w:tcPr>
            <w:tcW w:w="1785" w:type="dxa"/>
            <w:vMerge w:val="restart"/>
            <w:vAlign w:val="center"/>
          </w:tcPr>
          <w:p w14:paraId="0F4787DA"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warstwy</w:t>
            </w:r>
          </w:p>
        </w:tc>
        <w:tc>
          <w:tcPr>
            <w:tcW w:w="4589" w:type="dxa"/>
            <w:gridSpan w:val="2"/>
            <w:vAlign w:val="center"/>
          </w:tcPr>
          <w:p w14:paraId="46337F07"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Złącze podłużne</w:t>
            </w:r>
          </w:p>
        </w:tc>
        <w:tc>
          <w:tcPr>
            <w:tcW w:w="4421" w:type="dxa"/>
            <w:gridSpan w:val="2"/>
            <w:vAlign w:val="center"/>
          </w:tcPr>
          <w:p w14:paraId="409CF84C"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Złącze poprzeczne</w:t>
            </w:r>
          </w:p>
        </w:tc>
      </w:tr>
      <w:tr w:rsidR="00284CBE" w:rsidRPr="006431C4" w14:paraId="25C12DFB" w14:textId="77777777" w:rsidTr="00697F2D">
        <w:tc>
          <w:tcPr>
            <w:tcW w:w="1785" w:type="dxa"/>
            <w:vMerge/>
            <w:vAlign w:val="center"/>
          </w:tcPr>
          <w:p w14:paraId="3475F5C0"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p>
        </w:tc>
        <w:tc>
          <w:tcPr>
            <w:tcW w:w="1785" w:type="dxa"/>
            <w:vAlign w:val="center"/>
          </w:tcPr>
          <w:p w14:paraId="2C618C49"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Ruch</w:t>
            </w:r>
          </w:p>
        </w:tc>
        <w:tc>
          <w:tcPr>
            <w:tcW w:w="2804" w:type="dxa"/>
            <w:vAlign w:val="center"/>
          </w:tcPr>
          <w:p w14:paraId="354F9593"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materiału</w:t>
            </w:r>
          </w:p>
        </w:tc>
        <w:tc>
          <w:tcPr>
            <w:tcW w:w="1786" w:type="dxa"/>
            <w:vAlign w:val="center"/>
          </w:tcPr>
          <w:p w14:paraId="492A0610"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Ruch</w:t>
            </w:r>
          </w:p>
        </w:tc>
        <w:tc>
          <w:tcPr>
            <w:tcW w:w="2635" w:type="dxa"/>
            <w:vAlign w:val="center"/>
          </w:tcPr>
          <w:p w14:paraId="6C376F99"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materiału</w:t>
            </w:r>
          </w:p>
        </w:tc>
      </w:tr>
      <w:tr w:rsidR="00284CBE" w:rsidRPr="006431C4" w14:paraId="202BA7EF" w14:textId="77777777" w:rsidTr="00697F2D">
        <w:tc>
          <w:tcPr>
            <w:tcW w:w="1785" w:type="dxa"/>
            <w:vMerge w:val="restart"/>
          </w:tcPr>
          <w:p w14:paraId="7F0DB126"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Warstwa wiążąca</w:t>
            </w:r>
          </w:p>
        </w:tc>
        <w:tc>
          <w:tcPr>
            <w:tcW w:w="1785" w:type="dxa"/>
            <w:vMerge w:val="restart"/>
          </w:tcPr>
          <w:p w14:paraId="4B51FD22"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KR 1-7</w:t>
            </w:r>
          </w:p>
          <w:p w14:paraId="2368E4C9"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p>
        </w:tc>
        <w:tc>
          <w:tcPr>
            <w:tcW w:w="2804" w:type="dxa"/>
            <w:vMerge w:val="restart"/>
          </w:tcPr>
          <w:p w14:paraId="0A1DA7EC" w14:textId="77777777" w:rsidR="00284CBE" w:rsidRPr="006431C4" w:rsidRDefault="00284CBE" w:rsidP="00284C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Pasty asfaltowe lub elastyczne taśmy bitumiczne</w:t>
            </w:r>
          </w:p>
        </w:tc>
        <w:tc>
          <w:tcPr>
            <w:tcW w:w="1786" w:type="dxa"/>
          </w:tcPr>
          <w:p w14:paraId="2EBFC55A"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KR 1-2</w:t>
            </w:r>
          </w:p>
        </w:tc>
        <w:tc>
          <w:tcPr>
            <w:tcW w:w="2635" w:type="dxa"/>
          </w:tcPr>
          <w:p w14:paraId="0E02E584"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Pasty asfaltowe lub elastyczne taśmy bitumiczne</w:t>
            </w:r>
          </w:p>
        </w:tc>
      </w:tr>
      <w:tr w:rsidR="00284CBE" w:rsidRPr="006431C4" w14:paraId="307935DF" w14:textId="77777777" w:rsidTr="00697F2D">
        <w:tc>
          <w:tcPr>
            <w:tcW w:w="1785" w:type="dxa"/>
            <w:vMerge/>
          </w:tcPr>
          <w:p w14:paraId="45D65164"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p>
        </w:tc>
        <w:tc>
          <w:tcPr>
            <w:tcW w:w="1785" w:type="dxa"/>
            <w:vMerge/>
          </w:tcPr>
          <w:p w14:paraId="49FD53CD"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p>
        </w:tc>
        <w:tc>
          <w:tcPr>
            <w:tcW w:w="2804" w:type="dxa"/>
            <w:vMerge/>
          </w:tcPr>
          <w:p w14:paraId="1684BD96"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p>
        </w:tc>
        <w:tc>
          <w:tcPr>
            <w:tcW w:w="1786" w:type="dxa"/>
          </w:tcPr>
          <w:p w14:paraId="7D69DC5C"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KR 3-7</w:t>
            </w:r>
          </w:p>
        </w:tc>
        <w:tc>
          <w:tcPr>
            <w:tcW w:w="2635" w:type="dxa"/>
          </w:tcPr>
          <w:p w14:paraId="6137B074"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Elastyczne taśmy bitumiczne</w:t>
            </w:r>
          </w:p>
        </w:tc>
      </w:tr>
    </w:tbl>
    <w:p w14:paraId="35147CC9" w14:textId="77777777" w:rsidR="00697F2D" w:rsidRPr="006431C4" w:rsidRDefault="00697F2D" w:rsidP="00284CBE">
      <w:pPr>
        <w:tabs>
          <w:tab w:val="left" w:pos="1134"/>
        </w:tabs>
        <w:overflowPunct w:val="0"/>
        <w:autoSpaceDE w:val="0"/>
        <w:autoSpaceDN w:val="0"/>
        <w:adjustRightInd w:val="0"/>
        <w:spacing w:line="240" w:lineRule="auto"/>
        <w:ind w:left="1134" w:hanging="1134"/>
        <w:jc w:val="both"/>
        <w:textAlignment w:val="baseline"/>
        <w:rPr>
          <w:rFonts w:cs="Arial"/>
          <w:szCs w:val="20"/>
        </w:rPr>
      </w:pPr>
    </w:p>
    <w:p w14:paraId="6E03FD83" w14:textId="77777777" w:rsidR="00284CBE" w:rsidRPr="006431C4" w:rsidRDefault="00284CBE" w:rsidP="00284CBE">
      <w:pPr>
        <w:tabs>
          <w:tab w:val="left" w:pos="1134"/>
        </w:tabs>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16.</w:t>
      </w:r>
      <w:r w:rsidRPr="006431C4">
        <w:rPr>
          <w:rFonts w:cs="Arial"/>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4817"/>
      </w:tblGrid>
      <w:tr w:rsidR="00284CBE" w:rsidRPr="006431C4" w14:paraId="2F7E5826" w14:textId="77777777" w:rsidTr="00697F2D">
        <w:tc>
          <w:tcPr>
            <w:tcW w:w="2975" w:type="dxa"/>
            <w:vAlign w:val="center"/>
          </w:tcPr>
          <w:p w14:paraId="2A218A45"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warstwy</w:t>
            </w:r>
          </w:p>
        </w:tc>
        <w:tc>
          <w:tcPr>
            <w:tcW w:w="2976" w:type="dxa"/>
            <w:vAlign w:val="center"/>
          </w:tcPr>
          <w:p w14:paraId="63C24052"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Ruch</w:t>
            </w:r>
          </w:p>
        </w:tc>
        <w:tc>
          <w:tcPr>
            <w:tcW w:w="4817" w:type="dxa"/>
            <w:vAlign w:val="center"/>
          </w:tcPr>
          <w:p w14:paraId="2E2A8007"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Rodzaj materiału</w:t>
            </w:r>
          </w:p>
        </w:tc>
      </w:tr>
      <w:tr w:rsidR="00284CBE" w:rsidRPr="006431C4" w14:paraId="71DE0A77" w14:textId="77777777" w:rsidTr="00697F2D">
        <w:trPr>
          <w:trHeight w:val="621"/>
        </w:trPr>
        <w:tc>
          <w:tcPr>
            <w:tcW w:w="2975" w:type="dxa"/>
          </w:tcPr>
          <w:p w14:paraId="1D0867D9"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Warstwa wiążąca</w:t>
            </w:r>
          </w:p>
        </w:tc>
        <w:tc>
          <w:tcPr>
            <w:tcW w:w="2976" w:type="dxa"/>
          </w:tcPr>
          <w:p w14:paraId="6684B297"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KR 1-7</w:t>
            </w:r>
          </w:p>
          <w:p w14:paraId="0BC444FE"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p>
        </w:tc>
        <w:tc>
          <w:tcPr>
            <w:tcW w:w="4817" w:type="dxa"/>
          </w:tcPr>
          <w:p w14:paraId="03977A9A"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Pasty asfaltowe lub</w:t>
            </w:r>
          </w:p>
          <w:p w14:paraId="65470D81"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elastyczne taśmy bitumiczne </w:t>
            </w:r>
          </w:p>
        </w:tc>
      </w:tr>
    </w:tbl>
    <w:p w14:paraId="6E447A0E" w14:textId="77777777" w:rsidR="00697F2D" w:rsidRPr="006431C4" w:rsidRDefault="00697F2D" w:rsidP="00284CBE">
      <w:pPr>
        <w:tabs>
          <w:tab w:val="left" w:pos="1620"/>
        </w:tabs>
        <w:overflowPunct w:val="0"/>
        <w:autoSpaceDE w:val="0"/>
        <w:autoSpaceDN w:val="0"/>
        <w:adjustRightInd w:val="0"/>
        <w:spacing w:line="240" w:lineRule="auto"/>
        <w:jc w:val="both"/>
        <w:textAlignment w:val="baseline"/>
        <w:rPr>
          <w:rFonts w:cs="Arial"/>
          <w:szCs w:val="20"/>
        </w:rPr>
      </w:pPr>
    </w:p>
    <w:p w14:paraId="540B4A9E"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2977"/>
        <w:gridCol w:w="2693"/>
        <w:gridCol w:w="2232"/>
      </w:tblGrid>
      <w:tr w:rsidR="00284CBE" w:rsidRPr="006431C4" w14:paraId="7D7E648A" w14:textId="77777777" w:rsidTr="00697F2D">
        <w:tc>
          <w:tcPr>
            <w:tcW w:w="2972" w:type="dxa"/>
            <w:vAlign w:val="center"/>
          </w:tcPr>
          <w:p w14:paraId="503A8004"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2977" w:type="dxa"/>
            <w:vAlign w:val="center"/>
          </w:tcPr>
          <w:p w14:paraId="6F4DF384"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Metoda badawcza</w:t>
            </w:r>
          </w:p>
        </w:tc>
        <w:tc>
          <w:tcPr>
            <w:tcW w:w="2693" w:type="dxa"/>
            <w:vAlign w:val="center"/>
          </w:tcPr>
          <w:p w14:paraId="1C83F588"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Dodatkowy opis warunków badania</w:t>
            </w:r>
          </w:p>
        </w:tc>
        <w:tc>
          <w:tcPr>
            <w:tcW w:w="2232" w:type="dxa"/>
            <w:vAlign w:val="center"/>
          </w:tcPr>
          <w:p w14:paraId="0D6F2F83"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r>
      <w:tr w:rsidR="00284CBE" w:rsidRPr="006431C4" w14:paraId="132C1A1C" w14:textId="77777777" w:rsidTr="00697F2D">
        <w:tc>
          <w:tcPr>
            <w:tcW w:w="2972" w:type="dxa"/>
          </w:tcPr>
          <w:p w14:paraId="74E40BEC"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 PiK</w:t>
            </w:r>
          </w:p>
        </w:tc>
        <w:tc>
          <w:tcPr>
            <w:tcW w:w="2977" w:type="dxa"/>
          </w:tcPr>
          <w:p w14:paraId="6BAA5E6F"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PN-EN 1427[21]</w:t>
            </w:r>
          </w:p>
        </w:tc>
        <w:tc>
          <w:tcPr>
            <w:tcW w:w="2693" w:type="dxa"/>
          </w:tcPr>
          <w:p w14:paraId="01F5B25A"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p>
        </w:tc>
        <w:tc>
          <w:tcPr>
            <w:tcW w:w="2232" w:type="dxa"/>
          </w:tcPr>
          <w:p w14:paraId="49C7DB12"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≥90°C</w:t>
            </w:r>
          </w:p>
        </w:tc>
      </w:tr>
      <w:tr w:rsidR="00284CBE" w:rsidRPr="006431C4" w14:paraId="6993D226" w14:textId="77777777" w:rsidTr="00697F2D">
        <w:tc>
          <w:tcPr>
            <w:tcW w:w="2972" w:type="dxa"/>
          </w:tcPr>
          <w:p w14:paraId="1DF2631D"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Penetracja stożkiem</w:t>
            </w:r>
          </w:p>
        </w:tc>
        <w:tc>
          <w:tcPr>
            <w:tcW w:w="2977" w:type="dxa"/>
          </w:tcPr>
          <w:p w14:paraId="76D11930"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PN-EN 13880-2[71]</w:t>
            </w:r>
          </w:p>
        </w:tc>
        <w:tc>
          <w:tcPr>
            <w:tcW w:w="2693" w:type="dxa"/>
          </w:tcPr>
          <w:p w14:paraId="4EC0357B"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p>
        </w:tc>
        <w:tc>
          <w:tcPr>
            <w:tcW w:w="2232" w:type="dxa"/>
          </w:tcPr>
          <w:p w14:paraId="3ED09104"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20 do 50</w:t>
            </w:r>
          </w:p>
          <w:p w14:paraId="62581E6B"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1/10 mm</w:t>
            </w:r>
          </w:p>
        </w:tc>
      </w:tr>
      <w:tr w:rsidR="00284CBE" w:rsidRPr="006431C4" w14:paraId="669B5BC8" w14:textId="77777777" w:rsidTr="00697F2D">
        <w:tc>
          <w:tcPr>
            <w:tcW w:w="2972" w:type="dxa"/>
          </w:tcPr>
          <w:p w14:paraId="66F1EF7E"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Odprężenie sprężyste (odbojność)</w:t>
            </w:r>
          </w:p>
        </w:tc>
        <w:tc>
          <w:tcPr>
            <w:tcW w:w="2977" w:type="dxa"/>
          </w:tcPr>
          <w:p w14:paraId="6A7D9FFE"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PN-EN 13880-3[72]</w:t>
            </w:r>
          </w:p>
        </w:tc>
        <w:tc>
          <w:tcPr>
            <w:tcW w:w="2693" w:type="dxa"/>
          </w:tcPr>
          <w:p w14:paraId="706FD0B3"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p>
        </w:tc>
        <w:tc>
          <w:tcPr>
            <w:tcW w:w="2232" w:type="dxa"/>
          </w:tcPr>
          <w:p w14:paraId="0CA665C8"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10 do 30%</w:t>
            </w:r>
          </w:p>
        </w:tc>
      </w:tr>
      <w:tr w:rsidR="00284CBE" w:rsidRPr="006431C4" w14:paraId="23A5F8B9" w14:textId="77777777" w:rsidTr="00697F2D">
        <w:tc>
          <w:tcPr>
            <w:tcW w:w="2972" w:type="dxa"/>
          </w:tcPr>
          <w:p w14:paraId="711CF559"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Zginanie na zimno</w:t>
            </w:r>
          </w:p>
        </w:tc>
        <w:tc>
          <w:tcPr>
            <w:tcW w:w="2977" w:type="dxa"/>
          </w:tcPr>
          <w:p w14:paraId="7EFD5489"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DIN 52123[76]</w:t>
            </w:r>
          </w:p>
        </w:tc>
        <w:tc>
          <w:tcPr>
            <w:tcW w:w="2693" w:type="dxa"/>
          </w:tcPr>
          <w:p w14:paraId="57A0F9B0" w14:textId="77777777" w:rsidR="00284CBE" w:rsidRPr="006431C4" w:rsidRDefault="00284CBE" w:rsidP="00284CBE">
            <w:pPr>
              <w:spacing w:line="240" w:lineRule="auto"/>
              <w:rPr>
                <w:rFonts w:cs="Arial"/>
                <w:szCs w:val="20"/>
              </w:rPr>
            </w:pPr>
            <w:r w:rsidRPr="006431C4">
              <w:rPr>
                <w:rFonts w:cs="Arial"/>
                <w:szCs w:val="20"/>
              </w:rPr>
              <w:t xml:space="preserve">test odcinka taśmy o długości 20 cm w temperaturze 0°C </w:t>
            </w:r>
          </w:p>
          <w:p w14:paraId="5597C0C2" w14:textId="77777777" w:rsidR="00284CBE" w:rsidRPr="006431C4" w:rsidRDefault="00284CBE" w:rsidP="00284CBE">
            <w:pPr>
              <w:spacing w:line="240" w:lineRule="auto"/>
              <w:rPr>
                <w:rFonts w:cs="Arial"/>
                <w:szCs w:val="20"/>
              </w:rPr>
            </w:pPr>
            <w:r w:rsidRPr="006431C4">
              <w:rPr>
                <w:rFonts w:cs="Arial"/>
                <w:szCs w:val="20"/>
              </w:rPr>
              <w:t xml:space="preserve">badanie po 24 godzinnym </w:t>
            </w:r>
          </w:p>
          <w:p w14:paraId="39CABAED" w14:textId="77777777" w:rsidR="00284CBE" w:rsidRPr="006431C4" w:rsidRDefault="00284CBE" w:rsidP="00284CBE">
            <w:pPr>
              <w:spacing w:line="240" w:lineRule="auto"/>
              <w:rPr>
                <w:rFonts w:cs="Arial"/>
                <w:szCs w:val="20"/>
              </w:rPr>
            </w:pPr>
            <w:r w:rsidRPr="006431C4">
              <w:rPr>
                <w:rFonts w:cs="Arial"/>
                <w:szCs w:val="20"/>
              </w:rPr>
              <w:t xml:space="preserve">kondycjonowaniu </w:t>
            </w:r>
          </w:p>
          <w:p w14:paraId="3171F7E1"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p>
        </w:tc>
        <w:tc>
          <w:tcPr>
            <w:tcW w:w="2232" w:type="dxa"/>
          </w:tcPr>
          <w:p w14:paraId="7C3F4E26"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Bez pęknięcia</w:t>
            </w:r>
          </w:p>
        </w:tc>
      </w:tr>
      <w:tr w:rsidR="00284CBE" w:rsidRPr="006431C4" w14:paraId="463875BE" w14:textId="77777777" w:rsidTr="00697F2D">
        <w:tc>
          <w:tcPr>
            <w:tcW w:w="2972" w:type="dxa"/>
          </w:tcPr>
          <w:p w14:paraId="3143A0DB" w14:textId="77777777" w:rsidR="00284CBE" w:rsidRPr="006431C4" w:rsidRDefault="00284CBE" w:rsidP="00284C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Możliwość wydłużenia oraz przyczepności taśmy</w:t>
            </w:r>
          </w:p>
        </w:tc>
        <w:tc>
          <w:tcPr>
            <w:tcW w:w="2977" w:type="dxa"/>
          </w:tcPr>
          <w:p w14:paraId="0A7ECEA0"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SNV 671 920</w:t>
            </w:r>
          </w:p>
          <w:p w14:paraId="3DC9742A" w14:textId="77777777" w:rsidR="00284CBE" w:rsidRPr="006431C4" w:rsidRDefault="00284CBE" w:rsidP="00284C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(PN-EN 13880-13 [75])</w:t>
            </w:r>
          </w:p>
        </w:tc>
        <w:tc>
          <w:tcPr>
            <w:tcW w:w="2693" w:type="dxa"/>
          </w:tcPr>
          <w:p w14:paraId="747A5741"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 temperaturze </w:t>
            </w:r>
          </w:p>
          <w:p w14:paraId="14725D50"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-10°C</w:t>
            </w:r>
          </w:p>
        </w:tc>
        <w:tc>
          <w:tcPr>
            <w:tcW w:w="2232" w:type="dxa"/>
          </w:tcPr>
          <w:p w14:paraId="027293EB"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≥10%</w:t>
            </w:r>
          </w:p>
          <w:p w14:paraId="00A14749"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≤1 N/mm</w:t>
            </w:r>
            <w:r w:rsidRPr="006431C4">
              <w:rPr>
                <w:rFonts w:cs="Arial"/>
                <w:szCs w:val="20"/>
                <w:vertAlign w:val="superscript"/>
              </w:rPr>
              <w:t>2</w:t>
            </w:r>
          </w:p>
        </w:tc>
      </w:tr>
      <w:tr w:rsidR="00284CBE" w:rsidRPr="006431C4" w14:paraId="76F595F3" w14:textId="77777777" w:rsidTr="00697F2D">
        <w:tc>
          <w:tcPr>
            <w:tcW w:w="2972" w:type="dxa"/>
          </w:tcPr>
          <w:p w14:paraId="7F09C9AA" w14:textId="77777777" w:rsidR="00284CBE" w:rsidRPr="006431C4" w:rsidRDefault="00284CBE" w:rsidP="00284C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Możliwość wydłużenia oraz przyczepności taśmy po starzeniu termicznym</w:t>
            </w:r>
          </w:p>
        </w:tc>
        <w:tc>
          <w:tcPr>
            <w:tcW w:w="2977" w:type="dxa"/>
          </w:tcPr>
          <w:p w14:paraId="358A6F14"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SNV 671 920</w:t>
            </w:r>
          </w:p>
          <w:p w14:paraId="1AD41089" w14:textId="77777777" w:rsidR="00284CBE" w:rsidRPr="006431C4" w:rsidRDefault="00284CBE" w:rsidP="00284CBE">
            <w:pPr>
              <w:tabs>
                <w:tab w:val="left" w:pos="1620"/>
              </w:tabs>
              <w:overflowPunct w:val="0"/>
              <w:autoSpaceDE w:val="0"/>
              <w:autoSpaceDN w:val="0"/>
              <w:adjustRightInd w:val="0"/>
              <w:spacing w:line="240" w:lineRule="auto"/>
              <w:textAlignment w:val="baseline"/>
              <w:rPr>
                <w:rFonts w:cs="Arial"/>
                <w:szCs w:val="20"/>
              </w:rPr>
            </w:pPr>
            <w:r w:rsidRPr="006431C4">
              <w:rPr>
                <w:rFonts w:cs="Arial"/>
                <w:szCs w:val="20"/>
              </w:rPr>
              <w:t>(PN-EN 13880-13 [75])</w:t>
            </w:r>
          </w:p>
        </w:tc>
        <w:tc>
          <w:tcPr>
            <w:tcW w:w="2693" w:type="dxa"/>
          </w:tcPr>
          <w:p w14:paraId="548B0912"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 temperaturze </w:t>
            </w:r>
          </w:p>
          <w:p w14:paraId="74E7E54E" w14:textId="77777777" w:rsidR="00284CBE" w:rsidRPr="006431C4" w:rsidRDefault="00284CBE" w:rsidP="00284CBE">
            <w:pPr>
              <w:tabs>
                <w:tab w:val="left" w:pos="1620"/>
              </w:tabs>
              <w:overflowPunct w:val="0"/>
              <w:autoSpaceDE w:val="0"/>
              <w:autoSpaceDN w:val="0"/>
              <w:adjustRightInd w:val="0"/>
              <w:spacing w:line="240" w:lineRule="auto"/>
              <w:jc w:val="both"/>
              <w:textAlignment w:val="baseline"/>
              <w:rPr>
                <w:rFonts w:cs="Arial"/>
                <w:szCs w:val="20"/>
              </w:rPr>
            </w:pPr>
            <w:r w:rsidRPr="006431C4">
              <w:rPr>
                <w:rFonts w:cs="Arial"/>
                <w:szCs w:val="20"/>
              </w:rPr>
              <w:t>-10°C</w:t>
            </w:r>
          </w:p>
        </w:tc>
        <w:tc>
          <w:tcPr>
            <w:tcW w:w="2232" w:type="dxa"/>
          </w:tcPr>
          <w:p w14:paraId="7F54E582" w14:textId="77777777" w:rsidR="00284CBE" w:rsidRPr="006431C4" w:rsidRDefault="00284CBE" w:rsidP="00284CBE">
            <w:pPr>
              <w:tabs>
                <w:tab w:val="left" w:pos="1620"/>
              </w:tabs>
              <w:overflowPunct w:val="0"/>
              <w:autoSpaceDE w:val="0"/>
              <w:autoSpaceDN w:val="0"/>
              <w:adjustRightInd w:val="0"/>
              <w:spacing w:line="240" w:lineRule="auto"/>
              <w:jc w:val="center"/>
              <w:textAlignment w:val="baseline"/>
              <w:rPr>
                <w:rFonts w:cs="Arial"/>
                <w:szCs w:val="20"/>
              </w:rPr>
            </w:pPr>
            <w:r w:rsidRPr="006431C4">
              <w:rPr>
                <w:rFonts w:cs="Arial"/>
                <w:szCs w:val="20"/>
              </w:rPr>
              <w:t>Należy podać wynik</w:t>
            </w:r>
          </w:p>
        </w:tc>
      </w:tr>
    </w:tbl>
    <w:p w14:paraId="46867081" w14:textId="77777777" w:rsidR="00697F2D" w:rsidRPr="006431C4" w:rsidRDefault="00697F2D" w:rsidP="00284CBE">
      <w:pPr>
        <w:overflowPunct w:val="0"/>
        <w:autoSpaceDE w:val="0"/>
        <w:autoSpaceDN w:val="0"/>
        <w:adjustRightInd w:val="0"/>
        <w:spacing w:line="240" w:lineRule="auto"/>
        <w:jc w:val="both"/>
        <w:textAlignment w:val="baseline"/>
        <w:rPr>
          <w:rFonts w:cs="Arial"/>
          <w:szCs w:val="20"/>
        </w:rPr>
      </w:pPr>
    </w:p>
    <w:p w14:paraId="2E96EDF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Tablica 18. Wymagania wobec past asfaltowych na zimno na bazie emulsji</w:t>
      </w:r>
    </w:p>
    <w:tbl>
      <w:tblPr>
        <w:tblW w:w="109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7"/>
        <w:gridCol w:w="2976"/>
        <w:gridCol w:w="2976"/>
      </w:tblGrid>
      <w:tr w:rsidR="00284CBE" w:rsidRPr="006431C4" w14:paraId="35C90ACC" w14:textId="77777777" w:rsidTr="00697F2D">
        <w:tc>
          <w:tcPr>
            <w:tcW w:w="4957" w:type="dxa"/>
            <w:vAlign w:val="center"/>
          </w:tcPr>
          <w:p w14:paraId="6F34D6A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2976" w:type="dxa"/>
            <w:vAlign w:val="center"/>
          </w:tcPr>
          <w:p w14:paraId="591CADE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 badawcza</w:t>
            </w:r>
          </w:p>
        </w:tc>
        <w:tc>
          <w:tcPr>
            <w:tcW w:w="2976" w:type="dxa"/>
            <w:vAlign w:val="center"/>
          </w:tcPr>
          <w:p w14:paraId="3C481E8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r>
      <w:tr w:rsidR="00284CBE" w:rsidRPr="006431C4" w14:paraId="71DBD508" w14:textId="77777777" w:rsidTr="00697F2D">
        <w:tc>
          <w:tcPr>
            <w:tcW w:w="4957" w:type="dxa"/>
          </w:tcPr>
          <w:p w14:paraId="7CB00C7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Ocena organoleptyczna</w:t>
            </w:r>
          </w:p>
        </w:tc>
        <w:tc>
          <w:tcPr>
            <w:tcW w:w="2976" w:type="dxa"/>
          </w:tcPr>
          <w:p w14:paraId="08DA778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1425[77]</w:t>
            </w:r>
          </w:p>
        </w:tc>
        <w:tc>
          <w:tcPr>
            <w:tcW w:w="2976" w:type="dxa"/>
          </w:tcPr>
          <w:p w14:paraId="4028A20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pasta</w:t>
            </w:r>
          </w:p>
        </w:tc>
      </w:tr>
      <w:tr w:rsidR="00284CBE" w:rsidRPr="006431C4" w14:paraId="6F08BC94" w14:textId="77777777" w:rsidTr="00697F2D">
        <w:tc>
          <w:tcPr>
            <w:tcW w:w="4957" w:type="dxa"/>
          </w:tcPr>
          <w:p w14:paraId="1988777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Odporność na spływanie</w:t>
            </w:r>
          </w:p>
        </w:tc>
        <w:tc>
          <w:tcPr>
            <w:tcW w:w="2976" w:type="dxa"/>
          </w:tcPr>
          <w:p w14:paraId="235CB95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13880-5[73]</w:t>
            </w:r>
          </w:p>
        </w:tc>
        <w:tc>
          <w:tcPr>
            <w:tcW w:w="2976" w:type="dxa"/>
          </w:tcPr>
          <w:p w14:paraId="373E607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Nie spływa</w:t>
            </w:r>
          </w:p>
        </w:tc>
      </w:tr>
      <w:tr w:rsidR="00284CBE" w:rsidRPr="006431C4" w14:paraId="78168303" w14:textId="77777777" w:rsidTr="00697F2D">
        <w:tc>
          <w:tcPr>
            <w:tcW w:w="4957" w:type="dxa"/>
          </w:tcPr>
          <w:p w14:paraId="3D376EC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wody</w:t>
            </w:r>
          </w:p>
        </w:tc>
        <w:tc>
          <w:tcPr>
            <w:tcW w:w="2976" w:type="dxa"/>
          </w:tcPr>
          <w:p w14:paraId="12A2A43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1428[78]</w:t>
            </w:r>
          </w:p>
        </w:tc>
        <w:tc>
          <w:tcPr>
            <w:tcW w:w="2976" w:type="dxa"/>
          </w:tcPr>
          <w:p w14:paraId="048186A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 m/m</w:t>
            </w:r>
          </w:p>
        </w:tc>
      </w:tr>
      <w:tr w:rsidR="00284CBE" w:rsidRPr="006431C4" w14:paraId="0F96BD48" w14:textId="77777777" w:rsidTr="00697F2D">
        <w:tc>
          <w:tcPr>
            <w:tcW w:w="10909" w:type="dxa"/>
            <w:gridSpan w:val="3"/>
          </w:tcPr>
          <w:p w14:paraId="12ACF09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Właściwości odzyskanego i ustabilizowanego lepiszcza: PN-EN 13074-1[79] lub PN-EN 13074-2[80]</w:t>
            </w:r>
          </w:p>
        </w:tc>
      </w:tr>
      <w:tr w:rsidR="00284CBE" w:rsidRPr="006431C4" w14:paraId="4413EB87" w14:textId="77777777" w:rsidTr="00697F2D">
        <w:tc>
          <w:tcPr>
            <w:tcW w:w="4957" w:type="dxa"/>
          </w:tcPr>
          <w:p w14:paraId="24E8204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 PiK</w:t>
            </w:r>
          </w:p>
        </w:tc>
        <w:tc>
          <w:tcPr>
            <w:tcW w:w="2976" w:type="dxa"/>
          </w:tcPr>
          <w:p w14:paraId="782A918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1427[21]</w:t>
            </w:r>
          </w:p>
        </w:tc>
        <w:tc>
          <w:tcPr>
            <w:tcW w:w="2976" w:type="dxa"/>
          </w:tcPr>
          <w:p w14:paraId="141D535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≥70°C</w:t>
            </w:r>
          </w:p>
        </w:tc>
      </w:tr>
    </w:tbl>
    <w:p w14:paraId="4B3F8497" w14:textId="77777777" w:rsidR="00697F2D" w:rsidRPr="006431C4" w:rsidRDefault="00697F2D" w:rsidP="00284CBE">
      <w:pPr>
        <w:overflowPunct w:val="0"/>
        <w:autoSpaceDE w:val="0"/>
        <w:autoSpaceDN w:val="0"/>
        <w:adjustRightInd w:val="0"/>
        <w:spacing w:line="240" w:lineRule="auto"/>
        <w:jc w:val="both"/>
        <w:textAlignment w:val="baseline"/>
        <w:rPr>
          <w:rFonts w:cs="Arial"/>
          <w:szCs w:val="20"/>
        </w:rPr>
      </w:pPr>
    </w:p>
    <w:p w14:paraId="5ECE79E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Tablica 19. Wymagania wobec past asfaltowych na gorąco na bazie asfaltu modyfikowanego polimerami</w:t>
      </w:r>
    </w:p>
    <w:tbl>
      <w:tblPr>
        <w:tblW w:w="109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7"/>
        <w:gridCol w:w="2976"/>
        <w:gridCol w:w="2976"/>
      </w:tblGrid>
      <w:tr w:rsidR="00284CBE" w:rsidRPr="006431C4" w14:paraId="56E47D5E" w14:textId="77777777" w:rsidTr="00697F2D">
        <w:tc>
          <w:tcPr>
            <w:tcW w:w="4957" w:type="dxa"/>
            <w:vAlign w:val="center"/>
          </w:tcPr>
          <w:p w14:paraId="3228A0F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2976" w:type="dxa"/>
            <w:vAlign w:val="center"/>
          </w:tcPr>
          <w:p w14:paraId="5BB2EC3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 badawcza</w:t>
            </w:r>
          </w:p>
        </w:tc>
        <w:tc>
          <w:tcPr>
            <w:tcW w:w="2976" w:type="dxa"/>
            <w:vAlign w:val="center"/>
          </w:tcPr>
          <w:p w14:paraId="7A1D737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Wymaganie</w:t>
            </w:r>
          </w:p>
        </w:tc>
      </w:tr>
      <w:tr w:rsidR="00284CBE" w:rsidRPr="006431C4" w14:paraId="0EE18840" w14:textId="77777777" w:rsidTr="00697F2D">
        <w:tc>
          <w:tcPr>
            <w:tcW w:w="4957" w:type="dxa"/>
          </w:tcPr>
          <w:p w14:paraId="16AA5BD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Zachowanie przy temperaturze lejności</w:t>
            </w:r>
          </w:p>
        </w:tc>
        <w:tc>
          <w:tcPr>
            <w:tcW w:w="2976" w:type="dxa"/>
          </w:tcPr>
          <w:p w14:paraId="2091EEA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13880-6[74]</w:t>
            </w:r>
          </w:p>
        </w:tc>
        <w:tc>
          <w:tcPr>
            <w:tcW w:w="2976" w:type="dxa"/>
          </w:tcPr>
          <w:p w14:paraId="197DEC5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Homogeniczny</w:t>
            </w:r>
          </w:p>
        </w:tc>
      </w:tr>
      <w:tr w:rsidR="00284CBE" w:rsidRPr="006431C4" w14:paraId="6F33383C" w14:textId="77777777" w:rsidTr="00697F2D">
        <w:tc>
          <w:tcPr>
            <w:tcW w:w="4957" w:type="dxa"/>
          </w:tcPr>
          <w:p w14:paraId="7D34B84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 PiK</w:t>
            </w:r>
          </w:p>
        </w:tc>
        <w:tc>
          <w:tcPr>
            <w:tcW w:w="2976" w:type="dxa"/>
          </w:tcPr>
          <w:p w14:paraId="6A8E11A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1427[21]</w:t>
            </w:r>
          </w:p>
        </w:tc>
        <w:tc>
          <w:tcPr>
            <w:tcW w:w="2976" w:type="dxa"/>
          </w:tcPr>
          <w:p w14:paraId="6748CED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≥80</w:t>
            </w:r>
            <w:r w:rsidRPr="006431C4">
              <w:rPr>
                <w:rFonts w:cs="Arial"/>
                <w:szCs w:val="20"/>
                <w:vertAlign w:val="superscript"/>
              </w:rPr>
              <w:t>0</w:t>
            </w:r>
            <w:r w:rsidRPr="006431C4">
              <w:rPr>
                <w:rFonts w:cs="Arial"/>
                <w:szCs w:val="20"/>
              </w:rPr>
              <w:t>C</w:t>
            </w:r>
          </w:p>
        </w:tc>
      </w:tr>
      <w:tr w:rsidR="00284CBE" w:rsidRPr="006431C4" w14:paraId="2A38A2DE" w14:textId="77777777" w:rsidTr="00697F2D">
        <w:tc>
          <w:tcPr>
            <w:tcW w:w="4957" w:type="dxa"/>
          </w:tcPr>
          <w:p w14:paraId="1B014FD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Penetracja stożkiem w 25°C, 5 s, 150 g</w:t>
            </w:r>
          </w:p>
        </w:tc>
        <w:tc>
          <w:tcPr>
            <w:tcW w:w="2976" w:type="dxa"/>
          </w:tcPr>
          <w:p w14:paraId="1C615A5B" w14:textId="77777777" w:rsidR="00284CBE" w:rsidRPr="006431C4" w:rsidRDefault="00284CBE" w:rsidP="00284CBE">
            <w:pPr>
              <w:tabs>
                <w:tab w:val="left" w:pos="300"/>
                <w:tab w:val="center" w:pos="1380"/>
              </w:tabs>
              <w:overflowPunct w:val="0"/>
              <w:autoSpaceDE w:val="0"/>
              <w:autoSpaceDN w:val="0"/>
              <w:adjustRightInd w:val="0"/>
              <w:spacing w:line="240" w:lineRule="auto"/>
              <w:textAlignment w:val="baseline"/>
              <w:rPr>
                <w:rFonts w:cs="Arial"/>
                <w:szCs w:val="20"/>
              </w:rPr>
            </w:pPr>
            <w:r w:rsidRPr="006431C4">
              <w:rPr>
                <w:rFonts w:cs="Arial"/>
                <w:szCs w:val="20"/>
              </w:rPr>
              <w:tab/>
            </w:r>
            <w:r w:rsidRPr="006431C4">
              <w:rPr>
                <w:rFonts w:cs="Arial"/>
                <w:szCs w:val="20"/>
              </w:rPr>
              <w:tab/>
              <w:t>PN-EN 13880-2[71]</w:t>
            </w:r>
          </w:p>
        </w:tc>
        <w:tc>
          <w:tcPr>
            <w:tcW w:w="2976" w:type="dxa"/>
          </w:tcPr>
          <w:p w14:paraId="5DD407B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30 do 60  0,1 mm</w:t>
            </w:r>
          </w:p>
        </w:tc>
      </w:tr>
      <w:tr w:rsidR="00284CBE" w:rsidRPr="006431C4" w14:paraId="6AA597DD" w14:textId="77777777" w:rsidTr="00697F2D">
        <w:tc>
          <w:tcPr>
            <w:tcW w:w="4957" w:type="dxa"/>
          </w:tcPr>
          <w:p w14:paraId="59CCD8A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Odporność na spływanie</w:t>
            </w:r>
          </w:p>
        </w:tc>
        <w:tc>
          <w:tcPr>
            <w:tcW w:w="2976" w:type="dxa"/>
          </w:tcPr>
          <w:p w14:paraId="229FFC0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13880-5[73]</w:t>
            </w:r>
          </w:p>
        </w:tc>
        <w:tc>
          <w:tcPr>
            <w:tcW w:w="2976" w:type="dxa"/>
          </w:tcPr>
          <w:p w14:paraId="6E95247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 mm</w:t>
            </w:r>
          </w:p>
        </w:tc>
      </w:tr>
      <w:tr w:rsidR="00284CBE" w:rsidRPr="006431C4" w14:paraId="223B1E5D" w14:textId="77777777" w:rsidTr="00697F2D">
        <w:tc>
          <w:tcPr>
            <w:tcW w:w="4957" w:type="dxa"/>
          </w:tcPr>
          <w:p w14:paraId="6DBFEBFF"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Odprężenie sprężyste (odbojność)</w:t>
            </w:r>
          </w:p>
        </w:tc>
        <w:tc>
          <w:tcPr>
            <w:tcW w:w="2976" w:type="dxa"/>
          </w:tcPr>
          <w:p w14:paraId="76CD995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13380-3[72]</w:t>
            </w:r>
          </w:p>
        </w:tc>
        <w:tc>
          <w:tcPr>
            <w:tcW w:w="2976" w:type="dxa"/>
          </w:tcPr>
          <w:p w14:paraId="488144D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10-50%</w:t>
            </w:r>
          </w:p>
        </w:tc>
      </w:tr>
      <w:tr w:rsidR="00284CBE" w:rsidRPr="006431C4" w14:paraId="6AFB53A4" w14:textId="77777777" w:rsidTr="00697F2D">
        <w:tc>
          <w:tcPr>
            <w:tcW w:w="4957" w:type="dxa"/>
          </w:tcPr>
          <w:p w14:paraId="51088DF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Wydłużenie nieciągłe (próba przyczepności ), po 5 h, -10°C</w:t>
            </w:r>
          </w:p>
        </w:tc>
        <w:tc>
          <w:tcPr>
            <w:tcW w:w="2976" w:type="dxa"/>
          </w:tcPr>
          <w:p w14:paraId="503BB8D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13880-13[75]</w:t>
            </w:r>
          </w:p>
        </w:tc>
        <w:tc>
          <w:tcPr>
            <w:tcW w:w="2976" w:type="dxa"/>
          </w:tcPr>
          <w:p w14:paraId="1E2FD89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 mm</w:t>
            </w:r>
          </w:p>
          <w:p w14:paraId="2C94FEA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≤0,75 N/mm</w:t>
            </w:r>
            <w:r w:rsidRPr="006431C4">
              <w:rPr>
                <w:rFonts w:cs="Arial"/>
                <w:szCs w:val="20"/>
                <w:vertAlign w:val="superscript"/>
              </w:rPr>
              <w:t>2</w:t>
            </w:r>
          </w:p>
        </w:tc>
      </w:tr>
    </w:tbl>
    <w:p w14:paraId="46C4B323"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2.8. Materiały do złączenia warstw konstrukcji</w:t>
      </w:r>
    </w:p>
    <w:p w14:paraId="03192999" w14:textId="77777777" w:rsidR="00284CBE" w:rsidRPr="006431C4" w:rsidRDefault="00284CBE" w:rsidP="00284CBE">
      <w:pPr>
        <w:tabs>
          <w:tab w:val="left" w:pos="-2694"/>
        </w:tabs>
        <w:overflowPunct w:val="0"/>
        <w:autoSpaceDE w:val="0"/>
        <w:autoSpaceDN w:val="0"/>
        <w:adjustRightInd w:val="0"/>
        <w:spacing w:line="240" w:lineRule="auto"/>
        <w:jc w:val="both"/>
        <w:textAlignment w:val="baseline"/>
        <w:rPr>
          <w:rFonts w:cs="Arial"/>
          <w:szCs w:val="20"/>
        </w:rPr>
      </w:pPr>
      <w:r w:rsidRPr="006431C4">
        <w:rPr>
          <w:rFonts w:cs="Arial"/>
          <w:szCs w:val="20"/>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14:paraId="775D8AED" w14:textId="77777777" w:rsidR="00284CBE" w:rsidRPr="006431C4" w:rsidRDefault="00284CBE" w:rsidP="00284CBE">
      <w:pPr>
        <w:spacing w:line="240" w:lineRule="auto"/>
        <w:ind w:firstLine="709"/>
        <w:rPr>
          <w:rFonts w:cs="Arial"/>
          <w:szCs w:val="20"/>
        </w:rPr>
      </w:pPr>
      <w:r w:rsidRPr="006431C4">
        <w:rPr>
          <w:rFonts w:cs="Arial"/>
          <w:szCs w:val="20"/>
        </w:rPr>
        <w:t xml:space="preserve">Spośród rodzajów emulsji wymienionych w Załączniku krajowym NA [64a] do normy PN-EN 13808 [64], należy stosować emulsje oznaczone kodem ZM. </w:t>
      </w:r>
    </w:p>
    <w:p w14:paraId="5AA796B7"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Właściwości i przeznaczenie emulsji asfaltowych oraz sposób ich składowania opisano w SST D-04.03.01a [2]. </w:t>
      </w:r>
    </w:p>
    <w:p w14:paraId="6A4DDB8C"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2.9. Dodatki do mieszanki mineralno-asfaltowej </w:t>
      </w:r>
    </w:p>
    <w:p w14:paraId="47EC675F" w14:textId="77777777" w:rsidR="00284CBE" w:rsidRPr="006431C4" w:rsidRDefault="00284CBE" w:rsidP="00284C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Mogą być stosowane dodatki stabilizujące lub modyfikujące. Pochodzenie, rodzaj i właściwości dodatków powinny być deklarowane. Należy używać tylko materiałów składowych o ustalonej przydatności.</w:t>
      </w:r>
    </w:p>
    <w:p w14:paraId="5346755D" w14:textId="77777777" w:rsidR="00284CBE" w:rsidRPr="006431C4" w:rsidRDefault="00284CBE" w:rsidP="00284C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 xml:space="preserve">Ustalenie przydatności powinno wynikać co najmniej jednego z następujących dokumentów: </w:t>
      </w:r>
    </w:p>
    <w:p w14:paraId="5111400F" w14:textId="77777777" w:rsidR="00284CBE" w:rsidRPr="006431C4" w:rsidRDefault="00284CBE" w:rsidP="00CF1E7D">
      <w:pPr>
        <w:widowControl w:val="0"/>
        <w:numPr>
          <w:ilvl w:val="0"/>
          <w:numId w:val="167"/>
        </w:numPr>
        <w:overflowPunct w:val="0"/>
        <w:autoSpaceDE w:val="0"/>
        <w:autoSpaceDN w:val="0"/>
        <w:adjustRightInd w:val="0"/>
        <w:spacing w:line="240" w:lineRule="auto"/>
        <w:ind w:left="426" w:right="-57"/>
        <w:jc w:val="both"/>
        <w:textAlignment w:val="baseline"/>
        <w:rPr>
          <w:rFonts w:cs="Arial"/>
          <w:szCs w:val="20"/>
        </w:rPr>
      </w:pPr>
      <w:r w:rsidRPr="006431C4">
        <w:rPr>
          <w:rFonts w:cs="Arial"/>
          <w:szCs w:val="20"/>
        </w:rPr>
        <w:t>normy europejskiej,</w:t>
      </w:r>
    </w:p>
    <w:p w14:paraId="1DD36009" w14:textId="77777777" w:rsidR="00284CBE" w:rsidRPr="006431C4" w:rsidRDefault="00284CBE" w:rsidP="00CF1E7D">
      <w:pPr>
        <w:widowControl w:val="0"/>
        <w:numPr>
          <w:ilvl w:val="0"/>
          <w:numId w:val="167"/>
        </w:numPr>
        <w:overflowPunct w:val="0"/>
        <w:autoSpaceDE w:val="0"/>
        <w:autoSpaceDN w:val="0"/>
        <w:adjustRightInd w:val="0"/>
        <w:spacing w:line="240" w:lineRule="auto"/>
        <w:ind w:left="426" w:right="-57"/>
        <w:jc w:val="both"/>
        <w:textAlignment w:val="baseline"/>
        <w:rPr>
          <w:rFonts w:cs="Arial"/>
          <w:szCs w:val="20"/>
        </w:rPr>
      </w:pPr>
      <w:r w:rsidRPr="006431C4">
        <w:rPr>
          <w:rFonts w:cs="Arial"/>
          <w:szCs w:val="20"/>
        </w:rPr>
        <w:t>europejskiej aprobaty technicznej,</w:t>
      </w:r>
    </w:p>
    <w:p w14:paraId="5117F1EA" w14:textId="77777777" w:rsidR="00284CBE" w:rsidRPr="006431C4" w:rsidRDefault="00284CBE" w:rsidP="00CF1E7D">
      <w:pPr>
        <w:widowControl w:val="0"/>
        <w:numPr>
          <w:ilvl w:val="0"/>
          <w:numId w:val="167"/>
        </w:numPr>
        <w:overflowPunct w:val="0"/>
        <w:autoSpaceDE w:val="0"/>
        <w:autoSpaceDN w:val="0"/>
        <w:adjustRightInd w:val="0"/>
        <w:spacing w:line="240" w:lineRule="auto"/>
        <w:ind w:left="426" w:right="-57"/>
        <w:jc w:val="both"/>
        <w:textAlignment w:val="baseline"/>
        <w:rPr>
          <w:rFonts w:cs="Arial"/>
          <w:szCs w:val="20"/>
        </w:rPr>
      </w:pPr>
      <w:r w:rsidRPr="006431C4">
        <w:rPr>
          <w:rFonts w:cs="Arial"/>
          <w:szCs w:val="20"/>
        </w:rPr>
        <w:t xml:space="preserve">specyfikacji materiałowych opartych na potwierdzonych pozytywnych zastosowaniach w nawierzchniach asfaltowych. </w:t>
      </w:r>
    </w:p>
    <w:p w14:paraId="1EA88423" w14:textId="77777777" w:rsidR="00284CBE" w:rsidRPr="006431C4" w:rsidRDefault="00284CBE" w:rsidP="00284C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Wykaz należy dostarczyć w celu udowodnienia przydatności. Wykaz może być oparty na badaniach w połączeniu z dowodami w praktyce.</w:t>
      </w:r>
    </w:p>
    <w:p w14:paraId="41E1FC4B" w14:textId="77777777" w:rsidR="00284CBE" w:rsidRPr="006431C4" w:rsidRDefault="00284CBE" w:rsidP="00284C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 xml:space="preserve">Zaleca się stosowanie do mieszanki mineralno-asfaltowej środka obniżającego temperaturę produkcji i układania. </w:t>
      </w:r>
    </w:p>
    <w:p w14:paraId="1598B153" w14:textId="77777777" w:rsidR="00284CBE" w:rsidRPr="006431C4" w:rsidRDefault="00284CBE" w:rsidP="00284CBE">
      <w:pPr>
        <w:widowControl w:val="0"/>
        <w:overflowPunct w:val="0"/>
        <w:autoSpaceDE w:val="0"/>
        <w:autoSpaceDN w:val="0"/>
        <w:adjustRightInd w:val="0"/>
        <w:spacing w:line="240" w:lineRule="auto"/>
        <w:ind w:right="-57" w:firstLine="709"/>
        <w:jc w:val="both"/>
        <w:textAlignment w:val="baseline"/>
        <w:rPr>
          <w:rFonts w:cs="Arial"/>
          <w:szCs w:val="20"/>
        </w:rPr>
      </w:pPr>
      <w:r w:rsidRPr="006431C4">
        <w:rPr>
          <w:rFonts w:cs="Arial"/>
          <w:szCs w:val="20"/>
        </w:rPr>
        <w:t xml:space="preserve">Do mieszanki mineralno-asfaltowej  może być stosowany dodatek asfaltu naturalnego wg PN-EN 13108-4 [52], załącznik B.  </w:t>
      </w:r>
    </w:p>
    <w:p w14:paraId="1DD77C18"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2.10. Skład mieszanki mineralno-asfaltowej</w:t>
      </w:r>
    </w:p>
    <w:p w14:paraId="6EC06E5F"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Skład mieszanki mineralno-asfaltowej powinien być ustalony na podstawie badań próbek wykonanych zgodnie z normą PN-EN 13108-20 [54] załącznik C oraz normami powiązanymi.  </w:t>
      </w:r>
    </w:p>
    <w:p w14:paraId="6757218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 xml:space="preserve">Uziarnienie mieszanki mineralnej oraz minimalna zawartość lepiszcza podane są w tablicy 20.  </w:t>
      </w:r>
    </w:p>
    <w:p w14:paraId="14AF25EC"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Próbki powinny spełniać wymagania podane w p. 2.11, w zależności od kategorii ruchu jak i zawartości asfaltu B</w:t>
      </w:r>
      <w:r w:rsidRPr="006431C4">
        <w:rPr>
          <w:rFonts w:cs="Arial"/>
          <w:szCs w:val="20"/>
          <w:vertAlign w:val="subscript"/>
        </w:rPr>
        <w:t>min</w:t>
      </w:r>
      <w:r w:rsidRPr="006431C4">
        <w:rPr>
          <w:rFonts w:cs="Arial"/>
          <w:szCs w:val="20"/>
        </w:rPr>
        <w:t xml:space="preserve"> i temperatur zagęszczania próbek.</w:t>
      </w:r>
    </w:p>
    <w:p w14:paraId="1E4E8057" w14:textId="77777777" w:rsidR="00284CBE" w:rsidRPr="006431C4" w:rsidRDefault="00284CBE" w:rsidP="00284CBE">
      <w:pPr>
        <w:tabs>
          <w:tab w:val="left" w:pos="1134"/>
        </w:tabs>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20.</w:t>
      </w:r>
      <w:r w:rsidRPr="006431C4">
        <w:rPr>
          <w:rFonts w:cs="Arial"/>
          <w:szCs w:val="20"/>
        </w:rPr>
        <w:tab/>
        <w:t xml:space="preserve">Uziarnienie mieszanki mineralnej oraz zawartość lepiszcza do betonu asfaltowego do warstwy wiążącej i wyrównawczej, dla ruchu KR1÷KR7 </w:t>
      </w:r>
    </w:p>
    <w:tbl>
      <w:tblPr>
        <w:tblW w:w="108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48"/>
        <w:gridCol w:w="960"/>
        <w:gridCol w:w="840"/>
        <w:gridCol w:w="840"/>
        <w:gridCol w:w="840"/>
        <w:gridCol w:w="840"/>
        <w:gridCol w:w="840"/>
        <w:gridCol w:w="720"/>
        <w:gridCol w:w="720"/>
      </w:tblGrid>
      <w:tr w:rsidR="00284CBE" w:rsidRPr="006431C4" w14:paraId="4B7E2196" w14:textId="77777777" w:rsidTr="00697F2D">
        <w:tc>
          <w:tcPr>
            <w:tcW w:w="4248" w:type="dxa"/>
            <w:vMerge w:val="restart"/>
            <w:vAlign w:val="center"/>
          </w:tcPr>
          <w:p w14:paraId="449E468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6600" w:type="dxa"/>
            <w:gridSpan w:val="8"/>
          </w:tcPr>
          <w:p w14:paraId="0704500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Przesiew,   [% (m/m)]</w:t>
            </w:r>
          </w:p>
        </w:tc>
      </w:tr>
      <w:tr w:rsidR="00284CBE" w:rsidRPr="006431C4" w14:paraId="5B63A453" w14:textId="77777777" w:rsidTr="00697F2D">
        <w:tc>
          <w:tcPr>
            <w:tcW w:w="4248" w:type="dxa"/>
            <w:vMerge/>
          </w:tcPr>
          <w:p w14:paraId="40DB4E8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c>
          <w:tcPr>
            <w:tcW w:w="1800" w:type="dxa"/>
            <w:gridSpan w:val="2"/>
          </w:tcPr>
          <w:p w14:paraId="3861A05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AC11W</w:t>
            </w:r>
          </w:p>
          <w:p w14:paraId="1450DBA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KR1-KR2</w:t>
            </w:r>
          </w:p>
        </w:tc>
        <w:tc>
          <w:tcPr>
            <w:tcW w:w="1680" w:type="dxa"/>
            <w:gridSpan w:val="2"/>
          </w:tcPr>
          <w:p w14:paraId="7D07A2C1" w14:textId="77777777" w:rsidR="00284CBE" w:rsidRPr="006431C4" w:rsidRDefault="00284CBE" w:rsidP="00284CBE">
            <w:pPr>
              <w:spacing w:line="240" w:lineRule="auto"/>
              <w:jc w:val="center"/>
              <w:rPr>
                <w:rFonts w:cs="Arial"/>
                <w:szCs w:val="20"/>
              </w:rPr>
            </w:pPr>
            <w:r w:rsidRPr="006431C4">
              <w:rPr>
                <w:rFonts w:cs="Arial"/>
                <w:szCs w:val="20"/>
              </w:rPr>
              <w:t>AC16W</w:t>
            </w:r>
          </w:p>
          <w:p w14:paraId="28FBC77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KR1-KR2</w:t>
            </w:r>
          </w:p>
        </w:tc>
        <w:tc>
          <w:tcPr>
            <w:tcW w:w="1680" w:type="dxa"/>
            <w:gridSpan w:val="2"/>
          </w:tcPr>
          <w:p w14:paraId="5E1F014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AC16W</w:t>
            </w:r>
          </w:p>
          <w:p w14:paraId="6682039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KR3-KR7</w:t>
            </w:r>
          </w:p>
        </w:tc>
        <w:tc>
          <w:tcPr>
            <w:tcW w:w="1440" w:type="dxa"/>
            <w:gridSpan w:val="2"/>
          </w:tcPr>
          <w:p w14:paraId="24CFEA02" w14:textId="77777777" w:rsidR="00284CBE" w:rsidRPr="006431C4" w:rsidRDefault="00284CBE" w:rsidP="00284CBE">
            <w:pPr>
              <w:spacing w:line="240" w:lineRule="auto"/>
              <w:jc w:val="center"/>
              <w:rPr>
                <w:rFonts w:cs="Arial"/>
                <w:szCs w:val="20"/>
              </w:rPr>
            </w:pPr>
            <w:r w:rsidRPr="006431C4">
              <w:rPr>
                <w:rFonts w:cs="Arial"/>
                <w:szCs w:val="20"/>
              </w:rPr>
              <w:t>AC22W</w:t>
            </w:r>
          </w:p>
          <w:p w14:paraId="57510CC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KR3-KR7</w:t>
            </w:r>
          </w:p>
        </w:tc>
      </w:tr>
      <w:tr w:rsidR="00284CBE" w:rsidRPr="006431C4" w14:paraId="7767CABF" w14:textId="77777777" w:rsidTr="00697F2D">
        <w:tc>
          <w:tcPr>
            <w:tcW w:w="4248" w:type="dxa"/>
          </w:tcPr>
          <w:p w14:paraId="18A3FE4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Wymiar sita #, [mm]</w:t>
            </w:r>
          </w:p>
        </w:tc>
        <w:tc>
          <w:tcPr>
            <w:tcW w:w="960" w:type="dxa"/>
          </w:tcPr>
          <w:p w14:paraId="665F133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Od</w:t>
            </w:r>
          </w:p>
        </w:tc>
        <w:tc>
          <w:tcPr>
            <w:tcW w:w="840" w:type="dxa"/>
          </w:tcPr>
          <w:p w14:paraId="6870A62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do</w:t>
            </w:r>
          </w:p>
        </w:tc>
        <w:tc>
          <w:tcPr>
            <w:tcW w:w="840" w:type="dxa"/>
          </w:tcPr>
          <w:p w14:paraId="44A408F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od</w:t>
            </w:r>
          </w:p>
        </w:tc>
        <w:tc>
          <w:tcPr>
            <w:tcW w:w="840" w:type="dxa"/>
          </w:tcPr>
          <w:p w14:paraId="63F8551A" w14:textId="77777777" w:rsidR="00284CBE" w:rsidRPr="006431C4" w:rsidRDefault="00284CBE" w:rsidP="00284CBE">
            <w:pPr>
              <w:overflowPunct w:val="0"/>
              <w:autoSpaceDE w:val="0"/>
              <w:autoSpaceDN w:val="0"/>
              <w:adjustRightInd w:val="0"/>
              <w:spacing w:line="240" w:lineRule="auto"/>
              <w:ind w:left="70"/>
              <w:jc w:val="center"/>
              <w:textAlignment w:val="baseline"/>
              <w:rPr>
                <w:rFonts w:cs="Arial"/>
                <w:szCs w:val="20"/>
              </w:rPr>
            </w:pPr>
            <w:r w:rsidRPr="006431C4">
              <w:rPr>
                <w:rFonts w:cs="Arial"/>
                <w:szCs w:val="20"/>
              </w:rPr>
              <w:t>do</w:t>
            </w:r>
          </w:p>
        </w:tc>
        <w:tc>
          <w:tcPr>
            <w:tcW w:w="840" w:type="dxa"/>
          </w:tcPr>
          <w:p w14:paraId="48E5A5D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od</w:t>
            </w:r>
          </w:p>
        </w:tc>
        <w:tc>
          <w:tcPr>
            <w:tcW w:w="840" w:type="dxa"/>
          </w:tcPr>
          <w:p w14:paraId="2D17989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do</w:t>
            </w:r>
          </w:p>
        </w:tc>
        <w:tc>
          <w:tcPr>
            <w:tcW w:w="720" w:type="dxa"/>
          </w:tcPr>
          <w:p w14:paraId="7D46E71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od</w:t>
            </w:r>
          </w:p>
        </w:tc>
        <w:tc>
          <w:tcPr>
            <w:tcW w:w="720" w:type="dxa"/>
          </w:tcPr>
          <w:p w14:paraId="241C940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do</w:t>
            </w:r>
          </w:p>
        </w:tc>
      </w:tr>
      <w:tr w:rsidR="00284CBE" w:rsidRPr="006431C4" w14:paraId="3E05EB60" w14:textId="77777777" w:rsidTr="00697F2D">
        <w:tc>
          <w:tcPr>
            <w:tcW w:w="4248" w:type="dxa"/>
          </w:tcPr>
          <w:p w14:paraId="63DA0B6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31,5</w:t>
            </w:r>
          </w:p>
        </w:tc>
        <w:tc>
          <w:tcPr>
            <w:tcW w:w="960" w:type="dxa"/>
          </w:tcPr>
          <w:p w14:paraId="3EF45EB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3FE336D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0ABC19E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6D3A31B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6C923D4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4145BA1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720" w:type="dxa"/>
          </w:tcPr>
          <w:p w14:paraId="2B01C4F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720" w:type="dxa"/>
          </w:tcPr>
          <w:p w14:paraId="7DEE678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284CBE" w:rsidRPr="006431C4" w14:paraId="1937B6A7" w14:textId="77777777" w:rsidTr="00697F2D">
        <w:tc>
          <w:tcPr>
            <w:tcW w:w="4248" w:type="dxa"/>
          </w:tcPr>
          <w:p w14:paraId="0423932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22,4</w:t>
            </w:r>
          </w:p>
        </w:tc>
        <w:tc>
          <w:tcPr>
            <w:tcW w:w="960" w:type="dxa"/>
          </w:tcPr>
          <w:p w14:paraId="63D1DBE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04EDC30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305F870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40" w:type="dxa"/>
          </w:tcPr>
          <w:p w14:paraId="5BCD280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6885B61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40" w:type="dxa"/>
          </w:tcPr>
          <w:p w14:paraId="6CA75B8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720" w:type="dxa"/>
          </w:tcPr>
          <w:p w14:paraId="6B6E6B2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720" w:type="dxa"/>
          </w:tcPr>
          <w:p w14:paraId="0612C5B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r w:rsidR="00284CBE" w:rsidRPr="006431C4" w14:paraId="6929DACA" w14:textId="77777777" w:rsidTr="00697F2D">
        <w:tc>
          <w:tcPr>
            <w:tcW w:w="4248" w:type="dxa"/>
          </w:tcPr>
          <w:p w14:paraId="0966EED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c>
          <w:tcPr>
            <w:tcW w:w="960" w:type="dxa"/>
          </w:tcPr>
          <w:p w14:paraId="4CE5CDE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40" w:type="dxa"/>
          </w:tcPr>
          <w:p w14:paraId="2719E7C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27DE49C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840" w:type="dxa"/>
          </w:tcPr>
          <w:p w14:paraId="15C090B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40" w:type="dxa"/>
          </w:tcPr>
          <w:p w14:paraId="177C6BE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840" w:type="dxa"/>
          </w:tcPr>
          <w:p w14:paraId="1B44A2A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720" w:type="dxa"/>
          </w:tcPr>
          <w:p w14:paraId="3320FF2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65</w:t>
            </w:r>
          </w:p>
        </w:tc>
        <w:tc>
          <w:tcPr>
            <w:tcW w:w="720" w:type="dxa"/>
          </w:tcPr>
          <w:p w14:paraId="13E8E87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r>
      <w:tr w:rsidR="00284CBE" w:rsidRPr="006431C4" w14:paraId="226723F5" w14:textId="77777777" w:rsidTr="00697F2D">
        <w:tc>
          <w:tcPr>
            <w:tcW w:w="4248" w:type="dxa"/>
          </w:tcPr>
          <w:p w14:paraId="05BB69E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11,2</w:t>
            </w:r>
          </w:p>
        </w:tc>
        <w:tc>
          <w:tcPr>
            <w:tcW w:w="960" w:type="dxa"/>
          </w:tcPr>
          <w:p w14:paraId="01D97ED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840" w:type="dxa"/>
          </w:tcPr>
          <w:p w14:paraId="0FE37DA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840" w:type="dxa"/>
          </w:tcPr>
          <w:p w14:paraId="25586C6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65</w:t>
            </w:r>
          </w:p>
        </w:tc>
        <w:tc>
          <w:tcPr>
            <w:tcW w:w="840" w:type="dxa"/>
          </w:tcPr>
          <w:p w14:paraId="4C446CA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80</w:t>
            </w:r>
          </w:p>
        </w:tc>
        <w:tc>
          <w:tcPr>
            <w:tcW w:w="840" w:type="dxa"/>
          </w:tcPr>
          <w:p w14:paraId="7808774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70</w:t>
            </w:r>
          </w:p>
        </w:tc>
        <w:tc>
          <w:tcPr>
            <w:tcW w:w="840" w:type="dxa"/>
          </w:tcPr>
          <w:p w14:paraId="77D5360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90</w:t>
            </w:r>
          </w:p>
        </w:tc>
        <w:tc>
          <w:tcPr>
            <w:tcW w:w="720" w:type="dxa"/>
          </w:tcPr>
          <w:p w14:paraId="4987D81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720" w:type="dxa"/>
          </w:tcPr>
          <w:p w14:paraId="7B7A6AF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284CBE" w:rsidRPr="006431C4" w14:paraId="1ABE58D2" w14:textId="77777777" w:rsidTr="00697F2D">
        <w:tc>
          <w:tcPr>
            <w:tcW w:w="4248" w:type="dxa"/>
          </w:tcPr>
          <w:p w14:paraId="69DB42B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w:t>
            </w:r>
          </w:p>
        </w:tc>
        <w:tc>
          <w:tcPr>
            <w:tcW w:w="960" w:type="dxa"/>
          </w:tcPr>
          <w:p w14:paraId="1B9C83F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tc>
        <w:tc>
          <w:tcPr>
            <w:tcW w:w="840" w:type="dxa"/>
          </w:tcPr>
          <w:p w14:paraId="5E7E4CE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85</w:t>
            </w:r>
          </w:p>
        </w:tc>
        <w:tc>
          <w:tcPr>
            <w:tcW w:w="840" w:type="dxa"/>
          </w:tcPr>
          <w:p w14:paraId="2E59150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2A88A8F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840" w:type="dxa"/>
          </w:tcPr>
          <w:p w14:paraId="57C6525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55</w:t>
            </w:r>
          </w:p>
        </w:tc>
        <w:tc>
          <w:tcPr>
            <w:tcW w:w="840" w:type="dxa"/>
          </w:tcPr>
          <w:p w14:paraId="6E5181D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80</w:t>
            </w:r>
          </w:p>
        </w:tc>
        <w:tc>
          <w:tcPr>
            <w:tcW w:w="720" w:type="dxa"/>
          </w:tcPr>
          <w:p w14:paraId="47EECB5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45</w:t>
            </w:r>
          </w:p>
        </w:tc>
        <w:tc>
          <w:tcPr>
            <w:tcW w:w="720" w:type="dxa"/>
          </w:tcPr>
          <w:p w14:paraId="2EFC290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70</w:t>
            </w:r>
          </w:p>
        </w:tc>
      </w:tr>
      <w:tr w:rsidR="00284CBE" w:rsidRPr="006431C4" w14:paraId="277438EB" w14:textId="77777777" w:rsidTr="00697F2D">
        <w:tc>
          <w:tcPr>
            <w:tcW w:w="4248" w:type="dxa"/>
          </w:tcPr>
          <w:p w14:paraId="1362260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960" w:type="dxa"/>
          </w:tcPr>
          <w:p w14:paraId="375923F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840" w:type="dxa"/>
          </w:tcPr>
          <w:p w14:paraId="71C6BE7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55</w:t>
            </w:r>
          </w:p>
        </w:tc>
        <w:tc>
          <w:tcPr>
            <w:tcW w:w="840" w:type="dxa"/>
          </w:tcPr>
          <w:p w14:paraId="7086748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25</w:t>
            </w:r>
          </w:p>
        </w:tc>
        <w:tc>
          <w:tcPr>
            <w:tcW w:w="840" w:type="dxa"/>
          </w:tcPr>
          <w:p w14:paraId="71309AE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55</w:t>
            </w:r>
          </w:p>
        </w:tc>
        <w:tc>
          <w:tcPr>
            <w:tcW w:w="840" w:type="dxa"/>
          </w:tcPr>
          <w:p w14:paraId="70B4987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25</w:t>
            </w:r>
          </w:p>
        </w:tc>
        <w:tc>
          <w:tcPr>
            <w:tcW w:w="840" w:type="dxa"/>
          </w:tcPr>
          <w:p w14:paraId="5B49FEB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50</w:t>
            </w:r>
          </w:p>
        </w:tc>
        <w:tc>
          <w:tcPr>
            <w:tcW w:w="720" w:type="dxa"/>
          </w:tcPr>
          <w:p w14:paraId="40BEC66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c>
          <w:tcPr>
            <w:tcW w:w="720" w:type="dxa"/>
          </w:tcPr>
          <w:p w14:paraId="71CED95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45</w:t>
            </w:r>
          </w:p>
        </w:tc>
      </w:tr>
      <w:tr w:rsidR="00284CBE" w:rsidRPr="006431C4" w14:paraId="5CC133B1" w14:textId="77777777" w:rsidTr="00697F2D">
        <w:tc>
          <w:tcPr>
            <w:tcW w:w="4248" w:type="dxa"/>
          </w:tcPr>
          <w:p w14:paraId="30B85B4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0,125</w:t>
            </w:r>
          </w:p>
        </w:tc>
        <w:tc>
          <w:tcPr>
            <w:tcW w:w="960" w:type="dxa"/>
          </w:tcPr>
          <w:p w14:paraId="2B92665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840" w:type="dxa"/>
          </w:tcPr>
          <w:p w14:paraId="2A6D169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24</w:t>
            </w:r>
          </w:p>
        </w:tc>
        <w:tc>
          <w:tcPr>
            <w:tcW w:w="840" w:type="dxa"/>
          </w:tcPr>
          <w:p w14:paraId="360933F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840" w:type="dxa"/>
          </w:tcPr>
          <w:p w14:paraId="1A1A732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840" w:type="dxa"/>
          </w:tcPr>
          <w:p w14:paraId="03C0676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840" w:type="dxa"/>
          </w:tcPr>
          <w:p w14:paraId="074B91C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c>
          <w:tcPr>
            <w:tcW w:w="720" w:type="dxa"/>
          </w:tcPr>
          <w:p w14:paraId="7924D52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tc>
        <w:tc>
          <w:tcPr>
            <w:tcW w:w="720" w:type="dxa"/>
          </w:tcPr>
          <w:p w14:paraId="151188F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r>
      <w:tr w:rsidR="00284CBE" w:rsidRPr="006431C4" w14:paraId="1C1D2A62" w14:textId="77777777" w:rsidTr="00697F2D">
        <w:tc>
          <w:tcPr>
            <w:tcW w:w="4248" w:type="dxa"/>
          </w:tcPr>
          <w:p w14:paraId="7AE8E8B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0,063</w:t>
            </w:r>
          </w:p>
        </w:tc>
        <w:tc>
          <w:tcPr>
            <w:tcW w:w="960" w:type="dxa"/>
          </w:tcPr>
          <w:p w14:paraId="54347F0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840" w:type="dxa"/>
          </w:tcPr>
          <w:p w14:paraId="7CFA4BE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8,0</w:t>
            </w:r>
          </w:p>
        </w:tc>
        <w:tc>
          <w:tcPr>
            <w:tcW w:w="840" w:type="dxa"/>
          </w:tcPr>
          <w:p w14:paraId="293F536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840" w:type="dxa"/>
          </w:tcPr>
          <w:p w14:paraId="7D7093E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8,0</w:t>
            </w:r>
          </w:p>
        </w:tc>
        <w:tc>
          <w:tcPr>
            <w:tcW w:w="840" w:type="dxa"/>
          </w:tcPr>
          <w:p w14:paraId="62E5EE4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840" w:type="dxa"/>
          </w:tcPr>
          <w:p w14:paraId="29F4494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c>
          <w:tcPr>
            <w:tcW w:w="720" w:type="dxa"/>
          </w:tcPr>
          <w:p w14:paraId="1BAD11C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720" w:type="dxa"/>
          </w:tcPr>
          <w:p w14:paraId="59909E7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10,0</w:t>
            </w:r>
          </w:p>
        </w:tc>
      </w:tr>
      <w:tr w:rsidR="00284CBE" w:rsidRPr="006431C4" w14:paraId="574E1C8A" w14:textId="77777777" w:rsidTr="00697F2D">
        <w:tc>
          <w:tcPr>
            <w:tcW w:w="4248" w:type="dxa"/>
          </w:tcPr>
          <w:p w14:paraId="25EFA69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vertAlign w:val="superscript"/>
              </w:rPr>
            </w:pPr>
            <w:r w:rsidRPr="006431C4">
              <w:rPr>
                <w:rFonts w:cs="Arial"/>
                <w:szCs w:val="20"/>
              </w:rPr>
              <w:t>Zawartość lepiszcza, minimum</w:t>
            </w:r>
            <w:r w:rsidRPr="006431C4">
              <w:rPr>
                <w:rFonts w:cs="Arial"/>
                <w:szCs w:val="20"/>
                <w:vertAlign w:val="superscript"/>
              </w:rPr>
              <w:t>*)</w:t>
            </w:r>
          </w:p>
        </w:tc>
        <w:tc>
          <w:tcPr>
            <w:tcW w:w="1800" w:type="dxa"/>
            <w:gridSpan w:val="2"/>
            <w:vAlign w:val="center"/>
          </w:tcPr>
          <w:p w14:paraId="75D63F5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w:t>
            </w:r>
            <w:r w:rsidRPr="006431C4">
              <w:rPr>
                <w:rFonts w:cs="Arial"/>
                <w:szCs w:val="20"/>
                <w:vertAlign w:val="subscript"/>
              </w:rPr>
              <w:t>min4,8</w:t>
            </w:r>
          </w:p>
        </w:tc>
        <w:tc>
          <w:tcPr>
            <w:tcW w:w="1680" w:type="dxa"/>
            <w:gridSpan w:val="2"/>
            <w:vAlign w:val="center"/>
          </w:tcPr>
          <w:p w14:paraId="3749336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w:t>
            </w:r>
            <w:r w:rsidRPr="006431C4">
              <w:rPr>
                <w:rFonts w:cs="Arial"/>
                <w:szCs w:val="20"/>
                <w:vertAlign w:val="subscript"/>
              </w:rPr>
              <w:t>min4,6</w:t>
            </w:r>
          </w:p>
        </w:tc>
        <w:tc>
          <w:tcPr>
            <w:tcW w:w="1680" w:type="dxa"/>
            <w:gridSpan w:val="2"/>
            <w:vAlign w:val="center"/>
          </w:tcPr>
          <w:p w14:paraId="0E45592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w:t>
            </w:r>
            <w:r w:rsidRPr="006431C4">
              <w:rPr>
                <w:rFonts w:cs="Arial"/>
                <w:szCs w:val="20"/>
                <w:vertAlign w:val="subscript"/>
              </w:rPr>
              <w:t>min4,6</w:t>
            </w:r>
          </w:p>
        </w:tc>
        <w:tc>
          <w:tcPr>
            <w:tcW w:w="1440" w:type="dxa"/>
            <w:gridSpan w:val="2"/>
            <w:vAlign w:val="center"/>
          </w:tcPr>
          <w:p w14:paraId="1578D34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B</w:t>
            </w:r>
            <w:r w:rsidRPr="006431C4">
              <w:rPr>
                <w:rFonts w:cs="Arial"/>
                <w:szCs w:val="20"/>
                <w:vertAlign w:val="subscript"/>
              </w:rPr>
              <w:t>min4,4</w:t>
            </w:r>
          </w:p>
        </w:tc>
      </w:tr>
      <w:tr w:rsidR="00284CBE" w:rsidRPr="006431C4" w14:paraId="0C643DE2" w14:textId="77777777" w:rsidTr="00697F2D">
        <w:tc>
          <w:tcPr>
            <w:tcW w:w="10848" w:type="dxa"/>
            <w:gridSpan w:val="9"/>
          </w:tcPr>
          <w:p w14:paraId="6AA9BA7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vertAlign w:val="superscript"/>
              </w:rPr>
              <w:t>*)</w:t>
            </w:r>
            <w:r w:rsidRPr="006431C4">
              <w:rPr>
                <w:rFonts w:cs="Arial"/>
                <w:szCs w:val="20"/>
              </w:rPr>
              <w:t xml:space="preserve"> Minimalna zawartość lepiszcza jest określona przy założonej gęstości mieszanki mineralnej 2,650 Mg/m</w:t>
            </w:r>
            <w:r w:rsidRPr="006431C4">
              <w:rPr>
                <w:rFonts w:cs="Arial"/>
                <w:szCs w:val="20"/>
                <w:vertAlign w:val="superscript"/>
              </w:rPr>
              <w:t>3</w:t>
            </w:r>
            <w:r w:rsidRPr="006431C4">
              <w:rPr>
                <w:rFonts w:cs="Arial"/>
                <w:szCs w:val="20"/>
              </w:rPr>
              <w:t>. Jeżeli stosowana mieszanka mineralna ma inną gęstość (</w:t>
            </w:r>
            <w:r w:rsidRPr="006431C4">
              <w:rPr>
                <w:rFonts w:cs="Arial"/>
                <w:i/>
                <w:szCs w:val="20"/>
              </w:rPr>
              <w:t>ρ</w:t>
            </w:r>
            <w:r w:rsidRPr="006431C4">
              <w:rPr>
                <w:rFonts w:cs="Arial"/>
                <w:szCs w:val="20"/>
                <w:vertAlign w:val="subscript"/>
              </w:rPr>
              <w:t>d</w:t>
            </w:r>
            <w:r w:rsidRPr="006431C4">
              <w:rPr>
                <w:rFonts w:cs="Arial"/>
                <w:szCs w:val="20"/>
              </w:rPr>
              <w:t xml:space="preserve">), to do wyznaczenia minimalnej zawartości lepiszcza podaną wartość należy pomnożyć przez współczynnik </w:t>
            </w:r>
            <w:r w:rsidRPr="006431C4">
              <w:rPr>
                <w:rFonts w:cs="Arial"/>
                <w:position w:val="-6"/>
                <w:szCs w:val="20"/>
              </w:rPr>
              <w:object w:dxaOrig="240" w:dyaOrig="220" w14:anchorId="1D6DE2CF">
                <v:shape id="_x0000_i1032" type="#_x0000_t75" style="width:12pt;height:11.25pt" o:ole="">
                  <v:imagedata r:id="rId56" o:title=""/>
                </v:shape>
                <o:OLEObject Type="Embed" ProgID="Equation.3" ShapeID="_x0000_i1032" DrawAspect="Content" ObjectID="_1726896251" r:id="rId61"/>
              </w:object>
            </w:r>
            <w:r w:rsidRPr="006431C4">
              <w:rPr>
                <w:rFonts w:cs="Arial"/>
                <w:szCs w:val="20"/>
              </w:rPr>
              <w:t xml:space="preserve"> według równania: </w:t>
            </w:r>
            <w:r w:rsidRPr="006431C4">
              <w:rPr>
                <w:rFonts w:cs="Arial"/>
                <w:position w:val="-30"/>
                <w:szCs w:val="20"/>
              </w:rPr>
              <w:object w:dxaOrig="880" w:dyaOrig="680" w14:anchorId="1BA2DB98">
                <v:shape id="_x0000_i1033" type="#_x0000_t75" style="width:44.25pt;height:33.75pt" o:ole="">
                  <v:imagedata r:id="rId58" o:title=""/>
                </v:shape>
                <o:OLEObject Type="Embed" ProgID="Equation.3" ShapeID="_x0000_i1033" DrawAspect="Content" ObjectID="_1726896252" r:id="rId62"/>
              </w:object>
            </w:r>
          </w:p>
        </w:tc>
      </w:tr>
    </w:tbl>
    <w:p w14:paraId="7CA6ACDD" w14:textId="77777777" w:rsidR="00284CBE" w:rsidRPr="006431C4" w:rsidRDefault="00284CBE" w:rsidP="00284CBE">
      <w:pPr>
        <w:keepNext/>
        <w:overflowPunct w:val="0"/>
        <w:autoSpaceDE w:val="0"/>
        <w:autoSpaceDN w:val="0"/>
        <w:adjustRightInd w:val="0"/>
        <w:spacing w:line="240" w:lineRule="auto"/>
        <w:ind w:left="601" w:hanging="601"/>
        <w:jc w:val="both"/>
        <w:textAlignment w:val="baseline"/>
        <w:outlineLvl w:val="1"/>
        <w:rPr>
          <w:rFonts w:cs="Arial"/>
          <w:b/>
          <w:szCs w:val="20"/>
        </w:rPr>
      </w:pPr>
      <w:r w:rsidRPr="006431C4">
        <w:rPr>
          <w:rFonts w:cs="Arial"/>
          <w:b/>
          <w:szCs w:val="20"/>
        </w:rPr>
        <w:t>2.11. Właściwości mieszaki mineralno-asfaltowej do wykonania betonu asfaltowego do warstwy wiążącej i wyrównawczej</w:t>
      </w:r>
    </w:p>
    <w:p w14:paraId="2142891B" w14:textId="77777777" w:rsidR="00284CBE" w:rsidRPr="006431C4" w:rsidRDefault="00284CBE" w:rsidP="00284CBE">
      <w:pPr>
        <w:overflowPunct w:val="0"/>
        <w:autoSpaceDE w:val="0"/>
        <w:autoSpaceDN w:val="0"/>
        <w:adjustRightInd w:val="0"/>
        <w:spacing w:line="240" w:lineRule="auto"/>
        <w:ind w:firstLine="600"/>
        <w:jc w:val="both"/>
        <w:textAlignment w:val="baseline"/>
        <w:rPr>
          <w:rFonts w:cs="Arial"/>
          <w:szCs w:val="20"/>
        </w:rPr>
      </w:pPr>
      <w:r w:rsidRPr="006431C4">
        <w:rPr>
          <w:rFonts w:cs="Arial"/>
          <w:szCs w:val="20"/>
        </w:rPr>
        <w:t xml:space="preserve">Wymagane właściwości mieszanki mineralno-asfaltowej podane są w tablicach  21, 22 i 23. </w:t>
      </w:r>
    </w:p>
    <w:p w14:paraId="10929D2A" w14:textId="77777777" w:rsidR="00284CBE" w:rsidRPr="006431C4" w:rsidRDefault="00284CBE" w:rsidP="00284CBE">
      <w:pPr>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21.</w:t>
      </w:r>
      <w:r w:rsidRPr="006431C4">
        <w:rPr>
          <w:rFonts w:cs="Arial"/>
          <w:szCs w:val="20"/>
        </w:rPr>
        <w:tab/>
        <w:t xml:space="preserve">Wymagane właściwości mieszanki mineralno-asfaltowej do warstwy wiążącej i wyrównawczej, dla ruchu KR1 ÷ KR2 </w:t>
      </w:r>
    </w:p>
    <w:tbl>
      <w:tblPr>
        <w:tblW w:w="108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48"/>
        <w:gridCol w:w="1560"/>
        <w:gridCol w:w="2520"/>
        <w:gridCol w:w="1260"/>
        <w:gridCol w:w="1260"/>
      </w:tblGrid>
      <w:tr w:rsidR="00284CBE" w:rsidRPr="006431C4" w14:paraId="1A9BD0DE" w14:textId="77777777" w:rsidTr="00697F2D">
        <w:tc>
          <w:tcPr>
            <w:tcW w:w="4248" w:type="dxa"/>
            <w:vAlign w:val="center"/>
          </w:tcPr>
          <w:p w14:paraId="63A40B4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1560" w:type="dxa"/>
            <w:vAlign w:val="center"/>
          </w:tcPr>
          <w:p w14:paraId="2750A2E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Warunki zagęszczania wg PN-EN </w:t>
            </w:r>
          </w:p>
          <w:p w14:paraId="5B85DC5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13108-20 [54]</w:t>
            </w:r>
          </w:p>
        </w:tc>
        <w:tc>
          <w:tcPr>
            <w:tcW w:w="2520" w:type="dxa"/>
            <w:vAlign w:val="center"/>
          </w:tcPr>
          <w:p w14:paraId="3962FBC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 i warunki badania</w:t>
            </w:r>
          </w:p>
        </w:tc>
        <w:tc>
          <w:tcPr>
            <w:tcW w:w="1260" w:type="dxa"/>
            <w:shd w:val="clear" w:color="auto" w:fill="auto"/>
            <w:vAlign w:val="center"/>
          </w:tcPr>
          <w:p w14:paraId="2562CD8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AC11W</w:t>
            </w:r>
          </w:p>
        </w:tc>
        <w:tc>
          <w:tcPr>
            <w:tcW w:w="1260" w:type="dxa"/>
            <w:shd w:val="clear" w:color="auto" w:fill="auto"/>
            <w:vAlign w:val="center"/>
          </w:tcPr>
          <w:p w14:paraId="5A7376A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AC16W</w:t>
            </w:r>
          </w:p>
        </w:tc>
      </w:tr>
      <w:tr w:rsidR="00284CBE" w:rsidRPr="006431C4" w14:paraId="421E7D89" w14:textId="77777777" w:rsidTr="00697F2D">
        <w:tc>
          <w:tcPr>
            <w:tcW w:w="4248" w:type="dxa"/>
            <w:vAlign w:val="center"/>
          </w:tcPr>
          <w:p w14:paraId="66A8933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w:t>
            </w:r>
          </w:p>
        </w:tc>
        <w:tc>
          <w:tcPr>
            <w:tcW w:w="1560" w:type="dxa"/>
            <w:vAlign w:val="center"/>
          </w:tcPr>
          <w:p w14:paraId="6C24722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C.1.2,ubijanie, 2×50 uderzeń</w:t>
            </w:r>
          </w:p>
        </w:tc>
        <w:tc>
          <w:tcPr>
            <w:tcW w:w="2520" w:type="dxa"/>
            <w:vAlign w:val="center"/>
          </w:tcPr>
          <w:p w14:paraId="4D3C45D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12697-8 [37], </w:t>
            </w:r>
          </w:p>
          <w:p w14:paraId="1C4F425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 4</w:t>
            </w:r>
          </w:p>
        </w:tc>
        <w:tc>
          <w:tcPr>
            <w:tcW w:w="1260" w:type="dxa"/>
            <w:shd w:val="clear" w:color="auto" w:fill="auto"/>
            <w:vAlign w:val="center"/>
          </w:tcPr>
          <w:p w14:paraId="27AFB34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 3,0</w:t>
            </w:r>
          </w:p>
          <w:p w14:paraId="1A7E92A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 6,0</w:t>
            </w:r>
          </w:p>
        </w:tc>
        <w:tc>
          <w:tcPr>
            <w:tcW w:w="1260" w:type="dxa"/>
            <w:shd w:val="clear" w:color="auto" w:fill="auto"/>
            <w:vAlign w:val="center"/>
          </w:tcPr>
          <w:p w14:paraId="04CDBA7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 3,0</w:t>
            </w:r>
          </w:p>
          <w:p w14:paraId="6376080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 6,0</w:t>
            </w:r>
          </w:p>
        </w:tc>
      </w:tr>
      <w:tr w:rsidR="00284CBE" w:rsidRPr="006431C4" w14:paraId="17FE7590" w14:textId="77777777" w:rsidTr="00697F2D">
        <w:tc>
          <w:tcPr>
            <w:tcW w:w="4248" w:type="dxa"/>
            <w:vAlign w:val="center"/>
          </w:tcPr>
          <w:p w14:paraId="26C2C2D1"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Wolne przestrzenie wypełnione lepiszczem</w:t>
            </w:r>
          </w:p>
        </w:tc>
        <w:tc>
          <w:tcPr>
            <w:tcW w:w="1560" w:type="dxa"/>
            <w:vAlign w:val="center"/>
          </w:tcPr>
          <w:p w14:paraId="18B8A1C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C.1.2,ubijanie, 2×50 uderzeń</w:t>
            </w:r>
          </w:p>
        </w:tc>
        <w:tc>
          <w:tcPr>
            <w:tcW w:w="2520" w:type="dxa"/>
            <w:vAlign w:val="center"/>
          </w:tcPr>
          <w:p w14:paraId="7E23C8B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12697-8 [37], </w:t>
            </w:r>
          </w:p>
          <w:p w14:paraId="3DD87B8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 5</w:t>
            </w:r>
          </w:p>
        </w:tc>
        <w:tc>
          <w:tcPr>
            <w:tcW w:w="1260" w:type="dxa"/>
            <w:shd w:val="clear" w:color="auto" w:fill="auto"/>
            <w:vAlign w:val="center"/>
          </w:tcPr>
          <w:p w14:paraId="3508FDAF"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VFB</w:t>
            </w:r>
            <w:r w:rsidRPr="006431C4">
              <w:rPr>
                <w:rFonts w:cs="Arial"/>
                <w:i/>
                <w:szCs w:val="20"/>
                <w:vertAlign w:val="subscript"/>
              </w:rPr>
              <w:t>min 65</w:t>
            </w:r>
          </w:p>
          <w:p w14:paraId="34F8E928"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VFB</w:t>
            </w:r>
            <w:r w:rsidRPr="006431C4">
              <w:rPr>
                <w:rFonts w:cs="Arial"/>
                <w:i/>
                <w:szCs w:val="20"/>
                <w:vertAlign w:val="subscript"/>
              </w:rPr>
              <w:t>max 80</w:t>
            </w:r>
          </w:p>
        </w:tc>
        <w:tc>
          <w:tcPr>
            <w:tcW w:w="1260" w:type="dxa"/>
            <w:shd w:val="clear" w:color="auto" w:fill="auto"/>
            <w:vAlign w:val="center"/>
          </w:tcPr>
          <w:p w14:paraId="4C15816A"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VFB</w:t>
            </w:r>
            <w:r w:rsidRPr="006431C4">
              <w:rPr>
                <w:rFonts w:cs="Arial"/>
                <w:i/>
                <w:szCs w:val="20"/>
                <w:vertAlign w:val="subscript"/>
              </w:rPr>
              <w:t>min 60</w:t>
            </w:r>
          </w:p>
          <w:p w14:paraId="7012B03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VFB</w:t>
            </w:r>
            <w:r w:rsidRPr="006431C4">
              <w:rPr>
                <w:rFonts w:cs="Arial"/>
                <w:i/>
                <w:szCs w:val="20"/>
                <w:vertAlign w:val="subscript"/>
              </w:rPr>
              <w:t>max 80</w:t>
            </w:r>
          </w:p>
        </w:tc>
      </w:tr>
      <w:tr w:rsidR="00284CBE" w:rsidRPr="006431C4" w14:paraId="33D3D60A" w14:textId="77777777" w:rsidTr="00697F2D">
        <w:tc>
          <w:tcPr>
            <w:tcW w:w="4248" w:type="dxa"/>
            <w:vAlign w:val="center"/>
          </w:tcPr>
          <w:p w14:paraId="17F0D17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Zawartość wolnych przestrzeni w </w:t>
            </w:r>
            <w:proofErr w:type="spellStart"/>
            <w:r w:rsidRPr="006431C4">
              <w:rPr>
                <w:rFonts w:cs="Arial"/>
                <w:szCs w:val="20"/>
              </w:rPr>
              <w:t>mieszan</w:t>
            </w:r>
            <w:proofErr w:type="spellEnd"/>
            <w:r w:rsidRPr="006431C4">
              <w:rPr>
                <w:rFonts w:cs="Arial"/>
                <w:szCs w:val="20"/>
              </w:rPr>
              <w:t>-ce mineralnej</w:t>
            </w:r>
          </w:p>
        </w:tc>
        <w:tc>
          <w:tcPr>
            <w:tcW w:w="1560" w:type="dxa"/>
            <w:vAlign w:val="center"/>
          </w:tcPr>
          <w:p w14:paraId="0CA1300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C.1.2,ubijanie, 2×50 uderzeń</w:t>
            </w:r>
          </w:p>
        </w:tc>
        <w:tc>
          <w:tcPr>
            <w:tcW w:w="2520" w:type="dxa"/>
            <w:vAlign w:val="center"/>
          </w:tcPr>
          <w:p w14:paraId="1EBD50C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12697-8 [37], </w:t>
            </w:r>
          </w:p>
          <w:p w14:paraId="5FD14F1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 5</w:t>
            </w:r>
          </w:p>
        </w:tc>
        <w:tc>
          <w:tcPr>
            <w:tcW w:w="1260" w:type="dxa"/>
            <w:shd w:val="clear" w:color="auto" w:fill="auto"/>
            <w:vAlign w:val="center"/>
          </w:tcPr>
          <w:p w14:paraId="7BD31869"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vertAlign w:val="subscript"/>
              </w:rPr>
            </w:pPr>
            <w:r w:rsidRPr="006431C4">
              <w:rPr>
                <w:rFonts w:cs="Arial"/>
                <w:i/>
                <w:szCs w:val="20"/>
              </w:rPr>
              <w:t>VMA</w:t>
            </w:r>
            <w:r w:rsidRPr="006431C4">
              <w:rPr>
                <w:rFonts w:cs="Arial"/>
                <w:i/>
                <w:szCs w:val="20"/>
                <w:vertAlign w:val="subscript"/>
              </w:rPr>
              <w:t>min 14</w:t>
            </w:r>
          </w:p>
        </w:tc>
        <w:tc>
          <w:tcPr>
            <w:tcW w:w="1260" w:type="dxa"/>
            <w:shd w:val="clear" w:color="auto" w:fill="auto"/>
            <w:vAlign w:val="center"/>
          </w:tcPr>
          <w:p w14:paraId="6C5C8128" w14:textId="77777777" w:rsidR="00284CBE" w:rsidRPr="006431C4" w:rsidRDefault="00284CBE" w:rsidP="00284CBE">
            <w:pPr>
              <w:overflowPunct w:val="0"/>
              <w:autoSpaceDE w:val="0"/>
              <w:autoSpaceDN w:val="0"/>
              <w:adjustRightInd w:val="0"/>
              <w:spacing w:line="240" w:lineRule="auto"/>
              <w:jc w:val="center"/>
              <w:textAlignment w:val="baseline"/>
              <w:rPr>
                <w:rFonts w:cs="Arial"/>
                <w:i/>
                <w:szCs w:val="20"/>
              </w:rPr>
            </w:pPr>
            <w:r w:rsidRPr="006431C4">
              <w:rPr>
                <w:rFonts w:cs="Arial"/>
                <w:i/>
                <w:szCs w:val="20"/>
              </w:rPr>
              <w:t>VMA</w:t>
            </w:r>
            <w:r w:rsidRPr="006431C4">
              <w:rPr>
                <w:rFonts w:cs="Arial"/>
                <w:i/>
                <w:szCs w:val="20"/>
                <w:vertAlign w:val="subscript"/>
              </w:rPr>
              <w:t>min 14</w:t>
            </w:r>
          </w:p>
        </w:tc>
      </w:tr>
      <w:tr w:rsidR="00284CBE" w:rsidRPr="006431C4" w14:paraId="14F574C7" w14:textId="77777777" w:rsidTr="00697F2D">
        <w:tc>
          <w:tcPr>
            <w:tcW w:w="4248" w:type="dxa"/>
            <w:vAlign w:val="center"/>
          </w:tcPr>
          <w:p w14:paraId="60C716DF"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Odporność na działanie wody</w:t>
            </w:r>
          </w:p>
        </w:tc>
        <w:tc>
          <w:tcPr>
            <w:tcW w:w="1560" w:type="dxa"/>
            <w:vAlign w:val="center"/>
          </w:tcPr>
          <w:p w14:paraId="50C54FA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C.1.1,ubijanie, 2×35 uderzeń</w:t>
            </w:r>
          </w:p>
        </w:tc>
        <w:tc>
          <w:tcPr>
            <w:tcW w:w="2520" w:type="dxa"/>
            <w:vAlign w:val="center"/>
          </w:tcPr>
          <w:p w14:paraId="3C8E00C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12697-12 [39], przechowywanie w </w:t>
            </w:r>
            <w:smartTag w:uri="urn:schemas-microsoft-com:office:smarttags" w:element="metricconverter">
              <w:smartTagPr>
                <w:attr w:name="ProductID" w:val="40ﾰC"/>
              </w:smartTagPr>
              <w:r w:rsidRPr="006431C4">
                <w:rPr>
                  <w:rFonts w:cs="Arial"/>
                  <w:szCs w:val="20"/>
                </w:rPr>
                <w:t>40°C</w:t>
              </w:r>
            </w:smartTag>
            <w:r w:rsidRPr="006431C4">
              <w:rPr>
                <w:rFonts w:cs="Arial"/>
                <w:szCs w:val="20"/>
              </w:rPr>
              <w:t xml:space="preserve"> z jednym cyklem zamra-żania, badanie w 25°C</w:t>
            </w:r>
            <w:r w:rsidRPr="006431C4">
              <w:rPr>
                <w:rFonts w:cs="Arial"/>
                <w:szCs w:val="20"/>
                <w:vertAlign w:val="superscript"/>
              </w:rPr>
              <w:t xml:space="preserve"> a)</w:t>
            </w:r>
          </w:p>
        </w:tc>
        <w:tc>
          <w:tcPr>
            <w:tcW w:w="1260" w:type="dxa"/>
            <w:shd w:val="clear" w:color="auto" w:fill="auto"/>
            <w:vAlign w:val="center"/>
          </w:tcPr>
          <w:p w14:paraId="2EBFB75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i/>
                <w:szCs w:val="20"/>
              </w:rPr>
              <w:t>ITSR</w:t>
            </w:r>
            <w:r w:rsidRPr="006431C4">
              <w:rPr>
                <w:rFonts w:cs="Arial"/>
                <w:i/>
                <w:szCs w:val="20"/>
                <w:vertAlign w:val="subscript"/>
              </w:rPr>
              <w:t>80</w:t>
            </w:r>
          </w:p>
        </w:tc>
        <w:tc>
          <w:tcPr>
            <w:tcW w:w="1260" w:type="dxa"/>
            <w:shd w:val="clear" w:color="auto" w:fill="auto"/>
            <w:vAlign w:val="center"/>
          </w:tcPr>
          <w:p w14:paraId="0BE96C8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ITSR</w:t>
            </w:r>
            <w:r w:rsidRPr="006431C4">
              <w:rPr>
                <w:rFonts w:cs="Arial"/>
                <w:szCs w:val="20"/>
                <w:vertAlign w:val="subscript"/>
              </w:rPr>
              <w:t>80</w:t>
            </w:r>
          </w:p>
        </w:tc>
      </w:tr>
    </w:tbl>
    <w:p w14:paraId="278DA1D4" w14:textId="77777777" w:rsidR="00284CBE" w:rsidRPr="006431C4" w:rsidRDefault="00284CBE" w:rsidP="00284CBE">
      <w:pPr>
        <w:tabs>
          <w:tab w:val="left" w:pos="120"/>
        </w:tabs>
        <w:overflowPunct w:val="0"/>
        <w:autoSpaceDE w:val="0"/>
        <w:autoSpaceDN w:val="0"/>
        <w:adjustRightInd w:val="0"/>
        <w:spacing w:line="240" w:lineRule="auto"/>
        <w:ind w:left="120" w:hanging="284"/>
        <w:jc w:val="both"/>
        <w:textAlignment w:val="baseline"/>
        <w:rPr>
          <w:rFonts w:cs="Arial"/>
          <w:szCs w:val="20"/>
        </w:rPr>
      </w:pPr>
      <w:r w:rsidRPr="006431C4">
        <w:rPr>
          <w:rFonts w:cs="Arial"/>
          <w:szCs w:val="20"/>
          <w:vertAlign w:val="superscript"/>
        </w:rPr>
        <w:t>a)</w:t>
      </w:r>
      <w:r w:rsidRPr="006431C4">
        <w:rPr>
          <w:rFonts w:cs="Arial"/>
          <w:szCs w:val="20"/>
        </w:rPr>
        <w:t xml:space="preserve"> ujednoliconą procedurę badania odporności na działanie wody podano w WT-2 2014 w załączniku 1 [82].</w:t>
      </w:r>
    </w:p>
    <w:p w14:paraId="7F8609F1" w14:textId="77777777" w:rsidR="00284CBE" w:rsidRPr="006431C4" w:rsidRDefault="00284CBE" w:rsidP="00284CBE">
      <w:pPr>
        <w:tabs>
          <w:tab w:val="left" w:pos="1200"/>
        </w:tabs>
        <w:overflowPunct w:val="0"/>
        <w:autoSpaceDE w:val="0"/>
        <w:autoSpaceDN w:val="0"/>
        <w:adjustRightInd w:val="0"/>
        <w:spacing w:line="240" w:lineRule="auto"/>
        <w:ind w:left="1200" w:hanging="1200"/>
        <w:jc w:val="both"/>
        <w:textAlignment w:val="baseline"/>
        <w:rPr>
          <w:rFonts w:cs="Arial"/>
          <w:szCs w:val="20"/>
        </w:rPr>
      </w:pPr>
      <w:r w:rsidRPr="006431C4">
        <w:rPr>
          <w:rFonts w:cs="Arial"/>
          <w:szCs w:val="20"/>
        </w:rPr>
        <w:t xml:space="preserve">Tablica 22. Wymagane właściwości mieszanki mineralno-asfaltowej do warstwy wiążącej i wyrównawczej, dla ruchu KR3 ÷ KR4 </w:t>
      </w:r>
    </w:p>
    <w:tbl>
      <w:tblPr>
        <w:tblW w:w="10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2"/>
        <w:gridCol w:w="1796"/>
        <w:gridCol w:w="3449"/>
        <w:gridCol w:w="1324"/>
        <w:gridCol w:w="1338"/>
      </w:tblGrid>
      <w:tr w:rsidR="00284CBE" w:rsidRPr="006431C4" w14:paraId="67CCDDA7" w14:textId="77777777" w:rsidTr="00697F2D">
        <w:tc>
          <w:tcPr>
            <w:tcW w:w="2972" w:type="dxa"/>
            <w:vAlign w:val="center"/>
          </w:tcPr>
          <w:p w14:paraId="5438712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1796" w:type="dxa"/>
            <w:vAlign w:val="center"/>
          </w:tcPr>
          <w:p w14:paraId="14593F0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Warunki zagęszczania wg PN-EN </w:t>
            </w:r>
          </w:p>
          <w:p w14:paraId="3ED3DE4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13108-20  [54]</w:t>
            </w:r>
          </w:p>
        </w:tc>
        <w:tc>
          <w:tcPr>
            <w:tcW w:w="3449" w:type="dxa"/>
            <w:vAlign w:val="center"/>
          </w:tcPr>
          <w:p w14:paraId="6103823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 i warunki badania</w:t>
            </w:r>
          </w:p>
        </w:tc>
        <w:tc>
          <w:tcPr>
            <w:tcW w:w="1324" w:type="dxa"/>
            <w:vAlign w:val="center"/>
          </w:tcPr>
          <w:p w14:paraId="5EA66C5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AC16W</w:t>
            </w:r>
          </w:p>
        </w:tc>
        <w:tc>
          <w:tcPr>
            <w:tcW w:w="1338" w:type="dxa"/>
            <w:vAlign w:val="center"/>
          </w:tcPr>
          <w:p w14:paraId="3196231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AC22W</w:t>
            </w:r>
          </w:p>
        </w:tc>
      </w:tr>
      <w:tr w:rsidR="00284CBE" w:rsidRPr="006431C4" w14:paraId="2D403E29" w14:textId="77777777" w:rsidTr="00697F2D">
        <w:tc>
          <w:tcPr>
            <w:tcW w:w="2972" w:type="dxa"/>
            <w:vAlign w:val="center"/>
          </w:tcPr>
          <w:p w14:paraId="396047A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w:t>
            </w:r>
          </w:p>
        </w:tc>
        <w:tc>
          <w:tcPr>
            <w:tcW w:w="1796" w:type="dxa"/>
            <w:vAlign w:val="center"/>
          </w:tcPr>
          <w:p w14:paraId="3DA8BDE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C.1.3,ubijanie, 2×75 uderzeń</w:t>
            </w:r>
          </w:p>
        </w:tc>
        <w:tc>
          <w:tcPr>
            <w:tcW w:w="3449" w:type="dxa"/>
            <w:vAlign w:val="center"/>
          </w:tcPr>
          <w:p w14:paraId="0D8A65F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12697-8 [37], p. 4</w:t>
            </w:r>
          </w:p>
        </w:tc>
        <w:tc>
          <w:tcPr>
            <w:tcW w:w="1324" w:type="dxa"/>
            <w:vAlign w:val="center"/>
          </w:tcPr>
          <w:p w14:paraId="11778CA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 4,0</w:t>
            </w:r>
          </w:p>
          <w:p w14:paraId="325BB22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 7,0</w:t>
            </w:r>
          </w:p>
        </w:tc>
        <w:tc>
          <w:tcPr>
            <w:tcW w:w="1338" w:type="dxa"/>
            <w:vAlign w:val="center"/>
          </w:tcPr>
          <w:p w14:paraId="02CEEAC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 4,0</w:t>
            </w:r>
          </w:p>
          <w:p w14:paraId="5710740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 7,0</w:t>
            </w:r>
          </w:p>
        </w:tc>
      </w:tr>
      <w:tr w:rsidR="00284CBE" w:rsidRPr="006431C4" w14:paraId="6CC09CDB" w14:textId="77777777" w:rsidTr="00697F2D">
        <w:tc>
          <w:tcPr>
            <w:tcW w:w="2972" w:type="dxa"/>
            <w:vAlign w:val="center"/>
          </w:tcPr>
          <w:p w14:paraId="149D80EA" w14:textId="77777777" w:rsidR="00284CBE" w:rsidRPr="006431C4" w:rsidRDefault="00284CBE" w:rsidP="00284CBE">
            <w:pPr>
              <w:overflowPunct w:val="0"/>
              <w:autoSpaceDE w:val="0"/>
              <w:autoSpaceDN w:val="0"/>
              <w:adjustRightInd w:val="0"/>
              <w:spacing w:line="240" w:lineRule="auto"/>
              <w:textAlignment w:val="baseline"/>
              <w:rPr>
                <w:rFonts w:cs="Arial"/>
                <w:szCs w:val="20"/>
                <w:vertAlign w:val="superscript"/>
              </w:rPr>
            </w:pPr>
            <w:r w:rsidRPr="006431C4">
              <w:rPr>
                <w:rFonts w:cs="Arial"/>
                <w:szCs w:val="20"/>
              </w:rPr>
              <w:t xml:space="preserve">Odporność na deformacje trwałe </w:t>
            </w:r>
            <w:r w:rsidRPr="006431C4">
              <w:rPr>
                <w:rFonts w:cs="Arial"/>
                <w:szCs w:val="20"/>
                <w:vertAlign w:val="superscript"/>
              </w:rPr>
              <w:t>a)c)</w:t>
            </w:r>
          </w:p>
        </w:tc>
        <w:tc>
          <w:tcPr>
            <w:tcW w:w="1796" w:type="dxa"/>
            <w:vAlign w:val="center"/>
          </w:tcPr>
          <w:p w14:paraId="7967589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C.1.20, wałowanie,</w:t>
            </w:r>
          </w:p>
          <w:p w14:paraId="0CBD781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w:t>
            </w:r>
            <w:r w:rsidRPr="006431C4">
              <w:rPr>
                <w:rFonts w:cs="Arial"/>
                <w:szCs w:val="20"/>
                <w:vertAlign w:val="subscript"/>
              </w:rPr>
              <w:t>98</w:t>
            </w:r>
            <w:r w:rsidRPr="006431C4">
              <w:rPr>
                <w:rFonts w:cs="Arial"/>
                <w:szCs w:val="20"/>
              </w:rPr>
              <w:t>-P</w:t>
            </w:r>
            <w:r w:rsidRPr="006431C4">
              <w:rPr>
                <w:rFonts w:cs="Arial"/>
                <w:szCs w:val="20"/>
                <w:vertAlign w:val="subscript"/>
              </w:rPr>
              <w:t>100</w:t>
            </w:r>
          </w:p>
        </w:tc>
        <w:tc>
          <w:tcPr>
            <w:tcW w:w="3449" w:type="dxa"/>
            <w:vAlign w:val="center"/>
          </w:tcPr>
          <w:p w14:paraId="5BB3B91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12697-22 [41], metoda B w powietrzu, PN-EN 13108-20 [54], D.1.6,60°C, 10 000 cykli</w:t>
            </w:r>
          </w:p>
        </w:tc>
        <w:tc>
          <w:tcPr>
            <w:tcW w:w="1324" w:type="dxa"/>
            <w:vAlign w:val="center"/>
          </w:tcPr>
          <w:p w14:paraId="18D0281C" w14:textId="77777777" w:rsidR="00284CBE" w:rsidRPr="006431C4" w:rsidRDefault="00284CBE" w:rsidP="00284CBE">
            <w:pPr>
              <w:overflowPunct w:val="0"/>
              <w:autoSpaceDE w:val="0"/>
              <w:autoSpaceDN w:val="0"/>
              <w:adjustRightInd w:val="0"/>
              <w:spacing w:line="240" w:lineRule="auto"/>
              <w:textAlignment w:val="baseline"/>
              <w:rPr>
                <w:rFonts w:cs="Arial"/>
                <w:szCs w:val="20"/>
                <w:vertAlign w:val="subscript"/>
              </w:rPr>
            </w:pPr>
            <w:r w:rsidRPr="006431C4">
              <w:rPr>
                <w:rFonts w:cs="Arial"/>
                <w:i/>
                <w:szCs w:val="20"/>
              </w:rPr>
              <w:t>WTS</w:t>
            </w:r>
            <w:r w:rsidRPr="006431C4">
              <w:rPr>
                <w:rFonts w:cs="Arial"/>
                <w:szCs w:val="20"/>
                <w:vertAlign w:val="subscript"/>
              </w:rPr>
              <w:t>AIR 0,15</w:t>
            </w:r>
          </w:p>
          <w:p w14:paraId="049F669C" w14:textId="77777777" w:rsidR="00284CBE" w:rsidRPr="006431C4" w:rsidRDefault="00284CBE" w:rsidP="00284CBE">
            <w:pPr>
              <w:overflowPunct w:val="0"/>
              <w:autoSpaceDE w:val="0"/>
              <w:autoSpaceDN w:val="0"/>
              <w:adjustRightInd w:val="0"/>
              <w:spacing w:line="240" w:lineRule="auto"/>
              <w:textAlignment w:val="baseline"/>
              <w:rPr>
                <w:rFonts w:cs="Arial"/>
                <w:szCs w:val="20"/>
                <w:vertAlign w:val="subscript"/>
              </w:rPr>
            </w:pPr>
            <w:r w:rsidRPr="006431C4">
              <w:rPr>
                <w:rFonts w:cs="Arial"/>
                <w:i/>
                <w:szCs w:val="20"/>
              </w:rPr>
              <w:t>PRD</w:t>
            </w:r>
            <w:r w:rsidRPr="006431C4">
              <w:rPr>
                <w:rFonts w:cs="Arial"/>
                <w:szCs w:val="20"/>
                <w:vertAlign w:val="subscript"/>
              </w:rPr>
              <w:t>AIR 7,0</w:t>
            </w:r>
          </w:p>
        </w:tc>
        <w:tc>
          <w:tcPr>
            <w:tcW w:w="1338" w:type="dxa"/>
            <w:vAlign w:val="center"/>
          </w:tcPr>
          <w:p w14:paraId="7230172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i/>
                <w:szCs w:val="20"/>
              </w:rPr>
              <w:t>WTS</w:t>
            </w:r>
            <w:r w:rsidRPr="006431C4">
              <w:rPr>
                <w:rFonts w:cs="Arial"/>
                <w:szCs w:val="20"/>
                <w:vertAlign w:val="subscript"/>
              </w:rPr>
              <w:t>AIR 0,15</w:t>
            </w:r>
          </w:p>
          <w:p w14:paraId="39F4507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PRD</w:t>
            </w:r>
            <w:r w:rsidRPr="006431C4">
              <w:rPr>
                <w:rFonts w:cs="Arial"/>
                <w:szCs w:val="20"/>
                <w:vertAlign w:val="subscript"/>
              </w:rPr>
              <w:t>AIR7,0</w:t>
            </w:r>
          </w:p>
        </w:tc>
      </w:tr>
      <w:tr w:rsidR="00284CBE" w:rsidRPr="006431C4" w14:paraId="5F54C8EF" w14:textId="77777777" w:rsidTr="00697F2D">
        <w:tc>
          <w:tcPr>
            <w:tcW w:w="2972" w:type="dxa"/>
            <w:vAlign w:val="center"/>
          </w:tcPr>
          <w:p w14:paraId="344E6868"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Odporność na działanie wody</w:t>
            </w:r>
          </w:p>
        </w:tc>
        <w:tc>
          <w:tcPr>
            <w:tcW w:w="1796" w:type="dxa"/>
            <w:vAlign w:val="center"/>
          </w:tcPr>
          <w:p w14:paraId="3F08388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C.1.1,ubijanie, 2×35 uderzeń</w:t>
            </w:r>
          </w:p>
        </w:tc>
        <w:tc>
          <w:tcPr>
            <w:tcW w:w="3449" w:type="dxa"/>
            <w:vAlign w:val="center"/>
          </w:tcPr>
          <w:p w14:paraId="396D1EE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12697-12 [39], przechowywanie w </w:t>
            </w:r>
            <w:smartTag w:uri="urn:schemas-microsoft-com:office:smarttags" w:element="metricconverter">
              <w:smartTagPr>
                <w:attr w:name="ProductID" w:val="40ﾰC"/>
              </w:smartTagPr>
              <w:r w:rsidRPr="006431C4">
                <w:rPr>
                  <w:rFonts w:cs="Arial"/>
                  <w:szCs w:val="20"/>
                </w:rPr>
                <w:t>40°C</w:t>
              </w:r>
            </w:smartTag>
            <w:r w:rsidRPr="006431C4">
              <w:rPr>
                <w:rFonts w:cs="Arial"/>
                <w:szCs w:val="20"/>
              </w:rPr>
              <w:t xml:space="preserve"> z jednym cyklem zamra-żania, badanie w </w:t>
            </w:r>
            <w:smartTag w:uri="urn:schemas-microsoft-com:office:smarttags" w:element="metricconverter">
              <w:smartTagPr>
                <w:attr w:name="ProductID" w:val="25ﾰC"/>
              </w:smartTagPr>
              <w:r w:rsidRPr="006431C4">
                <w:rPr>
                  <w:rFonts w:cs="Arial"/>
                  <w:szCs w:val="20"/>
                </w:rPr>
                <w:t>25°C</w:t>
              </w:r>
            </w:smartTag>
            <w:r w:rsidRPr="006431C4">
              <w:rPr>
                <w:rFonts w:cs="Arial"/>
                <w:szCs w:val="20"/>
              </w:rPr>
              <w:t xml:space="preserve"> </w:t>
            </w:r>
            <w:r w:rsidRPr="006431C4">
              <w:rPr>
                <w:rFonts w:cs="Arial"/>
                <w:szCs w:val="20"/>
                <w:vertAlign w:val="superscript"/>
              </w:rPr>
              <w:t>b)</w:t>
            </w:r>
          </w:p>
        </w:tc>
        <w:tc>
          <w:tcPr>
            <w:tcW w:w="1324" w:type="dxa"/>
            <w:vAlign w:val="center"/>
          </w:tcPr>
          <w:p w14:paraId="2A46926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i/>
                <w:szCs w:val="20"/>
              </w:rPr>
              <w:t>ITS</w:t>
            </w:r>
            <w:r w:rsidRPr="006431C4">
              <w:rPr>
                <w:rFonts w:cs="Arial"/>
                <w:i/>
                <w:szCs w:val="20"/>
                <w:vertAlign w:val="subscript"/>
              </w:rPr>
              <w:t>80</w:t>
            </w:r>
          </w:p>
        </w:tc>
        <w:tc>
          <w:tcPr>
            <w:tcW w:w="1338" w:type="dxa"/>
            <w:vAlign w:val="center"/>
          </w:tcPr>
          <w:p w14:paraId="706B4C2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i/>
                <w:szCs w:val="20"/>
              </w:rPr>
              <w:t>ITSR</w:t>
            </w:r>
            <w:r w:rsidRPr="006431C4">
              <w:rPr>
                <w:rFonts w:cs="Arial"/>
                <w:i/>
                <w:szCs w:val="20"/>
                <w:vertAlign w:val="subscript"/>
              </w:rPr>
              <w:t>80</w:t>
            </w:r>
          </w:p>
        </w:tc>
      </w:tr>
    </w:tbl>
    <w:p w14:paraId="52AD5A28" w14:textId="77777777" w:rsidR="00284CBE" w:rsidRPr="006431C4" w:rsidRDefault="00284CBE" w:rsidP="00284CBE">
      <w:pPr>
        <w:tabs>
          <w:tab w:val="left" w:pos="284"/>
        </w:tabs>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vertAlign w:val="superscript"/>
        </w:rPr>
        <w:t>a)</w:t>
      </w:r>
      <w:r w:rsidRPr="006431C4">
        <w:rPr>
          <w:rFonts w:cs="Arial"/>
          <w:szCs w:val="20"/>
        </w:rPr>
        <w:tab/>
        <w:t>Grubość płyty: AC16, AC22  60 mm,</w:t>
      </w:r>
    </w:p>
    <w:p w14:paraId="5F68887F" w14:textId="77777777" w:rsidR="00284CBE" w:rsidRPr="006431C4" w:rsidRDefault="00284CBE" w:rsidP="00284CBE">
      <w:pPr>
        <w:tabs>
          <w:tab w:val="left" w:pos="284"/>
        </w:tabs>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vertAlign w:val="superscript"/>
        </w:rPr>
        <w:t>b)</w:t>
      </w:r>
      <w:r w:rsidRPr="006431C4">
        <w:rPr>
          <w:rFonts w:cs="Arial"/>
          <w:szCs w:val="20"/>
        </w:rPr>
        <w:tab/>
        <w:t xml:space="preserve"> Ujednoliconą procedurę badania odporności na działanie wody podano w WT-2 2014  w załączniku 1 [82],</w:t>
      </w:r>
    </w:p>
    <w:p w14:paraId="4849536B" w14:textId="77777777" w:rsidR="00284CBE" w:rsidRPr="006431C4" w:rsidRDefault="00284CBE" w:rsidP="00284CBE">
      <w:pPr>
        <w:tabs>
          <w:tab w:val="left" w:pos="284"/>
        </w:tabs>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vertAlign w:val="superscript"/>
        </w:rPr>
        <w:t>c)</w:t>
      </w:r>
      <w:r w:rsidRPr="006431C4">
        <w:rPr>
          <w:rFonts w:cs="Arial"/>
          <w:szCs w:val="20"/>
        </w:rPr>
        <w:tab/>
        <w:t>Procedurę kondycjonowania krótkoterminowego mma przed formowaniem próbek podano w WT-2 2014 w załączniku 2 [83].</w:t>
      </w:r>
    </w:p>
    <w:p w14:paraId="4011FD33" w14:textId="77777777" w:rsidR="00284CBE" w:rsidRPr="006431C4" w:rsidRDefault="00284CBE" w:rsidP="00284CBE">
      <w:pPr>
        <w:tabs>
          <w:tab w:val="left" w:pos="1320"/>
        </w:tabs>
        <w:overflowPunct w:val="0"/>
        <w:autoSpaceDE w:val="0"/>
        <w:autoSpaceDN w:val="0"/>
        <w:adjustRightInd w:val="0"/>
        <w:spacing w:line="240" w:lineRule="auto"/>
        <w:ind w:left="1200" w:hanging="1200"/>
        <w:jc w:val="both"/>
        <w:textAlignment w:val="baseline"/>
        <w:rPr>
          <w:rFonts w:cs="Arial"/>
          <w:szCs w:val="20"/>
        </w:rPr>
      </w:pPr>
      <w:r w:rsidRPr="006431C4">
        <w:rPr>
          <w:rFonts w:cs="Arial"/>
          <w:szCs w:val="20"/>
        </w:rPr>
        <w:lastRenderedPageBreak/>
        <w:t xml:space="preserve">Tablica 23. Wymagane właściwości mieszanki mineralno-asfaltowej do warstwy wiążącej i wyrównawczej, dla ruchu KR5 ÷ KR7 </w:t>
      </w:r>
    </w:p>
    <w:tbl>
      <w:tblPr>
        <w:tblW w:w="108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2"/>
        <w:gridCol w:w="1800"/>
        <w:gridCol w:w="3445"/>
        <w:gridCol w:w="1320"/>
        <w:gridCol w:w="1320"/>
      </w:tblGrid>
      <w:tr w:rsidR="00284CBE" w:rsidRPr="006431C4" w14:paraId="3633350D" w14:textId="77777777" w:rsidTr="00697F2D">
        <w:tc>
          <w:tcPr>
            <w:tcW w:w="2972" w:type="dxa"/>
            <w:vAlign w:val="center"/>
          </w:tcPr>
          <w:p w14:paraId="0D2B526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1800" w:type="dxa"/>
            <w:vAlign w:val="center"/>
          </w:tcPr>
          <w:p w14:paraId="5204770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Warunki zagęszczania wg PN-EN </w:t>
            </w:r>
          </w:p>
          <w:p w14:paraId="10574A4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13108-20  [54]</w:t>
            </w:r>
          </w:p>
        </w:tc>
        <w:tc>
          <w:tcPr>
            <w:tcW w:w="3445" w:type="dxa"/>
            <w:vAlign w:val="center"/>
          </w:tcPr>
          <w:p w14:paraId="7FC9F7A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 i warunki badania</w:t>
            </w:r>
          </w:p>
        </w:tc>
        <w:tc>
          <w:tcPr>
            <w:tcW w:w="1320" w:type="dxa"/>
            <w:vAlign w:val="center"/>
          </w:tcPr>
          <w:p w14:paraId="022EF52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AC16W</w:t>
            </w:r>
          </w:p>
        </w:tc>
        <w:tc>
          <w:tcPr>
            <w:tcW w:w="1320" w:type="dxa"/>
            <w:vAlign w:val="center"/>
          </w:tcPr>
          <w:p w14:paraId="5E7E814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AC22W</w:t>
            </w:r>
          </w:p>
        </w:tc>
      </w:tr>
      <w:tr w:rsidR="00284CBE" w:rsidRPr="006431C4" w14:paraId="0E197860" w14:textId="77777777" w:rsidTr="00697F2D">
        <w:tc>
          <w:tcPr>
            <w:tcW w:w="2972" w:type="dxa"/>
            <w:vAlign w:val="center"/>
          </w:tcPr>
          <w:p w14:paraId="6587088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w:t>
            </w:r>
          </w:p>
        </w:tc>
        <w:tc>
          <w:tcPr>
            <w:tcW w:w="1800" w:type="dxa"/>
            <w:vAlign w:val="center"/>
          </w:tcPr>
          <w:p w14:paraId="085F87A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C.1.3,ubijanie, 2×75 uderzeń</w:t>
            </w:r>
          </w:p>
        </w:tc>
        <w:tc>
          <w:tcPr>
            <w:tcW w:w="3445" w:type="dxa"/>
            <w:vAlign w:val="center"/>
          </w:tcPr>
          <w:p w14:paraId="53E3CC4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12697-8 [37], p. 4</w:t>
            </w:r>
          </w:p>
        </w:tc>
        <w:tc>
          <w:tcPr>
            <w:tcW w:w="1320" w:type="dxa"/>
            <w:vAlign w:val="center"/>
          </w:tcPr>
          <w:p w14:paraId="652001D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 4,0</w:t>
            </w:r>
          </w:p>
          <w:p w14:paraId="17F2F38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 7,0</w:t>
            </w:r>
          </w:p>
        </w:tc>
        <w:tc>
          <w:tcPr>
            <w:tcW w:w="1320" w:type="dxa"/>
            <w:vAlign w:val="center"/>
          </w:tcPr>
          <w:p w14:paraId="5E75C09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min 4,0</w:t>
            </w:r>
          </w:p>
          <w:p w14:paraId="666A10F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V</w:t>
            </w:r>
            <w:r w:rsidRPr="006431C4">
              <w:rPr>
                <w:rFonts w:cs="Arial"/>
                <w:szCs w:val="20"/>
                <w:vertAlign w:val="subscript"/>
              </w:rPr>
              <w:t>max 7,0</w:t>
            </w:r>
          </w:p>
        </w:tc>
      </w:tr>
      <w:tr w:rsidR="00284CBE" w:rsidRPr="006431C4" w14:paraId="5385E7B3" w14:textId="77777777" w:rsidTr="00697F2D">
        <w:tc>
          <w:tcPr>
            <w:tcW w:w="2972" w:type="dxa"/>
            <w:vAlign w:val="center"/>
          </w:tcPr>
          <w:p w14:paraId="022BA789" w14:textId="77777777" w:rsidR="00284CBE" w:rsidRPr="006431C4" w:rsidRDefault="00284CBE" w:rsidP="00284CBE">
            <w:pPr>
              <w:overflowPunct w:val="0"/>
              <w:autoSpaceDE w:val="0"/>
              <w:autoSpaceDN w:val="0"/>
              <w:adjustRightInd w:val="0"/>
              <w:spacing w:line="240" w:lineRule="auto"/>
              <w:textAlignment w:val="baseline"/>
              <w:rPr>
                <w:rFonts w:cs="Arial"/>
                <w:szCs w:val="20"/>
                <w:vertAlign w:val="superscript"/>
              </w:rPr>
            </w:pPr>
            <w:r w:rsidRPr="006431C4">
              <w:rPr>
                <w:rFonts w:cs="Arial"/>
                <w:szCs w:val="20"/>
              </w:rPr>
              <w:t xml:space="preserve">Odporność na deformacje trwałe </w:t>
            </w:r>
            <w:r w:rsidRPr="006431C4">
              <w:rPr>
                <w:rFonts w:cs="Arial"/>
                <w:szCs w:val="20"/>
                <w:vertAlign w:val="superscript"/>
              </w:rPr>
              <w:t>a)c)</w:t>
            </w:r>
          </w:p>
        </w:tc>
        <w:tc>
          <w:tcPr>
            <w:tcW w:w="1800" w:type="dxa"/>
            <w:vAlign w:val="center"/>
          </w:tcPr>
          <w:p w14:paraId="5FC6F02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C.1.20, wałowanie,</w:t>
            </w:r>
          </w:p>
          <w:p w14:paraId="6DF73F7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w:t>
            </w:r>
            <w:r w:rsidRPr="006431C4">
              <w:rPr>
                <w:rFonts w:cs="Arial"/>
                <w:szCs w:val="20"/>
                <w:vertAlign w:val="subscript"/>
              </w:rPr>
              <w:t>98</w:t>
            </w:r>
            <w:r w:rsidRPr="006431C4">
              <w:rPr>
                <w:rFonts w:cs="Arial"/>
                <w:szCs w:val="20"/>
              </w:rPr>
              <w:t>-P</w:t>
            </w:r>
            <w:r w:rsidRPr="006431C4">
              <w:rPr>
                <w:rFonts w:cs="Arial"/>
                <w:szCs w:val="20"/>
                <w:vertAlign w:val="subscript"/>
              </w:rPr>
              <w:t>100</w:t>
            </w:r>
          </w:p>
        </w:tc>
        <w:tc>
          <w:tcPr>
            <w:tcW w:w="3445" w:type="dxa"/>
            <w:vAlign w:val="center"/>
          </w:tcPr>
          <w:p w14:paraId="414B87E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12697-22 [41], metoda B       w powietrzu, PN-EN 13108-20 [54], D.1.6,60°C, 10 000 cykli</w:t>
            </w:r>
          </w:p>
        </w:tc>
        <w:tc>
          <w:tcPr>
            <w:tcW w:w="1320" w:type="dxa"/>
            <w:vAlign w:val="center"/>
          </w:tcPr>
          <w:p w14:paraId="09A9C5E5" w14:textId="77777777" w:rsidR="00284CBE" w:rsidRPr="006431C4" w:rsidRDefault="00284CBE" w:rsidP="00284CBE">
            <w:pPr>
              <w:overflowPunct w:val="0"/>
              <w:autoSpaceDE w:val="0"/>
              <w:autoSpaceDN w:val="0"/>
              <w:adjustRightInd w:val="0"/>
              <w:spacing w:line="240" w:lineRule="auto"/>
              <w:textAlignment w:val="baseline"/>
              <w:rPr>
                <w:rFonts w:cs="Arial"/>
                <w:szCs w:val="20"/>
                <w:vertAlign w:val="subscript"/>
              </w:rPr>
            </w:pPr>
            <w:r w:rsidRPr="006431C4">
              <w:rPr>
                <w:rFonts w:cs="Arial"/>
                <w:i/>
                <w:szCs w:val="20"/>
              </w:rPr>
              <w:t>WTS</w:t>
            </w:r>
            <w:r w:rsidRPr="006431C4">
              <w:rPr>
                <w:rFonts w:cs="Arial"/>
                <w:szCs w:val="20"/>
                <w:vertAlign w:val="subscript"/>
              </w:rPr>
              <w:t>AIR 0,10</w:t>
            </w:r>
          </w:p>
          <w:p w14:paraId="5119AA46" w14:textId="77777777" w:rsidR="00284CBE" w:rsidRPr="006431C4" w:rsidRDefault="00284CBE" w:rsidP="00284CBE">
            <w:pPr>
              <w:overflowPunct w:val="0"/>
              <w:autoSpaceDE w:val="0"/>
              <w:autoSpaceDN w:val="0"/>
              <w:adjustRightInd w:val="0"/>
              <w:spacing w:line="240" w:lineRule="auto"/>
              <w:textAlignment w:val="baseline"/>
              <w:rPr>
                <w:rFonts w:cs="Arial"/>
                <w:szCs w:val="20"/>
                <w:vertAlign w:val="subscript"/>
              </w:rPr>
            </w:pPr>
            <w:r w:rsidRPr="006431C4">
              <w:rPr>
                <w:rFonts w:cs="Arial"/>
                <w:i/>
                <w:szCs w:val="20"/>
              </w:rPr>
              <w:t>PRD</w:t>
            </w:r>
            <w:r w:rsidRPr="006431C4">
              <w:rPr>
                <w:rFonts w:cs="Arial"/>
                <w:szCs w:val="20"/>
                <w:vertAlign w:val="subscript"/>
              </w:rPr>
              <w:t>AIR 5,0</w:t>
            </w:r>
          </w:p>
        </w:tc>
        <w:tc>
          <w:tcPr>
            <w:tcW w:w="1320" w:type="dxa"/>
            <w:vAlign w:val="center"/>
          </w:tcPr>
          <w:p w14:paraId="60A60F3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i/>
                <w:szCs w:val="20"/>
              </w:rPr>
              <w:t>WTS</w:t>
            </w:r>
            <w:r w:rsidRPr="006431C4">
              <w:rPr>
                <w:rFonts w:cs="Arial"/>
                <w:szCs w:val="20"/>
                <w:vertAlign w:val="subscript"/>
              </w:rPr>
              <w:t>AIR 0,10</w:t>
            </w:r>
          </w:p>
          <w:p w14:paraId="5DA30F1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i/>
                <w:szCs w:val="20"/>
              </w:rPr>
              <w:t>PRD</w:t>
            </w:r>
            <w:r w:rsidRPr="006431C4">
              <w:rPr>
                <w:rFonts w:cs="Arial"/>
                <w:szCs w:val="20"/>
                <w:vertAlign w:val="subscript"/>
              </w:rPr>
              <w:t>AIR 5,0</w:t>
            </w:r>
          </w:p>
        </w:tc>
      </w:tr>
      <w:tr w:rsidR="00284CBE" w:rsidRPr="006431C4" w14:paraId="3F2F97E9" w14:textId="77777777" w:rsidTr="00697F2D">
        <w:tc>
          <w:tcPr>
            <w:tcW w:w="2972" w:type="dxa"/>
            <w:vAlign w:val="center"/>
          </w:tcPr>
          <w:p w14:paraId="5316A6C7"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Odporność na działanie wody</w:t>
            </w:r>
          </w:p>
        </w:tc>
        <w:tc>
          <w:tcPr>
            <w:tcW w:w="1800" w:type="dxa"/>
            <w:vAlign w:val="center"/>
          </w:tcPr>
          <w:p w14:paraId="2708F79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C.1.1,ubijanie, 2×35 uderzeń</w:t>
            </w:r>
          </w:p>
        </w:tc>
        <w:tc>
          <w:tcPr>
            <w:tcW w:w="3445" w:type="dxa"/>
            <w:vAlign w:val="center"/>
          </w:tcPr>
          <w:p w14:paraId="1E0F006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PN-EN 12697-12 [39], przechowywanie w </w:t>
            </w:r>
            <w:smartTag w:uri="urn:schemas-microsoft-com:office:smarttags" w:element="metricconverter">
              <w:smartTagPr>
                <w:attr w:name="ProductID" w:val="40ﾰC"/>
              </w:smartTagPr>
              <w:r w:rsidRPr="006431C4">
                <w:rPr>
                  <w:rFonts w:cs="Arial"/>
                  <w:szCs w:val="20"/>
                </w:rPr>
                <w:t>40°C</w:t>
              </w:r>
            </w:smartTag>
            <w:r w:rsidRPr="006431C4">
              <w:rPr>
                <w:rFonts w:cs="Arial"/>
                <w:szCs w:val="20"/>
              </w:rPr>
              <w:t xml:space="preserve"> z jednym cyklem zamra-żania, badanie w 25°C </w:t>
            </w:r>
            <w:r w:rsidRPr="006431C4">
              <w:rPr>
                <w:rFonts w:cs="Arial"/>
                <w:szCs w:val="20"/>
                <w:vertAlign w:val="superscript"/>
              </w:rPr>
              <w:t>b)</w:t>
            </w:r>
          </w:p>
        </w:tc>
        <w:tc>
          <w:tcPr>
            <w:tcW w:w="1320" w:type="dxa"/>
            <w:vAlign w:val="center"/>
          </w:tcPr>
          <w:p w14:paraId="408FFB4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i/>
                <w:szCs w:val="20"/>
              </w:rPr>
              <w:t>ITSR</w:t>
            </w:r>
            <w:r w:rsidRPr="006431C4">
              <w:rPr>
                <w:rFonts w:cs="Arial"/>
                <w:i/>
                <w:szCs w:val="20"/>
                <w:vertAlign w:val="subscript"/>
              </w:rPr>
              <w:t>80</w:t>
            </w:r>
          </w:p>
        </w:tc>
        <w:tc>
          <w:tcPr>
            <w:tcW w:w="1320" w:type="dxa"/>
            <w:vAlign w:val="center"/>
          </w:tcPr>
          <w:p w14:paraId="6EA8075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vertAlign w:val="subscript"/>
              </w:rPr>
            </w:pPr>
            <w:r w:rsidRPr="006431C4">
              <w:rPr>
                <w:rFonts w:cs="Arial"/>
                <w:i/>
                <w:szCs w:val="20"/>
              </w:rPr>
              <w:t>ITSR</w:t>
            </w:r>
            <w:r w:rsidRPr="006431C4">
              <w:rPr>
                <w:rFonts w:cs="Arial"/>
                <w:i/>
                <w:szCs w:val="20"/>
                <w:vertAlign w:val="subscript"/>
              </w:rPr>
              <w:t>80</w:t>
            </w:r>
          </w:p>
        </w:tc>
      </w:tr>
    </w:tbl>
    <w:p w14:paraId="1FE39BBD" w14:textId="77777777" w:rsidR="00284CBE" w:rsidRPr="006431C4" w:rsidRDefault="00284CBE" w:rsidP="00284CBE">
      <w:pPr>
        <w:tabs>
          <w:tab w:val="left" w:pos="284"/>
        </w:tabs>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vertAlign w:val="superscript"/>
        </w:rPr>
        <w:t>a)</w:t>
      </w:r>
      <w:r w:rsidRPr="006431C4">
        <w:rPr>
          <w:rFonts w:cs="Arial"/>
          <w:szCs w:val="20"/>
        </w:rPr>
        <w:tab/>
        <w:t>Grubość płyty: AC16P, AC22P 60mm, AC32P 80mm,</w:t>
      </w:r>
    </w:p>
    <w:p w14:paraId="79DA702F" w14:textId="77777777" w:rsidR="00284CBE" w:rsidRPr="006431C4" w:rsidRDefault="00284CBE" w:rsidP="00284CBE">
      <w:pPr>
        <w:tabs>
          <w:tab w:val="left" w:pos="284"/>
        </w:tabs>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vertAlign w:val="superscript"/>
        </w:rPr>
        <w:t>b)</w:t>
      </w:r>
      <w:r w:rsidRPr="006431C4">
        <w:rPr>
          <w:rFonts w:cs="Arial"/>
          <w:szCs w:val="20"/>
        </w:rPr>
        <w:tab/>
        <w:t>Ujednoliconą procedurę badania odporności na działanie wody podano w WT-2 2014 w załączniku 1 [82],</w:t>
      </w:r>
    </w:p>
    <w:p w14:paraId="4C0EA2B3" w14:textId="77777777" w:rsidR="00284CBE" w:rsidRPr="006431C4" w:rsidRDefault="00284CBE" w:rsidP="00284CBE">
      <w:pPr>
        <w:tabs>
          <w:tab w:val="left" w:pos="240"/>
          <w:tab w:val="left" w:pos="284"/>
        </w:tabs>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vertAlign w:val="superscript"/>
        </w:rPr>
        <w:t>c)</w:t>
      </w:r>
      <w:r w:rsidRPr="006431C4">
        <w:rPr>
          <w:rFonts w:cs="Arial"/>
          <w:szCs w:val="20"/>
        </w:rPr>
        <w:tab/>
        <w:t>Procedurę kondycjonowania krótkoterminowego mma przed formowaniem próbek podano w WT-2 2014 w załączniku 2 [83].</w:t>
      </w:r>
    </w:p>
    <w:p w14:paraId="68848EF5" w14:textId="77777777" w:rsidR="00284CBE" w:rsidRPr="006431C4" w:rsidRDefault="00284CBE" w:rsidP="00284C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48" w:name="_Toc462133146"/>
      <w:r w:rsidRPr="006431C4">
        <w:rPr>
          <w:rFonts w:cs="Arial"/>
          <w:b/>
          <w:caps/>
          <w:kern w:val="28"/>
          <w:szCs w:val="20"/>
        </w:rPr>
        <w:t>3. Sprzęt</w:t>
      </w:r>
      <w:bookmarkEnd w:id="948"/>
    </w:p>
    <w:p w14:paraId="406D365A"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3.1. Ogólne wymagania dotyczące sprzętu</w:t>
      </w:r>
    </w:p>
    <w:p w14:paraId="38CB035F"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sprzętu podano w SST  D-M-00.00.00 „Wymagania ogólne” [1] pkt 3.</w:t>
      </w:r>
    </w:p>
    <w:p w14:paraId="5F4D23D5"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3.2. Sprzęt stosowany do wykonania robót</w:t>
      </w:r>
    </w:p>
    <w:p w14:paraId="2D6497C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Przy wykonywaniu robót Wykonawca w zależności od potrzeb, powinien wykazać się możliwością korzystania ze sprzętu dostosowanego do przyjętej metody robót, jak:</w:t>
      </w:r>
    </w:p>
    <w:p w14:paraId="0720126D" w14:textId="77777777" w:rsidR="00284CBE" w:rsidRPr="006431C4" w:rsidRDefault="00284CBE" w:rsidP="00CF1E7D">
      <w:pPr>
        <w:numPr>
          <w:ilvl w:val="0"/>
          <w:numId w:val="163"/>
        </w:numPr>
        <w:tabs>
          <w:tab w:val="num" w:pos="360"/>
        </w:tabs>
        <w:overflowPunct w:val="0"/>
        <w:autoSpaceDE w:val="0"/>
        <w:autoSpaceDN w:val="0"/>
        <w:adjustRightInd w:val="0"/>
        <w:spacing w:line="240" w:lineRule="auto"/>
        <w:ind w:left="360"/>
        <w:jc w:val="both"/>
        <w:textAlignment w:val="baseline"/>
        <w:rPr>
          <w:rFonts w:cs="Arial"/>
          <w:szCs w:val="20"/>
        </w:rPr>
      </w:pPr>
      <w:r w:rsidRPr="006431C4">
        <w:rPr>
          <w:rFonts w:cs="Arial"/>
          <w:szCs w:val="20"/>
        </w:rPr>
        <w:t>wytwórnia (otaczarka</w:t>
      </w:r>
      <w:r w:rsidRPr="006431C4">
        <w:rPr>
          <w:rFonts w:cs="Arial"/>
          <w:b/>
          <w:szCs w:val="20"/>
        </w:rPr>
        <w:t>)</w:t>
      </w:r>
      <w:r w:rsidRPr="006431C4">
        <w:rPr>
          <w:rFonts w:cs="Arial"/>
          <w:szCs w:val="20"/>
        </w:rPr>
        <w:t xml:space="preserve"> o mieszaniu cyklicznym lub ciągłym, z automatycznym komputerowym sterowaniem produkcji, do wytwarzania mieszanek mineralno-asfaltowych.</w:t>
      </w:r>
      <w:r w:rsidRPr="006431C4">
        <w:rPr>
          <w:rFonts w:cs="Arial"/>
          <w:szCs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r w:rsidRPr="006431C4">
        <w:rPr>
          <w:rFonts w:cs="Arial"/>
          <w:szCs w:val="20"/>
        </w:rPr>
        <w:br/>
        <w:t>Wytwórnia powinna być wyposażona w termometry (urządzenia pomiarowe) pozwalające na ciągłe monitorowanie temperatury poszczególnych materiałów, na różnych etapach przygotowywania materiałów, jak i na wyjściu z mieszalnika,</w:t>
      </w:r>
    </w:p>
    <w:p w14:paraId="746FA49B" w14:textId="77777777" w:rsidR="00284CBE" w:rsidRPr="006431C4" w:rsidRDefault="00284CBE" w:rsidP="00CF1E7D">
      <w:pPr>
        <w:numPr>
          <w:ilvl w:val="0"/>
          <w:numId w:val="163"/>
        </w:numPr>
        <w:tabs>
          <w:tab w:val="num" w:pos="360"/>
        </w:tabs>
        <w:overflowPunct w:val="0"/>
        <w:autoSpaceDE w:val="0"/>
        <w:autoSpaceDN w:val="0"/>
        <w:adjustRightInd w:val="0"/>
        <w:spacing w:line="240" w:lineRule="auto"/>
        <w:ind w:hanging="795"/>
        <w:jc w:val="both"/>
        <w:textAlignment w:val="baseline"/>
        <w:rPr>
          <w:rFonts w:cs="Arial"/>
          <w:szCs w:val="20"/>
        </w:rPr>
      </w:pPr>
      <w:r w:rsidRPr="006431C4">
        <w:rPr>
          <w:rFonts w:cs="Arial"/>
          <w:szCs w:val="20"/>
        </w:rPr>
        <w:t>układarka gąsienicowa, z elektronicznym sterowaniem równości układanej warstwy,</w:t>
      </w:r>
    </w:p>
    <w:p w14:paraId="7A0AB34F" w14:textId="77777777" w:rsidR="00284CBE" w:rsidRPr="006431C4" w:rsidRDefault="00284CBE" w:rsidP="00CF1E7D">
      <w:pPr>
        <w:numPr>
          <w:ilvl w:val="0"/>
          <w:numId w:val="163"/>
        </w:numPr>
        <w:tabs>
          <w:tab w:val="num" w:pos="360"/>
        </w:tabs>
        <w:overflowPunct w:val="0"/>
        <w:autoSpaceDE w:val="0"/>
        <w:autoSpaceDN w:val="0"/>
        <w:adjustRightInd w:val="0"/>
        <w:spacing w:line="240" w:lineRule="auto"/>
        <w:ind w:hanging="795"/>
        <w:jc w:val="both"/>
        <w:textAlignment w:val="baseline"/>
        <w:rPr>
          <w:rFonts w:cs="Arial"/>
          <w:szCs w:val="20"/>
        </w:rPr>
      </w:pPr>
      <w:r w:rsidRPr="006431C4">
        <w:rPr>
          <w:rFonts w:cs="Arial"/>
          <w:szCs w:val="20"/>
        </w:rPr>
        <w:t>skrapiarka,</w:t>
      </w:r>
    </w:p>
    <w:p w14:paraId="078DD836" w14:textId="77777777" w:rsidR="00284CBE" w:rsidRPr="006431C4" w:rsidRDefault="00284CBE" w:rsidP="00CF1E7D">
      <w:pPr>
        <w:numPr>
          <w:ilvl w:val="0"/>
          <w:numId w:val="163"/>
        </w:numPr>
        <w:tabs>
          <w:tab w:val="num" w:pos="360"/>
        </w:tabs>
        <w:overflowPunct w:val="0"/>
        <w:autoSpaceDE w:val="0"/>
        <w:autoSpaceDN w:val="0"/>
        <w:adjustRightInd w:val="0"/>
        <w:spacing w:line="240" w:lineRule="auto"/>
        <w:ind w:hanging="795"/>
        <w:jc w:val="both"/>
        <w:textAlignment w:val="baseline"/>
        <w:rPr>
          <w:rFonts w:cs="Arial"/>
          <w:szCs w:val="20"/>
        </w:rPr>
      </w:pPr>
      <w:r w:rsidRPr="006431C4">
        <w:rPr>
          <w:rFonts w:cs="Arial"/>
          <w:szCs w:val="20"/>
        </w:rPr>
        <w:t xml:space="preserve">walce stalowe gładkie, </w:t>
      </w:r>
    </w:p>
    <w:p w14:paraId="67AC427E" w14:textId="77777777" w:rsidR="00284CBE" w:rsidRPr="006431C4" w:rsidRDefault="00284CBE" w:rsidP="00CF1E7D">
      <w:pPr>
        <w:numPr>
          <w:ilvl w:val="0"/>
          <w:numId w:val="163"/>
        </w:numPr>
        <w:tabs>
          <w:tab w:val="num" w:pos="360"/>
        </w:tabs>
        <w:overflowPunct w:val="0"/>
        <w:autoSpaceDE w:val="0"/>
        <w:autoSpaceDN w:val="0"/>
        <w:adjustRightInd w:val="0"/>
        <w:spacing w:line="240" w:lineRule="auto"/>
        <w:ind w:hanging="795"/>
        <w:jc w:val="both"/>
        <w:textAlignment w:val="baseline"/>
        <w:rPr>
          <w:rFonts w:cs="Arial"/>
          <w:szCs w:val="20"/>
        </w:rPr>
      </w:pPr>
      <w:r w:rsidRPr="006431C4">
        <w:rPr>
          <w:rFonts w:cs="Arial"/>
          <w:szCs w:val="20"/>
        </w:rPr>
        <w:t>lekka rozsypywarka kruszywa,</w:t>
      </w:r>
    </w:p>
    <w:p w14:paraId="567FC26D" w14:textId="77777777" w:rsidR="00284CBE" w:rsidRPr="006431C4" w:rsidRDefault="00284CBE" w:rsidP="00CF1E7D">
      <w:pPr>
        <w:numPr>
          <w:ilvl w:val="0"/>
          <w:numId w:val="163"/>
        </w:numPr>
        <w:tabs>
          <w:tab w:val="num" w:pos="360"/>
        </w:tabs>
        <w:overflowPunct w:val="0"/>
        <w:autoSpaceDE w:val="0"/>
        <w:autoSpaceDN w:val="0"/>
        <w:adjustRightInd w:val="0"/>
        <w:spacing w:line="240" w:lineRule="auto"/>
        <w:ind w:hanging="795"/>
        <w:jc w:val="both"/>
        <w:textAlignment w:val="baseline"/>
        <w:rPr>
          <w:rFonts w:cs="Arial"/>
          <w:szCs w:val="20"/>
        </w:rPr>
      </w:pPr>
      <w:r w:rsidRPr="006431C4">
        <w:rPr>
          <w:rFonts w:cs="Arial"/>
          <w:szCs w:val="20"/>
        </w:rPr>
        <w:t>szczotki mechaniczne i/lub inne urządzenia czyszczące,</w:t>
      </w:r>
    </w:p>
    <w:p w14:paraId="7E52A397" w14:textId="77777777" w:rsidR="00284CBE" w:rsidRPr="006431C4" w:rsidRDefault="00284CBE" w:rsidP="00CF1E7D">
      <w:pPr>
        <w:numPr>
          <w:ilvl w:val="0"/>
          <w:numId w:val="163"/>
        </w:numPr>
        <w:tabs>
          <w:tab w:val="num" w:pos="360"/>
        </w:tabs>
        <w:overflowPunct w:val="0"/>
        <w:autoSpaceDE w:val="0"/>
        <w:autoSpaceDN w:val="0"/>
        <w:adjustRightInd w:val="0"/>
        <w:spacing w:line="240" w:lineRule="auto"/>
        <w:ind w:hanging="795"/>
        <w:jc w:val="both"/>
        <w:textAlignment w:val="baseline"/>
        <w:rPr>
          <w:rFonts w:cs="Arial"/>
          <w:szCs w:val="20"/>
        </w:rPr>
      </w:pPr>
      <w:r w:rsidRPr="006431C4">
        <w:rPr>
          <w:rFonts w:cs="Arial"/>
          <w:szCs w:val="20"/>
        </w:rPr>
        <w:t>samochody samowyładowcze z przykryciem brezentowym lub termosami,</w:t>
      </w:r>
    </w:p>
    <w:p w14:paraId="435AC972" w14:textId="77777777" w:rsidR="00284CBE" w:rsidRPr="006431C4" w:rsidRDefault="00284CBE" w:rsidP="00CF1E7D">
      <w:pPr>
        <w:numPr>
          <w:ilvl w:val="0"/>
          <w:numId w:val="163"/>
        </w:numPr>
        <w:tabs>
          <w:tab w:val="num" w:pos="360"/>
        </w:tabs>
        <w:overflowPunct w:val="0"/>
        <w:autoSpaceDE w:val="0"/>
        <w:autoSpaceDN w:val="0"/>
        <w:adjustRightInd w:val="0"/>
        <w:spacing w:line="240" w:lineRule="auto"/>
        <w:ind w:hanging="795"/>
        <w:jc w:val="both"/>
        <w:textAlignment w:val="baseline"/>
        <w:rPr>
          <w:rFonts w:cs="Arial"/>
          <w:szCs w:val="20"/>
        </w:rPr>
      </w:pPr>
      <w:r w:rsidRPr="006431C4">
        <w:rPr>
          <w:rFonts w:cs="Arial"/>
          <w:szCs w:val="20"/>
        </w:rPr>
        <w:t>sprzęt drobny.</w:t>
      </w:r>
    </w:p>
    <w:p w14:paraId="0CEF0258" w14:textId="77777777" w:rsidR="00284CBE" w:rsidRPr="006431C4" w:rsidRDefault="00284CBE" w:rsidP="00284C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49" w:name="_Toc462133147"/>
      <w:r w:rsidRPr="006431C4">
        <w:rPr>
          <w:rFonts w:cs="Arial"/>
          <w:b/>
          <w:caps/>
          <w:kern w:val="28"/>
          <w:szCs w:val="20"/>
        </w:rPr>
        <w:t>4. Transport</w:t>
      </w:r>
      <w:bookmarkEnd w:id="949"/>
    </w:p>
    <w:p w14:paraId="48399AF9"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4.1. Ogólne wymagania dotyczące transportu</w:t>
      </w:r>
    </w:p>
    <w:p w14:paraId="64FB145A"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transportu podano w SST D-M-00.00.00 „Wymagania ogólne” [1] pkt 4.</w:t>
      </w:r>
      <w:r w:rsidRPr="006431C4">
        <w:rPr>
          <w:rFonts w:cs="Arial"/>
          <w:szCs w:val="20"/>
        </w:rPr>
        <w:tab/>
      </w:r>
    </w:p>
    <w:p w14:paraId="0F48AEFE"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4.2. Transport materiałów </w:t>
      </w:r>
    </w:p>
    <w:p w14:paraId="726E082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023AF39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Kruszywa można przewozić dowolnymi środkami transportu, w warunkach zabezpieczających je przed zanieczyszczeniem, zmieszaniem z innymi materiałami i nadmiernym zawilgoceniem. </w:t>
      </w:r>
    </w:p>
    <w:p w14:paraId="2A9FCFC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4FF30306"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Środek adhezyjny, w opakowaniu producenta, może być przewożony dowolnymi środkami transportu z uwzględnieniem zaleceń producenta. Opakowanie powinno być zabezpieczone tak, aby nie uległo uszkodzeniu. </w:t>
      </w:r>
    </w:p>
    <w:p w14:paraId="38C7E614"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67D2727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w:t>
      </w:r>
      <w:r w:rsidRPr="006431C4">
        <w:rPr>
          <w:rFonts w:cs="Arial"/>
          <w:szCs w:val="20"/>
        </w:rPr>
        <w:lastRenderedPageBreak/>
        <w:t xml:space="preserve">takie środki lub specjalnych technologii produkcji i wbudowywania w obniżonej temperaturze, tj. z użyciem asfaltu spienionego. W tym zakresie należy kierować się informacjami (zaleceniami) podanymi przez producentów tych środków. </w:t>
      </w:r>
    </w:p>
    <w:p w14:paraId="0F7F34D4"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14:paraId="1E1A4F75" w14:textId="77777777" w:rsidR="00284CBE" w:rsidRPr="006431C4" w:rsidRDefault="00284CBE" w:rsidP="00284C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50" w:name="_Toc462133148"/>
      <w:r w:rsidRPr="006431C4">
        <w:rPr>
          <w:rFonts w:cs="Arial"/>
          <w:b/>
          <w:caps/>
          <w:kern w:val="28"/>
          <w:szCs w:val="20"/>
        </w:rPr>
        <w:t>5. Wykonanie robót</w:t>
      </w:r>
      <w:bookmarkEnd w:id="950"/>
    </w:p>
    <w:p w14:paraId="7266F5F2"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5.1. Ogólne zasady wykonania robót</w:t>
      </w:r>
    </w:p>
    <w:p w14:paraId="72F638D3"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wykonania robót podano w SST D-M-00.00.00 „Wymagania ogólne” [1] pkt 5.</w:t>
      </w:r>
    </w:p>
    <w:p w14:paraId="6AEEF6DA"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5.2. Projektowanie mieszanki mineralno-asfaltowej</w:t>
      </w:r>
    </w:p>
    <w:p w14:paraId="6C81014E" w14:textId="77777777" w:rsidR="00284CBE" w:rsidRPr="006431C4" w:rsidRDefault="00284CBE" w:rsidP="00284CBE">
      <w:pPr>
        <w:widowControl w:val="0"/>
        <w:overflowPunct w:val="0"/>
        <w:autoSpaceDE w:val="0"/>
        <w:autoSpaceDN w:val="0"/>
        <w:adjustRightInd w:val="0"/>
        <w:spacing w:line="240" w:lineRule="auto"/>
        <w:ind w:right="-59"/>
        <w:jc w:val="both"/>
        <w:textAlignment w:val="baseline"/>
        <w:rPr>
          <w:rFonts w:cs="Arial"/>
          <w:color w:val="000000"/>
          <w:szCs w:val="20"/>
        </w:rPr>
      </w:pPr>
      <w:r w:rsidRPr="006431C4">
        <w:rPr>
          <w:rFonts w:cs="Arial"/>
          <w:szCs w:val="20"/>
        </w:rPr>
        <w:tab/>
        <w:t>Przed przystąpieniem do robót Wykonawca dostarczy Inżynierowi do akceptacji projekt składu mieszanki mineralno-asfaltowej (AC11W, AC16W, AC22W),</w:t>
      </w:r>
      <w:r w:rsidRPr="006431C4">
        <w:rPr>
          <w:rFonts w:cs="Arial"/>
          <w:color w:val="000000"/>
          <w:szCs w:val="20"/>
        </w:rPr>
        <w:t xml:space="preserve"> wyniki badań laboratoryjnych oraz próbki materiałów pobrane w obecności Inżyniera do wykonania badań kontrolnych przez Zamawiającego.</w:t>
      </w:r>
    </w:p>
    <w:p w14:paraId="2C1BEDC5" w14:textId="77777777" w:rsidR="00284CBE" w:rsidRPr="006431C4" w:rsidRDefault="00284CBE" w:rsidP="00284CBE">
      <w:pPr>
        <w:widowControl w:val="0"/>
        <w:overflowPunct w:val="0"/>
        <w:autoSpaceDE w:val="0"/>
        <w:autoSpaceDN w:val="0"/>
        <w:adjustRightInd w:val="0"/>
        <w:spacing w:line="240" w:lineRule="auto"/>
        <w:ind w:right="-59" w:firstLine="709"/>
        <w:jc w:val="both"/>
        <w:textAlignment w:val="baseline"/>
        <w:rPr>
          <w:rFonts w:cs="Arial"/>
          <w:color w:val="000000"/>
          <w:szCs w:val="20"/>
        </w:rPr>
      </w:pPr>
      <w:r w:rsidRPr="006431C4">
        <w:rPr>
          <w:rFonts w:cs="Arial"/>
          <w:color w:val="000000"/>
          <w:szCs w:val="20"/>
        </w:rPr>
        <w:t xml:space="preserve">Projekt mieszanki mineralno-asfaltowej powinien określać: </w:t>
      </w:r>
    </w:p>
    <w:p w14:paraId="467D6FB7" w14:textId="77777777" w:rsidR="00284CBE" w:rsidRPr="006431C4" w:rsidRDefault="00284C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źródło wszystkich zastosowanych materiałów,</w:t>
      </w:r>
    </w:p>
    <w:p w14:paraId="55338E74" w14:textId="77777777" w:rsidR="00284CBE" w:rsidRPr="006431C4" w:rsidRDefault="00284C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proporcje wszystkich składników mieszanki mineralnej,</w:t>
      </w:r>
    </w:p>
    <w:p w14:paraId="35ECE337" w14:textId="77777777" w:rsidR="00284CBE" w:rsidRPr="006431C4" w:rsidRDefault="00284C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punkty graniczne uziarnienia,</w:t>
      </w:r>
    </w:p>
    <w:p w14:paraId="5BD57E1C" w14:textId="77777777" w:rsidR="00284CBE" w:rsidRPr="006431C4" w:rsidRDefault="00284C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wyniki badań przeprowadzonych w celu określenia właściwości mieszanki i porównanie ich z wymaganiami specyfikacji,</w:t>
      </w:r>
    </w:p>
    <w:p w14:paraId="2853DCCD" w14:textId="77777777" w:rsidR="00284CBE" w:rsidRPr="006431C4" w:rsidRDefault="00284C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 xml:space="preserve">wyniki badań dotyczących fizycznych właściwości kruszywa, </w:t>
      </w:r>
    </w:p>
    <w:p w14:paraId="344A7C24" w14:textId="77777777" w:rsidR="00284CBE" w:rsidRPr="006431C4" w:rsidRDefault="00284CBE" w:rsidP="00CF1E7D">
      <w:pPr>
        <w:widowControl w:val="0"/>
        <w:numPr>
          <w:ilvl w:val="0"/>
          <w:numId w:val="138"/>
        </w:numPr>
        <w:overflowPunct w:val="0"/>
        <w:autoSpaceDE w:val="0"/>
        <w:autoSpaceDN w:val="0"/>
        <w:adjustRightInd w:val="0"/>
        <w:spacing w:line="240" w:lineRule="auto"/>
        <w:ind w:right="-59"/>
        <w:jc w:val="both"/>
        <w:textAlignment w:val="baseline"/>
        <w:rPr>
          <w:rFonts w:cs="Arial"/>
          <w:color w:val="000000"/>
          <w:szCs w:val="20"/>
        </w:rPr>
      </w:pPr>
      <w:r w:rsidRPr="006431C4">
        <w:rPr>
          <w:rFonts w:cs="Arial"/>
          <w:color w:val="000000"/>
          <w:szCs w:val="20"/>
        </w:rPr>
        <w:t xml:space="preserve">temperaturę wytwarzania i układania mieszanki. </w:t>
      </w:r>
    </w:p>
    <w:p w14:paraId="2889387D" w14:textId="77777777" w:rsidR="00284CBE" w:rsidRPr="006431C4" w:rsidRDefault="00284CBE" w:rsidP="00284CBE">
      <w:pPr>
        <w:shd w:val="clear" w:color="auto" w:fill="FFFFFF"/>
        <w:overflowPunct w:val="0"/>
        <w:autoSpaceDE w:val="0"/>
        <w:autoSpaceDN w:val="0"/>
        <w:adjustRightInd w:val="0"/>
        <w:spacing w:line="240" w:lineRule="auto"/>
        <w:ind w:right="2" w:firstLine="709"/>
        <w:jc w:val="both"/>
        <w:textAlignment w:val="baseline"/>
        <w:rPr>
          <w:rFonts w:cs="Arial"/>
          <w:color w:val="000000"/>
          <w:spacing w:val="1"/>
          <w:szCs w:val="20"/>
        </w:rPr>
      </w:pPr>
      <w:r w:rsidRPr="006431C4">
        <w:rPr>
          <w:rFonts w:cs="Arial"/>
          <w:color w:val="000000"/>
          <w:spacing w:val="1"/>
          <w:szCs w:val="20"/>
        </w:rPr>
        <w:t xml:space="preserve">W zagęszczaniu próbek laboratoryjnych mieszanek mineralno-asfaltowych należy stosować następujące temperatury mieszanki w zależności stosowanego asfaltu: </w:t>
      </w:r>
    </w:p>
    <w:p w14:paraId="3348CADC" w14:textId="77777777" w:rsidR="00284CBE" w:rsidRPr="006431C4" w:rsidRDefault="00284CBE" w:rsidP="00CF1E7D">
      <w:pPr>
        <w:numPr>
          <w:ilvl w:val="0"/>
          <w:numId w:val="139"/>
        </w:numPr>
        <w:shd w:val="clear" w:color="auto" w:fill="FFFFFF"/>
        <w:tabs>
          <w:tab w:val="num" w:pos="360"/>
        </w:tabs>
        <w:overflowPunct w:val="0"/>
        <w:autoSpaceDE w:val="0"/>
        <w:autoSpaceDN w:val="0"/>
        <w:adjustRightInd w:val="0"/>
        <w:spacing w:line="240" w:lineRule="auto"/>
        <w:ind w:left="360" w:right="2" w:hanging="303"/>
        <w:jc w:val="both"/>
        <w:textAlignment w:val="baseline"/>
        <w:rPr>
          <w:rFonts w:cs="Arial"/>
          <w:color w:val="000000"/>
          <w:spacing w:val="1"/>
          <w:szCs w:val="20"/>
        </w:rPr>
      </w:pPr>
      <w:r w:rsidRPr="006431C4">
        <w:rPr>
          <w:rFonts w:cs="Arial"/>
          <w:color w:val="000000"/>
          <w:spacing w:val="1"/>
          <w:szCs w:val="20"/>
        </w:rPr>
        <w:t>35/50 i 50/70: 135°C±</w:t>
      </w:r>
      <w:smartTag w:uri="urn:schemas-microsoft-com:office:smarttags" w:element="metricconverter">
        <w:smartTagPr>
          <w:attr w:name="ProductID" w:val="5ﾰC"/>
        </w:smartTagPr>
        <w:r w:rsidRPr="006431C4">
          <w:rPr>
            <w:rFonts w:cs="Arial"/>
            <w:color w:val="000000"/>
            <w:spacing w:val="1"/>
            <w:szCs w:val="20"/>
          </w:rPr>
          <w:t>5°C</w:t>
        </w:r>
      </w:smartTag>
      <w:r w:rsidRPr="006431C4">
        <w:rPr>
          <w:rFonts w:cs="Arial"/>
          <w:color w:val="000000"/>
          <w:spacing w:val="1"/>
          <w:szCs w:val="20"/>
        </w:rPr>
        <w:t>,</w:t>
      </w:r>
    </w:p>
    <w:p w14:paraId="0A9B1D49" w14:textId="77777777" w:rsidR="00284CBE" w:rsidRPr="006431C4" w:rsidRDefault="00284CBE" w:rsidP="00CF1E7D">
      <w:pPr>
        <w:numPr>
          <w:ilvl w:val="0"/>
          <w:numId w:val="139"/>
        </w:numPr>
        <w:tabs>
          <w:tab w:val="num" w:pos="360"/>
        </w:tabs>
        <w:overflowPunct w:val="0"/>
        <w:autoSpaceDE w:val="0"/>
        <w:autoSpaceDN w:val="0"/>
        <w:adjustRightInd w:val="0"/>
        <w:spacing w:line="240" w:lineRule="auto"/>
        <w:ind w:left="360" w:hanging="303"/>
        <w:jc w:val="both"/>
        <w:textAlignment w:val="baseline"/>
        <w:rPr>
          <w:rFonts w:cs="Arial"/>
          <w:szCs w:val="20"/>
        </w:rPr>
      </w:pPr>
      <w:r w:rsidRPr="006431C4">
        <w:rPr>
          <w:rFonts w:cs="Arial"/>
          <w:szCs w:val="20"/>
        </w:rPr>
        <w:t>MG 50/70-54/64 I MG 35/50-57/69: 140</w:t>
      </w:r>
      <w:r w:rsidRPr="006431C4">
        <w:rPr>
          <w:rFonts w:cs="Arial"/>
          <w:color w:val="000000"/>
          <w:spacing w:val="1"/>
          <w:szCs w:val="20"/>
        </w:rPr>
        <w:t>°</w:t>
      </w:r>
      <w:r w:rsidRPr="006431C4">
        <w:rPr>
          <w:rFonts w:cs="Arial"/>
          <w:szCs w:val="20"/>
        </w:rPr>
        <w:t>C</w:t>
      </w:r>
      <w:r w:rsidRPr="006431C4">
        <w:rPr>
          <w:rFonts w:cs="Arial"/>
          <w:color w:val="000000"/>
          <w:spacing w:val="1"/>
          <w:szCs w:val="20"/>
        </w:rPr>
        <w:t>±</w:t>
      </w:r>
      <w:smartTag w:uri="urn:schemas-microsoft-com:office:smarttags" w:element="metricconverter">
        <w:smartTagPr>
          <w:attr w:name="ProductID" w:val="5ﾰC"/>
        </w:smartTagPr>
        <w:r w:rsidRPr="006431C4">
          <w:rPr>
            <w:rFonts w:cs="Arial"/>
            <w:color w:val="000000"/>
            <w:spacing w:val="1"/>
            <w:szCs w:val="20"/>
          </w:rPr>
          <w:t>5°C</w:t>
        </w:r>
      </w:smartTag>
      <w:r w:rsidRPr="006431C4">
        <w:rPr>
          <w:rFonts w:cs="Arial"/>
          <w:color w:val="000000"/>
          <w:spacing w:val="1"/>
          <w:szCs w:val="20"/>
        </w:rPr>
        <w:t>,</w:t>
      </w:r>
      <w:r w:rsidRPr="006431C4">
        <w:rPr>
          <w:rFonts w:cs="Arial"/>
          <w:szCs w:val="20"/>
        </w:rPr>
        <w:t xml:space="preserve"> </w:t>
      </w:r>
    </w:p>
    <w:p w14:paraId="7BBF384E" w14:textId="77777777" w:rsidR="00284CBE" w:rsidRPr="006431C4" w:rsidRDefault="00284CBE" w:rsidP="00CF1E7D">
      <w:pPr>
        <w:numPr>
          <w:ilvl w:val="0"/>
          <w:numId w:val="139"/>
        </w:numPr>
        <w:tabs>
          <w:tab w:val="num" w:pos="360"/>
        </w:tabs>
        <w:overflowPunct w:val="0"/>
        <w:autoSpaceDE w:val="0"/>
        <w:autoSpaceDN w:val="0"/>
        <w:adjustRightInd w:val="0"/>
        <w:spacing w:line="240" w:lineRule="auto"/>
        <w:ind w:left="360" w:hanging="303"/>
        <w:jc w:val="both"/>
        <w:textAlignment w:val="baseline"/>
        <w:rPr>
          <w:rFonts w:cs="Arial"/>
          <w:szCs w:val="20"/>
          <w:lang w:val="en-US"/>
        </w:rPr>
      </w:pPr>
      <w:r w:rsidRPr="006431C4">
        <w:rPr>
          <w:rFonts w:cs="Arial"/>
          <w:szCs w:val="20"/>
          <w:lang w:val="en-US"/>
        </w:rPr>
        <w:t>PMB 25/ 55-60, PMB 25/55-80: 145</w:t>
      </w:r>
      <w:r w:rsidRPr="006431C4">
        <w:rPr>
          <w:rFonts w:cs="Arial"/>
          <w:color w:val="000000"/>
          <w:spacing w:val="1"/>
          <w:szCs w:val="20"/>
          <w:lang w:val="en-US"/>
        </w:rPr>
        <w:t>°</w:t>
      </w:r>
      <w:r w:rsidRPr="006431C4">
        <w:rPr>
          <w:rFonts w:cs="Arial"/>
          <w:szCs w:val="20"/>
          <w:lang w:val="en-US"/>
        </w:rPr>
        <w:t>C</w:t>
      </w:r>
      <w:r w:rsidRPr="006431C4">
        <w:rPr>
          <w:rFonts w:cs="Arial"/>
          <w:color w:val="000000"/>
          <w:spacing w:val="1"/>
          <w:szCs w:val="20"/>
          <w:lang w:val="en-US"/>
        </w:rPr>
        <w:t>±</w:t>
      </w:r>
      <w:smartTag w:uri="urn:schemas-microsoft-com:office:smarttags" w:element="metricconverter">
        <w:smartTagPr>
          <w:attr w:name="ProductID" w:val="5ﾰC"/>
        </w:smartTagPr>
        <w:r w:rsidRPr="006431C4">
          <w:rPr>
            <w:rFonts w:cs="Arial"/>
            <w:color w:val="000000"/>
            <w:spacing w:val="1"/>
            <w:szCs w:val="20"/>
            <w:lang w:val="en-US"/>
          </w:rPr>
          <w:t>5°C</w:t>
        </w:r>
      </w:smartTag>
      <w:r w:rsidRPr="006431C4">
        <w:rPr>
          <w:rFonts w:cs="Arial"/>
          <w:color w:val="000000"/>
          <w:spacing w:val="1"/>
          <w:szCs w:val="20"/>
          <w:lang w:val="en-US"/>
        </w:rPr>
        <w:t xml:space="preserve">. </w:t>
      </w:r>
    </w:p>
    <w:p w14:paraId="71E010C7" w14:textId="77777777" w:rsidR="00284CBE" w:rsidRPr="006431C4" w:rsidRDefault="00284CBE" w:rsidP="00284CBE">
      <w:pPr>
        <w:shd w:val="clear" w:color="auto" w:fill="FFFFFF"/>
        <w:overflowPunct w:val="0"/>
        <w:autoSpaceDE w:val="0"/>
        <w:autoSpaceDN w:val="0"/>
        <w:adjustRightInd w:val="0"/>
        <w:spacing w:line="240" w:lineRule="auto"/>
        <w:ind w:right="2" w:firstLine="709"/>
        <w:jc w:val="both"/>
        <w:textAlignment w:val="baseline"/>
        <w:rPr>
          <w:rFonts w:cs="Arial"/>
          <w:color w:val="000000"/>
          <w:spacing w:val="2"/>
          <w:szCs w:val="20"/>
        </w:rPr>
      </w:pPr>
      <w:r w:rsidRPr="006431C4">
        <w:rPr>
          <w:rFonts w:cs="Arial"/>
          <w:color w:val="000000"/>
          <w:spacing w:val="1"/>
          <w:szCs w:val="20"/>
        </w:rPr>
        <w:t xml:space="preserve">Recepta powinna być zaprojektowana dla konkretnych materiałów, zaakceptowanych przez Inżyniera, do wbudowania i przy wykorzystaniu reprezentatywnych próbek tych materiałów.  </w:t>
      </w:r>
    </w:p>
    <w:p w14:paraId="3BF099A8" w14:textId="77777777" w:rsidR="00284CBE" w:rsidRPr="006431C4" w:rsidRDefault="00284CBE" w:rsidP="00284CBE">
      <w:pPr>
        <w:shd w:val="clear" w:color="auto" w:fill="FFFFFF"/>
        <w:overflowPunct w:val="0"/>
        <w:autoSpaceDE w:val="0"/>
        <w:autoSpaceDN w:val="0"/>
        <w:adjustRightInd w:val="0"/>
        <w:spacing w:line="240" w:lineRule="auto"/>
        <w:ind w:right="2" w:firstLine="709"/>
        <w:jc w:val="both"/>
        <w:textAlignment w:val="baseline"/>
        <w:rPr>
          <w:rFonts w:cs="Arial"/>
          <w:color w:val="000000"/>
          <w:spacing w:val="2"/>
          <w:szCs w:val="20"/>
        </w:rPr>
      </w:pPr>
      <w:r w:rsidRPr="006431C4">
        <w:rPr>
          <w:rFonts w:cs="Arial"/>
          <w:color w:val="000000"/>
          <w:spacing w:val="2"/>
          <w:szCs w:val="20"/>
        </w:rPr>
        <w:t>Jeżeli mieszanka mineralno-asfaltowa jest dostarczana z kilku wytwórni lub od kilku producentów, to należy zapewnić zgodność typu i wymiaru mieszanki oraz spełnienie wymaganej dokumentacji projektowej.</w:t>
      </w:r>
    </w:p>
    <w:p w14:paraId="18438326" w14:textId="77777777" w:rsidR="00284CBE" w:rsidRPr="006431C4" w:rsidRDefault="00284CBE" w:rsidP="00284CBE">
      <w:pPr>
        <w:shd w:val="clear" w:color="auto" w:fill="FFFFFF"/>
        <w:overflowPunct w:val="0"/>
        <w:autoSpaceDE w:val="0"/>
        <w:autoSpaceDN w:val="0"/>
        <w:adjustRightInd w:val="0"/>
        <w:spacing w:line="240" w:lineRule="auto"/>
        <w:ind w:right="2" w:firstLine="709"/>
        <w:jc w:val="both"/>
        <w:textAlignment w:val="baseline"/>
        <w:rPr>
          <w:rFonts w:cs="Arial"/>
          <w:color w:val="000000"/>
          <w:spacing w:val="1"/>
          <w:szCs w:val="20"/>
        </w:rPr>
      </w:pPr>
      <w:r w:rsidRPr="006431C4">
        <w:rPr>
          <w:rFonts w:cs="Arial"/>
          <w:color w:val="000000"/>
          <w:spacing w:val="2"/>
          <w:szCs w:val="20"/>
        </w:rPr>
        <w:t xml:space="preserve">Każda zmiana składników mieszanki w czasie trwania robót wymaga akceptacji Inżyniera </w:t>
      </w:r>
      <w:r w:rsidRPr="006431C4">
        <w:rPr>
          <w:rFonts w:cs="Arial"/>
          <w:color w:val="000000"/>
          <w:spacing w:val="1"/>
          <w:szCs w:val="20"/>
        </w:rPr>
        <w:t xml:space="preserve">oraz opracowania nowej recepty i jej zatwierdzenia.  </w:t>
      </w:r>
    </w:p>
    <w:p w14:paraId="710AF65C"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4C9A120B"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4DB31C1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Zaakceptowana recepta stanowi ważną podstawę produkcji.</w:t>
      </w:r>
    </w:p>
    <w:p w14:paraId="6B4A88DB"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5.3. Wytwarzanie mieszanki mineralno-asfaltowej</w:t>
      </w:r>
    </w:p>
    <w:p w14:paraId="2571313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6431C4">
        <w:rPr>
          <w:rFonts w:cs="Arial"/>
          <w:szCs w:val="20"/>
        </w:rPr>
        <w:noBreakHyphen/>
        <w:t xml:space="preserve">EN 13108-21 [55]. </w:t>
      </w:r>
    </w:p>
    <w:p w14:paraId="027A0E5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1F84965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6431C4">
          <w:rPr>
            <w:rFonts w:cs="Arial"/>
            <w:szCs w:val="20"/>
          </w:rPr>
          <w:t>5°C</w:t>
        </w:r>
      </w:smartTag>
      <w:r w:rsidRPr="006431C4">
        <w:rPr>
          <w:rFonts w:cs="Arial"/>
          <w:szCs w:val="20"/>
        </w:rPr>
        <w:t>. Temperatura lepiszcza asfaltowego w zbiorniku magazynowym (roboczym) nie może przekraczać wartości podanych w pkcie 2.2.</w:t>
      </w:r>
      <w:r w:rsidRPr="006431C4">
        <w:rPr>
          <w:rFonts w:cs="Arial"/>
          <w:szCs w:val="20"/>
        </w:rPr>
        <w:tab/>
      </w:r>
    </w:p>
    <w:p w14:paraId="3C876730" w14:textId="77777777" w:rsidR="00284CBE" w:rsidRPr="006431C4" w:rsidRDefault="00284CBE" w:rsidP="00284CBE">
      <w:pPr>
        <w:overflowPunct w:val="0"/>
        <w:autoSpaceDE w:val="0"/>
        <w:autoSpaceDN w:val="0"/>
        <w:adjustRightInd w:val="0"/>
        <w:spacing w:line="240" w:lineRule="auto"/>
        <w:ind w:firstLine="708"/>
        <w:jc w:val="both"/>
        <w:textAlignment w:val="baseline"/>
        <w:rPr>
          <w:rFonts w:cs="Arial"/>
          <w:szCs w:val="20"/>
        </w:rPr>
      </w:pPr>
      <w:r w:rsidRPr="006431C4">
        <w:rPr>
          <w:rFonts w:cs="Arial"/>
          <w:szCs w:val="20"/>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6431C4">
          <w:rPr>
            <w:rFonts w:cs="Arial"/>
            <w:szCs w:val="20"/>
          </w:rPr>
          <w:t>30°C</w:t>
        </w:r>
      </w:smartTag>
      <w:r w:rsidRPr="006431C4">
        <w:rPr>
          <w:rFonts w:cs="Arial"/>
          <w:szCs w:val="20"/>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318E6B0A"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Podana temperatura nie znajduje zastosowania do mieszanek mineralno-asfaltowych, do których jest dodawany dodatek w celu obniżenia temperatury jej wytwarzania i wbudowania lub gdy stosowane lepiszcze asfaltowe zawiera taki środek.</w:t>
      </w:r>
    </w:p>
    <w:p w14:paraId="3FAD26D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Tablica 24. Najwyższa i najniższa temperatura mieszanki AC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5"/>
        <w:gridCol w:w="3071"/>
      </w:tblGrid>
      <w:tr w:rsidR="00284CBE" w:rsidRPr="006431C4" w14:paraId="195B3E77" w14:textId="77777777" w:rsidTr="00284CBE">
        <w:tc>
          <w:tcPr>
            <w:tcW w:w="2875" w:type="dxa"/>
          </w:tcPr>
          <w:p w14:paraId="70B8CA0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Lepiszcze asfaltowe</w:t>
            </w:r>
          </w:p>
        </w:tc>
        <w:tc>
          <w:tcPr>
            <w:tcW w:w="3071" w:type="dxa"/>
          </w:tcPr>
          <w:p w14:paraId="7C2B049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Temperatura mieszanki [°C]</w:t>
            </w:r>
          </w:p>
        </w:tc>
      </w:tr>
      <w:tr w:rsidR="00284CBE" w:rsidRPr="006431C4" w14:paraId="21F98FA7" w14:textId="77777777" w:rsidTr="00284CBE">
        <w:tc>
          <w:tcPr>
            <w:tcW w:w="2875" w:type="dxa"/>
          </w:tcPr>
          <w:p w14:paraId="5C78249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Asfalt 35/50</w:t>
            </w:r>
          </w:p>
          <w:p w14:paraId="082061A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Asfalt 50/70</w:t>
            </w:r>
          </w:p>
          <w:p w14:paraId="5D4F820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PMB 25/55-60</w:t>
            </w:r>
          </w:p>
          <w:p w14:paraId="4E3D685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PMB 25/55-80</w:t>
            </w:r>
          </w:p>
          <w:p w14:paraId="24D8CB3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lastRenderedPageBreak/>
              <w:t>MG 50/70-54/64</w:t>
            </w:r>
          </w:p>
          <w:p w14:paraId="2BF8CF4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MG 35/50-57/69</w:t>
            </w:r>
          </w:p>
        </w:tc>
        <w:tc>
          <w:tcPr>
            <w:tcW w:w="3071" w:type="dxa"/>
          </w:tcPr>
          <w:p w14:paraId="0333B50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od 150 do 190</w:t>
            </w:r>
          </w:p>
          <w:p w14:paraId="71B47AC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od 140 do 180</w:t>
            </w:r>
          </w:p>
          <w:p w14:paraId="33D7D93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wg wskazań producenta</w:t>
            </w:r>
          </w:p>
          <w:p w14:paraId="7AB54CE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wg wskazań producenta</w:t>
            </w:r>
          </w:p>
          <w:p w14:paraId="1853202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wg wskazań producenta</w:t>
            </w:r>
          </w:p>
          <w:p w14:paraId="4805CF9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wg wskazań producenta</w:t>
            </w:r>
          </w:p>
        </w:tc>
      </w:tr>
    </w:tbl>
    <w:p w14:paraId="7E08AB31"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p>
    <w:p w14:paraId="2D9C797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Sposób i czas mieszania składników mieszanki mineralno-asfaltowej powinny zapewnić równomierne otoczenie kruszywa lepiszczem asfaltowym.</w:t>
      </w:r>
    </w:p>
    <w:p w14:paraId="66ED0EC4"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2F5C600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05DDAD51"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14:paraId="244EA0B1"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5.4. Przygotowanie podłoża</w:t>
      </w:r>
    </w:p>
    <w:p w14:paraId="77777CD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Podłoże (podbudowa lub stara warstwa ścieralna) pod warstwę wiążącą lub wyrównawczą  z betonu asfaltowego powinno być na całej powierzchni:</w:t>
      </w:r>
    </w:p>
    <w:p w14:paraId="3DFD3C71" w14:textId="77777777" w:rsidR="00284CBE" w:rsidRPr="006431C4" w:rsidRDefault="00284CBE" w:rsidP="00CF1E7D">
      <w:pPr>
        <w:numPr>
          <w:ilvl w:val="0"/>
          <w:numId w:val="135"/>
        </w:numPr>
        <w:overflowPunct w:val="0"/>
        <w:autoSpaceDE w:val="0"/>
        <w:autoSpaceDN w:val="0"/>
        <w:adjustRightInd w:val="0"/>
        <w:spacing w:line="240" w:lineRule="auto"/>
        <w:jc w:val="both"/>
        <w:textAlignment w:val="baseline"/>
        <w:rPr>
          <w:rFonts w:cs="Arial"/>
          <w:szCs w:val="20"/>
        </w:rPr>
      </w:pPr>
      <w:r w:rsidRPr="006431C4">
        <w:rPr>
          <w:rFonts w:cs="Arial"/>
          <w:szCs w:val="20"/>
        </w:rPr>
        <w:t>ustabilizowane i nośne,</w:t>
      </w:r>
    </w:p>
    <w:p w14:paraId="37048A1A" w14:textId="77777777" w:rsidR="00284CBE" w:rsidRPr="006431C4" w:rsidRDefault="00284CBE" w:rsidP="00CF1E7D">
      <w:pPr>
        <w:numPr>
          <w:ilvl w:val="0"/>
          <w:numId w:val="135"/>
        </w:numPr>
        <w:overflowPunct w:val="0"/>
        <w:autoSpaceDE w:val="0"/>
        <w:autoSpaceDN w:val="0"/>
        <w:adjustRightInd w:val="0"/>
        <w:spacing w:line="240" w:lineRule="auto"/>
        <w:jc w:val="both"/>
        <w:textAlignment w:val="baseline"/>
        <w:rPr>
          <w:rFonts w:cs="Arial"/>
          <w:szCs w:val="20"/>
        </w:rPr>
      </w:pPr>
      <w:r w:rsidRPr="006431C4">
        <w:rPr>
          <w:rFonts w:cs="Arial"/>
          <w:szCs w:val="20"/>
        </w:rPr>
        <w:t>czyste, bez zanieczyszczenia lub pozostałości luźnego kruszywa,</w:t>
      </w:r>
    </w:p>
    <w:p w14:paraId="4432D31F" w14:textId="77777777" w:rsidR="00284CBE" w:rsidRPr="006431C4" w:rsidRDefault="00284CBE" w:rsidP="00CF1E7D">
      <w:pPr>
        <w:numPr>
          <w:ilvl w:val="0"/>
          <w:numId w:val="135"/>
        </w:numPr>
        <w:overflowPunct w:val="0"/>
        <w:autoSpaceDE w:val="0"/>
        <w:autoSpaceDN w:val="0"/>
        <w:adjustRightInd w:val="0"/>
        <w:spacing w:line="240" w:lineRule="auto"/>
        <w:jc w:val="both"/>
        <w:textAlignment w:val="baseline"/>
        <w:rPr>
          <w:rFonts w:cs="Arial"/>
          <w:szCs w:val="20"/>
        </w:rPr>
      </w:pPr>
      <w:r w:rsidRPr="006431C4">
        <w:rPr>
          <w:rFonts w:cs="Arial"/>
          <w:szCs w:val="20"/>
        </w:rPr>
        <w:t>wyprofilowane, równe i bez kolein,</w:t>
      </w:r>
    </w:p>
    <w:p w14:paraId="6CDA37A2" w14:textId="77777777" w:rsidR="00284CBE" w:rsidRPr="006431C4" w:rsidRDefault="00284CBE" w:rsidP="00CF1E7D">
      <w:pPr>
        <w:numPr>
          <w:ilvl w:val="0"/>
          <w:numId w:val="135"/>
        </w:numPr>
        <w:overflowPunct w:val="0"/>
        <w:autoSpaceDE w:val="0"/>
        <w:autoSpaceDN w:val="0"/>
        <w:adjustRightInd w:val="0"/>
        <w:spacing w:line="240" w:lineRule="auto"/>
        <w:jc w:val="both"/>
        <w:textAlignment w:val="baseline"/>
        <w:rPr>
          <w:rFonts w:cs="Arial"/>
          <w:szCs w:val="20"/>
        </w:rPr>
      </w:pPr>
      <w:r w:rsidRPr="006431C4">
        <w:rPr>
          <w:rFonts w:cs="Arial"/>
          <w:szCs w:val="20"/>
        </w:rPr>
        <w:t>suche.</w:t>
      </w:r>
    </w:p>
    <w:p w14:paraId="0A9526DC"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Rzędne wysokościowe podłoża oraz urządzeń usytuowanych w nawierzchni lub ją ograniczających powinny być zgodne z dokumentacją projektową. Z podłoża powinien być zapewniony odpływ wody.</w:t>
      </w:r>
    </w:p>
    <w:p w14:paraId="170073B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Oznakowanie poziome na warstwie podłoża należy usunąć.</w:t>
      </w:r>
    </w:p>
    <w:p w14:paraId="0763998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Podłoże pod warstwę ścieralną powinno spełniać wymagania określone w tablicy 25. Jeżeli nierówności poprzeczne są większe aniżeli dopuszczalne, należy odpowiednio wyrównać podłoże poprzez frezowanie lub ułożenie warstwy wyrównawczej. </w:t>
      </w:r>
    </w:p>
    <w:p w14:paraId="1306BC46" w14:textId="77777777" w:rsidR="00284CBE" w:rsidRPr="006431C4" w:rsidRDefault="00284CBE" w:rsidP="00284CBE">
      <w:pPr>
        <w:spacing w:line="240" w:lineRule="auto"/>
        <w:rPr>
          <w:rFonts w:cs="Arial"/>
          <w:szCs w:val="20"/>
        </w:rPr>
      </w:pPr>
      <w:r w:rsidRPr="006431C4">
        <w:rPr>
          <w:rFonts w:cs="Arial"/>
          <w:szCs w:val="20"/>
        </w:rPr>
        <w:t xml:space="preserve">Tablica 25. Maksymalne nierówności podłoża pod warstwę wiążącą </w:t>
      </w:r>
    </w:p>
    <w:tbl>
      <w:tblPr>
        <w:tblW w:w="110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5982"/>
        <w:gridCol w:w="2976"/>
      </w:tblGrid>
      <w:tr w:rsidR="00284CBE" w:rsidRPr="006431C4" w14:paraId="1D56B778" w14:textId="77777777" w:rsidTr="00697F2D">
        <w:tc>
          <w:tcPr>
            <w:tcW w:w="2093" w:type="dxa"/>
            <w:vAlign w:val="center"/>
          </w:tcPr>
          <w:p w14:paraId="04717B30" w14:textId="77777777" w:rsidR="00284CBE" w:rsidRPr="006431C4" w:rsidRDefault="00284CBE" w:rsidP="00284CBE">
            <w:pPr>
              <w:spacing w:line="240" w:lineRule="auto"/>
              <w:jc w:val="center"/>
              <w:rPr>
                <w:rFonts w:cs="Arial"/>
                <w:szCs w:val="20"/>
              </w:rPr>
            </w:pPr>
            <w:r w:rsidRPr="006431C4">
              <w:rPr>
                <w:rFonts w:cs="Arial"/>
                <w:szCs w:val="20"/>
              </w:rPr>
              <w:t>Klasa drogi</w:t>
            </w:r>
          </w:p>
        </w:tc>
        <w:tc>
          <w:tcPr>
            <w:tcW w:w="5982" w:type="dxa"/>
            <w:vAlign w:val="center"/>
          </w:tcPr>
          <w:p w14:paraId="108F84EE" w14:textId="77777777" w:rsidR="00284CBE" w:rsidRPr="006431C4" w:rsidRDefault="00284CBE" w:rsidP="00284CBE">
            <w:pPr>
              <w:spacing w:line="240" w:lineRule="auto"/>
              <w:jc w:val="center"/>
              <w:rPr>
                <w:rFonts w:cs="Arial"/>
                <w:szCs w:val="20"/>
              </w:rPr>
            </w:pPr>
            <w:r w:rsidRPr="006431C4">
              <w:rPr>
                <w:rFonts w:cs="Arial"/>
                <w:szCs w:val="20"/>
              </w:rPr>
              <w:t>Element nawierzchni</w:t>
            </w:r>
          </w:p>
        </w:tc>
        <w:tc>
          <w:tcPr>
            <w:tcW w:w="2976" w:type="dxa"/>
            <w:vAlign w:val="center"/>
          </w:tcPr>
          <w:p w14:paraId="6CEB638B" w14:textId="77777777" w:rsidR="00284CBE" w:rsidRPr="006431C4" w:rsidRDefault="00284CBE" w:rsidP="00284CBE">
            <w:pPr>
              <w:spacing w:line="240" w:lineRule="auto"/>
              <w:jc w:val="center"/>
              <w:rPr>
                <w:rFonts w:cs="Arial"/>
                <w:szCs w:val="20"/>
              </w:rPr>
            </w:pPr>
            <w:r w:rsidRPr="006431C4">
              <w:rPr>
                <w:rFonts w:cs="Arial"/>
                <w:szCs w:val="20"/>
              </w:rPr>
              <w:t>Dopuszczalne wartości odchyleń równości podłużnej i poprzecznej pod warstwę wiążącą [mm]</w:t>
            </w:r>
          </w:p>
        </w:tc>
      </w:tr>
      <w:tr w:rsidR="00284CBE" w:rsidRPr="006431C4" w14:paraId="3C8452CA" w14:textId="77777777" w:rsidTr="00697F2D">
        <w:tc>
          <w:tcPr>
            <w:tcW w:w="2093" w:type="dxa"/>
            <w:vMerge w:val="restart"/>
          </w:tcPr>
          <w:p w14:paraId="22C946B2" w14:textId="77777777" w:rsidR="00284CBE" w:rsidRPr="006431C4" w:rsidRDefault="00284CBE" w:rsidP="00284CBE">
            <w:pPr>
              <w:spacing w:line="240" w:lineRule="auto"/>
              <w:rPr>
                <w:rFonts w:cs="Arial"/>
                <w:szCs w:val="20"/>
              </w:rPr>
            </w:pPr>
            <w:r w:rsidRPr="006431C4">
              <w:rPr>
                <w:rFonts w:cs="Arial"/>
                <w:szCs w:val="20"/>
              </w:rPr>
              <w:t>A, S, GP</w:t>
            </w:r>
          </w:p>
        </w:tc>
        <w:tc>
          <w:tcPr>
            <w:tcW w:w="5982" w:type="dxa"/>
          </w:tcPr>
          <w:p w14:paraId="1EA9D4D0" w14:textId="77777777" w:rsidR="00284CBE" w:rsidRPr="006431C4" w:rsidRDefault="00284CBE" w:rsidP="00284CBE">
            <w:pPr>
              <w:spacing w:line="240" w:lineRule="auto"/>
              <w:rPr>
                <w:rFonts w:cs="Arial"/>
                <w:szCs w:val="20"/>
              </w:rPr>
            </w:pPr>
            <w:r w:rsidRPr="006431C4">
              <w:rPr>
                <w:rFonts w:cs="Arial"/>
                <w:szCs w:val="20"/>
              </w:rPr>
              <w:t xml:space="preserve">Pasy ruchu zasadnicze, awaryjne, dodatkowe, </w:t>
            </w:r>
          </w:p>
          <w:p w14:paraId="7455E13D" w14:textId="77777777" w:rsidR="00284CBE" w:rsidRPr="006431C4" w:rsidRDefault="00284CBE" w:rsidP="00284CBE">
            <w:pPr>
              <w:spacing w:line="240" w:lineRule="auto"/>
              <w:rPr>
                <w:rFonts w:cs="Arial"/>
                <w:szCs w:val="20"/>
              </w:rPr>
            </w:pPr>
            <w:r w:rsidRPr="006431C4">
              <w:rPr>
                <w:rFonts w:cs="Arial"/>
                <w:szCs w:val="20"/>
              </w:rPr>
              <w:t xml:space="preserve">włączenia i wyłączenia, jezdnie łącznic, </w:t>
            </w:r>
          </w:p>
          <w:p w14:paraId="1DAECB69" w14:textId="77777777" w:rsidR="00284CBE" w:rsidRPr="006431C4" w:rsidRDefault="00284CBE" w:rsidP="00284CBE">
            <w:pPr>
              <w:spacing w:line="240" w:lineRule="auto"/>
              <w:rPr>
                <w:rFonts w:cs="Arial"/>
                <w:szCs w:val="20"/>
              </w:rPr>
            </w:pPr>
            <w:r w:rsidRPr="006431C4">
              <w:rPr>
                <w:rFonts w:cs="Arial"/>
                <w:szCs w:val="20"/>
              </w:rPr>
              <w:t xml:space="preserve">utwardzone pobocza </w:t>
            </w:r>
          </w:p>
        </w:tc>
        <w:tc>
          <w:tcPr>
            <w:tcW w:w="2976" w:type="dxa"/>
          </w:tcPr>
          <w:p w14:paraId="55BE4480" w14:textId="77777777" w:rsidR="00284CBE" w:rsidRPr="006431C4" w:rsidRDefault="00284CBE" w:rsidP="00284CBE">
            <w:pPr>
              <w:spacing w:line="240" w:lineRule="auto"/>
              <w:rPr>
                <w:rFonts w:cs="Arial"/>
                <w:szCs w:val="20"/>
              </w:rPr>
            </w:pPr>
          </w:p>
          <w:p w14:paraId="7F56B5A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r w:rsidR="00284CBE" w:rsidRPr="006431C4" w14:paraId="64D94313" w14:textId="77777777" w:rsidTr="00697F2D">
        <w:tc>
          <w:tcPr>
            <w:tcW w:w="2093" w:type="dxa"/>
            <w:vMerge/>
          </w:tcPr>
          <w:p w14:paraId="3B68D7FD" w14:textId="77777777" w:rsidR="00284CBE" w:rsidRPr="006431C4" w:rsidRDefault="00284CBE" w:rsidP="00284CBE">
            <w:pPr>
              <w:spacing w:line="240" w:lineRule="auto"/>
              <w:rPr>
                <w:rFonts w:cs="Arial"/>
                <w:szCs w:val="20"/>
              </w:rPr>
            </w:pPr>
          </w:p>
        </w:tc>
        <w:tc>
          <w:tcPr>
            <w:tcW w:w="5982" w:type="dxa"/>
          </w:tcPr>
          <w:p w14:paraId="4032DF20" w14:textId="77777777" w:rsidR="00284CBE" w:rsidRPr="006431C4" w:rsidRDefault="00284CBE" w:rsidP="00284CBE">
            <w:pPr>
              <w:spacing w:line="240" w:lineRule="auto"/>
              <w:rPr>
                <w:rFonts w:cs="Arial"/>
                <w:szCs w:val="20"/>
              </w:rPr>
            </w:pPr>
            <w:r w:rsidRPr="006431C4">
              <w:rPr>
                <w:rFonts w:cs="Arial"/>
                <w:szCs w:val="20"/>
              </w:rPr>
              <w:t>Jezdnie MOP</w:t>
            </w:r>
          </w:p>
        </w:tc>
        <w:tc>
          <w:tcPr>
            <w:tcW w:w="2976" w:type="dxa"/>
          </w:tcPr>
          <w:p w14:paraId="7AA69CC6" w14:textId="77777777" w:rsidR="00284CBE" w:rsidRPr="006431C4" w:rsidRDefault="00284CBE" w:rsidP="00284CBE">
            <w:pPr>
              <w:spacing w:line="240" w:lineRule="auto"/>
              <w:jc w:val="center"/>
              <w:rPr>
                <w:rFonts w:cs="Arial"/>
                <w:szCs w:val="20"/>
              </w:rPr>
            </w:pPr>
            <w:r w:rsidRPr="006431C4">
              <w:rPr>
                <w:rFonts w:cs="Arial"/>
                <w:szCs w:val="20"/>
              </w:rPr>
              <w:t>12</w:t>
            </w:r>
          </w:p>
        </w:tc>
      </w:tr>
      <w:tr w:rsidR="00284CBE" w:rsidRPr="006431C4" w14:paraId="5623EE2A" w14:textId="77777777" w:rsidTr="00697F2D">
        <w:tc>
          <w:tcPr>
            <w:tcW w:w="2093" w:type="dxa"/>
          </w:tcPr>
          <w:p w14:paraId="7DEF2683" w14:textId="77777777" w:rsidR="00284CBE" w:rsidRPr="006431C4" w:rsidRDefault="00284CBE" w:rsidP="00284CBE">
            <w:pPr>
              <w:spacing w:line="240" w:lineRule="auto"/>
              <w:rPr>
                <w:rFonts w:cs="Arial"/>
                <w:szCs w:val="20"/>
              </w:rPr>
            </w:pPr>
            <w:r w:rsidRPr="006431C4">
              <w:rPr>
                <w:rFonts w:cs="Arial"/>
                <w:szCs w:val="20"/>
              </w:rPr>
              <w:t>G, Z</w:t>
            </w:r>
          </w:p>
        </w:tc>
        <w:tc>
          <w:tcPr>
            <w:tcW w:w="5982" w:type="dxa"/>
          </w:tcPr>
          <w:p w14:paraId="5AA55E08" w14:textId="77777777" w:rsidR="00284CBE" w:rsidRPr="006431C4" w:rsidRDefault="00284CBE" w:rsidP="00284CBE">
            <w:pPr>
              <w:spacing w:line="240" w:lineRule="auto"/>
              <w:rPr>
                <w:rFonts w:cs="Arial"/>
                <w:szCs w:val="20"/>
              </w:rPr>
            </w:pPr>
            <w:r w:rsidRPr="006431C4">
              <w:rPr>
                <w:rFonts w:cs="Arial"/>
                <w:szCs w:val="20"/>
              </w:rPr>
              <w:t xml:space="preserve">Pasy ruchu zasadnicze, </w:t>
            </w:r>
          </w:p>
          <w:p w14:paraId="15154F39" w14:textId="77777777" w:rsidR="00284CBE" w:rsidRPr="006431C4" w:rsidRDefault="00284CBE" w:rsidP="00284CBE">
            <w:pPr>
              <w:spacing w:line="240" w:lineRule="auto"/>
              <w:rPr>
                <w:rFonts w:cs="Arial"/>
                <w:szCs w:val="20"/>
              </w:rPr>
            </w:pPr>
            <w:r w:rsidRPr="006431C4">
              <w:rPr>
                <w:rFonts w:cs="Arial"/>
                <w:szCs w:val="20"/>
              </w:rPr>
              <w:t xml:space="preserve">dodatkowe, włączenia </w:t>
            </w:r>
          </w:p>
          <w:p w14:paraId="6D8CE9EA" w14:textId="77777777" w:rsidR="00284CBE" w:rsidRPr="006431C4" w:rsidRDefault="00284CBE" w:rsidP="00284CBE">
            <w:pPr>
              <w:spacing w:line="240" w:lineRule="auto"/>
              <w:rPr>
                <w:rFonts w:cs="Arial"/>
                <w:szCs w:val="20"/>
              </w:rPr>
            </w:pPr>
            <w:r w:rsidRPr="006431C4">
              <w:rPr>
                <w:rFonts w:cs="Arial"/>
                <w:szCs w:val="20"/>
              </w:rPr>
              <w:t xml:space="preserve">i wyłączenia, postojowe, </w:t>
            </w:r>
          </w:p>
          <w:p w14:paraId="51F6964A" w14:textId="77777777" w:rsidR="00284CBE" w:rsidRPr="006431C4" w:rsidRDefault="00284CBE" w:rsidP="00284CBE">
            <w:pPr>
              <w:spacing w:line="240" w:lineRule="auto"/>
              <w:rPr>
                <w:rFonts w:cs="Arial"/>
                <w:szCs w:val="20"/>
              </w:rPr>
            </w:pPr>
            <w:r w:rsidRPr="006431C4">
              <w:rPr>
                <w:rFonts w:cs="Arial"/>
                <w:szCs w:val="20"/>
              </w:rPr>
              <w:t xml:space="preserve">utwardzone pobocza </w:t>
            </w:r>
          </w:p>
          <w:p w14:paraId="7BF07E74" w14:textId="77777777" w:rsidR="00284CBE" w:rsidRPr="006431C4" w:rsidRDefault="00284CBE" w:rsidP="00284CBE">
            <w:pPr>
              <w:spacing w:line="240" w:lineRule="auto"/>
              <w:rPr>
                <w:rFonts w:cs="Arial"/>
                <w:szCs w:val="20"/>
              </w:rPr>
            </w:pPr>
          </w:p>
        </w:tc>
        <w:tc>
          <w:tcPr>
            <w:tcW w:w="2976" w:type="dxa"/>
          </w:tcPr>
          <w:p w14:paraId="543025B8" w14:textId="77777777" w:rsidR="00284CBE" w:rsidRPr="006431C4" w:rsidRDefault="00284CBE" w:rsidP="00284CBE">
            <w:pPr>
              <w:spacing w:line="240" w:lineRule="auto"/>
              <w:jc w:val="center"/>
              <w:rPr>
                <w:rFonts w:cs="Arial"/>
                <w:szCs w:val="20"/>
              </w:rPr>
            </w:pPr>
            <w:r w:rsidRPr="006431C4">
              <w:rPr>
                <w:rFonts w:cs="Arial"/>
                <w:szCs w:val="20"/>
              </w:rPr>
              <w:t>12</w:t>
            </w:r>
          </w:p>
        </w:tc>
      </w:tr>
      <w:tr w:rsidR="00284CBE" w:rsidRPr="006431C4" w14:paraId="10515302" w14:textId="77777777" w:rsidTr="00697F2D">
        <w:tc>
          <w:tcPr>
            <w:tcW w:w="2093" w:type="dxa"/>
          </w:tcPr>
          <w:p w14:paraId="3B74B7CC" w14:textId="77777777" w:rsidR="00284CBE" w:rsidRPr="006431C4" w:rsidRDefault="00284CBE" w:rsidP="00284CBE">
            <w:pPr>
              <w:spacing w:line="240" w:lineRule="auto"/>
              <w:rPr>
                <w:rFonts w:cs="Arial"/>
                <w:szCs w:val="20"/>
              </w:rPr>
            </w:pPr>
            <w:r w:rsidRPr="006431C4">
              <w:rPr>
                <w:rFonts w:cs="Arial"/>
                <w:szCs w:val="20"/>
              </w:rPr>
              <w:t>L, D, place, parkingi</w:t>
            </w:r>
          </w:p>
        </w:tc>
        <w:tc>
          <w:tcPr>
            <w:tcW w:w="5982" w:type="dxa"/>
          </w:tcPr>
          <w:p w14:paraId="07BBCE3A" w14:textId="77777777" w:rsidR="00284CBE" w:rsidRPr="006431C4" w:rsidRDefault="00284CBE" w:rsidP="00284CBE">
            <w:pPr>
              <w:spacing w:line="240" w:lineRule="auto"/>
              <w:rPr>
                <w:rFonts w:cs="Arial"/>
                <w:szCs w:val="20"/>
              </w:rPr>
            </w:pPr>
            <w:r w:rsidRPr="006431C4">
              <w:rPr>
                <w:rFonts w:cs="Arial"/>
                <w:szCs w:val="20"/>
              </w:rPr>
              <w:t xml:space="preserve">Wszystkie pasy ruchu </w:t>
            </w:r>
          </w:p>
          <w:p w14:paraId="4AE334A0" w14:textId="77777777" w:rsidR="00284CBE" w:rsidRPr="006431C4" w:rsidRDefault="00284CBE" w:rsidP="00284CBE">
            <w:pPr>
              <w:spacing w:line="240" w:lineRule="auto"/>
              <w:rPr>
                <w:rFonts w:cs="Arial"/>
                <w:szCs w:val="20"/>
              </w:rPr>
            </w:pPr>
            <w:r w:rsidRPr="006431C4">
              <w:rPr>
                <w:rFonts w:cs="Arial"/>
                <w:szCs w:val="20"/>
              </w:rPr>
              <w:t xml:space="preserve">i powierzchnie </w:t>
            </w:r>
          </w:p>
          <w:p w14:paraId="0966C8C0" w14:textId="77777777" w:rsidR="00284CBE" w:rsidRPr="006431C4" w:rsidRDefault="00284CBE" w:rsidP="00284CBE">
            <w:pPr>
              <w:spacing w:line="240" w:lineRule="auto"/>
              <w:rPr>
                <w:rFonts w:cs="Arial"/>
                <w:szCs w:val="20"/>
              </w:rPr>
            </w:pPr>
            <w:r w:rsidRPr="006431C4">
              <w:rPr>
                <w:rFonts w:cs="Arial"/>
                <w:szCs w:val="20"/>
              </w:rPr>
              <w:t xml:space="preserve">przeznaczone do ruchu </w:t>
            </w:r>
          </w:p>
          <w:p w14:paraId="4730336F" w14:textId="77777777" w:rsidR="00284CBE" w:rsidRPr="006431C4" w:rsidRDefault="00284CBE" w:rsidP="00284CBE">
            <w:pPr>
              <w:spacing w:line="240" w:lineRule="auto"/>
              <w:rPr>
                <w:rFonts w:cs="Arial"/>
                <w:szCs w:val="20"/>
              </w:rPr>
            </w:pPr>
            <w:r w:rsidRPr="006431C4">
              <w:rPr>
                <w:rFonts w:cs="Arial"/>
                <w:szCs w:val="20"/>
              </w:rPr>
              <w:t xml:space="preserve">i postoju pojazdów </w:t>
            </w:r>
          </w:p>
          <w:p w14:paraId="1F320051" w14:textId="77777777" w:rsidR="00284CBE" w:rsidRPr="006431C4" w:rsidRDefault="00284CBE" w:rsidP="00284CBE">
            <w:pPr>
              <w:spacing w:line="240" w:lineRule="auto"/>
              <w:rPr>
                <w:rFonts w:cs="Arial"/>
                <w:szCs w:val="20"/>
              </w:rPr>
            </w:pPr>
          </w:p>
        </w:tc>
        <w:tc>
          <w:tcPr>
            <w:tcW w:w="2976" w:type="dxa"/>
          </w:tcPr>
          <w:p w14:paraId="5C42F8D8" w14:textId="77777777" w:rsidR="00284CBE" w:rsidRPr="006431C4" w:rsidRDefault="00284CBE" w:rsidP="00284CBE">
            <w:pPr>
              <w:spacing w:line="240" w:lineRule="auto"/>
              <w:jc w:val="center"/>
              <w:rPr>
                <w:rFonts w:cs="Arial"/>
                <w:szCs w:val="20"/>
              </w:rPr>
            </w:pPr>
            <w:r w:rsidRPr="006431C4">
              <w:rPr>
                <w:rFonts w:cs="Arial"/>
                <w:szCs w:val="20"/>
              </w:rPr>
              <w:t>15</w:t>
            </w:r>
          </w:p>
        </w:tc>
      </w:tr>
    </w:tbl>
    <w:p w14:paraId="1AEA33B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Nierówności podłoża (w tym powierzchnię istniejącej warstwy wiążącej) należy wyrównać poprzez frezowanie lub wykonanie warstwy wyrównawczej.</w:t>
      </w:r>
    </w:p>
    <w:p w14:paraId="25CED1F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Wykonane w podłożu łaty z materiału o mniejszej sztywności (np. łaty z asfaltu lanego w betonie asfaltowym) należy usunąć, a powstałe w ten sposób ubytki wypełnić materiałem o właściwościach zbliżonych do materiału podstawowego.</w:t>
      </w:r>
    </w:p>
    <w:p w14:paraId="0A59CC7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 celu polepszenia połączenia między warstwami technologicznymi nawierzchni powierzchnia podłoża powinna być w ocenie wizualnej chropowata.</w:t>
      </w:r>
    </w:p>
    <w:p w14:paraId="3204F17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Szerokie szczeliny w podłożu należy wypełnić odpowiednim materiałem, np. zalewami drogowymi według PN-EN 14188-1 [67] lub PN-EN 14188-2 [68] albo innymi materiałami według norm lub aprobat technicznych.</w:t>
      </w:r>
    </w:p>
    <w:p w14:paraId="02B0BAC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50FA1585"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Przygotowanie podłoża do skropienia emulsją należy wykonać zgodnie z SST D-04.03.01a [2].</w:t>
      </w:r>
    </w:p>
    <w:p w14:paraId="2518761F"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5.5. Próba technologiczna</w:t>
      </w:r>
    </w:p>
    <w:p w14:paraId="367855D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Wykonawca przed przystąpieniem do produkcji mieszanki jest zobowiązany do przeprowadzenia w obecności Inżyniera próby technologicznej, która ma na celu sprawdzenie zgodności właściwości wyprodukowanej mieszanki z receptą. W tym </w:t>
      </w:r>
      <w:r w:rsidRPr="006431C4">
        <w:rPr>
          <w:rFonts w:cs="Arial"/>
          <w:szCs w:val="20"/>
        </w:rPr>
        <w:lastRenderedPageBreak/>
        <w:t xml:space="preserve">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4181ACA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Nie dopuszcza się oceniania dokładności pracy otaczarki oraz prawidłowości składu mieszanki mineralnej na podstawie tzw. suchego zarobu, z uwagi na możliwą segregację kruszywa.</w:t>
      </w:r>
    </w:p>
    <w:p w14:paraId="26C9B8E5"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próby technologicznej Wykonawca użyje takich materiałów, jakie będą stosowane do wykonania właściwej mieszanki mineralno-asfaltowej. </w:t>
      </w:r>
    </w:p>
    <w:p w14:paraId="23C6F971"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235C2C22"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2215E42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Mieszankę wyprodukowaną po ustabilizowaniu się pracy otaczarki należy zgromadzić w silosie lub załadować na samochód. Próbki do badań należy pobierać ze skrzyni samochodu zgodnie z metodą określoną w PN-EN 12697-27 [44].</w:t>
      </w:r>
    </w:p>
    <w:p w14:paraId="3CDE70C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Na podstawie uzyskanych wyników Inżynier podejmuje decyzję o wykonaniu odcinka próbnego.</w:t>
      </w:r>
    </w:p>
    <w:p w14:paraId="3C9A5100"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5.6. Odcinek próbny</w:t>
      </w:r>
    </w:p>
    <w:p w14:paraId="07222F64"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[44]. </w:t>
      </w:r>
    </w:p>
    <w:p w14:paraId="4580C042"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przypadku braku innych uzgodnień z Inżynierem, Wykonawca powinien wykonać odcinek próbny co najmniej na trzy dni przed rozpoczęciem robót, w celu:</w:t>
      </w:r>
    </w:p>
    <w:p w14:paraId="775C6EE7" w14:textId="77777777" w:rsidR="00284CBE" w:rsidRPr="006431C4" w:rsidRDefault="00284CBE" w:rsidP="00CF1E7D">
      <w:pPr>
        <w:numPr>
          <w:ilvl w:val="0"/>
          <w:numId w:val="141"/>
        </w:numPr>
        <w:overflowPunct w:val="0"/>
        <w:autoSpaceDE w:val="0"/>
        <w:autoSpaceDN w:val="0"/>
        <w:adjustRightInd w:val="0"/>
        <w:spacing w:line="240" w:lineRule="auto"/>
        <w:contextualSpacing/>
        <w:jc w:val="both"/>
        <w:textAlignment w:val="baseline"/>
        <w:rPr>
          <w:rFonts w:cs="Arial"/>
          <w:szCs w:val="20"/>
        </w:rPr>
      </w:pPr>
      <w:r w:rsidRPr="006431C4">
        <w:rPr>
          <w:rFonts w:cs="Arial"/>
          <w:szCs w:val="20"/>
        </w:rPr>
        <w:t>sprawdzenia czy użyty sprzęt jest właściwy,</w:t>
      </w:r>
    </w:p>
    <w:p w14:paraId="30178656" w14:textId="77777777" w:rsidR="00284CBE" w:rsidRPr="006431C4" w:rsidRDefault="00284CBE" w:rsidP="00CF1E7D">
      <w:pPr>
        <w:numPr>
          <w:ilvl w:val="0"/>
          <w:numId w:val="141"/>
        </w:numPr>
        <w:overflowPunct w:val="0"/>
        <w:autoSpaceDE w:val="0"/>
        <w:autoSpaceDN w:val="0"/>
        <w:adjustRightInd w:val="0"/>
        <w:spacing w:line="240" w:lineRule="auto"/>
        <w:contextualSpacing/>
        <w:jc w:val="both"/>
        <w:textAlignment w:val="baseline"/>
        <w:rPr>
          <w:rFonts w:cs="Arial"/>
          <w:szCs w:val="20"/>
        </w:rPr>
      </w:pPr>
      <w:r w:rsidRPr="006431C4">
        <w:rPr>
          <w:rFonts w:cs="Arial"/>
          <w:szCs w:val="20"/>
        </w:rPr>
        <w:t>określenia grubości warstwy mieszanki mineralno-asfaltowej przed zagęszczeniem, koniecznej do uzyskania wymaganej w kontrakcie grubości warstwy,</w:t>
      </w:r>
    </w:p>
    <w:p w14:paraId="118952CF" w14:textId="77777777" w:rsidR="00284CBE" w:rsidRPr="006431C4" w:rsidRDefault="00284CBE" w:rsidP="00CF1E7D">
      <w:pPr>
        <w:numPr>
          <w:ilvl w:val="0"/>
          <w:numId w:val="141"/>
        </w:numPr>
        <w:overflowPunct w:val="0"/>
        <w:autoSpaceDE w:val="0"/>
        <w:autoSpaceDN w:val="0"/>
        <w:adjustRightInd w:val="0"/>
        <w:spacing w:line="240" w:lineRule="auto"/>
        <w:contextualSpacing/>
        <w:jc w:val="both"/>
        <w:textAlignment w:val="baseline"/>
        <w:rPr>
          <w:rFonts w:cs="Arial"/>
          <w:szCs w:val="20"/>
        </w:rPr>
      </w:pPr>
      <w:r w:rsidRPr="006431C4">
        <w:rPr>
          <w:rFonts w:cs="Arial"/>
          <w:szCs w:val="20"/>
        </w:rPr>
        <w:t>określenia potrzebnej liczby przejść walców dla uzyskania prawidłowego zagęszczenia warstwy.</w:t>
      </w:r>
    </w:p>
    <w:p w14:paraId="5C3A8033"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takiej próby Wykonawca powinien użyć takich materiałów oraz sprzętu, jaki stosowany będzie do wykonania warstwy nawierzchni. </w:t>
      </w:r>
    </w:p>
    <w:p w14:paraId="4B551CC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6431C4">
          <w:rPr>
            <w:rFonts w:cs="Arial"/>
            <w:szCs w:val="20"/>
          </w:rPr>
          <w:t>500 m</w:t>
        </w:r>
        <w:r w:rsidRPr="006431C4">
          <w:rPr>
            <w:rFonts w:cs="Arial"/>
            <w:szCs w:val="20"/>
            <w:vertAlign w:val="superscript"/>
          </w:rPr>
          <w:t>2</w:t>
        </w:r>
      </w:smartTag>
      <w:r w:rsidRPr="006431C4">
        <w:rPr>
          <w:rFonts w:cs="Arial"/>
          <w:szCs w:val="20"/>
        </w:rPr>
        <w:t xml:space="preserve">, a długość co najmniej </w:t>
      </w:r>
      <w:smartTag w:uri="urn:schemas-microsoft-com:office:smarttags" w:element="metricconverter">
        <w:smartTagPr>
          <w:attr w:name="ProductID" w:val="50 m"/>
        </w:smartTagPr>
        <w:r w:rsidRPr="006431C4">
          <w:rPr>
            <w:rFonts w:cs="Arial"/>
            <w:szCs w:val="20"/>
          </w:rPr>
          <w:t>50 m</w:t>
        </w:r>
      </w:smartTag>
      <w:r w:rsidRPr="006431C4">
        <w:rPr>
          <w:rFonts w:cs="Arial"/>
          <w:szCs w:val="20"/>
        </w:rPr>
        <w:t xml:space="preserve"> i powinny być tak dobrane, aby na jego podstawie możliwa była ocena prawidłowości wbudowania i zagęszczenia mieszanki mineralno-asfaltowej.</w:t>
      </w:r>
    </w:p>
    <w:p w14:paraId="1B3E3951"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Grubość układanej warstwy powinna być zgodna z grubością podaną w dokumentacji projektowej. Ilość  próbek (rdzeni) pobrana z odcinka próbnego powinna być uzgodniona z Inżynierem i oceniona pod względem zgodności z </w:t>
      </w:r>
      <w:r w:rsidRPr="006431C4">
        <w:rPr>
          <w:rFonts w:cs="Arial"/>
          <w:szCs w:val="20"/>
          <w:shd w:val="clear" w:color="auto" w:fill="FFFFFF"/>
        </w:rPr>
        <w:t>wy</w:t>
      </w:r>
      <w:r w:rsidRPr="006431C4">
        <w:rPr>
          <w:rFonts w:cs="Arial"/>
          <w:szCs w:val="20"/>
        </w:rPr>
        <w:t xml:space="preserve">maganiami niniejszej specyfikacji. Należy pobrać minimum w dwóch przekrojach poprzecznych po dwie próbki (rdzenie). </w:t>
      </w:r>
    </w:p>
    <w:p w14:paraId="3D299A4A"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Dopuszcza się, aby za zgodą Inżyniera, odcinek próbny zlokalizowany był w ciągu zasadniczych prac nawierzchniowych objętych danym kontraktem.</w:t>
      </w:r>
    </w:p>
    <w:p w14:paraId="0010D5C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Wykonawca może przystąpić do realizacji robót po zaakceptowaniu przez Inżyniera technologii wbudowania oraz wyników z odcinka próbnego.</w:t>
      </w:r>
    </w:p>
    <w:p w14:paraId="20E55B41"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5.7. Połączenie międzywarstwowe</w:t>
      </w:r>
    </w:p>
    <w:p w14:paraId="19EA960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Uzyskanie wymaganej trwałości nawierzchni jest uzależnione od zapewnienia połączenia między warstwami i ich współpracy w przenoszeniu obciążenia nawierzchni ruchem.</w:t>
      </w:r>
    </w:p>
    <w:p w14:paraId="578B0BC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Podłoże powinno być skropione lepiszczem. Ma to na celu zwiększenie połączenia między warstwami konstrukcyjnymi oraz zabezpieczenie przed wnikaniem i zaleganiem wody między warstwami.</w:t>
      </w:r>
    </w:p>
    <w:p w14:paraId="0C4F745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Warunki wykonania połączenia międzywarstwowego oraz kontrola wykonania skropienia zostały przedstawione w SST D-04.03.01a [2].</w:t>
      </w:r>
    </w:p>
    <w:p w14:paraId="5F2FC78F"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5.8. Wbudowanie mieszanki mineralno-asfaltowej</w:t>
      </w:r>
    </w:p>
    <w:p w14:paraId="4707A67F"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Przy doborze rodzaju mieszanki mineralno-asfaltowej do układu warstw konstrukcyjnych należy zachować zasadę mówiącą, że grubość warstwy musi być co najmniej dwuipółkrotnie większa od wymiaru D kruszywa danej mieszanki (h ≥ 2,5xD).</w:t>
      </w:r>
    </w:p>
    <w:p w14:paraId="0B8B1F0C" w14:textId="77777777" w:rsidR="00284CBE" w:rsidRPr="006431C4" w:rsidRDefault="00284CBE" w:rsidP="00284CBE">
      <w:pPr>
        <w:spacing w:line="240" w:lineRule="auto"/>
        <w:ind w:firstLine="709"/>
        <w:jc w:val="both"/>
        <w:rPr>
          <w:rFonts w:cs="Arial"/>
          <w:szCs w:val="20"/>
        </w:rPr>
      </w:pPr>
      <w:r w:rsidRPr="006431C4">
        <w:rPr>
          <w:rFonts w:cs="Arial"/>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7332B8B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Mieszankę mineralno-asfaltową można wbudowywać na podłożu przygotowanym zgodnie z zapisami w punktach 5.4 i 5.7. </w:t>
      </w:r>
    </w:p>
    <w:p w14:paraId="7BE54EDF"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Temperatura podłoża pod rozkładaną warstwę nie może być niższa niż  +5°C.</w:t>
      </w:r>
    </w:p>
    <w:p w14:paraId="270FADB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Transport mieszanki mineralno-asfaltowej asfaltowej powinien być zgodny z zaleceniami podanymi w punkcie 4.2.</w:t>
      </w:r>
    </w:p>
    <w:p w14:paraId="1F88CE5B" w14:textId="77777777" w:rsidR="00284CBE" w:rsidRPr="006431C4" w:rsidRDefault="00284CBE" w:rsidP="00284CBE">
      <w:pPr>
        <w:spacing w:line="240" w:lineRule="auto"/>
        <w:ind w:firstLine="709"/>
        <w:jc w:val="both"/>
        <w:rPr>
          <w:rFonts w:cs="Arial"/>
          <w:szCs w:val="20"/>
        </w:rPr>
      </w:pPr>
      <w:r w:rsidRPr="006431C4">
        <w:rPr>
          <w:rFonts w:cs="Arial"/>
          <w:szCs w:val="20"/>
        </w:rPr>
        <w:t xml:space="preserve">Prace związane z wbudowaniem mieszanki mineralno-asfaltowej należy tak </w:t>
      </w:r>
      <w:proofErr w:type="spellStart"/>
      <w:r w:rsidRPr="006431C4">
        <w:rPr>
          <w:rFonts w:cs="Arial"/>
          <w:szCs w:val="20"/>
        </w:rPr>
        <w:t>aaplanować</w:t>
      </w:r>
      <w:proofErr w:type="spellEnd"/>
      <w:r w:rsidRPr="006431C4">
        <w:rPr>
          <w:rFonts w:cs="Arial"/>
          <w:szCs w:val="20"/>
        </w:rPr>
        <w:t xml:space="preserve">, aby: </w:t>
      </w:r>
    </w:p>
    <w:p w14:paraId="5E61305B" w14:textId="77777777" w:rsidR="00284CBE" w:rsidRPr="006431C4" w:rsidRDefault="00284CBE" w:rsidP="00CF1E7D">
      <w:pPr>
        <w:numPr>
          <w:ilvl w:val="0"/>
          <w:numId w:val="173"/>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5188EED8" w14:textId="77777777" w:rsidR="00284CBE" w:rsidRPr="006431C4" w:rsidRDefault="00284CBE" w:rsidP="00CF1E7D">
      <w:pPr>
        <w:numPr>
          <w:ilvl w:val="0"/>
          <w:numId w:val="173"/>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 xml:space="preserve">dzienne działki robocze (tj. odcinki nawierzchni na których mieszanka mineralno-asfaltowa jest wbudowywana jednego dnia) powinny być możliwie jak najdłuższe min. 200 m, </w:t>
      </w:r>
    </w:p>
    <w:p w14:paraId="0D3FC1DE" w14:textId="77777777" w:rsidR="00284CBE" w:rsidRPr="006431C4" w:rsidRDefault="00284CBE" w:rsidP="00CF1E7D">
      <w:pPr>
        <w:numPr>
          <w:ilvl w:val="0"/>
          <w:numId w:val="173"/>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lastRenderedPageBreak/>
        <w:t xml:space="preserve">organizacja dostaw mieszanki powinna zapewnić pracę rozkładarki bez zatrzymań. </w:t>
      </w:r>
    </w:p>
    <w:p w14:paraId="61FD1C9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Mieszankę mineralno-asfaltową asfaltową należy wbudowywać w odpowiednich warunkach atmosferycznych. Nie wolno wbudowywać betonu asfaltowego, gdy na podłożu tworzy się zamknięty film wodny.</w:t>
      </w:r>
    </w:p>
    <w:p w14:paraId="463FB15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Temperatura otoczenia w ciągu doby nie powinna być niższa od temperatury podanej w tablicy 26. Temperatura otoczenia może być niższa w wypadku stosowania ogrzewania podłoża i obramowania (np. promienniki podczerwieni, urządzenia mikrofalowe). </w:t>
      </w:r>
      <w:r w:rsidRPr="006431C4">
        <w:rPr>
          <w:rFonts w:cs="Arial"/>
          <w:color w:val="000000"/>
          <w:szCs w:val="20"/>
        </w:rPr>
        <w:t xml:space="preserve">Temperatura powietrza powinna być mierzona co najmniej 3 razy dziennie: przed przystąpieniem do robót oraz podczas ich wykonywania w okresach równomiernie rozłożonych w planowanym czasie realizacji dziennej działki roboczej. </w:t>
      </w:r>
      <w:r w:rsidRPr="006431C4">
        <w:rPr>
          <w:rFonts w:cs="Arial"/>
          <w:szCs w:val="20"/>
        </w:rPr>
        <w:t>Nie dopuszcza się układania mieszanki mineralno-asfaltowej asfaltowej podczas silnego wiatru (V &gt; 16 m/s).</w:t>
      </w:r>
    </w:p>
    <w:p w14:paraId="14842011"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14:paraId="2BCEF98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 wypadku stosowania mieszanek mineralno-asfaltowych z dodatkiem obniżającym temperaturę mieszania i wbudowania, należy indywidualnie określić wymagane warunki otoczenia.</w:t>
      </w:r>
    </w:p>
    <w:p w14:paraId="3E468EB9" w14:textId="77777777" w:rsidR="00284CBE" w:rsidRPr="006431C4" w:rsidRDefault="00284CBE" w:rsidP="00284CBE">
      <w:pPr>
        <w:tabs>
          <w:tab w:val="left" w:pos="1320"/>
        </w:tabs>
        <w:overflowPunct w:val="0"/>
        <w:autoSpaceDE w:val="0"/>
        <w:autoSpaceDN w:val="0"/>
        <w:adjustRightInd w:val="0"/>
        <w:spacing w:line="240" w:lineRule="auto"/>
        <w:ind w:left="1320" w:hanging="1320"/>
        <w:jc w:val="both"/>
        <w:textAlignment w:val="baseline"/>
        <w:rPr>
          <w:rFonts w:cs="Arial"/>
          <w:szCs w:val="20"/>
        </w:rPr>
      </w:pPr>
      <w:r w:rsidRPr="006431C4">
        <w:rPr>
          <w:rFonts w:cs="Arial"/>
          <w:szCs w:val="20"/>
        </w:rPr>
        <w:t>Tablica 26. Minimalna temperatura otoczenia na wysokości 2 m podczas wykonywania warstwy wiążącej lub wyrównawczej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4284"/>
      </w:tblGrid>
      <w:tr w:rsidR="00284CBE" w:rsidRPr="006431C4" w14:paraId="7F575556" w14:textId="77777777" w:rsidTr="00284CBE">
        <w:trPr>
          <w:trHeight w:val="473"/>
        </w:trPr>
        <w:tc>
          <w:tcPr>
            <w:tcW w:w="3227" w:type="dxa"/>
            <w:vAlign w:val="center"/>
          </w:tcPr>
          <w:p w14:paraId="33DE264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Rodzaj robót</w:t>
            </w:r>
          </w:p>
        </w:tc>
        <w:tc>
          <w:tcPr>
            <w:tcW w:w="4284" w:type="dxa"/>
            <w:vAlign w:val="center"/>
          </w:tcPr>
          <w:p w14:paraId="6C6F27D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Minimalna temperatura otoczenia, °C</w:t>
            </w:r>
          </w:p>
        </w:tc>
      </w:tr>
      <w:tr w:rsidR="00284CBE" w:rsidRPr="006431C4" w14:paraId="038FF973" w14:textId="77777777" w:rsidTr="00284CBE">
        <w:tc>
          <w:tcPr>
            <w:tcW w:w="3227" w:type="dxa"/>
          </w:tcPr>
          <w:p w14:paraId="5471D15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Warstwa wiążąca</w:t>
            </w:r>
          </w:p>
        </w:tc>
        <w:tc>
          <w:tcPr>
            <w:tcW w:w="4284" w:type="dxa"/>
          </w:tcPr>
          <w:p w14:paraId="2D7884E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r w:rsidR="00284CBE" w:rsidRPr="006431C4" w14:paraId="39C455D2" w14:textId="77777777" w:rsidTr="00284CBE">
        <w:tc>
          <w:tcPr>
            <w:tcW w:w="3227" w:type="dxa"/>
          </w:tcPr>
          <w:p w14:paraId="45616E9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Warstwa wyrównawcza</w:t>
            </w:r>
          </w:p>
        </w:tc>
        <w:tc>
          <w:tcPr>
            <w:tcW w:w="4284" w:type="dxa"/>
          </w:tcPr>
          <w:p w14:paraId="45DC917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w:t>
            </w:r>
          </w:p>
        </w:tc>
      </w:tr>
    </w:tbl>
    <w:p w14:paraId="3C1D34D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14:paraId="478167AF"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Przy wykonywaniu nawierzchni dróg w kategorii KR6-7 zaleca się stosowanie do wykonania warstwy wiążącej  podajników mieszanki mineralno-asfaltowej do zasilania kosza rozkładarki ze środków transportu.</w:t>
      </w:r>
    </w:p>
    <w:p w14:paraId="4A73924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Grubość wykonywanej warstwy powinna być sprawdzana co </w:t>
      </w:r>
      <w:smartTag w:uri="urn:schemas-microsoft-com:office:smarttags" w:element="metricconverter">
        <w:smartTagPr>
          <w:attr w:name="ProductID" w:val="25 m"/>
        </w:smartTagPr>
        <w:r w:rsidRPr="006431C4">
          <w:rPr>
            <w:rFonts w:cs="Arial"/>
            <w:szCs w:val="20"/>
          </w:rPr>
          <w:t>25 m</w:t>
        </w:r>
      </w:smartTag>
      <w:r w:rsidRPr="006431C4">
        <w:rPr>
          <w:rFonts w:cs="Arial"/>
          <w:szCs w:val="20"/>
        </w:rPr>
        <w:t>, w co najmniej trzech miejscach (w osi i przy brzegach warstwy).</w:t>
      </w:r>
    </w:p>
    <w:p w14:paraId="4EBF37E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Warstwy wałowane powinny być równomiernie zagęszczone ciężkimi walcami drogowymi o charakterystyce (statycznym nacisku liniowym) zapewniającej skuteczność zagęszczania, potwierdzoną na odcinku próbnym.</w:t>
      </w:r>
      <w:r w:rsidRPr="006431C4">
        <w:rPr>
          <w:rFonts w:cs="Arial"/>
          <w:szCs w:val="20"/>
        </w:rPr>
        <w:tab/>
        <w:t>Do warstw z betonu asfaltowego należy stosować walce drogowe stalowe gładkie z możliwością wibracji, oscylacji lub walce ogumione.</w:t>
      </w:r>
    </w:p>
    <w:p w14:paraId="18D0AD21"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188E896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Grubość wykonywanej warstwy powinna być sprawdzana co </w:t>
      </w:r>
      <w:smartTag w:uri="urn:schemas-microsoft-com:office:smarttags" w:element="metricconverter">
        <w:smartTagPr>
          <w:attr w:name="ProductID" w:val="25 m"/>
        </w:smartTagPr>
        <w:r w:rsidRPr="006431C4">
          <w:rPr>
            <w:rFonts w:cs="Arial"/>
            <w:szCs w:val="20"/>
          </w:rPr>
          <w:t>25 m</w:t>
        </w:r>
      </w:smartTag>
      <w:r w:rsidRPr="006431C4">
        <w:rPr>
          <w:rFonts w:cs="Arial"/>
          <w:szCs w:val="20"/>
        </w:rPr>
        <w:t>, w co najmniej trzech miejscach (w osi i przy brzegach warstwy).</w:t>
      </w:r>
    </w:p>
    <w:p w14:paraId="2F3A1A06"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5.9. Połączenia technologiczne</w:t>
      </w:r>
    </w:p>
    <w:p w14:paraId="6305175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Połączenia technologiczne należy wykonywać jako:</w:t>
      </w:r>
    </w:p>
    <w:p w14:paraId="555D6987" w14:textId="77777777" w:rsidR="00284CBE" w:rsidRPr="006431C4" w:rsidRDefault="00284CBE" w:rsidP="00CF1E7D">
      <w:pPr>
        <w:numPr>
          <w:ilvl w:val="0"/>
          <w:numId w:val="154"/>
        </w:numPr>
        <w:overflowPunct w:val="0"/>
        <w:autoSpaceDE w:val="0"/>
        <w:autoSpaceDN w:val="0"/>
        <w:adjustRightInd w:val="0"/>
        <w:spacing w:line="240" w:lineRule="auto"/>
        <w:jc w:val="both"/>
        <w:textAlignment w:val="baseline"/>
        <w:rPr>
          <w:rFonts w:cs="Arial"/>
          <w:szCs w:val="20"/>
        </w:rPr>
      </w:pPr>
      <w:r w:rsidRPr="006431C4">
        <w:rPr>
          <w:rFonts w:cs="Arial"/>
          <w:szCs w:val="20"/>
        </w:rPr>
        <w:t>złącza podłużne i poprzeczne (wg definicji p. 1.4.18.),</w:t>
      </w:r>
    </w:p>
    <w:p w14:paraId="7BA642B8" w14:textId="77777777" w:rsidR="00284CBE" w:rsidRPr="006431C4" w:rsidRDefault="00284CBE" w:rsidP="00CF1E7D">
      <w:pPr>
        <w:numPr>
          <w:ilvl w:val="0"/>
          <w:numId w:val="154"/>
        </w:numPr>
        <w:overflowPunct w:val="0"/>
        <w:autoSpaceDE w:val="0"/>
        <w:autoSpaceDN w:val="0"/>
        <w:adjustRightInd w:val="0"/>
        <w:spacing w:line="240" w:lineRule="auto"/>
        <w:jc w:val="both"/>
        <w:textAlignment w:val="baseline"/>
        <w:rPr>
          <w:rFonts w:cs="Arial"/>
          <w:szCs w:val="20"/>
        </w:rPr>
      </w:pPr>
      <w:r w:rsidRPr="006431C4">
        <w:rPr>
          <w:rFonts w:cs="Arial"/>
          <w:szCs w:val="20"/>
        </w:rPr>
        <w:t>spoiny (wg definicji p.1.4.19.).</w:t>
      </w:r>
    </w:p>
    <w:p w14:paraId="345A9584"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Połączenia technologiczne powinny być jednorodne i szczelne.   </w:t>
      </w:r>
    </w:p>
    <w:p w14:paraId="1226A86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5.9.1.</w:t>
      </w:r>
      <w:r w:rsidRPr="006431C4">
        <w:rPr>
          <w:rFonts w:cs="Arial"/>
          <w:szCs w:val="20"/>
        </w:rPr>
        <w:t xml:space="preserve"> Wykonanie złączy</w:t>
      </w:r>
    </w:p>
    <w:p w14:paraId="7017E4F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5.9.1.1. Sposób wykonania złączy-wymagania ogólne</w:t>
      </w:r>
    </w:p>
    <w:p w14:paraId="5FB6C3BF"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Złącza w warstwach nawierzchni powinny być wykonywane w linii prostej.</w:t>
      </w:r>
    </w:p>
    <w:p w14:paraId="01805A45"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6431C4">
          <w:rPr>
            <w:rFonts w:cs="Arial"/>
            <w:szCs w:val="20"/>
          </w:rPr>
          <w:t>2 m</w:t>
        </w:r>
      </w:smartTag>
      <w:r w:rsidRPr="006431C4">
        <w:rPr>
          <w:rFonts w:cs="Arial"/>
          <w:szCs w:val="20"/>
        </w:rPr>
        <w:t xml:space="preserve"> w kierunku podłużnym do osi jezdni.</w:t>
      </w:r>
    </w:p>
    <w:p w14:paraId="3413C16A"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6431C4">
          <w:rPr>
            <w:rFonts w:cs="Arial"/>
            <w:szCs w:val="20"/>
          </w:rPr>
          <w:t>0,5 m</w:t>
        </w:r>
      </w:smartTag>
      <w:r w:rsidRPr="006431C4">
        <w:rPr>
          <w:rFonts w:cs="Arial"/>
          <w:szCs w:val="20"/>
        </w:rPr>
        <w:t xml:space="preserve">. Krawędzie poprzeczne łączonych warstw wiążącej i ścieralnej nawierzchni drogowej powinny być odcięte piłą. </w:t>
      </w:r>
    </w:p>
    <w:p w14:paraId="74EFC9C3"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Złącza powinny być całkowicie związane, a powierzchnie przylegających warstw powinny być w jednym poziomie.</w:t>
      </w:r>
    </w:p>
    <w:p w14:paraId="2E1C236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5.9.1.2. Technologia rozkładania „gorące przy gorącym”</w:t>
      </w:r>
    </w:p>
    <w:p w14:paraId="08871BAF"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423DC651"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szCs w:val="20"/>
        </w:rPr>
        <w:t>Walce zagęszczające mieszankę za każdą rozkładarką powinny być o zbliżonych parametrach. Zagęszczanie każdego z pasów należy rozpoczynać od zewnętrznej krawędzi pasa i stopniowo zagęszczać pas w kierunku złącza.</w:t>
      </w:r>
    </w:p>
    <w:p w14:paraId="56EDDEAD"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Przy tej metodzie nie stosuje się dodatkowych materiałów do złączy.</w:t>
      </w:r>
    </w:p>
    <w:p w14:paraId="7E84771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5.9.1.3. Technologia rozkładania „gorące przy zimnym” </w:t>
      </w:r>
    </w:p>
    <w:p w14:paraId="3AD9FBA2"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lastRenderedPageBreak/>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579751F0"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 xml:space="preserve">Wcześniej wykonany pas warstwy technologicznej powinien mieć wyprofilowaną krawędź równomiernie zagęszczoną, bez pęknięć. Krawędź ta nie może być pionowa, lecz powinna być skośna (pochylenie około 3:1 </w:t>
      </w:r>
      <w:proofErr w:type="spellStart"/>
      <w:r w:rsidRPr="006431C4">
        <w:rPr>
          <w:rFonts w:cs="Arial"/>
          <w:szCs w:val="20"/>
        </w:rPr>
        <w:t>tj.pod</w:t>
      </w:r>
      <w:proofErr w:type="spellEnd"/>
      <w:r w:rsidRPr="006431C4">
        <w:rPr>
          <w:rFonts w:cs="Arial"/>
          <w:szCs w:val="20"/>
        </w:rPr>
        <w:t xml:space="preserve"> kątem 70-80° w stosunku do warstwy niżej leżącej). Skos wykonany „na gorąco”, powinien być uformowany podczas układania pierwszego pasa ruchu, przy zastosowaniu rolki dociskowej lub noża talerzowego.</w:t>
      </w:r>
    </w:p>
    <w:p w14:paraId="632F4717"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27C73491"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Drugi pas powinien być wykonywany z zakładem 2-3 cm licząc od górnej krawędzi złącza, zachodzącym na pas wykonany wcześniej.</w:t>
      </w:r>
    </w:p>
    <w:p w14:paraId="2038782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5.9.1.4. Zakończenie działki roboczej </w:t>
      </w:r>
    </w:p>
    <w:p w14:paraId="3165D246"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Zakończenie działki roboczej należy wykonać w sposób i przy pomocy urządzeń zapewniających uzyskanie nieregularnej powierzchni spoiny (przy pomocy wstawianej</w:t>
      </w:r>
    </w:p>
    <w:p w14:paraId="2A408F10"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szCs w:val="20"/>
        </w:rPr>
        <w:t>kantówki lub frezarki). Zakończenie działki roboczej należy wykonać prostopadle do osi drogi.</w:t>
      </w:r>
    </w:p>
    <w:p w14:paraId="09BD252B"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Krawędź działki roboczej jest równocześnie krawędzią poprzeczną złącza.</w:t>
      </w:r>
    </w:p>
    <w:p w14:paraId="3847999F"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Złącza poprzeczne między działkami roboczymi układanych pasów kolejnych warstw technologicznych należy przesunąć względem siebie o co najmniej 3 m w kierunku podłużnym do osi jezdni.</w:t>
      </w:r>
    </w:p>
    <w:p w14:paraId="2DDD28AD" w14:textId="77777777" w:rsidR="00284CBE" w:rsidRPr="006431C4" w:rsidRDefault="00284CBE" w:rsidP="00284CBE">
      <w:pPr>
        <w:keepNext/>
        <w:overflowPunct w:val="0"/>
        <w:autoSpaceDE w:val="0"/>
        <w:autoSpaceDN w:val="0"/>
        <w:adjustRightInd w:val="0"/>
        <w:spacing w:line="240" w:lineRule="auto"/>
        <w:jc w:val="both"/>
        <w:textAlignment w:val="baseline"/>
        <w:rPr>
          <w:rFonts w:cs="Arial"/>
          <w:b/>
          <w:szCs w:val="20"/>
        </w:rPr>
      </w:pPr>
      <w:r w:rsidRPr="006431C4">
        <w:rPr>
          <w:rFonts w:cs="Arial"/>
          <w:szCs w:val="20"/>
        </w:rPr>
        <w:t>5.9.1.5.</w:t>
      </w:r>
      <w:r w:rsidRPr="006431C4">
        <w:rPr>
          <w:rFonts w:cs="Arial"/>
          <w:b/>
          <w:szCs w:val="20"/>
        </w:rPr>
        <w:t xml:space="preserve"> </w:t>
      </w:r>
      <w:r w:rsidRPr="006431C4">
        <w:rPr>
          <w:rFonts w:cs="Arial"/>
          <w:szCs w:val="20"/>
        </w:rPr>
        <w:t>Wymagania wobec wbudowania taśm bitumicznych</w:t>
      </w:r>
    </w:p>
    <w:p w14:paraId="186E4C5E"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Minimalna wysokość taśmy wynosi 4 cm.</w:t>
      </w:r>
    </w:p>
    <w:p w14:paraId="5A746B9E"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Grubość taśmy w złączach powinna wynosić 10 mm.</w:t>
      </w:r>
    </w:p>
    <w:p w14:paraId="3F517273"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Krawędź boczna złącza podłużnego powinna być uformowana za pomocą rolki dociskowej lub poprzez obcięcie nożem talerzowym.</w:t>
      </w:r>
    </w:p>
    <w:p w14:paraId="32A08EC1"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Krawędź boczna złącza poprzecznego powinna być uformowana w taki sposób i za</w:t>
      </w:r>
    </w:p>
    <w:p w14:paraId="549147F2"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szCs w:val="20"/>
        </w:rPr>
        <w:t>pomocą urządzeń umożliwiających uzyskanie nieregularnej powierzchni.</w:t>
      </w:r>
    </w:p>
    <w:p w14:paraId="6481F3D7"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14:paraId="687472A5"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szCs w:val="20"/>
        </w:rPr>
        <w:t>taśmy.</w:t>
      </w:r>
    </w:p>
    <w:p w14:paraId="565F013A"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Taśma bitumiczna powinna być wstępnie przyklejona do zimnej krawędzi złącza pokrywając 2/3 wysokości warstwy licząc od górnej powierzchni..</w:t>
      </w:r>
    </w:p>
    <w:p w14:paraId="15BEED62"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5.9.1.6.</w:t>
      </w:r>
      <w:r w:rsidRPr="006431C4">
        <w:rPr>
          <w:rFonts w:cs="Arial"/>
          <w:b/>
          <w:szCs w:val="20"/>
        </w:rPr>
        <w:t xml:space="preserve"> </w:t>
      </w:r>
      <w:r w:rsidRPr="006431C4">
        <w:rPr>
          <w:rFonts w:cs="Arial"/>
          <w:szCs w:val="20"/>
        </w:rPr>
        <w:t>Wymagania wobec wbudowywania past bitumicznych</w:t>
      </w:r>
    </w:p>
    <w:p w14:paraId="58A57DE0"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Przygotowanie krawędzi bocznych jak w przypadku stosowania taśm bitumicznych.</w:t>
      </w:r>
    </w:p>
    <w:p w14:paraId="5FDAD9D5"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Pasta powinna być nanoszona mechanicznie z zapewnieniem równomiernego jej rozprowadzenia na bocznej krawędzi w ilości 3 - 4 kg/m</w:t>
      </w:r>
      <w:r w:rsidRPr="006431C4">
        <w:rPr>
          <w:rFonts w:cs="Arial"/>
          <w:szCs w:val="20"/>
          <w:vertAlign w:val="superscript"/>
        </w:rPr>
        <w:t>2</w:t>
      </w:r>
      <w:r w:rsidRPr="006431C4">
        <w:rPr>
          <w:rFonts w:cs="Arial"/>
          <w:szCs w:val="20"/>
        </w:rPr>
        <w:t xml:space="preserve"> (warstwa o grubości 3 - 4 mm przy gęstości około 1,0 g/cm3). Dopuszcza się ręczne nanoszenie past w miejscach niedostępnych.</w:t>
      </w:r>
    </w:p>
    <w:p w14:paraId="69E3A9F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5.9.2.</w:t>
      </w:r>
      <w:r w:rsidRPr="006431C4">
        <w:rPr>
          <w:rFonts w:cs="Arial"/>
          <w:szCs w:val="20"/>
        </w:rPr>
        <w:t xml:space="preserve"> Wykonanie spoin  </w:t>
      </w:r>
    </w:p>
    <w:p w14:paraId="5DFBCCDB"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Spoiny należy wykonywać w wypadku połączeń warstwy z urządzeniami w nawierzchni lub ją ograniczającymi.</w:t>
      </w:r>
    </w:p>
    <w:p w14:paraId="1FEED7E2"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Spoiny należy wykonywać z materiałów termoplastycznych (taśmy, pasty) zgodnych z pktem 2.7. </w:t>
      </w:r>
    </w:p>
    <w:p w14:paraId="28DCC947"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Grubość elastycznej taśmy uszczelniającej w spoinach w warstwie wiążącej powinna wynosić nie mniej niż 15 mm.</w:t>
      </w:r>
    </w:p>
    <w:p w14:paraId="392269E8"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Pasta powinna być nanoszona mechanicznie z zapewnieniem równomiernego jej rozprowadzenia na bocznej krawędzi w ilości 3 - 4 kg/m</w:t>
      </w:r>
      <w:r w:rsidRPr="006431C4">
        <w:rPr>
          <w:rFonts w:cs="Arial"/>
          <w:szCs w:val="20"/>
          <w:vertAlign w:val="superscript"/>
        </w:rPr>
        <w:t>2</w:t>
      </w:r>
      <w:r w:rsidRPr="006431C4">
        <w:rPr>
          <w:rFonts w:cs="Arial"/>
          <w:szCs w:val="20"/>
        </w:rPr>
        <w:t xml:space="preserve"> (warstwa o grubości 3 - 4 mm przy gęstości około 1,0 g/cm</w:t>
      </w:r>
      <w:r w:rsidRPr="006431C4">
        <w:rPr>
          <w:rFonts w:cs="Arial"/>
          <w:szCs w:val="20"/>
          <w:vertAlign w:val="superscript"/>
        </w:rPr>
        <w:t>3</w:t>
      </w:r>
      <w:r w:rsidRPr="006431C4">
        <w:rPr>
          <w:rFonts w:cs="Arial"/>
          <w:szCs w:val="20"/>
        </w:rPr>
        <w:t>).</w:t>
      </w:r>
    </w:p>
    <w:p w14:paraId="7845BD33"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5.10. Krawędzie </w:t>
      </w:r>
    </w:p>
    <w:p w14:paraId="26783827"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6D0EF5EC"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6431C4">
        <w:rPr>
          <w:rFonts w:cs="Arial"/>
          <w:szCs w:val="20"/>
        </w:rPr>
        <w:t>tzw</w:t>
      </w:r>
      <w:proofErr w:type="spellEnd"/>
      <w:r w:rsidRPr="006431C4">
        <w:rPr>
          <w:rFonts w:cs="Arial"/>
          <w:szCs w:val="20"/>
        </w:rPr>
        <w:t xml:space="preserve"> „buta” („na gorąco”). Jeżeli krawędzie nie zostały uformowane na gorąco krawędzi należy wyfrezować na zimno.</w:t>
      </w:r>
    </w:p>
    <w:p w14:paraId="71FD630E" w14:textId="77777777" w:rsidR="00284CBE" w:rsidRPr="006431C4" w:rsidRDefault="00284CBE" w:rsidP="00284CBE">
      <w:pPr>
        <w:overflowPunct w:val="0"/>
        <w:autoSpaceDE w:val="0"/>
        <w:autoSpaceDN w:val="0"/>
        <w:adjustRightInd w:val="0"/>
        <w:spacing w:line="240" w:lineRule="auto"/>
        <w:ind w:firstLine="284"/>
        <w:jc w:val="both"/>
        <w:textAlignment w:val="baseline"/>
        <w:rPr>
          <w:rFonts w:cs="Arial"/>
          <w:szCs w:val="20"/>
        </w:rPr>
      </w:pPr>
      <w:r w:rsidRPr="006431C4">
        <w:rPr>
          <w:rFonts w:cs="Arial"/>
          <w:szCs w:val="20"/>
        </w:rPr>
        <w:t>Po wykonaniu nawierzchni asfaltowej o jednostronnym nachyleniu jezdni należy uszczelnić krawędź położoną wyżej (niżej położona krawędź powinna zostać nieuszczelniona).</w:t>
      </w:r>
    </w:p>
    <w:p w14:paraId="20CE07E6"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W przypadku nawierzchni o dwustronnym nachyleniu (przekrój daszkowy) decyzję o potrzebie i sposobie uszczelnienia krawędzi zewnętrznych podejmie Projektant w uzgodnieniu z Inżynierem.</w:t>
      </w:r>
    </w:p>
    <w:p w14:paraId="1B11C71E"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Krawędzie zewnętrzne oraz powierzchnie odsadzek poziomych należy uszczelnić przez pokrycie gorącym asfaltem w ilości:</w:t>
      </w:r>
    </w:p>
    <w:p w14:paraId="14108518" w14:textId="77777777" w:rsidR="00284CBE" w:rsidRPr="006431C4" w:rsidRDefault="00284CBE" w:rsidP="00CF1E7D">
      <w:pPr>
        <w:numPr>
          <w:ilvl w:val="0"/>
          <w:numId w:val="174"/>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powierzchnie odsadzek - 1,5 kg/m</w:t>
      </w:r>
      <w:r w:rsidRPr="006431C4">
        <w:rPr>
          <w:rFonts w:cs="Arial"/>
          <w:szCs w:val="20"/>
          <w:vertAlign w:val="superscript"/>
        </w:rPr>
        <w:t>2</w:t>
      </w:r>
      <w:r w:rsidRPr="006431C4">
        <w:rPr>
          <w:rFonts w:cs="Arial"/>
          <w:szCs w:val="20"/>
        </w:rPr>
        <w:t>,</w:t>
      </w:r>
    </w:p>
    <w:p w14:paraId="58CEB03A" w14:textId="77777777" w:rsidR="00284CBE" w:rsidRPr="006431C4" w:rsidRDefault="00284CBE" w:rsidP="00CF1E7D">
      <w:pPr>
        <w:numPr>
          <w:ilvl w:val="0"/>
          <w:numId w:val="174"/>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krawędzie zewnętrzne - 4 kg/m</w:t>
      </w:r>
      <w:r w:rsidRPr="006431C4">
        <w:rPr>
          <w:rFonts w:cs="Arial"/>
          <w:szCs w:val="20"/>
          <w:vertAlign w:val="superscript"/>
        </w:rPr>
        <w:t>2</w:t>
      </w:r>
      <w:r w:rsidRPr="006431C4">
        <w:rPr>
          <w:rFonts w:cs="Arial"/>
          <w:szCs w:val="20"/>
        </w:rPr>
        <w:t>.</w:t>
      </w:r>
    </w:p>
    <w:p w14:paraId="0C4B77F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Gorący asfalt może być nanoszony w kilku przejściach roboczych.</w:t>
      </w:r>
    </w:p>
    <w:p w14:paraId="4646F35C"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14:paraId="2AF2F115"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lastRenderedPageBreak/>
        <w:t xml:space="preserve">Lepiszcze powinno być naniesione odpowiednio szybko tak, aby krawędzie nie uległy zabrudzeniu. Niżej położona krawędź (z wyjątkiem strefy zmiany przechyłki) powinna pozostać nieuszczelniona. </w:t>
      </w:r>
    </w:p>
    <w:p w14:paraId="4517723E"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6431C4">
          <w:rPr>
            <w:rFonts w:cs="Arial"/>
            <w:szCs w:val="20"/>
          </w:rPr>
          <w:t>10 cm</w:t>
        </w:r>
      </w:smartTag>
      <w:r w:rsidRPr="006431C4">
        <w:rPr>
          <w:rFonts w:cs="Arial"/>
          <w:szCs w:val="20"/>
        </w:rPr>
        <w:t>.</w:t>
      </w:r>
    </w:p>
    <w:p w14:paraId="2F869688" w14:textId="77777777" w:rsidR="00284CBE" w:rsidRPr="006431C4" w:rsidRDefault="00284CBE" w:rsidP="00284C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51" w:name="_Toc462133149"/>
      <w:r w:rsidRPr="006431C4">
        <w:rPr>
          <w:rFonts w:cs="Arial"/>
          <w:b/>
          <w:caps/>
          <w:kern w:val="28"/>
          <w:szCs w:val="20"/>
        </w:rPr>
        <w:t>6. Kontrola jakości robót</w:t>
      </w:r>
      <w:bookmarkEnd w:id="951"/>
    </w:p>
    <w:p w14:paraId="5949A95C"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6.1. Ogólne zasady kontroli jakości robót</w:t>
      </w:r>
    </w:p>
    <w:p w14:paraId="79F312F9"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kontroli jakości robót podano w SST   D-M-00.00.00 „Wymagania ogólne” [1] pkt 6.</w:t>
      </w:r>
    </w:p>
    <w:p w14:paraId="7D2BD184"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6.2. Badania przed przystąpieniem do robót</w:t>
      </w:r>
    </w:p>
    <w:p w14:paraId="1511A6E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6.2.1.</w:t>
      </w:r>
      <w:r w:rsidRPr="006431C4">
        <w:rPr>
          <w:rFonts w:cs="Arial"/>
          <w:szCs w:val="20"/>
        </w:rPr>
        <w:t xml:space="preserve"> Dokumenty i wyniki badań materiałów</w:t>
      </w:r>
    </w:p>
    <w:p w14:paraId="613D69D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Przed przystąpieniem do robót Wykonawca powinien:</w:t>
      </w:r>
    </w:p>
    <w:p w14:paraId="0C1299EE"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0A7E8BF"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ew. wykonać własne badania właściwości materiałów przeznaczonych do wykonania robót, określone przez Inżyniera.</w:t>
      </w:r>
    </w:p>
    <w:p w14:paraId="0498C474" w14:textId="77777777" w:rsidR="00284CBE" w:rsidRPr="006431C4" w:rsidRDefault="00284CBE" w:rsidP="00284CBE">
      <w:pPr>
        <w:widowControl w:val="0"/>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 xml:space="preserve">W przypadku zmiany rodzaju i właściwości materiałów budowlanych należy ponownie wykazać ich przydatność do przewidywanego celu.  </w:t>
      </w:r>
    </w:p>
    <w:p w14:paraId="73B53A2E"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Wszystkie dokumenty oraz wyniki badań Wykonawca przedstawia Inżynierowi do akceptacji.</w:t>
      </w:r>
    </w:p>
    <w:p w14:paraId="0A85DEB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6.2.2.</w:t>
      </w:r>
      <w:r w:rsidRPr="006431C4">
        <w:rPr>
          <w:rFonts w:cs="Arial"/>
          <w:szCs w:val="20"/>
        </w:rPr>
        <w:t xml:space="preserve"> Badanie typu </w:t>
      </w:r>
    </w:p>
    <w:p w14:paraId="4CBDCA74"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280C91EB"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Badanie typu powinno zawierać:</w:t>
      </w:r>
    </w:p>
    <w:p w14:paraId="0546ACAE" w14:textId="77777777" w:rsidR="00284CBE" w:rsidRPr="006431C4" w:rsidRDefault="00284CBE" w:rsidP="00CF1E7D">
      <w:pPr>
        <w:numPr>
          <w:ilvl w:val="0"/>
          <w:numId w:val="175"/>
        </w:numPr>
        <w:overflowPunct w:val="0"/>
        <w:autoSpaceDE w:val="0"/>
        <w:autoSpaceDN w:val="0"/>
        <w:adjustRightInd w:val="0"/>
        <w:spacing w:line="240" w:lineRule="auto"/>
        <w:jc w:val="both"/>
        <w:textAlignment w:val="baseline"/>
        <w:rPr>
          <w:rFonts w:cs="Arial"/>
          <w:szCs w:val="20"/>
        </w:rPr>
      </w:pPr>
      <w:r w:rsidRPr="006431C4">
        <w:rPr>
          <w:rFonts w:cs="Arial"/>
          <w:szCs w:val="20"/>
        </w:rPr>
        <w:t>informacje ogólne:</w:t>
      </w:r>
    </w:p>
    <w:p w14:paraId="035B4D8E" w14:textId="77777777" w:rsidR="00284CBE" w:rsidRPr="006431C4" w:rsidRDefault="00284CBE" w:rsidP="00CF1E7D">
      <w:pPr>
        <w:numPr>
          <w:ilvl w:val="0"/>
          <w:numId w:val="164"/>
        </w:numPr>
        <w:overflowPunct w:val="0"/>
        <w:autoSpaceDE w:val="0"/>
        <w:autoSpaceDN w:val="0"/>
        <w:adjustRightInd w:val="0"/>
        <w:spacing w:line="240" w:lineRule="auto"/>
        <w:ind w:left="600" w:hanging="240"/>
        <w:jc w:val="both"/>
        <w:textAlignment w:val="baseline"/>
        <w:rPr>
          <w:rFonts w:cs="Arial"/>
          <w:szCs w:val="20"/>
        </w:rPr>
      </w:pPr>
      <w:r w:rsidRPr="006431C4">
        <w:rPr>
          <w:rFonts w:cs="Arial"/>
          <w:szCs w:val="20"/>
        </w:rPr>
        <w:t>nazwę i adres producenta mieszanki mineralno-asfaltowej,</w:t>
      </w:r>
    </w:p>
    <w:p w14:paraId="60BAF8DB" w14:textId="77777777" w:rsidR="00284CBE" w:rsidRPr="006431C4" w:rsidRDefault="00284CBE" w:rsidP="00CF1E7D">
      <w:pPr>
        <w:numPr>
          <w:ilvl w:val="0"/>
          <w:numId w:val="164"/>
        </w:numPr>
        <w:overflowPunct w:val="0"/>
        <w:autoSpaceDE w:val="0"/>
        <w:autoSpaceDN w:val="0"/>
        <w:adjustRightInd w:val="0"/>
        <w:spacing w:line="240" w:lineRule="auto"/>
        <w:ind w:left="600" w:hanging="240"/>
        <w:jc w:val="both"/>
        <w:textAlignment w:val="baseline"/>
        <w:rPr>
          <w:rFonts w:cs="Arial"/>
          <w:szCs w:val="20"/>
        </w:rPr>
      </w:pPr>
      <w:r w:rsidRPr="006431C4">
        <w:rPr>
          <w:rFonts w:cs="Arial"/>
          <w:szCs w:val="20"/>
        </w:rPr>
        <w:t>datę wydania,</w:t>
      </w:r>
    </w:p>
    <w:p w14:paraId="7FE9D334" w14:textId="77777777" w:rsidR="00284CBE" w:rsidRPr="006431C4" w:rsidRDefault="00284CBE" w:rsidP="00CF1E7D">
      <w:pPr>
        <w:numPr>
          <w:ilvl w:val="0"/>
          <w:numId w:val="164"/>
        </w:numPr>
        <w:overflowPunct w:val="0"/>
        <w:autoSpaceDE w:val="0"/>
        <w:autoSpaceDN w:val="0"/>
        <w:adjustRightInd w:val="0"/>
        <w:spacing w:line="240" w:lineRule="auto"/>
        <w:ind w:left="600" w:hanging="240"/>
        <w:jc w:val="both"/>
        <w:textAlignment w:val="baseline"/>
        <w:rPr>
          <w:rFonts w:cs="Arial"/>
          <w:szCs w:val="20"/>
        </w:rPr>
      </w:pPr>
      <w:r w:rsidRPr="006431C4">
        <w:rPr>
          <w:rFonts w:cs="Arial"/>
          <w:szCs w:val="20"/>
        </w:rPr>
        <w:t>nazwę wytwórni produkującej mieszankę mineralno –asfaltową,</w:t>
      </w:r>
    </w:p>
    <w:p w14:paraId="48587670" w14:textId="77777777" w:rsidR="00284CBE" w:rsidRPr="006431C4" w:rsidRDefault="00284CBE" w:rsidP="00CF1E7D">
      <w:pPr>
        <w:numPr>
          <w:ilvl w:val="0"/>
          <w:numId w:val="164"/>
        </w:numPr>
        <w:overflowPunct w:val="0"/>
        <w:autoSpaceDE w:val="0"/>
        <w:autoSpaceDN w:val="0"/>
        <w:adjustRightInd w:val="0"/>
        <w:spacing w:line="240" w:lineRule="auto"/>
        <w:ind w:left="600" w:hanging="240"/>
        <w:jc w:val="both"/>
        <w:textAlignment w:val="baseline"/>
        <w:rPr>
          <w:rFonts w:cs="Arial"/>
          <w:szCs w:val="20"/>
        </w:rPr>
      </w:pPr>
      <w:r w:rsidRPr="006431C4">
        <w:rPr>
          <w:rFonts w:cs="Arial"/>
          <w:szCs w:val="20"/>
        </w:rPr>
        <w:t>określenie typu mieszanki i kategorii, z którymi jest deklarowana zgodność,</w:t>
      </w:r>
    </w:p>
    <w:p w14:paraId="04C48CF8" w14:textId="77777777" w:rsidR="00284CBE" w:rsidRPr="006431C4" w:rsidRDefault="00284CBE" w:rsidP="00CF1E7D">
      <w:pPr>
        <w:numPr>
          <w:ilvl w:val="0"/>
          <w:numId w:val="164"/>
        </w:numPr>
        <w:overflowPunct w:val="0"/>
        <w:autoSpaceDE w:val="0"/>
        <w:autoSpaceDN w:val="0"/>
        <w:adjustRightInd w:val="0"/>
        <w:spacing w:line="240" w:lineRule="auto"/>
        <w:ind w:left="600" w:hanging="240"/>
        <w:jc w:val="both"/>
        <w:textAlignment w:val="baseline"/>
        <w:rPr>
          <w:rFonts w:cs="Arial"/>
          <w:szCs w:val="20"/>
        </w:rPr>
      </w:pPr>
      <w:r w:rsidRPr="006431C4">
        <w:rPr>
          <w:rFonts w:cs="Arial"/>
          <w:szCs w:val="20"/>
        </w:rPr>
        <w:t>zestawienie metod przygotowania próbek oraz metod i warunków badania poszczególnych właściwości,</w:t>
      </w:r>
    </w:p>
    <w:p w14:paraId="0360B740" w14:textId="77777777" w:rsidR="00284CBE" w:rsidRPr="006431C4" w:rsidRDefault="00284CBE" w:rsidP="00CF1E7D">
      <w:pPr>
        <w:numPr>
          <w:ilvl w:val="0"/>
          <w:numId w:val="175"/>
        </w:numPr>
        <w:overflowPunct w:val="0"/>
        <w:autoSpaceDE w:val="0"/>
        <w:autoSpaceDN w:val="0"/>
        <w:adjustRightInd w:val="0"/>
        <w:spacing w:line="240" w:lineRule="auto"/>
        <w:jc w:val="both"/>
        <w:textAlignment w:val="baseline"/>
        <w:rPr>
          <w:rFonts w:cs="Arial"/>
          <w:szCs w:val="20"/>
        </w:rPr>
      </w:pPr>
      <w:r w:rsidRPr="006431C4">
        <w:rPr>
          <w:rFonts w:cs="Arial"/>
          <w:szCs w:val="20"/>
        </w:rPr>
        <w:t>informacje o składnikach:</w:t>
      </w:r>
    </w:p>
    <w:p w14:paraId="3062CBB9" w14:textId="77777777" w:rsidR="00284CBE" w:rsidRPr="006431C4" w:rsidRDefault="00284CBE" w:rsidP="00CF1E7D">
      <w:pPr>
        <w:numPr>
          <w:ilvl w:val="0"/>
          <w:numId w:val="165"/>
        </w:numPr>
        <w:tabs>
          <w:tab w:val="num" w:pos="600"/>
        </w:tabs>
        <w:overflowPunct w:val="0"/>
        <w:autoSpaceDE w:val="0"/>
        <w:autoSpaceDN w:val="0"/>
        <w:adjustRightInd w:val="0"/>
        <w:spacing w:line="240" w:lineRule="auto"/>
        <w:ind w:hanging="454"/>
        <w:jc w:val="both"/>
        <w:textAlignment w:val="baseline"/>
        <w:rPr>
          <w:rFonts w:cs="Arial"/>
          <w:szCs w:val="20"/>
        </w:rPr>
      </w:pPr>
      <w:r w:rsidRPr="006431C4">
        <w:rPr>
          <w:rFonts w:cs="Arial"/>
          <w:szCs w:val="20"/>
        </w:rPr>
        <w:t>każdy wymiar kruszywa: źródło i rodzaj,</w:t>
      </w:r>
    </w:p>
    <w:p w14:paraId="592E37E5" w14:textId="77777777" w:rsidR="00284CBE" w:rsidRPr="006431C4" w:rsidRDefault="00284CBE" w:rsidP="00CF1E7D">
      <w:pPr>
        <w:numPr>
          <w:ilvl w:val="0"/>
          <w:numId w:val="165"/>
        </w:numPr>
        <w:tabs>
          <w:tab w:val="num" w:pos="600"/>
        </w:tabs>
        <w:overflowPunct w:val="0"/>
        <w:autoSpaceDE w:val="0"/>
        <w:autoSpaceDN w:val="0"/>
        <w:adjustRightInd w:val="0"/>
        <w:spacing w:line="240" w:lineRule="auto"/>
        <w:ind w:hanging="454"/>
        <w:jc w:val="both"/>
        <w:textAlignment w:val="baseline"/>
        <w:rPr>
          <w:rFonts w:cs="Arial"/>
          <w:szCs w:val="20"/>
        </w:rPr>
      </w:pPr>
      <w:r w:rsidRPr="006431C4">
        <w:rPr>
          <w:rFonts w:cs="Arial"/>
          <w:szCs w:val="20"/>
        </w:rPr>
        <w:t>lepiszcze: typ i rodzaj,</w:t>
      </w:r>
    </w:p>
    <w:p w14:paraId="5D23352A" w14:textId="77777777" w:rsidR="00284CBE" w:rsidRPr="006431C4" w:rsidRDefault="00284CBE" w:rsidP="00CF1E7D">
      <w:pPr>
        <w:numPr>
          <w:ilvl w:val="0"/>
          <w:numId w:val="165"/>
        </w:numPr>
        <w:tabs>
          <w:tab w:val="num" w:pos="600"/>
        </w:tabs>
        <w:overflowPunct w:val="0"/>
        <w:autoSpaceDE w:val="0"/>
        <w:autoSpaceDN w:val="0"/>
        <w:adjustRightInd w:val="0"/>
        <w:spacing w:line="240" w:lineRule="auto"/>
        <w:ind w:hanging="454"/>
        <w:jc w:val="both"/>
        <w:textAlignment w:val="baseline"/>
        <w:rPr>
          <w:rFonts w:cs="Arial"/>
          <w:szCs w:val="20"/>
        </w:rPr>
      </w:pPr>
      <w:r w:rsidRPr="006431C4">
        <w:rPr>
          <w:rFonts w:cs="Arial"/>
          <w:szCs w:val="20"/>
        </w:rPr>
        <w:t>wypełniacz: źródło i rodzaj,</w:t>
      </w:r>
    </w:p>
    <w:p w14:paraId="2ABB7875" w14:textId="77777777" w:rsidR="00284CBE" w:rsidRPr="006431C4" w:rsidRDefault="00284CBE" w:rsidP="00CF1E7D">
      <w:pPr>
        <w:numPr>
          <w:ilvl w:val="0"/>
          <w:numId w:val="165"/>
        </w:numPr>
        <w:tabs>
          <w:tab w:val="num" w:pos="600"/>
        </w:tabs>
        <w:overflowPunct w:val="0"/>
        <w:autoSpaceDE w:val="0"/>
        <w:autoSpaceDN w:val="0"/>
        <w:adjustRightInd w:val="0"/>
        <w:spacing w:line="240" w:lineRule="auto"/>
        <w:ind w:hanging="454"/>
        <w:jc w:val="both"/>
        <w:textAlignment w:val="baseline"/>
        <w:rPr>
          <w:rFonts w:cs="Arial"/>
          <w:szCs w:val="20"/>
        </w:rPr>
      </w:pPr>
      <w:r w:rsidRPr="006431C4">
        <w:rPr>
          <w:rFonts w:cs="Arial"/>
          <w:szCs w:val="20"/>
        </w:rPr>
        <w:t>dodatki: źródło i rodzaj,</w:t>
      </w:r>
    </w:p>
    <w:p w14:paraId="7508DF11" w14:textId="77777777" w:rsidR="00284CBE" w:rsidRPr="006431C4" w:rsidRDefault="00284CBE" w:rsidP="00CF1E7D">
      <w:pPr>
        <w:numPr>
          <w:ilvl w:val="0"/>
          <w:numId w:val="165"/>
        </w:numPr>
        <w:tabs>
          <w:tab w:val="num" w:pos="600"/>
        </w:tabs>
        <w:overflowPunct w:val="0"/>
        <w:autoSpaceDE w:val="0"/>
        <w:autoSpaceDN w:val="0"/>
        <w:adjustRightInd w:val="0"/>
        <w:spacing w:line="240" w:lineRule="auto"/>
        <w:ind w:hanging="454"/>
        <w:jc w:val="both"/>
        <w:textAlignment w:val="baseline"/>
        <w:rPr>
          <w:rFonts w:cs="Arial"/>
          <w:szCs w:val="20"/>
        </w:rPr>
      </w:pPr>
      <w:r w:rsidRPr="006431C4">
        <w:rPr>
          <w:rFonts w:cs="Arial"/>
          <w:szCs w:val="20"/>
        </w:rPr>
        <w:t>wszystkie składniki: wyniki badań zgodnie z zestawieniem podanym w tablicy 27.</w:t>
      </w:r>
    </w:p>
    <w:p w14:paraId="706282B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0E3D83E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68FA955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Tablica 27. Rodzaj i liczba badań składników mieszanki mineralno-asfaltowej</w:t>
      </w:r>
    </w:p>
    <w:tbl>
      <w:tblPr>
        <w:tblW w:w="10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3544"/>
        <w:gridCol w:w="2760"/>
        <w:gridCol w:w="1440"/>
      </w:tblGrid>
      <w:tr w:rsidR="00284CBE" w:rsidRPr="006431C4" w14:paraId="5541E477" w14:textId="77777777" w:rsidTr="00697F2D">
        <w:tc>
          <w:tcPr>
            <w:tcW w:w="2972" w:type="dxa"/>
          </w:tcPr>
          <w:p w14:paraId="703F91E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Składnik</w:t>
            </w:r>
          </w:p>
        </w:tc>
        <w:tc>
          <w:tcPr>
            <w:tcW w:w="3544" w:type="dxa"/>
          </w:tcPr>
          <w:p w14:paraId="51CC40D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2760" w:type="dxa"/>
          </w:tcPr>
          <w:p w14:paraId="23DFC1A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 badania</w:t>
            </w:r>
          </w:p>
        </w:tc>
        <w:tc>
          <w:tcPr>
            <w:tcW w:w="1440" w:type="dxa"/>
          </w:tcPr>
          <w:p w14:paraId="5A143BA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Liczba badań</w:t>
            </w:r>
          </w:p>
        </w:tc>
      </w:tr>
      <w:tr w:rsidR="00284CBE" w:rsidRPr="006431C4" w14:paraId="437B9F00" w14:textId="77777777" w:rsidTr="00697F2D">
        <w:tc>
          <w:tcPr>
            <w:tcW w:w="2972" w:type="dxa"/>
            <w:vMerge w:val="restart"/>
          </w:tcPr>
          <w:p w14:paraId="5BE67EC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Kruszywo</w:t>
            </w:r>
          </w:p>
          <w:p w14:paraId="349B429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13043 [50])</w:t>
            </w:r>
          </w:p>
        </w:tc>
        <w:tc>
          <w:tcPr>
            <w:tcW w:w="3544" w:type="dxa"/>
          </w:tcPr>
          <w:p w14:paraId="43562C3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w:t>
            </w:r>
          </w:p>
        </w:tc>
        <w:tc>
          <w:tcPr>
            <w:tcW w:w="2760" w:type="dxa"/>
          </w:tcPr>
          <w:p w14:paraId="5BEBFF6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933-1 [6]</w:t>
            </w:r>
          </w:p>
        </w:tc>
        <w:tc>
          <w:tcPr>
            <w:tcW w:w="1440" w:type="dxa"/>
          </w:tcPr>
          <w:p w14:paraId="07B19A5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 na frakcję</w:t>
            </w:r>
          </w:p>
        </w:tc>
      </w:tr>
      <w:tr w:rsidR="00284CBE" w:rsidRPr="006431C4" w14:paraId="4120BBC3" w14:textId="77777777" w:rsidTr="00697F2D">
        <w:tc>
          <w:tcPr>
            <w:tcW w:w="2972" w:type="dxa"/>
            <w:vMerge/>
          </w:tcPr>
          <w:p w14:paraId="788FAC3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3544" w:type="dxa"/>
          </w:tcPr>
          <w:p w14:paraId="3ACDFB4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Gęstość</w:t>
            </w:r>
          </w:p>
        </w:tc>
        <w:tc>
          <w:tcPr>
            <w:tcW w:w="2760" w:type="dxa"/>
          </w:tcPr>
          <w:p w14:paraId="0B2D385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1097-6 [16]</w:t>
            </w:r>
          </w:p>
        </w:tc>
        <w:tc>
          <w:tcPr>
            <w:tcW w:w="1440" w:type="dxa"/>
          </w:tcPr>
          <w:p w14:paraId="60D75D3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 na frakcję</w:t>
            </w:r>
          </w:p>
        </w:tc>
      </w:tr>
      <w:tr w:rsidR="00284CBE" w:rsidRPr="006431C4" w14:paraId="742145E6" w14:textId="77777777" w:rsidTr="00697F2D">
        <w:tc>
          <w:tcPr>
            <w:tcW w:w="2972" w:type="dxa"/>
            <w:vMerge w:val="restart"/>
          </w:tcPr>
          <w:p w14:paraId="1FCFF01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Lepiszcze </w:t>
            </w:r>
          </w:p>
          <w:p w14:paraId="0739C04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(PN-EN 12591 [23], PN-EN13924-2 [65], </w:t>
            </w:r>
          </w:p>
          <w:p w14:paraId="4D92202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lang w:val="en-US"/>
              </w:rPr>
            </w:pPr>
            <w:r w:rsidRPr="006431C4">
              <w:rPr>
                <w:rFonts w:cs="Arial"/>
                <w:szCs w:val="20"/>
                <w:lang w:val="en-US"/>
              </w:rPr>
              <w:t>PN-EN 14023 [66])</w:t>
            </w:r>
          </w:p>
        </w:tc>
        <w:tc>
          <w:tcPr>
            <w:tcW w:w="3544" w:type="dxa"/>
          </w:tcPr>
          <w:p w14:paraId="79E9945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Penetracja lub tem-peratura mięknienia</w:t>
            </w:r>
          </w:p>
        </w:tc>
        <w:tc>
          <w:tcPr>
            <w:tcW w:w="2760" w:type="dxa"/>
          </w:tcPr>
          <w:p w14:paraId="10ECFC0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1426 [20] lub</w:t>
            </w:r>
          </w:p>
          <w:p w14:paraId="6E8DE01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1427 [21]</w:t>
            </w:r>
          </w:p>
        </w:tc>
        <w:tc>
          <w:tcPr>
            <w:tcW w:w="1440" w:type="dxa"/>
          </w:tcPr>
          <w:p w14:paraId="53DA2DF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4DE0DB16" w14:textId="77777777" w:rsidTr="00697F2D">
        <w:tc>
          <w:tcPr>
            <w:tcW w:w="2972" w:type="dxa"/>
            <w:vMerge/>
          </w:tcPr>
          <w:p w14:paraId="3B83701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3544" w:type="dxa"/>
          </w:tcPr>
          <w:p w14:paraId="3C7096D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vertAlign w:val="superscript"/>
              </w:rPr>
            </w:pPr>
            <w:r w:rsidRPr="006431C4">
              <w:rPr>
                <w:rFonts w:cs="Arial"/>
                <w:szCs w:val="20"/>
              </w:rPr>
              <w:t>Nawrót sprężysty</w:t>
            </w:r>
            <w:r w:rsidRPr="006431C4">
              <w:rPr>
                <w:rFonts w:cs="Arial"/>
                <w:szCs w:val="20"/>
                <w:vertAlign w:val="superscript"/>
              </w:rPr>
              <w:t>*)</w:t>
            </w:r>
          </w:p>
        </w:tc>
        <w:tc>
          <w:tcPr>
            <w:tcW w:w="2760" w:type="dxa"/>
          </w:tcPr>
          <w:p w14:paraId="4657D0E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13398 [58]</w:t>
            </w:r>
          </w:p>
        </w:tc>
        <w:tc>
          <w:tcPr>
            <w:tcW w:w="1440" w:type="dxa"/>
          </w:tcPr>
          <w:p w14:paraId="31F6387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6850BE56" w14:textId="77777777" w:rsidTr="00697F2D">
        <w:tc>
          <w:tcPr>
            <w:tcW w:w="2972" w:type="dxa"/>
            <w:vMerge w:val="restart"/>
          </w:tcPr>
          <w:p w14:paraId="4641BB2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Wypełniacz </w:t>
            </w:r>
          </w:p>
          <w:p w14:paraId="62B4963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13043 [50])</w:t>
            </w:r>
          </w:p>
        </w:tc>
        <w:tc>
          <w:tcPr>
            <w:tcW w:w="3544" w:type="dxa"/>
          </w:tcPr>
          <w:p w14:paraId="44F287E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w:t>
            </w:r>
          </w:p>
        </w:tc>
        <w:tc>
          <w:tcPr>
            <w:tcW w:w="2760" w:type="dxa"/>
          </w:tcPr>
          <w:p w14:paraId="27557CC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933-10 [12]</w:t>
            </w:r>
          </w:p>
        </w:tc>
        <w:tc>
          <w:tcPr>
            <w:tcW w:w="1440" w:type="dxa"/>
          </w:tcPr>
          <w:p w14:paraId="15A14E9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0A8DD9B8" w14:textId="77777777" w:rsidTr="00697F2D">
        <w:tc>
          <w:tcPr>
            <w:tcW w:w="2972" w:type="dxa"/>
            <w:vMerge/>
          </w:tcPr>
          <w:p w14:paraId="7CA2CE0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3544" w:type="dxa"/>
          </w:tcPr>
          <w:p w14:paraId="0CC67B6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Gęstość</w:t>
            </w:r>
          </w:p>
        </w:tc>
        <w:tc>
          <w:tcPr>
            <w:tcW w:w="2760" w:type="dxa"/>
          </w:tcPr>
          <w:p w14:paraId="35799D6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1097-7 [17]</w:t>
            </w:r>
          </w:p>
        </w:tc>
        <w:tc>
          <w:tcPr>
            <w:tcW w:w="1440" w:type="dxa"/>
          </w:tcPr>
          <w:p w14:paraId="1598309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6DB4153A" w14:textId="77777777" w:rsidTr="00697F2D">
        <w:tc>
          <w:tcPr>
            <w:tcW w:w="2972" w:type="dxa"/>
          </w:tcPr>
          <w:p w14:paraId="7EE623C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Dodatki</w:t>
            </w:r>
          </w:p>
        </w:tc>
        <w:tc>
          <w:tcPr>
            <w:tcW w:w="3544" w:type="dxa"/>
          </w:tcPr>
          <w:p w14:paraId="5DF7BBD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Typ</w:t>
            </w:r>
          </w:p>
        </w:tc>
        <w:tc>
          <w:tcPr>
            <w:tcW w:w="2760" w:type="dxa"/>
          </w:tcPr>
          <w:p w14:paraId="03EE47F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1440" w:type="dxa"/>
          </w:tcPr>
          <w:p w14:paraId="674C1AF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tc>
      </w:tr>
      <w:tr w:rsidR="00284CBE" w:rsidRPr="006431C4" w14:paraId="4FD30A2D" w14:textId="77777777" w:rsidTr="00697F2D">
        <w:tc>
          <w:tcPr>
            <w:tcW w:w="2972" w:type="dxa"/>
            <w:vMerge w:val="restart"/>
          </w:tcPr>
          <w:p w14:paraId="309F508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Granulat asfaltowy</w:t>
            </w:r>
            <w:r w:rsidRPr="006431C4">
              <w:rPr>
                <w:rFonts w:cs="Arial"/>
                <w:szCs w:val="20"/>
                <w:vertAlign w:val="superscript"/>
              </w:rPr>
              <w:t>**)</w:t>
            </w:r>
          </w:p>
        </w:tc>
        <w:tc>
          <w:tcPr>
            <w:tcW w:w="3544" w:type="dxa"/>
          </w:tcPr>
          <w:p w14:paraId="6AE1FC1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w:t>
            </w:r>
          </w:p>
        </w:tc>
        <w:tc>
          <w:tcPr>
            <w:tcW w:w="2760" w:type="dxa"/>
          </w:tcPr>
          <w:p w14:paraId="7A90505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 [32]</w:t>
            </w:r>
          </w:p>
        </w:tc>
        <w:tc>
          <w:tcPr>
            <w:tcW w:w="1440" w:type="dxa"/>
          </w:tcPr>
          <w:p w14:paraId="0D67527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4C5BDF07" w14:textId="77777777" w:rsidTr="00697F2D">
        <w:tc>
          <w:tcPr>
            <w:tcW w:w="2972" w:type="dxa"/>
            <w:vMerge/>
          </w:tcPr>
          <w:p w14:paraId="6E3A389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3544" w:type="dxa"/>
          </w:tcPr>
          <w:p w14:paraId="4A9AB7D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lepiszcza</w:t>
            </w:r>
          </w:p>
        </w:tc>
        <w:tc>
          <w:tcPr>
            <w:tcW w:w="2760" w:type="dxa"/>
          </w:tcPr>
          <w:p w14:paraId="2C8AFCE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12697-1 [31]</w:t>
            </w:r>
          </w:p>
        </w:tc>
        <w:tc>
          <w:tcPr>
            <w:tcW w:w="1440" w:type="dxa"/>
          </w:tcPr>
          <w:p w14:paraId="6B162A2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245ED035" w14:textId="77777777" w:rsidTr="00697F2D">
        <w:tc>
          <w:tcPr>
            <w:tcW w:w="2972" w:type="dxa"/>
            <w:vMerge/>
          </w:tcPr>
          <w:p w14:paraId="7B87E6A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3544" w:type="dxa"/>
          </w:tcPr>
          <w:p w14:paraId="27A9AAE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Penetracja odzyskanego lepiszcza</w:t>
            </w:r>
          </w:p>
        </w:tc>
        <w:tc>
          <w:tcPr>
            <w:tcW w:w="2760" w:type="dxa"/>
          </w:tcPr>
          <w:p w14:paraId="330F40E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12697-3 [33] lub PN-EN 12697-4 [34] oraz PN-EN 1426 [20]</w:t>
            </w:r>
          </w:p>
        </w:tc>
        <w:tc>
          <w:tcPr>
            <w:tcW w:w="1440" w:type="dxa"/>
          </w:tcPr>
          <w:p w14:paraId="6B39D2F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269AE9A1" w14:textId="77777777" w:rsidTr="00697F2D">
        <w:tc>
          <w:tcPr>
            <w:tcW w:w="2972" w:type="dxa"/>
            <w:vMerge/>
          </w:tcPr>
          <w:p w14:paraId="6466349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3544" w:type="dxa"/>
          </w:tcPr>
          <w:p w14:paraId="3FFBFBD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Temperatura mięknienia lepiszcza</w:t>
            </w:r>
          </w:p>
        </w:tc>
        <w:tc>
          <w:tcPr>
            <w:tcW w:w="2760" w:type="dxa"/>
          </w:tcPr>
          <w:p w14:paraId="40FA2EE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12697-3 [33] lub PN-EN 12697-4 [34] oraz PN-EN 1427 [21]</w:t>
            </w:r>
          </w:p>
        </w:tc>
        <w:tc>
          <w:tcPr>
            <w:tcW w:w="1440" w:type="dxa"/>
          </w:tcPr>
          <w:p w14:paraId="58E6BAD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0EEC42C7" w14:textId="77777777" w:rsidTr="00697F2D">
        <w:tc>
          <w:tcPr>
            <w:tcW w:w="2972" w:type="dxa"/>
            <w:vMerge/>
          </w:tcPr>
          <w:p w14:paraId="2001945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3544" w:type="dxa"/>
          </w:tcPr>
          <w:p w14:paraId="77A39E3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gęstość</w:t>
            </w:r>
          </w:p>
        </w:tc>
        <w:tc>
          <w:tcPr>
            <w:tcW w:w="2760" w:type="dxa"/>
          </w:tcPr>
          <w:p w14:paraId="5AF8DBE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12697-5 [35]</w:t>
            </w:r>
          </w:p>
        </w:tc>
        <w:tc>
          <w:tcPr>
            <w:tcW w:w="1440" w:type="dxa"/>
          </w:tcPr>
          <w:p w14:paraId="1818EA9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bl>
    <w:p w14:paraId="18CA8E4F" w14:textId="77777777" w:rsidR="00284CBE" w:rsidRPr="006431C4" w:rsidRDefault="00284CBE" w:rsidP="00284CBE">
      <w:pPr>
        <w:tabs>
          <w:tab w:val="left" w:pos="5865"/>
        </w:tabs>
        <w:overflowPunct w:val="0"/>
        <w:autoSpaceDE w:val="0"/>
        <w:autoSpaceDN w:val="0"/>
        <w:adjustRightInd w:val="0"/>
        <w:spacing w:line="240" w:lineRule="auto"/>
        <w:jc w:val="both"/>
        <w:textAlignment w:val="baseline"/>
        <w:rPr>
          <w:rFonts w:cs="Arial"/>
          <w:szCs w:val="20"/>
        </w:rPr>
      </w:pPr>
      <w:r w:rsidRPr="006431C4">
        <w:rPr>
          <w:rFonts w:cs="Arial"/>
          <w:szCs w:val="20"/>
        </w:rPr>
        <w:t>*)    dotyczy jedynie lepiszczy wg PN-EN 14023 [66],</w:t>
      </w:r>
      <w:r w:rsidRPr="006431C4">
        <w:rPr>
          <w:rFonts w:cs="Arial"/>
          <w:szCs w:val="20"/>
        </w:rPr>
        <w:tab/>
      </w:r>
    </w:p>
    <w:p w14:paraId="2DC22127" w14:textId="77777777" w:rsidR="00284CBE" w:rsidRPr="006431C4" w:rsidRDefault="00284CBE" w:rsidP="00284CBE">
      <w:pPr>
        <w:overflowPunct w:val="0"/>
        <w:autoSpaceDE w:val="0"/>
        <w:autoSpaceDN w:val="0"/>
        <w:adjustRightInd w:val="0"/>
        <w:spacing w:line="240" w:lineRule="auto"/>
        <w:ind w:left="480" w:hanging="480"/>
        <w:jc w:val="both"/>
        <w:textAlignment w:val="baseline"/>
        <w:rPr>
          <w:rFonts w:cs="Arial"/>
          <w:szCs w:val="20"/>
        </w:rPr>
      </w:pPr>
      <w:r w:rsidRPr="006431C4">
        <w:rPr>
          <w:rFonts w:cs="Arial"/>
          <w:szCs w:val="20"/>
        </w:rPr>
        <w:t>**) sprawdzane właściwości powinny być odpowiednie do procentowego dodatku; przy małym procentowym dodatku stosuje się minimum wymagań.</w:t>
      </w:r>
    </w:p>
    <w:p w14:paraId="0B7E8E57" w14:textId="77777777" w:rsidR="00284CBE" w:rsidRPr="006431C4" w:rsidRDefault="00284CBE" w:rsidP="00CF1E7D">
      <w:pPr>
        <w:numPr>
          <w:ilvl w:val="0"/>
          <w:numId w:val="175"/>
        </w:numPr>
        <w:overflowPunct w:val="0"/>
        <w:autoSpaceDE w:val="0"/>
        <w:autoSpaceDN w:val="0"/>
        <w:adjustRightInd w:val="0"/>
        <w:spacing w:line="240" w:lineRule="auto"/>
        <w:ind w:left="1077"/>
        <w:jc w:val="both"/>
        <w:textAlignment w:val="baseline"/>
        <w:rPr>
          <w:rFonts w:cs="Arial"/>
          <w:szCs w:val="20"/>
        </w:rPr>
      </w:pPr>
      <w:r w:rsidRPr="006431C4">
        <w:rPr>
          <w:rFonts w:cs="Arial"/>
          <w:szCs w:val="20"/>
        </w:rPr>
        <w:t>informacje o mieszance mineralno-asfaltowej:</w:t>
      </w:r>
    </w:p>
    <w:p w14:paraId="112769CA" w14:textId="77777777" w:rsidR="00284CBE" w:rsidRPr="006431C4" w:rsidRDefault="00284CBE" w:rsidP="00CF1E7D">
      <w:pPr>
        <w:numPr>
          <w:ilvl w:val="0"/>
          <w:numId w:val="166"/>
        </w:numPr>
        <w:tabs>
          <w:tab w:val="num" w:pos="720"/>
        </w:tabs>
        <w:overflowPunct w:val="0"/>
        <w:autoSpaceDE w:val="0"/>
        <w:autoSpaceDN w:val="0"/>
        <w:adjustRightInd w:val="0"/>
        <w:spacing w:line="240" w:lineRule="auto"/>
        <w:ind w:left="720" w:hanging="360"/>
        <w:jc w:val="both"/>
        <w:textAlignment w:val="baseline"/>
        <w:rPr>
          <w:rFonts w:cs="Arial"/>
          <w:szCs w:val="20"/>
        </w:rPr>
      </w:pPr>
      <w:r w:rsidRPr="006431C4">
        <w:rPr>
          <w:rFonts w:cs="Arial"/>
          <w:szCs w:val="20"/>
        </w:rPr>
        <w:lastRenderedPageBreak/>
        <w:t>skład mieszaki podany jako wejściowy (w przypadku walidacji w laboratorium) lub wyjściowy skład (w wypadku walidacji produkcji),</w:t>
      </w:r>
    </w:p>
    <w:p w14:paraId="3012171E" w14:textId="77777777" w:rsidR="00284CBE" w:rsidRPr="006431C4" w:rsidRDefault="00284CBE" w:rsidP="00CF1E7D">
      <w:pPr>
        <w:numPr>
          <w:ilvl w:val="0"/>
          <w:numId w:val="166"/>
        </w:numPr>
        <w:tabs>
          <w:tab w:val="num" w:pos="720"/>
        </w:tabs>
        <w:overflowPunct w:val="0"/>
        <w:autoSpaceDE w:val="0"/>
        <w:autoSpaceDN w:val="0"/>
        <w:adjustRightInd w:val="0"/>
        <w:spacing w:line="240" w:lineRule="auto"/>
        <w:ind w:left="720" w:hanging="360"/>
        <w:jc w:val="both"/>
        <w:textAlignment w:val="baseline"/>
        <w:rPr>
          <w:rFonts w:cs="Arial"/>
          <w:szCs w:val="20"/>
        </w:rPr>
      </w:pPr>
      <w:r w:rsidRPr="006431C4">
        <w:rPr>
          <w:rFonts w:cs="Arial"/>
          <w:szCs w:val="20"/>
        </w:rPr>
        <w:t>wyniki badań zgodnie z zestawieniem podanym w tablicy 28.</w:t>
      </w:r>
    </w:p>
    <w:p w14:paraId="410D9E3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Tablica 28. Rodzaj i liczba badań mieszanki mineralno-asfaltowej</w:t>
      </w:r>
    </w:p>
    <w:tbl>
      <w:tblPr>
        <w:tblW w:w="10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536"/>
        <w:gridCol w:w="1560"/>
      </w:tblGrid>
      <w:tr w:rsidR="00284CBE" w:rsidRPr="006431C4" w14:paraId="5FA3A418" w14:textId="77777777" w:rsidTr="00697F2D">
        <w:tc>
          <w:tcPr>
            <w:tcW w:w="4673" w:type="dxa"/>
          </w:tcPr>
          <w:p w14:paraId="427C307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Właściwość</w:t>
            </w:r>
          </w:p>
        </w:tc>
        <w:tc>
          <w:tcPr>
            <w:tcW w:w="4536" w:type="dxa"/>
          </w:tcPr>
          <w:p w14:paraId="315B7EA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Metoda badania</w:t>
            </w:r>
          </w:p>
        </w:tc>
        <w:tc>
          <w:tcPr>
            <w:tcW w:w="1560" w:type="dxa"/>
          </w:tcPr>
          <w:p w14:paraId="1E167C1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Liczba badań</w:t>
            </w:r>
          </w:p>
        </w:tc>
      </w:tr>
      <w:tr w:rsidR="00284CBE" w:rsidRPr="006431C4" w14:paraId="7CFC1384" w14:textId="77777777" w:rsidTr="00697F2D">
        <w:tc>
          <w:tcPr>
            <w:tcW w:w="4673" w:type="dxa"/>
          </w:tcPr>
          <w:p w14:paraId="23DB24D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lepiszcza (obowiązkowa)</w:t>
            </w:r>
          </w:p>
        </w:tc>
        <w:tc>
          <w:tcPr>
            <w:tcW w:w="4536" w:type="dxa"/>
          </w:tcPr>
          <w:p w14:paraId="2920B96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12697-1[31]</w:t>
            </w:r>
          </w:p>
          <w:p w14:paraId="677461F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12697-39 [46]</w:t>
            </w:r>
          </w:p>
        </w:tc>
        <w:tc>
          <w:tcPr>
            <w:tcW w:w="1560" w:type="dxa"/>
          </w:tcPr>
          <w:p w14:paraId="76DFA64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4539CCA5" w14:textId="77777777" w:rsidTr="00697F2D">
        <w:tc>
          <w:tcPr>
            <w:tcW w:w="4673" w:type="dxa"/>
          </w:tcPr>
          <w:p w14:paraId="6D85A1A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Uziarnienie (obowiązkowa)</w:t>
            </w:r>
          </w:p>
        </w:tc>
        <w:tc>
          <w:tcPr>
            <w:tcW w:w="4536" w:type="dxa"/>
          </w:tcPr>
          <w:p w14:paraId="3A97FA8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 [32]</w:t>
            </w:r>
          </w:p>
        </w:tc>
        <w:tc>
          <w:tcPr>
            <w:tcW w:w="1560" w:type="dxa"/>
          </w:tcPr>
          <w:p w14:paraId="737406E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3BDACABD" w14:textId="77777777" w:rsidTr="00697F2D">
        <w:tc>
          <w:tcPr>
            <w:tcW w:w="4673" w:type="dxa"/>
          </w:tcPr>
          <w:p w14:paraId="556CB22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 łącznie z VFB i VMA przy wymaganej zawartości wolnych przestrzeni V</w:t>
            </w:r>
            <w:r w:rsidRPr="006431C4">
              <w:rPr>
                <w:rFonts w:cs="Arial"/>
                <w:szCs w:val="20"/>
                <w:vertAlign w:val="subscript"/>
              </w:rPr>
              <w:t>max</w:t>
            </w:r>
            <w:r w:rsidRPr="006431C4">
              <w:rPr>
                <w:rFonts w:cs="Arial"/>
                <w:szCs w:val="20"/>
              </w:rPr>
              <w:t>≤7% (obowiązkowa)</w:t>
            </w:r>
          </w:p>
        </w:tc>
        <w:tc>
          <w:tcPr>
            <w:tcW w:w="4536" w:type="dxa"/>
          </w:tcPr>
          <w:p w14:paraId="45FC593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12697-8 [37]</w:t>
            </w:r>
          </w:p>
          <w:p w14:paraId="7CF67567"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Gęstość objętościowa wg PN-EN 12697-6 [36], metoda B, w stanie nasyconym powierzchniowo suchym.</w:t>
            </w:r>
          </w:p>
          <w:p w14:paraId="1602F0F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Gęstość wg PN-EN 12697-5 [35], metoda A, w wodzie</w:t>
            </w:r>
          </w:p>
        </w:tc>
        <w:tc>
          <w:tcPr>
            <w:tcW w:w="1560" w:type="dxa"/>
          </w:tcPr>
          <w:p w14:paraId="09E434C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12C9EE2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67C2B7B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340EEE5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14CC38B1" w14:textId="77777777" w:rsidTr="00697F2D">
        <w:tc>
          <w:tcPr>
            <w:tcW w:w="4673" w:type="dxa"/>
          </w:tcPr>
          <w:p w14:paraId="53A0788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Wrażliwość na działanie wody (powiązana funkcjonalnie)</w:t>
            </w:r>
          </w:p>
        </w:tc>
        <w:tc>
          <w:tcPr>
            <w:tcW w:w="4536" w:type="dxa"/>
          </w:tcPr>
          <w:p w14:paraId="4E3D5C1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12697-12 [39]</w:t>
            </w:r>
          </w:p>
        </w:tc>
        <w:tc>
          <w:tcPr>
            <w:tcW w:w="1560" w:type="dxa"/>
          </w:tcPr>
          <w:p w14:paraId="2301BD6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bl>
    <w:p w14:paraId="79A7A61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bl>
      <w:tblPr>
        <w:tblW w:w="10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536"/>
        <w:gridCol w:w="1560"/>
      </w:tblGrid>
      <w:tr w:rsidR="00284CBE" w:rsidRPr="006431C4" w14:paraId="3C08CC9B" w14:textId="77777777" w:rsidTr="00697F2D">
        <w:tc>
          <w:tcPr>
            <w:tcW w:w="4673" w:type="dxa"/>
          </w:tcPr>
          <w:p w14:paraId="2F9B4DE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Odporność na deformacje trwałe (powiązana funkcjonalnie); dotyczy betonu asfaltowego zaprojektowanego do maksymalnego obciążenia osi poniżej 130 kN</w:t>
            </w:r>
          </w:p>
        </w:tc>
        <w:tc>
          <w:tcPr>
            <w:tcW w:w="4536" w:type="dxa"/>
          </w:tcPr>
          <w:p w14:paraId="7409059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12697-22 [41],</w:t>
            </w:r>
          </w:p>
          <w:p w14:paraId="1927534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mały aparat, metoda B,</w:t>
            </w:r>
          </w:p>
          <w:p w14:paraId="14B3CA0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 powietrzu,</w:t>
            </w:r>
          </w:p>
          <w:p w14:paraId="505B321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przy wymaganej temperaturze</w:t>
            </w:r>
          </w:p>
        </w:tc>
        <w:tc>
          <w:tcPr>
            <w:tcW w:w="1560" w:type="dxa"/>
          </w:tcPr>
          <w:p w14:paraId="559D35E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0B29DCC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60085DF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7FCABD7B" w14:textId="77777777" w:rsidTr="00697F2D">
        <w:tc>
          <w:tcPr>
            <w:tcW w:w="4673" w:type="dxa"/>
          </w:tcPr>
          <w:p w14:paraId="389E18E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Sztywność (funkcjonalna)</w:t>
            </w:r>
          </w:p>
        </w:tc>
        <w:tc>
          <w:tcPr>
            <w:tcW w:w="4536" w:type="dxa"/>
          </w:tcPr>
          <w:p w14:paraId="242EDB9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12697-26 [43]</w:t>
            </w:r>
          </w:p>
        </w:tc>
        <w:tc>
          <w:tcPr>
            <w:tcW w:w="1560" w:type="dxa"/>
          </w:tcPr>
          <w:p w14:paraId="34AA2E9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5C2B2746" w14:textId="77777777" w:rsidTr="00697F2D">
        <w:tc>
          <w:tcPr>
            <w:tcW w:w="4673" w:type="dxa"/>
          </w:tcPr>
          <w:p w14:paraId="1FD41B5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Zmęczenie (funkcjonalna) do nawierz-chni zaprojektowanych wg kryterium opartym na czteropunktowym zginaniu </w:t>
            </w:r>
          </w:p>
        </w:tc>
        <w:tc>
          <w:tcPr>
            <w:tcW w:w="4536" w:type="dxa"/>
          </w:tcPr>
          <w:p w14:paraId="27296B44"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12697-24 [42], załącznik D</w:t>
            </w:r>
          </w:p>
        </w:tc>
        <w:tc>
          <w:tcPr>
            <w:tcW w:w="1560" w:type="dxa"/>
          </w:tcPr>
          <w:p w14:paraId="7B04CBF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0210DE4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22531D9D" w14:textId="77777777" w:rsidTr="00697F2D">
        <w:tc>
          <w:tcPr>
            <w:tcW w:w="4673" w:type="dxa"/>
          </w:tcPr>
          <w:p w14:paraId="7E8E831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Odporność na paliwo (powiązana funkcjonalnie)</w:t>
            </w:r>
          </w:p>
        </w:tc>
        <w:tc>
          <w:tcPr>
            <w:tcW w:w="4536" w:type="dxa"/>
          </w:tcPr>
          <w:p w14:paraId="3C48185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12697-43 [49]</w:t>
            </w:r>
          </w:p>
        </w:tc>
        <w:tc>
          <w:tcPr>
            <w:tcW w:w="1560" w:type="dxa"/>
          </w:tcPr>
          <w:p w14:paraId="34D9CB25"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r w:rsidR="00284CBE" w:rsidRPr="006431C4" w14:paraId="38E305A4" w14:textId="77777777" w:rsidTr="00697F2D">
        <w:tc>
          <w:tcPr>
            <w:tcW w:w="4673" w:type="dxa"/>
          </w:tcPr>
          <w:p w14:paraId="69A3DB5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Odporność na środki odladzające (powiązana funkcjonalnie)</w:t>
            </w:r>
          </w:p>
        </w:tc>
        <w:tc>
          <w:tcPr>
            <w:tcW w:w="4536" w:type="dxa"/>
          </w:tcPr>
          <w:p w14:paraId="4E22612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PN-EN 12697-41 [47]</w:t>
            </w:r>
          </w:p>
        </w:tc>
        <w:tc>
          <w:tcPr>
            <w:tcW w:w="1560" w:type="dxa"/>
          </w:tcPr>
          <w:p w14:paraId="17F54EF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r>
    </w:tbl>
    <w:p w14:paraId="785C28F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029D4589"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Badanie typu należy przeprowadzić zgodnie z PN-EN 13108-20 [54] przy pierwszym wprowadzeniu mieszanek mineralno-asfaltowych do obrotu i powinno być powtórzone w wypadku: </w:t>
      </w:r>
    </w:p>
    <w:p w14:paraId="66814127" w14:textId="77777777" w:rsidR="00284CBE" w:rsidRPr="006431C4" w:rsidRDefault="00284CBE" w:rsidP="00CF1E7D">
      <w:pPr>
        <w:widowControl w:val="0"/>
        <w:numPr>
          <w:ilvl w:val="0"/>
          <w:numId w:val="140"/>
        </w:numPr>
        <w:tabs>
          <w:tab w:val="left" w:pos="240"/>
        </w:tabs>
        <w:overflowPunct w:val="0"/>
        <w:autoSpaceDE w:val="0"/>
        <w:autoSpaceDN w:val="0"/>
        <w:adjustRightInd w:val="0"/>
        <w:spacing w:line="240" w:lineRule="auto"/>
        <w:ind w:left="240" w:right="-57" w:hanging="240"/>
        <w:jc w:val="both"/>
        <w:textAlignment w:val="baseline"/>
        <w:rPr>
          <w:rFonts w:cs="Arial"/>
          <w:color w:val="000000"/>
          <w:szCs w:val="20"/>
        </w:rPr>
      </w:pPr>
      <w:r w:rsidRPr="006431C4">
        <w:rPr>
          <w:rFonts w:cs="Arial"/>
          <w:color w:val="000000"/>
          <w:szCs w:val="20"/>
        </w:rPr>
        <w:t>upływu trzech lat,</w:t>
      </w:r>
    </w:p>
    <w:p w14:paraId="07AD71B4" w14:textId="77777777" w:rsidR="00284CBE" w:rsidRPr="006431C4" w:rsidRDefault="00284CBE" w:rsidP="00CF1E7D">
      <w:pPr>
        <w:widowControl w:val="0"/>
        <w:numPr>
          <w:ilvl w:val="0"/>
          <w:numId w:val="140"/>
        </w:numPr>
        <w:tabs>
          <w:tab w:val="left" w:pos="240"/>
        </w:tabs>
        <w:overflowPunct w:val="0"/>
        <w:autoSpaceDE w:val="0"/>
        <w:autoSpaceDN w:val="0"/>
        <w:adjustRightInd w:val="0"/>
        <w:spacing w:line="240" w:lineRule="auto"/>
        <w:ind w:left="240" w:right="-57" w:hanging="240"/>
        <w:jc w:val="both"/>
        <w:textAlignment w:val="baseline"/>
        <w:rPr>
          <w:rFonts w:cs="Arial"/>
          <w:color w:val="000000"/>
          <w:szCs w:val="20"/>
        </w:rPr>
      </w:pPr>
      <w:r w:rsidRPr="006431C4">
        <w:rPr>
          <w:rFonts w:cs="Arial"/>
          <w:color w:val="000000"/>
          <w:szCs w:val="20"/>
        </w:rPr>
        <w:t>zmiany złoża kruszywa,</w:t>
      </w:r>
    </w:p>
    <w:p w14:paraId="23EFCC87" w14:textId="77777777" w:rsidR="00284CBE" w:rsidRPr="006431C4" w:rsidRDefault="00284CBE" w:rsidP="00CF1E7D">
      <w:pPr>
        <w:widowControl w:val="0"/>
        <w:numPr>
          <w:ilvl w:val="0"/>
          <w:numId w:val="140"/>
        </w:numPr>
        <w:tabs>
          <w:tab w:val="left" w:pos="240"/>
        </w:tabs>
        <w:overflowPunct w:val="0"/>
        <w:autoSpaceDE w:val="0"/>
        <w:autoSpaceDN w:val="0"/>
        <w:adjustRightInd w:val="0"/>
        <w:spacing w:line="240" w:lineRule="auto"/>
        <w:ind w:left="240" w:right="-57" w:hanging="240"/>
        <w:jc w:val="both"/>
        <w:textAlignment w:val="baseline"/>
        <w:rPr>
          <w:rFonts w:cs="Arial"/>
          <w:color w:val="000000"/>
          <w:szCs w:val="20"/>
        </w:rPr>
      </w:pPr>
      <w:r w:rsidRPr="006431C4">
        <w:rPr>
          <w:rFonts w:cs="Arial"/>
          <w:color w:val="000000"/>
          <w:szCs w:val="20"/>
        </w:rPr>
        <w:t>zmiany rodzaju kruszywa (typu petrograficznego),</w:t>
      </w:r>
    </w:p>
    <w:p w14:paraId="41860B1E" w14:textId="77777777" w:rsidR="00284CBE" w:rsidRPr="006431C4" w:rsidRDefault="00284CBE" w:rsidP="00CF1E7D">
      <w:pPr>
        <w:widowControl w:val="0"/>
        <w:numPr>
          <w:ilvl w:val="0"/>
          <w:numId w:val="140"/>
        </w:numPr>
        <w:tabs>
          <w:tab w:val="left" w:pos="240"/>
        </w:tabs>
        <w:overflowPunct w:val="0"/>
        <w:autoSpaceDE w:val="0"/>
        <w:autoSpaceDN w:val="0"/>
        <w:adjustRightInd w:val="0"/>
        <w:spacing w:line="240" w:lineRule="auto"/>
        <w:ind w:left="240" w:right="-57" w:hanging="240"/>
        <w:jc w:val="both"/>
        <w:textAlignment w:val="baseline"/>
        <w:rPr>
          <w:rFonts w:cs="Arial"/>
          <w:color w:val="000000"/>
          <w:szCs w:val="20"/>
        </w:rPr>
      </w:pPr>
      <w:r w:rsidRPr="006431C4">
        <w:rPr>
          <w:rFonts w:cs="Arial"/>
          <w:color w:val="00000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14:paraId="4E6560F4" w14:textId="77777777" w:rsidR="00284CBE" w:rsidRPr="006431C4" w:rsidRDefault="00284CBE" w:rsidP="00CF1E7D">
      <w:pPr>
        <w:widowControl w:val="0"/>
        <w:numPr>
          <w:ilvl w:val="0"/>
          <w:numId w:val="140"/>
        </w:numPr>
        <w:tabs>
          <w:tab w:val="left" w:pos="240"/>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zmiany gęstości ziaren (średnia ważona) o więcej niż 0,05 Mg/m</w:t>
      </w:r>
      <w:r w:rsidRPr="006431C4">
        <w:rPr>
          <w:rFonts w:cs="Arial"/>
          <w:color w:val="000000"/>
          <w:szCs w:val="20"/>
          <w:vertAlign w:val="superscript"/>
        </w:rPr>
        <w:t>3</w:t>
      </w:r>
      <w:r w:rsidRPr="006431C4">
        <w:rPr>
          <w:rFonts w:cs="Arial"/>
          <w:color w:val="000000"/>
          <w:szCs w:val="20"/>
        </w:rPr>
        <w:t>,</w:t>
      </w:r>
    </w:p>
    <w:p w14:paraId="22454F6D" w14:textId="77777777" w:rsidR="00284CBE" w:rsidRPr="006431C4" w:rsidRDefault="00284CBE" w:rsidP="00CF1E7D">
      <w:pPr>
        <w:widowControl w:val="0"/>
        <w:numPr>
          <w:ilvl w:val="0"/>
          <w:numId w:val="140"/>
        </w:numPr>
        <w:tabs>
          <w:tab w:val="left" w:pos="240"/>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zmiany rodzaju lepiszcza,</w:t>
      </w:r>
    </w:p>
    <w:p w14:paraId="5804D9D2" w14:textId="77777777" w:rsidR="00284CBE" w:rsidRPr="006431C4" w:rsidRDefault="00284CBE" w:rsidP="00CF1E7D">
      <w:pPr>
        <w:widowControl w:val="0"/>
        <w:numPr>
          <w:ilvl w:val="0"/>
          <w:numId w:val="140"/>
        </w:numPr>
        <w:tabs>
          <w:tab w:val="left" w:pos="240"/>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zmiany typu mineralogicznego wypełniacza.</w:t>
      </w:r>
    </w:p>
    <w:p w14:paraId="4D25233B"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24C57563"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6.3. Badania w czasie robót</w:t>
      </w:r>
    </w:p>
    <w:p w14:paraId="4635207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6.3.1. </w:t>
      </w:r>
      <w:r w:rsidRPr="006431C4">
        <w:rPr>
          <w:rFonts w:cs="Arial"/>
          <w:szCs w:val="20"/>
        </w:rPr>
        <w:t>Uwagi ogólne</w:t>
      </w:r>
    </w:p>
    <w:p w14:paraId="7F2B7CB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dzielą się na:</w:t>
      </w:r>
    </w:p>
    <w:p w14:paraId="425BC874" w14:textId="77777777" w:rsidR="00284CBE" w:rsidRPr="006431C4" w:rsidRDefault="00284CBE" w:rsidP="00CF1E7D">
      <w:pPr>
        <w:numPr>
          <w:ilvl w:val="0"/>
          <w:numId w:val="136"/>
        </w:numPr>
        <w:overflowPunct w:val="0"/>
        <w:autoSpaceDE w:val="0"/>
        <w:autoSpaceDN w:val="0"/>
        <w:adjustRightInd w:val="0"/>
        <w:spacing w:line="240" w:lineRule="auto"/>
        <w:jc w:val="both"/>
        <w:textAlignment w:val="baseline"/>
        <w:rPr>
          <w:rFonts w:cs="Arial"/>
          <w:szCs w:val="20"/>
        </w:rPr>
      </w:pPr>
      <w:r w:rsidRPr="006431C4">
        <w:rPr>
          <w:rFonts w:cs="Arial"/>
          <w:szCs w:val="20"/>
        </w:rPr>
        <w:t>badania Wykonawcy (w ramach własnego nadzoru),</w:t>
      </w:r>
    </w:p>
    <w:p w14:paraId="5625D37F" w14:textId="77777777" w:rsidR="00284CBE" w:rsidRPr="006431C4" w:rsidRDefault="00284CBE" w:rsidP="00CF1E7D">
      <w:pPr>
        <w:numPr>
          <w:ilvl w:val="0"/>
          <w:numId w:val="136"/>
        </w:numPr>
        <w:overflowPunct w:val="0"/>
        <w:autoSpaceDE w:val="0"/>
        <w:autoSpaceDN w:val="0"/>
        <w:adjustRightInd w:val="0"/>
        <w:spacing w:line="240" w:lineRule="auto"/>
        <w:jc w:val="both"/>
        <w:textAlignment w:val="baseline"/>
        <w:rPr>
          <w:rFonts w:cs="Arial"/>
          <w:szCs w:val="20"/>
        </w:rPr>
      </w:pPr>
      <w:r w:rsidRPr="006431C4">
        <w:rPr>
          <w:rFonts w:cs="Arial"/>
          <w:szCs w:val="20"/>
        </w:rPr>
        <w:t>badania kontrolne (w ramach nadzoru zleceniodawcy – Inżyniera)</w:t>
      </w:r>
    </w:p>
    <w:p w14:paraId="042F8250" w14:textId="77777777" w:rsidR="00284CBE" w:rsidRPr="006431C4" w:rsidRDefault="00284CBE" w:rsidP="00CF1E7D">
      <w:pPr>
        <w:numPr>
          <w:ilvl w:val="0"/>
          <w:numId w:val="136"/>
        </w:numPr>
        <w:overflowPunct w:val="0"/>
        <w:autoSpaceDE w:val="0"/>
        <w:autoSpaceDN w:val="0"/>
        <w:adjustRightInd w:val="0"/>
        <w:spacing w:line="240" w:lineRule="auto"/>
        <w:ind w:hanging="37"/>
        <w:jc w:val="both"/>
        <w:textAlignment w:val="baseline"/>
        <w:rPr>
          <w:rFonts w:cs="Arial"/>
          <w:szCs w:val="20"/>
        </w:rPr>
      </w:pPr>
      <w:r w:rsidRPr="006431C4">
        <w:rPr>
          <w:rFonts w:cs="Arial"/>
          <w:szCs w:val="20"/>
        </w:rPr>
        <w:t>dodatkowe,</w:t>
      </w:r>
    </w:p>
    <w:p w14:paraId="2DA6DC01" w14:textId="77777777" w:rsidR="00284CBE" w:rsidRPr="006431C4" w:rsidRDefault="00284CBE" w:rsidP="00CF1E7D">
      <w:pPr>
        <w:numPr>
          <w:ilvl w:val="0"/>
          <w:numId w:val="136"/>
        </w:numPr>
        <w:overflowPunct w:val="0"/>
        <w:autoSpaceDE w:val="0"/>
        <w:autoSpaceDN w:val="0"/>
        <w:adjustRightInd w:val="0"/>
        <w:spacing w:line="240" w:lineRule="auto"/>
        <w:ind w:hanging="37"/>
        <w:jc w:val="both"/>
        <w:textAlignment w:val="baseline"/>
        <w:rPr>
          <w:rFonts w:cs="Arial"/>
          <w:szCs w:val="20"/>
        </w:rPr>
      </w:pPr>
      <w:r w:rsidRPr="006431C4">
        <w:rPr>
          <w:rFonts w:cs="Arial"/>
          <w:szCs w:val="20"/>
        </w:rPr>
        <w:t>arbitrażowe.</w:t>
      </w:r>
    </w:p>
    <w:p w14:paraId="7552DAE4"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6.4. Badania Wykonawcy</w:t>
      </w:r>
    </w:p>
    <w:p w14:paraId="06A4567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6.4.1.</w:t>
      </w:r>
      <w:r w:rsidRPr="006431C4">
        <w:rPr>
          <w:rFonts w:cs="Arial"/>
          <w:szCs w:val="20"/>
        </w:rPr>
        <w:t xml:space="preserve"> Badania w czasie wytwarzania mieszanki mineralno-asfaltowej </w:t>
      </w:r>
    </w:p>
    <w:p w14:paraId="6994D90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Badania Wykonawcy w czasie wytwarzania mieszanki mineralno–asfaltowej powinny być wykonywane w ramach zakładowej kontroli produkcji, zgodnie z normą PN-EN 13108-21 [55].</w:t>
      </w:r>
    </w:p>
    <w:p w14:paraId="0E56F9A7"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Zakres badań Wykonawcy w systemie zakładowej kontroli produkcji obejmuje:</w:t>
      </w:r>
    </w:p>
    <w:p w14:paraId="39B424CE" w14:textId="77777777" w:rsidR="00284CBE" w:rsidRPr="006431C4" w:rsidRDefault="00284CBE" w:rsidP="00CF1E7D">
      <w:pPr>
        <w:numPr>
          <w:ilvl w:val="0"/>
          <w:numId w:val="146"/>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badania materiałów wsadowych do mieszanki mineralno-asfaltowej (asfaltów, kruszyw wypełniacza  i dodatków), </w:t>
      </w:r>
    </w:p>
    <w:p w14:paraId="4EF4C1F6" w14:textId="77777777" w:rsidR="00284CBE" w:rsidRPr="006431C4" w:rsidRDefault="00284CBE" w:rsidP="00CF1E7D">
      <w:pPr>
        <w:numPr>
          <w:ilvl w:val="0"/>
          <w:numId w:val="146"/>
        </w:numPr>
        <w:overflowPunct w:val="0"/>
        <w:autoSpaceDE w:val="0"/>
        <w:autoSpaceDN w:val="0"/>
        <w:adjustRightInd w:val="0"/>
        <w:spacing w:line="240" w:lineRule="auto"/>
        <w:jc w:val="both"/>
        <w:textAlignment w:val="baseline"/>
        <w:rPr>
          <w:rFonts w:cs="Arial"/>
          <w:szCs w:val="20"/>
        </w:rPr>
      </w:pPr>
      <w:r w:rsidRPr="006431C4">
        <w:rPr>
          <w:rFonts w:cs="Arial"/>
          <w:szCs w:val="20"/>
        </w:rPr>
        <w:t>badanie składu i właściwości mieszanki mineralno-asfaltowej.</w:t>
      </w:r>
    </w:p>
    <w:p w14:paraId="1EC1CD04"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Częstotliwość oraz zakres badań i pomiarów w czasie wytwarzania mieszanki mineralno-asfaltowej powinno być zgodne z certyfikowanym systemem ZKP. </w:t>
      </w:r>
    </w:p>
    <w:p w14:paraId="0BE2D35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6.4.2.</w:t>
      </w:r>
      <w:r w:rsidRPr="006431C4">
        <w:rPr>
          <w:rFonts w:cs="Arial"/>
          <w:szCs w:val="20"/>
        </w:rPr>
        <w:t xml:space="preserve"> Badania w czasie wykonywania warstwy asfaltowej i badania gotowej warstwy</w:t>
      </w:r>
      <w:r w:rsidRPr="006431C4">
        <w:rPr>
          <w:rFonts w:cs="Arial"/>
          <w:szCs w:val="20"/>
        </w:rPr>
        <w:tab/>
        <w:t xml:space="preserve"> </w:t>
      </w:r>
    </w:p>
    <w:p w14:paraId="17D295FC"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04D0B52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55C31D8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Wyniki badań Wykonawcy należy przekazywać Inżynierowi na jego żądanie. Inżynier może zdecydować o dokonaniu odbioru na podstawie badań Wykonawcy. W razie zastrzeżeń Inżynier może przeprowadzić badania kontrolne według pktu 6.5.</w:t>
      </w:r>
    </w:p>
    <w:p w14:paraId="39513F0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Zakres badań Wykonawcy związany z wykonywaniem nawierzchni:</w:t>
      </w:r>
    </w:p>
    <w:p w14:paraId="7CECC297" w14:textId="77777777" w:rsidR="00284CBE" w:rsidRPr="006431C4" w:rsidRDefault="00284C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temperatury powietrza,</w:t>
      </w:r>
    </w:p>
    <w:p w14:paraId="21F21823" w14:textId="77777777" w:rsidR="00284CBE" w:rsidRPr="006431C4" w:rsidRDefault="00284C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temperatury mieszanki mineralno-asfaltowej podczas wykonywania nawierzchni (wg PN-EN 12697-13 [40]),</w:t>
      </w:r>
    </w:p>
    <w:p w14:paraId="5F94C52A" w14:textId="77777777" w:rsidR="00284CBE" w:rsidRPr="006431C4" w:rsidRDefault="00284C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mieszanki mineralno-asfaltowej,</w:t>
      </w:r>
    </w:p>
    <w:p w14:paraId="695CBCEA" w14:textId="77777777" w:rsidR="00284CBE" w:rsidRPr="006431C4" w:rsidRDefault="00284C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wykaz ilości materiałów lub grubości wykonanej warstwy,</w:t>
      </w:r>
    </w:p>
    <w:p w14:paraId="25C842FD" w14:textId="77777777" w:rsidR="00284CBE" w:rsidRPr="006431C4" w:rsidRDefault="00284C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spadku poprzecznego warstwy asfaltowej,</w:t>
      </w:r>
    </w:p>
    <w:p w14:paraId="0EBE9F8E" w14:textId="77777777" w:rsidR="00284CBE" w:rsidRPr="006431C4" w:rsidRDefault="00284C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równości warstwy asfaltowej (wg pktu 6.5.4.4),</w:t>
      </w:r>
    </w:p>
    <w:p w14:paraId="41FBD48A" w14:textId="77777777" w:rsidR="00284CBE" w:rsidRPr="006431C4" w:rsidRDefault="00284C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pomiar parametrów geometrycznych poboczy,</w:t>
      </w:r>
    </w:p>
    <w:p w14:paraId="751596AF" w14:textId="77777777" w:rsidR="00284CBE" w:rsidRPr="006431C4" w:rsidRDefault="00284C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jednorodności powierzchni warstwy,</w:t>
      </w:r>
    </w:p>
    <w:p w14:paraId="5842AEA2" w14:textId="77777777" w:rsidR="00284CBE" w:rsidRPr="006431C4" w:rsidRDefault="00284CBE" w:rsidP="00CF1E7D">
      <w:pPr>
        <w:numPr>
          <w:ilvl w:val="0"/>
          <w:numId w:val="137"/>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jakości wykonania połączeń technologicznych.</w:t>
      </w:r>
    </w:p>
    <w:p w14:paraId="11326ED2"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6.5. Badania kontrolne Zamawiającego</w:t>
      </w:r>
    </w:p>
    <w:p w14:paraId="56D22C5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57FB7BA4" w14:textId="77777777" w:rsidR="00284CBE" w:rsidRPr="006431C4" w:rsidRDefault="00284CBE" w:rsidP="00284CBE">
      <w:pPr>
        <w:spacing w:line="240" w:lineRule="auto"/>
        <w:ind w:firstLine="709"/>
        <w:jc w:val="both"/>
        <w:rPr>
          <w:rFonts w:cs="Arial"/>
          <w:szCs w:val="20"/>
        </w:rPr>
      </w:pPr>
      <w:r w:rsidRPr="006431C4">
        <w:rPr>
          <w:rFonts w:cs="Arial"/>
          <w:szCs w:val="20"/>
        </w:rPr>
        <w:t xml:space="preserve">Rodzaj i zakres badań kontrolnych Zamawiającego mieszanki mineralno-asfaltowej i wykonanej warstwy jest następujący: </w:t>
      </w:r>
    </w:p>
    <w:p w14:paraId="65C31659" w14:textId="77777777" w:rsidR="00284CBE" w:rsidRPr="006431C4" w:rsidRDefault="00284CBE" w:rsidP="00CF1E7D">
      <w:pPr>
        <w:numPr>
          <w:ilvl w:val="0"/>
          <w:numId w:val="168"/>
        </w:numPr>
        <w:overflowPunct w:val="0"/>
        <w:autoSpaceDE w:val="0"/>
        <w:autoSpaceDN w:val="0"/>
        <w:adjustRightInd w:val="0"/>
        <w:spacing w:line="240" w:lineRule="auto"/>
        <w:jc w:val="both"/>
        <w:textAlignment w:val="baseline"/>
        <w:rPr>
          <w:rFonts w:cs="Arial"/>
          <w:szCs w:val="20"/>
        </w:rPr>
      </w:pPr>
      <w:r w:rsidRPr="006431C4">
        <w:rPr>
          <w:rFonts w:cs="Arial"/>
          <w:szCs w:val="20"/>
        </w:rPr>
        <w:t>badania materiałów wsadowych do mieszanki mineralno-asfaltowej (asfaltów, kruszyw, wypełniacza  i dodatków).</w:t>
      </w:r>
    </w:p>
    <w:p w14:paraId="083D3106" w14:textId="77777777" w:rsidR="00284CBE" w:rsidRPr="006431C4" w:rsidRDefault="00284CBE" w:rsidP="00284CBE">
      <w:pPr>
        <w:spacing w:line="240" w:lineRule="auto"/>
        <w:jc w:val="both"/>
        <w:rPr>
          <w:rFonts w:cs="Arial"/>
          <w:szCs w:val="20"/>
        </w:rPr>
      </w:pPr>
      <w:r w:rsidRPr="006431C4">
        <w:rPr>
          <w:rFonts w:cs="Arial"/>
          <w:szCs w:val="20"/>
        </w:rPr>
        <w:t xml:space="preserve">Mieszanka mineralno-asfaltowa </w:t>
      </w:r>
      <w:r w:rsidRPr="006431C4">
        <w:rPr>
          <w:rFonts w:cs="Arial"/>
          <w:szCs w:val="20"/>
          <w:vertAlign w:val="superscript"/>
        </w:rPr>
        <w:t>a)</w:t>
      </w:r>
      <w:r w:rsidRPr="006431C4">
        <w:rPr>
          <w:rFonts w:cs="Arial"/>
          <w:szCs w:val="20"/>
        </w:rPr>
        <w:t>:</w:t>
      </w:r>
    </w:p>
    <w:p w14:paraId="2E8E5ABE" w14:textId="77777777" w:rsidR="00284CBE" w:rsidRPr="006431C4" w:rsidRDefault="00284CBE" w:rsidP="00CF1E7D">
      <w:pPr>
        <w:numPr>
          <w:ilvl w:val="0"/>
          <w:numId w:val="169"/>
        </w:numPr>
        <w:overflowPunct w:val="0"/>
        <w:autoSpaceDE w:val="0"/>
        <w:autoSpaceDN w:val="0"/>
        <w:adjustRightInd w:val="0"/>
        <w:spacing w:line="240" w:lineRule="auto"/>
        <w:jc w:val="both"/>
        <w:textAlignment w:val="baseline"/>
        <w:rPr>
          <w:rFonts w:cs="Arial"/>
          <w:szCs w:val="20"/>
        </w:rPr>
      </w:pPr>
      <w:r w:rsidRPr="006431C4">
        <w:rPr>
          <w:rFonts w:cs="Arial"/>
          <w:szCs w:val="20"/>
        </w:rPr>
        <w:t>uziarnienie,</w:t>
      </w:r>
    </w:p>
    <w:p w14:paraId="263C0145" w14:textId="77777777" w:rsidR="00284CBE" w:rsidRPr="006431C4" w:rsidRDefault="00284CBE" w:rsidP="00CF1E7D">
      <w:pPr>
        <w:numPr>
          <w:ilvl w:val="0"/>
          <w:numId w:val="169"/>
        </w:numPr>
        <w:overflowPunct w:val="0"/>
        <w:autoSpaceDE w:val="0"/>
        <w:autoSpaceDN w:val="0"/>
        <w:adjustRightInd w:val="0"/>
        <w:spacing w:line="240" w:lineRule="auto"/>
        <w:jc w:val="both"/>
        <w:textAlignment w:val="baseline"/>
        <w:rPr>
          <w:rFonts w:cs="Arial"/>
          <w:szCs w:val="20"/>
        </w:rPr>
      </w:pPr>
      <w:r w:rsidRPr="006431C4">
        <w:rPr>
          <w:rFonts w:cs="Arial"/>
          <w:szCs w:val="20"/>
        </w:rPr>
        <w:t>zawartość lepiszcza,</w:t>
      </w:r>
    </w:p>
    <w:p w14:paraId="67096A2A" w14:textId="77777777" w:rsidR="00284CBE" w:rsidRPr="006431C4" w:rsidRDefault="00284CBE" w:rsidP="00CF1E7D">
      <w:pPr>
        <w:numPr>
          <w:ilvl w:val="0"/>
          <w:numId w:val="169"/>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temperatura </w:t>
      </w:r>
      <w:r w:rsidRPr="006431C4">
        <w:rPr>
          <w:rFonts w:cs="Arial"/>
          <w:szCs w:val="20"/>
        </w:rPr>
        <w:pgNum/>
      </w:r>
      <w:r w:rsidRPr="006431C4">
        <w:rPr>
          <w:rFonts w:cs="Arial"/>
          <w:szCs w:val="20"/>
        </w:rPr>
        <w:t>mięknienia odzyskanego lepiszcza,</w:t>
      </w:r>
    </w:p>
    <w:p w14:paraId="6F3AACA4" w14:textId="77777777" w:rsidR="00284CBE" w:rsidRPr="006431C4" w:rsidRDefault="00284CBE" w:rsidP="00CF1E7D">
      <w:pPr>
        <w:numPr>
          <w:ilvl w:val="0"/>
          <w:numId w:val="169"/>
        </w:numPr>
        <w:overflowPunct w:val="0"/>
        <w:autoSpaceDE w:val="0"/>
        <w:autoSpaceDN w:val="0"/>
        <w:adjustRightInd w:val="0"/>
        <w:spacing w:line="240" w:lineRule="auto"/>
        <w:jc w:val="both"/>
        <w:textAlignment w:val="baseline"/>
        <w:rPr>
          <w:rFonts w:cs="Arial"/>
          <w:szCs w:val="20"/>
        </w:rPr>
      </w:pPr>
      <w:r w:rsidRPr="006431C4">
        <w:rPr>
          <w:rFonts w:cs="Arial"/>
          <w:szCs w:val="20"/>
        </w:rPr>
        <w:t>gęstość i zawartość wolnych przestrzeni próbki.</w:t>
      </w:r>
    </w:p>
    <w:p w14:paraId="38FDF22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Warunki technologiczne wbudowywania mieszanki mineralno-asfaltowej:</w:t>
      </w:r>
    </w:p>
    <w:p w14:paraId="0140D06A" w14:textId="77777777" w:rsidR="00284CBE" w:rsidRPr="006431C4" w:rsidRDefault="00284CBE" w:rsidP="00CF1E7D">
      <w:pPr>
        <w:numPr>
          <w:ilvl w:val="0"/>
          <w:numId w:val="170"/>
        </w:numPr>
        <w:overflowPunct w:val="0"/>
        <w:autoSpaceDE w:val="0"/>
        <w:autoSpaceDN w:val="0"/>
        <w:adjustRightInd w:val="0"/>
        <w:spacing w:line="240" w:lineRule="auto"/>
        <w:jc w:val="both"/>
        <w:textAlignment w:val="baseline"/>
        <w:rPr>
          <w:rFonts w:cs="Arial"/>
          <w:szCs w:val="20"/>
        </w:rPr>
      </w:pPr>
      <w:r w:rsidRPr="006431C4">
        <w:rPr>
          <w:rFonts w:cs="Arial"/>
          <w:szCs w:val="20"/>
        </w:rPr>
        <w:t>pomiar temperatury powietrza podczas pobrania  próby do badań,</w:t>
      </w:r>
    </w:p>
    <w:p w14:paraId="2E883618" w14:textId="77777777" w:rsidR="00284CBE" w:rsidRPr="006431C4" w:rsidRDefault="00284CBE" w:rsidP="00CF1E7D">
      <w:pPr>
        <w:numPr>
          <w:ilvl w:val="0"/>
          <w:numId w:val="170"/>
        </w:numPr>
        <w:overflowPunct w:val="0"/>
        <w:autoSpaceDE w:val="0"/>
        <w:autoSpaceDN w:val="0"/>
        <w:adjustRightInd w:val="0"/>
        <w:spacing w:line="240" w:lineRule="auto"/>
        <w:jc w:val="both"/>
        <w:textAlignment w:val="baseline"/>
        <w:rPr>
          <w:rFonts w:cs="Arial"/>
          <w:szCs w:val="20"/>
        </w:rPr>
      </w:pPr>
      <w:r w:rsidRPr="006431C4">
        <w:rPr>
          <w:rFonts w:cs="Arial"/>
          <w:szCs w:val="20"/>
        </w:rPr>
        <w:t>pomiar temperatury mieszanki mineralno-asfaltowej,</w:t>
      </w:r>
    </w:p>
    <w:p w14:paraId="3A900A6A" w14:textId="77777777" w:rsidR="00284CBE" w:rsidRPr="006431C4" w:rsidRDefault="00284CBE" w:rsidP="00CF1E7D">
      <w:pPr>
        <w:numPr>
          <w:ilvl w:val="0"/>
          <w:numId w:val="170"/>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dostarczonej mieszanki mineralno-asfaltowej.</w:t>
      </w:r>
    </w:p>
    <w:p w14:paraId="42EC65B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Wykonana warstwa:</w:t>
      </w:r>
    </w:p>
    <w:p w14:paraId="0207713B"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wskaźnik zagęszczenia</w:t>
      </w:r>
    </w:p>
    <w:p w14:paraId="728FA40C"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grubość warstwy lub ilość zużytego materiału,</w:t>
      </w:r>
    </w:p>
    <w:p w14:paraId="0B95425F"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równość podłużna i poprzeczna,</w:t>
      </w:r>
    </w:p>
    <w:p w14:paraId="781FF12D"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spadki poprzeczne,</w:t>
      </w:r>
    </w:p>
    <w:p w14:paraId="7C74542A"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zawartość wolnych przestrzeni,</w:t>
      </w:r>
    </w:p>
    <w:p w14:paraId="15CDC32D"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złącza technologiczne,</w:t>
      </w:r>
    </w:p>
    <w:p w14:paraId="11C548D4"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szerokość warstwy,</w:t>
      </w:r>
    </w:p>
    <w:p w14:paraId="58879853"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rzędne wysokościowe,</w:t>
      </w:r>
    </w:p>
    <w:p w14:paraId="64EB818A"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ukształtowanie osi w planie,</w:t>
      </w:r>
    </w:p>
    <w:p w14:paraId="39D57FB9" w14:textId="77777777" w:rsidR="00284CBE" w:rsidRPr="006431C4" w:rsidRDefault="00284CBE" w:rsidP="00CF1E7D">
      <w:pPr>
        <w:numPr>
          <w:ilvl w:val="0"/>
          <w:numId w:val="171"/>
        </w:numPr>
        <w:overflowPunct w:val="0"/>
        <w:autoSpaceDE w:val="0"/>
        <w:autoSpaceDN w:val="0"/>
        <w:adjustRightInd w:val="0"/>
        <w:spacing w:line="240" w:lineRule="auto"/>
        <w:jc w:val="both"/>
        <w:textAlignment w:val="baseline"/>
        <w:rPr>
          <w:rFonts w:cs="Arial"/>
          <w:szCs w:val="20"/>
        </w:rPr>
      </w:pPr>
      <w:r w:rsidRPr="006431C4">
        <w:rPr>
          <w:rFonts w:cs="Arial"/>
          <w:szCs w:val="20"/>
        </w:rPr>
        <w:t>ocena wizualna warstwy.</w:t>
      </w:r>
    </w:p>
    <w:p w14:paraId="4E91A7F5" w14:textId="77777777" w:rsidR="00284CBE" w:rsidRPr="006431C4" w:rsidRDefault="00284CBE" w:rsidP="00284CBE">
      <w:pPr>
        <w:keepNext/>
        <w:overflowPunct w:val="0"/>
        <w:autoSpaceDE w:val="0"/>
        <w:autoSpaceDN w:val="0"/>
        <w:adjustRightInd w:val="0"/>
        <w:spacing w:line="240" w:lineRule="auto"/>
        <w:jc w:val="both"/>
        <w:textAlignment w:val="baseline"/>
        <w:rPr>
          <w:rFonts w:cs="Arial"/>
          <w:b/>
          <w:color w:val="000000"/>
          <w:szCs w:val="20"/>
        </w:rPr>
      </w:pPr>
      <w:r w:rsidRPr="006431C4">
        <w:rPr>
          <w:rFonts w:cs="Arial"/>
          <w:szCs w:val="20"/>
          <w:vertAlign w:val="superscript"/>
        </w:rPr>
        <w:t>a)</w:t>
      </w:r>
      <w:r w:rsidRPr="006431C4">
        <w:rPr>
          <w:rFonts w:cs="Arial"/>
          <w:szCs w:val="20"/>
        </w:rPr>
        <w:t xml:space="preserve">  w razie potrzeby specjalne kruszywa i dodatki.</w:t>
      </w:r>
    </w:p>
    <w:p w14:paraId="44E5545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6.5.1.</w:t>
      </w:r>
      <w:r w:rsidRPr="006431C4">
        <w:rPr>
          <w:rFonts w:cs="Arial"/>
          <w:szCs w:val="20"/>
        </w:rPr>
        <w:t xml:space="preserve"> Badanie materiałów wsadowych</w:t>
      </w:r>
    </w:p>
    <w:p w14:paraId="2CE194DA"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Właściwości materiałów wsadowych należy oceniać na podstawie badań pobranych próbek w miejscu produkcji  mieszanki mineralno-asfaltowej. </w:t>
      </w:r>
    </w:p>
    <w:p w14:paraId="651843B6"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oceny jakości materiałów wsadowych mieszanki mineralno-asfaltowej, za zgodą nadzoru i Zamawiającego mogą posłużyć wyniki badań wykonanych w ramach zakładowej kontroli produkcji. </w:t>
      </w:r>
    </w:p>
    <w:p w14:paraId="6EEA991F"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6.5.1.1.</w:t>
      </w:r>
      <w:r w:rsidRPr="006431C4">
        <w:rPr>
          <w:rFonts w:cs="Arial"/>
          <w:b/>
          <w:color w:val="000000"/>
          <w:szCs w:val="20"/>
        </w:rPr>
        <w:t xml:space="preserve"> </w:t>
      </w:r>
      <w:r w:rsidRPr="006431C4">
        <w:rPr>
          <w:rFonts w:cs="Arial"/>
          <w:color w:val="000000"/>
          <w:szCs w:val="20"/>
        </w:rPr>
        <w:t>Kruszywa i wypełniacz</w:t>
      </w:r>
    </w:p>
    <w:p w14:paraId="39012BB4"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 xml:space="preserve">Z kruszywa należy pobrać i zbadać średnie próbki. Wielkość pobranej średniej próbki nie może być mniejsza niż: </w:t>
      </w:r>
    </w:p>
    <w:p w14:paraId="7CF67287" w14:textId="77777777" w:rsidR="00284CBE" w:rsidRPr="006431C4" w:rsidRDefault="00284C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wypełniacz</w:t>
      </w:r>
      <w:r w:rsidRPr="006431C4">
        <w:rPr>
          <w:rFonts w:cs="Arial"/>
          <w:color w:val="000000"/>
          <w:szCs w:val="20"/>
        </w:rPr>
        <w:tab/>
      </w:r>
      <w:r w:rsidRPr="006431C4">
        <w:rPr>
          <w:rFonts w:cs="Arial"/>
          <w:color w:val="000000"/>
          <w:szCs w:val="20"/>
        </w:rPr>
        <w:tab/>
      </w:r>
      <w:r w:rsidRPr="006431C4">
        <w:rPr>
          <w:rFonts w:cs="Arial"/>
          <w:color w:val="000000"/>
          <w:szCs w:val="20"/>
        </w:rPr>
        <w:tab/>
      </w:r>
      <w:r w:rsidRPr="006431C4">
        <w:rPr>
          <w:rFonts w:cs="Arial"/>
          <w:color w:val="000000"/>
          <w:szCs w:val="20"/>
        </w:rPr>
        <w:tab/>
      </w:r>
      <w:r w:rsidRPr="006431C4">
        <w:rPr>
          <w:rFonts w:cs="Arial"/>
          <w:color w:val="000000"/>
          <w:szCs w:val="20"/>
        </w:rPr>
        <w:tab/>
      </w:r>
      <w:smartTag w:uri="urn:schemas-microsoft-com:office:smarttags" w:element="metricconverter">
        <w:smartTagPr>
          <w:attr w:name="ProductID" w:val="2 kg"/>
        </w:smartTagPr>
        <w:r w:rsidRPr="006431C4">
          <w:rPr>
            <w:rFonts w:cs="Arial"/>
            <w:color w:val="000000"/>
            <w:szCs w:val="20"/>
          </w:rPr>
          <w:t>2 kg</w:t>
        </w:r>
      </w:smartTag>
      <w:r w:rsidRPr="006431C4">
        <w:rPr>
          <w:rFonts w:cs="Arial"/>
          <w:color w:val="000000"/>
          <w:szCs w:val="20"/>
        </w:rPr>
        <w:t>,</w:t>
      </w:r>
    </w:p>
    <w:p w14:paraId="15949297" w14:textId="77777777" w:rsidR="00284CBE" w:rsidRPr="006431C4" w:rsidRDefault="00284C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 xml:space="preserve">kruszywa o uziarnieniu do </w:t>
      </w:r>
      <w:smartTag w:uri="urn:schemas-microsoft-com:office:smarttags" w:element="metricconverter">
        <w:smartTagPr>
          <w:attr w:name="ProductID" w:val="8 mm"/>
        </w:smartTagPr>
        <w:r w:rsidRPr="006431C4">
          <w:rPr>
            <w:rFonts w:cs="Arial"/>
            <w:color w:val="000000"/>
            <w:szCs w:val="20"/>
          </w:rPr>
          <w:t>8 mm</w:t>
        </w:r>
      </w:smartTag>
      <w:r w:rsidRPr="006431C4">
        <w:rPr>
          <w:rFonts w:cs="Arial"/>
          <w:color w:val="000000"/>
          <w:szCs w:val="20"/>
        </w:rPr>
        <w:tab/>
      </w:r>
      <w:r w:rsidRPr="006431C4">
        <w:rPr>
          <w:rFonts w:cs="Arial"/>
          <w:color w:val="000000"/>
          <w:szCs w:val="20"/>
        </w:rPr>
        <w:tab/>
      </w:r>
      <w:smartTag w:uri="urn:schemas-microsoft-com:office:smarttags" w:element="metricconverter">
        <w:smartTagPr>
          <w:attr w:name="ProductID" w:val="5 kg"/>
        </w:smartTagPr>
        <w:r w:rsidRPr="006431C4">
          <w:rPr>
            <w:rFonts w:cs="Arial"/>
            <w:color w:val="000000"/>
            <w:szCs w:val="20"/>
          </w:rPr>
          <w:t>5 kg</w:t>
        </w:r>
      </w:smartTag>
      <w:r w:rsidRPr="006431C4">
        <w:rPr>
          <w:rFonts w:cs="Arial"/>
          <w:color w:val="000000"/>
          <w:szCs w:val="20"/>
        </w:rPr>
        <w:t>,</w:t>
      </w:r>
    </w:p>
    <w:p w14:paraId="7FC873E8" w14:textId="77777777" w:rsidR="00284CBE" w:rsidRPr="006431C4" w:rsidRDefault="00284CBE" w:rsidP="00CF1E7D">
      <w:pPr>
        <w:widowControl w:val="0"/>
        <w:numPr>
          <w:ilvl w:val="0"/>
          <w:numId w:val="140"/>
        </w:numPr>
        <w:tabs>
          <w:tab w:val="left" w:pos="426"/>
        </w:tabs>
        <w:overflowPunct w:val="0"/>
        <w:autoSpaceDE w:val="0"/>
        <w:autoSpaceDN w:val="0"/>
        <w:adjustRightInd w:val="0"/>
        <w:spacing w:line="240" w:lineRule="auto"/>
        <w:ind w:left="426" w:right="-57" w:hanging="426"/>
        <w:jc w:val="both"/>
        <w:textAlignment w:val="baseline"/>
        <w:rPr>
          <w:rFonts w:cs="Arial"/>
          <w:color w:val="000000"/>
          <w:szCs w:val="20"/>
        </w:rPr>
      </w:pPr>
      <w:r w:rsidRPr="006431C4">
        <w:rPr>
          <w:rFonts w:cs="Arial"/>
          <w:color w:val="000000"/>
          <w:szCs w:val="20"/>
        </w:rPr>
        <w:t xml:space="preserve">kruszywa o uziarnieniu powyżej </w:t>
      </w:r>
      <w:smartTag w:uri="urn:schemas-microsoft-com:office:smarttags" w:element="metricconverter">
        <w:smartTagPr>
          <w:attr w:name="ProductID" w:val="8 mm"/>
        </w:smartTagPr>
        <w:r w:rsidRPr="006431C4">
          <w:rPr>
            <w:rFonts w:cs="Arial"/>
            <w:color w:val="000000"/>
            <w:szCs w:val="20"/>
          </w:rPr>
          <w:t>8 mm</w:t>
        </w:r>
      </w:smartTag>
      <w:r w:rsidRPr="006431C4">
        <w:rPr>
          <w:rFonts w:cs="Arial"/>
          <w:color w:val="000000"/>
          <w:szCs w:val="20"/>
        </w:rPr>
        <w:tab/>
      </w:r>
      <w:r w:rsidRPr="006431C4">
        <w:rPr>
          <w:rFonts w:cs="Arial"/>
          <w:color w:val="000000"/>
          <w:szCs w:val="20"/>
        </w:rPr>
        <w:tab/>
      </w:r>
      <w:smartTag w:uri="urn:schemas-microsoft-com:office:smarttags" w:element="metricconverter">
        <w:smartTagPr>
          <w:attr w:name="ProductID" w:val="15 kg"/>
        </w:smartTagPr>
        <w:r w:rsidRPr="006431C4">
          <w:rPr>
            <w:rFonts w:cs="Arial"/>
            <w:color w:val="000000"/>
            <w:szCs w:val="20"/>
          </w:rPr>
          <w:t>15 kg</w:t>
        </w:r>
      </w:smartTag>
      <w:r w:rsidRPr="006431C4">
        <w:rPr>
          <w:rFonts w:cs="Arial"/>
          <w:color w:val="000000"/>
          <w:szCs w:val="20"/>
        </w:rPr>
        <w:t>.</w:t>
      </w:r>
    </w:p>
    <w:p w14:paraId="48138F4E" w14:textId="77777777" w:rsidR="00284CBE" w:rsidRPr="006431C4" w:rsidRDefault="00284CBE" w:rsidP="00284CBE">
      <w:pPr>
        <w:widowControl w:val="0"/>
        <w:tabs>
          <w:tab w:val="left" w:pos="426"/>
        </w:tabs>
        <w:spacing w:line="240" w:lineRule="auto"/>
        <w:ind w:right="-57"/>
        <w:jc w:val="both"/>
        <w:rPr>
          <w:rFonts w:cs="Arial"/>
          <w:color w:val="000000"/>
          <w:szCs w:val="20"/>
        </w:rPr>
      </w:pPr>
      <w:r w:rsidRPr="006431C4">
        <w:rPr>
          <w:rFonts w:cs="Arial"/>
          <w:color w:val="000000"/>
          <w:szCs w:val="20"/>
        </w:rPr>
        <w:tab/>
      </w:r>
      <w:r w:rsidRPr="006431C4">
        <w:rPr>
          <w:rFonts w:cs="Arial"/>
          <w:color w:val="000000"/>
          <w:szCs w:val="20"/>
        </w:rPr>
        <w:tab/>
        <w:t>Wypełniacz i kruszywa powinny spełniać wymagania podane w pkcie  2.4.</w:t>
      </w:r>
    </w:p>
    <w:p w14:paraId="316D7F46"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 xml:space="preserve">6.5.1.2. Lepiszcze </w:t>
      </w:r>
    </w:p>
    <w:p w14:paraId="50B87566"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6431C4">
          <w:rPr>
            <w:rFonts w:cs="Arial"/>
            <w:color w:val="000000"/>
            <w:szCs w:val="20"/>
          </w:rPr>
          <w:t>2 kg</w:t>
        </w:r>
      </w:smartTag>
      <w:r w:rsidRPr="006431C4">
        <w:rPr>
          <w:rFonts w:cs="Arial"/>
          <w:color w:val="000000"/>
          <w:szCs w:val="20"/>
        </w:rPr>
        <w:t>. Z tego jedną próbkę częściową należy poddać badaniom. Ponadto należy  zbadać kolejną próbkę, jeżeli wygląd zewnętrzny (jednolitość, kolor, zapach, zanieczyszczenia) może budzić obawy.</w:t>
      </w:r>
    </w:p>
    <w:p w14:paraId="4F7CA325"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lastRenderedPageBreak/>
        <w:t>Asfalty powinny spełniać wymagania podane w pkcie 2.2 i 2.3.</w:t>
      </w:r>
    </w:p>
    <w:p w14:paraId="7B8B9B27"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 xml:space="preserve">6.5.1.3. Materiały do uszczelniania połączeń </w:t>
      </w:r>
    </w:p>
    <w:p w14:paraId="35CC29C5"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szCs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6431C4">
          <w:rPr>
            <w:rFonts w:cs="Arial"/>
            <w:szCs w:val="20"/>
          </w:rPr>
          <w:t>2 kg</w:t>
        </w:r>
      </w:smartTag>
      <w:r w:rsidRPr="006431C4">
        <w:rPr>
          <w:rFonts w:cs="Arial"/>
          <w:szCs w:val="20"/>
        </w:rPr>
        <w:t>. Z tego jedną próbkę częściową należy</w:t>
      </w:r>
      <w:r w:rsidRPr="006431C4">
        <w:rPr>
          <w:rFonts w:cs="Arial"/>
          <w:color w:val="000000"/>
          <w:szCs w:val="20"/>
        </w:rPr>
        <w:t xml:space="preserve"> poddać badaniom. Ponadto należy pobrać i zbadać kolejną próbkę, jeżeli zewnętrzny wygląd (jednolitość, kolor, połysk, zapach, zanieczyszczenia) może budzić obawy.</w:t>
      </w:r>
    </w:p>
    <w:p w14:paraId="746B351E"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Materiały do uszczelniania połączeń powinny spełniać wymagania podane w pkcie 2.7.</w:t>
      </w:r>
    </w:p>
    <w:p w14:paraId="4FE1B5D6"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b/>
          <w:color w:val="000000"/>
          <w:szCs w:val="20"/>
        </w:rPr>
        <w:t>6.5.2.</w:t>
      </w:r>
      <w:r w:rsidRPr="006431C4">
        <w:rPr>
          <w:rFonts w:cs="Arial"/>
          <w:color w:val="000000"/>
          <w:szCs w:val="20"/>
        </w:rPr>
        <w:t xml:space="preserve"> Badania mieszanki mineralno-asfaltowej  </w:t>
      </w:r>
    </w:p>
    <w:p w14:paraId="2109A8FD"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0AA4A803"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Do oceny jakości mieszanki mineralno-asfaltowej za zgodą nadzoru i Zamawiającego mogą posłużyć wyniki badań wykonanych w ramach zakładowej kontroli produkcji.  </w:t>
      </w:r>
    </w:p>
    <w:p w14:paraId="69CE341C"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26B1F8C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Właściwości materiałów budowlanych należy określać dla każdej warstwy technologicznej, a metody badań powinny być zgodne z wymaganiami podanymi poniżej, chyba że SST lub dokumentacja projektowa podają inaczej. </w:t>
      </w:r>
    </w:p>
    <w:p w14:paraId="14A1C5A2" w14:textId="77777777" w:rsidR="00284CBE" w:rsidRPr="006431C4" w:rsidRDefault="00284CBE" w:rsidP="00284CBE">
      <w:pPr>
        <w:keepNext/>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6.5.2.1. Uziarnienie </w:t>
      </w:r>
    </w:p>
    <w:p w14:paraId="1D279B70"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14:paraId="1382EB63" w14:textId="77777777" w:rsidR="00284CBE" w:rsidRPr="006431C4" w:rsidRDefault="00284CBE" w:rsidP="00284CBE">
      <w:pPr>
        <w:overflowPunct w:val="0"/>
        <w:autoSpaceDE w:val="0"/>
        <w:autoSpaceDN w:val="0"/>
        <w:adjustRightInd w:val="0"/>
        <w:spacing w:line="240" w:lineRule="auto"/>
        <w:ind w:left="1321" w:right="-57" w:hanging="1321"/>
        <w:jc w:val="both"/>
        <w:textAlignment w:val="baseline"/>
        <w:rPr>
          <w:rFonts w:cs="Arial"/>
          <w:color w:val="000000"/>
          <w:szCs w:val="20"/>
        </w:rPr>
      </w:pPr>
      <w:r w:rsidRPr="006431C4">
        <w:rPr>
          <w:rFonts w:cs="Arial"/>
          <w:color w:val="000000"/>
          <w:szCs w:val="20"/>
        </w:rPr>
        <w:t>Tablica 29.</w:t>
      </w:r>
      <w:r w:rsidRPr="006431C4">
        <w:rPr>
          <w:rFonts w:cs="Arial"/>
          <w:color w:val="00000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98"/>
        <w:gridCol w:w="720"/>
        <w:gridCol w:w="720"/>
        <w:gridCol w:w="1080"/>
        <w:gridCol w:w="1080"/>
        <w:gridCol w:w="1200"/>
        <w:gridCol w:w="786"/>
      </w:tblGrid>
      <w:tr w:rsidR="00284CBE" w:rsidRPr="006431C4" w14:paraId="5C40BA9C" w14:textId="77777777" w:rsidTr="00697F2D">
        <w:tc>
          <w:tcPr>
            <w:tcW w:w="5098" w:type="dxa"/>
            <w:vMerge w:val="restart"/>
          </w:tcPr>
          <w:p w14:paraId="208CE452" w14:textId="77777777" w:rsidR="00284CBE" w:rsidRPr="006431C4" w:rsidRDefault="00284CBE" w:rsidP="00284CBE">
            <w:pPr>
              <w:tabs>
                <w:tab w:val="left" w:pos="1877"/>
              </w:tabs>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Kruszywo o wymiarze</w:t>
            </w:r>
          </w:p>
        </w:tc>
        <w:tc>
          <w:tcPr>
            <w:tcW w:w="5586" w:type="dxa"/>
            <w:gridSpan w:val="6"/>
          </w:tcPr>
          <w:p w14:paraId="581FEFD6"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Liczba wyników badań</w:t>
            </w:r>
          </w:p>
        </w:tc>
      </w:tr>
      <w:tr w:rsidR="00284CBE" w:rsidRPr="006431C4" w14:paraId="5521C4D8" w14:textId="77777777" w:rsidTr="00697F2D">
        <w:tc>
          <w:tcPr>
            <w:tcW w:w="5098" w:type="dxa"/>
            <w:vMerge/>
          </w:tcPr>
          <w:p w14:paraId="3A43D2A8" w14:textId="77777777" w:rsidR="00284CBE" w:rsidRPr="006431C4" w:rsidRDefault="00284CBE" w:rsidP="00284CBE">
            <w:pPr>
              <w:tabs>
                <w:tab w:val="left" w:pos="1877"/>
              </w:tabs>
              <w:overflowPunct w:val="0"/>
              <w:autoSpaceDE w:val="0"/>
              <w:autoSpaceDN w:val="0"/>
              <w:adjustRightInd w:val="0"/>
              <w:spacing w:line="240" w:lineRule="auto"/>
              <w:ind w:right="-57"/>
              <w:jc w:val="both"/>
              <w:textAlignment w:val="baseline"/>
              <w:rPr>
                <w:rFonts w:cs="Arial"/>
                <w:color w:val="000000"/>
                <w:szCs w:val="20"/>
              </w:rPr>
            </w:pPr>
          </w:p>
        </w:tc>
        <w:tc>
          <w:tcPr>
            <w:tcW w:w="720" w:type="dxa"/>
          </w:tcPr>
          <w:p w14:paraId="56F544A8"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1</w:t>
            </w:r>
          </w:p>
        </w:tc>
        <w:tc>
          <w:tcPr>
            <w:tcW w:w="720" w:type="dxa"/>
          </w:tcPr>
          <w:p w14:paraId="1A57C1C4"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2</w:t>
            </w:r>
          </w:p>
        </w:tc>
        <w:tc>
          <w:tcPr>
            <w:tcW w:w="1080" w:type="dxa"/>
          </w:tcPr>
          <w:p w14:paraId="33B142C9"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od 3do 4</w:t>
            </w:r>
          </w:p>
        </w:tc>
        <w:tc>
          <w:tcPr>
            <w:tcW w:w="1080" w:type="dxa"/>
          </w:tcPr>
          <w:p w14:paraId="325BF6E8" w14:textId="77777777" w:rsidR="00284CBE" w:rsidRPr="006431C4" w:rsidRDefault="00284CBE" w:rsidP="00284CBE">
            <w:pPr>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od 5 do 8</w:t>
            </w:r>
          </w:p>
        </w:tc>
        <w:tc>
          <w:tcPr>
            <w:tcW w:w="1200" w:type="dxa"/>
          </w:tcPr>
          <w:p w14:paraId="0D1BEC9D" w14:textId="77777777" w:rsidR="00284CBE" w:rsidRPr="006431C4" w:rsidRDefault="00284CBE" w:rsidP="00284CBE">
            <w:pPr>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od 9 do 19</w:t>
            </w:r>
          </w:p>
        </w:tc>
        <w:tc>
          <w:tcPr>
            <w:tcW w:w="786" w:type="dxa"/>
          </w:tcPr>
          <w:p w14:paraId="0350FDB5"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≥20</w:t>
            </w:r>
          </w:p>
        </w:tc>
      </w:tr>
      <w:tr w:rsidR="00284CBE" w:rsidRPr="006431C4" w14:paraId="103497DA" w14:textId="77777777" w:rsidTr="00697F2D">
        <w:tc>
          <w:tcPr>
            <w:tcW w:w="5098" w:type="dxa"/>
          </w:tcPr>
          <w:p w14:paraId="0B89863D" w14:textId="77777777" w:rsidR="00284CBE" w:rsidRPr="006431C4" w:rsidRDefault="00284CBE" w:rsidP="00284CBE">
            <w:pPr>
              <w:tabs>
                <w:tab w:val="left" w:pos="1877"/>
              </w:tabs>
              <w:overflowPunct w:val="0"/>
              <w:autoSpaceDE w:val="0"/>
              <w:autoSpaceDN w:val="0"/>
              <w:adjustRightInd w:val="0"/>
              <w:spacing w:line="240" w:lineRule="auto"/>
              <w:textAlignment w:val="baseline"/>
              <w:rPr>
                <w:rFonts w:cs="Arial"/>
                <w:color w:val="000000"/>
                <w:szCs w:val="20"/>
              </w:rPr>
            </w:pPr>
            <w:r w:rsidRPr="006431C4">
              <w:rPr>
                <w:rFonts w:cs="Arial"/>
                <w:color w:val="000000"/>
                <w:szCs w:val="20"/>
              </w:rPr>
              <w:t xml:space="preserve">&lt; </w:t>
            </w:r>
            <w:smartTag w:uri="urn:schemas-microsoft-com:office:smarttags" w:element="metricconverter">
              <w:smartTagPr>
                <w:attr w:name="ProductID" w:val="0,063 mm"/>
              </w:smartTagPr>
              <w:r w:rsidRPr="006431C4">
                <w:rPr>
                  <w:rFonts w:cs="Arial"/>
                  <w:color w:val="000000"/>
                  <w:szCs w:val="20"/>
                </w:rPr>
                <w:t>0,063 mm</w:t>
              </w:r>
            </w:smartTag>
            <w:r w:rsidRPr="006431C4">
              <w:rPr>
                <w:rFonts w:cs="Arial"/>
                <w:color w:val="000000"/>
                <w:szCs w:val="20"/>
              </w:rPr>
              <w:t xml:space="preserve"> [%(m/m) –mieszanki gruboziarniste</w:t>
            </w:r>
          </w:p>
        </w:tc>
        <w:tc>
          <w:tcPr>
            <w:tcW w:w="720" w:type="dxa"/>
          </w:tcPr>
          <w:p w14:paraId="35EF8EA1"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±4,0</w:t>
            </w:r>
          </w:p>
        </w:tc>
        <w:tc>
          <w:tcPr>
            <w:tcW w:w="720" w:type="dxa"/>
          </w:tcPr>
          <w:p w14:paraId="423F805E"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±3,6</w:t>
            </w:r>
          </w:p>
        </w:tc>
        <w:tc>
          <w:tcPr>
            <w:tcW w:w="1080" w:type="dxa"/>
          </w:tcPr>
          <w:p w14:paraId="192C73BD"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±3,2</w:t>
            </w:r>
          </w:p>
        </w:tc>
        <w:tc>
          <w:tcPr>
            <w:tcW w:w="1080" w:type="dxa"/>
          </w:tcPr>
          <w:p w14:paraId="5960C81D"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±2,9</w:t>
            </w:r>
          </w:p>
        </w:tc>
        <w:tc>
          <w:tcPr>
            <w:tcW w:w="1200" w:type="dxa"/>
          </w:tcPr>
          <w:p w14:paraId="70E9F20D"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±2,4</w:t>
            </w:r>
          </w:p>
        </w:tc>
        <w:tc>
          <w:tcPr>
            <w:tcW w:w="786" w:type="dxa"/>
          </w:tcPr>
          <w:p w14:paraId="59F7BDAE"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±2,0</w:t>
            </w:r>
          </w:p>
        </w:tc>
      </w:tr>
      <w:tr w:rsidR="00284CBE" w:rsidRPr="006431C4" w14:paraId="03F2A5C0" w14:textId="77777777" w:rsidTr="00697F2D">
        <w:tc>
          <w:tcPr>
            <w:tcW w:w="5098" w:type="dxa"/>
          </w:tcPr>
          <w:p w14:paraId="4CB23F4A" w14:textId="77777777" w:rsidR="00284CBE" w:rsidRPr="006431C4" w:rsidRDefault="00284CBE" w:rsidP="00284CBE">
            <w:pPr>
              <w:tabs>
                <w:tab w:val="left" w:pos="1877"/>
              </w:tabs>
              <w:overflowPunct w:val="0"/>
              <w:autoSpaceDE w:val="0"/>
              <w:autoSpaceDN w:val="0"/>
              <w:adjustRightInd w:val="0"/>
              <w:spacing w:line="240" w:lineRule="auto"/>
              <w:textAlignment w:val="baseline"/>
              <w:rPr>
                <w:rFonts w:cs="Arial"/>
                <w:color w:val="000000"/>
                <w:szCs w:val="20"/>
              </w:rPr>
            </w:pPr>
            <w:r w:rsidRPr="006431C4">
              <w:rPr>
                <w:rFonts w:cs="Arial"/>
                <w:color w:val="000000"/>
                <w:szCs w:val="20"/>
              </w:rPr>
              <w:t xml:space="preserve">&lt; </w:t>
            </w:r>
            <w:smartTag w:uri="urn:schemas-microsoft-com:office:smarttags" w:element="metricconverter">
              <w:smartTagPr>
                <w:attr w:name="ProductID" w:val="0,063 mm"/>
              </w:smartTagPr>
              <w:r w:rsidRPr="006431C4">
                <w:rPr>
                  <w:rFonts w:cs="Arial"/>
                  <w:color w:val="000000"/>
                  <w:szCs w:val="20"/>
                </w:rPr>
                <w:t>0,063 mm</w:t>
              </w:r>
            </w:smartTag>
            <w:r w:rsidRPr="006431C4">
              <w:rPr>
                <w:rFonts w:cs="Arial"/>
                <w:color w:val="000000"/>
                <w:szCs w:val="20"/>
              </w:rPr>
              <w:t xml:space="preserve"> [%(m/m) –mieszanki drobnoziarniste</w:t>
            </w:r>
          </w:p>
        </w:tc>
        <w:tc>
          <w:tcPr>
            <w:tcW w:w="720" w:type="dxa"/>
          </w:tcPr>
          <w:p w14:paraId="6D32E374"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±3,0</w:t>
            </w:r>
          </w:p>
        </w:tc>
        <w:tc>
          <w:tcPr>
            <w:tcW w:w="720" w:type="dxa"/>
          </w:tcPr>
          <w:p w14:paraId="544CD6B8"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±2,7</w:t>
            </w:r>
          </w:p>
        </w:tc>
        <w:tc>
          <w:tcPr>
            <w:tcW w:w="1080" w:type="dxa"/>
          </w:tcPr>
          <w:p w14:paraId="22D63B2B"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±2,4</w:t>
            </w:r>
          </w:p>
        </w:tc>
        <w:tc>
          <w:tcPr>
            <w:tcW w:w="1080" w:type="dxa"/>
          </w:tcPr>
          <w:p w14:paraId="0FA8B0CC"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±2,1</w:t>
            </w:r>
          </w:p>
        </w:tc>
        <w:tc>
          <w:tcPr>
            <w:tcW w:w="1200" w:type="dxa"/>
          </w:tcPr>
          <w:p w14:paraId="55934339"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±1,8</w:t>
            </w:r>
          </w:p>
        </w:tc>
        <w:tc>
          <w:tcPr>
            <w:tcW w:w="786" w:type="dxa"/>
          </w:tcPr>
          <w:p w14:paraId="0D86B5A1"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±1,5</w:t>
            </w:r>
          </w:p>
        </w:tc>
      </w:tr>
      <w:tr w:rsidR="00284CBE" w:rsidRPr="006431C4" w14:paraId="1EE566C7" w14:textId="77777777" w:rsidTr="00697F2D">
        <w:tc>
          <w:tcPr>
            <w:tcW w:w="5098" w:type="dxa"/>
          </w:tcPr>
          <w:p w14:paraId="0ECD7C70" w14:textId="77777777" w:rsidR="00284CBE" w:rsidRPr="006431C4" w:rsidRDefault="00284CBE" w:rsidP="00284CBE">
            <w:pPr>
              <w:tabs>
                <w:tab w:val="left" w:pos="1877"/>
              </w:tabs>
              <w:overflowPunct w:val="0"/>
              <w:autoSpaceDE w:val="0"/>
              <w:autoSpaceDN w:val="0"/>
              <w:adjustRightInd w:val="0"/>
              <w:spacing w:line="240" w:lineRule="auto"/>
              <w:textAlignment w:val="baseline"/>
              <w:rPr>
                <w:rFonts w:cs="Arial"/>
                <w:color w:val="000000"/>
                <w:szCs w:val="20"/>
              </w:rPr>
            </w:pPr>
            <w:r w:rsidRPr="006431C4">
              <w:rPr>
                <w:rFonts w:cs="Arial"/>
                <w:color w:val="000000"/>
                <w:szCs w:val="20"/>
              </w:rPr>
              <w:t xml:space="preserve">&lt; </w:t>
            </w:r>
            <w:smartTag w:uri="urn:schemas-microsoft-com:office:smarttags" w:element="metricconverter">
              <w:smartTagPr>
                <w:attr w:name="ProductID" w:val="0,125 mm"/>
              </w:smartTagPr>
              <w:r w:rsidRPr="006431C4">
                <w:rPr>
                  <w:rFonts w:cs="Arial"/>
                  <w:color w:val="000000"/>
                  <w:szCs w:val="20"/>
                </w:rPr>
                <w:t>0,125 mm</w:t>
              </w:r>
            </w:smartTag>
            <w:r w:rsidRPr="006431C4">
              <w:rPr>
                <w:rFonts w:cs="Arial"/>
                <w:color w:val="000000"/>
                <w:szCs w:val="20"/>
              </w:rPr>
              <w:t>, [%(m/m)] – mieszanki gruboziarniste</w:t>
            </w:r>
          </w:p>
        </w:tc>
        <w:tc>
          <w:tcPr>
            <w:tcW w:w="720" w:type="dxa"/>
          </w:tcPr>
          <w:p w14:paraId="7C2B8550"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±5,0</w:t>
            </w:r>
          </w:p>
        </w:tc>
        <w:tc>
          <w:tcPr>
            <w:tcW w:w="720" w:type="dxa"/>
          </w:tcPr>
          <w:p w14:paraId="2CA649D8"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±4,4</w:t>
            </w:r>
          </w:p>
        </w:tc>
        <w:tc>
          <w:tcPr>
            <w:tcW w:w="1080" w:type="dxa"/>
          </w:tcPr>
          <w:p w14:paraId="026BC002"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±3,9</w:t>
            </w:r>
          </w:p>
        </w:tc>
        <w:tc>
          <w:tcPr>
            <w:tcW w:w="1080" w:type="dxa"/>
          </w:tcPr>
          <w:p w14:paraId="7AB1CCB6"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±3,4</w:t>
            </w:r>
          </w:p>
        </w:tc>
        <w:tc>
          <w:tcPr>
            <w:tcW w:w="1200" w:type="dxa"/>
          </w:tcPr>
          <w:p w14:paraId="120766F8"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±2,7</w:t>
            </w:r>
          </w:p>
        </w:tc>
        <w:tc>
          <w:tcPr>
            <w:tcW w:w="786" w:type="dxa"/>
          </w:tcPr>
          <w:p w14:paraId="41060472"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±2,0</w:t>
            </w:r>
          </w:p>
        </w:tc>
      </w:tr>
      <w:tr w:rsidR="00284CBE" w:rsidRPr="006431C4" w14:paraId="2FFAA2B1" w14:textId="77777777" w:rsidTr="00697F2D">
        <w:tc>
          <w:tcPr>
            <w:tcW w:w="5098" w:type="dxa"/>
          </w:tcPr>
          <w:p w14:paraId="61A4A034" w14:textId="77777777" w:rsidR="00284CBE" w:rsidRPr="006431C4" w:rsidRDefault="00284CBE" w:rsidP="00284CBE">
            <w:pPr>
              <w:tabs>
                <w:tab w:val="left" w:pos="1877"/>
              </w:tabs>
              <w:overflowPunct w:val="0"/>
              <w:autoSpaceDE w:val="0"/>
              <w:autoSpaceDN w:val="0"/>
              <w:adjustRightInd w:val="0"/>
              <w:spacing w:line="240" w:lineRule="auto"/>
              <w:textAlignment w:val="baseline"/>
              <w:rPr>
                <w:rFonts w:cs="Arial"/>
                <w:color w:val="000000"/>
                <w:szCs w:val="20"/>
              </w:rPr>
            </w:pPr>
            <w:r w:rsidRPr="006431C4">
              <w:rPr>
                <w:rFonts w:cs="Arial"/>
                <w:color w:val="000000"/>
                <w:szCs w:val="20"/>
              </w:rPr>
              <w:t>&lt;</w:t>
            </w:r>
            <w:smartTag w:uri="urn:schemas-microsoft-com:office:smarttags" w:element="metricconverter">
              <w:smartTagPr>
                <w:attr w:name="ProductID" w:val="0,125 mm"/>
              </w:smartTagPr>
              <w:r w:rsidRPr="006431C4">
                <w:rPr>
                  <w:rFonts w:cs="Arial"/>
                  <w:color w:val="000000"/>
                  <w:szCs w:val="20"/>
                </w:rPr>
                <w:t>0,125 mm</w:t>
              </w:r>
            </w:smartTag>
            <w:r w:rsidRPr="006431C4">
              <w:rPr>
                <w:rFonts w:cs="Arial"/>
                <w:color w:val="000000"/>
                <w:szCs w:val="20"/>
              </w:rPr>
              <w:t>, [%(m/m)] – mieszanki drobnoziarniste</w:t>
            </w:r>
          </w:p>
        </w:tc>
        <w:tc>
          <w:tcPr>
            <w:tcW w:w="720" w:type="dxa"/>
          </w:tcPr>
          <w:p w14:paraId="03A2E8C6"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±4,0</w:t>
            </w:r>
          </w:p>
        </w:tc>
        <w:tc>
          <w:tcPr>
            <w:tcW w:w="720" w:type="dxa"/>
          </w:tcPr>
          <w:p w14:paraId="1BC8AD67"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±3,6</w:t>
            </w:r>
          </w:p>
        </w:tc>
        <w:tc>
          <w:tcPr>
            <w:tcW w:w="1080" w:type="dxa"/>
          </w:tcPr>
          <w:p w14:paraId="7CB1081B"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±3,3</w:t>
            </w:r>
          </w:p>
        </w:tc>
        <w:tc>
          <w:tcPr>
            <w:tcW w:w="1080" w:type="dxa"/>
          </w:tcPr>
          <w:p w14:paraId="2E90DCC9"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±2,9</w:t>
            </w:r>
          </w:p>
        </w:tc>
        <w:tc>
          <w:tcPr>
            <w:tcW w:w="1200" w:type="dxa"/>
          </w:tcPr>
          <w:p w14:paraId="0672D0EE"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±2,5</w:t>
            </w:r>
          </w:p>
        </w:tc>
        <w:tc>
          <w:tcPr>
            <w:tcW w:w="786" w:type="dxa"/>
          </w:tcPr>
          <w:p w14:paraId="7DC5FFFE"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±2,0</w:t>
            </w:r>
          </w:p>
        </w:tc>
      </w:tr>
      <w:tr w:rsidR="00284CBE" w:rsidRPr="006431C4" w14:paraId="359B9841" w14:textId="77777777" w:rsidTr="00697F2D">
        <w:tc>
          <w:tcPr>
            <w:tcW w:w="5098" w:type="dxa"/>
          </w:tcPr>
          <w:p w14:paraId="3D403E09" w14:textId="77777777" w:rsidR="00284CBE" w:rsidRPr="006431C4" w:rsidRDefault="00284CBE" w:rsidP="00284CBE">
            <w:pPr>
              <w:tabs>
                <w:tab w:val="left" w:pos="1877"/>
              </w:tabs>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Od </w:t>
            </w:r>
            <w:smartTag w:uri="urn:schemas-microsoft-com:office:smarttags" w:element="metricconverter">
              <w:smartTagPr>
                <w:attr w:name="ProductID" w:val="0,063 mm"/>
              </w:smartTagPr>
              <w:r w:rsidRPr="006431C4">
                <w:rPr>
                  <w:rFonts w:cs="Arial"/>
                  <w:color w:val="000000"/>
                  <w:szCs w:val="20"/>
                </w:rPr>
                <w:t>0,063 mm</w:t>
              </w:r>
            </w:smartTag>
            <w:r w:rsidRPr="006431C4">
              <w:rPr>
                <w:rFonts w:cs="Arial"/>
                <w:color w:val="000000"/>
                <w:szCs w:val="20"/>
              </w:rPr>
              <w:t xml:space="preserve"> do </w:t>
            </w:r>
            <w:smartTag w:uri="urn:schemas-microsoft-com:office:smarttags" w:element="metricconverter">
              <w:smartTagPr>
                <w:attr w:name="ProductID" w:val="2 mm"/>
              </w:smartTagPr>
              <w:r w:rsidRPr="006431C4">
                <w:rPr>
                  <w:rFonts w:cs="Arial"/>
                  <w:color w:val="000000"/>
                  <w:szCs w:val="20"/>
                </w:rPr>
                <w:t>2 mm</w:t>
              </w:r>
            </w:smartTag>
          </w:p>
        </w:tc>
        <w:tc>
          <w:tcPr>
            <w:tcW w:w="720" w:type="dxa"/>
          </w:tcPr>
          <w:p w14:paraId="6498C206"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±8</w:t>
            </w:r>
          </w:p>
        </w:tc>
        <w:tc>
          <w:tcPr>
            <w:tcW w:w="720" w:type="dxa"/>
          </w:tcPr>
          <w:p w14:paraId="53584974"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±6,1</w:t>
            </w:r>
          </w:p>
        </w:tc>
        <w:tc>
          <w:tcPr>
            <w:tcW w:w="1080" w:type="dxa"/>
          </w:tcPr>
          <w:p w14:paraId="7D06C8D8"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±5,0</w:t>
            </w:r>
          </w:p>
        </w:tc>
        <w:tc>
          <w:tcPr>
            <w:tcW w:w="1080" w:type="dxa"/>
          </w:tcPr>
          <w:p w14:paraId="08540148"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±4,1</w:t>
            </w:r>
          </w:p>
        </w:tc>
        <w:tc>
          <w:tcPr>
            <w:tcW w:w="1200" w:type="dxa"/>
          </w:tcPr>
          <w:p w14:paraId="19C1CF8C"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±3,3</w:t>
            </w:r>
          </w:p>
        </w:tc>
        <w:tc>
          <w:tcPr>
            <w:tcW w:w="786" w:type="dxa"/>
          </w:tcPr>
          <w:p w14:paraId="3B43DDAA"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±3,0</w:t>
            </w:r>
          </w:p>
        </w:tc>
      </w:tr>
      <w:tr w:rsidR="00284CBE" w:rsidRPr="006431C4" w14:paraId="677A9893" w14:textId="77777777" w:rsidTr="00697F2D">
        <w:tc>
          <w:tcPr>
            <w:tcW w:w="5098" w:type="dxa"/>
          </w:tcPr>
          <w:p w14:paraId="2D2CB2C2" w14:textId="77777777" w:rsidR="00284CBE" w:rsidRPr="006431C4" w:rsidRDefault="00284CBE" w:rsidP="00284CBE">
            <w:pPr>
              <w:tabs>
                <w:tab w:val="left" w:pos="1877"/>
              </w:tabs>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&gt; </w:t>
            </w:r>
            <w:smartTag w:uri="urn:schemas-microsoft-com:office:smarttags" w:element="metricconverter">
              <w:smartTagPr>
                <w:attr w:name="ProductID" w:val="2 mm"/>
              </w:smartTagPr>
              <w:r w:rsidRPr="006431C4">
                <w:rPr>
                  <w:rFonts w:cs="Arial"/>
                  <w:color w:val="000000"/>
                  <w:szCs w:val="20"/>
                </w:rPr>
                <w:t>2 mm</w:t>
              </w:r>
            </w:smartTag>
            <w:r w:rsidRPr="006431C4">
              <w:rPr>
                <w:rFonts w:cs="Arial"/>
                <w:color w:val="000000"/>
                <w:szCs w:val="20"/>
              </w:rPr>
              <w:t xml:space="preserve"> </w:t>
            </w:r>
          </w:p>
        </w:tc>
        <w:tc>
          <w:tcPr>
            <w:tcW w:w="720" w:type="dxa"/>
          </w:tcPr>
          <w:p w14:paraId="26D27859"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±8</w:t>
            </w:r>
          </w:p>
        </w:tc>
        <w:tc>
          <w:tcPr>
            <w:tcW w:w="720" w:type="dxa"/>
          </w:tcPr>
          <w:p w14:paraId="735FA6D3"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±6,1</w:t>
            </w:r>
          </w:p>
        </w:tc>
        <w:tc>
          <w:tcPr>
            <w:tcW w:w="1080" w:type="dxa"/>
          </w:tcPr>
          <w:p w14:paraId="378FEB35"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±5,0</w:t>
            </w:r>
          </w:p>
        </w:tc>
        <w:tc>
          <w:tcPr>
            <w:tcW w:w="1080" w:type="dxa"/>
          </w:tcPr>
          <w:p w14:paraId="273F2227"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±4,1</w:t>
            </w:r>
          </w:p>
        </w:tc>
        <w:tc>
          <w:tcPr>
            <w:tcW w:w="1200" w:type="dxa"/>
          </w:tcPr>
          <w:p w14:paraId="3C0DFA1A"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±3,3</w:t>
            </w:r>
          </w:p>
        </w:tc>
        <w:tc>
          <w:tcPr>
            <w:tcW w:w="786" w:type="dxa"/>
          </w:tcPr>
          <w:p w14:paraId="7F40794E"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±3,0</w:t>
            </w:r>
          </w:p>
        </w:tc>
      </w:tr>
      <w:tr w:rsidR="00284CBE" w:rsidRPr="006431C4" w14:paraId="7307A153" w14:textId="77777777" w:rsidTr="00697F2D">
        <w:tc>
          <w:tcPr>
            <w:tcW w:w="5098" w:type="dxa"/>
          </w:tcPr>
          <w:p w14:paraId="653C2753" w14:textId="77777777" w:rsidR="00284CBE" w:rsidRPr="006431C4" w:rsidRDefault="00284CBE" w:rsidP="00284CBE">
            <w:pPr>
              <w:tabs>
                <w:tab w:val="left" w:pos="1877"/>
              </w:tabs>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 xml:space="preserve">Ziarna grube </w:t>
            </w:r>
          </w:p>
          <w:p w14:paraId="4FBD98E2" w14:textId="77777777" w:rsidR="00284CBE" w:rsidRPr="006431C4" w:rsidRDefault="00284CBE" w:rsidP="00284CBE">
            <w:pPr>
              <w:tabs>
                <w:tab w:val="left" w:pos="1877"/>
              </w:tabs>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(mieszanki drobnoziarniste)</w:t>
            </w:r>
          </w:p>
        </w:tc>
        <w:tc>
          <w:tcPr>
            <w:tcW w:w="720" w:type="dxa"/>
          </w:tcPr>
          <w:p w14:paraId="379EE800"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-8    +5</w:t>
            </w:r>
          </w:p>
        </w:tc>
        <w:tc>
          <w:tcPr>
            <w:tcW w:w="720" w:type="dxa"/>
          </w:tcPr>
          <w:p w14:paraId="66370FEE"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-6,7   +4,7</w:t>
            </w:r>
          </w:p>
        </w:tc>
        <w:tc>
          <w:tcPr>
            <w:tcW w:w="1080" w:type="dxa"/>
          </w:tcPr>
          <w:p w14:paraId="696B05AF"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-5,8   +4,5</w:t>
            </w:r>
          </w:p>
        </w:tc>
        <w:tc>
          <w:tcPr>
            <w:tcW w:w="1080" w:type="dxa"/>
          </w:tcPr>
          <w:p w14:paraId="49C5FDD0"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-5,1   +4,3</w:t>
            </w:r>
          </w:p>
        </w:tc>
        <w:tc>
          <w:tcPr>
            <w:tcW w:w="1200" w:type="dxa"/>
          </w:tcPr>
          <w:p w14:paraId="4BA6FC56"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 xml:space="preserve">-4,4   </w:t>
            </w:r>
          </w:p>
          <w:p w14:paraId="602B5F09"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+4,1</w:t>
            </w:r>
          </w:p>
        </w:tc>
        <w:tc>
          <w:tcPr>
            <w:tcW w:w="786" w:type="dxa"/>
          </w:tcPr>
          <w:p w14:paraId="7AE9B668"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±4,0</w:t>
            </w:r>
          </w:p>
        </w:tc>
      </w:tr>
      <w:tr w:rsidR="00284CBE" w:rsidRPr="006431C4" w14:paraId="0A55D987" w14:textId="77777777" w:rsidTr="00697F2D">
        <w:tc>
          <w:tcPr>
            <w:tcW w:w="5098" w:type="dxa"/>
          </w:tcPr>
          <w:p w14:paraId="06C4DC93" w14:textId="77777777" w:rsidR="00284CBE" w:rsidRPr="006431C4" w:rsidRDefault="00284CBE" w:rsidP="00284CBE">
            <w:pPr>
              <w:tabs>
                <w:tab w:val="left" w:pos="1877"/>
              </w:tabs>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 xml:space="preserve">Ziarna grube </w:t>
            </w:r>
          </w:p>
          <w:p w14:paraId="494EAAC6" w14:textId="77777777" w:rsidR="00284CBE" w:rsidRPr="006431C4" w:rsidRDefault="00284CBE" w:rsidP="00284CBE">
            <w:pPr>
              <w:tabs>
                <w:tab w:val="left" w:pos="1877"/>
              </w:tabs>
              <w:overflowPunct w:val="0"/>
              <w:autoSpaceDE w:val="0"/>
              <w:autoSpaceDN w:val="0"/>
              <w:adjustRightInd w:val="0"/>
              <w:spacing w:line="240" w:lineRule="auto"/>
              <w:ind w:right="-57"/>
              <w:textAlignment w:val="baseline"/>
              <w:rPr>
                <w:rFonts w:cs="Arial"/>
                <w:color w:val="000000"/>
                <w:szCs w:val="20"/>
              </w:rPr>
            </w:pPr>
            <w:r w:rsidRPr="006431C4">
              <w:rPr>
                <w:rFonts w:cs="Arial"/>
                <w:color w:val="000000"/>
                <w:szCs w:val="20"/>
              </w:rPr>
              <w:t>(mieszanki gruboziarniste)</w:t>
            </w:r>
          </w:p>
        </w:tc>
        <w:tc>
          <w:tcPr>
            <w:tcW w:w="720" w:type="dxa"/>
          </w:tcPr>
          <w:p w14:paraId="69FA50AF"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-9 +5,0</w:t>
            </w:r>
          </w:p>
        </w:tc>
        <w:tc>
          <w:tcPr>
            <w:tcW w:w="720" w:type="dxa"/>
          </w:tcPr>
          <w:p w14:paraId="42F632D9"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 xml:space="preserve">-7,6 </w:t>
            </w:r>
          </w:p>
          <w:p w14:paraId="7A099089"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+5,0</w:t>
            </w:r>
          </w:p>
        </w:tc>
        <w:tc>
          <w:tcPr>
            <w:tcW w:w="1080" w:type="dxa"/>
          </w:tcPr>
          <w:p w14:paraId="5BFAD293"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 xml:space="preserve">-6,8 </w:t>
            </w:r>
          </w:p>
          <w:p w14:paraId="406D4684"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+5,0</w:t>
            </w:r>
          </w:p>
        </w:tc>
        <w:tc>
          <w:tcPr>
            <w:tcW w:w="1080" w:type="dxa"/>
          </w:tcPr>
          <w:p w14:paraId="3B370C1F"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 xml:space="preserve">-6,1 </w:t>
            </w:r>
          </w:p>
          <w:p w14:paraId="49D8D6C1"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+5,0</w:t>
            </w:r>
          </w:p>
        </w:tc>
        <w:tc>
          <w:tcPr>
            <w:tcW w:w="1200" w:type="dxa"/>
          </w:tcPr>
          <w:p w14:paraId="1EB38D9F"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 xml:space="preserve">-5,5 </w:t>
            </w:r>
          </w:p>
          <w:p w14:paraId="694CC8A1"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+5,0</w:t>
            </w:r>
          </w:p>
        </w:tc>
        <w:tc>
          <w:tcPr>
            <w:tcW w:w="786" w:type="dxa"/>
          </w:tcPr>
          <w:p w14:paraId="41B9A759"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±5,0</w:t>
            </w:r>
          </w:p>
        </w:tc>
      </w:tr>
    </w:tbl>
    <w:p w14:paraId="1A86BB8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3DD404D4" w14:textId="77777777" w:rsidR="00284CBE" w:rsidRPr="006431C4" w:rsidRDefault="00284CBE" w:rsidP="00284CBE">
      <w:pPr>
        <w:keepNext/>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6.5.2.2. Zawartość lepiszcza </w:t>
      </w:r>
    </w:p>
    <w:p w14:paraId="09C9FF01"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14:paraId="25486F81" w14:textId="77777777" w:rsidR="00284CBE" w:rsidRPr="006431C4" w:rsidRDefault="00284CBE" w:rsidP="00284CBE">
      <w:pPr>
        <w:overflowPunct w:val="0"/>
        <w:autoSpaceDE w:val="0"/>
        <w:autoSpaceDN w:val="0"/>
        <w:adjustRightInd w:val="0"/>
        <w:spacing w:line="240" w:lineRule="auto"/>
        <w:ind w:left="1200" w:right="-57" w:hanging="1200"/>
        <w:jc w:val="both"/>
        <w:textAlignment w:val="baseline"/>
        <w:rPr>
          <w:rFonts w:cs="Arial"/>
          <w:color w:val="000000"/>
          <w:szCs w:val="20"/>
        </w:rPr>
      </w:pPr>
      <w:r w:rsidRPr="006431C4">
        <w:rPr>
          <w:rFonts w:cs="Arial"/>
          <w:color w:val="000000"/>
          <w:szCs w:val="20"/>
        </w:rPr>
        <w:t>Tablica 30.</w:t>
      </w:r>
      <w:r w:rsidRPr="006431C4">
        <w:rPr>
          <w:rFonts w:cs="Arial"/>
          <w:color w:val="000000"/>
          <w:szCs w:val="20"/>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1"/>
        <w:gridCol w:w="976"/>
        <w:gridCol w:w="960"/>
        <w:gridCol w:w="1164"/>
        <w:gridCol w:w="1320"/>
        <w:gridCol w:w="1596"/>
        <w:gridCol w:w="1200"/>
      </w:tblGrid>
      <w:tr w:rsidR="00284CBE" w:rsidRPr="006431C4" w14:paraId="6044DFB5" w14:textId="77777777" w:rsidTr="00697F2D">
        <w:tc>
          <w:tcPr>
            <w:tcW w:w="3681" w:type="dxa"/>
            <w:vMerge w:val="restart"/>
          </w:tcPr>
          <w:p w14:paraId="66EA6CCC"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Rodzaj mieszanki</w:t>
            </w:r>
          </w:p>
        </w:tc>
        <w:tc>
          <w:tcPr>
            <w:tcW w:w="7216" w:type="dxa"/>
            <w:gridSpan w:val="6"/>
          </w:tcPr>
          <w:p w14:paraId="4A5CAC25"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Liczba wyników badań</w:t>
            </w:r>
          </w:p>
        </w:tc>
      </w:tr>
      <w:tr w:rsidR="00284CBE" w:rsidRPr="006431C4" w14:paraId="1020C2D8" w14:textId="77777777" w:rsidTr="00697F2D">
        <w:tc>
          <w:tcPr>
            <w:tcW w:w="3681" w:type="dxa"/>
            <w:vMerge/>
          </w:tcPr>
          <w:p w14:paraId="4D46FB8B"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p>
        </w:tc>
        <w:tc>
          <w:tcPr>
            <w:tcW w:w="976" w:type="dxa"/>
          </w:tcPr>
          <w:p w14:paraId="372CE6B4"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1</w:t>
            </w:r>
          </w:p>
        </w:tc>
        <w:tc>
          <w:tcPr>
            <w:tcW w:w="960" w:type="dxa"/>
          </w:tcPr>
          <w:p w14:paraId="509B4DBF"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2</w:t>
            </w:r>
          </w:p>
        </w:tc>
        <w:tc>
          <w:tcPr>
            <w:tcW w:w="1164" w:type="dxa"/>
          </w:tcPr>
          <w:p w14:paraId="710287BA"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Od 3 do 4</w:t>
            </w:r>
          </w:p>
        </w:tc>
        <w:tc>
          <w:tcPr>
            <w:tcW w:w="1320" w:type="dxa"/>
          </w:tcPr>
          <w:p w14:paraId="091DE7A1"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vertAlign w:val="superscript"/>
              </w:rPr>
            </w:pPr>
            <w:r w:rsidRPr="006431C4">
              <w:rPr>
                <w:rFonts w:cs="Arial"/>
                <w:color w:val="000000"/>
                <w:szCs w:val="20"/>
              </w:rPr>
              <w:t>Od 5 do 8</w:t>
            </w:r>
            <w:r w:rsidRPr="006431C4">
              <w:rPr>
                <w:rFonts w:cs="Arial"/>
                <w:color w:val="000000"/>
                <w:szCs w:val="20"/>
                <w:vertAlign w:val="superscript"/>
              </w:rPr>
              <w:t>a)</w:t>
            </w:r>
          </w:p>
        </w:tc>
        <w:tc>
          <w:tcPr>
            <w:tcW w:w="1596" w:type="dxa"/>
          </w:tcPr>
          <w:p w14:paraId="5B4BC51B"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vertAlign w:val="superscript"/>
              </w:rPr>
            </w:pPr>
            <w:r w:rsidRPr="006431C4">
              <w:rPr>
                <w:rFonts w:cs="Arial"/>
                <w:color w:val="000000"/>
                <w:szCs w:val="20"/>
              </w:rPr>
              <w:t>Od 9 do 19</w:t>
            </w:r>
            <w:r w:rsidRPr="006431C4">
              <w:rPr>
                <w:rFonts w:cs="Arial"/>
                <w:color w:val="000000"/>
                <w:szCs w:val="20"/>
                <w:vertAlign w:val="superscript"/>
              </w:rPr>
              <w:t>a)</w:t>
            </w:r>
          </w:p>
        </w:tc>
        <w:tc>
          <w:tcPr>
            <w:tcW w:w="1200" w:type="dxa"/>
          </w:tcPr>
          <w:p w14:paraId="04D590CD"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≥20</w:t>
            </w:r>
          </w:p>
        </w:tc>
      </w:tr>
      <w:tr w:rsidR="00284CBE" w:rsidRPr="006431C4" w14:paraId="371395A6" w14:textId="77777777" w:rsidTr="00697F2D">
        <w:tc>
          <w:tcPr>
            <w:tcW w:w="3681" w:type="dxa"/>
          </w:tcPr>
          <w:p w14:paraId="53DF9F0D"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Mieszanki gruboziarniste</w:t>
            </w:r>
          </w:p>
        </w:tc>
        <w:tc>
          <w:tcPr>
            <w:tcW w:w="976" w:type="dxa"/>
          </w:tcPr>
          <w:p w14:paraId="44E5939C"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±0,6</w:t>
            </w:r>
          </w:p>
        </w:tc>
        <w:tc>
          <w:tcPr>
            <w:tcW w:w="960" w:type="dxa"/>
          </w:tcPr>
          <w:p w14:paraId="365C9200"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±0,55</w:t>
            </w:r>
          </w:p>
        </w:tc>
        <w:tc>
          <w:tcPr>
            <w:tcW w:w="1164" w:type="dxa"/>
          </w:tcPr>
          <w:p w14:paraId="1859EB09"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±0,50</w:t>
            </w:r>
          </w:p>
        </w:tc>
        <w:tc>
          <w:tcPr>
            <w:tcW w:w="1320" w:type="dxa"/>
          </w:tcPr>
          <w:p w14:paraId="4C9A745D"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±0,40</w:t>
            </w:r>
          </w:p>
        </w:tc>
        <w:tc>
          <w:tcPr>
            <w:tcW w:w="1596" w:type="dxa"/>
          </w:tcPr>
          <w:p w14:paraId="5C6EE12F"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±0,35</w:t>
            </w:r>
          </w:p>
        </w:tc>
        <w:tc>
          <w:tcPr>
            <w:tcW w:w="1200" w:type="dxa"/>
          </w:tcPr>
          <w:p w14:paraId="24C1BA44"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±0,30</w:t>
            </w:r>
          </w:p>
        </w:tc>
      </w:tr>
      <w:tr w:rsidR="00284CBE" w:rsidRPr="006431C4" w14:paraId="79F59E17" w14:textId="77777777" w:rsidTr="00697F2D">
        <w:tc>
          <w:tcPr>
            <w:tcW w:w="3681" w:type="dxa"/>
          </w:tcPr>
          <w:p w14:paraId="0560DE12"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Mieszanki drobnoziarniste</w:t>
            </w:r>
          </w:p>
        </w:tc>
        <w:tc>
          <w:tcPr>
            <w:tcW w:w="976" w:type="dxa"/>
          </w:tcPr>
          <w:p w14:paraId="70340711"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±0,5</w:t>
            </w:r>
          </w:p>
        </w:tc>
        <w:tc>
          <w:tcPr>
            <w:tcW w:w="960" w:type="dxa"/>
          </w:tcPr>
          <w:p w14:paraId="17000FAA"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±0,45</w:t>
            </w:r>
          </w:p>
        </w:tc>
        <w:tc>
          <w:tcPr>
            <w:tcW w:w="1164" w:type="dxa"/>
          </w:tcPr>
          <w:p w14:paraId="7865A33A"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±0,40</w:t>
            </w:r>
          </w:p>
        </w:tc>
        <w:tc>
          <w:tcPr>
            <w:tcW w:w="1320" w:type="dxa"/>
          </w:tcPr>
          <w:p w14:paraId="6E33EA4B"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±0,40</w:t>
            </w:r>
          </w:p>
        </w:tc>
        <w:tc>
          <w:tcPr>
            <w:tcW w:w="1596" w:type="dxa"/>
          </w:tcPr>
          <w:p w14:paraId="58B033C2"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±0,35</w:t>
            </w:r>
          </w:p>
        </w:tc>
        <w:tc>
          <w:tcPr>
            <w:tcW w:w="1200" w:type="dxa"/>
          </w:tcPr>
          <w:p w14:paraId="7ABE84B2" w14:textId="77777777" w:rsidR="00284CBE" w:rsidRPr="006431C4" w:rsidRDefault="00284CBE" w:rsidP="00284CBE">
            <w:pPr>
              <w:overflowPunct w:val="0"/>
              <w:autoSpaceDE w:val="0"/>
              <w:autoSpaceDN w:val="0"/>
              <w:adjustRightInd w:val="0"/>
              <w:spacing w:line="240" w:lineRule="auto"/>
              <w:jc w:val="center"/>
              <w:textAlignment w:val="baseline"/>
              <w:rPr>
                <w:rFonts w:cs="Arial"/>
                <w:color w:val="000000"/>
                <w:szCs w:val="20"/>
              </w:rPr>
            </w:pPr>
            <w:r w:rsidRPr="006431C4">
              <w:rPr>
                <w:rFonts w:cs="Arial"/>
                <w:color w:val="000000"/>
                <w:szCs w:val="20"/>
              </w:rPr>
              <w:t>±0,30</w:t>
            </w:r>
          </w:p>
        </w:tc>
      </w:tr>
      <w:tr w:rsidR="00284CBE" w:rsidRPr="006431C4" w14:paraId="5AEE330A" w14:textId="77777777" w:rsidTr="00697F2D">
        <w:tc>
          <w:tcPr>
            <w:tcW w:w="10897" w:type="dxa"/>
            <w:gridSpan w:val="7"/>
          </w:tcPr>
          <w:p w14:paraId="5EBEDB41" w14:textId="77777777" w:rsidR="00284CBE" w:rsidRPr="006431C4" w:rsidRDefault="00284CBE" w:rsidP="00CF1E7D">
            <w:pPr>
              <w:numPr>
                <w:ilvl w:val="0"/>
                <w:numId w:val="147"/>
              </w:numPr>
              <w:tabs>
                <w:tab w:val="left" w:pos="426"/>
              </w:tabs>
              <w:overflowPunct w:val="0"/>
              <w:autoSpaceDE w:val="0"/>
              <w:autoSpaceDN w:val="0"/>
              <w:adjustRightInd w:val="0"/>
              <w:spacing w:line="240" w:lineRule="auto"/>
              <w:ind w:left="426" w:right="-57"/>
              <w:jc w:val="both"/>
              <w:textAlignment w:val="baseline"/>
              <w:rPr>
                <w:rFonts w:cs="Arial"/>
                <w:color w:val="000000"/>
                <w:szCs w:val="20"/>
              </w:rPr>
            </w:pPr>
            <w:r w:rsidRPr="006431C4">
              <w:rPr>
                <w:rFonts w:cs="Arial"/>
                <w:color w:val="00000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7F28EC1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5FF5DF95" w14:textId="77777777" w:rsidR="00284CBE" w:rsidRPr="006431C4" w:rsidRDefault="00284CBE" w:rsidP="00284CBE">
      <w:p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6.5.2.3. Temperatura  mięknienia lepiszcza odzyskanego</w:t>
      </w:r>
    </w:p>
    <w:p w14:paraId="768F3E01"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704A9543"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Jeżeli w składzie mieszanki mineralno-asfaltowej jest grantulat asfaltowy, to temperatura mięknienia wyekstrahowanego lepiszcza nie może przekroczyć temperatur mięknienia T</w:t>
      </w:r>
      <w:r w:rsidRPr="006431C4">
        <w:rPr>
          <w:rFonts w:cs="Arial"/>
          <w:szCs w:val="20"/>
          <w:vertAlign w:val="subscript"/>
        </w:rPr>
        <w:t>R&amp;Bmix</w:t>
      </w:r>
      <w:r w:rsidRPr="006431C4">
        <w:rPr>
          <w:rFonts w:cs="Arial"/>
          <w:szCs w:val="20"/>
        </w:rPr>
        <w:t>, podanej w badaniu typu o więcej niż 8°C.</w:t>
      </w:r>
    </w:p>
    <w:p w14:paraId="784D1091"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color w:val="000000"/>
          <w:szCs w:val="20"/>
        </w:rPr>
      </w:pPr>
      <w:r w:rsidRPr="006431C4">
        <w:rPr>
          <w:rFonts w:cs="Arial"/>
          <w:color w:val="000000"/>
          <w:szCs w:val="20"/>
        </w:rPr>
        <w:t>Temperatura mięknienia lepiszcza (asfaltu lub polimeroasfaltu) wyekstrahowanego z mieszanki mineralno-asfaltowej nie powinna przekroczyć wartości dopuszczalnych podanych w tablicy 31.</w:t>
      </w:r>
    </w:p>
    <w:p w14:paraId="3F8173CD" w14:textId="77777777" w:rsidR="00697F2D" w:rsidRPr="006431C4" w:rsidRDefault="00697F2D" w:rsidP="00284CBE">
      <w:pPr>
        <w:tabs>
          <w:tab w:val="left" w:pos="1134"/>
        </w:tabs>
        <w:overflowPunct w:val="0"/>
        <w:autoSpaceDE w:val="0"/>
        <w:autoSpaceDN w:val="0"/>
        <w:adjustRightInd w:val="0"/>
        <w:spacing w:line="240" w:lineRule="auto"/>
        <w:ind w:left="1134" w:hanging="1134"/>
        <w:jc w:val="both"/>
        <w:textAlignment w:val="baseline"/>
        <w:rPr>
          <w:rFonts w:cs="Arial"/>
          <w:color w:val="000000"/>
          <w:szCs w:val="20"/>
        </w:rPr>
      </w:pPr>
    </w:p>
    <w:p w14:paraId="64445351" w14:textId="77777777" w:rsidR="00284CBE" w:rsidRPr="006431C4" w:rsidRDefault="00284CBE" w:rsidP="00284CBE">
      <w:pPr>
        <w:tabs>
          <w:tab w:val="left" w:pos="1134"/>
        </w:tabs>
        <w:overflowPunct w:val="0"/>
        <w:autoSpaceDE w:val="0"/>
        <w:autoSpaceDN w:val="0"/>
        <w:adjustRightInd w:val="0"/>
        <w:spacing w:line="240" w:lineRule="auto"/>
        <w:ind w:left="1134" w:hanging="1134"/>
        <w:jc w:val="both"/>
        <w:textAlignment w:val="baseline"/>
        <w:rPr>
          <w:rFonts w:cs="Arial"/>
          <w:color w:val="000000"/>
          <w:szCs w:val="20"/>
        </w:rPr>
      </w:pPr>
      <w:r w:rsidRPr="006431C4">
        <w:rPr>
          <w:rFonts w:cs="Arial"/>
          <w:color w:val="000000"/>
          <w:szCs w:val="20"/>
        </w:rPr>
        <w:t>Tablica 31.</w:t>
      </w:r>
      <w:r w:rsidRPr="006431C4">
        <w:rPr>
          <w:rFonts w:cs="Arial"/>
          <w:color w:val="000000"/>
          <w:szCs w:val="20"/>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284CBE" w:rsidRPr="006431C4" w14:paraId="066069F2" w14:textId="77777777" w:rsidTr="00284CBE">
        <w:tc>
          <w:tcPr>
            <w:tcW w:w="3755" w:type="dxa"/>
          </w:tcPr>
          <w:p w14:paraId="2C3D2E15"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Rodzaj lepiszcza</w:t>
            </w:r>
          </w:p>
        </w:tc>
        <w:tc>
          <w:tcPr>
            <w:tcW w:w="3756" w:type="dxa"/>
          </w:tcPr>
          <w:p w14:paraId="421DA56F"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Najwyższa temperatura mięknienia °C</w:t>
            </w:r>
          </w:p>
        </w:tc>
      </w:tr>
      <w:tr w:rsidR="00284CBE" w:rsidRPr="006431C4" w14:paraId="2F24B4B4" w14:textId="77777777" w:rsidTr="00284CBE">
        <w:tc>
          <w:tcPr>
            <w:tcW w:w="3755" w:type="dxa"/>
          </w:tcPr>
          <w:p w14:paraId="3BCD1B7E"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lastRenderedPageBreak/>
              <w:t>PMB-25/55-60</w:t>
            </w:r>
          </w:p>
        </w:tc>
        <w:tc>
          <w:tcPr>
            <w:tcW w:w="3756" w:type="dxa"/>
          </w:tcPr>
          <w:p w14:paraId="46A47B8D"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78</w:t>
            </w:r>
          </w:p>
        </w:tc>
      </w:tr>
      <w:tr w:rsidR="00284CBE" w:rsidRPr="006431C4" w14:paraId="26458AB5" w14:textId="77777777" w:rsidTr="00284CBE">
        <w:tc>
          <w:tcPr>
            <w:tcW w:w="3755" w:type="dxa"/>
          </w:tcPr>
          <w:p w14:paraId="2E35271F"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PMB 25/55-80</w:t>
            </w:r>
          </w:p>
        </w:tc>
        <w:tc>
          <w:tcPr>
            <w:tcW w:w="3756" w:type="dxa"/>
          </w:tcPr>
          <w:p w14:paraId="482A9FE9" w14:textId="77777777" w:rsidR="00284CBE" w:rsidRPr="006431C4" w:rsidRDefault="00284CBE" w:rsidP="00284CBE">
            <w:pPr>
              <w:overflowPunct w:val="0"/>
              <w:autoSpaceDE w:val="0"/>
              <w:autoSpaceDN w:val="0"/>
              <w:adjustRightInd w:val="0"/>
              <w:spacing w:line="240" w:lineRule="auto"/>
              <w:ind w:right="-57"/>
              <w:jc w:val="center"/>
              <w:textAlignment w:val="baseline"/>
              <w:rPr>
                <w:rFonts w:cs="Arial"/>
                <w:color w:val="000000"/>
                <w:szCs w:val="20"/>
              </w:rPr>
            </w:pPr>
            <w:r w:rsidRPr="006431C4">
              <w:rPr>
                <w:rFonts w:cs="Arial"/>
                <w:color w:val="000000"/>
                <w:szCs w:val="20"/>
              </w:rPr>
              <w:t>Nie dotyczy</w:t>
            </w:r>
          </w:p>
        </w:tc>
      </w:tr>
    </w:tbl>
    <w:p w14:paraId="54E70C28"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3ECA4288"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szCs w:val="20"/>
        </w:rPr>
        <w:t>Najwyższa dopuszczalna temperatura mięknienia wyekstrahowanego polimeroasfaltu =</w:t>
      </w:r>
    </w:p>
    <w:p w14:paraId="706739BD" w14:textId="77777777" w:rsidR="00284CBE" w:rsidRPr="006431C4" w:rsidRDefault="00284CBE" w:rsidP="00284CBE">
      <w:pPr>
        <w:autoSpaceDE w:val="0"/>
        <w:autoSpaceDN w:val="0"/>
        <w:adjustRightInd w:val="0"/>
        <w:spacing w:line="240" w:lineRule="auto"/>
        <w:jc w:val="both"/>
        <w:rPr>
          <w:rFonts w:cs="Arial"/>
          <w:szCs w:val="20"/>
        </w:rPr>
      </w:pPr>
      <w:r w:rsidRPr="006431C4">
        <w:rPr>
          <w:rFonts w:cs="Arial"/>
          <w:szCs w:val="20"/>
        </w:rPr>
        <w:t>temperatura mięknienia zbadanej dostawy na wytwornię + dopuszczalny wg Załącznika</w:t>
      </w:r>
    </w:p>
    <w:p w14:paraId="431EFBCD"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szCs w:val="20"/>
        </w:rPr>
      </w:pPr>
      <w:r w:rsidRPr="006431C4">
        <w:rPr>
          <w:rFonts w:cs="Arial"/>
          <w:szCs w:val="20"/>
        </w:rPr>
        <w:t>krajowego NA do PN-EN 14023[66] wzrost temperatury mięknienia po starzeniu RTFOT.</w:t>
      </w:r>
    </w:p>
    <w:p w14:paraId="16AEAFEE" w14:textId="77777777" w:rsidR="00284CBE" w:rsidRPr="006431C4" w:rsidRDefault="00284CBE" w:rsidP="00284CBE">
      <w:pPr>
        <w:autoSpaceDE w:val="0"/>
        <w:autoSpaceDN w:val="0"/>
        <w:adjustRightInd w:val="0"/>
        <w:spacing w:line="240" w:lineRule="auto"/>
        <w:ind w:firstLine="709"/>
        <w:jc w:val="both"/>
        <w:rPr>
          <w:rFonts w:cs="Arial"/>
          <w:color w:val="000000"/>
          <w:szCs w:val="20"/>
        </w:rPr>
      </w:pPr>
      <w:r w:rsidRPr="006431C4">
        <w:rPr>
          <w:rFonts w:cs="Arial"/>
          <w:szCs w:val="20"/>
        </w:rPr>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13398[58]).</w:t>
      </w:r>
    </w:p>
    <w:p w14:paraId="46A009BD"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6.5.2.4. Gęstość i zawartość wolnych przestrzeni</w:t>
      </w:r>
    </w:p>
    <w:p w14:paraId="04A26E0E"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Zawartość wolnych przestrzeni w próbce Marshalla pobranej z mieszanki mineralno-asfaltowej lub wyjątkowo powtórnie rozgrzanej próbki pobranej z nawierzchni nie może wykroczyć poza wartości podane w pkcie 2.10 o więcej niż 1,5% (v/v).</w:t>
      </w:r>
    </w:p>
    <w:p w14:paraId="6664D31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6.5.3. </w:t>
      </w:r>
      <w:r w:rsidRPr="006431C4">
        <w:rPr>
          <w:rFonts w:cs="Arial"/>
          <w:szCs w:val="20"/>
        </w:rPr>
        <w:t xml:space="preserve">Warunki technologiczne wbudowywania mieszanki mineralno-asfaltowej </w:t>
      </w:r>
    </w:p>
    <w:p w14:paraId="45042367"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Temperatura powietrza powinna być mierzona przed i w czasie robót; nie powinna być mniejsza niż podano w tablicy 26.  </w:t>
      </w:r>
    </w:p>
    <w:p w14:paraId="4ACF09C6"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03B6C53A" w14:textId="77777777" w:rsidR="00284CBE" w:rsidRPr="006431C4" w:rsidRDefault="00284CBE" w:rsidP="00284CBE">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Pomiar temperatury mieszanki  mineralno-asfaltowej należy wykonać zgodnie z wymaganiami normy PN-EN 12697-13 [40]. </w:t>
      </w:r>
    </w:p>
    <w:p w14:paraId="15B902D0"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b/>
          <w:szCs w:val="20"/>
        </w:rPr>
      </w:pPr>
      <w:r w:rsidRPr="006431C4">
        <w:rPr>
          <w:rFonts w:cs="Arial"/>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75AD96A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b/>
          <w:szCs w:val="20"/>
        </w:rPr>
        <w:t>6.5.4.</w:t>
      </w:r>
      <w:r w:rsidRPr="006431C4">
        <w:rPr>
          <w:rFonts w:cs="Arial"/>
          <w:szCs w:val="20"/>
        </w:rPr>
        <w:t xml:space="preserve"> Wykonana warstwa</w:t>
      </w:r>
    </w:p>
    <w:p w14:paraId="1F78EA72"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6.5.4.1. Wskaźnik zagęszczenia i zawartość wolnych przestrzeni</w:t>
      </w:r>
    </w:p>
    <w:p w14:paraId="7CC6DB5F"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color w:val="000000"/>
          <w:szCs w:val="20"/>
        </w:rPr>
        <w:t xml:space="preserve">Zagęszczenie wykonanej warstwy wyrażone wskaźnikiem zagęszczenia oraz zawartością wolnych przestrzeni nie może przekroczyć wartości dopuszczalnych  podanych w tablicy 32. </w:t>
      </w:r>
      <w:r w:rsidRPr="006431C4">
        <w:rPr>
          <w:rFonts w:cs="Arial"/>
          <w:szCs w:val="20"/>
        </w:rPr>
        <w:t>Dotyczy to każdego pojedynczego oznaczenia danej właściwości.</w:t>
      </w:r>
    </w:p>
    <w:p w14:paraId="73DAC20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Określenie gęstości objętościowej należy wykonywać według PN-EN 12697-6  [36].</w:t>
      </w:r>
    </w:p>
    <w:p w14:paraId="7DC1265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75E9FC8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Tablica 32.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2280"/>
        <w:gridCol w:w="2164"/>
        <w:gridCol w:w="3257"/>
      </w:tblGrid>
      <w:tr w:rsidR="00284CBE" w:rsidRPr="006431C4" w14:paraId="78687A70" w14:textId="77777777" w:rsidTr="00955288">
        <w:tc>
          <w:tcPr>
            <w:tcW w:w="1788" w:type="dxa"/>
          </w:tcPr>
          <w:p w14:paraId="2C8A98BF"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5C12A40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Warstwa </w:t>
            </w:r>
          </w:p>
        </w:tc>
        <w:tc>
          <w:tcPr>
            <w:tcW w:w="2280" w:type="dxa"/>
          </w:tcPr>
          <w:p w14:paraId="522BE68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p>
          <w:p w14:paraId="7936B8A7"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Typ i wymiar mieszanki</w:t>
            </w:r>
          </w:p>
        </w:tc>
        <w:tc>
          <w:tcPr>
            <w:tcW w:w="2164" w:type="dxa"/>
          </w:tcPr>
          <w:p w14:paraId="4356DE0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Wskaźnik zagęszczenia </w:t>
            </w:r>
          </w:p>
          <w:p w14:paraId="7691441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3257" w:type="dxa"/>
          </w:tcPr>
          <w:p w14:paraId="3DEEA02B"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Zawartość wolnych przestrzeni w warstwie</w:t>
            </w:r>
          </w:p>
          <w:p w14:paraId="06835BE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[%(v/v)]</w:t>
            </w:r>
          </w:p>
        </w:tc>
      </w:tr>
      <w:tr w:rsidR="00284CBE" w:rsidRPr="006431C4" w14:paraId="74B696D8" w14:textId="77777777" w:rsidTr="00955288">
        <w:tc>
          <w:tcPr>
            <w:tcW w:w="1788" w:type="dxa"/>
            <w:vMerge w:val="restart"/>
          </w:tcPr>
          <w:p w14:paraId="5B2E0143"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Wiążąca</w:t>
            </w:r>
          </w:p>
        </w:tc>
        <w:tc>
          <w:tcPr>
            <w:tcW w:w="2280" w:type="dxa"/>
          </w:tcPr>
          <w:p w14:paraId="0EF35ACF"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AC 11 W, KR1-KR2</w:t>
            </w:r>
          </w:p>
        </w:tc>
        <w:tc>
          <w:tcPr>
            <w:tcW w:w="2164" w:type="dxa"/>
          </w:tcPr>
          <w:p w14:paraId="28EF672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3257" w:type="dxa"/>
          </w:tcPr>
          <w:p w14:paraId="0355269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2,0÷7,0</w:t>
            </w:r>
          </w:p>
        </w:tc>
      </w:tr>
      <w:tr w:rsidR="00284CBE" w:rsidRPr="006431C4" w14:paraId="4FA2BF76" w14:textId="77777777" w:rsidTr="00955288">
        <w:tc>
          <w:tcPr>
            <w:tcW w:w="1788" w:type="dxa"/>
            <w:vMerge/>
          </w:tcPr>
          <w:p w14:paraId="1BC5BF7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280" w:type="dxa"/>
          </w:tcPr>
          <w:p w14:paraId="0C4E8D9A"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AC 16 W, KR1-KR2</w:t>
            </w:r>
          </w:p>
        </w:tc>
        <w:tc>
          <w:tcPr>
            <w:tcW w:w="2164" w:type="dxa"/>
          </w:tcPr>
          <w:p w14:paraId="3C9AF2D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3257" w:type="dxa"/>
          </w:tcPr>
          <w:p w14:paraId="1F63B85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2,0÷7,0</w:t>
            </w:r>
          </w:p>
        </w:tc>
      </w:tr>
      <w:tr w:rsidR="00284CBE" w:rsidRPr="006431C4" w14:paraId="17B34730" w14:textId="77777777" w:rsidTr="00955288">
        <w:tc>
          <w:tcPr>
            <w:tcW w:w="1788" w:type="dxa"/>
            <w:vMerge/>
          </w:tcPr>
          <w:p w14:paraId="3197E90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280" w:type="dxa"/>
          </w:tcPr>
          <w:p w14:paraId="2BD2D515"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AC 16 W, KR3-KR7</w:t>
            </w:r>
          </w:p>
        </w:tc>
        <w:tc>
          <w:tcPr>
            <w:tcW w:w="2164" w:type="dxa"/>
          </w:tcPr>
          <w:p w14:paraId="52455AE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3257" w:type="dxa"/>
          </w:tcPr>
          <w:p w14:paraId="49BDF6D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3,0÷8,0</w:t>
            </w:r>
          </w:p>
        </w:tc>
      </w:tr>
      <w:tr w:rsidR="00284CBE" w:rsidRPr="006431C4" w14:paraId="43DE22F1" w14:textId="77777777" w:rsidTr="00955288">
        <w:tc>
          <w:tcPr>
            <w:tcW w:w="1788" w:type="dxa"/>
            <w:vMerge/>
          </w:tcPr>
          <w:p w14:paraId="53BEAEF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2280" w:type="dxa"/>
          </w:tcPr>
          <w:p w14:paraId="554A175C"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AC 22 W, KR3-KR7</w:t>
            </w:r>
          </w:p>
        </w:tc>
        <w:tc>
          <w:tcPr>
            <w:tcW w:w="2164" w:type="dxa"/>
          </w:tcPr>
          <w:p w14:paraId="166F0D0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 98</w:t>
            </w:r>
          </w:p>
        </w:tc>
        <w:tc>
          <w:tcPr>
            <w:tcW w:w="3257" w:type="dxa"/>
          </w:tcPr>
          <w:p w14:paraId="3D53688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3,0÷8,0</w:t>
            </w:r>
          </w:p>
        </w:tc>
      </w:tr>
    </w:tbl>
    <w:p w14:paraId="3BEF42DB"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p>
    <w:p w14:paraId="64E49416" w14:textId="77777777" w:rsidR="00284CBE" w:rsidRPr="006431C4" w:rsidRDefault="00284CBE" w:rsidP="00284CBE">
      <w:pPr>
        <w:overflowPunct w:val="0"/>
        <w:autoSpaceDE w:val="0"/>
        <w:autoSpaceDN w:val="0"/>
        <w:adjustRightInd w:val="0"/>
        <w:spacing w:line="240" w:lineRule="auto"/>
        <w:ind w:right="-57" w:firstLine="709"/>
        <w:jc w:val="both"/>
        <w:textAlignment w:val="baseline"/>
        <w:rPr>
          <w:rFonts w:cs="Arial"/>
          <w:color w:val="000000"/>
          <w:szCs w:val="20"/>
        </w:rPr>
      </w:pPr>
      <w:r w:rsidRPr="006431C4">
        <w:rPr>
          <w:rFonts w:cs="Arial"/>
          <w:color w:val="000000"/>
          <w:szCs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6431C4">
          <w:rPr>
            <w:rFonts w:cs="Arial"/>
            <w:color w:val="000000"/>
            <w:szCs w:val="20"/>
          </w:rPr>
          <w:t>6000 m</w:t>
        </w:r>
        <w:r w:rsidRPr="006431C4">
          <w:rPr>
            <w:rFonts w:cs="Arial"/>
            <w:color w:val="000000"/>
            <w:szCs w:val="20"/>
            <w:vertAlign w:val="superscript"/>
          </w:rPr>
          <w:t>2</w:t>
        </w:r>
      </w:smartTag>
      <w:r w:rsidRPr="006431C4">
        <w:rPr>
          <w:rFonts w:cs="Arial"/>
          <w:color w:val="000000"/>
          <w:szCs w:val="20"/>
        </w:rPr>
        <w:t xml:space="preserve"> nawierzchni jedna próbka; w razie potrzeby liczba próbek może zostać zwiększona (np. nawierzchnie </w:t>
      </w:r>
      <w:r w:rsidRPr="006431C4">
        <w:rPr>
          <w:rFonts w:cs="Arial"/>
          <w:color w:val="000000"/>
          <w:szCs w:val="20"/>
        </w:rPr>
        <w:pgNum/>
      </w:r>
      <w:r w:rsidRPr="006431C4">
        <w:rPr>
          <w:rFonts w:cs="Arial"/>
          <w:color w:val="000000"/>
          <w:szCs w:val="20"/>
        </w:rPr>
        <w:t>dróg w terenie zabudowy, nawierzchnie mostowe).</w:t>
      </w:r>
    </w:p>
    <w:p w14:paraId="3012099A" w14:textId="77777777" w:rsidR="00284CBE" w:rsidRPr="006431C4" w:rsidRDefault="00284CBE" w:rsidP="00284CBE">
      <w:pPr>
        <w:overflowPunct w:val="0"/>
        <w:autoSpaceDE w:val="0"/>
        <w:autoSpaceDN w:val="0"/>
        <w:adjustRightInd w:val="0"/>
        <w:spacing w:line="240" w:lineRule="auto"/>
        <w:ind w:right="-57"/>
        <w:jc w:val="both"/>
        <w:textAlignment w:val="baseline"/>
        <w:rPr>
          <w:rFonts w:cs="Arial"/>
          <w:color w:val="000000"/>
          <w:szCs w:val="20"/>
        </w:rPr>
      </w:pPr>
      <w:r w:rsidRPr="006431C4">
        <w:rPr>
          <w:rFonts w:cs="Arial"/>
          <w:color w:val="000000"/>
          <w:szCs w:val="20"/>
        </w:rPr>
        <w:t xml:space="preserve"> 6.5.4.2. Grubość warstwy  </w:t>
      </w:r>
    </w:p>
    <w:p w14:paraId="3F072B38"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33.</w:t>
      </w:r>
    </w:p>
    <w:p w14:paraId="1111C7C2" w14:textId="77777777" w:rsidR="00284CBE" w:rsidRPr="006431C4" w:rsidRDefault="00284CBE" w:rsidP="00284CBE">
      <w:pPr>
        <w:overflowPunct w:val="0"/>
        <w:autoSpaceDE w:val="0"/>
        <w:autoSpaceDN w:val="0"/>
        <w:adjustRightInd w:val="0"/>
        <w:spacing w:line="240" w:lineRule="auto"/>
        <w:ind w:left="992" w:hanging="992"/>
        <w:jc w:val="both"/>
        <w:textAlignment w:val="baseline"/>
        <w:rPr>
          <w:rFonts w:cs="Arial"/>
          <w:szCs w:val="20"/>
        </w:rPr>
      </w:pPr>
      <w:r w:rsidRPr="006431C4">
        <w:rPr>
          <w:rFonts w:cs="Arial"/>
          <w:szCs w:val="20"/>
        </w:rPr>
        <w:t xml:space="preserve">Tablica 33. Dopuszczalne odchyłki grubości warstwy [%] </w:t>
      </w:r>
    </w:p>
    <w:tbl>
      <w:tblPr>
        <w:tblW w:w="9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2435"/>
        <w:gridCol w:w="2331"/>
      </w:tblGrid>
      <w:tr w:rsidR="00284CBE" w:rsidRPr="006431C4" w14:paraId="7D9A0F67" w14:textId="77777777" w:rsidTr="00955288">
        <w:tc>
          <w:tcPr>
            <w:tcW w:w="4931" w:type="dxa"/>
            <w:vAlign w:val="center"/>
          </w:tcPr>
          <w:p w14:paraId="72290ABB" w14:textId="77777777" w:rsidR="00284CBE" w:rsidRPr="006431C4" w:rsidRDefault="00284CBE" w:rsidP="00284CBE">
            <w:pPr>
              <w:tabs>
                <w:tab w:val="left" w:pos="1500"/>
                <w:tab w:val="center" w:pos="2357"/>
              </w:tabs>
              <w:overflowPunct w:val="0"/>
              <w:autoSpaceDE w:val="0"/>
              <w:autoSpaceDN w:val="0"/>
              <w:adjustRightInd w:val="0"/>
              <w:spacing w:line="240" w:lineRule="auto"/>
              <w:jc w:val="center"/>
              <w:textAlignment w:val="baseline"/>
              <w:rPr>
                <w:rFonts w:cs="Arial"/>
                <w:szCs w:val="20"/>
              </w:rPr>
            </w:pPr>
            <w:r w:rsidRPr="006431C4">
              <w:rPr>
                <w:rFonts w:cs="Arial"/>
                <w:szCs w:val="20"/>
              </w:rPr>
              <w:t>Warunki oceny</w:t>
            </w:r>
          </w:p>
        </w:tc>
        <w:tc>
          <w:tcPr>
            <w:tcW w:w="2435" w:type="dxa"/>
            <w:vAlign w:val="center"/>
          </w:tcPr>
          <w:p w14:paraId="2B8D9D0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Pakiet: warstwa ścieralna+wiążąca +podbudowa asfaltowa razem</w:t>
            </w:r>
          </w:p>
        </w:tc>
        <w:tc>
          <w:tcPr>
            <w:tcW w:w="2331" w:type="dxa"/>
            <w:vAlign w:val="center"/>
          </w:tcPr>
          <w:p w14:paraId="72CEAB99"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Warstwa wiążąca</w:t>
            </w:r>
          </w:p>
        </w:tc>
      </w:tr>
      <w:tr w:rsidR="00284CBE" w:rsidRPr="006431C4" w14:paraId="58BA1A01" w14:textId="77777777" w:rsidTr="00955288">
        <w:trPr>
          <w:trHeight w:val="985"/>
        </w:trPr>
        <w:tc>
          <w:tcPr>
            <w:tcW w:w="4931" w:type="dxa"/>
            <w:tcBorders>
              <w:bottom w:val="nil"/>
            </w:tcBorders>
          </w:tcPr>
          <w:p w14:paraId="1A4DE851" w14:textId="77777777" w:rsidR="00284CBE" w:rsidRPr="006431C4" w:rsidRDefault="00284CBE" w:rsidP="00284CBE">
            <w:pPr>
              <w:overflowPunct w:val="0"/>
              <w:autoSpaceDE w:val="0"/>
              <w:autoSpaceDN w:val="0"/>
              <w:adjustRightInd w:val="0"/>
              <w:spacing w:line="240" w:lineRule="auto"/>
              <w:ind w:left="426" w:hanging="426"/>
              <w:jc w:val="both"/>
              <w:textAlignment w:val="baseline"/>
              <w:rPr>
                <w:rFonts w:cs="Arial"/>
                <w:szCs w:val="20"/>
              </w:rPr>
            </w:pPr>
            <w:r w:rsidRPr="006431C4">
              <w:rPr>
                <w:rFonts w:cs="Arial"/>
                <w:szCs w:val="20"/>
              </w:rPr>
              <w:t>Dla wartości średniej grubości wbudowanej warstwy z całego odcinka budowy</w:t>
            </w:r>
          </w:p>
        </w:tc>
        <w:tc>
          <w:tcPr>
            <w:tcW w:w="2435" w:type="dxa"/>
            <w:tcBorders>
              <w:bottom w:val="nil"/>
            </w:tcBorders>
          </w:tcPr>
          <w:p w14:paraId="39D635A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Nie dopuszcza się zaniżenia grubości</w:t>
            </w:r>
          </w:p>
        </w:tc>
        <w:tc>
          <w:tcPr>
            <w:tcW w:w="2331" w:type="dxa"/>
            <w:tcBorders>
              <w:bottom w:val="nil"/>
            </w:tcBorders>
          </w:tcPr>
          <w:p w14:paraId="69D62E4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Nie dopuszcza się zaniżenia grubości</w:t>
            </w:r>
          </w:p>
        </w:tc>
      </w:tr>
      <w:tr w:rsidR="00284CBE" w:rsidRPr="006431C4" w14:paraId="1581CBA2" w14:textId="77777777" w:rsidTr="00955288">
        <w:tc>
          <w:tcPr>
            <w:tcW w:w="4931" w:type="dxa"/>
          </w:tcPr>
          <w:p w14:paraId="76848BC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Dla wartości pojedynczych wyników pomiarów grubości wbudowanej warstwy</w:t>
            </w:r>
          </w:p>
        </w:tc>
        <w:tc>
          <w:tcPr>
            <w:tcW w:w="2435" w:type="dxa"/>
          </w:tcPr>
          <w:p w14:paraId="55F23A76"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0÷10%, ale nie więcej niż 1,0 cm</w:t>
            </w:r>
          </w:p>
        </w:tc>
        <w:tc>
          <w:tcPr>
            <w:tcW w:w="2331" w:type="dxa"/>
          </w:tcPr>
          <w:p w14:paraId="48B9A87E"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0÷10%</w:t>
            </w:r>
          </w:p>
        </w:tc>
      </w:tr>
    </w:tbl>
    <w:p w14:paraId="2F6DC1DF" w14:textId="77777777" w:rsidR="00284CBE" w:rsidRPr="006431C4" w:rsidRDefault="00284CBE" w:rsidP="00284CBE">
      <w:pPr>
        <w:autoSpaceDE w:val="0"/>
        <w:autoSpaceDN w:val="0"/>
        <w:adjustRightInd w:val="0"/>
        <w:spacing w:line="240" w:lineRule="auto"/>
        <w:jc w:val="both"/>
        <w:rPr>
          <w:rFonts w:cs="Arial"/>
          <w:szCs w:val="20"/>
          <w:highlight w:val="yellow"/>
        </w:rPr>
      </w:pPr>
    </w:p>
    <w:p w14:paraId="20B34E72"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Należy sprawdzić zachowanie zasady mówiącej, że grubość warstwy musi być co najmniej dwuipółkrotnie większa od wymiaru D kruszywa danej mieszanki (h ≥ 2,5×D).</w:t>
      </w:r>
    </w:p>
    <w:p w14:paraId="19D53B5D"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 xml:space="preserve">Zwiększone grubości poszczególnych warstw będą zaliczane jako wyrównanie ewentualnych niedoborów niżej leżącej warstwy. </w:t>
      </w:r>
    </w:p>
    <w:p w14:paraId="2453315C" w14:textId="77777777" w:rsidR="00284CBE" w:rsidRPr="006431C4" w:rsidRDefault="00284CBE" w:rsidP="00284CBE">
      <w:pPr>
        <w:keepNext/>
        <w:overflowPunct w:val="0"/>
        <w:autoSpaceDE w:val="0"/>
        <w:autoSpaceDN w:val="0"/>
        <w:adjustRightInd w:val="0"/>
        <w:spacing w:line="240" w:lineRule="auto"/>
        <w:jc w:val="both"/>
        <w:textAlignment w:val="baseline"/>
        <w:rPr>
          <w:rFonts w:cs="Arial"/>
          <w:szCs w:val="20"/>
        </w:rPr>
      </w:pPr>
      <w:r w:rsidRPr="006431C4">
        <w:rPr>
          <w:rFonts w:cs="Arial"/>
          <w:szCs w:val="20"/>
        </w:rPr>
        <w:t>6.5.4.3. Spadki poprzeczne</w:t>
      </w:r>
    </w:p>
    <w:p w14:paraId="2699505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Spadki poprzeczne nawierzchni należy badać nie rzadziej niż co </w:t>
      </w:r>
      <w:smartTag w:uri="urn:schemas-microsoft-com:office:smarttags" w:element="metricconverter">
        <w:smartTagPr>
          <w:attr w:name="ProductID" w:val="20 m"/>
        </w:smartTagPr>
        <w:r w:rsidRPr="006431C4">
          <w:rPr>
            <w:rFonts w:cs="Arial"/>
            <w:szCs w:val="20"/>
          </w:rPr>
          <w:t>20 m</w:t>
        </w:r>
      </w:smartTag>
      <w:r w:rsidRPr="006431C4">
        <w:rPr>
          <w:rFonts w:cs="Arial"/>
          <w:szCs w:val="20"/>
        </w:rPr>
        <w:t xml:space="preserve"> oraz w punktach głównych łuków poziomych.</w:t>
      </w:r>
    </w:p>
    <w:p w14:paraId="62AC031A"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color w:val="000000"/>
          <w:szCs w:val="20"/>
        </w:rPr>
      </w:pPr>
      <w:r w:rsidRPr="006431C4">
        <w:rPr>
          <w:rFonts w:cs="Arial"/>
          <w:szCs w:val="20"/>
        </w:rPr>
        <w:t xml:space="preserve">Spadki poprzeczne powinny być zgodne z dokumentacją projektową, z tolerancją       </w:t>
      </w:r>
      <w:r w:rsidRPr="006431C4">
        <w:rPr>
          <w:rFonts w:cs="Arial"/>
          <w:color w:val="000000"/>
          <w:szCs w:val="20"/>
        </w:rPr>
        <w:sym w:font="Symbol" w:char="00B1"/>
      </w:r>
      <w:r w:rsidRPr="006431C4">
        <w:rPr>
          <w:rFonts w:cs="Arial"/>
          <w:color w:val="000000"/>
          <w:szCs w:val="20"/>
        </w:rPr>
        <w:t xml:space="preserve"> 0,5%. </w:t>
      </w:r>
    </w:p>
    <w:p w14:paraId="7BFFF30E" w14:textId="77777777" w:rsidR="00284CBE" w:rsidRPr="006431C4" w:rsidRDefault="00284CBE" w:rsidP="00284CBE">
      <w:pPr>
        <w:keepNext/>
        <w:overflowPunct w:val="0"/>
        <w:autoSpaceDE w:val="0"/>
        <w:autoSpaceDN w:val="0"/>
        <w:adjustRightInd w:val="0"/>
        <w:spacing w:line="240" w:lineRule="auto"/>
        <w:jc w:val="both"/>
        <w:textAlignment w:val="baseline"/>
        <w:rPr>
          <w:rFonts w:cs="Arial"/>
          <w:szCs w:val="20"/>
        </w:rPr>
      </w:pPr>
      <w:r w:rsidRPr="006431C4">
        <w:rPr>
          <w:rFonts w:cs="Arial"/>
          <w:szCs w:val="20"/>
        </w:rPr>
        <w:t>6.5.4.4. Równość podłużna i poprzeczna</w:t>
      </w:r>
    </w:p>
    <w:p w14:paraId="251C4E8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a) Równość podłużna  </w:t>
      </w:r>
    </w:p>
    <w:p w14:paraId="49FD875B"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 xml:space="preserve">Do oceny równości podłużnej </w:t>
      </w:r>
      <w:r w:rsidRPr="006431C4">
        <w:rPr>
          <w:rFonts w:eastAsia="TimesNewRoman" w:cs="Arial"/>
          <w:szCs w:val="20"/>
        </w:rPr>
        <w:t xml:space="preserve"> </w:t>
      </w:r>
      <w:r w:rsidRPr="006431C4">
        <w:rPr>
          <w:rFonts w:cs="Arial"/>
          <w:szCs w:val="20"/>
        </w:rPr>
        <w:t>warstw wiążącej i wyrównawczej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1E3E80A2"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W miejscach niedostępnych dla planografu pomiar równości podłużnej warstw nawierzchni należy wykonać w sposób ciągły z użyciem łaty i klina. Długość łaty w pomiarze równości podłużnej powinna wynosić 4 m.</w:t>
      </w:r>
    </w:p>
    <w:p w14:paraId="5ED980C5"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Maksymalne wartości odchyleń równości podłużnej dla warstwy oznaczone pomiarem ciągłym równoważnym użyciu łaty i klina np. z wykorzystaniem planografu, łaty i klina określa tablica 34.</w:t>
      </w:r>
    </w:p>
    <w:p w14:paraId="592DEF10" w14:textId="77777777" w:rsidR="00284CBE" w:rsidRPr="006431C4" w:rsidRDefault="00284CBE" w:rsidP="00284CBE">
      <w:pPr>
        <w:tabs>
          <w:tab w:val="left" w:pos="1134"/>
        </w:tabs>
        <w:autoSpaceDE w:val="0"/>
        <w:autoSpaceDN w:val="0"/>
        <w:adjustRightInd w:val="0"/>
        <w:spacing w:line="240" w:lineRule="auto"/>
        <w:ind w:left="1134" w:hanging="1134"/>
        <w:jc w:val="both"/>
        <w:rPr>
          <w:rFonts w:cs="Arial"/>
          <w:szCs w:val="20"/>
        </w:rPr>
      </w:pPr>
      <w:r w:rsidRPr="006431C4">
        <w:rPr>
          <w:rFonts w:cs="Arial"/>
          <w:bCs/>
          <w:szCs w:val="20"/>
        </w:rPr>
        <w:t>Tablica 34.</w:t>
      </w:r>
      <w:r w:rsidRPr="006431C4">
        <w:rPr>
          <w:rFonts w:cs="Arial"/>
          <w:bCs/>
          <w:szCs w:val="20"/>
        </w:rPr>
        <w:tab/>
        <w:t>Maksymalne wartości odchyleń równości podłużnej dla warstwy wiążącej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5954"/>
        <w:gridCol w:w="2693"/>
      </w:tblGrid>
      <w:tr w:rsidR="00284CBE" w:rsidRPr="006431C4" w14:paraId="2DFA5ECD" w14:textId="77777777" w:rsidTr="00955288">
        <w:tc>
          <w:tcPr>
            <w:tcW w:w="1809" w:type="dxa"/>
            <w:vAlign w:val="center"/>
          </w:tcPr>
          <w:p w14:paraId="52392F6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Klasa drogi</w:t>
            </w:r>
          </w:p>
        </w:tc>
        <w:tc>
          <w:tcPr>
            <w:tcW w:w="5954" w:type="dxa"/>
            <w:vAlign w:val="center"/>
          </w:tcPr>
          <w:p w14:paraId="76DD30AD"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Element nawierzchni</w:t>
            </w:r>
          </w:p>
        </w:tc>
        <w:tc>
          <w:tcPr>
            <w:tcW w:w="2693" w:type="dxa"/>
            <w:vAlign w:val="center"/>
          </w:tcPr>
          <w:p w14:paraId="1EA15303"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Maksymalne wartości odchyleń równości podłużnej warstwy [mm] dla warstwy wiążącej</w:t>
            </w:r>
          </w:p>
        </w:tc>
      </w:tr>
      <w:tr w:rsidR="00284CBE" w:rsidRPr="006431C4" w14:paraId="0255E350" w14:textId="77777777" w:rsidTr="00955288">
        <w:tc>
          <w:tcPr>
            <w:tcW w:w="1809" w:type="dxa"/>
            <w:vMerge w:val="restart"/>
          </w:tcPr>
          <w:p w14:paraId="7913A799"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A,S,GP</w:t>
            </w:r>
          </w:p>
        </w:tc>
        <w:tc>
          <w:tcPr>
            <w:tcW w:w="5954" w:type="dxa"/>
          </w:tcPr>
          <w:p w14:paraId="0211A394" w14:textId="77777777" w:rsidR="00284CBE" w:rsidRPr="006431C4" w:rsidRDefault="00284CBE" w:rsidP="00284CBE">
            <w:pPr>
              <w:autoSpaceDE w:val="0"/>
              <w:autoSpaceDN w:val="0"/>
              <w:adjustRightInd w:val="0"/>
              <w:spacing w:line="240" w:lineRule="auto"/>
              <w:rPr>
                <w:rFonts w:cs="Arial"/>
                <w:szCs w:val="20"/>
              </w:rPr>
            </w:pPr>
            <w:r w:rsidRPr="006431C4">
              <w:rPr>
                <w:rFonts w:cs="Arial"/>
                <w:szCs w:val="20"/>
              </w:rPr>
              <w:t>Pasy ruchu zasadnicze, awaryjne,</w:t>
            </w:r>
          </w:p>
          <w:p w14:paraId="79BD1624" w14:textId="77777777" w:rsidR="00284CBE" w:rsidRPr="006431C4" w:rsidRDefault="00284CBE" w:rsidP="00284CBE">
            <w:pPr>
              <w:autoSpaceDE w:val="0"/>
              <w:autoSpaceDN w:val="0"/>
              <w:adjustRightInd w:val="0"/>
              <w:spacing w:line="240" w:lineRule="auto"/>
              <w:rPr>
                <w:rFonts w:cs="Arial"/>
                <w:szCs w:val="20"/>
              </w:rPr>
            </w:pPr>
            <w:r w:rsidRPr="006431C4">
              <w:rPr>
                <w:rFonts w:cs="Arial"/>
                <w:szCs w:val="20"/>
              </w:rPr>
              <w:t>dodatkowe, włączenia i wyłączenia,</w:t>
            </w:r>
          </w:p>
          <w:p w14:paraId="660757D1"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jezdnie łącznic, </w:t>
            </w:r>
          </w:p>
          <w:p w14:paraId="42C0DDB1"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utwardzone pobocza</w:t>
            </w:r>
          </w:p>
        </w:tc>
        <w:tc>
          <w:tcPr>
            <w:tcW w:w="2693" w:type="dxa"/>
          </w:tcPr>
          <w:p w14:paraId="7C05B74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r>
      <w:tr w:rsidR="00284CBE" w:rsidRPr="006431C4" w14:paraId="6B862926" w14:textId="77777777" w:rsidTr="00955288">
        <w:tc>
          <w:tcPr>
            <w:tcW w:w="1809" w:type="dxa"/>
            <w:vMerge/>
          </w:tcPr>
          <w:p w14:paraId="33FE1B8D"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p>
        </w:tc>
        <w:tc>
          <w:tcPr>
            <w:tcW w:w="5954" w:type="dxa"/>
          </w:tcPr>
          <w:p w14:paraId="3673BF80"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Jezdnie MOP</w:t>
            </w:r>
          </w:p>
        </w:tc>
        <w:tc>
          <w:tcPr>
            <w:tcW w:w="2693" w:type="dxa"/>
          </w:tcPr>
          <w:p w14:paraId="118662B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r w:rsidR="00284CBE" w:rsidRPr="006431C4" w14:paraId="5775F947" w14:textId="77777777" w:rsidTr="00955288">
        <w:tc>
          <w:tcPr>
            <w:tcW w:w="1809" w:type="dxa"/>
          </w:tcPr>
          <w:p w14:paraId="14E57DC2"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G,Z</w:t>
            </w:r>
          </w:p>
        </w:tc>
        <w:tc>
          <w:tcPr>
            <w:tcW w:w="5954" w:type="dxa"/>
          </w:tcPr>
          <w:p w14:paraId="43164522" w14:textId="77777777" w:rsidR="00284CBE" w:rsidRPr="006431C4" w:rsidRDefault="00284CBE" w:rsidP="00284CBE">
            <w:pPr>
              <w:autoSpaceDE w:val="0"/>
              <w:autoSpaceDN w:val="0"/>
              <w:adjustRightInd w:val="0"/>
              <w:spacing w:line="240" w:lineRule="auto"/>
              <w:rPr>
                <w:rFonts w:cs="Arial"/>
                <w:szCs w:val="20"/>
              </w:rPr>
            </w:pPr>
            <w:r w:rsidRPr="006431C4">
              <w:rPr>
                <w:rFonts w:cs="Arial"/>
                <w:szCs w:val="20"/>
              </w:rPr>
              <w:t>Pasy ruchu zasadnicze, dodatkowe,</w:t>
            </w:r>
          </w:p>
          <w:p w14:paraId="4866F208" w14:textId="77777777" w:rsidR="00284CBE" w:rsidRPr="006431C4" w:rsidRDefault="00284CBE" w:rsidP="00284CBE">
            <w:pPr>
              <w:autoSpaceDE w:val="0"/>
              <w:autoSpaceDN w:val="0"/>
              <w:adjustRightInd w:val="0"/>
              <w:spacing w:line="240" w:lineRule="auto"/>
              <w:rPr>
                <w:rFonts w:cs="Arial"/>
                <w:szCs w:val="20"/>
              </w:rPr>
            </w:pPr>
            <w:r w:rsidRPr="006431C4">
              <w:rPr>
                <w:rFonts w:cs="Arial"/>
                <w:szCs w:val="20"/>
              </w:rPr>
              <w:t>włączenia i wyłączenia, postojowe,</w:t>
            </w:r>
          </w:p>
          <w:p w14:paraId="305FFE17"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jezdnie łącznic, </w:t>
            </w:r>
          </w:p>
          <w:p w14:paraId="6DA38262"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utwardzone pobocza</w:t>
            </w:r>
          </w:p>
        </w:tc>
        <w:tc>
          <w:tcPr>
            <w:tcW w:w="2693" w:type="dxa"/>
          </w:tcPr>
          <w:p w14:paraId="34CDD520"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r w:rsidR="00284CBE" w:rsidRPr="006431C4" w14:paraId="281565E9" w14:textId="77777777" w:rsidTr="00955288">
        <w:tc>
          <w:tcPr>
            <w:tcW w:w="1809" w:type="dxa"/>
          </w:tcPr>
          <w:p w14:paraId="63E8EBA9"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L,D, place parkingi, </w:t>
            </w:r>
          </w:p>
        </w:tc>
        <w:tc>
          <w:tcPr>
            <w:tcW w:w="5954" w:type="dxa"/>
          </w:tcPr>
          <w:p w14:paraId="79A5AE8C"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Wszystkie pasy ruchu i powierzchnie przeznaczone do ruchu i postoju pojazdów</w:t>
            </w:r>
          </w:p>
        </w:tc>
        <w:tc>
          <w:tcPr>
            <w:tcW w:w="2693" w:type="dxa"/>
          </w:tcPr>
          <w:p w14:paraId="6426303C"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r>
    </w:tbl>
    <w:p w14:paraId="57F355A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2D293EA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 Równość poprzeczna</w:t>
      </w:r>
    </w:p>
    <w:p w14:paraId="22568BB4"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6D3A40D8"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6ED6911B" w14:textId="77777777" w:rsidR="00284CBE" w:rsidRPr="006431C4" w:rsidRDefault="00284CBE" w:rsidP="00284CBE">
      <w:pPr>
        <w:autoSpaceDE w:val="0"/>
        <w:autoSpaceDN w:val="0"/>
        <w:adjustRightInd w:val="0"/>
        <w:spacing w:line="240" w:lineRule="auto"/>
        <w:ind w:firstLine="709"/>
        <w:jc w:val="both"/>
        <w:rPr>
          <w:rFonts w:cs="Arial"/>
          <w:szCs w:val="20"/>
        </w:rPr>
      </w:pPr>
      <w:r w:rsidRPr="006431C4">
        <w:rPr>
          <w:rFonts w:cs="Arial"/>
          <w:szCs w:val="20"/>
        </w:rPr>
        <w:t>Maksymalne wartości odchyleń równości poprzecznej określa tablica 35.</w:t>
      </w:r>
    </w:p>
    <w:p w14:paraId="3889B5B7" w14:textId="77777777" w:rsidR="00284CBE" w:rsidRPr="006431C4" w:rsidRDefault="00284CBE" w:rsidP="00284CBE">
      <w:pPr>
        <w:tabs>
          <w:tab w:val="left" w:pos="1134"/>
        </w:tabs>
        <w:autoSpaceDE w:val="0"/>
        <w:autoSpaceDN w:val="0"/>
        <w:adjustRightInd w:val="0"/>
        <w:spacing w:line="240" w:lineRule="auto"/>
        <w:ind w:left="1134" w:hanging="1134"/>
        <w:jc w:val="both"/>
        <w:rPr>
          <w:rFonts w:cs="Arial"/>
          <w:szCs w:val="20"/>
        </w:rPr>
      </w:pPr>
      <w:r w:rsidRPr="006431C4">
        <w:rPr>
          <w:rFonts w:cs="Arial"/>
          <w:bCs/>
          <w:szCs w:val="20"/>
        </w:rPr>
        <w:t>Tablica 35.</w:t>
      </w:r>
      <w:r w:rsidRPr="006431C4">
        <w:rPr>
          <w:rFonts w:cs="Arial"/>
          <w:bCs/>
          <w:szCs w:val="20"/>
        </w:rPr>
        <w:tab/>
        <w:t>Maksymalne wartości odchyleń równości poprzecznej dla warstwy ścieralnej i wiążącej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5983"/>
        <w:gridCol w:w="2977"/>
      </w:tblGrid>
      <w:tr w:rsidR="00284CBE" w:rsidRPr="006431C4" w14:paraId="7BBBDB1C" w14:textId="77777777" w:rsidTr="00955288">
        <w:tc>
          <w:tcPr>
            <w:tcW w:w="1809" w:type="dxa"/>
            <w:vAlign w:val="center"/>
          </w:tcPr>
          <w:p w14:paraId="160CFF8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Klasa drogi</w:t>
            </w:r>
          </w:p>
        </w:tc>
        <w:tc>
          <w:tcPr>
            <w:tcW w:w="5983" w:type="dxa"/>
            <w:vAlign w:val="center"/>
          </w:tcPr>
          <w:p w14:paraId="0BB3B3EA"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Element nawierzchni</w:t>
            </w:r>
          </w:p>
        </w:tc>
        <w:tc>
          <w:tcPr>
            <w:tcW w:w="2977" w:type="dxa"/>
            <w:vAlign w:val="center"/>
          </w:tcPr>
          <w:p w14:paraId="0809D1A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Maksymalne wartości odchyleń równości poprzecznej warstwy [mm] dla warstwy wiążącej</w:t>
            </w:r>
          </w:p>
        </w:tc>
      </w:tr>
      <w:tr w:rsidR="00284CBE" w:rsidRPr="006431C4" w14:paraId="1EC9131C" w14:textId="77777777" w:rsidTr="00955288">
        <w:tc>
          <w:tcPr>
            <w:tcW w:w="1809" w:type="dxa"/>
            <w:vMerge w:val="restart"/>
          </w:tcPr>
          <w:p w14:paraId="70D1C84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A,S,GP</w:t>
            </w:r>
          </w:p>
        </w:tc>
        <w:tc>
          <w:tcPr>
            <w:tcW w:w="5983" w:type="dxa"/>
          </w:tcPr>
          <w:p w14:paraId="3AFCC5B9" w14:textId="77777777" w:rsidR="00284CBE" w:rsidRPr="006431C4" w:rsidRDefault="00284CBE" w:rsidP="00284CBE">
            <w:pPr>
              <w:autoSpaceDE w:val="0"/>
              <w:autoSpaceDN w:val="0"/>
              <w:adjustRightInd w:val="0"/>
              <w:spacing w:line="240" w:lineRule="auto"/>
              <w:rPr>
                <w:rFonts w:cs="Arial"/>
                <w:szCs w:val="20"/>
              </w:rPr>
            </w:pPr>
            <w:r w:rsidRPr="006431C4">
              <w:rPr>
                <w:rFonts w:cs="Arial"/>
                <w:szCs w:val="20"/>
              </w:rPr>
              <w:t>Pasy ruchu zasadnicze, awaryjne,</w:t>
            </w:r>
          </w:p>
          <w:p w14:paraId="0E3A2F24" w14:textId="77777777" w:rsidR="00284CBE" w:rsidRPr="006431C4" w:rsidRDefault="00284CBE" w:rsidP="00284CBE">
            <w:pPr>
              <w:autoSpaceDE w:val="0"/>
              <w:autoSpaceDN w:val="0"/>
              <w:adjustRightInd w:val="0"/>
              <w:spacing w:line="240" w:lineRule="auto"/>
              <w:rPr>
                <w:rFonts w:cs="Arial"/>
                <w:szCs w:val="20"/>
              </w:rPr>
            </w:pPr>
            <w:r w:rsidRPr="006431C4">
              <w:rPr>
                <w:rFonts w:cs="Arial"/>
                <w:szCs w:val="20"/>
              </w:rPr>
              <w:t>dodatkowe, włączenia i wyłączenia,</w:t>
            </w:r>
          </w:p>
          <w:p w14:paraId="692F1EE4"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jezdnie łącznic, </w:t>
            </w:r>
          </w:p>
          <w:p w14:paraId="4FC0EE1D"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utwardzone pobocza</w:t>
            </w:r>
          </w:p>
        </w:tc>
        <w:tc>
          <w:tcPr>
            <w:tcW w:w="2977" w:type="dxa"/>
          </w:tcPr>
          <w:p w14:paraId="377BADD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r>
      <w:tr w:rsidR="00284CBE" w:rsidRPr="006431C4" w14:paraId="00E66A0E" w14:textId="77777777" w:rsidTr="00955288">
        <w:tc>
          <w:tcPr>
            <w:tcW w:w="1809" w:type="dxa"/>
            <w:vMerge/>
          </w:tcPr>
          <w:p w14:paraId="22EED24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c>
        <w:tc>
          <w:tcPr>
            <w:tcW w:w="5983" w:type="dxa"/>
          </w:tcPr>
          <w:p w14:paraId="3F056447"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Jezdnie MOP</w:t>
            </w:r>
          </w:p>
        </w:tc>
        <w:tc>
          <w:tcPr>
            <w:tcW w:w="2977" w:type="dxa"/>
          </w:tcPr>
          <w:p w14:paraId="4CE4CF02"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r w:rsidR="00284CBE" w:rsidRPr="006431C4" w14:paraId="36063878" w14:textId="77777777" w:rsidTr="00955288">
        <w:tc>
          <w:tcPr>
            <w:tcW w:w="1809" w:type="dxa"/>
          </w:tcPr>
          <w:p w14:paraId="227F44E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G,Z</w:t>
            </w:r>
          </w:p>
        </w:tc>
        <w:tc>
          <w:tcPr>
            <w:tcW w:w="5983" w:type="dxa"/>
          </w:tcPr>
          <w:p w14:paraId="0782ECAC" w14:textId="77777777" w:rsidR="00284CBE" w:rsidRPr="006431C4" w:rsidRDefault="00284CBE" w:rsidP="00284CBE">
            <w:pPr>
              <w:autoSpaceDE w:val="0"/>
              <w:autoSpaceDN w:val="0"/>
              <w:adjustRightInd w:val="0"/>
              <w:spacing w:line="240" w:lineRule="auto"/>
              <w:rPr>
                <w:rFonts w:cs="Arial"/>
                <w:szCs w:val="20"/>
              </w:rPr>
            </w:pPr>
            <w:r w:rsidRPr="006431C4">
              <w:rPr>
                <w:rFonts w:cs="Arial"/>
                <w:szCs w:val="20"/>
              </w:rPr>
              <w:t>Pasy ruchu zasadnicze, dodatkowe,</w:t>
            </w:r>
          </w:p>
          <w:p w14:paraId="44BE3B8B" w14:textId="77777777" w:rsidR="00284CBE" w:rsidRPr="006431C4" w:rsidRDefault="00284CBE" w:rsidP="00284CBE">
            <w:pPr>
              <w:autoSpaceDE w:val="0"/>
              <w:autoSpaceDN w:val="0"/>
              <w:adjustRightInd w:val="0"/>
              <w:spacing w:line="240" w:lineRule="auto"/>
              <w:rPr>
                <w:rFonts w:cs="Arial"/>
                <w:szCs w:val="20"/>
              </w:rPr>
            </w:pPr>
            <w:r w:rsidRPr="006431C4">
              <w:rPr>
                <w:rFonts w:cs="Arial"/>
                <w:szCs w:val="20"/>
              </w:rPr>
              <w:t>włączenia i wyłączenia, postojowe,</w:t>
            </w:r>
          </w:p>
          <w:p w14:paraId="50FF1667"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 xml:space="preserve">jezdnie łącznic, </w:t>
            </w:r>
          </w:p>
          <w:p w14:paraId="650B59EA"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utwardzone pobocza</w:t>
            </w:r>
          </w:p>
        </w:tc>
        <w:tc>
          <w:tcPr>
            <w:tcW w:w="2977" w:type="dxa"/>
          </w:tcPr>
          <w:p w14:paraId="7F854071"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r w:rsidR="00284CBE" w:rsidRPr="006431C4" w14:paraId="0EE4248F" w14:textId="77777777" w:rsidTr="00955288">
        <w:tc>
          <w:tcPr>
            <w:tcW w:w="1809" w:type="dxa"/>
          </w:tcPr>
          <w:p w14:paraId="27B13288"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lastRenderedPageBreak/>
              <w:t xml:space="preserve">L,D, place parkingi, </w:t>
            </w:r>
          </w:p>
        </w:tc>
        <w:tc>
          <w:tcPr>
            <w:tcW w:w="5983" w:type="dxa"/>
          </w:tcPr>
          <w:p w14:paraId="53EC4433"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Wszystkie pasy ruchu i powierzchnie przeznaczone do ruchu i postoju pojazdów</w:t>
            </w:r>
          </w:p>
        </w:tc>
        <w:tc>
          <w:tcPr>
            <w:tcW w:w="2977" w:type="dxa"/>
          </w:tcPr>
          <w:p w14:paraId="2A014C98" w14:textId="77777777" w:rsidR="00284CBE" w:rsidRPr="006431C4" w:rsidRDefault="00284CBE" w:rsidP="00284CBE">
            <w:pPr>
              <w:overflowPunct w:val="0"/>
              <w:autoSpaceDE w:val="0"/>
              <w:autoSpaceDN w:val="0"/>
              <w:adjustRightInd w:val="0"/>
              <w:spacing w:line="240" w:lineRule="auto"/>
              <w:jc w:val="center"/>
              <w:textAlignment w:val="baseline"/>
              <w:rPr>
                <w:rFonts w:cs="Arial"/>
                <w:szCs w:val="20"/>
              </w:rPr>
            </w:pPr>
            <w:r w:rsidRPr="006431C4">
              <w:rPr>
                <w:rFonts w:cs="Arial"/>
                <w:szCs w:val="20"/>
              </w:rPr>
              <w:t>12</w:t>
            </w:r>
          </w:p>
        </w:tc>
      </w:tr>
    </w:tbl>
    <w:p w14:paraId="615B446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055C4E6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6.5.4.5. Złącza technologiczne </w:t>
      </w:r>
    </w:p>
    <w:p w14:paraId="4138B297"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Złącza podłużne i poprzeczne, sprawdzone wizualnie, powinny być równe i związane, wykonane w linii prostej, równolegle lub prostopadle do osi drogi. Przylegające warstwy powinny być w jednym poziomie.</w:t>
      </w:r>
    </w:p>
    <w:p w14:paraId="37281748" w14:textId="77777777" w:rsidR="00284CBE" w:rsidRPr="006431C4" w:rsidRDefault="00284CBE" w:rsidP="00284CBE">
      <w:pPr>
        <w:keepNext/>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6.5.4.6. Szerokość warstwy </w:t>
      </w:r>
    </w:p>
    <w:p w14:paraId="1812097D" w14:textId="77777777" w:rsidR="00284CBE" w:rsidRPr="006431C4" w:rsidRDefault="00284CBE" w:rsidP="00284CBE">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Szerokość warstwy, mierzona 10 razy na </w:t>
      </w:r>
      <w:smartTag w:uri="urn:schemas-microsoft-com:office:smarttags" w:element="metricconverter">
        <w:smartTagPr>
          <w:attr w:name="ProductID" w:val="1 km"/>
        </w:smartTagPr>
        <w:r w:rsidRPr="006431C4">
          <w:rPr>
            <w:rFonts w:cs="Arial"/>
            <w:szCs w:val="20"/>
          </w:rPr>
          <w:t>1 km</w:t>
        </w:r>
      </w:smartTag>
      <w:r w:rsidRPr="006431C4">
        <w:rPr>
          <w:rFonts w:cs="Arial"/>
          <w:szCs w:val="20"/>
        </w:rPr>
        <w:t xml:space="preserve"> każdej jezdni powinna być zgodna z dokumentacją projektową, z tolerancją  w zakresie od 0</w:t>
      </w:r>
      <w:r w:rsidRPr="006431C4">
        <w:rPr>
          <w:rFonts w:cs="Arial"/>
          <w:color w:val="000000"/>
          <w:szCs w:val="20"/>
        </w:rPr>
        <w:t xml:space="preserve"> do </w:t>
      </w:r>
      <w:r w:rsidRPr="006431C4">
        <w:rPr>
          <w:rFonts w:cs="Arial"/>
          <w:szCs w:val="20"/>
        </w:rPr>
        <w:t>+</w:t>
      </w:r>
      <w:smartTag w:uri="urn:schemas-microsoft-com:office:smarttags" w:element="metricconverter">
        <w:smartTagPr>
          <w:attr w:name="ProductID" w:val="5 cm"/>
        </w:smartTagPr>
        <w:r w:rsidRPr="006431C4">
          <w:rPr>
            <w:rFonts w:cs="Arial"/>
            <w:szCs w:val="20"/>
          </w:rPr>
          <w:t>5 cm</w:t>
        </w:r>
      </w:smartTag>
      <w:r w:rsidRPr="006431C4">
        <w:rPr>
          <w:rFonts w:cs="Arial"/>
          <w:szCs w:val="20"/>
        </w:rPr>
        <w:t>, przy czym szerokość warstwy wiążącej powinna być odpowiednio szersza, tak aby stanowiła odsadzkę dla warstwy ścieralnej. W przypadku wyprofilowanej ukośnej krawędzi szerokość należy mierzyć w środku linii skosu.</w:t>
      </w:r>
    </w:p>
    <w:p w14:paraId="0702BC35"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6.5.4.7. Rzędne wysokościowe </w:t>
      </w:r>
    </w:p>
    <w:p w14:paraId="0EFAEEC9"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Rzędne wysokościowe, mierzone co </w:t>
      </w:r>
      <w:smartTag w:uri="urn:schemas-microsoft-com:office:smarttags" w:element="metricconverter">
        <w:smartTagPr>
          <w:attr w:name="ProductID" w:val="10 m"/>
        </w:smartTagPr>
        <w:r w:rsidRPr="006431C4">
          <w:rPr>
            <w:rFonts w:cs="Arial"/>
            <w:szCs w:val="20"/>
          </w:rPr>
          <w:t>10 m</w:t>
        </w:r>
      </w:smartTag>
      <w:r w:rsidRPr="006431C4">
        <w:rPr>
          <w:rFonts w:cs="Arial"/>
          <w:szCs w:val="20"/>
        </w:rPr>
        <w:t xml:space="preserve"> na prostych i co </w:t>
      </w:r>
      <w:smartTag w:uri="urn:schemas-microsoft-com:office:smarttags" w:element="metricconverter">
        <w:smartTagPr>
          <w:attr w:name="ProductID" w:val="10 m"/>
        </w:smartTagPr>
        <w:r w:rsidRPr="006431C4">
          <w:rPr>
            <w:rFonts w:cs="Arial"/>
            <w:szCs w:val="20"/>
          </w:rPr>
          <w:t>10 m</w:t>
        </w:r>
      </w:smartTag>
      <w:r w:rsidRPr="006431C4">
        <w:rPr>
          <w:rFonts w:cs="Arial"/>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6431C4">
          <w:rPr>
            <w:rFonts w:cs="Arial"/>
            <w:szCs w:val="20"/>
          </w:rPr>
          <w:t>1 cm</w:t>
        </w:r>
      </w:smartTag>
      <w:r w:rsidRPr="006431C4">
        <w:rPr>
          <w:rFonts w:cs="Arial"/>
          <w:szCs w:val="20"/>
        </w:rPr>
        <w:t>, przy czym co najmniej 95% wykonanych pomiarów nie może przekraczać przedziału dopuszczalnych odchyleń.</w:t>
      </w:r>
    </w:p>
    <w:p w14:paraId="4BA74AF8" w14:textId="77777777" w:rsidR="00284CBE" w:rsidRPr="006431C4" w:rsidRDefault="00284CBE" w:rsidP="00284CBE">
      <w:pPr>
        <w:keepNext/>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6.5.4.8. Ukształtowanie osi w planie </w:t>
      </w:r>
    </w:p>
    <w:p w14:paraId="6BF3DD8A"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Ukształtowanie osi w planie, mierzone co </w:t>
      </w:r>
      <w:smartTag w:uri="urn:schemas-microsoft-com:office:smarttags" w:element="metricconverter">
        <w:smartTagPr>
          <w:attr w:name="ProductID" w:val="100 m"/>
        </w:smartTagPr>
        <w:r w:rsidRPr="006431C4">
          <w:rPr>
            <w:rFonts w:cs="Arial"/>
            <w:szCs w:val="20"/>
          </w:rPr>
          <w:t>100 m</w:t>
        </w:r>
      </w:smartTag>
      <w:r w:rsidRPr="006431C4">
        <w:rPr>
          <w:rFonts w:cs="Arial"/>
          <w:szCs w:val="20"/>
        </w:rPr>
        <w:t xml:space="preserve">, nie powinno różnić się od dokumentacji projektowej o więcej niż ± </w:t>
      </w:r>
      <w:smartTag w:uri="urn:schemas-microsoft-com:office:smarttags" w:element="metricconverter">
        <w:smartTagPr>
          <w:attr w:name="ProductID" w:val="5 cm"/>
        </w:smartTagPr>
        <w:r w:rsidRPr="006431C4">
          <w:rPr>
            <w:rFonts w:cs="Arial"/>
            <w:szCs w:val="20"/>
          </w:rPr>
          <w:t>5 cm</w:t>
        </w:r>
      </w:smartTag>
      <w:r w:rsidRPr="006431C4">
        <w:rPr>
          <w:rFonts w:cs="Arial"/>
          <w:szCs w:val="20"/>
        </w:rPr>
        <w:t>.</w:t>
      </w:r>
    </w:p>
    <w:p w14:paraId="0586E1FC" w14:textId="77777777" w:rsidR="00284CBE" w:rsidRPr="006431C4" w:rsidRDefault="00284CBE" w:rsidP="00284CBE">
      <w:pPr>
        <w:keepNext/>
        <w:overflowPunct w:val="0"/>
        <w:autoSpaceDE w:val="0"/>
        <w:autoSpaceDN w:val="0"/>
        <w:adjustRightInd w:val="0"/>
        <w:spacing w:line="240" w:lineRule="auto"/>
        <w:jc w:val="both"/>
        <w:textAlignment w:val="baseline"/>
        <w:rPr>
          <w:rFonts w:cs="Arial"/>
          <w:szCs w:val="20"/>
        </w:rPr>
      </w:pPr>
      <w:r w:rsidRPr="006431C4">
        <w:rPr>
          <w:rFonts w:cs="Arial"/>
          <w:szCs w:val="20"/>
        </w:rPr>
        <w:t xml:space="preserve">6.5.4.9. Ocena wizualna warstwy </w:t>
      </w:r>
    </w:p>
    <w:p w14:paraId="229834ED" w14:textId="77777777" w:rsidR="00284CBE" w:rsidRPr="006431C4" w:rsidRDefault="00284CBE" w:rsidP="00284CBE">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Wygląd zewnętrzny warstwy, sprawdzony wizualnie, powinien być jednorodny, bez spękań, deformacji, plam i wykruszeń.</w:t>
      </w:r>
    </w:p>
    <w:p w14:paraId="44331A4D"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6.6. Badania kontrolne dodatkowe</w:t>
      </w:r>
    </w:p>
    <w:p w14:paraId="7784CA4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W wypadku uznania, że jeden z wyników badań kontrolnych nie jest reprezentatywny dla ocenianego odcinka budowy, Wykonawca ma prawo żądać przeprowadzenia badań kontrolnych dodatkowych.</w:t>
      </w:r>
    </w:p>
    <w:p w14:paraId="3C50B22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7ECF4A0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Do odbioru uwzględniane są wyniki badań kontrolnych i badań kontrolnych dodatkowych do wyznaczonych odcinków częściowych.</w:t>
      </w:r>
    </w:p>
    <w:p w14:paraId="7157A96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Koszty badań kontrolnych dodatkowych zażądanych przez Wykonawcę ponosi Wykonawca.</w:t>
      </w:r>
    </w:p>
    <w:p w14:paraId="4B0BFED6"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6.7. Badania arbitrażowe</w:t>
      </w:r>
    </w:p>
    <w:p w14:paraId="263C26C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arbitrażowe są powtórzeniem badań kontrolnych, co do których istnieją uzasadnione wątpliwości ze strony Inżyniera lub Wykonawcy (np. na podstawie własnych badań).</w:t>
      </w:r>
    </w:p>
    <w:p w14:paraId="6CA9056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arbitrażowe wykonuje na wniosek strony kontraktu niezależne laboratorium, które nie wykonywało badań kontrolnych.</w:t>
      </w:r>
    </w:p>
    <w:p w14:paraId="2B41EB9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Koszty badań arbitrażowych wraz ze wszystkimi kosztami ubocznymi ponosi strona, na której niekorzyść przemawia wynik badania.</w:t>
      </w:r>
    </w:p>
    <w:p w14:paraId="1AF87E64" w14:textId="77777777" w:rsidR="00284CBE" w:rsidRPr="006431C4" w:rsidRDefault="00284CBE" w:rsidP="00284C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52" w:name="_Toc462133150"/>
      <w:r w:rsidRPr="006431C4">
        <w:rPr>
          <w:rFonts w:cs="Arial"/>
          <w:b/>
          <w:caps/>
          <w:kern w:val="28"/>
          <w:szCs w:val="20"/>
        </w:rPr>
        <w:t>7. Obmiar robót</w:t>
      </w:r>
      <w:bookmarkEnd w:id="952"/>
    </w:p>
    <w:p w14:paraId="4A157714"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7.1. Ogólne zasady obmiaru robót</w:t>
      </w:r>
    </w:p>
    <w:p w14:paraId="34860F4F"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obmiaru robót podano w SST  D-M-00.00.00 „Wymagania ogólne” [1] pkt 7.</w:t>
      </w:r>
    </w:p>
    <w:p w14:paraId="160629C3"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7.2. Jednostka obmiarowa</w:t>
      </w:r>
    </w:p>
    <w:p w14:paraId="057CCC1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Jednostką obmiarową jest m</w:t>
      </w:r>
      <w:r w:rsidRPr="006431C4">
        <w:rPr>
          <w:rFonts w:cs="Arial"/>
          <w:szCs w:val="20"/>
          <w:vertAlign w:val="superscript"/>
        </w:rPr>
        <w:t>2</w:t>
      </w:r>
      <w:r w:rsidRPr="006431C4">
        <w:rPr>
          <w:rFonts w:cs="Arial"/>
          <w:szCs w:val="20"/>
        </w:rPr>
        <w:t xml:space="preserve"> (metr kwadratowy) wykonanej warstwy z betonu asfaltowego (AC).</w:t>
      </w:r>
    </w:p>
    <w:p w14:paraId="1FADAB27" w14:textId="77777777" w:rsidR="00284CBE" w:rsidRPr="006431C4" w:rsidRDefault="00284CBE" w:rsidP="00284C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53" w:name="_Toc462133151"/>
      <w:r w:rsidRPr="006431C4">
        <w:rPr>
          <w:rFonts w:cs="Arial"/>
          <w:b/>
          <w:caps/>
          <w:kern w:val="28"/>
          <w:szCs w:val="20"/>
        </w:rPr>
        <w:t>8. Odbiór robót</w:t>
      </w:r>
      <w:bookmarkEnd w:id="953"/>
    </w:p>
    <w:p w14:paraId="648BBE20"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odbioru robót podano w SST  D-M-00.00.00 „Wymagania ogólne” [1] pkt 8.</w:t>
      </w:r>
    </w:p>
    <w:p w14:paraId="6009ABFD"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Roboty uznaje się za wykonane zgodnie z dokumentacją projektową, SST                  i wymaganiami Inżyniera, jeżeli wszystkie pomiary i badania z zachowaniem tolerancji według pktu 6 dały wyniki pozytywne.</w:t>
      </w:r>
    </w:p>
    <w:p w14:paraId="6E17E4FF" w14:textId="77777777" w:rsidR="00284CBE" w:rsidRPr="006431C4" w:rsidRDefault="00284CBE" w:rsidP="00284C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54" w:name="_Toc462133152"/>
      <w:r w:rsidRPr="006431C4">
        <w:rPr>
          <w:rFonts w:cs="Arial"/>
          <w:b/>
          <w:caps/>
          <w:kern w:val="28"/>
          <w:szCs w:val="20"/>
        </w:rPr>
        <w:t>9. Podstawa płatności</w:t>
      </w:r>
      <w:bookmarkEnd w:id="954"/>
    </w:p>
    <w:p w14:paraId="25B8ED8B"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9.1. Ogólne ustalenia dotyczące podstawy płatności</w:t>
      </w:r>
    </w:p>
    <w:p w14:paraId="427DBE58" w14:textId="77777777" w:rsidR="00284CBE" w:rsidRPr="006431C4" w:rsidRDefault="00284CBE" w:rsidP="00284CBE">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ustalenia dotyczące podstawy płatności podano w SST D-M-00.00.00 „Wymagania ogólne” [1] pkt 9.</w:t>
      </w:r>
    </w:p>
    <w:p w14:paraId="6CFC0F6E" w14:textId="77777777" w:rsidR="00284CBE" w:rsidRPr="006431C4" w:rsidRDefault="00284CBE" w:rsidP="00284CBE">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9.2. Cena jednostki obmiarowej</w:t>
      </w:r>
    </w:p>
    <w:p w14:paraId="1CE8EA85" w14:textId="77777777" w:rsidR="00284CBE" w:rsidRPr="006431C4" w:rsidRDefault="00284CBE" w:rsidP="00284CBE">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Cena wykonania </w:t>
      </w:r>
      <w:smartTag w:uri="urn:schemas-microsoft-com:office:smarttags" w:element="metricconverter">
        <w:smartTagPr>
          <w:attr w:name="ProductID" w:val="1 m2"/>
        </w:smartTagPr>
        <w:r w:rsidRPr="006431C4">
          <w:rPr>
            <w:rFonts w:cs="Arial"/>
            <w:szCs w:val="20"/>
          </w:rPr>
          <w:t>1 m</w:t>
        </w:r>
        <w:r w:rsidRPr="006431C4">
          <w:rPr>
            <w:rFonts w:cs="Arial"/>
            <w:szCs w:val="20"/>
            <w:vertAlign w:val="superscript"/>
          </w:rPr>
          <w:t>2</w:t>
        </w:r>
      </w:smartTag>
      <w:r w:rsidRPr="006431C4">
        <w:rPr>
          <w:rFonts w:cs="Arial"/>
          <w:szCs w:val="20"/>
        </w:rPr>
        <w:t xml:space="preserve"> warstwy  z betonu asfaltowego (AC) obejmuje:</w:t>
      </w:r>
    </w:p>
    <w:p w14:paraId="2E79B806"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prace pomiarowe i roboty przygotowawcze, </w:t>
      </w:r>
    </w:p>
    <w:p w14:paraId="0E959181"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oznakowanie robót,</w:t>
      </w:r>
    </w:p>
    <w:p w14:paraId="1AFBB4BE"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oczyszczenie i skropienie podłoża,</w:t>
      </w:r>
    </w:p>
    <w:p w14:paraId="45519D50"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dostarczenie materiałów i sprzętu,</w:t>
      </w:r>
    </w:p>
    <w:p w14:paraId="670CDA0E"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opracowanie recepty laboratoryjnej,</w:t>
      </w:r>
    </w:p>
    <w:p w14:paraId="73163CAD"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wykonanie próby technologicznej i odcinka próbnego,</w:t>
      </w:r>
    </w:p>
    <w:p w14:paraId="3722A0C6"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wyprodukowanie mieszanki betonu asfaltowego i jej transport na miejsce wbudowania,</w:t>
      </w:r>
    </w:p>
    <w:p w14:paraId="467EA35F"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posmarowanie lepiszczem lub pokrycie taśmą asfaltową krawędzi urządzeń obcych i krawężników,</w:t>
      </w:r>
    </w:p>
    <w:p w14:paraId="034E4C61"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rozłożenie i zagęszczenie mieszanki betonu asfaltowego,</w:t>
      </w:r>
    </w:p>
    <w:p w14:paraId="6DD4E90C"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obcięcie krawędzi i posmarowanie lepiszczem,</w:t>
      </w:r>
    </w:p>
    <w:p w14:paraId="1BFD59F7"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przeprowadzenie pomiarów i badań  wymaganych w specyfikacji technicznej,</w:t>
      </w:r>
    </w:p>
    <w:p w14:paraId="617112CC"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b/>
          <w:szCs w:val="20"/>
        </w:rPr>
      </w:pPr>
      <w:r w:rsidRPr="006431C4">
        <w:rPr>
          <w:rFonts w:cs="Arial"/>
          <w:szCs w:val="20"/>
        </w:rPr>
        <w:t>odwiezienie sprzętu.</w:t>
      </w:r>
    </w:p>
    <w:p w14:paraId="49EB138B"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lastRenderedPageBreak/>
        <w:t>9.3. Sposób rozliczenia robót tymczasowych i prac towarzyszących</w:t>
      </w:r>
    </w:p>
    <w:p w14:paraId="5A59A9D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b/>
        <w:t>Cena wykonania robót określonych niniejszą SST obejmuje:</w:t>
      </w:r>
    </w:p>
    <w:p w14:paraId="3CD6727B"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roboty tymczasowe, które są potrzebne do wykonania robót podstawowych, ale nie są przekazywane Zamawiającemu i są usuwane po wykonaniu robót podstawowych,</w:t>
      </w:r>
    </w:p>
    <w:p w14:paraId="09F2A171" w14:textId="77777777" w:rsidR="00284CBE" w:rsidRPr="006431C4" w:rsidRDefault="00284CBE" w:rsidP="00284CBE">
      <w:pPr>
        <w:numPr>
          <w:ilvl w:val="0"/>
          <w:numId w:val="4"/>
        </w:numPr>
        <w:overflowPunct w:val="0"/>
        <w:autoSpaceDE w:val="0"/>
        <w:autoSpaceDN w:val="0"/>
        <w:adjustRightInd w:val="0"/>
        <w:spacing w:line="240" w:lineRule="auto"/>
        <w:jc w:val="both"/>
        <w:textAlignment w:val="baseline"/>
        <w:rPr>
          <w:rFonts w:cs="Arial"/>
          <w:szCs w:val="20"/>
        </w:rPr>
      </w:pPr>
      <w:r w:rsidRPr="006431C4">
        <w:rPr>
          <w:rFonts w:cs="Arial"/>
          <w:szCs w:val="20"/>
        </w:rPr>
        <w:t>prace towarzyszące, które są niezbędne do wykonania robót podstawowych, niezaliczane do robót tymczasowych, jak geodezyjne wytyczenie robót itd.</w:t>
      </w:r>
    </w:p>
    <w:p w14:paraId="3C282DD7" w14:textId="77777777" w:rsidR="00284CBE" w:rsidRPr="006431C4" w:rsidRDefault="00284CBE" w:rsidP="00284CBE">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955" w:name="_Toc462133153"/>
      <w:r w:rsidRPr="006431C4">
        <w:rPr>
          <w:rFonts w:cs="Arial"/>
          <w:b/>
          <w:caps/>
          <w:kern w:val="28"/>
          <w:szCs w:val="20"/>
        </w:rPr>
        <w:t>10. Przepisy związane</w:t>
      </w:r>
      <w:bookmarkEnd w:id="955"/>
    </w:p>
    <w:p w14:paraId="6C735703"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10.1. Szczegółowe specyfikacje techniczne (SST)</w:t>
      </w:r>
    </w:p>
    <w:tbl>
      <w:tblPr>
        <w:tblW w:w="0" w:type="auto"/>
        <w:tblLayout w:type="fixed"/>
        <w:tblCellMar>
          <w:left w:w="70" w:type="dxa"/>
          <w:right w:w="70" w:type="dxa"/>
        </w:tblCellMar>
        <w:tblLook w:val="0000" w:firstRow="0" w:lastRow="0" w:firstColumn="0" w:lastColumn="0" w:noHBand="0" w:noVBand="0"/>
      </w:tblPr>
      <w:tblGrid>
        <w:gridCol w:w="496"/>
        <w:gridCol w:w="2334"/>
        <w:gridCol w:w="6000"/>
      </w:tblGrid>
      <w:tr w:rsidR="00284CBE" w:rsidRPr="006431C4" w14:paraId="3EB6341E" w14:textId="77777777" w:rsidTr="00284CBE">
        <w:tc>
          <w:tcPr>
            <w:tcW w:w="496" w:type="dxa"/>
          </w:tcPr>
          <w:p w14:paraId="1FDDF9FD"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w:t>
            </w:r>
          </w:p>
        </w:tc>
        <w:tc>
          <w:tcPr>
            <w:tcW w:w="2334" w:type="dxa"/>
          </w:tcPr>
          <w:p w14:paraId="21CC27F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D-M-00.00.00</w:t>
            </w:r>
          </w:p>
        </w:tc>
        <w:tc>
          <w:tcPr>
            <w:tcW w:w="6000" w:type="dxa"/>
          </w:tcPr>
          <w:p w14:paraId="30260C6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Wymagania ogólne</w:t>
            </w:r>
          </w:p>
        </w:tc>
      </w:tr>
      <w:tr w:rsidR="00284CBE" w:rsidRPr="006431C4" w14:paraId="307B5045" w14:textId="77777777" w:rsidTr="00284CBE">
        <w:tc>
          <w:tcPr>
            <w:tcW w:w="496" w:type="dxa"/>
          </w:tcPr>
          <w:p w14:paraId="6EFA29EE"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w:t>
            </w:r>
          </w:p>
        </w:tc>
        <w:tc>
          <w:tcPr>
            <w:tcW w:w="2334" w:type="dxa"/>
          </w:tcPr>
          <w:p w14:paraId="0E2770C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D-04.03.01a</w:t>
            </w:r>
          </w:p>
        </w:tc>
        <w:tc>
          <w:tcPr>
            <w:tcW w:w="6000" w:type="dxa"/>
          </w:tcPr>
          <w:p w14:paraId="1A1EF3C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Połączenie międzywarstwowe nawierzchni drogowej emulsją asfaltową</w:t>
            </w:r>
          </w:p>
        </w:tc>
      </w:tr>
    </w:tbl>
    <w:p w14:paraId="05C33046"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10.2. Normy</w:t>
      </w:r>
    </w:p>
    <w:p w14:paraId="2C1FB2A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(Zestawienie zawiera dodatkowo normy PN-EN związane z badaniami materiałów występujących w niniejszej SST)</w:t>
      </w:r>
    </w:p>
    <w:tbl>
      <w:tblPr>
        <w:tblW w:w="10773" w:type="dxa"/>
        <w:tblLayout w:type="fixed"/>
        <w:tblLook w:val="01E0" w:firstRow="1" w:lastRow="1" w:firstColumn="1" w:lastColumn="1" w:noHBand="0" w:noVBand="0"/>
      </w:tblPr>
      <w:tblGrid>
        <w:gridCol w:w="614"/>
        <w:gridCol w:w="2254"/>
        <w:gridCol w:w="7905"/>
      </w:tblGrid>
      <w:tr w:rsidR="00284CBE" w:rsidRPr="006431C4" w14:paraId="53CB668E" w14:textId="77777777" w:rsidTr="00955288">
        <w:tc>
          <w:tcPr>
            <w:tcW w:w="614" w:type="dxa"/>
          </w:tcPr>
          <w:p w14:paraId="5715F74D"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w:t>
            </w:r>
          </w:p>
        </w:tc>
        <w:tc>
          <w:tcPr>
            <w:tcW w:w="2254" w:type="dxa"/>
          </w:tcPr>
          <w:p w14:paraId="00BD331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196-2</w:t>
            </w:r>
          </w:p>
        </w:tc>
        <w:tc>
          <w:tcPr>
            <w:tcW w:w="7905" w:type="dxa"/>
          </w:tcPr>
          <w:p w14:paraId="755EE02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Metody badania cementu - Część 2: Analiza chemiczna cementu</w:t>
            </w:r>
          </w:p>
        </w:tc>
      </w:tr>
      <w:tr w:rsidR="00284CBE" w:rsidRPr="006431C4" w14:paraId="7043B3A4" w14:textId="77777777" w:rsidTr="00955288">
        <w:tc>
          <w:tcPr>
            <w:tcW w:w="614" w:type="dxa"/>
          </w:tcPr>
          <w:p w14:paraId="3D2A4827"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w:t>
            </w:r>
          </w:p>
        </w:tc>
        <w:tc>
          <w:tcPr>
            <w:tcW w:w="2254" w:type="dxa"/>
          </w:tcPr>
          <w:p w14:paraId="1A1ECF9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459-2</w:t>
            </w:r>
          </w:p>
        </w:tc>
        <w:tc>
          <w:tcPr>
            <w:tcW w:w="7905" w:type="dxa"/>
          </w:tcPr>
          <w:p w14:paraId="2B0EC26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Wapno budowlane – Część 2: Metody badań</w:t>
            </w:r>
          </w:p>
        </w:tc>
      </w:tr>
      <w:tr w:rsidR="00284CBE" w:rsidRPr="006431C4" w14:paraId="3F06E6BC" w14:textId="77777777" w:rsidTr="00955288">
        <w:tc>
          <w:tcPr>
            <w:tcW w:w="614" w:type="dxa"/>
          </w:tcPr>
          <w:p w14:paraId="704F8174"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w:t>
            </w:r>
          </w:p>
        </w:tc>
        <w:tc>
          <w:tcPr>
            <w:tcW w:w="2254" w:type="dxa"/>
          </w:tcPr>
          <w:p w14:paraId="3526281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932-3</w:t>
            </w:r>
          </w:p>
        </w:tc>
        <w:tc>
          <w:tcPr>
            <w:tcW w:w="7905" w:type="dxa"/>
          </w:tcPr>
          <w:p w14:paraId="13DDCCC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podstawowych właściwości kruszyw – Procedura i terminologia uproszczonego opisu petrograficznego</w:t>
            </w:r>
          </w:p>
        </w:tc>
      </w:tr>
      <w:tr w:rsidR="00284CBE" w:rsidRPr="006431C4" w14:paraId="36044ADD" w14:textId="77777777" w:rsidTr="00955288">
        <w:tc>
          <w:tcPr>
            <w:tcW w:w="614" w:type="dxa"/>
          </w:tcPr>
          <w:p w14:paraId="06CE835B"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w:t>
            </w:r>
          </w:p>
        </w:tc>
        <w:tc>
          <w:tcPr>
            <w:tcW w:w="2254" w:type="dxa"/>
          </w:tcPr>
          <w:p w14:paraId="3B91F15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933-1</w:t>
            </w:r>
          </w:p>
        </w:tc>
        <w:tc>
          <w:tcPr>
            <w:tcW w:w="7905" w:type="dxa"/>
          </w:tcPr>
          <w:p w14:paraId="68E50BD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1: Oznaczanie składu ziarnowego – Metoda przesiewania</w:t>
            </w:r>
          </w:p>
        </w:tc>
      </w:tr>
    </w:tbl>
    <w:p w14:paraId="5DB8E19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bl>
      <w:tblPr>
        <w:tblW w:w="10915" w:type="dxa"/>
        <w:tblLayout w:type="fixed"/>
        <w:tblLook w:val="01E0" w:firstRow="1" w:lastRow="1" w:firstColumn="1" w:lastColumn="1" w:noHBand="0" w:noVBand="0"/>
      </w:tblPr>
      <w:tblGrid>
        <w:gridCol w:w="614"/>
        <w:gridCol w:w="2254"/>
        <w:gridCol w:w="8047"/>
      </w:tblGrid>
      <w:tr w:rsidR="00284CBE" w:rsidRPr="006431C4" w14:paraId="6ED563B8" w14:textId="77777777" w:rsidTr="00955288">
        <w:tc>
          <w:tcPr>
            <w:tcW w:w="614" w:type="dxa"/>
          </w:tcPr>
          <w:p w14:paraId="18B4425E"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w:t>
            </w:r>
          </w:p>
        </w:tc>
        <w:tc>
          <w:tcPr>
            <w:tcW w:w="2254" w:type="dxa"/>
          </w:tcPr>
          <w:p w14:paraId="5662CD1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933-3</w:t>
            </w:r>
          </w:p>
        </w:tc>
        <w:tc>
          <w:tcPr>
            <w:tcW w:w="8047" w:type="dxa"/>
          </w:tcPr>
          <w:p w14:paraId="2761D28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3: Oznaczanie kształtu ziarn za pomocą wskaźnika płaskości</w:t>
            </w:r>
          </w:p>
        </w:tc>
      </w:tr>
      <w:tr w:rsidR="00284CBE" w:rsidRPr="006431C4" w14:paraId="6D4D8A43" w14:textId="77777777" w:rsidTr="00955288">
        <w:tc>
          <w:tcPr>
            <w:tcW w:w="614" w:type="dxa"/>
          </w:tcPr>
          <w:p w14:paraId="0B5F8747"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8.</w:t>
            </w:r>
          </w:p>
        </w:tc>
        <w:tc>
          <w:tcPr>
            <w:tcW w:w="2254" w:type="dxa"/>
          </w:tcPr>
          <w:p w14:paraId="6AD564F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933-4</w:t>
            </w:r>
          </w:p>
        </w:tc>
        <w:tc>
          <w:tcPr>
            <w:tcW w:w="8047" w:type="dxa"/>
          </w:tcPr>
          <w:p w14:paraId="178F3E1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4: Oznaczanie kształtu ziarn – Wskaźnik kształtu</w:t>
            </w:r>
          </w:p>
        </w:tc>
      </w:tr>
      <w:tr w:rsidR="00284CBE" w:rsidRPr="006431C4" w14:paraId="3D143910" w14:textId="77777777" w:rsidTr="00955288">
        <w:tc>
          <w:tcPr>
            <w:tcW w:w="614" w:type="dxa"/>
          </w:tcPr>
          <w:p w14:paraId="52BE15FD"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9.</w:t>
            </w:r>
          </w:p>
        </w:tc>
        <w:tc>
          <w:tcPr>
            <w:tcW w:w="2254" w:type="dxa"/>
          </w:tcPr>
          <w:p w14:paraId="615E693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933-5</w:t>
            </w:r>
          </w:p>
        </w:tc>
        <w:tc>
          <w:tcPr>
            <w:tcW w:w="8047" w:type="dxa"/>
          </w:tcPr>
          <w:p w14:paraId="7DF863A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Oznaczanie procentowej zawartości ziarn o powierzchniach powstałych w wyniku przekruszenia lub łamania kruszyw grubych</w:t>
            </w:r>
          </w:p>
        </w:tc>
      </w:tr>
      <w:tr w:rsidR="00284CBE" w:rsidRPr="006431C4" w14:paraId="13D03878" w14:textId="77777777" w:rsidTr="00955288">
        <w:tc>
          <w:tcPr>
            <w:tcW w:w="614" w:type="dxa"/>
          </w:tcPr>
          <w:p w14:paraId="4BDDFF97"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10.</w:t>
            </w:r>
          </w:p>
        </w:tc>
        <w:tc>
          <w:tcPr>
            <w:tcW w:w="2254" w:type="dxa"/>
          </w:tcPr>
          <w:p w14:paraId="1EA3297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933-6</w:t>
            </w:r>
          </w:p>
        </w:tc>
        <w:tc>
          <w:tcPr>
            <w:tcW w:w="8047" w:type="dxa"/>
          </w:tcPr>
          <w:p w14:paraId="747A530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6: Ocena właściwości powierzchni – Wskaźnik przepływu kruszyw</w:t>
            </w:r>
          </w:p>
        </w:tc>
      </w:tr>
      <w:tr w:rsidR="00284CBE" w:rsidRPr="006431C4" w14:paraId="79AE0748" w14:textId="77777777" w:rsidTr="00955288">
        <w:tc>
          <w:tcPr>
            <w:tcW w:w="614" w:type="dxa"/>
          </w:tcPr>
          <w:p w14:paraId="36131010"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11.</w:t>
            </w:r>
          </w:p>
        </w:tc>
        <w:tc>
          <w:tcPr>
            <w:tcW w:w="2254" w:type="dxa"/>
          </w:tcPr>
          <w:p w14:paraId="145BFFB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933-9</w:t>
            </w:r>
          </w:p>
        </w:tc>
        <w:tc>
          <w:tcPr>
            <w:tcW w:w="8047" w:type="dxa"/>
          </w:tcPr>
          <w:p w14:paraId="286D06E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9: Ocena zawartości drobnych cząstek – Badania błękitem metylenowym</w:t>
            </w:r>
          </w:p>
        </w:tc>
      </w:tr>
      <w:tr w:rsidR="00284CBE" w:rsidRPr="006431C4" w14:paraId="314DC88C" w14:textId="77777777" w:rsidTr="00955288">
        <w:tc>
          <w:tcPr>
            <w:tcW w:w="614" w:type="dxa"/>
          </w:tcPr>
          <w:p w14:paraId="245A46AD"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12.</w:t>
            </w:r>
          </w:p>
        </w:tc>
        <w:tc>
          <w:tcPr>
            <w:tcW w:w="2254" w:type="dxa"/>
          </w:tcPr>
          <w:p w14:paraId="3656158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933-10</w:t>
            </w:r>
          </w:p>
        </w:tc>
        <w:tc>
          <w:tcPr>
            <w:tcW w:w="8047" w:type="dxa"/>
          </w:tcPr>
          <w:p w14:paraId="1F844B6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geometrycznych właściwości kruszyw – Część 10: Ocena zawartości drobnych cząstek – Uziarnienie wypełniaczy (przesiewanie w strumieniu powietrza)</w:t>
            </w:r>
          </w:p>
        </w:tc>
      </w:tr>
      <w:tr w:rsidR="00284CBE" w:rsidRPr="006431C4" w14:paraId="22C4ED2E" w14:textId="77777777" w:rsidTr="00955288">
        <w:tc>
          <w:tcPr>
            <w:tcW w:w="614" w:type="dxa"/>
          </w:tcPr>
          <w:p w14:paraId="10136EB1"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13.</w:t>
            </w:r>
          </w:p>
        </w:tc>
        <w:tc>
          <w:tcPr>
            <w:tcW w:w="2254" w:type="dxa"/>
          </w:tcPr>
          <w:p w14:paraId="548A28E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1097-2</w:t>
            </w:r>
          </w:p>
        </w:tc>
        <w:tc>
          <w:tcPr>
            <w:tcW w:w="8047" w:type="dxa"/>
          </w:tcPr>
          <w:p w14:paraId="534F42D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Metody oznaczania odporności na rozdrabnianie</w:t>
            </w:r>
          </w:p>
        </w:tc>
      </w:tr>
      <w:tr w:rsidR="00284CBE" w:rsidRPr="006431C4" w14:paraId="5F143457" w14:textId="77777777" w:rsidTr="00955288">
        <w:tc>
          <w:tcPr>
            <w:tcW w:w="614" w:type="dxa"/>
          </w:tcPr>
          <w:p w14:paraId="77CBCFD4"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14.</w:t>
            </w:r>
          </w:p>
        </w:tc>
        <w:tc>
          <w:tcPr>
            <w:tcW w:w="2254" w:type="dxa"/>
          </w:tcPr>
          <w:p w14:paraId="60F0FB3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1097-4</w:t>
            </w:r>
          </w:p>
        </w:tc>
        <w:tc>
          <w:tcPr>
            <w:tcW w:w="8047" w:type="dxa"/>
          </w:tcPr>
          <w:p w14:paraId="17E248E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Część 4: Oznaczanie pustych przestrzeni suchego, zagęszczonego wypełniacza</w:t>
            </w:r>
          </w:p>
        </w:tc>
      </w:tr>
      <w:tr w:rsidR="00284CBE" w:rsidRPr="006431C4" w14:paraId="05C50ECE" w14:textId="77777777" w:rsidTr="00955288">
        <w:tc>
          <w:tcPr>
            <w:tcW w:w="614" w:type="dxa"/>
          </w:tcPr>
          <w:p w14:paraId="2528C6B2"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15.</w:t>
            </w:r>
          </w:p>
        </w:tc>
        <w:tc>
          <w:tcPr>
            <w:tcW w:w="2254" w:type="dxa"/>
          </w:tcPr>
          <w:p w14:paraId="285B736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1097-5</w:t>
            </w:r>
          </w:p>
        </w:tc>
        <w:tc>
          <w:tcPr>
            <w:tcW w:w="8047" w:type="dxa"/>
          </w:tcPr>
          <w:p w14:paraId="57662C7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Część 5: Oznaczanie zawartości wody przez suszenie w suszarce z wentylacją</w:t>
            </w:r>
          </w:p>
        </w:tc>
      </w:tr>
      <w:tr w:rsidR="00284CBE" w:rsidRPr="006431C4" w14:paraId="0837F688" w14:textId="77777777" w:rsidTr="00955288">
        <w:tc>
          <w:tcPr>
            <w:tcW w:w="614" w:type="dxa"/>
          </w:tcPr>
          <w:p w14:paraId="73D59713"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16.</w:t>
            </w:r>
          </w:p>
        </w:tc>
        <w:tc>
          <w:tcPr>
            <w:tcW w:w="2254" w:type="dxa"/>
          </w:tcPr>
          <w:p w14:paraId="6411B47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1097-6</w:t>
            </w:r>
          </w:p>
        </w:tc>
        <w:tc>
          <w:tcPr>
            <w:tcW w:w="8047" w:type="dxa"/>
          </w:tcPr>
          <w:p w14:paraId="1645A0D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–Część 6: Oznaczanie gęstości ziarn i nasiąkliwości</w:t>
            </w:r>
          </w:p>
        </w:tc>
      </w:tr>
      <w:tr w:rsidR="00284CBE" w:rsidRPr="006431C4" w14:paraId="51524FA7" w14:textId="77777777" w:rsidTr="00955288">
        <w:tc>
          <w:tcPr>
            <w:tcW w:w="614" w:type="dxa"/>
          </w:tcPr>
          <w:p w14:paraId="65F96924"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17.</w:t>
            </w:r>
          </w:p>
        </w:tc>
        <w:tc>
          <w:tcPr>
            <w:tcW w:w="2254" w:type="dxa"/>
          </w:tcPr>
          <w:p w14:paraId="2C436A9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1097-7</w:t>
            </w:r>
          </w:p>
        </w:tc>
        <w:tc>
          <w:tcPr>
            <w:tcW w:w="8047" w:type="dxa"/>
          </w:tcPr>
          <w:p w14:paraId="315CD48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mechanicznych i fizycznych właściwości kruszyw – Część 7: Oznaczanie gęstości wypełniacza – Metoda piknometryczna</w:t>
            </w:r>
          </w:p>
        </w:tc>
      </w:tr>
      <w:tr w:rsidR="00284CBE" w:rsidRPr="006431C4" w14:paraId="36E487F1" w14:textId="77777777" w:rsidTr="00955288">
        <w:tc>
          <w:tcPr>
            <w:tcW w:w="614" w:type="dxa"/>
          </w:tcPr>
          <w:p w14:paraId="5DC6A93C"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18.</w:t>
            </w:r>
          </w:p>
        </w:tc>
        <w:tc>
          <w:tcPr>
            <w:tcW w:w="2254" w:type="dxa"/>
          </w:tcPr>
          <w:p w14:paraId="29574E6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1367-1</w:t>
            </w:r>
          </w:p>
        </w:tc>
        <w:tc>
          <w:tcPr>
            <w:tcW w:w="8047" w:type="dxa"/>
          </w:tcPr>
          <w:p w14:paraId="15674C3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właściwości cieplnych i odporności kruszyw na działanie czynników atmosferycznych – Część 1: Oznaczanie mrozoodporności</w:t>
            </w:r>
          </w:p>
        </w:tc>
      </w:tr>
      <w:tr w:rsidR="00284CBE" w:rsidRPr="006431C4" w14:paraId="6D8148C4" w14:textId="77777777" w:rsidTr="00955288">
        <w:tc>
          <w:tcPr>
            <w:tcW w:w="614" w:type="dxa"/>
          </w:tcPr>
          <w:p w14:paraId="784002D6"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19.</w:t>
            </w:r>
          </w:p>
        </w:tc>
        <w:tc>
          <w:tcPr>
            <w:tcW w:w="2254" w:type="dxa"/>
          </w:tcPr>
          <w:p w14:paraId="4AB9C73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1367-3</w:t>
            </w:r>
          </w:p>
        </w:tc>
        <w:tc>
          <w:tcPr>
            <w:tcW w:w="8047" w:type="dxa"/>
          </w:tcPr>
          <w:p w14:paraId="541CBCB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właściwości cieplnych i odporności kruszyw na działanie czynników atmosferycznych – Część 3: Badanie bazaltowej zgorzeli słonecznej metodą gotowania</w:t>
            </w:r>
          </w:p>
        </w:tc>
      </w:tr>
      <w:tr w:rsidR="00284CBE" w:rsidRPr="006431C4" w14:paraId="5E91B309" w14:textId="77777777" w:rsidTr="00955288">
        <w:tc>
          <w:tcPr>
            <w:tcW w:w="614" w:type="dxa"/>
          </w:tcPr>
          <w:p w14:paraId="13D18A8E"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20.</w:t>
            </w:r>
          </w:p>
        </w:tc>
        <w:tc>
          <w:tcPr>
            <w:tcW w:w="2254" w:type="dxa"/>
          </w:tcPr>
          <w:p w14:paraId="68BD2D1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1426</w:t>
            </w:r>
          </w:p>
        </w:tc>
        <w:tc>
          <w:tcPr>
            <w:tcW w:w="8047" w:type="dxa"/>
          </w:tcPr>
          <w:p w14:paraId="3C77E4C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Oznaczanie penetracji igłą</w:t>
            </w:r>
          </w:p>
        </w:tc>
      </w:tr>
      <w:tr w:rsidR="00284CBE" w:rsidRPr="006431C4" w14:paraId="4A907FDD" w14:textId="77777777" w:rsidTr="00955288">
        <w:tc>
          <w:tcPr>
            <w:tcW w:w="614" w:type="dxa"/>
          </w:tcPr>
          <w:p w14:paraId="168E584F"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21.</w:t>
            </w:r>
          </w:p>
        </w:tc>
        <w:tc>
          <w:tcPr>
            <w:tcW w:w="2254" w:type="dxa"/>
          </w:tcPr>
          <w:p w14:paraId="6DDE81B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1427</w:t>
            </w:r>
          </w:p>
        </w:tc>
        <w:tc>
          <w:tcPr>
            <w:tcW w:w="8047" w:type="dxa"/>
          </w:tcPr>
          <w:p w14:paraId="0C238AC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Oznaczanie temperatury mięknienia – Metoda Pierścień i Kula</w:t>
            </w:r>
          </w:p>
        </w:tc>
      </w:tr>
      <w:tr w:rsidR="00284CBE" w:rsidRPr="006431C4" w14:paraId="4B36CDB7" w14:textId="77777777" w:rsidTr="00955288">
        <w:tc>
          <w:tcPr>
            <w:tcW w:w="614" w:type="dxa"/>
          </w:tcPr>
          <w:p w14:paraId="24860D44"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22.</w:t>
            </w:r>
          </w:p>
        </w:tc>
        <w:tc>
          <w:tcPr>
            <w:tcW w:w="2254" w:type="dxa"/>
          </w:tcPr>
          <w:p w14:paraId="45B7A43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1744-1</w:t>
            </w:r>
          </w:p>
        </w:tc>
        <w:tc>
          <w:tcPr>
            <w:tcW w:w="8047" w:type="dxa"/>
          </w:tcPr>
          <w:p w14:paraId="3123F33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chemicznych właściwości kruszyw – Analiza chemiczna</w:t>
            </w:r>
          </w:p>
        </w:tc>
      </w:tr>
      <w:tr w:rsidR="00284CBE" w:rsidRPr="006431C4" w14:paraId="2CFB5042" w14:textId="77777777" w:rsidTr="00955288">
        <w:tc>
          <w:tcPr>
            <w:tcW w:w="614" w:type="dxa"/>
          </w:tcPr>
          <w:p w14:paraId="107EB090"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23.</w:t>
            </w:r>
          </w:p>
        </w:tc>
        <w:tc>
          <w:tcPr>
            <w:tcW w:w="2254" w:type="dxa"/>
          </w:tcPr>
          <w:p w14:paraId="674837F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12591</w:t>
            </w:r>
          </w:p>
        </w:tc>
        <w:tc>
          <w:tcPr>
            <w:tcW w:w="8047" w:type="dxa"/>
          </w:tcPr>
          <w:p w14:paraId="5896D1C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Wymagania dla asfaltów drogowych</w:t>
            </w:r>
          </w:p>
        </w:tc>
      </w:tr>
      <w:tr w:rsidR="00284CBE" w:rsidRPr="006431C4" w14:paraId="59501B48" w14:textId="77777777" w:rsidTr="00955288">
        <w:tc>
          <w:tcPr>
            <w:tcW w:w="614" w:type="dxa"/>
          </w:tcPr>
          <w:p w14:paraId="4042C2F4"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24.</w:t>
            </w:r>
          </w:p>
        </w:tc>
        <w:tc>
          <w:tcPr>
            <w:tcW w:w="2254" w:type="dxa"/>
          </w:tcPr>
          <w:p w14:paraId="5C3DCF5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12592</w:t>
            </w:r>
          </w:p>
        </w:tc>
        <w:tc>
          <w:tcPr>
            <w:tcW w:w="8047" w:type="dxa"/>
          </w:tcPr>
          <w:p w14:paraId="4A4878D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Oznaczanie rozpuszczalności</w:t>
            </w:r>
          </w:p>
        </w:tc>
      </w:tr>
      <w:tr w:rsidR="00284CBE" w:rsidRPr="006431C4" w14:paraId="1A907C93" w14:textId="77777777" w:rsidTr="00955288">
        <w:tc>
          <w:tcPr>
            <w:tcW w:w="614" w:type="dxa"/>
          </w:tcPr>
          <w:p w14:paraId="713370D2"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25.</w:t>
            </w:r>
          </w:p>
        </w:tc>
        <w:tc>
          <w:tcPr>
            <w:tcW w:w="2254" w:type="dxa"/>
          </w:tcPr>
          <w:p w14:paraId="5D7C160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12593</w:t>
            </w:r>
          </w:p>
        </w:tc>
        <w:tc>
          <w:tcPr>
            <w:tcW w:w="8047" w:type="dxa"/>
          </w:tcPr>
          <w:p w14:paraId="7C671B5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Oznaczanie temperatury łamliwości Fraassa</w:t>
            </w:r>
          </w:p>
        </w:tc>
      </w:tr>
    </w:tbl>
    <w:p w14:paraId="3407CE1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bl>
      <w:tblPr>
        <w:tblW w:w="10915" w:type="dxa"/>
        <w:tblLayout w:type="fixed"/>
        <w:tblLook w:val="01E0" w:firstRow="1" w:lastRow="1" w:firstColumn="1" w:lastColumn="1" w:noHBand="0" w:noVBand="0"/>
      </w:tblPr>
      <w:tblGrid>
        <w:gridCol w:w="614"/>
        <w:gridCol w:w="2254"/>
        <w:gridCol w:w="8047"/>
      </w:tblGrid>
      <w:tr w:rsidR="00284CBE" w:rsidRPr="006431C4" w14:paraId="1CA2F6D1" w14:textId="77777777" w:rsidTr="00955288">
        <w:tc>
          <w:tcPr>
            <w:tcW w:w="614" w:type="dxa"/>
          </w:tcPr>
          <w:p w14:paraId="2A796AFF"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26.</w:t>
            </w:r>
          </w:p>
        </w:tc>
        <w:tc>
          <w:tcPr>
            <w:tcW w:w="2254" w:type="dxa"/>
          </w:tcPr>
          <w:p w14:paraId="0F0A860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12595</w:t>
            </w:r>
          </w:p>
        </w:tc>
        <w:tc>
          <w:tcPr>
            <w:tcW w:w="8047" w:type="dxa"/>
          </w:tcPr>
          <w:p w14:paraId="21C4F97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lepkości kinematycznej</w:t>
            </w:r>
          </w:p>
        </w:tc>
      </w:tr>
      <w:tr w:rsidR="00284CBE" w:rsidRPr="006431C4" w14:paraId="3CCBDC85" w14:textId="77777777" w:rsidTr="00955288">
        <w:tc>
          <w:tcPr>
            <w:tcW w:w="614" w:type="dxa"/>
          </w:tcPr>
          <w:p w14:paraId="32E36653"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27.</w:t>
            </w:r>
          </w:p>
        </w:tc>
        <w:tc>
          <w:tcPr>
            <w:tcW w:w="2254" w:type="dxa"/>
          </w:tcPr>
          <w:p w14:paraId="58D9530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12596</w:t>
            </w:r>
          </w:p>
        </w:tc>
        <w:tc>
          <w:tcPr>
            <w:tcW w:w="8047" w:type="dxa"/>
          </w:tcPr>
          <w:p w14:paraId="2453C57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lepkości dynamicznej metodą próżniowej kapilary</w:t>
            </w:r>
          </w:p>
        </w:tc>
      </w:tr>
      <w:tr w:rsidR="00284CBE" w:rsidRPr="006431C4" w14:paraId="542A55BA" w14:textId="77777777" w:rsidTr="00955288">
        <w:tc>
          <w:tcPr>
            <w:tcW w:w="614" w:type="dxa"/>
          </w:tcPr>
          <w:p w14:paraId="73D7B62D"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28.</w:t>
            </w:r>
          </w:p>
        </w:tc>
        <w:tc>
          <w:tcPr>
            <w:tcW w:w="2254" w:type="dxa"/>
          </w:tcPr>
          <w:p w14:paraId="3574D0B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12606-1</w:t>
            </w:r>
          </w:p>
        </w:tc>
        <w:tc>
          <w:tcPr>
            <w:tcW w:w="8047" w:type="dxa"/>
          </w:tcPr>
          <w:p w14:paraId="5D77B36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produkty asfaltowe – Oznaczanie zawartości parafiny – Część 1: Metoda destylacji</w:t>
            </w:r>
          </w:p>
        </w:tc>
      </w:tr>
      <w:tr w:rsidR="00284CBE" w:rsidRPr="006431C4" w14:paraId="1A4D8C43" w14:textId="77777777" w:rsidTr="00955288">
        <w:tc>
          <w:tcPr>
            <w:tcW w:w="614" w:type="dxa"/>
          </w:tcPr>
          <w:p w14:paraId="77279C34"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29.</w:t>
            </w:r>
          </w:p>
        </w:tc>
        <w:tc>
          <w:tcPr>
            <w:tcW w:w="2254" w:type="dxa"/>
          </w:tcPr>
          <w:p w14:paraId="45A07CB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12607-1</w:t>
            </w:r>
          </w:p>
        </w:tc>
        <w:tc>
          <w:tcPr>
            <w:tcW w:w="8047" w:type="dxa"/>
          </w:tcPr>
          <w:p w14:paraId="38DD3BD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Asfalty i produkty asfaltowe – Oznaczanie odporności na twardnienie pod wpływem ciepła i powietrza – Część 1: Metoda RTFOT </w:t>
            </w:r>
          </w:p>
        </w:tc>
      </w:tr>
      <w:tr w:rsidR="00284CBE" w:rsidRPr="006431C4" w14:paraId="789AFAFC" w14:textId="77777777" w:rsidTr="00955288">
        <w:tc>
          <w:tcPr>
            <w:tcW w:w="614" w:type="dxa"/>
          </w:tcPr>
          <w:p w14:paraId="2C0AA20F"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30.</w:t>
            </w:r>
          </w:p>
        </w:tc>
        <w:tc>
          <w:tcPr>
            <w:tcW w:w="2254" w:type="dxa"/>
          </w:tcPr>
          <w:p w14:paraId="2EF7EA6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highlight w:val="yellow"/>
              </w:rPr>
            </w:pPr>
            <w:r w:rsidRPr="006431C4">
              <w:rPr>
                <w:rFonts w:cs="Arial"/>
                <w:szCs w:val="20"/>
              </w:rPr>
              <w:t>PN-EN 12607-3</w:t>
            </w:r>
          </w:p>
        </w:tc>
        <w:tc>
          <w:tcPr>
            <w:tcW w:w="8047" w:type="dxa"/>
          </w:tcPr>
          <w:p w14:paraId="77E71EF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highlight w:val="yellow"/>
              </w:rPr>
            </w:pPr>
            <w:r w:rsidRPr="006431C4">
              <w:rPr>
                <w:rFonts w:cs="Arial"/>
                <w:szCs w:val="20"/>
              </w:rPr>
              <w:t>Asfalty i produkty asfaltowe – Oznaczanie odporności na twardnienie pod wpływem ciepła i powietrza – Część 3: Metoda RFT</w:t>
            </w:r>
          </w:p>
        </w:tc>
      </w:tr>
      <w:tr w:rsidR="00284CBE" w:rsidRPr="006431C4" w14:paraId="53648242" w14:textId="77777777" w:rsidTr="00955288">
        <w:tc>
          <w:tcPr>
            <w:tcW w:w="614" w:type="dxa"/>
          </w:tcPr>
          <w:p w14:paraId="6C9B8410"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lastRenderedPageBreak/>
              <w:t>31.</w:t>
            </w:r>
          </w:p>
        </w:tc>
        <w:tc>
          <w:tcPr>
            <w:tcW w:w="2254" w:type="dxa"/>
          </w:tcPr>
          <w:p w14:paraId="2526570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12697-1</w:t>
            </w:r>
          </w:p>
        </w:tc>
        <w:tc>
          <w:tcPr>
            <w:tcW w:w="8047" w:type="dxa"/>
          </w:tcPr>
          <w:p w14:paraId="4AE5225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1: Zawartość lepiszcza rozpuszczalnego</w:t>
            </w:r>
          </w:p>
        </w:tc>
      </w:tr>
      <w:tr w:rsidR="00284CBE" w:rsidRPr="006431C4" w14:paraId="76F14F70" w14:textId="77777777" w:rsidTr="00955288">
        <w:tc>
          <w:tcPr>
            <w:tcW w:w="614" w:type="dxa"/>
          </w:tcPr>
          <w:p w14:paraId="51E5FF75"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32.</w:t>
            </w:r>
          </w:p>
        </w:tc>
        <w:tc>
          <w:tcPr>
            <w:tcW w:w="2254" w:type="dxa"/>
          </w:tcPr>
          <w:p w14:paraId="7F86116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w:t>
            </w:r>
          </w:p>
        </w:tc>
        <w:tc>
          <w:tcPr>
            <w:tcW w:w="8047" w:type="dxa"/>
          </w:tcPr>
          <w:p w14:paraId="55569DD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 Oznaczanie składu ziarnowego</w:t>
            </w:r>
          </w:p>
        </w:tc>
      </w:tr>
      <w:tr w:rsidR="00284CBE" w:rsidRPr="006431C4" w14:paraId="363391DC" w14:textId="77777777" w:rsidTr="00955288">
        <w:tc>
          <w:tcPr>
            <w:tcW w:w="614" w:type="dxa"/>
          </w:tcPr>
          <w:p w14:paraId="228166D6"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33.</w:t>
            </w:r>
          </w:p>
        </w:tc>
        <w:tc>
          <w:tcPr>
            <w:tcW w:w="2254" w:type="dxa"/>
          </w:tcPr>
          <w:p w14:paraId="5952EFF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12697-3</w:t>
            </w:r>
          </w:p>
        </w:tc>
        <w:tc>
          <w:tcPr>
            <w:tcW w:w="8047" w:type="dxa"/>
          </w:tcPr>
          <w:p w14:paraId="5DCDAB5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3: Odzyskiwanie asfaltu: Wyparka obrotowa</w:t>
            </w:r>
          </w:p>
        </w:tc>
      </w:tr>
      <w:tr w:rsidR="00284CBE" w:rsidRPr="006431C4" w14:paraId="2BC243E6" w14:textId="77777777" w:rsidTr="00955288">
        <w:tc>
          <w:tcPr>
            <w:tcW w:w="614" w:type="dxa"/>
          </w:tcPr>
          <w:p w14:paraId="736F698E"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34.</w:t>
            </w:r>
          </w:p>
        </w:tc>
        <w:tc>
          <w:tcPr>
            <w:tcW w:w="2254" w:type="dxa"/>
          </w:tcPr>
          <w:p w14:paraId="1431551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12697-4</w:t>
            </w:r>
          </w:p>
        </w:tc>
        <w:tc>
          <w:tcPr>
            <w:tcW w:w="8047" w:type="dxa"/>
          </w:tcPr>
          <w:p w14:paraId="439AFBF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4: Odzyskiwanie asfaltu - Kolumna do destylacji frakcyjnej</w:t>
            </w:r>
          </w:p>
        </w:tc>
      </w:tr>
      <w:tr w:rsidR="00284CBE" w:rsidRPr="006431C4" w14:paraId="24C5DA12" w14:textId="77777777" w:rsidTr="00955288">
        <w:tc>
          <w:tcPr>
            <w:tcW w:w="614" w:type="dxa"/>
          </w:tcPr>
          <w:p w14:paraId="56B3955C"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35.</w:t>
            </w:r>
          </w:p>
        </w:tc>
        <w:tc>
          <w:tcPr>
            <w:tcW w:w="2254" w:type="dxa"/>
          </w:tcPr>
          <w:p w14:paraId="4275DD3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12697-5</w:t>
            </w:r>
          </w:p>
        </w:tc>
        <w:tc>
          <w:tcPr>
            <w:tcW w:w="8047" w:type="dxa"/>
          </w:tcPr>
          <w:p w14:paraId="3EB444F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5: Oznaczanie gęstości</w:t>
            </w:r>
          </w:p>
        </w:tc>
      </w:tr>
      <w:tr w:rsidR="00284CBE" w:rsidRPr="006431C4" w14:paraId="4D969639" w14:textId="77777777" w:rsidTr="00955288">
        <w:tc>
          <w:tcPr>
            <w:tcW w:w="614" w:type="dxa"/>
          </w:tcPr>
          <w:p w14:paraId="554BBC6E"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36.</w:t>
            </w:r>
          </w:p>
        </w:tc>
        <w:tc>
          <w:tcPr>
            <w:tcW w:w="2254" w:type="dxa"/>
          </w:tcPr>
          <w:p w14:paraId="5588A44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12697-6</w:t>
            </w:r>
          </w:p>
        </w:tc>
        <w:tc>
          <w:tcPr>
            <w:tcW w:w="8047" w:type="dxa"/>
          </w:tcPr>
          <w:p w14:paraId="7612E2E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6: Oznaczanie gęstości objętościowej próbek mieszanki mineralno-asfaltowej</w:t>
            </w:r>
          </w:p>
        </w:tc>
      </w:tr>
      <w:tr w:rsidR="00284CBE" w:rsidRPr="006431C4" w14:paraId="5967CAC4" w14:textId="77777777" w:rsidTr="00955288">
        <w:tc>
          <w:tcPr>
            <w:tcW w:w="614" w:type="dxa"/>
          </w:tcPr>
          <w:p w14:paraId="250DE372"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37.</w:t>
            </w:r>
          </w:p>
        </w:tc>
        <w:tc>
          <w:tcPr>
            <w:tcW w:w="2254" w:type="dxa"/>
          </w:tcPr>
          <w:p w14:paraId="20DB64F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12697-8</w:t>
            </w:r>
          </w:p>
        </w:tc>
        <w:tc>
          <w:tcPr>
            <w:tcW w:w="8047" w:type="dxa"/>
          </w:tcPr>
          <w:p w14:paraId="1BBDBF7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8: Oznaczanie zawartości wolnej przestrzeni</w:t>
            </w:r>
          </w:p>
        </w:tc>
      </w:tr>
      <w:tr w:rsidR="00284CBE" w:rsidRPr="006431C4" w14:paraId="63BED1B5" w14:textId="77777777" w:rsidTr="00955288">
        <w:tc>
          <w:tcPr>
            <w:tcW w:w="614" w:type="dxa"/>
          </w:tcPr>
          <w:p w14:paraId="7DDAAF6B"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38.</w:t>
            </w:r>
          </w:p>
        </w:tc>
        <w:tc>
          <w:tcPr>
            <w:tcW w:w="2254" w:type="dxa"/>
          </w:tcPr>
          <w:p w14:paraId="4988A37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12697-11</w:t>
            </w:r>
          </w:p>
        </w:tc>
        <w:tc>
          <w:tcPr>
            <w:tcW w:w="8047" w:type="dxa"/>
          </w:tcPr>
          <w:p w14:paraId="19F4E9E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11: Oznaczanie powinowactwa pomiędzy kruszywem i asfaltem</w:t>
            </w:r>
          </w:p>
        </w:tc>
      </w:tr>
      <w:tr w:rsidR="00284CBE" w:rsidRPr="006431C4" w14:paraId="3CAB8B35" w14:textId="77777777" w:rsidTr="00955288">
        <w:tc>
          <w:tcPr>
            <w:tcW w:w="614" w:type="dxa"/>
          </w:tcPr>
          <w:p w14:paraId="2A7FF7D4"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39.</w:t>
            </w:r>
          </w:p>
        </w:tc>
        <w:tc>
          <w:tcPr>
            <w:tcW w:w="2254" w:type="dxa"/>
          </w:tcPr>
          <w:p w14:paraId="0A53492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12697-12</w:t>
            </w:r>
          </w:p>
        </w:tc>
        <w:tc>
          <w:tcPr>
            <w:tcW w:w="8047" w:type="dxa"/>
          </w:tcPr>
          <w:p w14:paraId="3829F51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12: Określanie wrażliwości próbek asfaltowych na wodę</w:t>
            </w:r>
          </w:p>
        </w:tc>
      </w:tr>
      <w:tr w:rsidR="00284CBE" w:rsidRPr="006431C4" w14:paraId="62AC5C30" w14:textId="77777777" w:rsidTr="00955288">
        <w:tc>
          <w:tcPr>
            <w:tcW w:w="614" w:type="dxa"/>
          </w:tcPr>
          <w:p w14:paraId="1C0837AA"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40.</w:t>
            </w:r>
          </w:p>
        </w:tc>
        <w:tc>
          <w:tcPr>
            <w:tcW w:w="2254" w:type="dxa"/>
          </w:tcPr>
          <w:p w14:paraId="024C2C3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12697-13</w:t>
            </w:r>
          </w:p>
        </w:tc>
        <w:tc>
          <w:tcPr>
            <w:tcW w:w="8047" w:type="dxa"/>
          </w:tcPr>
          <w:p w14:paraId="3F48B09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13: Pomiar temperatury</w:t>
            </w:r>
          </w:p>
        </w:tc>
      </w:tr>
      <w:tr w:rsidR="00284CBE" w:rsidRPr="006431C4" w14:paraId="6CEFAC8A" w14:textId="77777777" w:rsidTr="00955288">
        <w:tc>
          <w:tcPr>
            <w:tcW w:w="614" w:type="dxa"/>
          </w:tcPr>
          <w:p w14:paraId="09599686"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41.</w:t>
            </w:r>
          </w:p>
        </w:tc>
        <w:tc>
          <w:tcPr>
            <w:tcW w:w="2254" w:type="dxa"/>
          </w:tcPr>
          <w:p w14:paraId="4CF05A8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12697-22</w:t>
            </w:r>
          </w:p>
        </w:tc>
        <w:tc>
          <w:tcPr>
            <w:tcW w:w="8047" w:type="dxa"/>
          </w:tcPr>
          <w:p w14:paraId="3BCE1B0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22: Koleinowanie</w:t>
            </w:r>
          </w:p>
        </w:tc>
      </w:tr>
    </w:tbl>
    <w:p w14:paraId="41BB118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p w14:paraId="409C81B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bl>
      <w:tblPr>
        <w:tblW w:w="10915" w:type="dxa"/>
        <w:tblLayout w:type="fixed"/>
        <w:tblLook w:val="01E0" w:firstRow="1" w:lastRow="1" w:firstColumn="1" w:lastColumn="1" w:noHBand="0" w:noVBand="0"/>
      </w:tblPr>
      <w:tblGrid>
        <w:gridCol w:w="614"/>
        <w:gridCol w:w="18"/>
        <w:gridCol w:w="2236"/>
        <w:gridCol w:w="8047"/>
      </w:tblGrid>
      <w:tr w:rsidR="00284CBE" w:rsidRPr="006431C4" w14:paraId="2AF4CC98" w14:textId="77777777" w:rsidTr="00955288">
        <w:tc>
          <w:tcPr>
            <w:tcW w:w="614" w:type="dxa"/>
          </w:tcPr>
          <w:p w14:paraId="4F295E96"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42.</w:t>
            </w:r>
          </w:p>
        </w:tc>
        <w:tc>
          <w:tcPr>
            <w:tcW w:w="2254" w:type="dxa"/>
            <w:gridSpan w:val="2"/>
          </w:tcPr>
          <w:p w14:paraId="011E8C2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12697-24</w:t>
            </w:r>
          </w:p>
        </w:tc>
        <w:tc>
          <w:tcPr>
            <w:tcW w:w="8047" w:type="dxa"/>
          </w:tcPr>
          <w:p w14:paraId="0BF401C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24: Odporność na zmęczenie</w:t>
            </w:r>
          </w:p>
        </w:tc>
      </w:tr>
      <w:tr w:rsidR="00284CBE" w:rsidRPr="006431C4" w14:paraId="7CE7C664" w14:textId="77777777" w:rsidTr="00955288">
        <w:tc>
          <w:tcPr>
            <w:tcW w:w="614" w:type="dxa"/>
          </w:tcPr>
          <w:p w14:paraId="0C59A306"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43.</w:t>
            </w:r>
          </w:p>
        </w:tc>
        <w:tc>
          <w:tcPr>
            <w:tcW w:w="2254" w:type="dxa"/>
            <w:gridSpan w:val="2"/>
          </w:tcPr>
          <w:p w14:paraId="65CFD70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12697-26</w:t>
            </w:r>
          </w:p>
        </w:tc>
        <w:tc>
          <w:tcPr>
            <w:tcW w:w="8047" w:type="dxa"/>
          </w:tcPr>
          <w:p w14:paraId="717A53A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26: Sztywność</w:t>
            </w:r>
          </w:p>
        </w:tc>
      </w:tr>
      <w:tr w:rsidR="00284CBE" w:rsidRPr="006431C4" w14:paraId="4AEBB478" w14:textId="77777777" w:rsidTr="00955288">
        <w:tc>
          <w:tcPr>
            <w:tcW w:w="614" w:type="dxa"/>
          </w:tcPr>
          <w:p w14:paraId="62B2E86E"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44.</w:t>
            </w:r>
          </w:p>
        </w:tc>
        <w:tc>
          <w:tcPr>
            <w:tcW w:w="2254" w:type="dxa"/>
            <w:gridSpan w:val="2"/>
          </w:tcPr>
          <w:p w14:paraId="048BB8C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12697-27</w:t>
            </w:r>
          </w:p>
        </w:tc>
        <w:tc>
          <w:tcPr>
            <w:tcW w:w="8047" w:type="dxa"/>
          </w:tcPr>
          <w:p w14:paraId="7F3C649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27: Pobieranie próbek</w:t>
            </w:r>
          </w:p>
        </w:tc>
      </w:tr>
      <w:tr w:rsidR="00284CBE" w:rsidRPr="006431C4" w14:paraId="7DA78912" w14:textId="77777777" w:rsidTr="00955288">
        <w:tc>
          <w:tcPr>
            <w:tcW w:w="614" w:type="dxa"/>
          </w:tcPr>
          <w:p w14:paraId="4F7741AD"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45.</w:t>
            </w:r>
          </w:p>
        </w:tc>
        <w:tc>
          <w:tcPr>
            <w:tcW w:w="2254" w:type="dxa"/>
            <w:gridSpan w:val="2"/>
          </w:tcPr>
          <w:p w14:paraId="2D1F5AC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12697-36</w:t>
            </w:r>
          </w:p>
        </w:tc>
        <w:tc>
          <w:tcPr>
            <w:tcW w:w="8047" w:type="dxa"/>
          </w:tcPr>
          <w:p w14:paraId="26EA180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36: Oznaczanie grubości nawierzchni asfaltowych</w:t>
            </w:r>
          </w:p>
        </w:tc>
      </w:tr>
      <w:tr w:rsidR="00284CBE" w:rsidRPr="006431C4" w14:paraId="56F3DBF1" w14:textId="77777777" w:rsidTr="00955288">
        <w:tc>
          <w:tcPr>
            <w:tcW w:w="614" w:type="dxa"/>
          </w:tcPr>
          <w:p w14:paraId="1F4265E9"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46.</w:t>
            </w:r>
          </w:p>
        </w:tc>
        <w:tc>
          <w:tcPr>
            <w:tcW w:w="2254" w:type="dxa"/>
            <w:gridSpan w:val="2"/>
          </w:tcPr>
          <w:p w14:paraId="514C648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12697-39</w:t>
            </w:r>
          </w:p>
        </w:tc>
        <w:tc>
          <w:tcPr>
            <w:tcW w:w="8047" w:type="dxa"/>
          </w:tcPr>
          <w:p w14:paraId="7ABA44F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39: Oznaczanie zawartości lepiszcza metodą spalania</w:t>
            </w:r>
          </w:p>
        </w:tc>
      </w:tr>
      <w:tr w:rsidR="00284CBE" w:rsidRPr="006431C4" w14:paraId="7025EEB9" w14:textId="77777777" w:rsidTr="00955288">
        <w:tc>
          <w:tcPr>
            <w:tcW w:w="614" w:type="dxa"/>
          </w:tcPr>
          <w:p w14:paraId="64499945"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47.</w:t>
            </w:r>
          </w:p>
        </w:tc>
        <w:tc>
          <w:tcPr>
            <w:tcW w:w="2254" w:type="dxa"/>
            <w:gridSpan w:val="2"/>
          </w:tcPr>
          <w:p w14:paraId="7689DB6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12697-41</w:t>
            </w:r>
          </w:p>
        </w:tc>
        <w:tc>
          <w:tcPr>
            <w:tcW w:w="8047" w:type="dxa"/>
          </w:tcPr>
          <w:p w14:paraId="21B321D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41: Odporność na płyny zapobiegające oblodzeniu</w:t>
            </w:r>
          </w:p>
        </w:tc>
      </w:tr>
      <w:tr w:rsidR="00284CBE" w:rsidRPr="006431C4" w14:paraId="6482FF78" w14:textId="77777777" w:rsidTr="00955288">
        <w:tc>
          <w:tcPr>
            <w:tcW w:w="614" w:type="dxa"/>
          </w:tcPr>
          <w:p w14:paraId="7A442331"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48.</w:t>
            </w:r>
          </w:p>
        </w:tc>
        <w:tc>
          <w:tcPr>
            <w:tcW w:w="2254" w:type="dxa"/>
            <w:gridSpan w:val="2"/>
          </w:tcPr>
          <w:p w14:paraId="230715E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12697-42</w:t>
            </w:r>
          </w:p>
        </w:tc>
        <w:tc>
          <w:tcPr>
            <w:tcW w:w="8047" w:type="dxa"/>
          </w:tcPr>
          <w:p w14:paraId="61DFDF3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42: Zawartość części obcych w destrukcie asfaltowym</w:t>
            </w:r>
          </w:p>
        </w:tc>
      </w:tr>
      <w:tr w:rsidR="00284CBE" w:rsidRPr="006431C4" w14:paraId="6F14A088" w14:textId="77777777" w:rsidTr="00955288">
        <w:tc>
          <w:tcPr>
            <w:tcW w:w="614" w:type="dxa"/>
          </w:tcPr>
          <w:p w14:paraId="108F8B2B"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49.</w:t>
            </w:r>
          </w:p>
        </w:tc>
        <w:tc>
          <w:tcPr>
            <w:tcW w:w="2254" w:type="dxa"/>
            <w:gridSpan w:val="2"/>
          </w:tcPr>
          <w:p w14:paraId="6DDAABAA"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12697-43</w:t>
            </w:r>
          </w:p>
        </w:tc>
        <w:tc>
          <w:tcPr>
            <w:tcW w:w="8047" w:type="dxa"/>
          </w:tcPr>
          <w:p w14:paraId="78F877B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Metody badań mieszanek mineralno-asfaltowych na gorąco - Część 43: Odporność na paliwo</w:t>
            </w:r>
          </w:p>
        </w:tc>
      </w:tr>
      <w:tr w:rsidR="00284CBE" w:rsidRPr="006431C4" w14:paraId="3FE1BFC0" w14:textId="77777777" w:rsidTr="00955288">
        <w:tc>
          <w:tcPr>
            <w:tcW w:w="614" w:type="dxa"/>
          </w:tcPr>
          <w:p w14:paraId="055F7C84"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50.</w:t>
            </w:r>
          </w:p>
        </w:tc>
        <w:tc>
          <w:tcPr>
            <w:tcW w:w="2254" w:type="dxa"/>
            <w:gridSpan w:val="2"/>
          </w:tcPr>
          <w:p w14:paraId="3B38983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13043</w:t>
            </w:r>
          </w:p>
        </w:tc>
        <w:tc>
          <w:tcPr>
            <w:tcW w:w="8047" w:type="dxa"/>
          </w:tcPr>
          <w:p w14:paraId="05343BA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Kruszywa do mieszanek bitumicznych i powierzchniowych utrwaleń stosowanych na drogach, lotniskach i innych powierzchniach przeznaczonych do ruchu</w:t>
            </w:r>
          </w:p>
        </w:tc>
      </w:tr>
      <w:tr w:rsidR="00284CBE" w:rsidRPr="006431C4" w14:paraId="18AFC4BD" w14:textId="77777777" w:rsidTr="00955288">
        <w:tc>
          <w:tcPr>
            <w:tcW w:w="614" w:type="dxa"/>
          </w:tcPr>
          <w:p w14:paraId="5285FE2B"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51.</w:t>
            </w:r>
          </w:p>
        </w:tc>
        <w:tc>
          <w:tcPr>
            <w:tcW w:w="2254" w:type="dxa"/>
            <w:gridSpan w:val="2"/>
          </w:tcPr>
          <w:p w14:paraId="7974942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13108-1</w:t>
            </w:r>
          </w:p>
        </w:tc>
        <w:tc>
          <w:tcPr>
            <w:tcW w:w="8047" w:type="dxa"/>
          </w:tcPr>
          <w:p w14:paraId="0864A8E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Wymagania – Część 1: Beton asfaltowy</w:t>
            </w:r>
          </w:p>
        </w:tc>
      </w:tr>
      <w:tr w:rsidR="00284CBE" w:rsidRPr="006431C4" w14:paraId="34DFD112" w14:textId="77777777" w:rsidTr="00955288">
        <w:tc>
          <w:tcPr>
            <w:tcW w:w="614" w:type="dxa"/>
          </w:tcPr>
          <w:p w14:paraId="2A1B49F3"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52.</w:t>
            </w:r>
          </w:p>
        </w:tc>
        <w:tc>
          <w:tcPr>
            <w:tcW w:w="2254" w:type="dxa"/>
            <w:gridSpan w:val="2"/>
          </w:tcPr>
          <w:p w14:paraId="73F0A71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13108-4</w:t>
            </w:r>
          </w:p>
        </w:tc>
        <w:tc>
          <w:tcPr>
            <w:tcW w:w="8047" w:type="dxa"/>
          </w:tcPr>
          <w:p w14:paraId="7247504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Wymagania - Część 4: Mieszanka HRA</w:t>
            </w:r>
          </w:p>
        </w:tc>
      </w:tr>
      <w:tr w:rsidR="00284CBE" w:rsidRPr="006431C4" w14:paraId="42D49641" w14:textId="77777777" w:rsidTr="00955288">
        <w:tc>
          <w:tcPr>
            <w:tcW w:w="614" w:type="dxa"/>
          </w:tcPr>
          <w:p w14:paraId="09645D35"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53.</w:t>
            </w:r>
          </w:p>
        </w:tc>
        <w:tc>
          <w:tcPr>
            <w:tcW w:w="2254" w:type="dxa"/>
            <w:gridSpan w:val="2"/>
          </w:tcPr>
          <w:p w14:paraId="6A58808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13108-8</w:t>
            </w:r>
          </w:p>
        </w:tc>
        <w:tc>
          <w:tcPr>
            <w:tcW w:w="8047" w:type="dxa"/>
          </w:tcPr>
          <w:p w14:paraId="6047F02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Wymagania - Część 8: Destrukt asfaltowy</w:t>
            </w:r>
          </w:p>
        </w:tc>
      </w:tr>
      <w:tr w:rsidR="00284CBE" w:rsidRPr="006431C4" w14:paraId="1B22D605" w14:textId="77777777" w:rsidTr="00955288">
        <w:tc>
          <w:tcPr>
            <w:tcW w:w="614" w:type="dxa"/>
          </w:tcPr>
          <w:p w14:paraId="70951B25"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54.</w:t>
            </w:r>
          </w:p>
        </w:tc>
        <w:tc>
          <w:tcPr>
            <w:tcW w:w="2254" w:type="dxa"/>
            <w:gridSpan w:val="2"/>
          </w:tcPr>
          <w:p w14:paraId="233F4AF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13108-20</w:t>
            </w:r>
          </w:p>
        </w:tc>
        <w:tc>
          <w:tcPr>
            <w:tcW w:w="8047" w:type="dxa"/>
          </w:tcPr>
          <w:p w14:paraId="4E2C78C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Wymagania – Część 20: Badanie typu</w:t>
            </w:r>
          </w:p>
        </w:tc>
      </w:tr>
      <w:tr w:rsidR="00284CBE" w:rsidRPr="006431C4" w14:paraId="38F8DB79" w14:textId="77777777" w:rsidTr="00955288">
        <w:tc>
          <w:tcPr>
            <w:tcW w:w="614" w:type="dxa"/>
          </w:tcPr>
          <w:p w14:paraId="2279423A"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55.</w:t>
            </w:r>
          </w:p>
        </w:tc>
        <w:tc>
          <w:tcPr>
            <w:tcW w:w="2254" w:type="dxa"/>
            <w:gridSpan w:val="2"/>
          </w:tcPr>
          <w:p w14:paraId="20EE7EB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PN-EN </w:t>
            </w:r>
          </w:p>
          <w:p w14:paraId="787F1B0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13108-21</w:t>
            </w:r>
          </w:p>
        </w:tc>
        <w:tc>
          <w:tcPr>
            <w:tcW w:w="8047" w:type="dxa"/>
          </w:tcPr>
          <w:p w14:paraId="3F3D97E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Mieszanki mineralno-asfaltowe - Wymagania - Część 21: Zakładowa kontrola produkcji</w:t>
            </w:r>
          </w:p>
        </w:tc>
      </w:tr>
      <w:tr w:rsidR="00284CBE" w:rsidRPr="006431C4" w14:paraId="253199A4" w14:textId="77777777" w:rsidTr="00955288">
        <w:tc>
          <w:tcPr>
            <w:tcW w:w="614" w:type="dxa"/>
          </w:tcPr>
          <w:p w14:paraId="3E087C09"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56.</w:t>
            </w:r>
          </w:p>
        </w:tc>
        <w:tc>
          <w:tcPr>
            <w:tcW w:w="2254" w:type="dxa"/>
            <w:gridSpan w:val="2"/>
          </w:tcPr>
          <w:p w14:paraId="668B3F4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13179-1</w:t>
            </w:r>
          </w:p>
        </w:tc>
        <w:tc>
          <w:tcPr>
            <w:tcW w:w="8047" w:type="dxa"/>
          </w:tcPr>
          <w:p w14:paraId="0706A69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kruszyw wypełniających stosowanych do mieszanek bitumicznych – Część 1: Badanie metodą pierścienia delta i kuli</w:t>
            </w:r>
          </w:p>
        </w:tc>
      </w:tr>
      <w:tr w:rsidR="00284CBE" w:rsidRPr="006431C4" w14:paraId="626B523C" w14:textId="77777777" w:rsidTr="00955288">
        <w:tc>
          <w:tcPr>
            <w:tcW w:w="614" w:type="dxa"/>
          </w:tcPr>
          <w:p w14:paraId="7ADFF78D"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57.</w:t>
            </w:r>
          </w:p>
        </w:tc>
        <w:tc>
          <w:tcPr>
            <w:tcW w:w="2254" w:type="dxa"/>
            <w:gridSpan w:val="2"/>
          </w:tcPr>
          <w:p w14:paraId="7D28C74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13179-2</w:t>
            </w:r>
          </w:p>
        </w:tc>
        <w:tc>
          <w:tcPr>
            <w:tcW w:w="8047" w:type="dxa"/>
          </w:tcPr>
          <w:p w14:paraId="207277D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Badania kruszyw wypełniających stosowanych do mieszanek bitumicznych – Część 2: Liczba bitumiczna</w:t>
            </w:r>
          </w:p>
        </w:tc>
      </w:tr>
      <w:tr w:rsidR="00284CBE" w:rsidRPr="006431C4" w14:paraId="32B58D9C" w14:textId="77777777" w:rsidTr="00955288">
        <w:tc>
          <w:tcPr>
            <w:tcW w:w="614" w:type="dxa"/>
          </w:tcPr>
          <w:p w14:paraId="4A3EA24F"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58.</w:t>
            </w:r>
          </w:p>
        </w:tc>
        <w:tc>
          <w:tcPr>
            <w:tcW w:w="2254" w:type="dxa"/>
            <w:gridSpan w:val="2"/>
          </w:tcPr>
          <w:p w14:paraId="5FE59AB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13398</w:t>
            </w:r>
          </w:p>
        </w:tc>
        <w:tc>
          <w:tcPr>
            <w:tcW w:w="8047" w:type="dxa"/>
          </w:tcPr>
          <w:p w14:paraId="066D85E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nawrotu sprężystego asfaltów modyfikowanych</w:t>
            </w:r>
          </w:p>
        </w:tc>
      </w:tr>
      <w:tr w:rsidR="00284CBE" w:rsidRPr="006431C4" w14:paraId="5504B0F4" w14:textId="77777777" w:rsidTr="00955288">
        <w:tc>
          <w:tcPr>
            <w:tcW w:w="632" w:type="dxa"/>
            <w:gridSpan w:val="2"/>
          </w:tcPr>
          <w:p w14:paraId="7A066C17"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59.</w:t>
            </w:r>
          </w:p>
        </w:tc>
        <w:tc>
          <w:tcPr>
            <w:tcW w:w="2236" w:type="dxa"/>
          </w:tcPr>
          <w:p w14:paraId="636DA71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13399</w:t>
            </w:r>
          </w:p>
        </w:tc>
        <w:tc>
          <w:tcPr>
            <w:tcW w:w="8047" w:type="dxa"/>
          </w:tcPr>
          <w:p w14:paraId="00AF02A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stabilności podczas magazynowania asfaltów modyfikowanych</w:t>
            </w:r>
          </w:p>
        </w:tc>
      </w:tr>
      <w:tr w:rsidR="00284CBE" w:rsidRPr="006431C4" w14:paraId="4008C0F1" w14:textId="77777777" w:rsidTr="00955288">
        <w:tc>
          <w:tcPr>
            <w:tcW w:w="632" w:type="dxa"/>
            <w:gridSpan w:val="2"/>
          </w:tcPr>
          <w:p w14:paraId="30057202"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60.</w:t>
            </w:r>
          </w:p>
        </w:tc>
        <w:tc>
          <w:tcPr>
            <w:tcW w:w="2236" w:type="dxa"/>
          </w:tcPr>
          <w:p w14:paraId="5BF3953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13587</w:t>
            </w:r>
          </w:p>
        </w:tc>
        <w:tc>
          <w:tcPr>
            <w:tcW w:w="8047" w:type="dxa"/>
          </w:tcPr>
          <w:p w14:paraId="2AB0145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właściwości mechanicznych lepiszczy asfaltowych metodą rozciągania</w:t>
            </w:r>
          </w:p>
        </w:tc>
      </w:tr>
    </w:tbl>
    <w:p w14:paraId="2ADEC30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bl>
      <w:tblPr>
        <w:tblW w:w="11057" w:type="dxa"/>
        <w:tblLayout w:type="fixed"/>
        <w:tblLook w:val="01E0" w:firstRow="1" w:lastRow="1" w:firstColumn="1" w:lastColumn="1" w:noHBand="0" w:noVBand="0"/>
      </w:tblPr>
      <w:tblGrid>
        <w:gridCol w:w="632"/>
        <w:gridCol w:w="2236"/>
        <w:gridCol w:w="8189"/>
      </w:tblGrid>
      <w:tr w:rsidR="00284CBE" w:rsidRPr="006431C4" w14:paraId="3DD3A99C" w14:textId="77777777" w:rsidTr="00955288">
        <w:tc>
          <w:tcPr>
            <w:tcW w:w="632" w:type="dxa"/>
          </w:tcPr>
          <w:p w14:paraId="3EEBD4F4"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61.</w:t>
            </w:r>
          </w:p>
        </w:tc>
        <w:tc>
          <w:tcPr>
            <w:tcW w:w="2236" w:type="dxa"/>
          </w:tcPr>
          <w:p w14:paraId="78557B7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13588</w:t>
            </w:r>
          </w:p>
        </w:tc>
        <w:tc>
          <w:tcPr>
            <w:tcW w:w="8189" w:type="dxa"/>
          </w:tcPr>
          <w:p w14:paraId="026D7FFC"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kohezji lepiszczy asfaltowych metodą testu wahadłowego</w:t>
            </w:r>
          </w:p>
        </w:tc>
      </w:tr>
      <w:tr w:rsidR="00284CBE" w:rsidRPr="006431C4" w14:paraId="31ED70C8" w14:textId="77777777" w:rsidTr="00955288">
        <w:tc>
          <w:tcPr>
            <w:tcW w:w="632" w:type="dxa"/>
          </w:tcPr>
          <w:p w14:paraId="7C1E8EF3"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62.</w:t>
            </w:r>
          </w:p>
        </w:tc>
        <w:tc>
          <w:tcPr>
            <w:tcW w:w="2236" w:type="dxa"/>
          </w:tcPr>
          <w:p w14:paraId="3B5F09D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13589</w:t>
            </w:r>
          </w:p>
        </w:tc>
        <w:tc>
          <w:tcPr>
            <w:tcW w:w="8189" w:type="dxa"/>
          </w:tcPr>
          <w:p w14:paraId="4809903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siły rozciągania asfaltów modyfikowanych – Metoda z duktylometrem</w:t>
            </w:r>
          </w:p>
        </w:tc>
      </w:tr>
      <w:tr w:rsidR="00284CBE" w:rsidRPr="006431C4" w14:paraId="0586D791" w14:textId="77777777" w:rsidTr="00955288">
        <w:tc>
          <w:tcPr>
            <w:tcW w:w="632" w:type="dxa"/>
          </w:tcPr>
          <w:p w14:paraId="7D0C7F58"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lastRenderedPageBreak/>
              <w:t>63.</w:t>
            </w:r>
          </w:p>
        </w:tc>
        <w:tc>
          <w:tcPr>
            <w:tcW w:w="2236" w:type="dxa"/>
          </w:tcPr>
          <w:p w14:paraId="637E593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13703</w:t>
            </w:r>
          </w:p>
        </w:tc>
        <w:tc>
          <w:tcPr>
            <w:tcW w:w="8189" w:type="dxa"/>
          </w:tcPr>
          <w:p w14:paraId="0132662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Oznaczanie energii odkształcenia</w:t>
            </w:r>
          </w:p>
        </w:tc>
      </w:tr>
      <w:tr w:rsidR="00284CBE" w:rsidRPr="006431C4" w14:paraId="567D41B6" w14:textId="77777777" w:rsidTr="00955288">
        <w:tc>
          <w:tcPr>
            <w:tcW w:w="632" w:type="dxa"/>
          </w:tcPr>
          <w:p w14:paraId="21089BE3"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64.</w:t>
            </w:r>
          </w:p>
        </w:tc>
        <w:tc>
          <w:tcPr>
            <w:tcW w:w="2236" w:type="dxa"/>
          </w:tcPr>
          <w:p w14:paraId="62511A0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13808</w:t>
            </w:r>
          </w:p>
        </w:tc>
        <w:tc>
          <w:tcPr>
            <w:tcW w:w="8189" w:type="dxa"/>
          </w:tcPr>
          <w:p w14:paraId="5C5F7E4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specyfikacji kationowych emulsji asfaltowych</w:t>
            </w:r>
          </w:p>
        </w:tc>
      </w:tr>
      <w:tr w:rsidR="00284CBE" w:rsidRPr="006431C4" w14:paraId="7CC28037" w14:textId="77777777" w:rsidTr="00955288">
        <w:tc>
          <w:tcPr>
            <w:tcW w:w="632" w:type="dxa"/>
          </w:tcPr>
          <w:p w14:paraId="1E4ED8FB"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64a.</w:t>
            </w:r>
          </w:p>
        </w:tc>
        <w:tc>
          <w:tcPr>
            <w:tcW w:w="2236" w:type="dxa"/>
          </w:tcPr>
          <w:p w14:paraId="51E6E44F"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PN-EN 13808:2013-10/Ap1:2014-07</w:t>
            </w:r>
          </w:p>
        </w:tc>
        <w:tc>
          <w:tcPr>
            <w:tcW w:w="8189" w:type="dxa"/>
          </w:tcPr>
          <w:p w14:paraId="21D17D5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specyfikacji kationowych emulsji asfaltowych. Załącznik krajowy NA</w:t>
            </w:r>
          </w:p>
        </w:tc>
      </w:tr>
      <w:tr w:rsidR="00284CBE" w:rsidRPr="006431C4" w14:paraId="716253A2" w14:textId="77777777" w:rsidTr="00955288">
        <w:tc>
          <w:tcPr>
            <w:tcW w:w="632" w:type="dxa"/>
          </w:tcPr>
          <w:p w14:paraId="4CBDC9B9"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65.</w:t>
            </w:r>
          </w:p>
        </w:tc>
        <w:tc>
          <w:tcPr>
            <w:tcW w:w="2236" w:type="dxa"/>
          </w:tcPr>
          <w:p w14:paraId="27F08EE8" w14:textId="77777777" w:rsidR="00284CBE" w:rsidRPr="006431C4" w:rsidRDefault="00284CBE" w:rsidP="00284CBE">
            <w:pPr>
              <w:overflowPunct w:val="0"/>
              <w:autoSpaceDE w:val="0"/>
              <w:autoSpaceDN w:val="0"/>
              <w:adjustRightInd w:val="0"/>
              <w:spacing w:line="240" w:lineRule="auto"/>
              <w:textAlignment w:val="baseline"/>
              <w:rPr>
                <w:rFonts w:cs="Arial"/>
                <w:szCs w:val="20"/>
              </w:rPr>
            </w:pPr>
            <w:r w:rsidRPr="006431C4">
              <w:rPr>
                <w:rFonts w:cs="Arial"/>
                <w:szCs w:val="20"/>
              </w:rPr>
              <w:t>PN-EN 13924-2</w:t>
            </w:r>
          </w:p>
        </w:tc>
        <w:tc>
          <w:tcPr>
            <w:tcW w:w="8189" w:type="dxa"/>
          </w:tcPr>
          <w:p w14:paraId="52A725C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Asfalty i lepiszcza asfaltowe - Zasady klasyfikacji asfaltów drogowych specjalnych - Część 2: Asfalty drogowe wielorodzajowe </w:t>
            </w:r>
          </w:p>
        </w:tc>
      </w:tr>
      <w:tr w:rsidR="00284CBE" w:rsidRPr="006431C4" w14:paraId="4DCCAF60" w14:textId="77777777" w:rsidTr="00955288">
        <w:tc>
          <w:tcPr>
            <w:tcW w:w="632" w:type="dxa"/>
          </w:tcPr>
          <w:p w14:paraId="642F5B18"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65a.</w:t>
            </w:r>
          </w:p>
        </w:tc>
        <w:tc>
          <w:tcPr>
            <w:tcW w:w="2236" w:type="dxa"/>
          </w:tcPr>
          <w:p w14:paraId="07C6A1A1" w14:textId="77777777" w:rsidR="00284CBE" w:rsidRPr="006431C4" w:rsidRDefault="00284CBE" w:rsidP="00284CBE">
            <w:pPr>
              <w:overflowPunct w:val="0"/>
              <w:autoSpaceDE w:val="0"/>
              <w:autoSpaceDN w:val="0"/>
              <w:adjustRightInd w:val="0"/>
              <w:spacing w:line="240" w:lineRule="auto"/>
              <w:textAlignment w:val="baseline"/>
              <w:rPr>
                <w:rFonts w:cs="Arial"/>
                <w:szCs w:val="20"/>
                <w:lang w:val="en-US"/>
              </w:rPr>
            </w:pPr>
            <w:r w:rsidRPr="006431C4">
              <w:rPr>
                <w:rFonts w:cs="Arial"/>
                <w:szCs w:val="20"/>
                <w:lang w:val="en-US"/>
              </w:rPr>
              <w:t>PN-EN 13924-2:</w:t>
            </w:r>
          </w:p>
          <w:p w14:paraId="6A336544" w14:textId="77777777" w:rsidR="00284CBE" w:rsidRPr="006431C4" w:rsidRDefault="00284CBE" w:rsidP="00284CBE">
            <w:pPr>
              <w:overflowPunct w:val="0"/>
              <w:autoSpaceDE w:val="0"/>
              <w:autoSpaceDN w:val="0"/>
              <w:adjustRightInd w:val="0"/>
              <w:spacing w:line="240" w:lineRule="auto"/>
              <w:textAlignment w:val="baseline"/>
              <w:rPr>
                <w:rFonts w:cs="Arial"/>
                <w:szCs w:val="20"/>
                <w:lang w:val="en-US"/>
              </w:rPr>
            </w:pPr>
            <w:r w:rsidRPr="006431C4">
              <w:rPr>
                <w:rFonts w:cs="Arial"/>
                <w:szCs w:val="20"/>
                <w:lang w:val="en-US"/>
              </w:rPr>
              <w:t>2014-04/Ap1:</w:t>
            </w:r>
          </w:p>
          <w:p w14:paraId="50C0E25B" w14:textId="77777777" w:rsidR="00284CBE" w:rsidRPr="006431C4" w:rsidRDefault="00284CBE" w:rsidP="00284CBE">
            <w:pPr>
              <w:overflowPunct w:val="0"/>
              <w:autoSpaceDE w:val="0"/>
              <w:autoSpaceDN w:val="0"/>
              <w:adjustRightInd w:val="0"/>
              <w:spacing w:line="240" w:lineRule="auto"/>
              <w:textAlignment w:val="baseline"/>
              <w:rPr>
                <w:rFonts w:cs="Arial"/>
                <w:szCs w:val="20"/>
                <w:lang w:val="en-US"/>
              </w:rPr>
            </w:pPr>
            <w:r w:rsidRPr="006431C4">
              <w:rPr>
                <w:rFonts w:cs="Arial"/>
                <w:szCs w:val="20"/>
                <w:lang w:val="en-US"/>
              </w:rPr>
              <w:t xml:space="preserve">2014-07 </w:t>
            </w:r>
            <w:proofErr w:type="spellStart"/>
            <w:r w:rsidRPr="006431C4">
              <w:rPr>
                <w:rFonts w:cs="Arial"/>
                <w:szCs w:val="20"/>
                <w:lang w:val="en-US"/>
              </w:rPr>
              <w:t>i</w:t>
            </w:r>
            <w:proofErr w:type="spellEnd"/>
            <w:r w:rsidRPr="006431C4">
              <w:rPr>
                <w:rFonts w:cs="Arial"/>
                <w:szCs w:val="20"/>
                <w:lang w:val="en-US"/>
              </w:rPr>
              <w:t xml:space="preserve"> PN-EN 13924-2:2014-04/Ap2:2015-09E</w:t>
            </w:r>
          </w:p>
        </w:tc>
        <w:tc>
          <w:tcPr>
            <w:tcW w:w="8189" w:type="dxa"/>
          </w:tcPr>
          <w:p w14:paraId="12B8922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klasyfikacji asfaltów drogowych specjalnych - Część 2: Asfalty drogowe wielorodzajowe. Załącznik krajowy NA</w:t>
            </w:r>
          </w:p>
        </w:tc>
      </w:tr>
      <w:tr w:rsidR="00284CBE" w:rsidRPr="006431C4" w14:paraId="663A18D4" w14:textId="77777777" w:rsidTr="00955288">
        <w:tc>
          <w:tcPr>
            <w:tcW w:w="632" w:type="dxa"/>
          </w:tcPr>
          <w:p w14:paraId="4070C659"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66.</w:t>
            </w:r>
          </w:p>
        </w:tc>
        <w:tc>
          <w:tcPr>
            <w:tcW w:w="2236" w:type="dxa"/>
          </w:tcPr>
          <w:p w14:paraId="4176215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14023</w:t>
            </w:r>
          </w:p>
        </w:tc>
        <w:tc>
          <w:tcPr>
            <w:tcW w:w="8189" w:type="dxa"/>
          </w:tcPr>
          <w:p w14:paraId="6BE90A3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specyfikacji asfaltów modyfikowanych polimerami</w:t>
            </w:r>
          </w:p>
        </w:tc>
      </w:tr>
      <w:tr w:rsidR="00284CBE" w:rsidRPr="006431C4" w14:paraId="25237128" w14:textId="77777777" w:rsidTr="00955288">
        <w:tc>
          <w:tcPr>
            <w:tcW w:w="632" w:type="dxa"/>
          </w:tcPr>
          <w:p w14:paraId="5DD75B0D"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66a.</w:t>
            </w:r>
          </w:p>
        </w:tc>
        <w:tc>
          <w:tcPr>
            <w:tcW w:w="2236" w:type="dxa"/>
          </w:tcPr>
          <w:p w14:paraId="29CCD9F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14023:2011/Ap1:</w:t>
            </w:r>
          </w:p>
          <w:p w14:paraId="32D397B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highlight w:val="yellow"/>
              </w:rPr>
            </w:pPr>
            <w:r w:rsidRPr="006431C4">
              <w:rPr>
                <w:rFonts w:cs="Arial"/>
                <w:szCs w:val="20"/>
              </w:rPr>
              <w:t>2014-04</w:t>
            </w:r>
          </w:p>
        </w:tc>
        <w:tc>
          <w:tcPr>
            <w:tcW w:w="8189" w:type="dxa"/>
          </w:tcPr>
          <w:p w14:paraId="7A6F913B"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Zasady klasyfikacji asfaltów modyfikowanych polimerami. Załącznik krajowy NA</w:t>
            </w:r>
          </w:p>
        </w:tc>
      </w:tr>
      <w:tr w:rsidR="00284CBE" w:rsidRPr="006431C4" w14:paraId="3282C109" w14:textId="77777777" w:rsidTr="00955288">
        <w:tc>
          <w:tcPr>
            <w:tcW w:w="632" w:type="dxa"/>
          </w:tcPr>
          <w:p w14:paraId="5BB8D496"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67.</w:t>
            </w:r>
          </w:p>
        </w:tc>
        <w:tc>
          <w:tcPr>
            <w:tcW w:w="2236" w:type="dxa"/>
          </w:tcPr>
          <w:p w14:paraId="5CC05C2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14188-1</w:t>
            </w:r>
          </w:p>
        </w:tc>
        <w:tc>
          <w:tcPr>
            <w:tcW w:w="8189" w:type="dxa"/>
          </w:tcPr>
          <w:p w14:paraId="5A9C1FF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Wypełniacze szczelin i zalewy drogowe – Część 1: Wymagania wobec zalew drogowych na gorąco</w:t>
            </w:r>
          </w:p>
        </w:tc>
      </w:tr>
      <w:tr w:rsidR="00284CBE" w:rsidRPr="006431C4" w14:paraId="27AC006D" w14:textId="77777777" w:rsidTr="00955288">
        <w:tc>
          <w:tcPr>
            <w:tcW w:w="632" w:type="dxa"/>
          </w:tcPr>
          <w:p w14:paraId="5D34579A"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68.</w:t>
            </w:r>
          </w:p>
        </w:tc>
        <w:tc>
          <w:tcPr>
            <w:tcW w:w="2236" w:type="dxa"/>
          </w:tcPr>
          <w:p w14:paraId="3C1186E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14188-2</w:t>
            </w:r>
          </w:p>
        </w:tc>
        <w:tc>
          <w:tcPr>
            <w:tcW w:w="8189" w:type="dxa"/>
          </w:tcPr>
          <w:p w14:paraId="07717BE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Wypełniacze szczelin i zalewy drogowe – Część 2: Wymagania wobec zalew drogowych na zimno</w:t>
            </w:r>
          </w:p>
        </w:tc>
      </w:tr>
      <w:tr w:rsidR="00284CBE" w:rsidRPr="006431C4" w14:paraId="0012F004" w14:textId="77777777" w:rsidTr="00955288">
        <w:tc>
          <w:tcPr>
            <w:tcW w:w="632" w:type="dxa"/>
          </w:tcPr>
          <w:p w14:paraId="0C991A76"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69.</w:t>
            </w:r>
          </w:p>
        </w:tc>
        <w:tc>
          <w:tcPr>
            <w:tcW w:w="2236" w:type="dxa"/>
          </w:tcPr>
          <w:p w14:paraId="6898D192"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22592</w:t>
            </w:r>
          </w:p>
        </w:tc>
        <w:tc>
          <w:tcPr>
            <w:tcW w:w="8189" w:type="dxa"/>
          </w:tcPr>
          <w:p w14:paraId="49ACAA6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Przetwory naftowe – Oznaczanie temperatury zapłonu i palenia – Pomiar metodą otwartego tygla Clevelanda</w:t>
            </w:r>
          </w:p>
        </w:tc>
      </w:tr>
      <w:tr w:rsidR="00284CBE" w:rsidRPr="006431C4" w14:paraId="39106754" w14:textId="77777777" w:rsidTr="00955288">
        <w:tc>
          <w:tcPr>
            <w:tcW w:w="632" w:type="dxa"/>
          </w:tcPr>
          <w:p w14:paraId="718E89D0"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70.</w:t>
            </w:r>
          </w:p>
        </w:tc>
        <w:tc>
          <w:tcPr>
            <w:tcW w:w="2236" w:type="dxa"/>
          </w:tcPr>
          <w:p w14:paraId="0449F1E5"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ISO 2592</w:t>
            </w:r>
          </w:p>
        </w:tc>
        <w:tc>
          <w:tcPr>
            <w:tcW w:w="8189" w:type="dxa"/>
          </w:tcPr>
          <w:p w14:paraId="23D18CB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Oznaczanie temperatury zapłonu i palenia – Metoda otwartego tygla Clevelanda</w:t>
            </w:r>
          </w:p>
        </w:tc>
      </w:tr>
      <w:tr w:rsidR="00284CBE" w:rsidRPr="006431C4" w14:paraId="30362490" w14:textId="77777777" w:rsidTr="00955288">
        <w:tc>
          <w:tcPr>
            <w:tcW w:w="632" w:type="dxa"/>
          </w:tcPr>
          <w:p w14:paraId="4558DE5A"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71.</w:t>
            </w:r>
          </w:p>
        </w:tc>
        <w:tc>
          <w:tcPr>
            <w:tcW w:w="2236" w:type="dxa"/>
          </w:tcPr>
          <w:p w14:paraId="7D56FE8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13880-2</w:t>
            </w:r>
          </w:p>
        </w:tc>
        <w:tc>
          <w:tcPr>
            <w:tcW w:w="8189" w:type="dxa"/>
          </w:tcPr>
          <w:p w14:paraId="0D7081F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Zalewy szczelin na gorąco -- Część 2: Metoda badania dla określenia penetracji stożka w temperaturze 25 C</w:t>
            </w:r>
          </w:p>
        </w:tc>
      </w:tr>
      <w:tr w:rsidR="00284CBE" w:rsidRPr="006431C4" w14:paraId="777F1D29" w14:textId="77777777" w:rsidTr="00955288">
        <w:tc>
          <w:tcPr>
            <w:tcW w:w="632" w:type="dxa"/>
          </w:tcPr>
          <w:p w14:paraId="282587A0"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72.</w:t>
            </w:r>
          </w:p>
        </w:tc>
        <w:tc>
          <w:tcPr>
            <w:tcW w:w="2236" w:type="dxa"/>
          </w:tcPr>
          <w:p w14:paraId="42D0BA6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13880-3</w:t>
            </w:r>
          </w:p>
        </w:tc>
        <w:tc>
          <w:tcPr>
            <w:tcW w:w="8189" w:type="dxa"/>
          </w:tcPr>
          <w:p w14:paraId="5C8BBA8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Zalewy szczelin na gorąco -- Część 3: Metoda badania określająca penetrację i odprężenie sprężyste (odbojność)</w:t>
            </w:r>
          </w:p>
        </w:tc>
      </w:tr>
      <w:tr w:rsidR="00284CBE" w:rsidRPr="006431C4" w14:paraId="722632FD" w14:textId="77777777" w:rsidTr="00955288">
        <w:tc>
          <w:tcPr>
            <w:tcW w:w="632" w:type="dxa"/>
          </w:tcPr>
          <w:p w14:paraId="628EAB79"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73.</w:t>
            </w:r>
          </w:p>
        </w:tc>
        <w:tc>
          <w:tcPr>
            <w:tcW w:w="2236" w:type="dxa"/>
          </w:tcPr>
          <w:p w14:paraId="16552B4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13880-5</w:t>
            </w:r>
          </w:p>
        </w:tc>
        <w:tc>
          <w:tcPr>
            <w:tcW w:w="8189" w:type="dxa"/>
          </w:tcPr>
          <w:p w14:paraId="5C6A3954"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Zalewy szczelin na gorąco -- Część 5: Metody badań do oznaczania odporności na spływanie</w:t>
            </w:r>
          </w:p>
        </w:tc>
      </w:tr>
      <w:tr w:rsidR="00284CBE" w:rsidRPr="006431C4" w14:paraId="41B98826" w14:textId="77777777" w:rsidTr="00955288">
        <w:tc>
          <w:tcPr>
            <w:tcW w:w="632" w:type="dxa"/>
          </w:tcPr>
          <w:p w14:paraId="3E7F0E32"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74.</w:t>
            </w:r>
          </w:p>
        </w:tc>
        <w:tc>
          <w:tcPr>
            <w:tcW w:w="2236" w:type="dxa"/>
          </w:tcPr>
          <w:p w14:paraId="2B50586D"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13880-6</w:t>
            </w:r>
          </w:p>
        </w:tc>
        <w:tc>
          <w:tcPr>
            <w:tcW w:w="8189" w:type="dxa"/>
          </w:tcPr>
          <w:p w14:paraId="445D1348"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Zalewy szczelin na gorąco -- Część 6: Metoda przygotowania próbek do badania</w:t>
            </w:r>
          </w:p>
        </w:tc>
      </w:tr>
      <w:tr w:rsidR="00284CBE" w:rsidRPr="006431C4" w14:paraId="3B3B69DC" w14:textId="77777777" w:rsidTr="00955288">
        <w:tc>
          <w:tcPr>
            <w:tcW w:w="632" w:type="dxa"/>
          </w:tcPr>
          <w:p w14:paraId="05A8EF3A"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75.</w:t>
            </w:r>
          </w:p>
        </w:tc>
        <w:tc>
          <w:tcPr>
            <w:tcW w:w="2236" w:type="dxa"/>
          </w:tcPr>
          <w:p w14:paraId="3CEE3A3E"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13880-13</w:t>
            </w:r>
          </w:p>
        </w:tc>
        <w:tc>
          <w:tcPr>
            <w:tcW w:w="8189" w:type="dxa"/>
          </w:tcPr>
          <w:p w14:paraId="1A3D42E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Zalewy szczelin na gorąco -- Część 13: Metoda badania służąca do określenia wydłużenia nieciągłego (próba przyczepności)</w:t>
            </w:r>
          </w:p>
        </w:tc>
      </w:tr>
      <w:tr w:rsidR="00284CBE" w:rsidRPr="006431C4" w14:paraId="66E21A6C" w14:textId="77777777" w:rsidTr="00955288">
        <w:tc>
          <w:tcPr>
            <w:tcW w:w="632" w:type="dxa"/>
          </w:tcPr>
          <w:p w14:paraId="7158F8A2"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76.</w:t>
            </w:r>
          </w:p>
        </w:tc>
        <w:tc>
          <w:tcPr>
            <w:tcW w:w="2236" w:type="dxa"/>
          </w:tcPr>
          <w:p w14:paraId="7D474546"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DIN 52123</w:t>
            </w:r>
          </w:p>
        </w:tc>
        <w:tc>
          <w:tcPr>
            <w:tcW w:w="8189" w:type="dxa"/>
          </w:tcPr>
          <w:p w14:paraId="32399A52"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szCs w:val="20"/>
              </w:rPr>
              <w:t>Prüfung von Bitumen- und Polymerbitumenbahnen (Badanie taśm bitumicznych i polimerowo-bitumicznych)</w:t>
            </w:r>
          </w:p>
        </w:tc>
      </w:tr>
      <w:tr w:rsidR="00284CBE" w:rsidRPr="006431C4" w14:paraId="5A7195C1" w14:textId="77777777" w:rsidTr="00955288">
        <w:tc>
          <w:tcPr>
            <w:tcW w:w="632" w:type="dxa"/>
          </w:tcPr>
          <w:p w14:paraId="0B1C8AE3"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77.</w:t>
            </w:r>
          </w:p>
        </w:tc>
        <w:tc>
          <w:tcPr>
            <w:tcW w:w="2236" w:type="dxa"/>
          </w:tcPr>
          <w:p w14:paraId="6108DE49"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1425</w:t>
            </w:r>
          </w:p>
        </w:tc>
        <w:tc>
          <w:tcPr>
            <w:tcW w:w="8189" w:type="dxa"/>
          </w:tcPr>
          <w:p w14:paraId="2C447CB9"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szCs w:val="20"/>
              </w:rPr>
            </w:pPr>
            <w:r w:rsidRPr="006431C4">
              <w:rPr>
                <w:rFonts w:cs="Arial"/>
                <w:szCs w:val="20"/>
              </w:rPr>
              <w:t>Asfalty i lepiszcza asfaltowe -- Ocena organoleptyczna</w:t>
            </w:r>
          </w:p>
        </w:tc>
      </w:tr>
    </w:tbl>
    <w:p w14:paraId="528AF111"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p>
    <w:tbl>
      <w:tblPr>
        <w:tblW w:w="10773" w:type="dxa"/>
        <w:tblLayout w:type="fixed"/>
        <w:tblLook w:val="01E0" w:firstRow="1" w:lastRow="1" w:firstColumn="1" w:lastColumn="1" w:noHBand="0" w:noVBand="0"/>
      </w:tblPr>
      <w:tblGrid>
        <w:gridCol w:w="632"/>
        <w:gridCol w:w="2236"/>
        <w:gridCol w:w="7905"/>
      </w:tblGrid>
      <w:tr w:rsidR="00284CBE" w:rsidRPr="006431C4" w14:paraId="1DF89ACB" w14:textId="77777777" w:rsidTr="00955288">
        <w:tc>
          <w:tcPr>
            <w:tcW w:w="632" w:type="dxa"/>
          </w:tcPr>
          <w:p w14:paraId="374EFEDB"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78.</w:t>
            </w:r>
          </w:p>
        </w:tc>
        <w:tc>
          <w:tcPr>
            <w:tcW w:w="2236" w:type="dxa"/>
          </w:tcPr>
          <w:p w14:paraId="6C93DDB0"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1428</w:t>
            </w:r>
          </w:p>
        </w:tc>
        <w:tc>
          <w:tcPr>
            <w:tcW w:w="7905" w:type="dxa"/>
          </w:tcPr>
          <w:p w14:paraId="7FACA9BC" w14:textId="77777777" w:rsidR="00284CBE" w:rsidRPr="006431C4" w:rsidRDefault="00284CBE" w:rsidP="00284CBE">
            <w:pPr>
              <w:overflowPunct w:val="0"/>
              <w:autoSpaceDE w:val="0"/>
              <w:autoSpaceDN w:val="0"/>
              <w:adjustRightInd w:val="0"/>
              <w:spacing w:line="240" w:lineRule="auto"/>
              <w:jc w:val="both"/>
              <w:textAlignment w:val="baseline"/>
              <w:rPr>
                <w:rFonts w:cs="Arial"/>
                <w:b/>
                <w:szCs w:val="20"/>
              </w:rPr>
            </w:pPr>
            <w:r w:rsidRPr="006431C4">
              <w:rPr>
                <w:rFonts w:cs="Arial"/>
                <w:szCs w:val="20"/>
              </w:rPr>
              <w:t>Asfalty i lepiszcza asfaltowe -- Oznaczanie zawartości wody w emulsjach asfaltowych -- Metoda destylacji azeotropowej</w:t>
            </w:r>
          </w:p>
        </w:tc>
      </w:tr>
      <w:tr w:rsidR="00284CBE" w:rsidRPr="006431C4" w14:paraId="44023A28" w14:textId="77777777" w:rsidTr="00955288">
        <w:tc>
          <w:tcPr>
            <w:tcW w:w="632" w:type="dxa"/>
          </w:tcPr>
          <w:p w14:paraId="65571D35"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79.</w:t>
            </w:r>
          </w:p>
        </w:tc>
        <w:tc>
          <w:tcPr>
            <w:tcW w:w="2236" w:type="dxa"/>
          </w:tcPr>
          <w:p w14:paraId="5A0874A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13074-1</w:t>
            </w:r>
          </w:p>
        </w:tc>
        <w:tc>
          <w:tcPr>
            <w:tcW w:w="7905" w:type="dxa"/>
          </w:tcPr>
          <w:p w14:paraId="11715623"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Odzyskiwanie lepiszcza z emulsji asfaltowych lub asfaltów upłynnionych lub fluksowanych -- Część 1: Odzyskiwanie metodą odparowania</w:t>
            </w:r>
          </w:p>
        </w:tc>
      </w:tr>
      <w:tr w:rsidR="00284CBE" w:rsidRPr="006431C4" w14:paraId="2FB141C8" w14:textId="77777777" w:rsidTr="00955288">
        <w:tc>
          <w:tcPr>
            <w:tcW w:w="632" w:type="dxa"/>
          </w:tcPr>
          <w:p w14:paraId="247DE846" w14:textId="77777777" w:rsidR="00284CBE" w:rsidRPr="006431C4" w:rsidRDefault="00284CBE" w:rsidP="00284CBE">
            <w:pPr>
              <w:overflowPunct w:val="0"/>
              <w:autoSpaceDE w:val="0"/>
              <w:autoSpaceDN w:val="0"/>
              <w:adjustRightInd w:val="0"/>
              <w:spacing w:line="240" w:lineRule="auto"/>
              <w:jc w:val="right"/>
              <w:textAlignment w:val="baseline"/>
              <w:rPr>
                <w:rFonts w:cs="Arial"/>
                <w:szCs w:val="20"/>
              </w:rPr>
            </w:pPr>
            <w:r w:rsidRPr="006431C4">
              <w:rPr>
                <w:rFonts w:cs="Arial"/>
                <w:szCs w:val="20"/>
              </w:rPr>
              <w:t>80.</w:t>
            </w:r>
          </w:p>
        </w:tc>
        <w:tc>
          <w:tcPr>
            <w:tcW w:w="2236" w:type="dxa"/>
          </w:tcPr>
          <w:p w14:paraId="0D4493CF"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PN-EN 13074-2</w:t>
            </w:r>
          </w:p>
        </w:tc>
        <w:tc>
          <w:tcPr>
            <w:tcW w:w="7905" w:type="dxa"/>
          </w:tcPr>
          <w:p w14:paraId="1AE71F87" w14:textId="77777777" w:rsidR="00284CBE" w:rsidRPr="006431C4" w:rsidRDefault="00284CBE" w:rsidP="00284CBE">
            <w:pPr>
              <w:overflowPunct w:val="0"/>
              <w:autoSpaceDE w:val="0"/>
              <w:autoSpaceDN w:val="0"/>
              <w:adjustRightInd w:val="0"/>
              <w:spacing w:line="240" w:lineRule="auto"/>
              <w:jc w:val="both"/>
              <w:textAlignment w:val="baseline"/>
              <w:rPr>
                <w:rFonts w:cs="Arial"/>
                <w:szCs w:val="20"/>
              </w:rPr>
            </w:pPr>
            <w:r w:rsidRPr="006431C4">
              <w:rPr>
                <w:rFonts w:cs="Arial"/>
                <w:szCs w:val="20"/>
              </w:rPr>
              <w:t>Asfalty i lepiszcza asfaltowe -- Odzyskiwanie lepiszcza z emulsji asfaltowych lub asfaltów upłynnionych lub fluksowanych -- Część 2: Stabilizacja po odzyskaniu metodą odparowania</w:t>
            </w:r>
          </w:p>
        </w:tc>
      </w:tr>
    </w:tbl>
    <w:p w14:paraId="3E3550ED"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 xml:space="preserve">10.3. Wymagania techniczne </w:t>
      </w:r>
    </w:p>
    <w:p w14:paraId="1E6E6193" w14:textId="77777777" w:rsidR="00284CBE" w:rsidRPr="006431C4" w:rsidRDefault="00284CBE" w:rsidP="00CF1E7D">
      <w:pPr>
        <w:numPr>
          <w:ilvl w:val="0"/>
          <w:numId w:val="176"/>
        </w:numPr>
        <w:overflowPunct w:val="0"/>
        <w:autoSpaceDE w:val="0"/>
        <w:autoSpaceDN w:val="0"/>
        <w:adjustRightInd w:val="0"/>
        <w:spacing w:line="240" w:lineRule="auto"/>
        <w:ind w:left="567" w:hanging="142"/>
        <w:jc w:val="both"/>
        <w:textAlignment w:val="baseline"/>
        <w:rPr>
          <w:rFonts w:cs="Arial"/>
          <w:szCs w:val="20"/>
        </w:rPr>
      </w:pPr>
      <w:r w:rsidRPr="006431C4">
        <w:rPr>
          <w:rFonts w:cs="Arial"/>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0BA21734" w14:textId="77777777" w:rsidR="00284CBE" w:rsidRPr="006431C4" w:rsidRDefault="00284CBE" w:rsidP="00CF1E7D">
      <w:pPr>
        <w:numPr>
          <w:ilvl w:val="0"/>
          <w:numId w:val="176"/>
        </w:numPr>
        <w:overflowPunct w:val="0"/>
        <w:autoSpaceDE w:val="0"/>
        <w:autoSpaceDN w:val="0"/>
        <w:adjustRightInd w:val="0"/>
        <w:spacing w:line="240" w:lineRule="auto"/>
        <w:ind w:left="567" w:hanging="142"/>
        <w:jc w:val="both"/>
        <w:textAlignment w:val="baseline"/>
        <w:rPr>
          <w:rFonts w:cs="Arial"/>
          <w:szCs w:val="20"/>
        </w:rPr>
      </w:pPr>
      <w:r w:rsidRPr="006431C4">
        <w:rPr>
          <w:rFonts w:cs="Arial"/>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6460CE5A" w14:textId="77777777" w:rsidR="00284CBE" w:rsidRPr="006431C4" w:rsidRDefault="00284CBE" w:rsidP="00CF1E7D">
      <w:pPr>
        <w:numPr>
          <w:ilvl w:val="0"/>
          <w:numId w:val="176"/>
        </w:numPr>
        <w:overflowPunct w:val="0"/>
        <w:autoSpaceDE w:val="0"/>
        <w:autoSpaceDN w:val="0"/>
        <w:adjustRightInd w:val="0"/>
        <w:spacing w:line="240" w:lineRule="auto"/>
        <w:ind w:left="567" w:hanging="142"/>
        <w:jc w:val="both"/>
        <w:textAlignment w:val="baseline"/>
        <w:rPr>
          <w:rFonts w:cs="Arial"/>
          <w:szCs w:val="20"/>
        </w:rPr>
      </w:pPr>
      <w:r w:rsidRPr="006431C4">
        <w:rPr>
          <w:rFonts w:cs="Arial"/>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70D92FD4" w14:textId="77777777" w:rsidR="00284CBE" w:rsidRPr="006431C4" w:rsidRDefault="00284CBE" w:rsidP="00CF1E7D">
      <w:pPr>
        <w:numPr>
          <w:ilvl w:val="0"/>
          <w:numId w:val="176"/>
        </w:numPr>
        <w:tabs>
          <w:tab w:val="left" w:pos="567"/>
        </w:tabs>
        <w:overflowPunct w:val="0"/>
        <w:autoSpaceDE w:val="0"/>
        <w:autoSpaceDN w:val="0"/>
        <w:adjustRightInd w:val="0"/>
        <w:spacing w:line="240" w:lineRule="auto"/>
        <w:ind w:left="567" w:hanging="142"/>
        <w:jc w:val="both"/>
        <w:textAlignment w:val="baseline"/>
        <w:rPr>
          <w:rFonts w:cs="Arial"/>
          <w:szCs w:val="20"/>
        </w:rPr>
      </w:pPr>
      <w:r w:rsidRPr="006431C4">
        <w:rPr>
          <w:rFonts w:cs="Arial"/>
          <w:szCs w:val="20"/>
        </w:rPr>
        <w:t>Katalog typowych konstrukcji nawierzchni podatnych i półsztywnych. Załącznik do Zarządzenia nr 31 Generalnego Dyrektora Dróg Krajowych i Autostrad z dnia 16 czerwca 2014 r.</w:t>
      </w:r>
    </w:p>
    <w:p w14:paraId="570CCFC0" w14:textId="77777777" w:rsidR="00284CBE" w:rsidRPr="006431C4" w:rsidRDefault="00284CBE" w:rsidP="00284CBE">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10.4. Inne dokumenty</w:t>
      </w:r>
    </w:p>
    <w:p w14:paraId="218ADCC8" w14:textId="77777777" w:rsidR="00284CBE" w:rsidRPr="006431C4" w:rsidRDefault="00284CBE" w:rsidP="00CF1E7D">
      <w:pPr>
        <w:numPr>
          <w:ilvl w:val="0"/>
          <w:numId w:val="176"/>
        </w:numPr>
        <w:overflowPunct w:val="0"/>
        <w:autoSpaceDE w:val="0"/>
        <w:autoSpaceDN w:val="0"/>
        <w:adjustRightInd w:val="0"/>
        <w:spacing w:line="240" w:lineRule="auto"/>
        <w:ind w:left="567" w:hanging="142"/>
        <w:jc w:val="both"/>
        <w:textAlignment w:val="baseline"/>
        <w:rPr>
          <w:rFonts w:cs="Arial"/>
          <w:szCs w:val="20"/>
        </w:rPr>
      </w:pPr>
      <w:r w:rsidRPr="006431C4">
        <w:rPr>
          <w:rFonts w:cs="Arial"/>
          <w:szCs w:val="20"/>
        </w:rPr>
        <w:t>Rozporządzenie Ministra Transportu i Gospodarki Morskiej z dnia 2 marca 1999 r. w sprawie warunków technicznych, jakim powinny odpowiadać drogi publiczne i ich usytuowanie (jednolity tekst Dz.U. z 2016, poz. 124)</w:t>
      </w:r>
    </w:p>
    <w:p w14:paraId="6744AAF0" w14:textId="77777777" w:rsidR="00284CBE" w:rsidRPr="006431C4" w:rsidRDefault="00284CBE" w:rsidP="00CF1E7D">
      <w:pPr>
        <w:numPr>
          <w:ilvl w:val="0"/>
          <w:numId w:val="176"/>
        </w:numPr>
        <w:overflowPunct w:val="0"/>
        <w:autoSpaceDE w:val="0"/>
        <w:autoSpaceDN w:val="0"/>
        <w:adjustRightInd w:val="0"/>
        <w:spacing w:line="240" w:lineRule="auto"/>
        <w:ind w:left="567" w:hanging="142"/>
        <w:jc w:val="both"/>
        <w:textAlignment w:val="baseline"/>
        <w:rPr>
          <w:rFonts w:cs="Arial"/>
          <w:szCs w:val="20"/>
        </w:rPr>
      </w:pPr>
      <w:r w:rsidRPr="006431C4">
        <w:rPr>
          <w:rFonts w:cs="Arial"/>
          <w:szCs w:val="20"/>
        </w:rPr>
        <w:t>Ustawa z dnia 19 sierpnia 2011 r. o przewozie drogowym towarów niebezpiecznych (Dz.U. nr 227, poz. 1367 z późn. zm.)</w:t>
      </w:r>
    </w:p>
    <w:p w14:paraId="4D7D5A13" w14:textId="77777777" w:rsidR="006B6869" w:rsidRPr="006431C4" w:rsidRDefault="006B6869" w:rsidP="00ED06DB">
      <w:pPr>
        <w:pStyle w:val="Nagwek4"/>
        <w:shd w:val="clear" w:color="auto" w:fill="FFFFFF" w:themeFill="background1"/>
        <w:tabs>
          <w:tab w:val="left" w:pos="142"/>
        </w:tabs>
        <w:spacing w:before="240" w:line="240" w:lineRule="auto"/>
        <w:jc w:val="both"/>
        <w:rPr>
          <w:rFonts w:cs="Arial"/>
          <w:szCs w:val="20"/>
        </w:rPr>
      </w:pPr>
      <w:bookmarkStart w:id="956" w:name="_Toc111635987"/>
      <w:r w:rsidRPr="006431C4">
        <w:rPr>
          <w:rFonts w:cs="Arial"/>
          <w:szCs w:val="20"/>
        </w:rPr>
        <w:lastRenderedPageBreak/>
        <w:t>D-05.03.11 - FREZOWANIE NAWIERZCHNI ASFALTOWYCH</w:t>
      </w:r>
      <w:r w:rsidR="00721A2A" w:rsidRPr="006431C4">
        <w:rPr>
          <w:rFonts w:cs="Arial"/>
          <w:szCs w:val="20"/>
        </w:rPr>
        <w:t xml:space="preserve"> </w:t>
      </w:r>
      <w:r w:rsidRPr="006431C4">
        <w:rPr>
          <w:rFonts w:cs="Arial"/>
          <w:szCs w:val="20"/>
        </w:rPr>
        <w:t>NA ZIMNO</w:t>
      </w:r>
      <w:bookmarkEnd w:id="956"/>
    </w:p>
    <w:p w14:paraId="5CF55DFF"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1. Wstęp</w:t>
      </w:r>
    </w:p>
    <w:p w14:paraId="4C23EA56"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1.1. Przedmiot</w:t>
      </w:r>
      <w:r w:rsidR="00180A26" w:rsidRPr="006431C4">
        <w:rPr>
          <w:rFonts w:cs="Arial"/>
          <w:szCs w:val="20"/>
        </w:rPr>
        <w:t xml:space="preserve"> SST</w:t>
      </w:r>
    </w:p>
    <w:p w14:paraId="18E1B1E6" w14:textId="77777777" w:rsidR="006B6869" w:rsidRPr="006431C4" w:rsidRDefault="006B6869" w:rsidP="00D232E1">
      <w:pPr>
        <w:pStyle w:val="Standardowytekst"/>
        <w:shd w:val="clear" w:color="auto" w:fill="FFFFFF" w:themeFill="background1"/>
        <w:tabs>
          <w:tab w:val="left" w:pos="142"/>
        </w:tabs>
        <w:rPr>
          <w:rFonts w:ascii="Arial" w:hAnsi="Arial" w:cs="Arial"/>
        </w:rPr>
      </w:pPr>
      <w:r w:rsidRPr="006431C4">
        <w:rPr>
          <w:rFonts w:ascii="Arial" w:hAnsi="Arial" w:cs="Arial"/>
        </w:rPr>
        <w:t xml:space="preserve">Przedmiotem </w:t>
      </w:r>
      <w:r w:rsidR="00BA62A8" w:rsidRPr="006431C4">
        <w:rPr>
          <w:rFonts w:ascii="Arial" w:hAnsi="Arial" w:cs="Arial"/>
        </w:rPr>
        <w:t xml:space="preserve">niniejszej szczegółowej specyfikacji </w:t>
      </w:r>
      <w:r w:rsidRPr="006431C4">
        <w:rPr>
          <w:rFonts w:ascii="Arial" w:hAnsi="Arial" w:cs="Arial"/>
        </w:rPr>
        <w:t>technicznej są wymagania dotyczące wykonania i odbioru robót związanych z frezowaniem nawierzchni asfaltowych na zimno.</w:t>
      </w:r>
    </w:p>
    <w:p w14:paraId="25727110"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1.2. Zakres stosowania</w:t>
      </w:r>
      <w:r w:rsidR="00180A26" w:rsidRPr="006431C4">
        <w:rPr>
          <w:rFonts w:cs="Arial"/>
          <w:szCs w:val="20"/>
        </w:rPr>
        <w:t xml:space="preserve"> SST</w:t>
      </w:r>
    </w:p>
    <w:p w14:paraId="3268489B" w14:textId="77777777" w:rsidR="00293E11" w:rsidRPr="006431C4" w:rsidRDefault="006A5A86"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Niniejsza szczegółowa specyfikacja techniczna </w:t>
      </w:r>
      <w:r w:rsidR="00293E11" w:rsidRPr="006431C4">
        <w:rPr>
          <w:rFonts w:cs="Arial"/>
          <w:szCs w:val="20"/>
        </w:rPr>
        <w:t xml:space="preserve">stanowi Dokument Przetargowy i Kontraktowy przy zlecaniu i realizacji robót dla inwestycji </w:t>
      </w:r>
      <w:r w:rsidR="00296959" w:rsidRPr="006431C4">
        <w:rPr>
          <w:rFonts w:cs="Arial"/>
          <w:szCs w:val="20"/>
        </w:rPr>
        <w:t>pn.:</w:t>
      </w:r>
      <w:r w:rsidR="00293E11" w:rsidRPr="006431C4">
        <w:rPr>
          <w:rFonts w:cs="Arial"/>
          <w:szCs w:val="20"/>
        </w:rPr>
        <w:t xml:space="preserve"> </w:t>
      </w:r>
    </w:p>
    <w:sdt>
      <w:sdtPr>
        <w:rPr>
          <w:rFonts w:cs="Arial"/>
          <w:szCs w:val="20"/>
        </w:rPr>
        <w:alias w:val="Temat"/>
        <w:tag w:val=""/>
        <w:id w:val="895711185"/>
        <w:placeholder>
          <w:docPart w:val="567DF1D7A3D8424BA86974063F91C1EC"/>
        </w:placeholder>
        <w:dataBinding w:prefixMappings="xmlns:ns0='http://purl.org/dc/elements/1.1/' xmlns:ns1='http://schemas.openxmlformats.org/package/2006/metadata/core-properties' " w:xpath="/ns1:coreProperties[1]/ns0:subject[1]" w:storeItemID="{6C3C8BC8-F283-45AE-878A-BAB7291924A1}"/>
        <w:text/>
      </w:sdtPr>
      <w:sdtEndPr/>
      <w:sdtContent>
        <w:p w14:paraId="65B63B52" w14:textId="6A25291C" w:rsidR="00B044CA" w:rsidRPr="006431C4" w:rsidRDefault="00484E05" w:rsidP="00D232E1">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1B0EB0E7"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1.3. Zakres robót objętych</w:t>
      </w:r>
      <w:r w:rsidR="00180A26" w:rsidRPr="006431C4">
        <w:rPr>
          <w:rFonts w:cs="Arial"/>
          <w:szCs w:val="20"/>
        </w:rPr>
        <w:t xml:space="preserve"> SST</w:t>
      </w:r>
    </w:p>
    <w:p w14:paraId="1DA547EA"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Ustalenia zawarte w </w:t>
      </w:r>
      <w:r w:rsidR="00BA62A8" w:rsidRPr="006431C4">
        <w:rPr>
          <w:rFonts w:cs="Arial"/>
          <w:szCs w:val="20"/>
        </w:rPr>
        <w:t xml:space="preserve">niniejszej szczegółowej specyfikacji </w:t>
      </w:r>
      <w:r w:rsidRPr="006431C4">
        <w:rPr>
          <w:rFonts w:cs="Arial"/>
          <w:szCs w:val="20"/>
        </w:rPr>
        <w:t>dotyczą zasad prowadzenia robót związanych z frezowaniem nawierzchni asfaltowych na zimno.</w:t>
      </w:r>
    </w:p>
    <w:p w14:paraId="68C4A61C" w14:textId="77777777" w:rsidR="006B6869" w:rsidRPr="006431C4" w:rsidRDefault="006B6869" w:rsidP="00D232E1">
      <w:pPr>
        <w:pStyle w:val="Tekstpodstawowywcity"/>
        <w:shd w:val="clear" w:color="auto" w:fill="FFFFFF" w:themeFill="background1"/>
        <w:tabs>
          <w:tab w:val="left" w:pos="142"/>
        </w:tabs>
        <w:spacing w:line="240" w:lineRule="auto"/>
        <w:ind w:firstLine="0"/>
        <w:jc w:val="both"/>
        <w:rPr>
          <w:rFonts w:cs="Arial"/>
          <w:sz w:val="20"/>
          <w:szCs w:val="20"/>
        </w:rPr>
      </w:pPr>
      <w:r w:rsidRPr="006431C4">
        <w:rPr>
          <w:rFonts w:cs="Arial"/>
          <w:sz w:val="20"/>
          <w:szCs w:val="20"/>
        </w:rPr>
        <w:t>Frezowanie nawierzchni asfaltowych na zimno może być wykonywane w celu:</w:t>
      </w:r>
    </w:p>
    <w:p w14:paraId="5B2572A9" w14:textId="77777777" w:rsidR="006B6869" w:rsidRPr="006431C4" w:rsidRDefault="006B6869" w:rsidP="00D232E1">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uszorstnienia nawierzchni,</w:t>
      </w:r>
    </w:p>
    <w:p w14:paraId="46ACAC37" w14:textId="77777777" w:rsidR="006B6869" w:rsidRPr="006431C4" w:rsidRDefault="006B6869" w:rsidP="00D232E1">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profilowania,</w:t>
      </w:r>
    </w:p>
    <w:p w14:paraId="69578641" w14:textId="77777777" w:rsidR="006B6869" w:rsidRPr="006431C4" w:rsidRDefault="006B6869" w:rsidP="00D232E1">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napraw nawierzchni</w:t>
      </w:r>
    </w:p>
    <w:p w14:paraId="5DC6685E" w14:textId="77777777" w:rsidR="006B6869" w:rsidRPr="006431C4" w:rsidRDefault="006B6869" w:rsidP="00D232E1">
      <w:pPr>
        <w:pStyle w:val="Tekstpodstawowy"/>
        <w:shd w:val="clear" w:color="auto" w:fill="FFFFFF" w:themeFill="background1"/>
        <w:tabs>
          <w:tab w:val="clear" w:pos="360"/>
          <w:tab w:val="left" w:pos="142"/>
        </w:tabs>
        <w:spacing w:line="240" w:lineRule="auto"/>
        <w:jc w:val="both"/>
        <w:rPr>
          <w:rFonts w:cs="Arial"/>
          <w:sz w:val="20"/>
          <w:szCs w:val="20"/>
        </w:rPr>
      </w:pPr>
      <w:r w:rsidRPr="006431C4">
        <w:rPr>
          <w:rFonts w:cs="Arial"/>
          <w:sz w:val="20"/>
          <w:szCs w:val="20"/>
        </w:rPr>
        <w:t>oraz przed wykonaniem nowej warstwy.</w:t>
      </w:r>
    </w:p>
    <w:p w14:paraId="1F9EC88D"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1.4. Określenia podstawowe</w:t>
      </w:r>
    </w:p>
    <w:p w14:paraId="29807A01" w14:textId="77777777" w:rsidR="006B6869" w:rsidRPr="006431C4" w:rsidRDefault="006B6869" w:rsidP="00D232E1">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1.4.1.</w:t>
      </w:r>
      <w:r w:rsidR="003D79DE" w:rsidRPr="006431C4">
        <w:rPr>
          <w:rFonts w:cs="Arial"/>
          <w:b/>
          <w:szCs w:val="20"/>
        </w:rPr>
        <w:tab/>
      </w:r>
      <w:r w:rsidRPr="006431C4">
        <w:rPr>
          <w:rFonts w:cs="Arial"/>
          <w:szCs w:val="20"/>
        </w:rPr>
        <w:t>Recykling nawierzchni asfaltowej - powtórne użycie mieszanki mineralno-asfaltowej odzyskanej z nawierzchni.</w:t>
      </w:r>
    </w:p>
    <w:p w14:paraId="40D5355B" w14:textId="77777777" w:rsidR="006B6869" w:rsidRPr="006431C4" w:rsidRDefault="006B6869" w:rsidP="00D232E1">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1.4.2.</w:t>
      </w:r>
      <w:r w:rsidR="003D79DE" w:rsidRPr="006431C4">
        <w:rPr>
          <w:rFonts w:cs="Arial"/>
          <w:b/>
          <w:szCs w:val="20"/>
        </w:rPr>
        <w:tab/>
      </w:r>
      <w:r w:rsidRPr="006431C4">
        <w:rPr>
          <w:rFonts w:cs="Arial"/>
          <w:szCs w:val="20"/>
        </w:rPr>
        <w:t>Frezowanie nawierzchni asfaltowej na zimno - kontrolowany proces skrawania górnej warstwy nawierzchni asfaltowej, bez jej ogrzania, na określoną głębokość.</w:t>
      </w:r>
    </w:p>
    <w:p w14:paraId="4E6CB85A" w14:textId="77777777" w:rsidR="006B6869" w:rsidRPr="006431C4" w:rsidRDefault="006B6869" w:rsidP="00D232E1">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1.4.3.</w:t>
      </w:r>
      <w:r w:rsidR="003D79DE" w:rsidRPr="006431C4">
        <w:rPr>
          <w:rFonts w:cs="Arial"/>
          <w:b/>
          <w:szCs w:val="20"/>
        </w:rPr>
        <w:tab/>
      </w:r>
      <w:r w:rsidRPr="006431C4">
        <w:rPr>
          <w:rFonts w:cs="Arial"/>
          <w:szCs w:val="20"/>
        </w:rPr>
        <w:t>Pozostałe określenia są zgodne z obowiązującymi, odpowiednimi polskimi normami i z definicjami podanymi w</w:t>
      </w:r>
      <w:r w:rsidR="00180A26" w:rsidRPr="006431C4">
        <w:rPr>
          <w:rFonts w:cs="Arial"/>
          <w:szCs w:val="20"/>
        </w:rPr>
        <w:t xml:space="preserve"> SST </w:t>
      </w:r>
      <w:r w:rsidRPr="006431C4">
        <w:rPr>
          <w:rFonts w:cs="Arial"/>
          <w:szCs w:val="20"/>
        </w:rPr>
        <w:t>D-M-00.00.00 „Wymagania ogólne” pkt 1.4.</w:t>
      </w:r>
    </w:p>
    <w:p w14:paraId="3BE93BCC"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1.5. Ogólne wymagania dotyczące robót</w:t>
      </w:r>
    </w:p>
    <w:p w14:paraId="7DA7D88C"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wymagania dotyczące robót podano w</w:t>
      </w:r>
      <w:r w:rsidR="00180A26" w:rsidRPr="006431C4">
        <w:rPr>
          <w:rFonts w:cs="Arial"/>
          <w:szCs w:val="20"/>
        </w:rPr>
        <w:t xml:space="preserve"> SST </w:t>
      </w:r>
      <w:r w:rsidRPr="006431C4">
        <w:rPr>
          <w:rFonts w:cs="Arial"/>
          <w:szCs w:val="20"/>
        </w:rPr>
        <w:t>D-M-00.00.00 „Wymagania ogólne” pkt 1.5.</w:t>
      </w:r>
    </w:p>
    <w:p w14:paraId="2B2B7217"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2. materiały</w:t>
      </w:r>
    </w:p>
    <w:p w14:paraId="3CC4A051"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Nie występują.</w:t>
      </w:r>
    </w:p>
    <w:p w14:paraId="5E471399"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3. sprzęt</w:t>
      </w:r>
    </w:p>
    <w:p w14:paraId="67C7BC0E"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3.1. Ogólne wymagania dotyczące sprzętu</w:t>
      </w:r>
    </w:p>
    <w:p w14:paraId="74865F5E"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wymagania dotyczące sprzętu podano w</w:t>
      </w:r>
      <w:r w:rsidR="00180A26" w:rsidRPr="006431C4">
        <w:rPr>
          <w:rFonts w:cs="Arial"/>
          <w:szCs w:val="20"/>
        </w:rPr>
        <w:t xml:space="preserve"> SST </w:t>
      </w:r>
      <w:r w:rsidRPr="006431C4">
        <w:rPr>
          <w:rFonts w:cs="Arial"/>
          <w:szCs w:val="20"/>
        </w:rPr>
        <w:t>D-M-00.00.00 „Wymagania ogólne” pkt 3.</w:t>
      </w:r>
    </w:p>
    <w:p w14:paraId="620583C5"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3.2. Sprzęt do frezowania</w:t>
      </w:r>
    </w:p>
    <w:p w14:paraId="089D08B1"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Należy stosować frezarki drogowe umożliwiające frezowanie nawierzchni asfaltowej na zimno na określoną głębokość.</w:t>
      </w:r>
    </w:p>
    <w:p w14:paraId="0B6325E7"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Frezarka powinna być sterowana elektronicznie i zapewniać zachowanie wymaganej równości oraz pochyleń poprzecznych i podłużnych powierzchni po frezowaniu. Do małych robót (naprawy części jezdni) Inżynier może dopuścić frezarki sterowane mechanicznie.</w:t>
      </w:r>
    </w:p>
    <w:p w14:paraId="75B1B9D9"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1200 m.</w:t>
      </w:r>
    </w:p>
    <w:p w14:paraId="3E33BD1B"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Przy dużych robotach frezarki muszą być wyposażone w przenośnik sfrezowanego materiału, podający go z jezdni na środki transportu.</w:t>
      </w:r>
    </w:p>
    <w:p w14:paraId="61EA97A3"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Przy frezowaniu warstw asfaltowych na głębokość ponad 50 mm, z przeznaczeniem odzyskanego materiału do recyklingu na gorąco w otaczarce,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14:paraId="7FC83874"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Przy pracach prowadzonych w terenie zabudowanym frezarki muszą, a poza nimi powinny, być zaopatrzone w systemy odpylania. Za zgodą Inżyniera można dopuścić frezarki bez tego systemu:</w:t>
      </w:r>
    </w:p>
    <w:p w14:paraId="3F2ABE17" w14:textId="77777777" w:rsidR="006B6869" w:rsidRPr="006431C4" w:rsidRDefault="006B6869" w:rsidP="00365FBC">
      <w:pPr>
        <w:pStyle w:val="Lista4"/>
        <w:numPr>
          <w:ilvl w:val="0"/>
          <w:numId w:val="21"/>
        </w:numPr>
        <w:shd w:val="clear" w:color="auto" w:fill="FFFFFF" w:themeFill="background1"/>
        <w:tabs>
          <w:tab w:val="left" w:pos="142"/>
        </w:tabs>
        <w:spacing w:line="240" w:lineRule="auto"/>
        <w:ind w:left="0" w:firstLine="0"/>
        <w:jc w:val="both"/>
        <w:rPr>
          <w:rFonts w:cs="Arial"/>
          <w:szCs w:val="20"/>
        </w:rPr>
      </w:pPr>
      <w:r w:rsidRPr="006431C4">
        <w:rPr>
          <w:rFonts w:cs="Arial"/>
          <w:szCs w:val="20"/>
        </w:rPr>
        <w:t>na drogach zamiejskich w obszarach niezabudowanych,</w:t>
      </w:r>
    </w:p>
    <w:p w14:paraId="65CB4D3F" w14:textId="77777777" w:rsidR="006B6869" w:rsidRPr="006431C4" w:rsidRDefault="006B6869" w:rsidP="00365FBC">
      <w:pPr>
        <w:pStyle w:val="Lista4"/>
        <w:numPr>
          <w:ilvl w:val="0"/>
          <w:numId w:val="21"/>
        </w:numPr>
        <w:shd w:val="clear" w:color="auto" w:fill="FFFFFF" w:themeFill="background1"/>
        <w:tabs>
          <w:tab w:val="left" w:pos="142"/>
        </w:tabs>
        <w:spacing w:line="240" w:lineRule="auto"/>
        <w:ind w:left="0" w:firstLine="0"/>
        <w:jc w:val="both"/>
        <w:rPr>
          <w:rFonts w:cs="Arial"/>
          <w:szCs w:val="20"/>
        </w:rPr>
      </w:pPr>
      <w:r w:rsidRPr="006431C4">
        <w:rPr>
          <w:rFonts w:cs="Arial"/>
          <w:szCs w:val="20"/>
        </w:rPr>
        <w:t>na drogach miejskich, przy małym zakresie robót.</w:t>
      </w:r>
    </w:p>
    <w:p w14:paraId="435F625F"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Wykonawca może używać tylko frezarki zaakceptowane przez Inżyniera. Wykonawca powinien przedstawić dane techniczne frezarek, a w przypadkach jakichkolwiek wątpliwości przeprowadzić demonstrację pracy frezarki, na własny koszt.</w:t>
      </w:r>
    </w:p>
    <w:p w14:paraId="3D4DB359"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4. transport</w:t>
      </w:r>
    </w:p>
    <w:p w14:paraId="68E63931"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4.1. Ogólne wymagania dotyczące transportu</w:t>
      </w:r>
    </w:p>
    <w:p w14:paraId="632D012A"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wymagania dotyczące transportu podano w</w:t>
      </w:r>
      <w:r w:rsidR="00180A26" w:rsidRPr="006431C4">
        <w:rPr>
          <w:rFonts w:cs="Arial"/>
          <w:szCs w:val="20"/>
        </w:rPr>
        <w:t xml:space="preserve"> SST </w:t>
      </w:r>
      <w:r w:rsidRPr="006431C4">
        <w:rPr>
          <w:rFonts w:cs="Arial"/>
          <w:szCs w:val="20"/>
        </w:rPr>
        <w:t>D-M-00.00.00 „Wymagania ogólne” pkt 4.</w:t>
      </w:r>
    </w:p>
    <w:p w14:paraId="50928578"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4.2. Transport sfrezowanego materiału</w:t>
      </w:r>
    </w:p>
    <w:p w14:paraId="201724F0"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Transport sfrezowanego materiału powinien być tak zorganizowany, aby zapewnić pracę frezarki bez postojów. Materiał może być wywożony dowolnymi środkami transportowymi.</w:t>
      </w:r>
    </w:p>
    <w:p w14:paraId="32F0C495"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5. wykonanie robót</w:t>
      </w:r>
    </w:p>
    <w:p w14:paraId="59B26736"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5.1. Ogólne zasady wykonania robót</w:t>
      </w:r>
    </w:p>
    <w:p w14:paraId="2C2E6FB7"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zasady wykonania robót podano w</w:t>
      </w:r>
      <w:r w:rsidR="00180A26" w:rsidRPr="006431C4">
        <w:rPr>
          <w:rFonts w:cs="Arial"/>
          <w:szCs w:val="20"/>
        </w:rPr>
        <w:t xml:space="preserve"> SST </w:t>
      </w:r>
      <w:r w:rsidRPr="006431C4">
        <w:rPr>
          <w:rFonts w:cs="Arial"/>
          <w:szCs w:val="20"/>
        </w:rPr>
        <w:t>D-M-00.00.00 „Wymagania ogólne” pkt 5.</w:t>
      </w:r>
    </w:p>
    <w:p w14:paraId="0C8084F1"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5.2. Wykonanie frezowania</w:t>
      </w:r>
    </w:p>
    <w:p w14:paraId="3978D3A3"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Nawierzchnia powinna być frezowana do głębokości, szerokości i pochyleń zgodnych</w:t>
      </w:r>
      <w:r w:rsidR="009B30C6" w:rsidRPr="006431C4">
        <w:rPr>
          <w:rFonts w:cs="Arial"/>
          <w:szCs w:val="20"/>
        </w:rPr>
        <w:t xml:space="preserve"> z dokumentacją projektową</w:t>
      </w:r>
      <w:r w:rsidRPr="006431C4">
        <w:rPr>
          <w:rFonts w:cs="Arial"/>
          <w:szCs w:val="20"/>
        </w:rPr>
        <w:t>.</w:t>
      </w:r>
    </w:p>
    <w:p w14:paraId="6B5BF5FE"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lastRenderedPageBreak/>
        <w:t>Jeżeli frezowana nawierzchnia ma być oddana do ruchu bez ułożenia nowej warstwy ścieralnej, to jej tekstura powinna być jednorodna, złożona z nieciągłych prążków podłużnych lub innych form geometrycznych, gwarantujących równość, szorstkość i estetyczny wygląd.</w:t>
      </w:r>
    </w:p>
    <w:p w14:paraId="41F9130D"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Jeżeli ruch drogowy ma być dopuszczony po sfrezowanej części jezdni, to wówczas, ze względów bezpieczeństwa należy spełnić następujące warunki:</w:t>
      </w:r>
    </w:p>
    <w:p w14:paraId="0B5CA448" w14:textId="77777777" w:rsidR="006B6869" w:rsidRPr="006431C4" w:rsidRDefault="006B6869" w:rsidP="00365FBC">
      <w:pPr>
        <w:pStyle w:val="Lista4"/>
        <w:numPr>
          <w:ilvl w:val="0"/>
          <w:numId w:val="22"/>
        </w:numPr>
        <w:shd w:val="clear" w:color="auto" w:fill="FFFFFF" w:themeFill="background1"/>
        <w:tabs>
          <w:tab w:val="left" w:pos="142"/>
        </w:tabs>
        <w:spacing w:line="240" w:lineRule="auto"/>
        <w:ind w:left="0" w:firstLine="0"/>
        <w:jc w:val="both"/>
        <w:rPr>
          <w:rFonts w:cs="Arial"/>
          <w:szCs w:val="20"/>
        </w:rPr>
      </w:pPr>
      <w:r w:rsidRPr="006431C4">
        <w:rPr>
          <w:rFonts w:cs="Arial"/>
          <w:szCs w:val="20"/>
        </w:rPr>
        <w:t>należy usunąć ścięty materiał i oczyścić nawierzchnię,</w:t>
      </w:r>
    </w:p>
    <w:p w14:paraId="7C17075D" w14:textId="77777777" w:rsidR="006B6869" w:rsidRPr="006431C4" w:rsidRDefault="006B6869" w:rsidP="00365FBC">
      <w:pPr>
        <w:pStyle w:val="Lista4"/>
        <w:numPr>
          <w:ilvl w:val="0"/>
          <w:numId w:val="22"/>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przy frezowaniu poszczególnych pasów ruchu, wysokość podłużnych pionowych krawędzi nie może przekraczać 40 mm,</w:t>
      </w:r>
    </w:p>
    <w:p w14:paraId="1A82773E" w14:textId="77777777" w:rsidR="006B6869" w:rsidRPr="006431C4" w:rsidRDefault="006B6869" w:rsidP="00365FBC">
      <w:pPr>
        <w:pStyle w:val="Lista4"/>
        <w:numPr>
          <w:ilvl w:val="0"/>
          <w:numId w:val="22"/>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przy lokalnych naprawach polegających na sfrezowaniu nawierzchni przy linii krawężnika (ścieku) dopuszcza się większy uskok niż określono w pkt b), ale przy głębokości większej od 75 mm wymaga on specjalnego oznakowania,</w:t>
      </w:r>
    </w:p>
    <w:p w14:paraId="1A255420" w14:textId="77777777" w:rsidR="006B6869" w:rsidRPr="006431C4" w:rsidRDefault="006B6869" w:rsidP="00365FBC">
      <w:pPr>
        <w:pStyle w:val="Lista4"/>
        <w:numPr>
          <w:ilvl w:val="0"/>
          <w:numId w:val="22"/>
        </w:numPr>
        <w:shd w:val="clear" w:color="auto" w:fill="FFFFFF" w:themeFill="background1"/>
        <w:tabs>
          <w:tab w:val="left" w:pos="142"/>
        </w:tabs>
        <w:spacing w:line="240" w:lineRule="auto"/>
        <w:ind w:left="0" w:firstLine="0"/>
        <w:jc w:val="both"/>
        <w:rPr>
          <w:rFonts w:cs="Arial"/>
          <w:szCs w:val="20"/>
        </w:rPr>
      </w:pPr>
      <w:r w:rsidRPr="006431C4">
        <w:rPr>
          <w:rFonts w:cs="Arial"/>
          <w:szCs w:val="20"/>
        </w:rPr>
        <w:t>krawędzie poprzeczne na zakończenie dnia roboczego powinny być klinowo ścięte.</w:t>
      </w:r>
    </w:p>
    <w:p w14:paraId="251917DC"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5.3. Uszorstnienie warstwy ścieralnej</w:t>
      </w:r>
    </w:p>
    <w:p w14:paraId="4EB50A4B"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Technologia ta ma zastosowanie w przypadku nawierzchni nowych, które charakteryzują się małą szorstkością spowodowaną polerowaniem przez koła pojazdów, albo nadmiarem asfaltu.</w:t>
      </w:r>
    </w:p>
    <w:p w14:paraId="1258C201"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Frezarka powinna ściąć około 12 mm warstwy ścieralnej tworząc szorstką makroteksturę powierzchni. Zęby skrawające na obwodzie bębna frezującego powinny być tak dobrane, aby zapewnić regularną rzeźbę powierzchni po frezowaniu.</w:t>
      </w:r>
    </w:p>
    <w:p w14:paraId="72176346"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5.4. Profilowanie warstwy ścieralnej</w:t>
      </w:r>
    </w:p>
    <w:p w14:paraId="06485624"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Technologia ta ma zastosowanie do frezowania nierówności podłużnych i małych kolein lub innych deformacji. Jeżeli frezowanie obejmie całą powierzchnię jezdni i nie będzie wbudowana nowa warstwa ścieralna, to frezarka musi być sterowana elektronicznie względem ustalonego poziomu odniesienia, a szerokość bębna frezującego nie może być mniejsza od 1800 mm.</w:t>
      </w:r>
    </w:p>
    <w:p w14:paraId="201D5129"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Jeżeli frezowanie obejmie lokalne deformacje tylko na części jezdni to frezarka może być sterowana mechanicznie, a wymiar bębna skrawającego powinien być zależny od wielkości robót i zaakceptowany przez Inżyniera.</w:t>
      </w:r>
    </w:p>
    <w:p w14:paraId="1FBF6092"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5.5. Frezowanie warstwy ścieralnej przed ułożeniem nowej warstwy lub warstw</w:t>
      </w:r>
    </w:p>
    <w:p w14:paraId="0BE8903E"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b/>
          <w:szCs w:val="20"/>
        </w:rPr>
      </w:pPr>
      <w:r w:rsidRPr="006431C4">
        <w:rPr>
          <w:rFonts w:cs="Arial"/>
          <w:b/>
          <w:szCs w:val="20"/>
        </w:rPr>
        <w:t>asfaltowych</w:t>
      </w:r>
    </w:p>
    <w:p w14:paraId="73F24DC6"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Do frezowania należy użyć frezarek sterowanych elektronicznie, względem ustalonego poziomu odniesienia, zachowując spadki poprzeczne i niweletę drogi. Nawierzchnia powinna być sfrezowana na głębokość projektowaną z dokładnością </w:t>
      </w:r>
      <w:r w:rsidRPr="006431C4">
        <w:rPr>
          <w:rFonts w:cs="Arial"/>
          <w:szCs w:val="20"/>
        </w:rPr>
        <w:sym w:font="Symbol" w:char="F0B1"/>
      </w:r>
      <w:r w:rsidRPr="006431C4">
        <w:rPr>
          <w:rFonts w:cs="Arial"/>
          <w:szCs w:val="20"/>
        </w:rPr>
        <w:t xml:space="preserve"> 5 mm.</w:t>
      </w:r>
    </w:p>
    <w:p w14:paraId="319E8810"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5.6. Frezowanie przy kapitalnych naprawach nawierzchni</w:t>
      </w:r>
    </w:p>
    <w:p w14:paraId="29D68D47"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Przy kapitalnych naprawach nawierzchni frezowanie obejmuje kilka lub wszystkie warstwy nawierzchni na głębokość określoną w dokumentacji projektowej.</w:t>
      </w:r>
    </w:p>
    <w:p w14:paraId="26F6B0DD"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6. kontrola jakości robót</w:t>
      </w:r>
    </w:p>
    <w:p w14:paraId="60EBE07B"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6.1. Ogólne zasady kontroli jakości robót</w:t>
      </w:r>
    </w:p>
    <w:p w14:paraId="540FB27D"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zasady kontroli jakości robót podano w</w:t>
      </w:r>
      <w:r w:rsidR="00180A26" w:rsidRPr="006431C4">
        <w:rPr>
          <w:rFonts w:cs="Arial"/>
          <w:szCs w:val="20"/>
        </w:rPr>
        <w:t xml:space="preserve"> SST </w:t>
      </w:r>
      <w:r w:rsidRPr="006431C4">
        <w:rPr>
          <w:rFonts w:cs="Arial"/>
          <w:szCs w:val="20"/>
        </w:rPr>
        <w:t>D-M-00.00.00 „Wymagania ogólne” pkt 6.</w:t>
      </w:r>
    </w:p>
    <w:p w14:paraId="793F3D26"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6.2. Częstotliwość oraz zakres pomiarów kontrolnych</w:t>
      </w:r>
    </w:p>
    <w:p w14:paraId="0A19CF8C" w14:textId="77777777" w:rsidR="006B6869" w:rsidRPr="006431C4" w:rsidRDefault="006B6869" w:rsidP="00365FBC">
      <w:pPr>
        <w:pStyle w:val="Lista4"/>
        <w:numPr>
          <w:ilvl w:val="0"/>
          <w:numId w:val="23"/>
        </w:numPr>
        <w:shd w:val="clear" w:color="auto" w:fill="FFFFFF" w:themeFill="background1"/>
        <w:tabs>
          <w:tab w:val="left" w:pos="142"/>
        </w:tabs>
        <w:spacing w:line="240" w:lineRule="auto"/>
        <w:ind w:left="0" w:firstLine="0"/>
        <w:jc w:val="both"/>
        <w:rPr>
          <w:rFonts w:cs="Arial"/>
          <w:b/>
          <w:szCs w:val="20"/>
        </w:rPr>
      </w:pPr>
      <w:r w:rsidRPr="006431C4">
        <w:rPr>
          <w:rFonts w:cs="Arial"/>
          <w:szCs w:val="20"/>
        </w:rPr>
        <w:t>Minimalna częstotliwość pomiarów</w:t>
      </w:r>
    </w:p>
    <w:p w14:paraId="1B3BE156"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Częstotliwość oraz zakres pomiarów dla nawierzchni frezowanej na zimno podano w tablicy 1.</w:t>
      </w:r>
    </w:p>
    <w:p w14:paraId="634071EA" w14:textId="77777777" w:rsidR="006B6869" w:rsidRPr="006431C4" w:rsidRDefault="006B6869" w:rsidP="00D232E1">
      <w:pPr>
        <w:pStyle w:val="Nagwek3"/>
        <w:shd w:val="clear" w:color="auto" w:fill="FFFFFF" w:themeFill="background1"/>
        <w:tabs>
          <w:tab w:val="left" w:pos="142"/>
        </w:tabs>
        <w:spacing w:line="240" w:lineRule="auto"/>
        <w:jc w:val="both"/>
        <w:rPr>
          <w:szCs w:val="20"/>
        </w:rPr>
      </w:pPr>
      <w:r w:rsidRPr="006431C4">
        <w:rPr>
          <w:szCs w:val="20"/>
        </w:rPr>
        <w:t>Tablica 1. Częstotliwość oraz zakres pomiarów kontrolnych nawierzchni frezowanej</w:t>
      </w:r>
    </w:p>
    <w:p w14:paraId="3A5EF766"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na zimno</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729"/>
        <w:gridCol w:w="5163"/>
        <w:gridCol w:w="5163"/>
      </w:tblGrid>
      <w:tr w:rsidR="006B6869" w:rsidRPr="006431C4" w14:paraId="156FE9A6" w14:textId="77777777" w:rsidTr="00491AE3">
        <w:tc>
          <w:tcPr>
            <w:tcW w:w="330" w:type="pct"/>
            <w:tcBorders>
              <w:bottom w:val="double" w:sz="6" w:space="0" w:color="auto"/>
            </w:tcBorders>
          </w:tcPr>
          <w:p w14:paraId="6845D247"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Lp.</w:t>
            </w:r>
          </w:p>
        </w:tc>
        <w:tc>
          <w:tcPr>
            <w:tcW w:w="2335" w:type="pct"/>
            <w:tcBorders>
              <w:bottom w:val="double" w:sz="6" w:space="0" w:color="auto"/>
            </w:tcBorders>
          </w:tcPr>
          <w:p w14:paraId="59A0DFE8"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Właściwość nawierzchni</w:t>
            </w:r>
          </w:p>
        </w:tc>
        <w:tc>
          <w:tcPr>
            <w:tcW w:w="2335" w:type="pct"/>
            <w:tcBorders>
              <w:bottom w:val="double" w:sz="6" w:space="0" w:color="auto"/>
            </w:tcBorders>
          </w:tcPr>
          <w:p w14:paraId="0BBAB9A0"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Minimalna częstotliwość pomiarów</w:t>
            </w:r>
          </w:p>
        </w:tc>
      </w:tr>
      <w:tr w:rsidR="006B6869" w:rsidRPr="006431C4" w14:paraId="24276493" w14:textId="77777777" w:rsidTr="00491AE3">
        <w:tc>
          <w:tcPr>
            <w:tcW w:w="330" w:type="pct"/>
            <w:tcBorders>
              <w:top w:val="nil"/>
            </w:tcBorders>
          </w:tcPr>
          <w:p w14:paraId="01633377"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1</w:t>
            </w:r>
          </w:p>
        </w:tc>
        <w:tc>
          <w:tcPr>
            <w:tcW w:w="2335" w:type="pct"/>
            <w:tcBorders>
              <w:top w:val="nil"/>
            </w:tcBorders>
          </w:tcPr>
          <w:p w14:paraId="55BA0B82"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Równość podłużna</w:t>
            </w:r>
          </w:p>
        </w:tc>
        <w:tc>
          <w:tcPr>
            <w:tcW w:w="2335" w:type="pct"/>
            <w:tcBorders>
              <w:top w:val="nil"/>
            </w:tcBorders>
          </w:tcPr>
          <w:p w14:paraId="5D586BAB"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łatą 4-metrową co 20 metrów</w:t>
            </w:r>
          </w:p>
        </w:tc>
      </w:tr>
      <w:tr w:rsidR="006B6869" w:rsidRPr="006431C4" w14:paraId="26614FBB" w14:textId="77777777" w:rsidTr="00491AE3">
        <w:tc>
          <w:tcPr>
            <w:tcW w:w="330" w:type="pct"/>
          </w:tcPr>
          <w:p w14:paraId="164A32FF"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2335" w:type="pct"/>
          </w:tcPr>
          <w:p w14:paraId="37932113"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Równość poprzeczna</w:t>
            </w:r>
          </w:p>
        </w:tc>
        <w:tc>
          <w:tcPr>
            <w:tcW w:w="2335" w:type="pct"/>
          </w:tcPr>
          <w:p w14:paraId="2268B7D6"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łatą 4-metrową co 20 metrów</w:t>
            </w:r>
          </w:p>
        </w:tc>
      </w:tr>
      <w:tr w:rsidR="006B6869" w:rsidRPr="006431C4" w14:paraId="559E69DF" w14:textId="77777777" w:rsidTr="00491AE3">
        <w:tc>
          <w:tcPr>
            <w:tcW w:w="330" w:type="pct"/>
          </w:tcPr>
          <w:p w14:paraId="7E3C7B3E"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3</w:t>
            </w:r>
          </w:p>
        </w:tc>
        <w:tc>
          <w:tcPr>
            <w:tcW w:w="2335" w:type="pct"/>
          </w:tcPr>
          <w:p w14:paraId="7150F035"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Spadki poprzeczne</w:t>
            </w:r>
          </w:p>
        </w:tc>
        <w:tc>
          <w:tcPr>
            <w:tcW w:w="2335" w:type="pct"/>
          </w:tcPr>
          <w:p w14:paraId="491C16AB"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co 50 m</w:t>
            </w:r>
          </w:p>
        </w:tc>
      </w:tr>
      <w:tr w:rsidR="006B6869" w:rsidRPr="006431C4" w14:paraId="749A0F29" w14:textId="77777777" w:rsidTr="00491AE3">
        <w:tc>
          <w:tcPr>
            <w:tcW w:w="330" w:type="pct"/>
          </w:tcPr>
          <w:p w14:paraId="3950825A"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4</w:t>
            </w:r>
          </w:p>
        </w:tc>
        <w:tc>
          <w:tcPr>
            <w:tcW w:w="2335" w:type="pct"/>
          </w:tcPr>
          <w:p w14:paraId="60A59793"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Szerokość frezowania</w:t>
            </w:r>
          </w:p>
        </w:tc>
        <w:tc>
          <w:tcPr>
            <w:tcW w:w="2335" w:type="pct"/>
          </w:tcPr>
          <w:p w14:paraId="4BB4DD49"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co 50 m</w:t>
            </w:r>
          </w:p>
        </w:tc>
      </w:tr>
      <w:tr w:rsidR="006B6869" w:rsidRPr="006431C4" w14:paraId="72C5D7EC" w14:textId="77777777" w:rsidTr="00491AE3">
        <w:tc>
          <w:tcPr>
            <w:tcW w:w="330" w:type="pct"/>
          </w:tcPr>
          <w:p w14:paraId="55448956"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5</w:t>
            </w:r>
          </w:p>
        </w:tc>
        <w:tc>
          <w:tcPr>
            <w:tcW w:w="2335" w:type="pct"/>
          </w:tcPr>
          <w:p w14:paraId="41558262"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Głębokość frezowania</w:t>
            </w:r>
          </w:p>
        </w:tc>
        <w:tc>
          <w:tcPr>
            <w:tcW w:w="2335" w:type="pct"/>
          </w:tcPr>
          <w:p w14:paraId="0877B0CA" w14:textId="77777777" w:rsidR="006B6869"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na bieżąco</w:t>
            </w:r>
          </w:p>
        </w:tc>
      </w:tr>
    </w:tbl>
    <w:p w14:paraId="2AF96ED3" w14:textId="77777777" w:rsidR="006B6869" w:rsidRPr="006431C4" w:rsidRDefault="006B6869" w:rsidP="00D232E1">
      <w:pPr>
        <w:pStyle w:val="Legenda"/>
        <w:shd w:val="clear" w:color="auto" w:fill="FFFFFF" w:themeFill="background1"/>
        <w:tabs>
          <w:tab w:val="left" w:pos="142"/>
        </w:tabs>
        <w:jc w:val="both"/>
        <w:rPr>
          <w:rFonts w:ascii="Arial" w:hAnsi="Arial" w:cs="Arial"/>
          <w:sz w:val="20"/>
        </w:rPr>
      </w:pPr>
      <w:r w:rsidRPr="006431C4">
        <w:rPr>
          <w:rFonts w:ascii="Arial" w:hAnsi="Arial" w:cs="Arial"/>
          <w:b/>
          <w:sz w:val="20"/>
        </w:rPr>
        <w:t xml:space="preserve">6.2.2. </w:t>
      </w:r>
      <w:r w:rsidRPr="006431C4">
        <w:rPr>
          <w:rFonts w:ascii="Arial" w:hAnsi="Arial" w:cs="Arial"/>
          <w:sz w:val="20"/>
        </w:rPr>
        <w:t>Równość nawierzchni</w:t>
      </w:r>
    </w:p>
    <w:p w14:paraId="3E1D5252"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Nierówności powierzchni po frezowaniu mierzone łatą 4-metrową zgodnie z BN-68/8931-04 [1] nie powinny przekraczać 6 mm.</w:t>
      </w:r>
    </w:p>
    <w:p w14:paraId="05EBDA13" w14:textId="77777777" w:rsidR="006B6869" w:rsidRPr="006431C4" w:rsidRDefault="006B6869" w:rsidP="00D232E1">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6.2.3.</w:t>
      </w:r>
      <w:r w:rsidR="003D79DE" w:rsidRPr="006431C4">
        <w:rPr>
          <w:rFonts w:cs="Arial"/>
          <w:b/>
          <w:szCs w:val="20"/>
        </w:rPr>
        <w:tab/>
      </w:r>
      <w:r w:rsidRPr="006431C4">
        <w:rPr>
          <w:rFonts w:cs="Arial"/>
          <w:szCs w:val="20"/>
        </w:rPr>
        <w:t>Spadki poprzeczne</w:t>
      </w:r>
    </w:p>
    <w:p w14:paraId="4419CCEA"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Spadki poprzeczne nawierzchni po frezowaniu powinny być zgodne z dokumentacją projektową, z tolerancją </w:t>
      </w:r>
      <w:r w:rsidRPr="006431C4">
        <w:rPr>
          <w:rFonts w:cs="Arial"/>
          <w:szCs w:val="20"/>
        </w:rPr>
        <w:sym w:font="Symbol" w:char="F0B1"/>
      </w:r>
      <w:r w:rsidRPr="006431C4">
        <w:rPr>
          <w:rFonts w:cs="Arial"/>
          <w:szCs w:val="20"/>
        </w:rPr>
        <w:t xml:space="preserve"> 0,5%.</w:t>
      </w:r>
    </w:p>
    <w:p w14:paraId="2CD707D3" w14:textId="77777777" w:rsidR="006B6869" w:rsidRPr="006431C4" w:rsidRDefault="006B6869" w:rsidP="00D232E1">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6.2.4.</w:t>
      </w:r>
      <w:r w:rsidR="003D79DE" w:rsidRPr="006431C4">
        <w:rPr>
          <w:rFonts w:cs="Arial"/>
          <w:b/>
          <w:szCs w:val="20"/>
        </w:rPr>
        <w:tab/>
      </w:r>
      <w:r w:rsidRPr="006431C4">
        <w:rPr>
          <w:rFonts w:cs="Arial"/>
          <w:szCs w:val="20"/>
        </w:rPr>
        <w:t>Szerokość frezowania</w:t>
      </w:r>
    </w:p>
    <w:p w14:paraId="5053E2D2"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Szerokość frezowania powinna odpowiadać szerokości określonej w dokumentacji projektowej z dokładnością </w:t>
      </w:r>
      <w:r w:rsidRPr="006431C4">
        <w:rPr>
          <w:rFonts w:cs="Arial"/>
          <w:szCs w:val="20"/>
        </w:rPr>
        <w:sym w:font="Symbol" w:char="F0B1"/>
      </w:r>
      <w:r w:rsidRPr="006431C4">
        <w:rPr>
          <w:rFonts w:cs="Arial"/>
          <w:szCs w:val="20"/>
        </w:rPr>
        <w:t xml:space="preserve"> 5 cm.</w:t>
      </w:r>
    </w:p>
    <w:p w14:paraId="3D3182D5" w14:textId="77777777" w:rsidR="006B6869" w:rsidRPr="006431C4" w:rsidRDefault="006B6869" w:rsidP="00D232E1">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6.2.5.</w:t>
      </w:r>
      <w:r w:rsidR="003D79DE" w:rsidRPr="006431C4">
        <w:rPr>
          <w:rFonts w:cs="Arial"/>
          <w:b/>
          <w:szCs w:val="20"/>
        </w:rPr>
        <w:tab/>
      </w:r>
      <w:r w:rsidRPr="006431C4">
        <w:rPr>
          <w:rFonts w:cs="Arial"/>
          <w:szCs w:val="20"/>
        </w:rPr>
        <w:t>Głębokość frezowania</w:t>
      </w:r>
    </w:p>
    <w:p w14:paraId="2F74F87A"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Głębokość frezowania powinna odpowiadać głębokości określonej w dokumentacji projektowej z dokładnością </w:t>
      </w:r>
      <w:r w:rsidRPr="006431C4">
        <w:rPr>
          <w:rFonts w:cs="Arial"/>
          <w:szCs w:val="20"/>
        </w:rPr>
        <w:sym w:font="Symbol" w:char="F0B1"/>
      </w:r>
      <w:r w:rsidRPr="006431C4">
        <w:rPr>
          <w:rFonts w:cs="Arial"/>
          <w:szCs w:val="20"/>
        </w:rPr>
        <w:t xml:space="preserve"> 5 mm.</w:t>
      </w:r>
    </w:p>
    <w:p w14:paraId="356D24A8"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Powyższe ustalenia dotyczące dokładności frezowania nie dotyczą wyburzenia kilku lub wszystkich warstw nawierzchni przy naprawach kapitalnych. </w:t>
      </w:r>
    </w:p>
    <w:p w14:paraId="37240DAF"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7. obmiar robót</w:t>
      </w:r>
    </w:p>
    <w:p w14:paraId="7D2DC571"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7.1. Ogólne zasady obmiaru robót</w:t>
      </w:r>
    </w:p>
    <w:p w14:paraId="5FFC7C35"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zasady obmiaru robót podano w</w:t>
      </w:r>
      <w:r w:rsidR="00180A26" w:rsidRPr="006431C4">
        <w:rPr>
          <w:rFonts w:cs="Arial"/>
          <w:szCs w:val="20"/>
        </w:rPr>
        <w:t xml:space="preserve"> SST </w:t>
      </w:r>
      <w:r w:rsidRPr="006431C4">
        <w:rPr>
          <w:rFonts w:cs="Arial"/>
          <w:szCs w:val="20"/>
        </w:rPr>
        <w:t>D-M-00.00.00 „Wymagania ogólne” pkt 7.</w:t>
      </w:r>
    </w:p>
    <w:p w14:paraId="7435D657"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7.2. Jednostka obmiarowa</w:t>
      </w:r>
    </w:p>
    <w:p w14:paraId="506CC6AF"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Jednostką obmiarową jest m</w:t>
      </w:r>
      <w:r w:rsidRPr="006431C4">
        <w:rPr>
          <w:rFonts w:cs="Arial"/>
          <w:szCs w:val="20"/>
          <w:vertAlign w:val="superscript"/>
        </w:rPr>
        <w:t>2</w:t>
      </w:r>
      <w:r w:rsidRPr="006431C4">
        <w:rPr>
          <w:rFonts w:cs="Arial"/>
          <w:szCs w:val="20"/>
        </w:rPr>
        <w:t xml:space="preserve"> (metr kwadratowy).</w:t>
      </w:r>
    </w:p>
    <w:p w14:paraId="780F03CF"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8. odbiór robót</w:t>
      </w:r>
    </w:p>
    <w:p w14:paraId="73120D0A"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zasady odbioru robót podano w</w:t>
      </w:r>
      <w:r w:rsidR="00180A26" w:rsidRPr="006431C4">
        <w:rPr>
          <w:rFonts w:cs="Arial"/>
          <w:szCs w:val="20"/>
        </w:rPr>
        <w:t xml:space="preserve"> SST </w:t>
      </w:r>
      <w:r w:rsidRPr="006431C4">
        <w:rPr>
          <w:rFonts w:cs="Arial"/>
          <w:szCs w:val="20"/>
        </w:rPr>
        <w:t>D-M-00.00.00 „Wymagania ogólne” pkt 8.</w:t>
      </w:r>
    </w:p>
    <w:p w14:paraId="168B27C1" w14:textId="77777777" w:rsidR="006B6869" w:rsidRPr="006431C4" w:rsidRDefault="006B6869" w:rsidP="00D232E1">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lastRenderedPageBreak/>
        <w:t>Roboty uznaje się za wykonane zgodnie z dokumentacją projektową i wymaganiami Inżyniera, jeżeli wszystkie pomiary i badania z zachowaniem tolerancji wg pkt 6 dały wyniki pozytywne.</w:t>
      </w:r>
    </w:p>
    <w:p w14:paraId="7380D8F9"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9. podstawa płatności</w:t>
      </w:r>
    </w:p>
    <w:p w14:paraId="3110BBB3"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9.1. Ogólne ustalenia dotyczące podstawy płatności</w:t>
      </w:r>
    </w:p>
    <w:p w14:paraId="69FD8396" w14:textId="77777777" w:rsidR="006B6869" w:rsidRPr="006431C4" w:rsidRDefault="006B6869" w:rsidP="00D232E1">
      <w:pPr>
        <w:pStyle w:val="Nagwek2"/>
        <w:shd w:val="clear" w:color="auto" w:fill="FFFFFF" w:themeFill="background1"/>
        <w:tabs>
          <w:tab w:val="left" w:pos="142"/>
        </w:tabs>
        <w:spacing w:line="240" w:lineRule="auto"/>
        <w:jc w:val="both"/>
        <w:rPr>
          <w:rFonts w:cs="Arial"/>
          <w:b w:val="0"/>
          <w:szCs w:val="20"/>
        </w:rPr>
      </w:pPr>
      <w:r w:rsidRPr="006431C4">
        <w:rPr>
          <w:rFonts w:cs="Arial"/>
          <w:b w:val="0"/>
          <w:szCs w:val="20"/>
        </w:rPr>
        <w:t>Ogólne ustalenia dotyczące podstawy płatności podano w</w:t>
      </w:r>
      <w:r w:rsidR="00180A26" w:rsidRPr="006431C4">
        <w:rPr>
          <w:rFonts w:cs="Arial"/>
          <w:b w:val="0"/>
          <w:szCs w:val="20"/>
        </w:rPr>
        <w:t xml:space="preserve"> SST </w:t>
      </w:r>
      <w:r w:rsidRPr="006431C4">
        <w:rPr>
          <w:rFonts w:cs="Arial"/>
          <w:b w:val="0"/>
          <w:szCs w:val="20"/>
        </w:rPr>
        <w:t>D-M-00.00.00 „Wymagania ogólne” pkt 9.</w:t>
      </w:r>
      <w:r w:rsidRPr="006431C4">
        <w:rPr>
          <w:rFonts w:cs="Arial"/>
          <w:b w:val="0"/>
          <w:szCs w:val="20"/>
        </w:rPr>
        <w:tab/>
      </w:r>
    </w:p>
    <w:p w14:paraId="3DAE0F39" w14:textId="77777777" w:rsidR="006B6869" w:rsidRPr="006431C4" w:rsidRDefault="006B686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9.2. Cena jednostki obmiarowej</w:t>
      </w:r>
    </w:p>
    <w:p w14:paraId="598ACF9A" w14:textId="77777777" w:rsidR="006B6869" w:rsidRPr="006431C4" w:rsidRDefault="006B6869" w:rsidP="00D232E1">
      <w:pPr>
        <w:pStyle w:val="Lista-kontynuacja3"/>
        <w:shd w:val="clear" w:color="auto" w:fill="FFFFFF" w:themeFill="background1"/>
        <w:tabs>
          <w:tab w:val="left" w:pos="142"/>
        </w:tabs>
        <w:spacing w:after="0" w:line="240" w:lineRule="auto"/>
        <w:ind w:left="0"/>
        <w:jc w:val="both"/>
        <w:rPr>
          <w:rFonts w:cs="Arial"/>
          <w:szCs w:val="20"/>
        </w:rPr>
      </w:pPr>
      <w:r w:rsidRPr="006431C4">
        <w:rPr>
          <w:rFonts w:cs="Arial"/>
          <w:szCs w:val="20"/>
        </w:rPr>
        <w:t>Cena wykonania 1 m</w:t>
      </w:r>
      <w:r w:rsidRPr="006431C4">
        <w:rPr>
          <w:rFonts w:cs="Arial"/>
          <w:szCs w:val="20"/>
          <w:vertAlign w:val="superscript"/>
        </w:rPr>
        <w:t xml:space="preserve">2 </w:t>
      </w:r>
      <w:r w:rsidRPr="006431C4">
        <w:rPr>
          <w:rFonts w:cs="Arial"/>
          <w:szCs w:val="20"/>
        </w:rPr>
        <w:t xml:space="preserve"> frezowania na zimno nawierzchni asfaltowej obejmuje:</w:t>
      </w:r>
    </w:p>
    <w:p w14:paraId="3D4B353E" w14:textId="77777777" w:rsidR="006B6869" w:rsidRPr="006431C4" w:rsidRDefault="006B6869" w:rsidP="00D232E1">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prace pomiarowe,</w:t>
      </w:r>
    </w:p>
    <w:p w14:paraId="09464D64" w14:textId="77777777" w:rsidR="006B6869" w:rsidRPr="006431C4" w:rsidRDefault="006B6869" w:rsidP="00D232E1">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oznakowanie robót,</w:t>
      </w:r>
    </w:p>
    <w:p w14:paraId="69139BD7" w14:textId="77777777" w:rsidR="006B6869" w:rsidRPr="006431C4" w:rsidRDefault="006B6869" w:rsidP="00D232E1">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frezowanie,</w:t>
      </w:r>
    </w:p>
    <w:p w14:paraId="304E6EE2" w14:textId="77777777" w:rsidR="006B6869" w:rsidRPr="006431C4" w:rsidRDefault="006B6869" w:rsidP="00D232E1">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transport sfrezowanego materiału,</w:t>
      </w:r>
    </w:p>
    <w:p w14:paraId="4EA8448B" w14:textId="506CD9B9" w:rsidR="006B6869" w:rsidRPr="008C1F84" w:rsidRDefault="006B6869" w:rsidP="00D232E1">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przeprowadzenie pomiarów wymaganych w specyfikacji technicznej.</w:t>
      </w:r>
    </w:p>
    <w:p w14:paraId="285A760B" w14:textId="77777777" w:rsidR="006B6869" w:rsidRPr="006431C4" w:rsidRDefault="006B6869"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10. przepisy związane</w:t>
      </w:r>
    </w:p>
    <w:p w14:paraId="316F4CE7" w14:textId="77777777" w:rsidR="006B6869" w:rsidRPr="006431C4" w:rsidRDefault="006B6869" w:rsidP="00D232E1">
      <w:pPr>
        <w:pStyle w:val="Nagwek3"/>
        <w:shd w:val="clear" w:color="auto" w:fill="FFFFFF" w:themeFill="background1"/>
        <w:tabs>
          <w:tab w:val="left" w:pos="142"/>
        </w:tabs>
        <w:spacing w:line="240" w:lineRule="auto"/>
        <w:jc w:val="both"/>
        <w:rPr>
          <w:szCs w:val="20"/>
        </w:rPr>
      </w:pPr>
      <w:r w:rsidRPr="006431C4">
        <w:rPr>
          <w:szCs w:val="20"/>
        </w:rPr>
        <w:t>Normy</w:t>
      </w:r>
      <w:r w:rsidRPr="006431C4">
        <w:rPr>
          <w:szCs w:val="20"/>
        </w:rPr>
        <w:tab/>
      </w:r>
    </w:p>
    <w:p w14:paraId="15E609A5" w14:textId="77777777" w:rsidR="000F391F" w:rsidRPr="006431C4" w:rsidRDefault="006B6869" w:rsidP="00D232E1">
      <w:pPr>
        <w:shd w:val="clear" w:color="auto" w:fill="FFFFFF" w:themeFill="background1"/>
        <w:tabs>
          <w:tab w:val="left" w:pos="142"/>
        </w:tabs>
        <w:spacing w:line="240" w:lineRule="auto"/>
        <w:jc w:val="both"/>
        <w:rPr>
          <w:rFonts w:cs="Arial"/>
          <w:szCs w:val="20"/>
        </w:rPr>
      </w:pPr>
      <w:r w:rsidRPr="006431C4">
        <w:rPr>
          <w:rFonts w:cs="Arial"/>
          <w:szCs w:val="20"/>
        </w:rPr>
        <w:t>1. BN-68/8931-04</w:t>
      </w:r>
      <w:r w:rsidRPr="006431C4">
        <w:rPr>
          <w:rFonts w:cs="Arial"/>
          <w:szCs w:val="20"/>
        </w:rPr>
        <w:tab/>
        <w:t>Drogi samochodowe. Pomiar równości nawierzchni planografem i łatą.</w:t>
      </w:r>
    </w:p>
    <w:p w14:paraId="26C2E305" w14:textId="77777777" w:rsidR="006336AC" w:rsidRPr="006431C4" w:rsidRDefault="006336AC" w:rsidP="00EE491B">
      <w:pPr>
        <w:pStyle w:val="Nagwek4"/>
        <w:shd w:val="clear" w:color="auto" w:fill="FFFFFF" w:themeFill="background1"/>
        <w:tabs>
          <w:tab w:val="left" w:pos="142"/>
        </w:tabs>
        <w:spacing w:before="240" w:line="240" w:lineRule="auto"/>
        <w:jc w:val="both"/>
        <w:rPr>
          <w:rFonts w:cs="Arial"/>
          <w:szCs w:val="20"/>
        </w:rPr>
      </w:pPr>
      <w:bookmarkStart w:id="957" w:name="_Toc111635988"/>
      <w:r w:rsidRPr="006431C4">
        <w:rPr>
          <w:rFonts w:cs="Arial"/>
          <w:szCs w:val="20"/>
        </w:rPr>
        <w:t>D-05.03.23a – NAWIERZCHNIA Z BETONOWEJ KOSTKI BRUKOWEJ DLA DRÓG I ULIC ORAZ PLACÓW I CHODNIKÓW</w:t>
      </w:r>
      <w:bookmarkEnd w:id="957"/>
    </w:p>
    <w:p w14:paraId="1D8BEB45" w14:textId="77777777" w:rsidR="006336AC" w:rsidRPr="006431C4" w:rsidRDefault="006336AC" w:rsidP="00D232E1">
      <w:pPr>
        <w:pStyle w:val="Nagwek1"/>
        <w:shd w:val="clear" w:color="auto" w:fill="FFFFFF" w:themeFill="background1"/>
        <w:tabs>
          <w:tab w:val="left" w:pos="142"/>
        </w:tabs>
        <w:spacing w:line="240" w:lineRule="auto"/>
        <w:jc w:val="both"/>
        <w:rPr>
          <w:rFonts w:cs="Arial"/>
          <w:szCs w:val="20"/>
        </w:rPr>
      </w:pPr>
      <w:r w:rsidRPr="006431C4">
        <w:rPr>
          <w:rFonts w:cs="Arial"/>
          <w:szCs w:val="20"/>
        </w:rPr>
        <w:t>1. WSTĘP</w:t>
      </w:r>
    </w:p>
    <w:p w14:paraId="1BCD6F3D" w14:textId="77777777" w:rsidR="006336AC" w:rsidRPr="006431C4" w:rsidRDefault="006336AC"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1.1. Przedmiot SST</w:t>
      </w:r>
    </w:p>
    <w:p w14:paraId="33314157" w14:textId="77777777" w:rsidR="006336AC" w:rsidRPr="006431C4" w:rsidRDefault="006336AC" w:rsidP="00D232E1">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ab/>
        <w:t>Przedmiotem niniejszej szczegółowej specyfikacji technicznej (SST) wymagania dotyczące wykonania i odbioru robót związanych z wykonaniem nawierzchni z betonowej kostki brukowej.</w:t>
      </w:r>
    </w:p>
    <w:p w14:paraId="03A479B4" w14:textId="77777777" w:rsidR="006336AC" w:rsidRPr="006431C4" w:rsidRDefault="006336AC"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1.2. Zakres stosowania SST</w:t>
      </w:r>
    </w:p>
    <w:p w14:paraId="57DDB2B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256020543"/>
        <w:placeholder>
          <w:docPart w:val="3BD0FA41306540FF8BEB0A4963713BE1"/>
        </w:placeholder>
        <w:dataBinding w:prefixMappings="xmlns:ns0='http://purl.org/dc/elements/1.1/' xmlns:ns1='http://schemas.openxmlformats.org/package/2006/metadata/core-properties' " w:xpath="/ns1:coreProperties[1]/ns0:subject[1]" w:storeItemID="{6C3C8BC8-F283-45AE-878A-BAB7291924A1}"/>
        <w:text/>
      </w:sdtPr>
      <w:sdtEndPr/>
      <w:sdtContent>
        <w:p w14:paraId="6F1E5638" w14:textId="2801B1AF" w:rsidR="006336AC" w:rsidRPr="006431C4" w:rsidRDefault="00484E05" w:rsidP="00D232E1">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79DE9B93" w14:textId="77777777" w:rsidR="006336AC" w:rsidRPr="006431C4" w:rsidRDefault="006336AC"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1.3. Zakres robót objętych SST</w:t>
      </w:r>
    </w:p>
    <w:p w14:paraId="6C0352B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Ustalenia zawarte w niniejszej szczegółowej specyfikacji dotyczą zasad prowadzenia robót związanych z wykonaniem i odbiorem nawierzchni z betonowej kostki brukowej.</w:t>
      </w:r>
    </w:p>
    <w:p w14:paraId="5688D0C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Betonową kostkę brukową stosuje się do nawierzchni:</w:t>
      </w:r>
    </w:p>
    <w:p w14:paraId="59BE5934"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dróg  lokalnych i dojazdowych, zwłaszcza w strefie zamieszkania,</w:t>
      </w:r>
    </w:p>
    <w:p w14:paraId="767103D8"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ulic osiedlowych i zbiorczych,</w:t>
      </w:r>
    </w:p>
    <w:p w14:paraId="68AD5B25"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przystanków autobusowych, peronów i ciągów pieszo-jezdnych,</w:t>
      </w:r>
    </w:p>
    <w:p w14:paraId="5D8E8703"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placów ulicznych, parkingów,  wjazdów do bram i garaży, placów zabawowych,</w:t>
      </w:r>
    </w:p>
    <w:p w14:paraId="3FDE5F7F"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chodników, alei spacerowych, ścieżek, pasaży,</w:t>
      </w:r>
    </w:p>
    <w:p w14:paraId="51026A12"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ścieżek rowerowych,</w:t>
      </w:r>
    </w:p>
    <w:p w14:paraId="64AC13B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oraz do umocnienia skarp, pasów dzielących dróg, ścieków, rowów, schodów, małej architektury drogowej, elementów miejsc obsługi podróżnych itp.</w:t>
      </w:r>
    </w:p>
    <w:p w14:paraId="387C87BB"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1.4. Określenia podstawowe</w:t>
      </w:r>
    </w:p>
    <w:p w14:paraId="1C6FD24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1.4.1. </w:t>
      </w:r>
      <w:r w:rsidRPr="006431C4">
        <w:rPr>
          <w:rFonts w:cs="Arial"/>
          <w:szCs w:val="20"/>
        </w:rPr>
        <w:t>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14:paraId="08E289E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1.4.2. </w:t>
      </w:r>
      <w:r w:rsidRPr="006431C4">
        <w:rPr>
          <w:rFonts w:cs="Arial"/>
          <w:szCs w:val="20"/>
        </w:rPr>
        <w:t xml:space="preserve">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6431C4">
          <w:rPr>
            <w:rFonts w:cs="Arial"/>
            <w:szCs w:val="20"/>
          </w:rPr>
          <w:t>1,0 m</w:t>
        </w:r>
      </w:smartTag>
      <w:r w:rsidRPr="006431C4">
        <w:rPr>
          <w:rFonts w:cs="Arial"/>
          <w:szCs w:val="20"/>
        </w:rPr>
        <w:t>.</w:t>
      </w:r>
    </w:p>
    <w:p w14:paraId="75D0CE1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1.4.3. </w:t>
      </w:r>
      <w:r w:rsidRPr="006431C4">
        <w:rPr>
          <w:rFonts w:cs="Arial"/>
          <w:szCs w:val="20"/>
        </w:rPr>
        <w:t>Ściek - umocnione zagłębienie, poniżej krawędzi jezdni, zbierające i odprowadzające wodę.</w:t>
      </w:r>
    </w:p>
    <w:p w14:paraId="667F0F2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1.4.4. </w:t>
      </w:r>
      <w:r w:rsidRPr="006431C4">
        <w:rPr>
          <w:rFonts w:cs="Arial"/>
          <w:szCs w:val="20"/>
        </w:rPr>
        <w:t>Obrzeże - element budowlany, oddzielający nawierzchnie chodników i ciągów pieszych od terenów nie przeznaczonych  do komunikacji.</w:t>
      </w:r>
    </w:p>
    <w:p w14:paraId="33758AC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1.4.5. </w:t>
      </w:r>
      <w:r w:rsidRPr="006431C4">
        <w:rPr>
          <w:rFonts w:cs="Arial"/>
          <w:szCs w:val="20"/>
        </w:rPr>
        <w:t>Spoina - odstęp pomiędzy przylegającymi elementami (kostkami) wypełniony określonymi materiałami wypełniającymi.</w:t>
      </w:r>
    </w:p>
    <w:p w14:paraId="3F591FC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1.4.6. </w:t>
      </w:r>
      <w:r w:rsidRPr="006431C4">
        <w:rPr>
          <w:rFonts w:cs="Arial"/>
          <w:szCs w:val="20"/>
        </w:rPr>
        <w:t>Szczelina dylatacyjna - odstęp dzielący duży fragment nawierzchni na sekcje w celu umożliwienia odkształceń temperaturowych, wypełniony określonymi materiałami wypełniającymi.</w:t>
      </w:r>
    </w:p>
    <w:p w14:paraId="5924CCF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1.4.7. </w:t>
      </w:r>
      <w:r w:rsidRPr="006431C4">
        <w:rPr>
          <w:rFonts w:cs="Arial"/>
          <w:szCs w:val="20"/>
        </w:rPr>
        <w:t>Pozostałe określenia podstawowe są zgodne z obowiązującymi, odpowiednimi polskimi normami i z definicjami podanymi w SST D-M-00.00.00 „Wymagania ogólne” [5] pkt 1.4.</w:t>
      </w:r>
    </w:p>
    <w:p w14:paraId="73D7F7FE"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 xml:space="preserve">1.5. Ogólne wymagania dotyczące robót </w:t>
      </w:r>
    </w:p>
    <w:p w14:paraId="3F51CA6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robót podano w SST D-M-00.00.00 „Wymagania ogólne” [5] pkt 1.5.</w:t>
      </w:r>
    </w:p>
    <w:p w14:paraId="3FCF9AE1"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bookmarkStart w:id="958" w:name="_Toc421686544"/>
      <w:bookmarkStart w:id="959" w:name="_Toc107903637"/>
      <w:r w:rsidRPr="006431C4">
        <w:rPr>
          <w:rFonts w:cs="Arial"/>
          <w:b/>
          <w:szCs w:val="20"/>
        </w:rPr>
        <w:t xml:space="preserve">2. </w:t>
      </w:r>
      <w:bookmarkEnd w:id="958"/>
      <w:bookmarkEnd w:id="959"/>
      <w:r w:rsidRPr="006431C4">
        <w:rPr>
          <w:rFonts w:cs="Arial"/>
          <w:b/>
          <w:szCs w:val="20"/>
        </w:rPr>
        <w:t>MATERIAŁY</w:t>
      </w:r>
    </w:p>
    <w:p w14:paraId="1A757711"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2.1. Ogólne wymagania dotyczące materiałów</w:t>
      </w:r>
    </w:p>
    <w:p w14:paraId="27658C0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materiałów, ich pozyskiwania i składowania, podano w SST D-M-00.00.00 „Wymagania ogólne” [5] pkt 2.</w:t>
      </w:r>
    </w:p>
    <w:p w14:paraId="7DBA0C55"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 xml:space="preserve">2.2. Betonowa kostka brukowa  </w:t>
      </w:r>
    </w:p>
    <w:p w14:paraId="65781BA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2.2.1. </w:t>
      </w:r>
      <w:r w:rsidRPr="006431C4">
        <w:rPr>
          <w:rFonts w:cs="Arial"/>
          <w:szCs w:val="20"/>
        </w:rPr>
        <w:t>Klasyfikacja betonowych kostek brukowych</w:t>
      </w:r>
    </w:p>
    <w:p w14:paraId="4BC8C7F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Betonowa kostka brukowa może mieć następujące cechy charakterystyczne, określone w katalogu producenta:</w:t>
      </w:r>
    </w:p>
    <w:p w14:paraId="70ACAF83" w14:textId="77777777" w:rsidR="006336AC" w:rsidRPr="006431C4" w:rsidRDefault="006336AC" w:rsidP="00413F29">
      <w:pPr>
        <w:numPr>
          <w:ilvl w:val="0"/>
          <w:numId w:val="47"/>
        </w:numPr>
        <w:shd w:val="clear" w:color="auto" w:fill="FFFFFF" w:themeFill="background1"/>
        <w:tabs>
          <w:tab w:val="left" w:pos="142"/>
        </w:tabs>
        <w:spacing w:line="240" w:lineRule="auto"/>
        <w:ind w:left="0" w:firstLine="0"/>
        <w:jc w:val="both"/>
        <w:rPr>
          <w:rFonts w:cs="Arial"/>
          <w:szCs w:val="20"/>
        </w:rPr>
      </w:pPr>
      <w:r w:rsidRPr="006431C4">
        <w:rPr>
          <w:rFonts w:cs="Arial"/>
          <w:szCs w:val="20"/>
        </w:rPr>
        <w:lastRenderedPageBreak/>
        <w:t>odmianę:</w:t>
      </w:r>
    </w:p>
    <w:p w14:paraId="2BD631CC" w14:textId="77777777" w:rsidR="006336AC" w:rsidRPr="006431C4" w:rsidRDefault="006336AC" w:rsidP="00413F29">
      <w:pPr>
        <w:numPr>
          <w:ilvl w:val="0"/>
          <w:numId w:val="48"/>
        </w:numPr>
        <w:shd w:val="clear" w:color="auto" w:fill="FFFFFF" w:themeFill="background1"/>
        <w:tabs>
          <w:tab w:val="left" w:pos="142"/>
        </w:tabs>
        <w:spacing w:line="240" w:lineRule="auto"/>
        <w:ind w:left="0" w:firstLine="0"/>
        <w:jc w:val="both"/>
        <w:rPr>
          <w:rFonts w:cs="Arial"/>
          <w:szCs w:val="20"/>
        </w:rPr>
      </w:pPr>
      <w:r w:rsidRPr="006431C4">
        <w:rPr>
          <w:rFonts w:cs="Arial"/>
          <w:szCs w:val="20"/>
        </w:rPr>
        <w:t>kostka jednowarstwowa (z jednego rodzaju betonu),</w:t>
      </w:r>
    </w:p>
    <w:p w14:paraId="534126AA" w14:textId="77777777" w:rsidR="006336AC" w:rsidRPr="006431C4" w:rsidRDefault="006336AC" w:rsidP="00413F29">
      <w:pPr>
        <w:numPr>
          <w:ilvl w:val="0"/>
          <w:numId w:val="48"/>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kostka dwuwarstwowa (z betonu warstwy spodniej konstrukcyjnej i warstwy ścieralnej (górnej) zwykle barwionej grubości min. </w:t>
      </w:r>
      <w:smartTag w:uri="urn:schemas-microsoft-com:office:smarttags" w:element="metricconverter">
        <w:smartTagPr>
          <w:attr w:name="ProductID" w:val="4 mm"/>
        </w:smartTagPr>
        <w:r w:rsidRPr="006431C4">
          <w:rPr>
            <w:rFonts w:cs="Arial"/>
            <w:szCs w:val="20"/>
          </w:rPr>
          <w:t>4 mm</w:t>
        </w:r>
      </w:smartTag>
      <w:r w:rsidRPr="006431C4">
        <w:rPr>
          <w:rFonts w:cs="Arial"/>
          <w:szCs w:val="20"/>
        </w:rPr>
        <w:t>,</w:t>
      </w:r>
    </w:p>
    <w:p w14:paraId="05753382" w14:textId="77777777" w:rsidR="006336AC" w:rsidRPr="006431C4" w:rsidRDefault="006336AC" w:rsidP="00413F29">
      <w:pPr>
        <w:numPr>
          <w:ilvl w:val="0"/>
          <w:numId w:val="47"/>
        </w:numPr>
        <w:shd w:val="clear" w:color="auto" w:fill="FFFFFF" w:themeFill="background1"/>
        <w:tabs>
          <w:tab w:val="left" w:pos="142"/>
        </w:tabs>
        <w:spacing w:line="240" w:lineRule="auto"/>
        <w:ind w:left="0" w:firstLine="0"/>
        <w:jc w:val="both"/>
        <w:rPr>
          <w:rFonts w:cs="Arial"/>
          <w:szCs w:val="20"/>
        </w:rPr>
      </w:pPr>
      <w:r w:rsidRPr="006431C4">
        <w:rPr>
          <w:rFonts w:cs="Arial"/>
          <w:szCs w:val="20"/>
        </w:rPr>
        <w:t>barwę:</w:t>
      </w:r>
    </w:p>
    <w:p w14:paraId="7C45BD57" w14:textId="77777777" w:rsidR="006336AC" w:rsidRPr="006431C4" w:rsidRDefault="006336AC" w:rsidP="00413F29">
      <w:pPr>
        <w:numPr>
          <w:ilvl w:val="0"/>
          <w:numId w:val="49"/>
        </w:numPr>
        <w:shd w:val="clear" w:color="auto" w:fill="FFFFFF" w:themeFill="background1"/>
        <w:tabs>
          <w:tab w:val="left" w:pos="142"/>
        </w:tabs>
        <w:spacing w:line="240" w:lineRule="auto"/>
        <w:ind w:left="0" w:firstLine="0"/>
        <w:jc w:val="both"/>
        <w:rPr>
          <w:rFonts w:cs="Arial"/>
          <w:szCs w:val="20"/>
        </w:rPr>
      </w:pPr>
      <w:r w:rsidRPr="006431C4">
        <w:rPr>
          <w:rFonts w:cs="Arial"/>
          <w:szCs w:val="20"/>
        </w:rPr>
        <w:t>kostka szara, z betonu niebarwionego,</w:t>
      </w:r>
    </w:p>
    <w:p w14:paraId="1A7DBEE0" w14:textId="77777777" w:rsidR="006336AC" w:rsidRPr="006431C4" w:rsidRDefault="006336AC" w:rsidP="00413F29">
      <w:pPr>
        <w:numPr>
          <w:ilvl w:val="0"/>
          <w:numId w:val="49"/>
        </w:numPr>
        <w:shd w:val="clear" w:color="auto" w:fill="FFFFFF" w:themeFill="background1"/>
        <w:tabs>
          <w:tab w:val="left" w:pos="142"/>
        </w:tabs>
        <w:spacing w:line="240" w:lineRule="auto"/>
        <w:ind w:left="0" w:firstLine="0"/>
        <w:jc w:val="both"/>
        <w:rPr>
          <w:rFonts w:cs="Arial"/>
          <w:szCs w:val="20"/>
        </w:rPr>
      </w:pPr>
      <w:r w:rsidRPr="006431C4">
        <w:rPr>
          <w:rFonts w:cs="Arial"/>
          <w:szCs w:val="20"/>
        </w:rPr>
        <w:t>kostka kolorowa, z betonu barwionego,</w:t>
      </w:r>
    </w:p>
    <w:p w14:paraId="65104C0C" w14:textId="77777777" w:rsidR="006336AC" w:rsidRPr="006431C4" w:rsidRDefault="006336AC" w:rsidP="00413F29">
      <w:pPr>
        <w:numPr>
          <w:ilvl w:val="0"/>
          <w:numId w:val="47"/>
        </w:numPr>
        <w:shd w:val="clear" w:color="auto" w:fill="FFFFFF" w:themeFill="background1"/>
        <w:tabs>
          <w:tab w:val="left" w:pos="142"/>
        </w:tabs>
        <w:spacing w:line="240" w:lineRule="auto"/>
        <w:ind w:left="0" w:firstLine="0"/>
        <w:jc w:val="both"/>
        <w:rPr>
          <w:rFonts w:cs="Arial"/>
          <w:szCs w:val="20"/>
        </w:rPr>
      </w:pPr>
      <w:r w:rsidRPr="006431C4">
        <w:rPr>
          <w:rFonts w:cs="Arial"/>
          <w:szCs w:val="20"/>
        </w:rPr>
        <w:t>wzór (kształt) kostki: zgodny z kształtami określonymi przez producenta (przykłady podano w załączniku 1),</w:t>
      </w:r>
    </w:p>
    <w:p w14:paraId="3D425CCC" w14:textId="77777777" w:rsidR="006336AC" w:rsidRPr="006431C4" w:rsidRDefault="006336AC" w:rsidP="00413F29">
      <w:pPr>
        <w:numPr>
          <w:ilvl w:val="0"/>
          <w:numId w:val="47"/>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wymiary, zgodne z wymiarami określonymi przez producenta, w zasadzie:</w:t>
      </w:r>
    </w:p>
    <w:p w14:paraId="35EEE24A" w14:textId="77777777" w:rsidR="006336AC" w:rsidRPr="006431C4" w:rsidRDefault="006336AC" w:rsidP="00413F29">
      <w:pPr>
        <w:numPr>
          <w:ilvl w:val="0"/>
          <w:numId w:val="50"/>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długość: od </w:t>
      </w:r>
      <w:smartTag w:uri="urn:schemas-microsoft-com:office:smarttags" w:element="metricconverter">
        <w:smartTagPr>
          <w:attr w:name="ProductID" w:val="140 mm"/>
        </w:smartTagPr>
        <w:r w:rsidRPr="006431C4">
          <w:rPr>
            <w:rFonts w:cs="Arial"/>
            <w:szCs w:val="20"/>
          </w:rPr>
          <w:t>140 mm</w:t>
        </w:r>
      </w:smartTag>
      <w:r w:rsidRPr="006431C4">
        <w:rPr>
          <w:rFonts w:cs="Arial"/>
          <w:szCs w:val="20"/>
        </w:rPr>
        <w:t xml:space="preserve"> do </w:t>
      </w:r>
      <w:smartTag w:uri="urn:schemas-microsoft-com:office:smarttags" w:element="metricconverter">
        <w:smartTagPr>
          <w:attr w:name="ProductID" w:val="280 mm"/>
        </w:smartTagPr>
        <w:r w:rsidRPr="006431C4">
          <w:rPr>
            <w:rFonts w:cs="Arial"/>
            <w:szCs w:val="20"/>
          </w:rPr>
          <w:t>280 mm</w:t>
        </w:r>
      </w:smartTag>
      <w:r w:rsidRPr="006431C4">
        <w:rPr>
          <w:rFonts w:cs="Arial"/>
          <w:szCs w:val="20"/>
        </w:rPr>
        <w:t>,</w:t>
      </w:r>
    </w:p>
    <w:p w14:paraId="286C051B" w14:textId="77777777" w:rsidR="006336AC" w:rsidRPr="006431C4" w:rsidRDefault="006336AC" w:rsidP="00413F29">
      <w:pPr>
        <w:numPr>
          <w:ilvl w:val="0"/>
          <w:numId w:val="50"/>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szerokość: od 0,5 do 1,0 wymiaru długości, lecz nie mniej niż </w:t>
      </w:r>
      <w:smartTag w:uri="urn:schemas-microsoft-com:office:smarttags" w:element="metricconverter">
        <w:smartTagPr>
          <w:attr w:name="ProductID" w:val="100 mm"/>
        </w:smartTagPr>
        <w:r w:rsidRPr="006431C4">
          <w:rPr>
            <w:rFonts w:cs="Arial"/>
            <w:szCs w:val="20"/>
          </w:rPr>
          <w:t>100 mm</w:t>
        </w:r>
      </w:smartTag>
      <w:r w:rsidRPr="006431C4">
        <w:rPr>
          <w:rFonts w:cs="Arial"/>
          <w:szCs w:val="20"/>
        </w:rPr>
        <w:t>,</w:t>
      </w:r>
    </w:p>
    <w:p w14:paraId="530C9694" w14:textId="77777777" w:rsidR="006336AC" w:rsidRPr="006431C4" w:rsidRDefault="006336AC" w:rsidP="00413F29">
      <w:pPr>
        <w:numPr>
          <w:ilvl w:val="0"/>
          <w:numId w:val="50"/>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grubość: od </w:t>
      </w:r>
      <w:smartTag w:uri="urn:schemas-microsoft-com:office:smarttags" w:element="metricconverter">
        <w:smartTagPr>
          <w:attr w:name="ProductID" w:val="40 mm"/>
        </w:smartTagPr>
        <w:r w:rsidRPr="006431C4">
          <w:rPr>
            <w:rFonts w:cs="Arial"/>
            <w:szCs w:val="20"/>
          </w:rPr>
          <w:t>40 mm</w:t>
        </w:r>
      </w:smartTag>
      <w:r w:rsidRPr="006431C4">
        <w:rPr>
          <w:rFonts w:cs="Arial"/>
          <w:szCs w:val="20"/>
        </w:rPr>
        <w:t xml:space="preserve"> do </w:t>
      </w:r>
      <w:smartTag w:uri="urn:schemas-microsoft-com:office:smarttags" w:element="metricconverter">
        <w:smartTagPr>
          <w:attr w:name="ProductID" w:val="140 mm"/>
        </w:smartTagPr>
        <w:r w:rsidRPr="006431C4">
          <w:rPr>
            <w:rFonts w:cs="Arial"/>
            <w:szCs w:val="20"/>
          </w:rPr>
          <w:t>140 mm</w:t>
        </w:r>
      </w:smartTag>
      <w:r w:rsidRPr="006431C4">
        <w:rPr>
          <w:rFonts w:cs="Arial"/>
          <w:szCs w:val="20"/>
        </w:rPr>
        <w:t xml:space="preserve">, przy czym zalecanymi grubościami są: </w:t>
      </w:r>
      <w:smartTag w:uri="urn:schemas-microsoft-com:office:smarttags" w:element="metricconverter">
        <w:smartTagPr>
          <w:attr w:name="ProductID" w:val="60 mm"/>
        </w:smartTagPr>
        <w:r w:rsidRPr="006431C4">
          <w:rPr>
            <w:rFonts w:cs="Arial"/>
            <w:szCs w:val="20"/>
          </w:rPr>
          <w:t>60 mm</w:t>
        </w:r>
      </w:smartTag>
      <w:r w:rsidRPr="006431C4">
        <w:rPr>
          <w:rFonts w:cs="Arial"/>
          <w:szCs w:val="20"/>
        </w:rPr>
        <w:t xml:space="preserve">,         </w:t>
      </w:r>
      <w:smartTag w:uri="urn:schemas-microsoft-com:office:smarttags" w:element="metricconverter">
        <w:smartTagPr>
          <w:attr w:name="ProductID" w:val="80 mm"/>
        </w:smartTagPr>
        <w:r w:rsidRPr="006431C4">
          <w:rPr>
            <w:rFonts w:cs="Arial"/>
            <w:szCs w:val="20"/>
          </w:rPr>
          <w:t>80 mm</w:t>
        </w:r>
      </w:smartTag>
      <w:r w:rsidRPr="006431C4">
        <w:rPr>
          <w:rFonts w:cs="Arial"/>
          <w:szCs w:val="20"/>
        </w:rPr>
        <w:t xml:space="preserve"> i </w:t>
      </w:r>
      <w:smartTag w:uri="urn:schemas-microsoft-com:office:smarttags" w:element="metricconverter">
        <w:smartTagPr>
          <w:attr w:name="ProductID" w:val="100 mm"/>
        </w:smartTagPr>
        <w:r w:rsidRPr="006431C4">
          <w:rPr>
            <w:rFonts w:cs="Arial"/>
            <w:szCs w:val="20"/>
          </w:rPr>
          <w:t>100 mm</w:t>
        </w:r>
      </w:smartTag>
      <w:r w:rsidRPr="006431C4">
        <w:rPr>
          <w:rFonts w:cs="Arial"/>
          <w:szCs w:val="20"/>
        </w:rPr>
        <w:t xml:space="preserve"> (zalecane grubości kostek podano w załączniku 2).</w:t>
      </w:r>
    </w:p>
    <w:p w14:paraId="24F9875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 </w:t>
      </w:r>
      <w:r w:rsidRPr="006431C4">
        <w:rPr>
          <w:rFonts w:cs="Arial"/>
          <w:szCs w:val="20"/>
        </w:rPr>
        <w:tab/>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rsidRPr="006431C4">
          <w:rPr>
            <w:rFonts w:cs="Arial"/>
            <w:szCs w:val="20"/>
          </w:rPr>
          <w:t>1,0 m</w:t>
        </w:r>
      </w:smartTag>
      <w:r w:rsidRPr="006431C4">
        <w:rPr>
          <w:rFonts w:cs="Arial"/>
          <w:szCs w:val="20"/>
        </w:rPr>
        <w:t xml:space="preserve"> lub </w:t>
      </w:r>
      <w:smartTag w:uri="urn:schemas-microsoft-com:office:smarttags" w:element="metricconverter">
        <w:smartTagPr>
          <w:attr w:name="ProductID" w:val="1,5 m"/>
        </w:smartTagPr>
        <w:r w:rsidRPr="006431C4">
          <w:rPr>
            <w:rFonts w:cs="Arial"/>
            <w:szCs w:val="20"/>
          </w:rPr>
          <w:t>1,5 m</w:t>
        </w:r>
      </w:smartTag>
      <w:r w:rsidRPr="006431C4">
        <w:rPr>
          <w:rFonts w:cs="Arial"/>
          <w:szCs w:val="20"/>
        </w:rPr>
        <w:t xml:space="preserve"> bez konieczności przecinania elementów w trakcie ich wbudowywania w nawierzchnię.</w:t>
      </w:r>
    </w:p>
    <w:p w14:paraId="13C97A0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Kostki mogą być produkowane z wypustkami dystansowymi na powierzchniach bocznych oraz z ukosowanymi krawędziami górnymi.</w:t>
      </w:r>
    </w:p>
    <w:p w14:paraId="335A660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2.2.2. </w:t>
      </w:r>
      <w:r w:rsidRPr="006431C4">
        <w:rPr>
          <w:rFonts w:cs="Arial"/>
          <w:szCs w:val="20"/>
        </w:rPr>
        <w:t>Wymagania techniczne stawiane betonowym kostkom brukowym</w:t>
      </w:r>
    </w:p>
    <w:p w14:paraId="2E0A244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Wymagania techniczne stawiane betonowym kostkom brukowym stosowanym na nawierzchniach dróg, ulic, chodników itp. określa PN-EN 1338 [2] w sposób przedstawiony w tablicy 1.</w:t>
      </w:r>
    </w:p>
    <w:p w14:paraId="561F18B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Tablica 1.</w:t>
      </w:r>
      <w:r w:rsidRPr="006431C4">
        <w:rPr>
          <w:rFonts w:cs="Arial"/>
          <w:szCs w:val="20"/>
        </w:rPr>
        <w:tab/>
        <w:t>Wymagania wobec betonowej kostki brukowej, ustalone w PN-EN 1338 [2] do stosowania na zewnętrznych nawierzchniach, mających kontakt z solą odladzającą w warunkach mrozu</w:t>
      </w:r>
      <w:r w:rsidRPr="006431C4">
        <w:rPr>
          <w:rFonts w:cs="Arial"/>
          <w:szCs w:val="20"/>
        </w:rPr>
        <w:tab/>
      </w:r>
    </w:p>
    <w:tbl>
      <w:tblPr>
        <w:tblW w:w="10944" w:type="dxa"/>
        <w:tblInd w:w="-34" w:type="dxa"/>
        <w:tblLayout w:type="fixed"/>
        <w:tblLook w:val="01E0" w:firstRow="1" w:lastRow="1" w:firstColumn="1" w:lastColumn="1" w:noHBand="0" w:noVBand="0"/>
      </w:tblPr>
      <w:tblGrid>
        <w:gridCol w:w="568"/>
        <w:gridCol w:w="2693"/>
        <w:gridCol w:w="850"/>
        <w:gridCol w:w="1701"/>
        <w:gridCol w:w="567"/>
        <w:gridCol w:w="4565"/>
      </w:tblGrid>
      <w:tr w:rsidR="006336AC" w:rsidRPr="006431C4" w14:paraId="14633720" w14:textId="77777777" w:rsidTr="00303B15">
        <w:tc>
          <w:tcPr>
            <w:tcW w:w="568" w:type="dxa"/>
            <w:tcBorders>
              <w:top w:val="single" w:sz="4" w:space="0" w:color="auto"/>
              <w:left w:val="single" w:sz="4" w:space="0" w:color="auto"/>
              <w:bottom w:val="double" w:sz="4" w:space="0" w:color="auto"/>
              <w:right w:val="single" w:sz="4" w:space="0" w:color="auto"/>
            </w:tcBorders>
          </w:tcPr>
          <w:p w14:paraId="02047C5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Lp.</w:t>
            </w:r>
          </w:p>
        </w:tc>
        <w:tc>
          <w:tcPr>
            <w:tcW w:w="2693" w:type="dxa"/>
            <w:tcBorders>
              <w:top w:val="single" w:sz="4" w:space="0" w:color="auto"/>
              <w:left w:val="single" w:sz="4" w:space="0" w:color="auto"/>
              <w:bottom w:val="double" w:sz="4" w:space="0" w:color="auto"/>
              <w:right w:val="single" w:sz="4" w:space="0" w:color="auto"/>
            </w:tcBorders>
          </w:tcPr>
          <w:p w14:paraId="012347F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Cecha</w:t>
            </w:r>
          </w:p>
        </w:tc>
        <w:tc>
          <w:tcPr>
            <w:tcW w:w="850" w:type="dxa"/>
            <w:tcBorders>
              <w:top w:val="single" w:sz="4" w:space="0" w:color="auto"/>
              <w:left w:val="single" w:sz="4" w:space="0" w:color="auto"/>
              <w:bottom w:val="double" w:sz="4" w:space="0" w:color="auto"/>
              <w:right w:val="single" w:sz="4" w:space="0" w:color="auto"/>
            </w:tcBorders>
          </w:tcPr>
          <w:p w14:paraId="418B815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Załącznik normy</w:t>
            </w:r>
          </w:p>
        </w:tc>
        <w:tc>
          <w:tcPr>
            <w:tcW w:w="6833" w:type="dxa"/>
            <w:gridSpan w:val="3"/>
            <w:tcBorders>
              <w:top w:val="single" w:sz="4" w:space="0" w:color="auto"/>
              <w:left w:val="single" w:sz="4" w:space="0" w:color="auto"/>
              <w:bottom w:val="double" w:sz="4" w:space="0" w:color="auto"/>
              <w:right w:val="single" w:sz="4" w:space="0" w:color="auto"/>
            </w:tcBorders>
          </w:tcPr>
          <w:p w14:paraId="1FEE4F4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Wymaganie</w:t>
            </w:r>
          </w:p>
        </w:tc>
      </w:tr>
      <w:tr w:rsidR="006336AC" w:rsidRPr="006431C4" w14:paraId="3FBDA489" w14:textId="77777777" w:rsidTr="00303B15">
        <w:tc>
          <w:tcPr>
            <w:tcW w:w="568" w:type="dxa"/>
            <w:tcBorders>
              <w:top w:val="double" w:sz="4" w:space="0" w:color="auto"/>
              <w:left w:val="single" w:sz="4" w:space="0" w:color="auto"/>
              <w:bottom w:val="single" w:sz="4" w:space="0" w:color="auto"/>
              <w:right w:val="single" w:sz="4" w:space="0" w:color="auto"/>
            </w:tcBorders>
          </w:tcPr>
          <w:p w14:paraId="3D46772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w:t>
            </w:r>
          </w:p>
        </w:tc>
        <w:tc>
          <w:tcPr>
            <w:tcW w:w="2693" w:type="dxa"/>
            <w:tcBorders>
              <w:top w:val="double" w:sz="4" w:space="0" w:color="auto"/>
              <w:left w:val="single" w:sz="4" w:space="0" w:color="auto"/>
              <w:bottom w:val="single" w:sz="4" w:space="0" w:color="auto"/>
            </w:tcBorders>
          </w:tcPr>
          <w:p w14:paraId="5356EE2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Kształt i wymiary</w:t>
            </w:r>
          </w:p>
        </w:tc>
        <w:tc>
          <w:tcPr>
            <w:tcW w:w="850" w:type="dxa"/>
            <w:tcBorders>
              <w:top w:val="double" w:sz="4" w:space="0" w:color="auto"/>
              <w:bottom w:val="single" w:sz="4" w:space="0" w:color="auto"/>
            </w:tcBorders>
          </w:tcPr>
          <w:p w14:paraId="48FB7B8D"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6833" w:type="dxa"/>
            <w:gridSpan w:val="3"/>
            <w:tcBorders>
              <w:top w:val="double" w:sz="4" w:space="0" w:color="auto"/>
              <w:left w:val="nil"/>
              <w:bottom w:val="single" w:sz="4" w:space="0" w:color="auto"/>
              <w:right w:val="single" w:sz="4" w:space="0" w:color="auto"/>
            </w:tcBorders>
          </w:tcPr>
          <w:p w14:paraId="72BFB633"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r>
      <w:tr w:rsidR="006336AC" w:rsidRPr="006431C4" w14:paraId="0E7FAFCB" w14:textId="77777777" w:rsidTr="00303B15">
        <w:tc>
          <w:tcPr>
            <w:tcW w:w="568" w:type="dxa"/>
            <w:tcBorders>
              <w:top w:val="single" w:sz="4" w:space="0" w:color="auto"/>
              <w:left w:val="single" w:sz="4" w:space="0" w:color="auto"/>
              <w:bottom w:val="single" w:sz="4" w:space="0" w:color="auto"/>
              <w:right w:val="single" w:sz="4" w:space="0" w:color="auto"/>
            </w:tcBorders>
          </w:tcPr>
          <w:p w14:paraId="695DE5B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1.1</w:t>
            </w:r>
          </w:p>
        </w:tc>
        <w:tc>
          <w:tcPr>
            <w:tcW w:w="2693" w:type="dxa"/>
            <w:tcBorders>
              <w:top w:val="single" w:sz="4" w:space="0" w:color="auto"/>
              <w:left w:val="single" w:sz="4" w:space="0" w:color="auto"/>
              <w:bottom w:val="single" w:sz="4" w:space="0" w:color="auto"/>
              <w:right w:val="single" w:sz="4" w:space="0" w:color="auto"/>
            </w:tcBorders>
          </w:tcPr>
          <w:p w14:paraId="5242CEC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Dopuszczalne odchyłki w mm od zadeklarowanych wymiarów kostki,</w:t>
            </w:r>
          </w:p>
          <w:p w14:paraId="6802DF8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grubości                            &lt; </w:t>
            </w:r>
            <w:smartTag w:uri="urn:schemas-microsoft-com:office:smarttags" w:element="metricconverter">
              <w:smartTagPr>
                <w:attr w:name="ProductID" w:val="100 mm"/>
              </w:smartTagPr>
              <w:r w:rsidRPr="006431C4">
                <w:rPr>
                  <w:rFonts w:cs="Arial"/>
                  <w:szCs w:val="20"/>
                </w:rPr>
                <w:t>100 mm</w:t>
              </w:r>
            </w:smartTag>
          </w:p>
          <w:p w14:paraId="51467CA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                                          ≥ </w:t>
            </w:r>
            <w:smartTag w:uri="urn:schemas-microsoft-com:office:smarttags" w:element="metricconverter">
              <w:smartTagPr>
                <w:attr w:name="ProductID" w:val="100 mm"/>
              </w:smartTagPr>
              <w:r w:rsidRPr="006431C4">
                <w:rPr>
                  <w:rFonts w:cs="Arial"/>
                  <w:szCs w:val="20"/>
                </w:rPr>
                <w:t>100 mm</w:t>
              </w:r>
            </w:smartTag>
          </w:p>
        </w:tc>
        <w:tc>
          <w:tcPr>
            <w:tcW w:w="850" w:type="dxa"/>
            <w:tcBorders>
              <w:top w:val="single" w:sz="4" w:space="0" w:color="auto"/>
              <w:left w:val="single" w:sz="4" w:space="0" w:color="auto"/>
              <w:bottom w:val="single" w:sz="4" w:space="0" w:color="auto"/>
              <w:right w:val="single" w:sz="4" w:space="0" w:color="auto"/>
            </w:tcBorders>
          </w:tcPr>
          <w:p w14:paraId="18293CD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C</w:t>
            </w:r>
          </w:p>
        </w:tc>
        <w:tc>
          <w:tcPr>
            <w:tcW w:w="2268" w:type="dxa"/>
            <w:gridSpan w:val="2"/>
            <w:tcBorders>
              <w:top w:val="single" w:sz="4" w:space="0" w:color="auto"/>
              <w:left w:val="single" w:sz="4" w:space="0" w:color="auto"/>
              <w:bottom w:val="single" w:sz="4" w:space="0" w:color="auto"/>
              <w:right w:val="single" w:sz="4" w:space="0" w:color="auto"/>
            </w:tcBorders>
          </w:tcPr>
          <w:p w14:paraId="010F7E4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Długość   szerokość   grubość</w:t>
            </w:r>
          </w:p>
          <w:p w14:paraId="4A6BA3BC"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1E75438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2            ± 2            ± 3</w:t>
            </w:r>
          </w:p>
          <w:p w14:paraId="13AB99D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3            ± 3            ± 4</w:t>
            </w:r>
          </w:p>
        </w:tc>
        <w:tc>
          <w:tcPr>
            <w:tcW w:w="4565" w:type="dxa"/>
            <w:tcBorders>
              <w:top w:val="single" w:sz="4" w:space="0" w:color="auto"/>
              <w:left w:val="single" w:sz="4" w:space="0" w:color="auto"/>
              <w:bottom w:val="single" w:sz="4" w:space="0" w:color="auto"/>
              <w:right w:val="single" w:sz="4" w:space="0" w:color="auto"/>
            </w:tcBorders>
          </w:tcPr>
          <w:p w14:paraId="393A594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Różnica </w:t>
            </w:r>
            <w:proofErr w:type="spellStart"/>
            <w:r w:rsidRPr="006431C4">
              <w:rPr>
                <w:rFonts w:cs="Arial"/>
                <w:szCs w:val="20"/>
              </w:rPr>
              <w:t>pomię-dzy</w:t>
            </w:r>
            <w:proofErr w:type="spellEnd"/>
            <w:r w:rsidRPr="006431C4">
              <w:rPr>
                <w:rFonts w:cs="Arial"/>
                <w:szCs w:val="20"/>
              </w:rPr>
              <w:t xml:space="preserve"> dwoma po-miarami </w:t>
            </w:r>
            <w:proofErr w:type="spellStart"/>
            <w:r w:rsidRPr="006431C4">
              <w:rPr>
                <w:rFonts w:cs="Arial"/>
                <w:szCs w:val="20"/>
              </w:rPr>
              <w:t>gru-bości</w:t>
            </w:r>
            <w:proofErr w:type="spellEnd"/>
            <w:r w:rsidRPr="006431C4">
              <w:rPr>
                <w:rFonts w:cs="Arial"/>
                <w:szCs w:val="20"/>
              </w:rPr>
              <w:t xml:space="preserve">, tej samej kostki, powinna być ≤ </w:t>
            </w:r>
            <w:smartTag w:uri="urn:schemas-microsoft-com:office:smarttags" w:element="metricconverter">
              <w:smartTagPr>
                <w:attr w:name="ProductID" w:val="3 mm"/>
              </w:smartTagPr>
              <w:r w:rsidRPr="006431C4">
                <w:rPr>
                  <w:rFonts w:cs="Arial"/>
                  <w:szCs w:val="20"/>
                </w:rPr>
                <w:t>3 mm</w:t>
              </w:r>
            </w:smartTag>
          </w:p>
        </w:tc>
      </w:tr>
      <w:tr w:rsidR="006336AC" w:rsidRPr="006431C4" w14:paraId="699E161A" w14:textId="77777777" w:rsidTr="00303B15">
        <w:tc>
          <w:tcPr>
            <w:tcW w:w="568" w:type="dxa"/>
            <w:tcBorders>
              <w:top w:val="single" w:sz="4" w:space="0" w:color="auto"/>
              <w:left w:val="single" w:sz="4" w:space="0" w:color="auto"/>
              <w:bottom w:val="single" w:sz="4" w:space="0" w:color="auto"/>
              <w:right w:val="single" w:sz="4" w:space="0" w:color="auto"/>
            </w:tcBorders>
          </w:tcPr>
          <w:p w14:paraId="5387BEA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1.2</w:t>
            </w:r>
          </w:p>
        </w:tc>
        <w:tc>
          <w:tcPr>
            <w:tcW w:w="2693" w:type="dxa"/>
            <w:tcBorders>
              <w:top w:val="single" w:sz="4" w:space="0" w:color="auto"/>
              <w:left w:val="single" w:sz="4" w:space="0" w:color="auto"/>
              <w:bottom w:val="single" w:sz="4" w:space="0" w:color="auto"/>
              <w:right w:val="single" w:sz="4" w:space="0" w:color="auto"/>
            </w:tcBorders>
          </w:tcPr>
          <w:p w14:paraId="19AA30E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Odchyłki płaskości i pofalowania (jeśli maksymalne wymiary kostki           &gt; </w:t>
            </w:r>
            <w:smartTag w:uri="urn:schemas-microsoft-com:office:smarttags" w:element="metricconverter">
              <w:smartTagPr>
                <w:attr w:name="ProductID" w:val="300 mm"/>
              </w:smartTagPr>
              <w:r w:rsidRPr="006431C4">
                <w:rPr>
                  <w:rFonts w:cs="Arial"/>
                  <w:szCs w:val="20"/>
                </w:rPr>
                <w:t>300 mm</w:t>
              </w:r>
            </w:smartTag>
            <w:r w:rsidRPr="006431C4">
              <w:rPr>
                <w:rFonts w:cs="Arial"/>
                <w:szCs w:val="20"/>
              </w:rPr>
              <w:t>), przy długości pomiarowej</w:t>
            </w:r>
          </w:p>
          <w:p w14:paraId="31233A7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                                             </w:t>
            </w:r>
            <w:smartTag w:uri="urn:schemas-microsoft-com:office:smarttags" w:element="metricconverter">
              <w:smartTagPr>
                <w:attr w:name="ProductID" w:val="300 mm"/>
              </w:smartTagPr>
              <w:r w:rsidRPr="006431C4">
                <w:rPr>
                  <w:rFonts w:cs="Arial"/>
                  <w:szCs w:val="20"/>
                </w:rPr>
                <w:t>300 mm</w:t>
              </w:r>
            </w:smartTag>
          </w:p>
          <w:p w14:paraId="2F87406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                                             </w:t>
            </w:r>
            <w:smartTag w:uri="urn:schemas-microsoft-com:office:smarttags" w:element="metricconverter">
              <w:smartTagPr>
                <w:attr w:name="ProductID" w:val="400 mm"/>
              </w:smartTagPr>
              <w:r w:rsidRPr="006431C4">
                <w:rPr>
                  <w:rFonts w:cs="Arial"/>
                  <w:szCs w:val="20"/>
                </w:rPr>
                <w:t>400 mm</w:t>
              </w:r>
            </w:smartTag>
          </w:p>
        </w:tc>
        <w:tc>
          <w:tcPr>
            <w:tcW w:w="850" w:type="dxa"/>
            <w:tcBorders>
              <w:top w:val="single" w:sz="4" w:space="0" w:color="auto"/>
              <w:left w:val="single" w:sz="4" w:space="0" w:color="auto"/>
              <w:bottom w:val="single" w:sz="4" w:space="0" w:color="auto"/>
              <w:right w:val="single" w:sz="4" w:space="0" w:color="auto"/>
            </w:tcBorders>
          </w:tcPr>
          <w:p w14:paraId="72BD657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C</w:t>
            </w:r>
          </w:p>
        </w:tc>
        <w:tc>
          <w:tcPr>
            <w:tcW w:w="6833" w:type="dxa"/>
            <w:gridSpan w:val="3"/>
            <w:tcBorders>
              <w:top w:val="single" w:sz="4" w:space="0" w:color="auto"/>
              <w:left w:val="single" w:sz="4" w:space="0" w:color="auto"/>
              <w:bottom w:val="single" w:sz="4" w:space="0" w:color="auto"/>
              <w:right w:val="single" w:sz="4" w:space="0" w:color="auto"/>
            </w:tcBorders>
          </w:tcPr>
          <w:p w14:paraId="66EB323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Maksymalna (w mm)</w:t>
            </w:r>
          </w:p>
          <w:p w14:paraId="67F3597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wypukłość                      wklęsłość</w:t>
            </w:r>
          </w:p>
          <w:p w14:paraId="7DBB8450"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1DCFF4B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1,5                                    1,0</w:t>
            </w:r>
          </w:p>
          <w:p w14:paraId="4DEBC98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2,0                                    1,5</w:t>
            </w:r>
          </w:p>
        </w:tc>
      </w:tr>
      <w:tr w:rsidR="006336AC" w:rsidRPr="006431C4" w14:paraId="75451E2C" w14:textId="77777777" w:rsidTr="00303B15">
        <w:tc>
          <w:tcPr>
            <w:tcW w:w="568" w:type="dxa"/>
            <w:tcBorders>
              <w:top w:val="single" w:sz="4" w:space="0" w:color="auto"/>
              <w:left w:val="single" w:sz="4" w:space="0" w:color="auto"/>
              <w:bottom w:val="single" w:sz="4" w:space="0" w:color="auto"/>
              <w:right w:val="single" w:sz="4" w:space="0" w:color="auto"/>
            </w:tcBorders>
          </w:tcPr>
          <w:p w14:paraId="70C2E52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10376" w:type="dxa"/>
            <w:gridSpan w:val="5"/>
            <w:tcBorders>
              <w:top w:val="single" w:sz="4" w:space="0" w:color="auto"/>
              <w:left w:val="single" w:sz="4" w:space="0" w:color="auto"/>
              <w:bottom w:val="single" w:sz="4" w:space="0" w:color="auto"/>
              <w:right w:val="single" w:sz="4" w:space="0" w:color="auto"/>
            </w:tcBorders>
          </w:tcPr>
          <w:p w14:paraId="7FDDA66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Właściwości fizyczne i mechaniczne</w:t>
            </w:r>
          </w:p>
        </w:tc>
      </w:tr>
      <w:tr w:rsidR="006336AC" w:rsidRPr="006431C4" w14:paraId="0D66ADC4" w14:textId="77777777" w:rsidTr="00303B15">
        <w:tc>
          <w:tcPr>
            <w:tcW w:w="568" w:type="dxa"/>
            <w:tcBorders>
              <w:top w:val="single" w:sz="4" w:space="0" w:color="auto"/>
              <w:left w:val="single" w:sz="4" w:space="0" w:color="auto"/>
              <w:bottom w:val="single" w:sz="4" w:space="0" w:color="auto"/>
              <w:right w:val="single" w:sz="4" w:space="0" w:color="auto"/>
            </w:tcBorders>
          </w:tcPr>
          <w:p w14:paraId="77A361B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2.1</w:t>
            </w:r>
          </w:p>
        </w:tc>
        <w:tc>
          <w:tcPr>
            <w:tcW w:w="2693" w:type="dxa"/>
            <w:tcBorders>
              <w:top w:val="single" w:sz="4" w:space="0" w:color="auto"/>
              <w:left w:val="single" w:sz="4" w:space="0" w:color="auto"/>
              <w:bottom w:val="single" w:sz="4" w:space="0" w:color="auto"/>
              <w:right w:val="single" w:sz="4" w:space="0" w:color="auto"/>
            </w:tcBorders>
          </w:tcPr>
          <w:p w14:paraId="51E87A5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Odporność na zamrażanie/rozmraża-nie z udziałem soli odladzających (wg klasy 3, zał. D)</w:t>
            </w:r>
          </w:p>
        </w:tc>
        <w:tc>
          <w:tcPr>
            <w:tcW w:w="850" w:type="dxa"/>
            <w:tcBorders>
              <w:top w:val="single" w:sz="4" w:space="0" w:color="auto"/>
              <w:left w:val="single" w:sz="4" w:space="0" w:color="auto"/>
              <w:bottom w:val="single" w:sz="4" w:space="0" w:color="auto"/>
              <w:right w:val="single" w:sz="4" w:space="0" w:color="auto"/>
            </w:tcBorders>
          </w:tcPr>
          <w:p w14:paraId="5EA9C20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w:t>
            </w:r>
          </w:p>
        </w:tc>
        <w:tc>
          <w:tcPr>
            <w:tcW w:w="6833" w:type="dxa"/>
            <w:gridSpan w:val="3"/>
            <w:tcBorders>
              <w:top w:val="single" w:sz="4" w:space="0" w:color="auto"/>
              <w:left w:val="single" w:sz="4" w:space="0" w:color="auto"/>
              <w:bottom w:val="single" w:sz="4" w:space="0" w:color="auto"/>
              <w:right w:val="single" w:sz="4" w:space="0" w:color="auto"/>
            </w:tcBorders>
          </w:tcPr>
          <w:p w14:paraId="31866F4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Ubytek masy po badaniu: wartość średnia ≤ 1,0 kg/m</w:t>
            </w:r>
            <w:r w:rsidRPr="006431C4">
              <w:rPr>
                <w:rFonts w:cs="Arial"/>
                <w:szCs w:val="20"/>
                <w:vertAlign w:val="superscript"/>
              </w:rPr>
              <w:t>2</w:t>
            </w:r>
            <w:r w:rsidRPr="006431C4">
              <w:rPr>
                <w:rFonts w:cs="Arial"/>
                <w:szCs w:val="20"/>
              </w:rPr>
              <w:t>, przy czym każdy pojedynczy wynik &lt; 1,5 kg/m</w:t>
            </w:r>
            <w:r w:rsidRPr="006431C4">
              <w:rPr>
                <w:rFonts w:cs="Arial"/>
                <w:szCs w:val="20"/>
                <w:vertAlign w:val="superscript"/>
              </w:rPr>
              <w:t>2</w:t>
            </w:r>
            <w:r w:rsidRPr="006431C4">
              <w:rPr>
                <w:rFonts w:cs="Arial"/>
                <w:szCs w:val="20"/>
              </w:rPr>
              <w:t xml:space="preserve"> </w:t>
            </w:r>
          </w:p>
        </w:tc>
      </w:tr>
      <w:tr w:rsidR="006336AC" w:rsidRPr="006431C4" w14:paraId="1518802E" w14:textId="77777777" w:rsidTr="00303B15">
        <w:tc>
          <w:tcPr>
            <w:tcW w:w="568" w:type="dxa"/>
            <w:tcBorders>
              <w:top w:val="single" w:sz="4" w:space="0" w:color="auto"/>
              <w:left w:val="single" w:sz="4" w:space="0" w:color="auto"/>
              <w:bottom w:val="single" w:sz="4" w:space="0" w:color="auto"/>
              <w:right w:val="single" w:sz="4" w:space="0" w:color="auto"/>
            </w:tcBorders>
          </w:tcPr>
          <w:p w14:paraId="3724DE9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2.2</w:t>
            </w:r>
          </w:p>
        </w:tc>
        <w:tc>
          <w:tcPr>
            <w:tcW w:w="2693" w:type="dxa"/>
            <w:tcBorders>
              <w:top w:val="single" w:sz="4" w:space="0" w:color="auto"/>
              <w:left w:val="single" w:sz="4" w:space="0" w:color="auto"/>
              <w:bottom w:val="single" w:sz="4" w:space="0" w:color="auto"/>
              <w:right w:val="single" w:sz="4" w:space="0" w:color="auto"/>
            </w:tcBorders>
          </w:tcPr>
          <w:p w14:paraId="1C7B3A8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Wytrzymałość na rozciąganie przy rozłupywaniu</w:t>
            </w:r>
          </w:p>
        </w:tc>
        <w:tc>
          <w:tcPr>
            <w:tcW w:w="850" w:type="dxa"/>
            <w:tcBorders>
              <w:top w:val="single" w:sz="4" w:space="0" w:color="auto"/>
              <w:left w:val="single" w:sz="4" w:space="0" w:color="auto"/>
              <w:bottom w:val="single" w:sz="4" w:space="0" w:color="auto"/>
              <w:right w:val="single" w:sz="4" w:space="0" w:color="auto"/>
            </w:tcBorders>
          </w:tcPr>
          <w:p w14:paraId="3E80ABA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F</w:t>
            </w:r>
          </w:p>
        </w:tc>
        <w:tc>
          <w:tcPr>
            <w:tcW w:w="6833" w:type="dxa"/>
            <w:gridSpan w:val="3"/>
            <w:tcBorders>
              <w:top w:val="single" w:sz="4" w:space="0" w:color="auto"/>
              <w:left w:val="single" w:sz="4" w:space="0" w:color="auto"/>
              <w:bottom w:val="single" w:sz="4" w:space="0" w:color="auto"/>
              <w:right w:val="single" w:sz="4" w:space="0" w:color="auto"/>
            </w:tcBorders>
          </w:tcPr>
          <w:p w14:paraId="6944F28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Wytrzymałość charakterystyczna T ≥ 3,6 MPa. Każdy pojedynczy wynik ≥ 2,9 MPa i nie powinien wykazywać obciążenia niszczącego mniejszego niż 250 N/mm długości rozłupania</w:t>
            </w:r>
          </w:p>
        </w:tc>
      </w:tr>
      <w:tr w:rsidR="006336AC" w:rsidRPr="006431C4" w14:paraId="24CDF171" w14:textId="77777777" w:rsidTr="00303B15">
        <w:tc>
          <w:tcPr>
            <w:tcW w:w="568" w:type="dxa"/>
            <w:tcBorders>
              <w:top w:val="single" w:sz="4" w:space="0" w:color="auto"/>
              <w:left w:val="single" w:sz="4" w:space="0" w:color="auto"/>
              <w:bottom w:val="single" w:sz="4" w:space="0" w:color="auto"/>
              <w:right w:val="single" w:sz="4" w:space="0" w:color="auto"/>
            </w:tcBorders>
          </w:tcPr>
          <w:p w14:paraId="67FA307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2.3</w:t>
            </w:r>
          </w:p>
        </w:tc>
        <w:tc>
          <w:tcPr>
            <w:tcW w:w="2693" w:type="dxa"/>
            <w:tcBorders>
              <w:top w:val="single" w:sz="4" w:space="0" w:color="auto"/>
              <w:left w:val="single" w:sz="4" w:space="0" w:color="auto"/>
              <w:bottom w:val="single" w:sz="4" w:space="0" w:color="auto"/>
              <w:right w:val="single" w:sz="4" w:space="0" w:color="auto"/>
            </w:tcBorders>
          </w:tcPr>
          <w:p w14:paraId="0422113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Trwałość   (ze względu na wytrzyma-łość)</w:t>
            </w:r>
          </w:p>
        </w:tc>
        <w:tc>
          <w:tcPr>
            <w:tcW w:w="850" w:type="dxa"/>
            <w:tcBorders>
              <w:top w:val="single" w:sz="4" w:space="0" w:color="auto"/>
              <w:left w:val="single" w:sz="4" w:space="0" w:color="auto"/>
              <w:bottom w:val="single" w:sz="4" w:space="0" w:color="auto"/>
              <w:right w:val="single" w:sz="4" w:space="0" w:color="auto"/>
            </w:tcBorders>
          </w:tcPr>
          <w:p w14:paraId="29FAFF2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F</w:t>
            </w:r>
          </w:p>
        </w:tc>
        <w:tc>
          <w:tcPr>
            <w:tcW w:w="6833" w:type="dxa"/>
            <w:gridSpan w:val="3"/>
            <w:tcBorders>
              <w:top w:val="single" w:sz="4" w:space="0" w:color="auto"/>
              <w:left w:val="single" w:sz="4" w:space="0" w:color="auto"/>
              <w:bottom w:val="single" w:sz="4" w:space="0" w:color="auto"/>
              <w:right w:val="single" w:sz="4" w:space="0" w:color="auto"/>
            </w:tcBorders>
          </w:tcPr>
          <w:p w14:paraId="1D1AB63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Kostki mają zadawalającą trwałość (wytrzymałość) jeśli spełnione są wymagania pktu 2.2 oraz istnieje normalna konserwacja</w:t>
            </w:r>
          </w:p>
        </w:tc>
      </w:tr>
      <w:tr w:rsidR="006336AC" w:rsidRPr="006431C4" w14:paraId="31D76E26" w14:textId="77777777" w:rsidTr="00303B15">
        <w:tc>
          <w:tcPr>
            <w:tcW w:w="568" w:type="dxa"/>
            <w:tcBorders>
              <w:top w:val="single" w:sz="4" w:space="0" w:color="auto"/>
              <w:left w:val="single" w:sz="4" w:space="0" w:color="auto"/>
              <w:right w:val="single" w:sz="4" w:space="0" w:color="auto"/>
            </w:tcBorders>
          </w:tcPr>
          <w:p w14:paraId="0BB4472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2.4</w:t>
            </w:r>
          </w:p>
        </w:tc>
        <w:tc>
          <w:tcPr>
            <w:tcW w:w="2693" w:type="dxa"/>
            <w:tcBorders>
              <w:top w:val="single" w:sz="4" w:space="0" w:color="auto"/>
              <w:left w:val="single" w:sz="4" w:space="0" w:color="auto"/>
              <w:right w:val="single" w:sz="4" w:space="0" w:color="auto"/>
            </w:tcBorders>
          </w:tcPr>
          <w:p w14:paraId="1E1996F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Odporność na ścieranie (wg klasy 3 </w:t>
            </w:r>
          </w:p>
        </w:tc>
        <w:tc>
          <w:tcPr>
            <w:tcW w:w="850" w:type="dxa"/>
            <w:tcBorders>
              <w:top w:val="single" w:sz="4" w:space="0" w:color="auto"/>
              <w:left w:val="single" w:sz="4" w:space="0" w:color="auto"/>
              <w:right w:val="single" w:sz="4" w:space="0" w:color="auto"/>
            </w:tcBorders>
          </w:tcPr>
          <w:p w14:paraId="56C1D46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G i H</w:t>
            </w:r>
          </w:p>
        </w:tc>
        <w:tc>
          <w:tcPr>
            <w:tcW w:w="6833" w:type="dxa"/>
            <w:gridSpan w:val="3"/>
            <w:tcBorders>
              <w:top w:val="single" w:sz="4" w:space="0" w:color="auto"/>
              <w:left w:val="single" w:sz="4" w:space="0" w:color="auto"/>
              <w:bottom w:val="single" w:sz="4" w:space="0" w:color="auto"/>
              <w:right w:val="single" w:sz="4" w:space="0" w:color="auto"/>
            </w:tcBorders>
            <w:shd w:val="clear" w:color="auto" w:fill="auto"/>
          </w:tcPr>
          <w:p w14:paraId="64FF511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Pomiar wykonany na tarczy</w:t>
            </w:r>
          </w:p>
        </w:tc>
      </w:tr>
      <w:tr w:rsidR="006336AC" w:rsidRPr="006431C4" w14:paraId="6AE06601" w14:textId="77777777" w:rsidTr="00303B15">
        <w:tc>
          <w:tcPr>
            <w:tcW w:w="568" w:type="dxa"/>
            <w:tcBorders>
              <w:left w:val="single" w:sz="4" w:space="0" w:color="auto"/>
              <w:right w:val="single" w:sz="4" w:space="0" w:color="auto"/>
            </w:tcBorders>
          </w:tcPr>
          <w:p w14:paraId="30A96C8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2693" w:type="dxa"/>
            <w:tcBorders>
              <w:left w:val="single" w:sz="4" w:space="0" w:color="auto"/>
              <w:right w:val="single" w:sz="4" w:space="0" w:color="auto"/>
            </w:tcBorders>
          </w:tcPr>
          <w:p w14:paraId="6EB4CD1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oznaczenia H normy)</w:t>
            </w:r>
          </w:p>
        </w:tc>
        <w:tc>
          <w:tcPr>
            <w:tcW w:w="850" w:type="dxa"/>
            <w:tcBorders>
              <w:left w:val="single" w:sz="4" w:space="0" w:color="auto"/>
              <w:right w:val="single" w:sz="4" w:space="0" w:color="auto"/>
            </w:tcBorders>
          </w:tcPr>
          <w:p w14:paraId="292C8342"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BB452B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szerokiej ściernej,              wg zał. G normy – badanie podstawowe</w:t>
            </w:r>
          </w:p>
        </w:tc>
        <w:tc>
          <w:tcPr>
            <w:tcW w:w="5132" w:type="dxa"/>
            <w:gridSpan w:val="2"/>
            <w:tcBorders>
              <w:top w:val="single" w:sz="4" w:space="0" w:color="auto"/>
              <w:left w:val="single" w:sz="4" w:space="0" w:color="auto"/>
              <w:bottom w:val="single" w:sz="4" w:space="0" w:color="auto"/>
              <w:right w:val="single" w:sz="4" w:space="0" w:color="auto"/>
            </w:tcBorders>
            <w:shd w:val="clear" w:color="auto" w:fill="auto"/>
          </w:tcPr>
          <w:p w14:paraId="3FD62B3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Böhmego,</w:t>
            </w:r>
          </w:p>
          <w:p w14:paraId="1644DD0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wg zał. H </w:t>
            </w:r>
            <w:proofErr w:type="spellStart"/>
            <w:r w:rsidRPr="006431C4">
              <w:rPr>
                <w:rFonts w:cs="Arial"/>
                <w:szCs w:val="20"/>
              </w:rPr>
              <w:t>mormy</w:t>
            </w:r>
            <w:proofErr w:type="spellEnd"/>
            <w:r w:rsidRPr="006431C4">
              <w:rPr>
                <w:rFonts w:cs="Arial"/>
                <w:szCs w:val="20"/>
              </w:rPr>
              <w:t xml:space="preserve"> – badanie alternatywne</w:t>
            </w:r>
          </w:p>
        </w:tc>
      </w:tr>
      <w:tr w:rsidR="006336AC" w:rsidRPr="006431C4" w14:paraId="7CD950C8" w14:textId="77777777" w:rsidTr="00303B15">
        <w:tc>
          <w:tcPr>
            <w:tcW w:w="568" w:type="dxa"/>
            <w:tcBorders>
              <w:left w:val="single" w:sz="4" w:space="0" w:color="auto"/>
              <w:bottom w:val="single" w:sz="4" w:space="0" w:color="auto"/>
              <w:right w:val="single" w:sz="4" w:space="0" w:color="auto"/>
            </w:tcBorders>
          </w:tcPr>
          <w:p w14:paraId="3DB615FF"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2693" w:type="dxa"/>
            <w:tcBorders>
              <w:left w:val="single" w:sz="4" w:space="0" w:color="auto"/>
              <w:bottom w:val="single" w:sz="4" w:space="0" w:color="auto"/>
              <w:right w:val="single" w:sz="4" w:space="0" w:color="auto"/>
            </w:tcBorders>
          </w:tcPr>
          <w:p w14:paraId="0D76A531"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850" w:type="dxa"/>
            <w:tcBorders>
              <w:left w:val="single" w:sz="4" w:space="0" w:color="auto"/>
              <w:bottom w:val="single" w:sz="4" w:space="0" w:color="auto"/>
              <w:right w:val="single" w:sz="4" w:space="0" w:color="auto"/>
            </w:tcBorders>
          </w:tcPr>
          <w:p w14:paraId="1BABFC3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FF7219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 </w:t>
            </w:r>
            <w:smartTag w:uri="urn:schemas-microsoft-com:office:smarttags" w:element="metricconverter">
              <w:smartTagPr>
                <w:attr w:name="ProductID" w:val="23 mm"/>
              </w:smartTagPr>
              <w:r w:rsidRPr="006431C4">
                <w:rPr>
                  <w:rFonts w:cs="Arial"/>
                  <w:szCs w:val="20"/>
                </w:rPr>
                <w:t>23 mm</w:t>
              </w:r>
            </w:smartTag>
          </w:p>
        </w:tc>
        <w:tc>
          <w:tcPr>
            <w:tcW w:w="5132" w:type="dxa"/>
            <w:gridSpan w:val="2"/>
            <w:tcBorders>
              <w:top w:val="single" w:sz="4" w:space="0" w:color="auto"/>
              <w:left w:val="single" w:sz="4" w:space="0" w:color="auto"/>
              <w:bottom w:val="single" w:sz="4" w:space="0" w:color="auto"/>
              <w:right w:val="single" w:sz="4" w:space="0" w:color="auto"/>
            </w:tcBorders>
            <w:shd w:val="clear" w:color="auto" w:fill="auto"/>
          </w:tcPr>
          <w:p w14:paraId="36D0A1B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≤20 000mm</w:t>
            </w:r>
            <w:r w:rsidRPr="006431C4">
              <w:rPr>
                <w:rFonts w:cs="Arial"/>
                <w:szCs w:val="20"/>
                <w:vertAlign w:val="superscript"/>
              </w:rPr>
              <w:t>3</w:t>
            </w:r>
            <w:r w:rsidRPr="006431C4">
              <w:rPr>
                <w:rFonts w:cs="Arial"/>
                <w:szCs w:val="20"/>
              </w:rPr>
              <w:t>/5000 mm</w:t>
            </w:r>
            <w:r w:rsidRPr="006431C4">
              <w:rPr>
                <w:rFonts w:cs="Arial"/>
                <w:szCs w:val="20"/>
                <w:vertAlign w:val="superscript"/>
              </w:rPr>
              <w:t>2</w:t>
            </w:r>
            <w:r w:rsidRPr="006431C4">
              <w:rPr>
                <w:rFonts w:cs="Arial"/>
                <w:szCs w:val="20"/>
              </w:rPr>
              <w:t xml:space="preserve"> </w:t>
            </w:r>
          </w:p>
        </w:tc>
      </w:tr>
      <w:tr w:rsidR="006336AC" w:rsidRPr="006431C4" w14:paraId="70226163" w14:textId="77777777" w:rsidTr="00303B15">
        <w:tc>
          <w:tcPr>
            <w:tcW w:w="568" w:type="dxa"/>
            <w:tcBorders>
              <w:top w:val="single" w:sz="4" w:space="0" w:color="auto"/>
              <w:left w:val="single" w:sz="4" w:space="0" w:color="auto"/>
              <w:bottom w:val="single" w:sz="4" w:space="0" w:color="auto"/>
              <w:right w:val="single" w:sz="4" w:space="0" w:color="auto"/>
            </w:tcBorders>
          </w:tcPr>
          <w:p w14:paraId="37FCFE4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2.5</w:t>
            </w:r>
          </w:p>
        </w:tc>
        <w:tc>
          <w:tcPr>
            <w:tcW w:w="2693" w:type="dxa"/>
            <w:tcBorders>
              <w:top w:val="single" w:sz="4" w:space="0" w:color="auto"/>
              <w:left w:val="single" w:sz="4" w:space="0" w:color="auto"/>
              <w:bottom w:val="single" w:sz="4" w:space="0" w:color="auto"/>
              <w:right w:val="single" w:sz="4" w:space="0" w:color="auto"/>
            </w:tcBorders>
          </w:tcPr>
          <w:p w14:paraId="7FB463F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Odporność na </w:t>
            </w:r>
            <w:r w:rsidRPr="006431C4">
              <w:rPr>
                <w:rFonts w:cs="Arial"/>
                <w:szCs w:val="20"/>
              </w:rPr>
              <w:lastRenderedPageBreak/>
              <w:t>poślizg/poślizgnięcie</w:t>
            </w:r>
          </w:p>
        </w:tc>
        <w:tc>
          <w:tcPr>
            <w:tcW w:w="850" w:type="dxa"/>
            <w:tcBorders>
              <w:top w:val="single" w:sz="4" w:space="0" w:color="auto"/>
              <w:left w:val="single" w:sz="4" w:space="0" w:color="auto"/>
              <w:bottom w:val="single" w:sz="4" w:space="0" w:color="auto"/>
              <w:right w:val="single" w:sz="4" w:space="0" w:color="auto"/>
            </w:tcBorders>
          </w:tcPr>
          <w:p w14:paraId="466C5AC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lastRenderedPageBreak/>
              <w:t>I</w:t>
            </w:r>
          </w:p>
        </w:tc>
        <w:tc>
          <w:tcPr>
            <w:tcW w:w="6833" w:type="dxa"/>
            <w:gridSpan w:val="3"/>
            <w:tcBorders>
              <w:top w:val="single" w:sz="4" w:space="0" w:color="auto"/>
              <w:left w:val="single" w:sz="4" w:space="0" w:color="auto"/>
              <w:bottom w:val="single" w:sz="4" w:space="0" w:color="auto"/>
              <w:right w:val="single" w:sz="4" w:space="0" w:color="auto"/>
            </w:tcBorders>
          </w:tcPr>
          <w:p w14:paraId="45E2EF3D" w14:textId="77777777" w:rsidR="006336AC" w:rsidRPr="006431C4" w:rsidRDefault="006336AC" w:rsidP="00413F29">
            <w:pPr>
              <w:numPr>
                <w:ilvl w:val="0"/>
                <w:numId w:val="74"/>
              </w:numPr>
              <w:shd w:val="clear" w:color="auto" w:fill="FFFFFF" w:themeFill="background1"/>
              <w:tabs>
                <w:tab w:val="left" w:pos="142"/>
                <w:tab w:val="num" w:pos="176"/>
              </w:tabs>
              <w:spacing w:line="240" w:lineRule="auto"/>
              <w:ind w:left="0" w:firstLine="0"/>
              <w:jc w:val="both"/>
              <w:rPr>
                <w:rFonts w:cs="Arial"/>
                <w:szCs w:val="20"/>
              </w:rPr>
            </w:pPr>
            <w:r w:rsidRPr="006431C4">
              <w:rPr>
                <w:rFonts w:cs="Arial"/>
                <w:szCs w:val="20"/>
              </w:rPr>
              <w:t>jeśli górna powierzchnia kostki nie była szlifo-</w:t>
            </w:r>
            <w:proofErr w:type="spellStart"/>
            <w:r w:rsidRPr="006431C4">
              <w:rPr>
                <w:rFonts w:cs="Arial"/>
                <w:szCs w:val="20"/>
              </w:rPr>
              <w:t>wana</w:t>
            </w:r>
            <w:proofErr w:type="spellEnd"/>
            <w:r w:rsidRPr="006431C4">
              <w:rPr>
                <w:rFonts w:cs="Arial"/>
                <w:szCs w:val="20"/>
              </w:rPr>
              <w:t xml:space="preserve"> lub polerowana – </w:t>
            </w:r>
            <w:r w:rsidRPr="006431C4">
              <w:rPr>
                <w:rFonts w:cs="Arial"/>
                <w:szCs w:val="20"/>
              </w:rPr>
              <w:lastRenderedPageBreak/>
              <w:t>zadawalająca odporność,</w:t>
            </w:r>
          </w:p>
          <w:p w14:paraId="2E00CF6D" w14:textId="77777777" w:rsidR="006336AC" w:rsidRPr="006431C4" w:rsidRDefault="006336AC" w:rsidP="00413F29">
            <w:pPr>
              <w:numPr>
                <w:ilvl w:val="0"/>
                <w:numId w:val="74"/>
              </w:numPr>
              <w:shd w:val="clear" w:color="auto" w:fill="FFFFFF" w:themeFill="background1"/>
              <w:tabs>
                <w:tab w:val="left" w:pos="142"/>
                <w:tab w:val="num" w:pos="176"/>
              </w:tabs>
              <w:spacing w:line="240" w:lineRule="auto"/>
              <w:ind w:left="0" w:firstLine="0"/>
              <w:jc w:val="both"/>
              <w:rPr>
                <w:rFonts w:cs="Arial"/>
                <w:szCs w:val="20"/>
              </w:rPr>
            </w:pPr>
            <w:r w:rsidRPr="006431C4">
              <w:rPr>
                <w:rFonts w:cs="Arial"/>
                <w:szCs w:val="20"/>
              </w:rPr>
              <w:t>jeśli wyjątkowo wymaga się podania wartości odporności na poślizg/poślizgnięcie – należy zadeklarować minimalną jej wartość pomierzoną wg zał. I normy (wahadłowym przyrządem do badania tarcia)</w:t>
            </w:r>
          </w:p>
        </w:tc>
      </w:tr>
    </w:tbl>
    <w:p w14:paraId="71FEF62B"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bl>
      <w:tblPr>
        <w:tblW w:w="1094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693"/>
        <w:gridCol w:w="850"/>
        <w:gridCol w:w="6833"/>
      </w:tblGrid>
      <w:tr w:rsidR="006336AC" w:rsidRPr="006431C4" w14:paraId="2B38D4D7" w14:textId="77777777" w:rsidTr="00303B15">
        <w:tc>
          <w:tcPr>
            <w:tcW w:w="568" w:type="dxa"/>
            <w:tcBorders>
              <w:top w:val="single" w:sz="4" w:space="0" w:color="auto"/>
              <w:left w:val="single" w:sz="4" w:space="0" w:color="auto"/>
              <w:bottom w:val="single" w:sz="4" w:space="0" w:color="auto"/>
              <w:right w:val="single" w:sz="4" w:space="0" w:color="auto"/>
            </w:tcBorders>
          </w:tcPr>
          <w:p w14:paraId="5D36BC5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3</w:t>
            </w:r>
          </w:p>
        </w:tc>
        <w:tc>
          <w:tcPr>
            <w:tcW w:w="10376" w:type="dxa"/>
            <w:gridSpan w:val="3"/>
            <w:tcBorders>
              <w:top w:val="single" w:sz="4" w:space="0" w:color="auto"/>
              <w:left w:val="single" w:sz="4" w:space="0" w:color="auto"/>
              <w:bottom w:val="single" w:sz="4" w:space="0" w:color="auto"/>
              <w:right w:val="single" w:sz="4" w:space="0" w:color="auto"/>
            </w:tcBorders>
          </w:tcPr>
          <w:p w14:paraId="17E4450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Aspekty wizualne</w:t>
            </w:r>
          </w:p>
        </w:tc>
      </w:tr>
      <w:tr w:rsidR="006336AC" w:rsidRPr="006431C4" w14:paraId="31B950E5" w14:textId="77777777" w:rsidTr="00303B1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3E4A17E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3.1</w:t>
            </w:r>
          </w:p>
        </w:tc>
        <w:tc>
          <w:tcPr>
            <w:tcW w:w="2693" w:type="dxa"/>
            <w:tcBorders>
              <w:top w:val="single" w:sz="4" w:space="0" w:color="auto"/>
              <w:left w:val="single" w:sz="4" w:space="0" w:color="auto"/>
              <w:bottom w:val="single" w:sz="4" w:space="0" w:color="auto"/>
              <w:right w:val="single" w:sz="4" w:space="0" w:color="auto"/>
            </w:tcBorders>
          </w:tcPr>
          <w:p w14:paraId="3B83733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Wygląd</w:t>
            </w:r>
          </w:p>
        </w:tc>
        <w:tc>
          <w:tcPr>
            <w:tcW w:w="850" w:type="dxa"/>
            <w:tcBorders>
              <w:top w:val="single" w:sz="4" w:space="0" w:color="auto"/>
              <w:left w:val="single" w:sz="4" w:space="0" w:color="auto"/>
              <w:bottom w:val="single" w:sz="4" w:space="0" w:color="auto"/>
              <w:right w:val="single" w:sz="4" w:space="0" w:color="auto"/>
            </w:tcBorders>
          </w:tcPr>
          <w:p w14:paraId="3CE8330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J</w:t>
            </w:r>
          </w:p>
        </w:tc>
        <w:tc>
          <w:tcPr>
            <w:tcW w:w="6833" w:type="dxa"/>
            <w:tcBorders>
              <w:top w:val="single" w:sz="4" w:space="0" w:color="auto"/>
              <w:left w:val="single" w:sz="4" w:space="0" w:color="auto"/>
              <w:bottom w:val="single" w:sz="4" w:space="0" w:color="auto"/>
              <w:right w:val="single" w:sz="4" w:space="0" w:color="auto"/>
            </w:tcBorders>
          </w:tcPr>
          <w:p w14:paraId="32FADE9A" w14:textId="77777777" w:rsidR="006336AC" w:rsidRPr="006431C4" w:rsidRDefault="006336AC" w:rsidP="00413F29">
            <w:pPr>
              <w:numPr>
                <w:ilvl w:val="0"/>
                <w:numId w:val="75"/>
              </w:numPr>
              <w:shd w:val="clear" w:color="auto" w:fill="FFFFFF" w:themeFill="background1"/>
              <w:tabs>
                <w:tab w:val="left" w:pos="142"/>
                <w:tab w:val="num" w:pos="176"/>
              </w:tabs>
              <w:spacing w:line="240" w:lineRule="auto"/>
              <w:ind w:left="0" w:firstLine="0"/>
              <w:jc w:val="both"/>
              <w:rPr>
                <w:rFonts w:cs="Arial"/>
                <w:szCs w:val="20"/>
              </w:rPr>
            </w:pPr>
            <w:r w:rsidRPr="006431C4">
              <w:rPr>
                <w:rFonts w:cs="Arial"/>
                <w:szCs w:val="20"/>
              </w:rPr>
              <w:t>górna powierzchnia kostki nie powinna mieć rys i odprysków,</w:t>
            </w:r>
          </w:p>
          <w:p w14:paraId="5D3A76DC" w14:textId="77777777" w:rsidR="006336AC" w:rsidRPr="006431C4" w:rsidRDefault="006336AC" w:rsidP="00413F29">
            <w:pPr>
              <w:numPr>
                <w:ilvl w:val="0"/>
                <w:numId w:val="75"/>
              </w:numPr>
              <w:shd w:val="clear" w:color="auto" w:fill="FFFFFF" w:themeFill="background1"/>
              <w:tabs>
                <w:tab w:val="left" w:pos="142"/>
                <w:tab w:val="num" w:pos="176"/>
              </w:tabs>
              <w:spacing w:line="240" w:lineRule="auto"/>
              <w:ind w:left="0" w:firstLine="0"/>
              <w:jc w:val="both"/>
              <w:rPr>
                <w:rFonts w:cs="Arial"/>
                <w:szCs w:val="20"/>
              </w:rPr>
            </w:pPr>
            <w:r w:rsidRPr="006431C4">
              <w:rPr>
                <w:rFonts w:cs="Arial"/>
                <w:szCs w:val="20"/>
              </w:rPr>
              <w:t>nie dopuszcza się rozwarstwień w kostkach dwuwarstwowych,</w:t>
            </w:r>
          </w:p>
          <w:p w14:paraId="26EEC99D" w14:textId="77777777" w:rsidR="006336AC" w:rsidRPr="006431C4" w:rsidRDefault="006336AC" w:rsidP="00413F29">
            <w:pPr>
              <w:numPr>
                <w:ilvl w:val="0"/>
                <w:numId w:val="75"/>
              </w:numPr>
              <w:shd w:val="clear" w:color="auto" w:fill="FFFFFF" w:themeFill="background1"/>
              <w:tabs>
                <w:tab w:val="left" w:pos="142"/>
                <w:tab w:val="num" w:pos="176"/>
              </w:tabs>
              <w:spacing w:line="240" w:lineRule="auto"/>
              <w:ind w:left="0" w:firstLine="0"/>
              <w:jc w:val="both"/>
              <w:rPr>
                <w:rFonts w:cs="Arial"/>
                <w:szCs w:val="20"/>
              </w:rPr>
            </w:pPr>
            <w:r w:rsidRPr="006431C4">
              <w:rPr>
                <w:rFonts w:cs="Arial"/>
                <w:szCs w:val="20"/>
              </w:rPr>
              <w:t>ewentualne wykwity nie są uważane za istotne</w:t>
            </w:r>
          </w:p>
        </w:tc>
      </w:tr>
      <w:tr w:rsidR="006336AC" w:rsidRPr="006431C4" w14:paraId="289F027B" w14:textId="77777777" w:rsidTr="00303B1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2D61384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3.2</w:t>
            </w:r>
          </w:p>
          <w:p w14:paraId="05B8185E"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028B803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3CC20B41"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7B369793"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7861E6D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3.3</w:t>
            </w:r>
          </w:p>
        </w:tc>
        <w:tc>
          <w:tcPr>
            <w:tcW w:w="2693" w:type="dxa"/>
            <w:tcBorders>
              <w:top w:val="single" w:sz="4" w:space="0" w:color="auto"/>
              <w:left w:val="single" w:sz="4" w:space="0" w:color="auto"/>
              <w:bottom w:val="single" w:sz="4" w:space="0" w:color="auto"/>
              <w:right w:val="single" w:sz="4" w:space="0" w:color="auto"/>
            </w:tcBorders>
          </w:tcPr>
          <w:p w14:paraId="5EE2FE9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Tekstura</w:t>
            </w:r>
          </w:p>
          <w:p w14:paraId="454E7B6A"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6EE17C0E"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B610A2A"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34CFC872"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249996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Zabarwienie (barwiona może być warstwa ścieralna lub cały element)</w:t>
            </w:r>
          </w:p>
          <w:p w14:paraId="7C8FC688"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850" w:type="dxa"/>
            <w:tcBorders>
              <w:top w:val="single" w:sz="4" w:space="0" w:color="auto"/>
              <w:left w:val="single" w:sz="4" w:space="0" w:color="auto"/>
              <w:bottom w:val="single" w:sz="4" w:space="0" w:color="auto"/>
              <w:right w:val="single" w:sz="4" w:space="0" w:color="auto"/>
            </w:tcBorders>
          </w:tcPr>
          <w:p w14:paraId="32C04AB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J</w:t>
            </w:r>
          </w:p>
        </w:tc>
        <w:tc>
          <w:tcPr>
            <w:tcW w:w="6833" w:type="dxa"/>
            <w:tcBorders>
              <w:top w:val="single" w:sz="4" w:space="0" w:color="auto"/>
              <w:left w:val="single" w:sz="4" w:space="0" w:color="auto"/>
              <w:bottom w:val="single" w:sz="4" w:space="0" w:color="auto"/>
              <w:right w:val="single" w:sz="4" w:space="0" w:color="auto"/>
            </w:tcBorders>
          </w:tcPr>
          <w:p w14:paraId="16000DE7" w14:textId="77777777" w:rsidR="006336AC" w:rsidRPr="006431C4" w:rsidRDefault="006336AC" w:rsidP="00413F29">
            <w:pPr>
              <w:numPr>
                <w:ilvl w:val="0"/>
                <w:numId w:val="76"/>
              </w:numPr>
              <w:shd w:val="clear" w:color="auto" w:fill="FFFFFF" w:themeFill="background1"/>
              <w:tabs>
                <w:tab w:val="left" w:pos="142"/>
                <w:tab w:val="num" w:pos="176"/>
              </w:tabs>
              <w:spacing w:line="240" w:lineRule="auto"/>
              <w:ind w:left="0" w:firstLine="0"/>
              <w:jc w:val="both"/>
              <w:rPr>
                <w:rFonts w:cs="Arial"/>
                <w:szCs w:val="20"/>
              </w:rPr>
            </w:pPr>
            <w:r w:rsidRPr="006431C4">
              <w:rPr>
                <w:rFonts w:cs="Arial"/>
                <w:szCs w:val="20"/>
              </w:rPr>
              <w:t>kostki z powierzchnią o specjalnej teksturze – producent powinien opisać rodzaj tekstury,</w:t>
            </w:r>
          </w:p>
          <w:p w14:paraId="1B221736" w14:textId="77777777" w:rsidR="006336AC" w:rsidRPr="006431C4" w:rsidRDefault="006336AC" w:rsidP="00413F29">
            <w:pPr>
              <w:numPr>
                <w:ilvl w:val="0"/>
                <w:numId w:val="76"/>
              </w:numPr>
              <w:shd w:val="clear" w:color="auto" w:fill="FFFFFF" w:themeFill="background1"/>
              <w:tabs>
                <w:tab w:val="left" w:pos="142"/>
                <w:tab w:val="num" w:pos="176"/>
              </w:tabs>
              <w:spacing w:line="240" w:lineRule="auto"/>
              <w:ind w:left="0" w:firstLine="0"/>
              <w:jc w:val="both"/>
              <w:rPr>
                <w:rFonts w:cs="Arial"/>
                <w:szCs w:val="20"/>
              </w:rPr>
            </w:pPr>
            <w:r w:rsidRPr="006431C4">
              <w:rPr>
                <w:rFonts w:cs="Arial"/>
                <w:szCs w:val="20"/>
              </w:rPr>
              <w:t>tekstura lub zabarwienie kostki powinny być porównane z próbką producenta, zatwierdzoną przez odbiorcę,</w:t>
            </w:r>
          </w:p>
          <w:p w14:paraId="05E12041" w14:textId="77777777" w:rsidR="006336AC" w:rsidRPr="006431C4" w:rsidRDefault="006336AC" w:rsidP="00413F29">
            <w:pPr>
              <w:numPr>
                <w:ilvl w:val="0"/>
                <w:numId w:val="76"/>
              </w:numPr>
              <w:shd w:val="clear" w:color="auto" w:fill="FFFFFF" w:themeFill="background1"/>
              <w:tabs>
                <w:tab w:val="left" w:pos="142"/>
                <w:tab w:val="num" w:pos="176"/>
              </w:tabs>
              <w:spacing w:line="240" w:lineRule="auto"/>
              <w:ind w:left="0" w:firstLine="0"/>
              <w:jc w:val="both"/>
              <w:rPr>
                <w:rFonts w:cs="Arial"/>
                <w:szCs w:val="20"/>
              </w:rPr>
            </w:pPr>
            <w:r w:rsidRPr="006431C4">
              <w:rPr>
                <w:rFonts w:cs="Arial"/>
                <w:szCs w:val="20"/>
              </w:rPr>
              <w:t>ewentualne różnice w jednolitości tekstury lub zabarwienia, spowodowane nieuniknionymi zmianami we właściwościach surowców i zmianach warunków twardnienia nie są uważane za istotne</w:t>
            </w:r>
          </w:p>
        </w:tc>
      </w:tr>
    </w:tbl>
    <w:p w14:paraId="772EEA3E"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DDD4A4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W przypadku zastosowań kostki na powierzchniach innych niż przewidziano w tablicy 1 (np. na nawierzchniach wewnętrznych nie narażonych na kontakt z solą odladzającą), wymagania wobec kostki należy odpowiednio dostosować do ustaleń PN-EN-1338 [2].</w:t>
      </w:r>
    </w:p>
    <w:p w14:paraId="0D7671A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14:paraId="13F3364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7475885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2.2.3. </w:t>
      </w:r>
      <w:r w:rsidRPr="006431C4">
        <w:rPr>
          <w:rFonts w:cs="Arial"/>
          <w:szCs w:val="20"/>
        </w:rPr>
        <w:t>Składowanie kostek</w:t>
      </w:r>
    </w:p>
    <w:p w14:paraId="5BFBA5C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 </w:t>
      </w:r>
      <w:r w:rsidRPr="006431C4">
        <w:rPr>
          <w:rFonts w:cs="Arial"/>
          <w:szCs w:val="20"/>
        </w:rPr>
        <w:tab/>
        <w:t>Kostkę zaleca się pakować na paletach. Palety z kostką mogą być składowane na otwartej przestrzeni, przy czym podłoże powinno być wyrównane i odwodnione.</w:t>
      </w:r>
    </w:p>
    <w:p w14:paraId="6013A406"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szCs w:val="20"/>
        </w:rPr>
        <w:t xml:space="preserve"> </w:t>
      </w:r>
      <w:r w:rsidRPr="006431C4">
        <w:rPr>
          <w:rFonts w:cs="Arial"/>
          <w:b/>
          <w:szCs w:val="20"/>
        </w:rPr>
        <w:t>2.3. Materiały na podsypkę i do wypełnienia spoin oraz szczelin w nawierzchni</w:t>
      </w:r>
    </w:p>
    <w:p w14:paraId="6C88671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Jeśli dokumentacja projektowa lub SST nie ustala inaczej, to należy stosować następujące materiały:</w:t>
      </w:r>
    </w:p>
    <w:p w14:paraId="47E91483" w14:textId="77777777" w:rsidR="006336AC" w:rsidRPr="006431C4" w:rsidRDefault="006336AC" w:rsidP="00413F29">
      <w:pPr>
        <w:numPr>
          <w:ilvl w:val="0"/>
          <w:numId w:val="52"/>
        </w:numPr>
        <w:shd w:val="clear" w:color="auto" w:fill="FFFFFF" w:themeFill="background1"/>
        <w:tabs>
          <w:tab w:val="left" w:pos="142"/>
        </w:tabs>
        <w:spacing w:line="240" w:lineRule="auto"/>
        <w:ind w:left="0" w:firstLine="0"/>
        <w:jc w:val="both"/>
        <w:rPr>
          <w:rFonts w:cs="Arial"/>
          <w:szCs w:val="20"/>
        </w:rPr>
      </w:pPr>
      <w:r w:rsidRPr="006431C4">
        <w:rPr>
          <w:rFonts w:cs="Arial"/>
          <w:szCs w:val="20"/>
        </w:rPr>
        <w:t>na podsypkę piaskową pod nawierzchnię</w:t>
      </w:r>
    </w:p>
    <w:p w14:paraId="53C4AFFE"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piasek naturalny wg PN-EN 13242:2004 [3],</w:t>
      </w:r>
    </w:p>
    <w:p w14:paraId="3BA08B46"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piasek łamany (0,075</w:t>
      </w:r>
      <w:r w:rsidRPr="006431C4">
        <w:rPr>
          <w:rFonts w:cs="Arial"/>
          <w:szCs w:val="20"/>
        </w:rPr>
        <w:sym w:font="Symbol" w:char="F0B8"/>
      </w:r>
      <w:r w:rsidRPr="006431C4">
        <w:rPr>
          <w:rFonts w:cs="Arial"/>
          <w:szCs w:val="20"/>
        </w:rPr>
        <w:t>2) mm wg PN-EN 13242:2004 [3],</w:t>
      </w:r>
    </w:p>
    <w:p w14:paraId="190BDAC4" w14:textId="77777777" w:rsidR="006336AC" w:rsidRPr="006431C4" w:rsidRDefault="006336AC" w:rsidP="00413F29">
      <w:pPr>
        <w:numPr>
          <w:ilvl w:val="0"/>
          <w:numId w:val="52"/>
        </w:numPr>
        <w:shd w:val="clear" w:color="auto" w:fill="FFFFFF" w:themeFill="background1"/>
        <w:tabs>
          <w:tab w:val="left" w:pos="142"/>
        </w:tabs>
        <w:spacing w:line="240" w:lineRule="auto"/>
        <w:ind w:left="0" w:firstLine="0"/>
        <w:jc w:val="both"/>
        <w:rPr>
          <w:rFonts w:cs="Arial"/>
          <w:szCs w:val="20"/>
        </w:rPr>
      </w:pPr>
      <w:r w:rsidRPr="006431C4">
        <w:rPr>
          <w:rFonts w:cs="Arial"/>
          <w:szCs w:val="20"/>
        </w:rPr>
        <w:t>na podsypkę cementowo-piaskową pod nawierzchnię</w:t>
      </w:r>
    </w:p>
    <w:p w14:paraId="76D45EFA"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mieszankę cementu i piasku w stosunku 1:4 z piasku naturalnego spełniającego wymagania PN-EN 13242:2004 [3], cementu powszechnego użytku spełniającego wymagania PN-EN 197-1:2002 [1] i wody odpowiadającej wymaganiom  PN-EN 1008:2004 [4],</w:t>
      </w:r>
    </w:p>
    <w:p w14:paraId="4C4C8B7D" w14:textId="77777777" w:rsidR="006336AC" w:rsidRPr="006431C4" w:rsidRDefault="006336AC" w:rsidP="00413F29">
      <w:pPr>
        <w:numPr>
          <w:ilvl w:val="0"/>
          <w:numId w:val="52"/>
        </w:numPr>
        <w:shd w:val="clear" w:color="auto" w:fill="FFFFFF" w:themeFill="background1"/>
        <w:tabs>
          <w:tab w:val="left" w:pos="142"/>
        </w:tabs>
        <w:spacing w:line="240" w:lineRule="auto"/>
        <w:ind w:left="0" w:firstLine="0"/>
        <w:jc w:val="both"/>
        <w:rPr>
          <w:rFonts w:cs="Arial"/>
          <w:szCs w:val="20"/>
        </w:rPr>
      </w:pPr>
      <w:r w:rsidRPr="006431C4">
        <w:rPr>
          <w:rFonts w:cs="Arial"/>
          <w:szCs w:val="20"/>
        </w:rPr>
        <w:t>do wypełniania spoin w nawierzchni na podsypce piaskowej</w:t>
      </w:r>
    </w:p>
    <w:p w14:paraId="2F901F31"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piasek naturalny spełniający wymagania PN-EN 13242:2004 [3],</w:t>
      </w:r>
    </w:p>
    <w:p w14:paraId="47095A0A"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piasek łamany (0,075</w:t>
      </w:r>
      <w:r w:rsidRPr="006431C4">
        <w:rPr>
          <w:rFonts w:cs="Arial"/>
          <w:szCs w:val="20"/>
        </w:rPr>
        <w:sym w:font="Symbol" w:char="F0B8"/>
      </w:r>
      <w:r w:rsidRPr="006431C4">
        <w:rPr>
          <w:rFonts w:cs="Arial"/>
          <w:szCs w:val="20"/>
        </w:rPr>
        <w:t>2) mm wg PN-EN 13242:2004 [3],</w:t>
      </w:r>
    </w:p>
    <w:p w14:paraId="4CD01729" w14:textId="77777777" w:rsidR="006336AC" w:rsidRPr="006431C4" w:rsidRDefault="006336AC" w:rsidP="00413F29">
      <w:pPr>
        <w:numPr>
          <w:ilvl w:val="0"/>
          <w:numId w:val="52"/>
        </w:numPr>
        <w:shd w:val="clear" w:color="auto" w:fill="FFFFFF" w:themeFill="background1"/>
        <w:tabs>
          <w:tab w:val="left" w:pos="142"/>
        </w:tabs>
        <w:spacing w:line="240" w:lineRule="auto"/>
        <w:ind w:left="0" w:firstLine="0"/>
        <w:jc w:val="both"/>
        <w:rPr>
          <w:rFonts w:cs="Arial"/>
          <w:szCs w:val="20"/>
        </w:rPr>
      </w:pPr>
      <w:r w:rsidRPr="006431C4">
        <w:rPr>
          <w:rFonts w:cs="Arial"/>
          <w:szCs w:val="20"/>
        </w:rPr>
        <w:t>do wypełniania spoin w nawierzchni na podsypce cementowo-piaskowej</w:t>
      </w:r>
    </w:p>
    <w:p w14:paraId="66155E74"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zaprawę cementowo-piaskową 1:4 spełniającą wymagania wg 2.3 b), </w:t>
      </w:r>
    </w:p>
    <w:p w14:paraId="5CD56AD2" w14:textId="77777777" w:rsidR="006336AC" w:rsidRPr="006431C4" w:rsidRDefault="006336AC" w:rsidP="00413F29">
      <w:pPr>
        <w:numPr>
          <w:ilvl w:val="0"/>
          <w:numId w:val="52"/>
        </w:numPr>
        <w:shd w:val="clear" w:color="auto" w:fill="FFFFFF" w:themeFill="background1"/>
        <w:tabs>
          <w:tab w:val="left" w:pos="142"/>
        </w:tabs>
        <w:spacing w:line="240" w:lineRule="auto"/>
        <w:ind w:left="0" w:firstLine="0"/>
        <w:jc w:val="both"/>
        <w:rPr>
          <w:rFonts w:cs="Arial"/>
          <w:szCs w:val="20"/>
        </w:rPr>
      </w:pPr>
      <w:r w:rsidRPr="006431C4">
        <w:rPr>
          <w:rFonts w:cs="Arial"/>
          <w:szCs w:val="20"/>
        </w:rPr>
        <w:t>do wypełniania szczelin dylatacyjnych w nawierzchni na podsypce cementowo-piaskowej</w:t>
      </w:r>
    </w:p>
    <w:p w14:paraId="026FDC99"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do wypełnienia górnej części szczeliny dylatacyjnej należy stosować drogowe zalewy kauczukowo-asfaltowe lub syntetyczne masy uszczelniające (np. poliuretanowe, poliwinylowe itp.), spełniające wymagania norm lub aprobat technicznych, względnie odpowiadających wymaganiom SST D-05.03.04a  [12],</w:t>
      </w:r>
    </w:p>
    <w:p w14:paraId="186E990D"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do wypełnienia dolnej części szczeliny dylatacyjnej należy stosować wilgotną mieszankę cementowo-piaskową 1:8 z materiałów spełniających wymagania wg 2.3 b) lub inny materiał zaakceptowany przez Inżyniera.</w:t>
      </w:r>
    </w:p>
    <w:p w14:paraId="65F2356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17F8A62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Cement w workach, co najmniej trzywarstwowych, o masie np. </w:t>
      </w:r>
      <w:smartTag w:uri="urn:schemas-microsoft-com:office:smarttags" w:element="metricconverter">
        <w:smartTagPr>
          <w:attr w:name="ProductID" w:val="50 kg"/>
        </w:smartTagPr>
        <w:r w:rsidRPr="006431C4">
          <w:rPr>
            <w:rFonts w:cs="Arial"/>
            <w:szCs w:val="20"/>
          </w:rPr>
          <w:t>50 kg</w:t>
        </w:r>
      </w:smartTag>
      <w:r w:rsidRPr="006431C4">
        <w:rPr>
          <w:rFonts w:cs="Arial"/>
          <w:szCs w:val="20"/>
        </w:rPr>
        <w:t>, można przechowywać do: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14:paraId="390B4DA2"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2.4. Krawężniki, obrzeża i ścieki</w:t>
      </w:r>
    </w:p>
    <w:p w14:paraId="01AE186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lastRenderedPageBreak/>
        <w:tab/>
        <w:t>Jeśli dokumentacja projektowa, SST lub Inżynier nie ustalą inaczej, to do obramowania nawierzchni z kostek można stosować:</w:t>
      </w:r>
    </w:p>
    <w:p w14:paraId="0EEB8F2D" w14:textId="77777777" w:rsidR="006336AC" w:rsidRPr="006431C4" w:rsidRDefault="006336AC" w:rsidP="00413F29">
      <w:pPr>
        <w:numPr>
          <w:ilvl w:val="0"/>
          <w:numId w:val="53"/>
        </w:numPr>
        <w:shd w:val="clear" w:color="auto" w:fill="FFFFFF" w:themeFill="background1"/>
        <w:tabs>
          <w:tab w:val="left" w:pos="142"/>
        </w:tabs>
        <w:spacing w:line="240" w:lineRule="auto"/>
        <w:ind w:left="0" w:firstLine="0"/>
        <w:jc w:val="both"/>
        <w:rPr>
          <w:rFonts w:cs="Arial"/>
          <w:szCs w:val="20"/>
        </w:rPr>
      </w:pPr>
      <w:r w:rsidRPr="006431C4">
        <w:rPr>
          <w:rFonts w:cs="Arial"/>
          <w:szCs w:val="20"/>
        </w:rPr>
        <w:t>krawężniki betonowe wg SST D-08.01.01a [13],</w:t>
      </w:r>
    </w:p>
    <w:p w14:paraId="7DE05DB4" w14:textId="77777777" w:rsidR="006336AC" w:rsidRPr="006431C4" w:rsidRDefault="006336AC" w:rsidP="00413F29">
      <w:pPr>
        <w:numPr>
          <w:ilvl w:val="0"/>
          <w:numId w:val="53"/>
        </w:numPr>
        <w:shd w:val="clear" w:color="auto" w:fill="FFFFFF" w:themeFill="background1"/>
        <w:tabs>
          <w:tab w:val="left" w:pos="142"/>
        </w:tabs>
        <w:spacing w:line="240" w:lineRule="auto"/>
        <w:ind w:left="0" w:firstLine="0"/>
        <w:jc w:val="both"/>
        <w:rPr>
          <w:rFonts w:cs="Arial"/>
          <w:szCs w:val="20"/>
        </w:rPr>
      </w:pPr>
      <w:r w:rsidRPr="006431C4">
        <w:rPr>
          <w:rFonts w:cs="Arial"/>
          <w:szCs w:val="20"/>
        </w:rPr>
        <w:t>obrzeża betonowe wg SST D-08.03.01 [15],</w:t>
      </w:r>
    </w:p>
    <w:p w14:paraId="2377C79D" w14:textId="77777777" w:rsidR="006336AC" w:rsidRPr="006431C4" w:rsidRDefault="006336AC" w:rsidP="00413F29">
      <w:pPr>
        <w:numPr>
          <w:ilvl w:val="0"/>
          <w:numId w:val="53"/>
        </w:numPr>
        <w:shd w:val="clear" w:color="auto" w:fill="FFFFFF" w:themeFill="background1"/>
        <w:tabs>
          <w:tab w:val="left" w:pos="142"/>
        </w:tabs>
        <w:spacing w:line="240" w:lineRule="auto"/>
        <w:ind w:left="0" w:firstLine="0"/>
        <w:jc w:val="both"/>
        <w:rPr>
          <w:rFonts w:cs="Arial"/>
          <w:szCs w:val="20"/>
        </w:rPr>
      </w:pPr>
      <w:r w:rsidRPr="006431C4">
        <w:rPr>
          <w:rFonts w:cs="Arial"/>
          <w:szCs w:val="20"/>
        </w:rPr>
        <w:t>krawężniki kamienne wg SST D-08.01.02a [14].</w:t>
      </w:r>
    </w:p>
    <w:p w14:paraId="4531AA6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Przy krawężnikach mogą występować ścieki wg SST D-08.05.00 [16].</w:t>
      </w:r>
    </w:p>
    <w:p w14:paraId="1D6204A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Krawężniki, obrzeża i ścieki mogą być ustawiane na:</w:t>
      </w:r>
    </w:p>
    <w:p w14:paraId="545899EF" w14:textId="77777777" w:rsidR="006336AC" w:rsidRPr="006431C4" w:rsidRDefault="006336AC" w:rsidP="00413F29">
      <w:pPr>
        <w:numPr>
          <w:ilvl w:val="0"/>
          <w:numId w:val="54"/>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podsypce piaskowej lub cementowo-piaskowej, spełniających wymagania wg </w:t>
      </w:r>
      <w:smartTag w:uri="urn:schemas-microsoft-com:office:smarttags" w:element="metricconverter">
        <w:smartTagPr>
          <w:attr w:name="ProductID" w:val="2.3 a"/>
        </w:smartTagPr>
        <w:r w:rsidRPr="006431C4">
          <w:rPr>
            <w:rFonts w:cs="Arial"/>
            <w:szCs w:val="20"/>
          </w:rPr>
          <w:t>2.3 a</w:t>
        </w:r>
      </w:smartTag>
      <w:r w:rsidRPr="006431C4">
        <w:rPr>
          <w:rFonts w:cs="Arial"/>
          <w:szCs w:val="20"/>
        </w:rPr>
        <w:t xml:space="preserve">             i   2.3 b,</w:t>
      </w:r>
    </w:p>
    <w:p w14:paraId="661652EB" w14:textId="77777777" w:rsidR="006336AC" w:rsidRPr="006431C4" w:rsidRDefault="006336AC" w:rsidP="00413F29">
      <w:pPr>
        <w:numPr>
          <w:ilvl w:val="0"/>
          <w:numId w:val="54"/>
        </w:numPr>
        <w:shd w:val="clear" w:color="auto" w:fill="FFFFFF" w:themeFill="background1"/>
        <w:tabs>
          <w:tab w:val="left" w:pos="142"/>
        </w:tabs>
        <w:spacing w:line="240" w:lineRule="auto"/>
        <w:ind w:left="0" w:firstLine="0"/>
        <w:jc w:val="both"/>
        <w:rPr>
          <w:rFonts w:cs="Arial"/>
          <w:szCs w:val="20"/>
        </w:rPr>
      </w:pPr>
      <w:r w:rsidRPr="006431C4">
        <w:rPr>
          <w:rFonts w:cs="Arial"/>
          <w:szCs w:val="20"/>
        </w:rPr>
        <w:t>ławach żwirowych, tłuczniowych lub betonowych, spełniających wymagania wg SST     D-08.01.01a [13], 08.01.02a [14],  D-08.03.01  [15] i D-08.05.00 [16].</w:t>
      </w:r>
    </w:p>
    <w:p w14:paraId="0177ED3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Krawężniki i obrzeża mogą być przechowywane na składowiskach otwartych, posegregowane według typów, rodzajów, odmian i wielkości. Należy układać je z zastosowaniem podkładek i przekładek drewnianych.</w:t>
      </w:r>
    </w:p>
    <w:p w14:paraId="70D3594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Kruszywo i cement powinny być składowane i przechowywane wg 2.3. </w:t>
      </w:r>
    </w:p>
    <w:p w14:paraId="7713CE08"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2.5.</w:t>
      </w:r>
      <w:r w:rsidRPr="006431C4">
        <w:rPr>
          <w:rFonts w:cs="Arial"/>
          <w:b/>
          <w:szCs w:val="20"/>
        </w:rPr>
        <w:tab/>
        <w:t>Materiały do podbudowy ułożonej pod nawierzchnią z betonowej kostki brukowej</w:t>
      </w:r>
    </w:p>
    <w:p w14:paraId="4DD3EFE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Materiały do podbudowy, ustalonej w dokumentacji projektowej, powinny odpowiadać wymaganiom właściwej SST lub innym dokumentom zaakceptowanym przez Inżyniera.</w:t>
      </w:r>
    </w:p>
    <w:p w14:paraId="56A8745F"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bookmarkStart w:id="960" w:name="_Toc107903638"/>
      <w:r w:rsidRPr="006431C4">
        <w:rPr>
          <w:rFonts w:cs="Arial"/>
          <w:b/>
          <w:szCs w:val="20"/>
        </w:rPr>
        <w:t xml:space="preserve">3. </w:t>
      </w:r>
      <w:bookmarkEnd w:id="960"/>
      <w:r w:rsidRPr="006431C4">
        <w:rPr>
          <w:rFonts w:cs="Arial"/>
          <w:b/>
          <w:szCs w:val="20"/>
        </w:rPr>
        <w:t>SPRZĘT</w:t>
      </w:r>
    </w:p>
    <w:p w14:paraId="17854478"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3.1. Ogólne wymagania dotyczące sprzętu</w:t>
      </w:r>
    </w:p>
    <w:p w14:paraId="6EA06EE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sprzętu podano w SST D-M-00.00.00 „Wymagania ogólne” [5] pkt 3.</w:t>
      </w:r>
    </w:p>
    <w:p w14:paraId="1BCBA6C8"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 xml:space="preserve">3.2. Sprzęt do wykonania nawierzchni  </w:t>
      </w:r>
    </w:p>
    <w:p w14:paraId="6EC9FAB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 Układanie betonowej kostki brukowej może odbywać się:</w:t>
      </w:r>
    </w:p>
    <w:p w14:paraId="55A4BAFD" w14:textId="77777777" w:rsidR="006336AC" w:rsidRPr="006431C4" w:rsidRDefault="006336AC" w:rsidP="00413F29">
      <w:pPr>
        <w:numPr>
          <w:ilvl w:val="0"/>
          <w:numId w:val="55"/>
        </w:numPr>
        <w:shd w:val="clear" w:color="auto" w:fill="FFFFFF" w:themeFill="background1"/>
        <w:tabs>
          <w:tab w:val="left" w:pos="142"/>
        </w:tabs>
        <w:spacing w:line="240" w:lineRule="auto"/>
        <w:ind w:left="0" w:firstLine="0"/>
        <w:jc w:val="both"/>
        <w:rPr>
          <w:rFonts w:cs="Arial"/>
          <w:szCs w:val="20"/>
        </w:rPr>
      </w:pPr>
      <w:r w:rsidRPr="006431C4">
        <w:rPr>
          <w:rFonts w:cs="Arial"/>
          <w:szCs w:val="20"/>
        </w:rPr>
        <w:t>ręcznie, zwłaszcza na małych powierzchniach,</w:t>
      </w:r>
    </w:p>
    <w:p w14:paraId="2BA65AD9" w14:textId="77777777" w:rsidR="006336AC" w:rsidRPr="006431C4" w:rsidRDefault="006336AC" w:rsidP="00413F29">
      <w:pPr>
        <w:numPr>
          <w:ilvl w:val="0"/>
          <w:numId w:val="55"/>
        </w:numPr>
        <w:shd w:val="clear" w:color="auto" w:fill="FFFFFF" w:themeFill="background1"/>
        <w:tabs>
          <w:tab w:val="left" w:pos="142"/>
        </w:tabs>
        <w:spacing w:line="240" w:lineRule="auto"/>
        <w:ind w:left="0" w:firstLine="0"/>
        <w:jc w:val="both"/>
        <w:rPr>
          <w:rFonts w:cs="Arial"/>
          <w:szCs w:val="20"/>
        </w:rPr>
      </w:pPr>
      <w:r w:rsidRPr="006431C4">
        <w:rPr>
          <w:rFonts w:cs="Arial"/>
          <w:szCs w:val="20"/>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27F7EFA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Do przycinania kostek można stosować specjalne narzędzia tnące (np. przycinarki, szlifierki z tarczą).</w:t>
      </w:r>
    </w:p>
    <w:p w14:paraId="6DB0C13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Do zagęszczania nawierzchni z kostki należy stosować zagęszczarki wibracyjne (płytowe) z wykładziną elastomerową, chroniące kostki przed ścieraniem i wykruszaniem naroży.</w:t>
      </w:r>
    </w:p>
    <w:p w14:paraId="30F0362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Sprzęt do wykonania koryta, podbudowy i podsypki powinien odpowiadać wymaganiom właściwych SST, wymienionych w pkcie 5.4 lub innym dokumentom (normom PN i BN, wytycznym IBDiM) względnie opracowanym SST zaakceptowanym przez Inżyniera.</w:t>
      </w:r>
    </w:p>
    <w:p w14:paraId="0A59C58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Do wytwarzania podsypki cementowo-piaskowej i zapraw należy stosować betoniarki.</w:t>
      </w:r>
    </w:p>
    <w:p w14:paraId="30FC1D6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Do wypełniania szczelin dylatacyjnych należy stosować sprzęt odpowiadający wymaganiom  SST D-05.03.04a [12].</w:t>
      </w:r>
    </w:p>
    <w:p w14:paraId="5300727F"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bookmarkStart w:id="961" w:name="_Toc107903639"/>
      <w:r w:rsidRPr="006431C4">
        <w:rPr>
          <w:rFonts w:cs="Arial"/>
          <w:b/>
          <w:szCs w:val="20"/>
        </w:rPr>
        <w:t xml:space="preserve">4. </w:t>
      </w:r>
      <w:bookmarkEnd w:id="961"/>
      <w:r w:rsidRPr="006431C4">
        <w:rPr>
          <w:rFonts w:cs="Arial"/>
          <w:b/>
          <w:szCs w:val="20"/>
        </w:rPr>
        <w:t>TRANSPORT</w:t>
      </w:r>
    </w:p>
    <w:p w14:paraId="533564ED"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4.1. Ogólne wymagania dotyczące transportu</w:t>
      </w:r>
    </w:p>
    <w:p w14:paraId="426DBC6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transportu podano w SST D-M-00.00.00 „Wymagania ogólne” [5] pkt 4.</w:t>
      </w:r>
    </w:p>
    <w:p w14:paraId="06E283C2"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4.2. Transport materiałów do wykonania nawierzchni</w:t>
      </w:r>
    </w:p>
    <w:p w14:paraId="3AE55B0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Betonowe kostki brukowe mogą być przewożone na paletach - dowolnymi środkami transportowymi po osiągnięciu przez beton wytrzymałości na ściskanie co najmniej 15 MPa. Kostki w trakcie transportu powinny być zabezpieczone przed przemieszczaniem się i uszkodzeniem.</w:t>
      </w:r>
    </w:p>
    <w:p w14:paraId="0BE111A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Jako środki transportu wewnątrzzakładowego kostek na środki transportu zewnętrznego mogą służyć wózki widłowe, którymi można dokonać załadunku palet. Do załadunku palet na środki transportu można wykorzystywać również dźwigi samochodowe.</w:t>
      </w:r>
    </w:p>
    <w:p w14:paraId="546FEB4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6431C4">
          <w:rPr>
            <w:rFonts w:cs="Arial"/>
            <w:szCs w:val="20"/>
          </w:rPr>
          <w:t>1200 kg</w:t>
        </w:r>
      </w:smartTag>
      <w:r w:rsidRPr="006431C4">
        <w:rPr>
          <w:rFonts w:cs="Arial"/>
          <w:szCs w:val="20"/>
        </w:rPr>
        <w:t xml:space="preserve"> do </w:t>
      </w:r>
      <w:smartTag w:uri="urn:schemas-microsoft-com:office:smarttags" w:element="metricconverter">
        <w:smartTagPr>
          <w:attr w:name="ProductID" w:val="1700 kg"/>
        </w:smartTagPr>
        <w:r w:rsidRPr="006431C4">
          <w:rPr>
            <w:rFonts w:cs="Arial"/>
            <w:szCs w:val="20"/>
          </w:rPr>
          <w:t>1700 kg</w:t>
        </w:r>
      </w:smartTag>
      <w:r w:rsidRPr="006431C4">
        <w:rPr>
          <w:rFonts w:cs="Arial"/>
          <w:szCs w:val="20"/>
        </w:rPr>
        <w:t>. Pożądane jest, aby palety z kostkami były wysyłane do odbiorcy środkiem transportu samochodowego wyposażonym w dźwig do za- i rozładunku.</w:t>
      </w:r>
    </w:p>
    <w:p w14:paraId="64A2871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14:paraId="4A257E4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1B6B675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Pr="006431C4">
        <w:rPr>
          <w:rFonts w:cs="Arial"/>
          <w:szCs w:val="20"/>
        </w:rPr>
        <w:tab/>
      </w:r>
    </w:p>
    <w:p w14:paraId="0267D81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Zalewę lub masy uszczelniające do szczelin dylatacyjnych można transportować dowolnymi środkami transportu w fabrycznie zamkniętych pojemnikach lub opakowaniach, chroniących je przed zanieczyszczeniem.</w:t>
      </w:r>
    </w:p>
    <w:p w14:paraId="64D8896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Materiały do podbudowy powinny być przewożone w sposób odpowiadający wymaganiom właściwej SST.</w:t>
      </w:r>
    </w:p>
    <w:p w14:paraId="621CC322"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bookmarkStart w:id="962" w:name="_Toc107903640"/>
      <w:r w:rsidRPr="006431C4">
        <w:rPr>
          <w:rFonts w:cs="Arial"/>
          <w:b/>
          <w:szCs w:val="20"/>
        </w:rPr>
        <w:lastRenderedPageBreak/>
        <w:t xml:space="preserve">5. </w:t>
      </w:r>
      <w:bookmarkEnd w:id="962"/>
      <w:r w:rsidRPr="006431C4">
        <w:rPr>
          <w:rFonts w:cs="Arial"/>
          <w:b/>
          <w:szCs w:val="20"/>
        </w:rPr>
        <w:t>WYKONANIE ROBÓT</w:t>
      </w:r>
    </w:p>
    <w:p w14:paraId="0476EA76"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5.1. Ogólne zasady wykonania robót</w:t>
      </w:r>
    </w:p>
    <w:p w14:paraId="610D750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zasady wykonania robót podano w SST D-M-00.00.00 „Wymagania ogólne” [5] pkt 5.</w:t>
      </w:r>
    </w:p>
    <w:p w14:paraId="5C5058CD"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5.2. Podłoże i koryto</w:t>
      </w:r>
    </w:p>
    <w:p w14:paraId="116B8B9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Grunty podłoża powinny być niewysadzinowe, jednorodne i nośne oraz zabezpieczone przed nadmiernym zawilgoceniem i ujemnymi skutkami przemarzania, zgodnie z dokumentacją projektową.</w:t>
      </w:r>
    </w:p>
    <w:p w14:paraId="65D6CE8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Koryto pod podbudowę lub nawierzchnię powinno być wyprofilowane zgodnie z projektowanymi spadkami oraz przygotowane zgodnie z wymaganiami SST D-04.01.01 [6].  </w:t>
      </w:r>
    </w:p>
    <w:p w14:paraId="7CBE3DD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Koryto musi mieć skuteczne odwodnienie, zgodne z dokumentacją projektową.</w:t>
      </w:r>
    </w:p>
    <w:p w14:paraId="2956C29D"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5.3. Konstrukcja nawierzchni</w:t>
      </w:r>
    </w:p>
    <w:p w14:paraId="0074B75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Konstrukcja nawierzchni powinna być zgodna z dokumentacją projektową lub SST (przykłady konstrukcji nawierzchni podają załączniki 3 i 4).</w:t>
      </w:r>
    </w:p>
    <w:p w14:paraId="18AB125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Konstrukcja nawierzchni może obejmować ułożenie warstwy ścieralnej z betonowej kostki brukowej na:</w:t>
      </w:r>
    </w:p>
    <w:p w14:paraId="75EBB693" w14:textId="77777777" w:rsidR="006336AC" w:rsidRPr="006431C4" w:rsidRDefault="006336AC" w:rsidP="00413F29">
      <w:pPr>
        <w:numPr>
          <w:ilvl w:val="0"/>
          <w:numId w:val="56"/>
        </w:numPr>
        <w:shd w:val="clear" w:color="auto" w:fill="FFFFFF" w:themeFill="background1"/>
        <w:tabs>
          <w:tab w:val="left" w:pos="142"/>
        </w:tabs>
        <w:spacing w:line="240" w:lineRule="auto"/>
        <w:ind w:left="0" w:firstLine="0"/>
        <w:jc w:val="both"/>
        <w:rPr>
          <w:rFonts w:cs="Arial"/>
          <w:szCs w:val="20"/>
        </w:rPr>
      </w:pPr>
      <w:r w:rsidRPr="006431C4">
        <w:rPr>
          <w:rFonts w:cs="Arial"/>
          <w:szCs w:val="20"/>
        </w:rPr>
        <w:t>podsypce piaskowej lub cementowo-piaskowej oraz podbudowie,</w:t>
      </w:r>
    </w:p>
    <w:p w14:paraId="6EC80D5D" w14:textId="77777777" w:rsidR="006336AC" w:rsidRPr="006431C4" w:rsidRDefault="006336AC" w:rsidP="00413F29">
      <w:pPr>
        <w:numPr>
          <w:ilvl w:val="0"/>
          <w:numId w:val="56"/>
        </w:numPr>
        <w:shd w:val="clear" w:color="auto" w:fill="FFFFFF" w:themeFill="background1"/>
        <w:tabs>
          <w:tab w:val="left" w:pos="142"/>
        </w:tabs>
        <w:spacing w:line="240" w:lineRule="auto"/>
        <w:ind w:left="0" w:firstLine="0"/>
        <w:jc w:val="both"/>
        <w:rPr>
          <w:rFonts w:cs="Arial"/>
          <w:szCs w:val="20"/>
        </w:rPr>
      </w:pPr>
      <w:r w:rsidRPr="006431C4">
        <w:rPr>
          <w:rFonts w:cs="Arial"/>
          <w:szCs w:val="20"/>
        </w:rPr>
        <w:t>podsypce piaskowej rozścielonej bezpośrednio na podłożu z gruntu piaszczystego.</w:t>
      </w:r>
    </w:p>
    <w:p w14:paraId="0BB596D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Podstawowe czynności przy wykonywaniu nawierzchni, z występowaniem podbudowy, podsypki cementowo-piaskowej i wypełnieniem spoin zaprawą cementowo-piaskową, obejmują:</w:t>
      </w:r>
    </w:p>
    <w:p w14:paraId="506922F4" w14:textId="77777777" w:rsidR="006336AC" w:rsidRPr="006431C4" w:rsidRDefault="006336AC" w:rsidP="00413F29">
      <w:pPr>
        <w:numPr>
          <w:ilvl w:val="0"/>
          <w:numId w:val="57"/>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wykonanie podbudowy,</w:t>
      </w:r>
    </w:p>
    <w:p w14:paraId="6C6ECAD9" w14:textId="77777777" w:rsidR="006336AC" w:rsidRPr="006431C4" w:rsidRDefault="006336AC" w:rsidP="00413F29">
      <w:pPr>
        <w:numPr>
          <w:ilvl w:val="0"/>
          <w:numId w:val="57"/>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wykonanie obramowania nawierzchni (z krawężników, obrzeży i ew. ścieków),</w:t>
      </w:r>
    </w:p>
    <w:p w14:paraId="7168C95C" w14:textId="77777777" w:rsidR="006336AC" w:rsidRPr="006431C4" w:rsidRDefault="006336AC" w:rsidP="00413F29">
      <w:pPr>
        <w:numPr>
          <w:ilvl w:val="0"/>
          <w:numId w:val="57"/>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przygotowanie i rozścielenie podsypki cementowo-piaskowej,</w:t>
      </w:r>
    </w:p>
    <w:p w14:paraId="5C01C93A" w14:textId="77777777" w:rsidR="006336AC" w:rsidRPr="006431C4" w:rsidRDefault="006336AC" w:rsidP="00413F29">
      <w:pPr>
        <w:numPr>
          <w:ilvl w:val="0"/>
          <w:numId w:val="57"/>
        </w:numPr>
        <w:shd w:val="clear" w:color="auto" w:fill="FFFFFF" w:themeFill="background1"/>
        <w:tabs>
          <w:tab w:val="left" w:pos="142"/>
        </w:tabs>
        <w:spacing w:line="240" w:lineRule="auto"/>
        <w:ind w:left="0" w:firstLine="0"/>
        <w:jc w:val="both"/>
        <w:rPr>
          <w:rFonts w:cs="Arial"/>
          <w:szCs w:val="20"/>
        </w:rPr>
      </w:pPr>
      <w:r w:rsidRPr="006431C4">
        <w:rPr>
          <w:rFonts w:cs="Arial"/>
          <w:szCs w:val="20"/>
        </w:rPr>
        <w:t>ułożenie kostek z ubiciem,</w:t>
      </w:r>
    </w:p>
    <w:p w14:paraId="4B91AB2F" w14:textId="77777777" w:rsidR="006336AC" w:rsidRPr="006431C4" w:rsidRDefault="006336AC" w:rsidP="00413F29">
      <w:pPr>
        <w:numPr>
          <w:ilvl w:val="0"/>
          <w:numId w:val="57"/>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przygotowanie zaprawy cementowo-piaskowej i wypełnienie nią szczelin,</w:t>
      </w:r>
    </w:p>
    <w:p w14:paraId="2E61003E" w14:textId="77777777" w:rsidR="006336AC" w:rsidRPr="006431C4" w:rsidRDefault="006336AC" w:rsidP="00413F29">
      <w:pPr>
        <w:numPr>
          <w:ilvl w:val="0"/>
          <w:numId w:val="57"/>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wypełnienie szczelin dylatacyjnych,</w:t>
      </w:r>
    </w:p>
    <w:p w14:paraId="5A532004" w14:textId="77777777" w:rsidR="006336AC" w:rsidRPr="006431C4" w:rsidRDefault="006336AC" w:rsidP="00413F29">
      <w:pPr>
        <w:numPr>
          <w:ilvl w:val="0"/>
          <w:numId w:val="57"/>
        </w:numPr>
        <w:shd w:val="clear" w:color="auto" w:fill="FFFFFF" w:themeFill="background1"/>
        <w:tabs>
          <w:tab w:val="left" w:pos="142"/>
        </w:tabs>
        <w:spacing w:line="240" w:lineRule="auto"/>
        <w:ind w:left="0" w:firstLine="0"/>
        <w:jc w:val="both"/>
        <w:rPr>
          <w:rFonts w:cs="Arial"/>
          <w:szCs w:val="20"/>
        </w:rPr>
      </w:pPr>
      <w:r w:rsidRPr="006431C4">
        <w:rPr>
          <w:rFonts w:cs="Arial"/>
          <w:szCs w:val="20"/>
        </w:rPr>
        <w:t>pielęgnację nawierzchni i oddanie jej do ruchu.</w:t>
      </w:r>
    </w:p>
    <w:p w14:paraId="42001CF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rsidRPr="006431C4">
          <w:rPr>
            <w:rFonts w:cs="Arial"/>
            <w:szCs w:val="20"/>
          </w:rPr>
          <w:t>7, a</w:t>
        </w:r>
      </w:smartTag>
      <w:r w:rsidRPr="006431C4">
        <w:rPr>
          <w:rFonts w:cs="Arial"/>
          <w:szCs w:val="20"/>
        </w:rPr>
        <w:t xml:space="preserve"> poz. 3 dotyczy podsypki piaskowej, zaś poz. 5 - wypełnienia szczelin piaskiem.</w:t>
      </w:r>
    </w:p>
    <w:p w14:paraId="1963C53D"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5.4. Podbudowa</w:t>
      </w:r>
    </w:p>
    <w:p w14:paraId="23926DA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Rodzaj podbudowy przewidzianej do wykonania pod warstwą betonowej kostki brukowej powinien być zgodny z dokumentacją projektową.</w:t>
      </w:r>
    </w:p>
    <w:p w14:paraId="43859E3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Wykonanie podbudowy powinno odpowiadać wymaganiom właściwej SST, np.:</w:t>
      </w:r>
    </w:p>
    <w:p w14:paraId="7813C287" w14:textId="77777777" w:rsidR="006336AC" w:rsidRPr="006431C4" w:rsidRDefault="006336AC" w:rsidP="00413F29">
      <w:pPr>
        <w:numPr>
          <w:ilvl w:val="0"/>
          <w:numId w:val="58"/>
        </w:numPr>
        <w:shd w:val="clear" w:color="auto" w:fill="FFFFFF" w:themeFill="background1"/>
        <w:tabs>
          <w:tab w:val="left" w:pos="142"/>
        </w:tabs>
        <w:spacing w:line="240" w:lineRule="auto"/>
        <w:ind w:left="0" w:firstLine="0"/>
        <w:jc w:val="both"/>
        <w:rPr>
          <w:rFonts w:cs="Arial"/>
          <w:szCs w:val="20"/>
        </w:rPr>
      </w:pPr>
      <w:r w:rsidRPr="006431C4">
        <w:rPr>
          <w:rFonts w:cs="Arial"/>
          <w:szCs w:val="20"/>
        </w:rPr>
        <w:t>D-04.01.01</w:t>
      </w:r>
      <w:r w:rsidRPr="006431C4">
        <w:rPr>
          <w:rFonts w:cs="Arial"/>
          <w:szCs w:val="20"/>
        </w:rPr>
        <w:sym w:font="Symbol" w:char="F0B8"/>
      </w:r>
      <w:r w:rsidRPr="006431C4">
        <w:rPr>
          <w:rFonts w:cs="Arial"/>
          <w:szCs w:val="20"/>
        </w:rPr>
        <w:t>04.03.01 „Dolne warstwy podbudów oraz oczyszczenie i skropienie” [6],</w:t>
      </w:r>
    </w:p>
    <w:p w14:paraId="291A9C5F" w14:textId="77777777" w:rsidR="006336AC" w:rsidRPr="006431C4" w:rsidRDefault="006336AC" w:rsidP="00413F29">
      <w:pPr>
        <w:numPr>
          <w:ilvl w:val="0"/>
          <w:numId w:val="58"/>
        </w:numPr>
        <w:shd w:val="clear" w:color="auto" w:fill="FFFFFF" w:themeFill="background1"/>
        <w:tabs>
          <w:tab w:val="left" w:pos="142"/>
        </w:tabs>
        <w:spacing w:line="240" w:lineRule="auto"/>
        <w:ind w:left="0" w:firstLine="0"/>
        <w:jc w:val="both"/>
        <w:rPr>
          <w:rFonts w:cs="Arial"/>
          <w:szCs w:val="20"/>
        </w:rPr>
      </w:pPr>
      <w:r w:rsidRPr="006431C4">
        <w:rPr>
          <w:rFonts w:cs="Arial"/>
          <w:szCs w:val="20"/>
        </w:rPr>
        <w:t>D-04.04.00</w:t>
      </w:r>
      <w:r w:rsidRPr="006431C4">
        <w:rPr>
          <w:rFonts w:cs="Arial"/>
          <w:szCs w:val="20"/>
        </w:rPr>
        <w:sym w:font="Symbol" w:char="F0B8"/>
      </w:r>
      <w:r w:rsidRPr="006431C4">
        <w:rPr>
          <w:rFonts w:cs="Arial"/>
          <w:szCs w:val="20"/>
        </w:rPr>
        <w:t>04.04.03 „Podbudowy z kruszywa stabilizowanego mechanicznie” (z kruszywa naturalnego lub łamanego) [7],</w:t>
      </w:r>
    </w:p>
    <w:p w14:paraId="7CEDAE91" w14:textId="77777777" w:rsidR="006336AC" w:rsidRPr="006431C4" w:rsidRDefault="006336AC" w:rsidP="00413F29">
      <w:pPr>
        <w:numPr>
          <w:ilvl w:val="0"/>
          <w:numId w:val="58"/>
        </w:numPr>
        <w:shd w:val="clear" w:color="auto" w:fill="FFFFFF" w:themeFill="background1"/>
        <w:tabs>
          <w:tab w:val="left" w:pos="142"/>
        </w:tabs>
        <w:spacing w:line="240" w:lineRule="auto"/>
        <w:ind w:left="0" w:firstLine="0"/>
        <w:jc w:val="both"/>
        <w:rPr>
          <w:rFonts w:cs="Arial"/>
          <w:szCs w:val="20"/>
        </w:rPr>
      </w:pPr>
      <w:r w:rsidRPr="006431C4">
        <w:rPr>
          <w:rFonts w:cs="Arial"/>
          <w:szCs w:val="20"/>
        </w:rPr>
        <w:t>D-04.04.04 „Podbudowa z tłucznia kamiennego” [8],</w:t>
      </w:r>
    </w:p>
    <w:p w14:paraId="454EEA82" w14:textId="77777777" w:rsidR="006336AC" w:rsidRPr="006431C4" w:rsidRDefault="006336AC" w:rsidP="00413F29">
      <w:pPr>
        <w:numPr>
          <w:ilvl w:val="0"/>
          <w:numId w:val="58"/>
        </w:numPr>
        <w:shd w:val="clear" w:color="auto" w:fill="FFFFFF" w:themeFill="background1"/>
        <w:tabs>
          <w:tab w:val="left" w:pos="142"/>
        </w:tabs>
        <w:spacing w:line="240" w:lineRule="auto"/>
        <w:ind w:left="0" w:firstLine="0"/>
        <w:jc w:val="both"/>
        <w:rPr>
          <w:rFonts w:cs="Arial"/>
          <w:szCs w:val="20"/>
        </w:rPr>
      </w:pPr>
      <w:r w:rsidRPr="006431C4">
        <w:rPr>
          <w:rFonts w:cs="Arial"/>
          <w:szCs w:val="20"/>
        </w:rPr>
        <w:t>D-04.05.00</w:t>
      </w:r>
      <w:r w:rsidRPr="006431C4">
        <w:rPr>
          <w:rFonts w:cs="Arial"/>
          <w:szCs w:val="20"/>
        </w:rPr>
        <w:sym w:font="Symbol" w:char="F0B8"/>
      </w:r>
      <w:r w:rsidRPr="006431C4">
        <w:rPr>
          <w:rFonts w:cs="Arial"/>
          <w:szCs w:val="20"/>
        </w:rPr>
        <w:t>04.05.04 „Podbudowy i ulepszone podłoże z gruntów lub kruszyw  stabilizowanych spoiwami hydraulicznymi” [9],</w:t>
      </w:r>
    </w:p>
    <w:p w14:paraId="7F87648D" w14:textId="77777777" w:rsidR="006336AC" w:rsidRPr="006431C4" w:rsidRDefault="006336AC" w:rsidP="00413F29">
      <w:pPr>
        <w:numPr>
          <w:ilvl w:val="0"/>
          <w:numId w:val="58"/>
        </w:numPr>
        <w:shd w:val="clear" w:color="auto" w:fill="FFFFFF" w:themeFill="background1"/>
        <w:tabs>
          <w:tab w:val="left" w:pos="142"/>
        </w:tabs>
        <w:spacing w:line="240" w:lineRule="auto"/>
        <w:ind w:left="0" w:firstLine="0"/>
        <w:jc w:val="both"/>
        <w:rPr>
          <w:rFonts w:cs="Arial"/>
          <w:szCs w:val="20"/>
        </w:rPr>
      </w:pPr>
      <w:r w:rsidRPr="006431C4">
        <w:rPr>
          <w:rFonts w:cs="Arial"/>
          <w:szCs w:val="20"/>
        </w:rPr>
        <w:t>D-04.06.01 „Podbudowa z chudego betonu” [10],</w:t>
      </w:r>
    </w:p>
    <w:p w14:paraId="08296193" w14:textId="77777777" w:rsidR="006336AC" w:rsidRPr="006431C4" w:rsidRDefault="006336AC" w:rsidP="00413F29">
      <w:pPr>
        <w:numPr>
          <w:ilvl w:val="0"/>
          <w:numId w:val="58"/>
        </w:numPr>
        <w:shd w:val="clear" w:color="auto" w:fill="FFFFFF" w:themeFill="background1"/>
        <w:tabs>
          <w:tab w:val="left" w:pos="142"/>
        </w:tabs>
        <w:spacing w:line="240" w:lineRule="auto"/>
        <w:ind w:left="0" w:firstLine="0"/>
        <w:jc w:val="both"/>
        <w:rPr>
          <w:rFonts w:cs="Arial"/>
          <w:szCs w:val="20"/>
        </w:rPr>
      </w:pPr>
      <w:r w:rsidRPr="006431C4">
        <w:rPr>
          <w:rFonts w:cs="Arial"/>
          <w:szCs w:val="20"/>
        </w:rPr>
        <w:t>D-04.06.01b „Podbudowa z betonu cementowego” [11].</w:t>
      </w:r>
    </w:p>
    <w:p w14:paraId="3690EAB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Inne rodzaje podbudów powinny odpowiadać wymaganiom norm, wytycznych IBDiM lub indywidualnie opracowanym SST zaakceptowanym przez Inżyniera.</w:t>
      </w:r>
    </w:p>
    <w:p w14:paraId="70885B2B"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5.5. Obramowanie nawierzchni</w:t>
      </w:r>
    </w:p>
    <w:p w14:paraId="3A1E7CC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Rodzaj obramowania nawierzchni powinien być zgodny z dokumentacją projektową lub SST.</w:t>
      </w:r>
    </w:p>
    <w:p w14:paraId="3EA5B76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Jeśli dokumentacja projektowa lub SST nie ustala inaczej, to materiały do wykonania obramowań powinny odpowiadać wymaganiom określonym w pkcie 2.4.</w:t>
      </w:r>
    </w:p>
    <w:p w14:paraId="7679035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Ustawianie krawężników, obrzeży i ew. wykonanie ścieków przykrawężnikowych powinno być zgodne z wymaganiami zawartymi w SST D-08.01.01a [13], 08.01.02 a [14], D-08.03.01 [15] i D-08.05.00 [16].</w:t>
      </w:r>
    </w:p>
    <w:p w14:paraId="1B8116A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14:paraId="424F4250"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5.6. Podsypka</w:t>
      </w:r>
    </w:p>
    <w:p w14:paraId="75AFC6A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Rodzaj podsypki i jej grubość powinny być zgodne z dokumentacją projektową lub SST.</w:t>
      </w:r>
    </w:p>
    <w:p w14:paraId="7364314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Jeśli dokumentacja projektowa lub SST nie ustala inaczej to grubość podsypki powinna wynosić po zagęszczeniu 3</w:t>
      </w:r>
      <w:r w:rsidRPr="006431C4">
        <w:rPr>
          <w:rFonts w:cs="Arial"/>
          <w:szCs w:val="20"/>
        </w:rPr>
        <w:sym w:font="Symbol" w:char="F0B8"/>
      </w:r>
      <w:r w:rsidRPr="006431C4">
        <w:rPr>
          <w:rFonts w:cs="Arial"/>
          <w:szCs w:val="20"/>
        </w:rPr>
        <w:t xml:space="preserve">5 cm, a wymagania dla materiałów na podsypkę powinny być zgodne z pktem 2.3. Dopuszczalne odchyłki od zaprojektowanej grubości podsypki nie powinny przekraczać </w:t>
      </w:r>
      <w:r w:rsidRPr="006431C4">
        <w:rPr>
          <w:rFonts w:cs="Arial"/>
          <w:szCs w:val="20"/>
        </w:rPr>
        <w:sym w:font="Symbol" w:char="F0B1"/>
      </w:r>
      <w:r w:rsidRPr="006431C4">
        <w:rPr>
          <w:rFonts w:cs="Arial"/>
          <w:szCs w:val="20"/>
        </w:rPr>
        <w:t xml:space="preserve"> </w:t>
      </w:r>
      <w:smartTag w:uri="urn:schemas-microsoft-com:office:smarttags" w:element="metricconverter">
        <w:smartTagPr>
          <w:attr w:name="ProductID" w:val="1 cm"/>
        </w:smartTagPr>
        <w:r w:rsidRPr="006431C4">
          <w:rPr>
            <w:rFonts w:cs="Arial"/>
            <w:szCs w:val="20"/>
          </w:rPr>
          <w:t>1 cm</w:t>
        </w:r>
      </w:smartTag>
      <w:r w:rsidRPr="006431C4">
        <w:rPr>
          <w:rFonts w:cs="Arial"/>
          <w:szCs w:val="20"/>
        </w:rPr>
        <w:t>.</w:t>
      </w:r>
    </w:p>
    <w:p w14:paraId="65C4724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Podsypkę piaskową należy zwilżyć wodą, równomiernie rozścielić i zagęścić lekkimi walcami (np. ręcznymi) lub zagęszczarkami wibracyjnymi w stanie wilgotności optymalnej.</w:t>
      </w:r>
    </w:p>
    <w:p w14:paraId="3C61BC4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Podsypkę cementowo-piaskową stosuje się z zasady przy występowaniu podbudowy pod nawierzchnią z kostki. Podsypkę cementowo-piaskową przygotowuje się w betoniarkach, a następnie rozściela się na uprzednio zwilżonej podbudowie, przy zachowaniu:</w:t>
      </w:r>
    </w:p>
    <w:p w14:paraId="0C80D480"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współczynnika wodnocementowego od 0,25 do 0,35,</w:t>
      </w:r>
    </w:p>
    <w:p w14:paraId="4564EAC5" w14:textId="77777777" w:rsidR="006336AC" w:rsidRPr="006431C4" w:rsidRDefault="006336AC" w:rsidP="00413F29">
      <w:pPr>
        <w:numPr>
          <w:ilvl w:val="0"/>
          <w:numId w:val="51"/>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wytrzymałości na ściskanie nie mniejszej niż R</w:t>
      </w:r>
      <w:r w:rsidRPr="006431C4">
        <w:rPr>
          <w:rFonts w:cs="Arial"/>
          <w:szCs w:val="20"/>
          <w:vertAlign w:val="subscript"/>
        </w:rPr>
        <w:t>7</w:t>
      </w:r>
      <w:r w:rsidRPr="006431C4">
        <w:rPr>
          <w:rFonts w:cs="Arial"/>
          <w:szCs w:val="20"/>
        </w:rPr>
        <w:t xml:space="preserve"> = 10 MPa, R</w:t>
      </w:r>
      <w:r w:rsidRPr="006431C4">
        <w:rPr>
          <w:rFonts w:cs="Arial"/>
          <w:szCs w:val="20"/>
          <w:vertAlign w:val="subscript"/>
        </w:rPr>
        <w:t>28</w:t>
      </w:r>
      <w:r w:rsidRPr="006431C4">
        <w:rPr>
          <w:rFonts w:cs="Arial"/>
          <w:szCs w:val="20"/>
        </w:rPr>
        <w:t xml:space="preserve"> = 14 MPa.</w:t>
      </w:r>
    </w:p>
    <w:p w14:paraId="4B8F713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rsidRPr="006431C4">
          <w:rPr>
            <w:rFonts w:cs="Arial"/>
            <w:szCs w:val="20"/>
          </w:rPr>
          <w:t>4 m</w:t>
        </w:r>
      </w:smartTag>
      <w:r w:rsidRPr="006431C4">
        <w:rPr>
          <w:rFonts w:cs="Arial"/>
          <w:szCs w:val="20"/>
        </w:rPr>
        <w:t xml:space="preserve">. Rozścielona podsypka </w:t>
      </w:r>
      <w:r w:rsidRPr="006431C4">
        <w:rPr>
          <w:rFonts w:cs="Arial"/>
          <w:szCs w:val="20"/>
        </w:rPr>
        <w:lastRenderedPageBreak/>
        <w:t>powinna być wyprofilowana i zagęszczona w stanie wilgotnym, lekkimi walcami (np. ręcznymi) lub zagęszczarkami wibracyjnymi.</w:t>
      </w:r>
    </w:p>
    <w:p w14:paraId="58F7292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rsidRPr="006431C4">
          <w:rPr>
            <w:rFonts w:cs="Arial"/>
            <w:szCs w:val="20"/>
          </w:rPr>
          <w:t>20 m</w:t>
        </w:r>
      </w:smartTag>
      <w:r w:rsidRPr="006431C4">
        <w:rPr>
          <w:rFonts w:cs="Arial"/>
          <w:szCs w:val="20"/>
        </w:rPr>
        <w:t>.</w:t>
      </w:r>
    </w:p>
    <w:p w14:paraId="1CF3167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Całkowite ubicie nawierzchni i wypełnienie spoin zaprawą musi być zakończone przed rozpoczęciem wiązania cementu w podsypce.</w:t>
      </w:r>
    </w:p>
    <w:p w14:paraId="34B17D6B"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5.7. Układanie nawierzchni z betonowych kostek brukowych</w:t>
      </w:r>
    </w:p>
    <w:p w14:paraId="18252F77" w14:textId="77777777" w:rsidR="006336AC" w:rsidRPr="006431C4" w:rsidRDefault="006336AC" w:rsidP="00413F29">
      <w:pPr>
        <w:numPr>
          <w:ilvl w:val="0"/>
          <w:numId w:val="59"/>
        </w:numPr>
        <w:shd w:val="clear" w:color="auto" w:fill="FFFFFF" w:themeFill="background1"/>
        <w:tabs>
          <w:tab w:val="left" w:pos="142"/>
        </w:tabs>
        <w:spacing w:line="240" w:lineRule="auto"/>
        <w:ind w:left="0" w:firstLine="0"/>
        <w:jc w:val="both"/>
        <w:rPr>
          <w:rFonts w:cs="Arial"/>
          <w:szCs w:val="20"/>
        </w:rPr>
      </w:pPr>
      <w:r w:rsidRPr="006431C4">
        <w:rPr>
          <w:rFonts w:cs="Arial"/>
          <w:szCs w:val="20"/>
        </w:rPr>
        <w:t>Ustalenie kształtu, wymiaru i koloru kostek oraz desenia ich układania</w:t>
      </w:r>
    </w:p>
    <w:p w14:paraId="659AA78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Kształt, wymiary, barwę i inne cechy charakterystyczne kostek wg pktu 2.2.1 oraz deseń ich układania (przykłady podano w zał. 5) powinny być zgodne z dokumentacją projektową lub SST,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rsidRPr="006431C4">
          <w:rPr>
            <w:rFonts w:cs="Arial"/>
            <w:szCs w:val="20"/>
          </w:rPr>
          <w:t>1 m</w:t>
        </w:r>
        <w:r w:rsidRPr="006431C4">
          <w:rPr>
            <w:rFonts w:cs="Arial"/>
            <w:szCs w:val="20"/>
            <w:vertAlign w:val="superscript"/>
          </w:rPr>
          <w:t>2</w:t>
        </w:r>
      </w:smartTag>
      <w:r w:rsidRPr="006431C4">
        <w:rPr>
          <w:rFonts w:cs="Arial"/>
          <w:szCs w:val="20"/>
        </w:rPr>
        <w:t xml:space="preserve"> wstępnie wybranych kostek, wyłącznie na podsypce piaskowej.</w:t>
      </w:r>
    </w:p>
    <w:p w14:paraId="791A6BFD" w14:textId="77777777" w:rsidR="006336AC" w:rsidRPr="006431C4" w:rsidRDefault="006336AC" w:rsidP="00413F29">
      <w:pPr>
        <w:numPr>
          <w:ilvl w:val="0"/>
          <w:numId w:val="60"/>
        </w:numPr>
        <w:shd w:val="clear" w:color="auto" w:fill="FFFFFF" w:themeFill="background1"/>
        <w:tabs>
          <w:tab w:val="left" w:pos="142"/>
        </w:tabs>
        <w:spacing w:line="240" w:lineRule="auto"/>
        <w:ind w:left="0" w:firstLine="0"/>
        <w:jc w:val="both"/>
        <w:rPr>
          <w:rFonts w:cs="Arial"/>
          <w:szCs w:val="20"/>
        </w:rPr>
      </w:pPr>
      <w:r w:rsidRPr="006431C4">
        <w:rPr>
          <w:rFonts w:cs="Arial"/>
          <w:szCs w:val="20"/>
        </w:rPr>
        <w:t>Warunki atmosferyczne</w:t>
      </w:r>
    </w:p>
    <w:p w14:paraId="05ADC9B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Ułożenie nawierzchni z kostki na podsypce cementowo-piaskowej zaleca się wykonywać przy temperaturze otoczenia nie niższej niż +5</w:t>
      </w:r>
      <w:r w:rsidRPr="006431C4">
        <w:rPr>
          <w:rFonts w:cs="Arial"/>
          <w:szCs w:val="20"/>
          <w:vertAlign w:val="superscript"/>
        </w:rPr>
        <w:t>o</w:t>
      </w:r>
      <w:r w:rsidRPr="006431C4">
        <w:rPr>
          <w:rFonts w:cs="Arial"/>
          <w:szCs w:val="20"/>
        </w:rPr>
        <w:t>C. Dopuszcza się wykonanie nawierzchni jeśli w ciągu dnia temperatura utrzymuje się w granicach od 0</w:t>
      </w:r>
      <w:r w:rsidRPr="006431C4">
        <w:rPr>
          <w:rFonts w:cs="Arial"/>
          <w:szCs w:val="20"/>
          <w:vertAlign w:val="superscript"/>
        </w:rPr>
        <w:t>o</w:t>
      </w:r>
      <w:r w:rsidRPr="006431C4">
        <w:rPr>
          <w:rFonts w:cs="Arial"/>
          <w:szCs w:val="20"/>
        </w:rPr>
        <w:t>C do +5</w:t>
      </w:r>
      <w:r w:rsidRPr="006431C4">
        <w:rPr>
          <w:rFonts w:cs="Arial"/>
          <w:szCs w:val="20"/>
          <w:vertAlign w:val="superscript"/>
        </w:rPr>
        <w:t>o</w:t>
      </w:r>
      <w:r w:rsidRPr="006431C4">
        <w:rPr>
          <w:rFonts w:cs="Arial"/>
          <w:szCs w:val="20"/>
        </w:rPr>
        <w:t>C, przy czym jeśli w nocy spodziewane są przymrozki kostkę należy zabezpieczyć materiałami o złym przewodnictwie ciepła (np. matami ze słomy, papą itp.).</w:t>
      </w:r>
    </w:p>
    <w:p w14:paraId="77202E3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Nawierzchnię na podsypce piaskowej zaleca się wykonywać w dodatnich temperaturach otoczenia.</w:t>
      </w:r>
    </w:p>
    <w:p w14:paraId="289B0CA4" w14:textId="77777777" w:rsidR="006336AC" w:rsidRPr="006431C4" w:rsidRDefault="006336AC" w:rsidP="00413F29">
      <w:pPr>
        <w:numPr>
          <w:ilvl w:val="0"/>
          <w:numId w:val="61"/>
        </w:numPr>
        <w:shd w:val="clear" w:color="auto" w:fill="FFFFFF" w:themeFill="background1"/>
        <w:tabs>
          <w:tab w:val="left" w:pos="142"/>
        </w:tabs>
        <w:spacing w:line="240" w:lineRule="auto"/>
        <w:ind w:left="0" w:firstLine="0"/>
        <w:jc w:val="both"/>
        <w:rPr>
          <w:rFonts w:cs="Arial"/>
          <w:szCs w:val="20"/>
        </w:rPr>
      </w:pPr>
      <w:r w:rsidRPr="006431C4">
        <w:rPr>
          <w:rFonts w:cs="Arial"/>
          <w:szCs w:val="20"/>
        </w:rPr>
        <w:t>Ułożenie nawierzchni z kostek</w:t>
      </w:r>
    </w:p>
    <w:p w14:paraId="5F40BCD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Warstwa nawierzchni z kostki powinna być wykonana z elementów o jednakowej grubości. Na większym fragmencie robót zaleca się stosować kostki dostarczone w tej samej partii materiału, w której niedopuszczalne są różne odcienie wybranego koloru kostki.</w:t>
      </w:r>
    </w:p>
    <w:p w14:paraId="5198F54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Układanie kostki można wykonywać ręcznie lub mechanicznie.</w:t>
      </w:r>
    </w:p>
    <w:p w14:paraId="7406334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14:paraId="2CE920A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0695761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Kostkę układa się około </w:t>
      </w:r>
      <w:smartTag w:uri="urn:schemas-microsoft-com:office:smarttags" w:element="metricconverter">
        <w:smartTagPr>
          <w:attr w:name="ProductID" w:val="1,5 cm"/>
        </w:smartTagPr>
        <w:r w:rsidRPr="006431C4">
          <w:rPr>
            <w:rFonts w:cs="Arial"/>
            <w:szCs w:val="20"/>
          </w:rPr>
          <w:t>1,5 cm</w:t>
        </w:r>
      </w:smartTag>
      <w:r w:rsidRPr="006431C4">
        <w:rPr>
          <w:rFonts w:cs="Arial"/>
          <w:szCs w:val="20"/>
        </w:rPr>
        <w:t xml:space="preserve"> wyżej od projektowanej niwelety, ponieważ po procesie ubijania podsypka zagęszcza się.</w:t>
      </w:r>
    </w:p>
    <w:p w14:paraId="2EDF18C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6431C4">
          <w:rPr>
            <w:rFonts w:cs="Arial"/>
            <w:szCs w:val="20"/>
          </w:rPr>
          <w:t>3 mm</w:t>
        </w:r>
      </w:smartTag>
      <w:r w:rsidRPr="006431C4">
        <w:rPr>
          <w:rFonts w:cs="Arial"/>
          <w:szCs w:val="20"/>
        </w:rPr>
        <w:t xml:space="preserve"> do </w:t>
      </w:r>
      <w:smartTag w:uri="urn:schemas-microsoft-com:office:smarttags" w:element="metricconverter">
        <w:smartTagPr>
          <w:attr w:name="ProductID" w:val="5 mm"/>
        </w:smartTagPr>
        <w:r w:rsidRPr="006431C4">
          <w:rPr>
            <w:rFonts w:cs="Arial"/>
            <w:szCs w:val="20"/>
          </w:rPr>
          <w:t>5 mm</w:t>
        </w:r>
      </w:smartTag>
      <w:r w:rsidRPr="006431C4">
        <w:rPr>
          <w:rFonts w:cs="Arial"/>
          <w:szCs w:val="20"/>
        </w:rPr>
        <w:t xml:space="preserve"> powyżej powierzchni tych urządzeń oraz od </w:t>
      </w:r>
      <w:smartTag w:uri="urn:schemas-microsoft-com:office:smarttags" w:element="metricconverter">
        <w:smartTagPr>
          <w:attr w:name="ProductID" w:val="3 mm"/>
        </w:smartTagPr>
        <w:r w:rsidRPr="006431C4">
          <w:rPr>
            <w:rFonts w:cs="Arial"/>
            <w:szCs w:val="20"/>
          </w:rPr>
          <w:t>3 mm</w:t>
        </w:r>
      </w:smartTag>
      <w:r w:rsidRPr="006431C4">
        <w:rPr>
          <w:rFonts w:cs="Arial"/>
          <w:szCs w:val="20"/>
        </w:rPr>
        <w:t xml:space="preserve"> do </w:t>
      </w:r>
      <w:smartTag w:uri="urn:schemas-microsoft-com:office:smarttags" w:element="metricconverter">
        <w:smartTagPr>
          <w:attr w:name="ProductID" w:val="10 mm"/>
        </w:smartTagPr>
        <w:r w:rsidRPr="006431C4">
          <w:rPr>
            <w:rFonts w:cs="Arial"/>
            <w:szCs w:val="20"/>
          </w:rPr>
          <w:t>10 mm</w:t>
        </w:r>
      </w:smartTag>
      <w:r w:rsidRPr="006431C4">
        <w:rPr>
          <w:rFonts w:cs="Arial"/>
          <w:szCs w:val="20"/>
        </w:rPr>
        <w:t xml:space="preserve"> powyżej korytek ściekowych (ścieków).</w:t>
      </w:r>
    </w:p>
    <w:p w14:paraId="3FC689B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3E9F3D1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14:paraId="7DF7EAAE" w14:textId="77777777" w:rsidR="006336AC" w:rsidRPr="006431C4" w:rsidRDefault="006336AC" w:rsidP="00413F29">
      <w:pPr>
        <w:numPr>
          <w:ilvl w:val="0"/>
          <w:numId w:val="62"/>
        </w:numPr>
        <w:shd w:val="clear" w:color="auto" w:fill="FFFFFF" w:themeFill="background1"/>
        <w:tabs>
          <w:tab w:val="left" w:pos="142"/>
        </w:tabs>
        <w:spacing w:line="240" w:lineRule="auto"/>
        <w:ind w:left="0" w:firstLine="0"/>
        <w:jc w:val="both"/>
        <w:rPr>
          <w:rFonts w:cs="Arial"/>
          <w:szCs w:val="20"/>
        </w:rPr>
      </w:pPr>
      <w:r w:rsidRPr="006431C4">
        <w:rPr>
          <w:rFonts w:cs="Arial"/>
          <w:szCs w:val="20"/>
        </w:rPr>
        <w:t>Ubicie nawierzchni z kostek</w:t>
      </w:r>
    </w:p>
    <w:p w14:paraId="2AF3060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Ubicie nawierzchni należy przeprowadzić za pomocą zagęszczarki wibracyjnej (płytowej) z osłoną z tworzywa sztucznego. Do ubicia nawierzchni nie wolno używać walca.</w:t>
      </w:r>
    </w:p>
    <w:p w14:paraId="483C0FD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Ubijanie nawierzchni należy prowadzić od krawędzi powierzchni w kierunku jej środka i jednocześnie w kierunku poprzecznym kształtek. Ewentualne nierówności powierzchniowe mogą być zlikwidowane przez ubijanie w kierunku wzdłużnym kostki.</w:t>
      </w:r>
    </w:p>
    <w:p w14:paraId="4338934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Po ubiciu nawierzchni wszystkie kostki uszkodzone (np. pęknięte) należy wymienić na kostki całe.</w:t>
      </w:r>
    </w:p>
    <w:p w14:paraId="6C7610E2" w14:textId="77777777" w:rsidR="006336AC" w:rsidRPr="006431C4" w:rsidRDefault="006336AC" w:rsidP="00413F29">
      <w:pPr>
        <w:numPr>
          <w:ilvl w:val="0"/>
          <w:numId w:val="63"/>
        </w:numPr>
        <w:shd w:val="clear" w:color="auto" w:fill="FFFFFF" w:themeFill="background1"/>
        <w:tabs>
          <w:tab w:val="left" w:pos="142"/>
        </w:tabs>
        <w:spacing w:line="240" w:lineRule="auto"/>
        <w:ind w:left="0" w:firstLine="0"/>
        <w:jc w:val="both"/>
        <w:rPr>
          <w:rFonts w:cs="Arial"/>
          <w:szCs w:val="20"/>
        </w:rPr>
      </w:pPr>
      <w:r w:rsidRPr="006431C4">
        <w:rPr>
          <w:rFonts w:cs="Arial"/>
          <w:szCs w:val="20"/>
        </w:rPr>
        <w:t>Spoiny i szczeliny dylatacyjne</w:t>
      </w:r>
    </w:p>
    <w:p w14:paraId="08729A01" w14:textId="77777777" w:rsidR="006336AC" w:rsidRPr="006431C4" w:rsidRDefault="006336AC" w:rsidP="00413F29">
      <w:pPr>
        <w:numPr>
          <w:ilvl w:val="0"/>
          <w:numId w:val="64"/>
        </w:numPr>
        <w:shd w:val="clear" w:color="auto" w:fill="FFFFFF" w:themeFill="background1"/>
        <w:tabs>
          <w:tab w:val="left" w:pos="142"/>
        </w:tabs>
        <w:spacing w:line="240" w:lineRule="auto"/>
        <w:ind w:left="0" w:firstLine="0"/>
        <w:jc w:val="both"/>
        <w:rPr>
          <w:rFonts w:cs="Arial"/>
          <w:szCs w:val="20"/>
        </w:rPr>
      </w:pPr>
      <w:r w:rsidRPr="006431C4">
        <w:rPr>
          <w:rFonts w:cs="Arial"/>
          <w:szCs w:val="20"/>
        </w:rPr>
        <w:t>Spoiny</w:t>
      </w:r>
    </w:p>
    <w:p w14:paraId="2F8ABB0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Szerokość spoin pomiędzy betonowymi kostkami brukowymi powinna wynosić od </w:t>
      </w:r>
      <w:smartTag w:uri="urn:schemas-microsoft-com:office:smarttags" w:element="metricconverter">
        <w:smartTagPr>
          <w:attr w:name="ProductID" w:val="3 mm"/>
        </w:smartTagPr>
        <w:r w:rsidRPr="006431C4">
          <w:rPr>
            <w:rFonts w:cs="Arial"/>
            <w:szCs w:val="20"/>
          </w:rPr>
          <w:t>3 mm</w:t>
        </w:r>
      </w:smartTag>
      <w:r w:rsidRPr="006431C4">
        <w:rPr>
          <w:rFonts w:cs="Arial"/>
          <w:szCs w:val="20"/>
        </w:rPr>
        <w:t xml:space="preserve"> do </w:t>
      </w:r>
      <w:smartTag w:uri="urn:schemas-microsoft-com:office:smarttags" w:element="metricconverter">
        <w:smartTagPr>
          <w:attr w:name="ProductID" w:val="5 mm"/>
        </w:smartTagPr>
        <w:r w:rsidRPr="006431C4">
          <w:rPr>
            <w:rFonts w:cs="Arial"/>
            <w:szCs w:val="20"/>
          </w:rPr>
          <w:t>5 mm</w:t>
        </w:r>
      </w:smartTag>
      <w:r w:rsidRPr="006431C4">
        <w:rPr>
          <w:rFonts w:cs="Arial"/>
          <w:szCs w:val="20"/>
        </w:rPr>
        <w:t>.</w:t>
      </w:r>
    </w:p>
    <w:p w14:paraId="7836E5B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14:paraId="6D18AC2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Po ułożeniu kostek, spoiny należy wypełnić:</w:t>
      </w:r>
    </w:p>
    <w:p w14:paraId="66920174" w14:textId="77777777" w:rsidR="006336AC" w:rsidRPr="006431C4" w:rsidRDefault="006336AC" w:rsidP="00413F29">
      <w:pPr>
        <w:numPr>
          <w:ilvl w:val="0"/>
          <w:numId w:val="65"/>
        </w:numPr>
        <w:shd w:val="clear" w:color="auto" w:fill="FFFFFF" w:themeFill="background1"/>
        <w:tabs>
          <w:tab w:val="left" w:pos="142"/>
        </w:tabs>
        <w:spacing w:line="240" w:lineRule="auto"/>
        <w:ind w:left="0" w:firstLine="0"/>
        <w:jc w:val="both"/>
        <w:rPr>
          <w:rFonts w:cs="Arial"/>
          <w:szCs w:val="20"/>
        </w:rPr>
      </w:pPr>
      <w:r w:rsidRPr="006431C4">
        <w:rPr>
          <w:rFonts w:cs="Arial"/>
          <w:szCs w:val="20"/>
        </w:rPr>
        <w:t>piaskiem, spełniającym wymagania pktu 2.3 c), jeśli nawierzchnia jest na podsypce piaskowej,</w:t>
      </w:r>
    </w:p>
    <w:p w14:paraId="0A4EA785" w14:textId="77777777" w:rsidR="006336AC" w:rsidRPr="006431C4" w:rsidRDefault="006336AC" w:rsidP="00413F29">
      <w:pPr>
        <w:numPr>
          <w:ilvl w:val="0"/>
          <w:numId w:val="65"/>
        </w:numPr>
        <w:shd w:val="clear" w:color="auto" w:fill="FFFFFF" w:themeFill="background1"/>
        <w:tabs>
          <w:tab w:val="left" w:pos="142"/>
        </w:tabs>
        <w:spacing w:line="240" w:lineRule="auto"/>
        <w:ind w:left="0" w:firstLine="0"/>
        <w:jc w:val="both"/>
        <w:rPr>
          <w:rFonts w:cs="Arial"/>
          <w:szCs w:val="20"/>
        </w:rPr>
      </w:pPr>
      <w:r w:rsidRPr="006431C4">
        <w:rPr>
          <w:rFonts w:cs="Arial"/>
          <w:szCs w:val="20"/>
        </w:rPr>
        <w:t>zaprawą cementowo-piaskową, spełniającą wymagania pktu 2.3 d), jeśli nawierzchnia jest na podsypce cementowo-piaskowej.</w:t>
      </w:r>
    </w:p>
    <w:p w14:paraId="067D4DC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lastRenderedPageBreak/>
        <w:tab/>
        <w:t xml:space="preserve">Wypełnienie spoin piaskiem polega na rozsypaniu warstwy piasku i wmieceniu go w spoiny na sucho lub, po obfitym polaniu wodą - wmieceniu papki piaskowej szczotkami względnie </w:t>
      </w:r>
      <w:proofErr w:type="spellStart"/>
      <w:r w:rsidRPr="006431C4">
        <w:rPr>
          <w:rFonts w:cs="Arial"/>
          <w:szCs w:val="20"/>
        </w:rPr>
        <w:t>rozgarniaczkami</w:t>
      </w:r>
      <w:proofErr w:type="spellEnd"/>
      <w:r w:rsidRPr="006431C4">
        <w:rPr>
          <w:rFonts w:cs="Arial"/>
          <w:szCs w:val="20"/>
        </w:rPr>
        <w:t xml:space="preserve"> z piórami gumowymi.</w:t>
      </w:r>
    </w:p>
    <w:p w14:paraId="101D37B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rsidRPr="006431C4">
        <w:rPr>
          <w:rFonts w:cs="Arial"/>
          <w:szCs w:val="20"/>
        </w:rPr>
        <w:t>rozgarniaczkami</w:t>
      </w:r>
      <w:proofErr w:type="spellEnd"/>
      <w:r w:rsidRPr="006431C4">
        <w:rPr>
          <w:rFonts w:cs="Arial"/>
          <w:szCs w:val="20"/>
        </w:rPr>
        <w:t xml:space="preserve"> z piórami gumowymi. Przed rozpoczęciem zalewania kostka powinna być oczyszczona i dobrze zwilżona wodą. Zalewa powinna całkowicie wypełnić spoiny i tworzyć monolit z kostkami.</w:t>
      </w:r>
    </w:p>
    <w:p w14:paraId="4BF017D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Przy wypełnianiu spoin zaprawą cementowo-piaskową należy zabezpieczyć przed zalaniem nią szczeliny dylatacyjne, wkładając zwinięte paski papy, zwitki z worków po cemencie itp.</w:t>
      </w:r>
    </w:p>
    <w:p w14:paraId="54CF663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Po wypełnianiu spoin zaprawą cementowo-piaskową nawierzchnię należy starannie oczyścić; szczególnie dotyczy to nawierzchni z kostek kolorowych i z różnymi deseniami układania.</w:t>
      </w:r>
    </w:p>
    <w:p w14:paraId="33909D3A" w14:textId="77777777" w:rsidR="006336AC" w:rsidRPr="006431C4" w:rsidRDefault="006336AC" w:rsidP="00413F29">
      <w:pPr>
        <w:numPr>
          <w:ilvl w:val="0"/>
          <w:numId w:val="66"/>
        </w:numPr>
        <w:shd w:val="clear" w:color="auto" w:fill="FFFFFF" w:themeFill="background1"/>
        <w:tabs>
          <w:tab w:val="left" w:pos="142"/>
        </w:tabs>
        <w:spacing w:line="240" w:lineRule="auto"/>
        <w:ind w:left="0" w:firstLine="0"/>
        <w:jc w:val="both"/>
        <w:rPr>
          <w:rFonts w:cs="Arial"/>
          <w:szCs w:val="20"/>
        </w:rPr>
      </w:pPr>
      <w:r w:rsidRPr="006431C4">
        <w:rPr>
          <w:rFonts w:cs="Arial"/>
          <w:szCs w:val="20"/>
        </w:rPr>
        <w:t>Szczeliny dylatacyjne</w:t>
      </w:r>
    </w:p>
    <w:p w14:paraId="4DEC86B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W przypadku układania kostek na podsypce cementowo-piaskowej i wypełnianiu spoin zaprawą cementowo-piaskową, należy przewidzieć wykonanie szczelin dylatacyjnych w odległościach zgodnych z dokumentacją projektową lub SST względnie nie większych niż co </w:t>
      </w:r>
      <w:smartTag w:uri="urn:schemas-microsoft-com:office:smarttags" w:element="metricconverter">
        <w:smartTagPr>
          <w:attr w:name="ProductID" w:val="8 m"/>
        </w:smartTagPr>
        <w:r w:rsidRPr="006431C4">
          <w:rPr>
            <w:rFonts w:cs="Arial"/>
            <w:szCs w:val="20"/>
          </w:rPr>
          <w:t>8 m</w:t>
        </w:r>
      </w:smartTag>
      <w:r w:rsidRPr="006431C4">
        <w:rPr>
          <w:rFonts w:cs="Arial"/>
          <w:szCs w:val="20"/>
        </w:rPr>
        <w:t xml:space="preserve">. Szerokość szczelin dylatacyjnych powinna umożliwiać przejęcie przez nie przemieszczeń wywołanych wysokimi temperaturami nawierzchni w okresie letnim, lecz nie powinna być mniejsza niż </w:t>
      </w:r>
      <w:smartTag w:uri="urn:schemas-microsoft-com:office:smarttags" w:element="metricconverter">
        <w:smartTagPr>
          <w:attr w:name="ProductID" w:val="8 mm"/>
        </w:smartTagPr>
        <w:r w:rsidRPr="006431C4">
          <w:rPr>
            <w:rFonts w:cs="Arial"/>
            <w:szCs w:val="20"/>
          </w:rPr>
          <w:t>8 mm</w:t>
        </w:r>
      </w:smartTag>
      <w:r w:rsidRPr="006431C4">
        <w:rPr>
          <w:rFonts w:cs="Arial"/>
          <w:szCs w:val="20"/>
        </w:rPr>
        <w:t>. Szczeliny te powinny być wypełnione trwale zalewami i masami określonymi w pkcie 2.3 e). Sposób wypełnienia szczelin powinien odpowiadać wymaganiom SST D-05.03.04a [12].</w:t>
      </w:r>
    </w:p>
    <w:p w14:paraId="05F93A1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14:paraId="4535E70F"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5.8. Pielęgnacja nawierzchni i oddanie jej dla ruchu</w:t>
      </w:r>
    </w:p>
    <w:p w14:paraId="3FEE037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Nawierzchnię na podsypce piaskowej ze spoinami wypełnionymi piaskiem można oddać do użytku bezpośrednio po jej wykonaniu.</w:t>
      </w:r>
    </w:p>
    <w:p w14:paraId="2907BDF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rsidRPr="006431C4">
          <w:rPr>
            <w:rFonts w:cs="Arial"/>
            <w:szCs w:val="20"/>
          </w:rPr>
          <w:t>4,0 cm</w:t>
        </w:r>
      </w:smartTag>
      <w:r w:rsidRPr="006431C4">
        <w:rPr>
          <w:rFonts w:cs="Arial"/>
          <w:szCs w:val="20"/>
        </w:rPr>
        <w:t xml:space="preserve"> i utrzymywać ją w stanie wilgotnym przez 7 do 10 dni. Po upływie od 2 tygodni (przy temperaturze średniej otoczenia nie niższej niż 15</w:t>
      </w:r>
      <w:r w:rsidRPr="006431C4">
        <w:rPr>
          <w:rFonts w:cs="Arial"/>
          <w:szCs w:val="20"/>
          <w:vertAlign w:val="superscript"/>
        </w:rPr>
        <w:t>o</w:t>
      </w:r>
      <w:r w:rsidRPr="006431C4">
        <w:rPr>
          <w:rFonts w:cs="Arial"/>
          <w:szCs w:val="20"/>
        </w:rPr>
        <w:t>C) do          3 tygodni (w porze chłodniejszej) nawierzchnię należy oczyścić z piasku i można oddać do użytku.</w:t>
      </w:r>
    </w:p>
    <w:p w14:paraId="2910002E"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 xml:space="preserve"> </w:t>
      </w:r>
      <w:bookmarkStart w:id="963" w:name="_Toc107903641"/>
      <w:r w:rsidRPr="006431C4">
        <w:rPr>
          <w:rFonts w:cs="Arial"/>
          <w:b/>
          <w:szCs w:val="20"/>
        </w:rPr>
        <w:t xml:space="preserve">6. </w:t>
      </w:r>
      <w:bookmarkEnd w:id="963"/>
      <w:r w:rsidRPr="006431C4">
        <w:rPr>
          <w:rFonts w:cs="Arial"/>
          <w:b/>
          <w:szCs w:val="20"/>
        </w:rPr>
        <w:t>KONTROLA JAKOŚCI ROBÓT</w:t>
      </w:r>
    </w:p>
    <w:p w14:paraId="65E3AED0"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6.1. Ogólne zasady kontroli jakości robót</w:t>
      </w:r>
    </w:p>
    <w:p w14:paraId="6AB6540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zasady kontroli jakości robót podano w SST D-M-00.00.00 „Wymagania ogólne” [5] pkt 6.</w:t>
      </w:r>
    </w:p>
    <w:p w14:paraId="6FC3658A"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6.2. Badania przed przystąpieniem do robót</w:t>
      </w:r>
    </w:p>
    <w:p w14:paraId="361B51C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Przed przystąpieniem do robót Wykonawca powinien:</w:t>
      </w:r>
    </w:p>
    <w:p w14:paraId="511CEF79"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uzyskać wymagane dokumenty, dopuszczające wyroby budowlane do obrotu i powszechnego stosowania (aprobaty techniczne, certyfikaty zgodności, deklaracje zgodności, ew. badania materiałów wykonane przez dostawców itp.),</w:t>
      </w:r>
    </w:p>
    <w:p w14:paraId="5E1BC6ED"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wykonać badania właściwości materiałów przeznaczonych do wykonania robót, określone w pkcie 2,</w:t>
      </w:r>
    </w:p>
    <w:p w14:paraId="6AAB675C"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sprawdzić cechy zewnętrzne gotowych materiałów z tworzyw i prefabrykowanych.</w:t>
      </w:r>
    </w:p>
    <w:p w14:paraId="4CA9188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Wszystkie dokumenty oraz wyniki badań Wykonawca przedstawia Inżynierowi do akceptacji.</w:t>
      </w:r>
    </w:p>
    <w:p w14:paraId="0E1EC04C"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6.3. Badania w czasie robót</w:t>
      </w:r>
    </w:p>
    <w:p w14:paraId="4CC3E18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Częstotliwość oraz zakres badań i pomiarów w czasie robót nawierzchniowych z kostki podaje tablica 2.</w:t>
      </w:r>
    </w:p>
    <w:p w14:paraId="11AEC6B1"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790929F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Tablica 2. Częstotliwość oraz zakres badań i pomiarów w czasie robót</w:t>
      </w:r>
    </w:p>
    <w:tbl>
      <w:tblPr>
        <w:tblW w:w="0" w:type="auto"/>
        <w:tblLayout w:type="fixed"/>
        <w:tblCellMar>
          <w:left w:w="70" w:type="dxa"/>
          <w:right w:w="70" w:type="dxa"/>
        </w:tblCellMar>
        <w:tblLook w:val="0000" w:firstRow="0" w:lastRow="0" w:firstColumn="0" w:lastColumn="0" w:noHBand="0" w:noVBand="0"/>
      </w:tblPr>
      <w:tblGrid>
        <w:gridCol w:w="496"/>
        <w:gridCol w:w="4032"/>
        <w:gridCol w:w="3828"/>
        <w:gridCol w:w="2268"/>
      </w:tblGrid>
      <w:tr w:rsidR="006336AC" w:rsidRPr="006431C4" w14:paraId="27B386BB" w14:textId="77777777" w:rsidTr="00D032BE">
        <w:tc>
          <w:tcPr>
            <w:tcW w:w="496" w:type="dxa"/>
            <w:tcBorders>
              <w:top w:val="single" w:sz="6" w:space="0" w:color="auto"/>
              <w:left w:val="single" w:sz="6" w:space="0" w:color="auto"/>
              <w:bottom w:val="single" w:sz="4" w:space="0" w:color="auto"/>
              <w:right w:val="single" w:sz="6" w:space="0" w:color="auto"/>
            </w:tcBorders>
          </w:tcPr>
          <w:p w14:paraId="6F9B2B3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Lp.</w:t>
            </w:r>
          </w:p>
        </w:tc>
        <w:tc>
          <w:tcPr>
            <w:tcW w:w="4032" w:type="dxa"/>
            <w:tcBorders>
              <w:top w:val="single" w:sz="6" w:space="0" w:color="auto"/>
              <w:left w:val="single" w:sz="6" w:space="0" w:color="auto"/>
              <w:bottom w:val="single" w:sz="4" w:space="0" w:color="auto"/>
              <w:right w:val="single" w:sz="6" w:space="0" w:color="auto"/>
            </w:tcBorders>
          </w:tcPr>
          <w:p w14:paraId="2ED5B20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Wyszczególnienie</w:t>
            </w:r>
          </w:p>
          <w:p w14:paraId="571B705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badań i pomiarów</w:t>
            </w:r>
          </w:p>
        </w:tc>
        <w:tc>
          <w:tcPr>
            <w:tcW w:w="3828" w:type="dxa"/>
            <w:tcBorders>
              <w:top w:val="single" w:sz="6" w:space="0" w:color="auto"/>
              <w:left w:val="single" w:sz="6" w:space="0" w:color="auto"/>
              <w:bottom w:val="single" w:sz="4" w:space="0" w:color="auto"/>
              <w:right w:val="single" w:sz="6" w:space="0" w:color="auto"/>
            </w:tcBorders>
          </w:tcPr>
          <w:p w14:paraId="52B088A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Częstotliwość badań</w:t>
            </w:r>
          </w:p>
        </w:tc>
        <w:tc>
          <w:tcPr>
            <w:tcW w:w="2268" w:type="dxa"/>
            <w:tcBorders>
              <w:top w:val="single" w:sz="6" w:space="0" w:color="auto"/>
              <w:left w:val="single" w:sz="6" w:space="0" w:color="auto"/>
              <w:bottom w:val="single" w:sz="4" w:space="0" w:color="auto"/>
              <w:right w:val="single" w:sz="6" w:space="0" w:color="auto"/>
            </w:tcBorders>
          </w:tcPr>
          <w:p w14:paraId="59763A9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Wartości dopuszczalne</w:t>
            </w:r>
          </w:p>
        </w:tc>
      </w:tr>
      <w:tr w:rsidR="006336AC" w:rsidRPr="006431C4" w14:paraId="4CF51096" w14:textId="77777777" w:rsidTr="00D032BE">
        <w:tc>
          <w:tcPr>
            <w:tcW w:w="496" w:type="dxa"/>
            <w:tcBorders>
              <w:top w:val="single" w:sz="4" w:space="0" w:color="auto"/>
              <w:left w:val="single" w:sz="6" w:space="0" w:color="auto"/>
            </w:tcBorders>
          </w:tcPr>
          <w:p w14:paraId="2D448AC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w:t>
            </w:r>
          </w:p>
        </w:tc>
        <w:tc>
          <w:tcPr>
            <w:tcW w:w="4032" w:type="dxa"/>
            <w:tcBorders>
              <w:top w:val="single" w:sz="4" w:space="0" w:color="auto"/>
              <w:left w:val="single" w:sz="6" w:space="0" w:color="auto"/>
            </w:tcBorders>
          </w:tcPr>
          <w:p w14:paraId="398CBBC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Sprawdzenie podłoża i koryta</w:t>
            </w:r>
          </w:p>
        </w:tc>
        <w:tc>
          <w:tcPr>
            <w:tcW w:w="3828" w:type="dxa"/>
            <w:tcBorders>
              <w:top w:val="single" w:sz="4" w:space="0" w:color="auto"/>
              <w:left w:val="single" w:sz="6" w:space="0" w:color="auto"/>
            </w:tcBorders>
          </w:tcPr>
          <w:p w14:paraId="670C7FB5" w14:textId="77777777" w:rsidR="006336AC" w:rsidRPr="006431C4" w:rsidRDefault="006336AC" w:rsidP="00D232E1">
            <w:pPr>
              <w:shd w:val="clear" w:color="auto" w:fill="FFFFFF" w:themeFill="background1"/>
              <w:tabs>
                <w:tab w:val="left" w:pos="142"/>
              </w:tabs>
              <w:spacing w:line="240" w:lineRule="auto"/>
              <w:jc w:val="both"/>
              <w:rPr>
                <w:rFonts w:cs="Arial"/>
                <w:szCs w:val="20"/>
                <w:lang w:val="de-DE"/>
              </w:rPr>
            </w:pPr>
            <w:proofErr w:type="spellStart"/>
            <w:r w:rsidRPr="006431C4">
              <w:rPr>
                <w:rFonts w:cs="Arial"/>
                <w:szCs w:val="20"/>
                <w:lang w:val="de-DE"/>
              </w:rPr>
              <w:t>Wg</w:t>
            </w:r>
            <w:proofErr w:type="spellEnd"/>
            <w:r w:rsidRPr="006431C4">
              <w:rPr>
                <w:rFonts w:cs="Arial"/>
                <w:szCs w:val="20"/>
                <w:lang w:val="de-DE"/>
              </w:rPr>
              <w:t xml:space="preserve"> SST D-04.01.01 [6]</w:t>
            </w:r>
          </w:p>
        </w:tc>
        <w:tc>
          <w:tcPr>
            <w:tcW w:w="2268" w:type="dxa"/>
            <w:tcBorders>
              <w:top w:val="single" w:sz="4" w:space="0" w:color="auto"/>
              <w:right w:val="single" w:sz="6" w:space="0" w:color="auto"/>
            </w:tcBorders>
          </w:tcPr>
          <w:p w14:paraId="658C285B" w14:textId="77777777" w:rsidR="006336AC" w:rsidRPr="006431C4" w:rsidRDefault="006336AC" w:rsidP="00D232E1">
            <w:pPr>
              <w:shd w:val="clear" w:color="auto" w:fill="FFFFFF" w:themeFill="background1"/>
              <w:tabs>
                <w:tab w:val="left" w:pos="142"/>
              </w:tabs>
              <w:spacing w:line="240" w:lineRule="auto"/>
              <w:jc w:val="both"/>
              <w:rPr>
                <w:rFonts w:cs="Arial"/>
                <w:szCs w:val="20"/>
                <w:lang w:val="de-DE"/>
              </w:rPr>
            </w:pPr>
          </w:p>
        </w:tc>
      </w:tr>
      <w:tr w:rsidR="006336AC" w:rsidRPr="006431C4" w14:paraId="52B87519" w14:textId="77777777" w:rsidTr="00D032BE">
        <w:tc>
          <w:tcPr>
            <w:tcW w:w="496" w:type="dxa"/>
            <w:tcBorders>
              <w:top w:val="single" w:sz="6" w:space="0" w:color="auto"/>
              <w:left w:val="single" w:sz="6" w:space="0" w:color="auto"/>
              <w:right w:val="single" w:sz="6" w:space="0" w:color="auto"/>
            </w:tcBorders>
          </w:tcPr>
          <w:p w14:paraId="708A290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4032" w:type="dxa"/>
            <w:tcBorders>
              <w:top w:val="single" w:sz="6" w:space="0" w:color="auto"/>
            </w:tcBorders>
          </w:tcPr>
          <w:p w14:paraId="7F55BA6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Sprawdzenie ew. podbudowy</w:t>
            </w:r>
          </w:p>
        </w:tc>
        <w:tc>
          <w:tcPr>
            <w:tcW w:w="3828" w:type="dxa"/>
            <w:tcBorders>
              <w:top w:val="single" w:sz="6" w:space="0" w:color="auto"/>
              <w:left w:val="single" w:sz="6" w:space="0" w:color="auto"/>
            </w:tcBorders>
          </w:tcPr>
          <w:p w14:paraId="16DCE3C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Wg SST, norm, wytycznych, wymienionych w pkcie 5.4</w:t>
            </w:r>
          </w:p>
        </w:tc>
        <w:tc>
          <w:tcPr>
            <w:tcW w:w="2268" w:type="dxa"/>
            <w:tcBorders>
              <w:top w:val="single" w:sz="6" w:space="0" w:color="auto"/>
              <w:bottom w:val="single" w:sz="6" w:space="0" w:color="auto"/>
              <w:right w:val="single" w:sz="6" w:space="0" w:color="auto"/>
            </w:tcBorders>
          </w:tcPr>
          <w:p w14:paraId="331BF5FB"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r>
      <w:tr w:rsidR="006336AC" w:rsidRPr="00747F93" w14:paraId="7CC74934" w14:textId="77777777" w:rsidTr="00D032BE">
        <w:tc>
          <w:tcPr>
            <w:tcW w:w="496" w:type="dxa"/>
            <w:tcBorders>
              <w:top w:val="single" w:sz="6" w:space="0" w:color="auto"/>
              <w:left w:val="single" w:sz="6" w:space="0" w:color="auto"/>
              <w:right w:val="single" w:sz="6" w:space="0" w:color="auto"/>
            </w:tcBorders>
          </w:tcPr>
          <w:p w14:paraId="097134E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3</w:t>
            </w:r>
          </w:p>
        </w:tc>
        <w:tc>
          <w:tcPr>
            <w:tcW w:w="4032" w:type="dxa"/>
            <w:tcBorders>
              <w:top w:val="single" w:sz="6" w:space="0" w:color="auto"/>
            </w:tcBorders>
          </w:tcPr>
          <w:p w14:paraId="570715D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Sprawdzenie obramowania nawierzchni</w:t>
            </w:r>
          </w:p>
        </w:tc>
        <w:tc>
          <w:tcPr>
            <w:tcW w:w="3828" w:type="dxa"/>
            <w:tcBorders>
              <w:top w:val="single" w:sz="6" w:space="0" w:color="auto"/>
              <w:left w:val="single" w:sz="6" w:space="0" w:color="auto"/>
            </w:tcBorders>
          </w:tcPr>
          <w:p w14:paraId="45DE0BCF" w14:textId="77777777" w:rsidR="006336AC" w:rsidRPr="006431C4" w:rsidRDefault="006336AC" w:rsidP="00D232E1">
            <w:pPr>
              <w:shd w:val="clear" w:color="auto" w:fill="FFFFFF" w:themeFill="background1"/>
              <w:tabs>
                <w:tab w:val="left" w:pos="142"/>
              </w:tabs>
              <w:spacing w:line="240" w:lineRule="auto"/>
              <w:jc w:val="both"/>
              <w:rPr>
                <w:rFonts w:cs="Arial"/>
                <w:szCs w:val="20"/>
                <w:lang w:val="de-DE"/>
              </w:rPr>
            </w:pPr>
            <w:proofErr w:type="spellStart"/>
            <w:r w:rsidRPr="006431C4">
              <w:rPr>
                <w:rFonts w:cs="Arial"/>
                <w:szCs w:val="20"/>
                <w:lang w:val="de-DE"/>
              </w:rPr>
              <w:t>wg</w:t>
            </w:r>
            <w:proofErr w:type="spellEnd"/>
            <w:r w:rsidRPr="006431C4">
              <w:rPr>
                <w:rFonts w:cs="Arial"/>
                <w:szCs w:val="20"/>
                <w:lang w:val="de-DE"/>
              </w:rPr>
              <w:t xml:space="preserve"> SST D-08.01.01</w:t>
            </w:r>
            <w:r w:rsidRPr="006431C4">
              <w:rPr>
                <w:rFonts w:cs="Arial"/>
                <w:szCs w:val="20"/>
                <w:lang w:val="en-US"/>
              </w:rPr>
              <w:t xml:space="preserve">a [13];                  </w:t>
            </w:r>
            <w:r w:rsidRPr="006431C4">
              <w:rPr>
                <w:rFonts w:cs="Arial"/>
                <w:szCs w:val="20"/>
                <w:lang w:val="de-DE"/>
              </w:rPr>
              <w:t>D-08.01.02 [14]; D-08.03.01 [15];           D-08.05.00 [16]</w:t>
            </w:r>
          </w:p>
        </w:tc>
        <w:tc>
          <w:tcPr>
            <w:tcW w:w="2268" w:type="dxa"/>
            <w:tcBorders>
              <w:right w:val="single" w:sz="6" w:space="0" w:color="auto"/>
            </w:tcBorders>
          </w:tcPr>
          <w:p w14:paraId="7277E634" w14:textId="77777777" w:rsidR="006336AC" w:rsidRPr="006431C4" w:rsidRDefault="006336AC" w:rsidP="00D232E1">
            <w:pPr>
              <w:shd w:val="clear" w:color="auto" w:fill="FFFFFF" w:themeFill="background1"/>
              <w:tabs>
                <w:tab w:val="left" w:pos="142"/>
              </w:tabs>
              <w:spacing w:line="240" w:lineRule="auto"/>
              <w:jc w:val="both"/>
              <w:rPr>
                <w:rFonts w:cs="Arial"/>
                <w:szCs w:val="20"/>
                <w:lang w:val="de-DE"/>
              </w:rPr>
            </w:pPr>
          </w:p>
        </w:tc>
      </w:tr>
      <w:tr w:rsidR="006336AC" w:rsidRPr="006431C4" w14:paraId="02E4CFA2" w14:textId="77777777" w:rsidTr="00D032BE">
        <w:tc>
          <w:tcPr>
            <w:tcW w:w="496" w:type="dxa"/>
            <w:tcBorders>
              <w:top w:val="single" w:sz="6" w:space="0" w:color="auto"/>
              <w:left w:val="single" w:sz="6" w:space="0" w:color="auto"/>
              <w:right w:val="single" w:sz="6" w:space="0" w:color="auto"/>
            </w:tcBorders>
          </w:tcPr>
          <w:p w14:paraId="04505AE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4</w:t>
            </w:r>
          </w:p>
        </w:tc>
        <w:tc>
          <w:tcPr>
            <w:tcW w:w="4032" w:type="dxa"/>
            <w:tcBorders>
              <w:top w:val="single" w:sz="6" w:space="0" w:color="auto"/>
              <w:left w:val="single" w:sz="6" w:space="0" w:color="auto"/>
              <w:right w:val="single" w:sz="6" w:space="0" w:color="auto"/>
            </w:tcBorders>
          </w:tcPr>
          <w:p w14:paraId="19BB67D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Sprawdzenie podsypki (przymiarem liniowym lub metodą niwelacji)</w:t>
            </w:r>
          </w:p>
        </w:tc>
        <w:tc>
          <w:tcPr>
            <w:tcW w:w="3828" w:type="dxa"/>
            <w:tcBorders>
              <w:top w:val="single" w:sz="6" w:space="0" w:color="auto"/>
              <w:left w:val="single" w:sz="6" w:space="0" w:color="auto"/>
              <w:right w:val="single" w:sz="6" w:space="0" w:color="auto"/>
            </w:tcBorders>
          </w:tcPr>
          <w:p w14:paraId="458B97D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Bieżąca kontrola w 10 punktach dziennej działki roboczej: grubości, spadków i cech konstrukcyjnych w porównaniu z dokumentacją pro-</w:t>
            </w:r>
            <w:proofErr w:type="spellStart"/>
            <w:r w:rsidRPr="006431C4">
              <w:rPr>
                <w:rFonts w:cs="Arial"/>
                <w:szCs w:val="20"/>
              </w:rPr>
              <w:t>jektową</w:t>
            </w:r>
            <w:proofErr w:type="spellEnd"/>
            <w:r w:rsidRPr="006431C4">
              <w:rPr>
                <w:rFonts w:cs="Arial"/>
                <w:szCs w:val="20"/>
              </w:rPr>
              <w:t xml:space="preserve"> i specyfikacją</w:t>
            </w:r>
          </w:p>
        </w:tc>
        <w:tc>
          <w:tcPr>
            <w:tcW w:w="2268" w:type="dxa"/>
            <w:tcBorders>
              <w:top w:val="single" w:sz="6" w:space="0" w:color="auto"/>
              <w:left w:val="single" w:sz="6" w:space="0" w:color="auto"/>
              <w:right w:val="single" w:sz="6" w:space="0" w:color="auto"/>
            </w:tcBorders>
          </w:tcPr>
          <w:p w14:paraId="174D132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Wg pktu 5.6; odchyłki od projektowanej grubości </w:t>
            </w:r>
            <w:r w:rsidRPr="006431C4">
              <w:rPr>
                <w:rFonts w:cs="Arial"/>
                <w:szCs w:val="20"/>
              </w:rPr>
              <w:sym w:font="Symbol" w:char="F0B1"/>
            </w:r>
            <w:r w:rsidRPr="006431C4">
              <w:rPr>
                <w:rFonts w:cs="Arial"/>
                <w:szCs w:val="20"/>
              </w:rPr>
              <w:t>1 cm</w:t>
            </w:r>
          </w:p>
        </w:tc>
      </w:tr>
      <w:tr w:rsidR="006336AC" w:rsidRPr="006431C4" w14:paraId="565C9716" w14:textId="77777777" w:rsidTr="00D032BE">
        <w:tc>
          <w:tcPr>
            <w:tcW w:w="496" w:type="dxa"/>
            <w:tcBorders>
              <w:top w:val="single" w:sz="6" w:space="0" w:color="auto"/>
              <w:left w:val="single" w:sz="6" w:space="0" w:color="auto"/>
              <w:right w:val="single" w:sz="6" w:space="0" w:color="auto"/>
            </w:tcBorders>
          </w:tcPr>
          <w:p w14:paraId="1EFE351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5</w:t>
            </w:r>
          </w:p>
        </w:tc>
        <w:tc>
          <w:tcPr>
            <w:tcW w:w="4032" w:type="dxa"/>
            <w:tcBorders>
              <w:top w:val="single" w:sz="6" w:space="0" w:color="auto"/>
            </w:tcBorders>
          </w:tcPr>
          <w:p w14:paraId="1948B3B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Badania  wykonywania  nawierzchni  z</w:t>
            </w:r>
          </w:p>
        </w:tc>
        <w:tc>
          <w:tcPr>
            <w:tcW w:w="3828" w:type="dxa"/>
            <w:tcBorders>
              <w:top w:val="single" w:sz="6" w:space="0" w:color="auto"/>
            </w:tcBorders>
          </w:tcPr>
          <w:p w14:paraId="1524437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kostki</w:t>
            </w:r>
          </w:p>
        </w:tc>
        <w:tc>
          <w:tcPr>
            <w:tcW w:w="2268" w:type="dxa"/>
            <w:tcBorders>
              <w:top w:val="single" w:sz="6" w:space="0" w:color="auto"/>
              <w:right w:val="single" w:sz="6" w:space="0" w:color="auto"/>
            </w:tcBorders>
          </w:tcPr>
          <w:p w14:paraId="2B3CCBA1"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r>
      <w:tr w:rsidR="006336AC" w:rsidRPr="006431C4" w14:paraId="75D7C786" w14:textId="77777777" w:rsidTr="00D032BE">
        <w:tc>
          <w:tcPr>
            <w:tcW w:w="496" w:type="dxa"/>
            <w:tcBorders>
              <w:left w:val="single" w:sz="6" w:space="0" w:color="auto"/>
            </w:tcBorders>
          </w:tcPr>
          <w:p w14:paraId="391CF84A"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4032" w:type="dxa"/>
            <w:tcBorders>
              <w:top w:val="single" w:sz="6" w:space="0" w:color="auto"/>
              <w:left w:val="single" w:sz="6" w:space="0" w:color="auto"/>
              <w:bottom w:val="single" w:sz="6" w:space="0" w:color="auto"/>
              <w:right w:val="single" w:sz="6" w:space="0" w:color="auto"/>
            </w:tcBorders>
          </w:tcPr>
          <w:p w14:paraId="276E0BCC" w14:textId="77777777" w:rsidR="006336AC" w:rsidRPr="006431C4" w:rsidRDefault="006336AC" w:rsidP="00413F29">
            <w:pPr>
              <w:numPr>
                <w:ilvl w:val="0"/>
                <w:numId w:val="67"/>
              </w:numPr>
              <w:shd w:val="clear" w:color="auto" w:fill="FFFFFF" w:themeFill="background1"/>
              <w:tabs>
                <w:tab w:val="left" w:pos="142"/>
              </w:tabs>
              <w:spacing w:line="240" w:lineRule="auto"/>
              <w:ind w:left="0" w:firstLine="0"/>
              <w:jc w:val="both"/>
              <w:rPr>
                <w:rFonts w:cs="Arial"/>
                <w:szCs w:val="20"/>
              </w:rPr>
            </w:pPr>
            <w:r w:rsidRPr="006431C4">
              <w:rPr>
                <w:rFonts w:cs="Arial"/>
                <w:szCs w:val="20"/>
              </w:rPr>
              <w:t>zgodność z dokumentacją projektową</w:t>
            </w:r>
          </w:p>
        </w:tc>
        <w:tc>
          <w:tcPr>
            <w:tcW w:w="3828" w:type="dxa"/>
            <w:tcBorders>
              <w:top w:val="single" w:sz="6" w:space="0" w:color="auto"/>
              <w:left w:val="single" w:sz="6" w:space="0" w:color="auto"/>
              <w:bottom w:val="single" w:sz="6" w:space="0" w:color="auto"/>
              <w:right w:val="single" w:sz="6" w:space="0" w:color="auto"/>
            </w:tcBorders>
          </w:tcPr>
          <w:p w14:paraId="43C74D9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Sukcesywnie na każdej działce roboczej</w:t>
            </w:r>
          </w:p>
        </w:tc>
        <w:tc>
          <w:tcPr>
            <w:tcW w:w="2268" w:type="dxa"/>
            <w:tcBorders>
              <w:top w:val="single" w:sz="6" w:space="0" w:color="auto"/>
              <w:left w:val="single" w:sz="6" w:space="0" w:color="auto"/>
              <w:bottom w:val="single" w:sz="6" w:space="0" w:color="auto"/>
              <w:right w:val="single" w:sz="6" w:space="0" w:color="auto"/>
            </w:tcBorders>
          </w:tcPr>
          <w:p w14:paraId="4FF7F0A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t>
            </w:r>
          </w:p>
        </w:tc>
      </w:tr>
      <w:tr w:rsidR="006336AC" w:rsidRPr="006431C4" w14:paraId="5612905F" w14:textId="77777777" w:rsidTr="00D032BE">
        <w:tc>
          <w:tcPr>
            <w:tcW w:w="496" w:type="dxa"/>
            <w:tcBorders>
              <w:left w:val="single" w:sz="6" w:space="0" w:color="auto"/>
            </w:tcBorders>
          </w:tcPr>
          <w:p w14:paraId="720E5ADC"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4032" w:type="dxa"/>
            <w:tcBorders>
              <w:top w:val="single" w:sz="6" w:space="0" w:color="auto"/>
              <w:left w:val="single" w:sz="6" w:space="0" w:color="auto"/>
              <w:bottom w:val="single" w:sz="6" w:space="0" w:color="auto"/>
              <w:right w:val="single" w:sz="6" w:space="0" w:color="auto"/>
            </w:tcBorders>
          </w:tcPr>
          <w:p w14:paraId="2BC09B71" w14:textId="77777777" w:rsidR="006336AC" w:rsidRPr="006431C4" w:rsidRDefault="006336AC" w:rsidP="00413F29">
            <w:pPr>
              <w:numPr>
                <w:ilvl w:val="0"/>
                <w:numId w:val="67"/>
              </w:numPr>
              <w:shd w:val="clear" w:color="auto" w:fill="FFFFFF" w:themeFill="background1"/>
              <w:tabs>
                <w:tab w:val="left" w:pos="142"/>
              </w:tabs>
              <w:spacing w:line="240" w:lineRule="auto"/>
              <w:ind w:left="0" w:firstLine="0"/>
              <w:jc w:val="both"/>
              <w:rPr>
                <w:rFonts w:cs="Arial"/>
                <w:szCs w:val="20"/>
              </w:rPr>
            </w:pPr>
            <w:r w:rsidRPr="006431C4">
              <w:rPr>
                <w:rFonts w:cs="Arial"/>
                <w:szCs w:val="20"/>
              </w:rPr>
              <w:t>położenie osi w planie (sprawdzone geodezyjnie)</w:t>
            </w:r>
          </w:p>
        </w:tc>
        <w:tc>
          <w:tcPr>
            <w:tcW w:w="3828" w:type="dxa"/>
            <w:tcBorders>
              <w:top w:val="single" w:sz="6" w:space="0" w:color="auto"/>
              <w:left w:val="single" w:sz="6" w:space="0" w:color="auto"/>
              <w:bottom w:val="single" w:sz="6" w:space="0" w:color="auto"/>
              <w:right w:val="single" w:sz="6" w:space="0" w:color="auto"/>
            </w:tcBorders>
          </w:tcPr>
          <w:p w14:paraId="1717F8B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Co </w:t>
            </w:r>
            <w:smartTag w:uri="urn:schemas-microsoft-com:office:smarttags" w:element="metricconverter">
              <w:smartTagPr>
                <w:attr w:name="ProductID" w:val="100 m"/>
              </w:smartTagPr>
              <w:r w:rsidRPr="006431C4">
                <w:rPr>
                  <w:rFonts w:cs="Arial"/>
                  <w:szCs w:val="20"/>
                </w:rPr>
                <w:t>100 m</w:t>
              </w:r>
            </w:smartTag>
            <w:r w:rsidRPr="006431C4">
              <w:rPr>
                <w:rFonts w:cs="Arial"/>
                <w:szCs w:val="20"/>
              </w:rPr>
              <w:t xml:space="preserve"> i we wszystkich punktach charakterystycznych</w:t>
            </w:r>
          </w:p>
        </w:tc>
        <w:tc>
          <w:tcPr>
            <w:tcW w:w="2268" w:type="dxa"/>
            <w:tcBorders>
              <w:top w:val="single" w:sz="6" w:space="0" w:color="auto"/>
              <w:left w:val="single" w:sz="6" w:space="0" w:color="auto"/>
              <w:bottom w:val="single" w:sz="6" w:space="0" w:color="auto"/>
              <w:right w:val="single" w:sz="6" w:space="0" w:color="auto"/>
            </w:tcBorders>
          </w:tcPr>
          <w:p w14:paraId="0DAD8D4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Przesunięcie od osi </w:t>
            </w:r>
            <w:proofErr w:type="spellStart"/>
            <w:r w:rsidRPr="006431C4">
              <w:rPr>
                <w:rFonts w:cs="Arial"/>
                <w:szCs w:val="20"/>
              </w:rPr>
              <w:t>projektowa-nej</w:t>
            </w:r>
            <w:proofErr w:type="spellEnd"/>
            <w:r w:rsidRPr="006431C4">
              <w:rPr>
                <w:rFonts w:cs="Arial"/>
                <w:szCs w:val="20"/>
              </w:rPr>
              <w:t xml:space="preserve"> do </w:t>
            </w:r>
            <w:smartTag w:uri="urn:schemas-microsoft-com:office:smarttags" w:element="metricconverter">
              <w:smartTagPr>
                <w:attr w:name="ProductID" w:val="2 cm"/>
              </w:smartTagPr>
              <w:r w:rsidRPr="006431C4">
                <w:rPr>
                  <w:rFonts w:cs="Arial"/>
                  <w:szCs w:val="20"/>
                </w:rPr>
                <w:t>2 cm</w:t>
              </w:r>
            </w:smartTag>
          </w:p>
        </w:tc>
      </w:tr>
      <w:tr w:rsidR="006336AC" w:rsidRPr="006431C4" w14:paraId="2AD07F2D" w14:textId="77777777" w:rsidTr="00D032BE">
        <w:tc>
          <w:tcPr>
            <w:tcW w:w="496" w:type="dxa"/>
            <w:tcBorders>
              <w:left w:val="single" w:sz="6" w:space="0" w:color="auto"/>
            </w:tcBorders>
          </w:tcPr>
          <w:p w14:paraId="21397EB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4032" w:type="dxa"/>
            <w:tcBorders>
              <w:top w:val="single" w:sz="6" w:space="0" w:color="auto"/>
              <w:left w:val="single" w:sz="6" w:space="0" w:color="auto"/>
              <w:bottom w:val="single" w:sz="6" w:space="0" w:color="auto"/>
              <w:right w:val="single" w:sz="6" w:space="0" w:color="auto"/>
            </w:tcBorders>
          </w:tcPr>
          <w:p w14:paraId="35BE9256" w14:textId="77777777" w:rsidR="006336AC" w:rsidRPr="006431C4" w:rsidRDefault="006336AC" w:rsidP="00413F29">
            <w:pPr>
              <w:numPr>
                <w:ilvl w:val="0"/>
                <w:numId w:val="67"/>
              </w:numPr>
              <w:shd w:val="clear" w:color="auto" w:fill="FFFFFF" w:themeFill="background1"/>
              <w:tabs>
                <w:tab w:val="left" w:pos="142"/>
              </w:tabs>
              <w:spacing w:line="240" w:lineRule="auto"/>
              <w:ind w:left="0" w:firstLine="0"/>
              <w:jc w:val="both"/>
              <w:rPr>
                <w:rFonts w:cs="Arial"/>
                <w:szCs w:val="20"/>
              </w:rPr>
            </w:pPr>
            <w:r w:rsidRPr="006431C4">
              <w:rPr>
                <w:rFonts w:cs="Arial"/>
                <w:szCs w:val="20"/>
              </w:rPr>
              <w:t>rzędne wysokościowe (pomierzone instrumentem pomiarowym)</w:t>
            </w:r>
          </w:p>
        </w:tc>
        <w:tc>
          <w:tcPr>
            <w:tcW w:w="3828" w:type="dxa"/>
            <w:tcBorders>
              <w:top w:val="single" w:sz="6" w:space="0" w:color="auto"/>
              <w:left w:val="single" w:sz="6" w:space="0" w:color="auto"/>
              <w:bottom w:val="single" w:sz="6" w:space="0" w:color="auto"/>
              <w:right w:val="single" w:sz="6" w:space="0" w:color="auto"/>
            </w:tcBorders>
          </w:tcPr>
          <w:p w14:paraId="6B00CA0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Co </w:t>
            </w:r>
            <w:smartTag w:uri="urn:schemas-microsoft-com:office:smarttags" w:element="metricconverter">
              <w:smartTagPr>
                <w:attr w:name="ProductID" w:val="25 m"/>
              </w:smartTagPr>
              <w:r w:rsidRPr="006431C4">
                <w:rPr>
                  <w:rFonts w:cs="Arial"/>
                  <w:szCs w:val="20"/>
                </w:rPr>
                <w:t>25 m</w:t>
              </w:r>
            </w:smartTag>
            <w:r w:rsidRPr="006431C4">
              <w:rPr>
                <w:rFonts w:cs="Arial"/>
                <w:szCs w:val="20"/>
              </w:rPr>
              <w:t xml:space="preserve"> w osi i przy krawędziach oraz we wszystkich punktach cha-</w:t>
            </w:r>
            <w:proofErr w:type="spellStart"/>
            <w:r w:rsidRPr="006431C4">
              <w:rPr>
                <w:rFonts w:cs="Arial"/>
                <w:szCs w:val="20"/>
              </w:rPr>
              <w:t>rakterystycznych</w:t>
            </w:r>
            <w:proofErr w:type="spellEnd"/>
          </w:p>
        </w:tc>
        <w:tc>
          <w:tcPr>
            <w:tcW w:w="2268" w:type="dxa"/>
            <w:tcBorders>
              <w:top w:val="single" w:sz="6" w:space="0" w:color="auto"/>
              <w:left w:val="single" w:sz="6" w:space="0" w:color="auto"/>
              <w:bottom w:val="single" w:sz="6" w:space="0" w:color="auto"/>
              <w:right w:val="single" w:sz="6" w:space="0" w:color="auto"/>
            </w:tcBorders>
          </w:tcPr>
          <w:p w14:paraId="18525D4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Odchylenia:       +</w:t>
            </w:r>
            <w:smartTag w:uri="urn:schemas-microsoft-com:office:smarttags" w:element="metricconverter">
              <w:smartTagPr>
                <w:attr w:name="ProductID" w:val="1 cm"/>
              </w:smartTagPr>
              <w:r w:rsidRPr="006431C4">
                <w:rPr>
                  <w:rFonts w:cs="Arial"/>
                  <w:szCs w:val="20"/>
                </w:rPr>
                <w:t>1 cm</w:t>
              </w:r>
            </w:smartTag>
            <w:r w:rsidRPr="006431C4">
              <w:rPr>
                <w:rFonts w:cs="Arial"/>
                <w:szCs w:val="20"/>
              </w:rPr>
              <w:t xml:space="preserve">; </w:t>
            </w:r>
            <w:smartTag w:uri="urn:schemas-microsoft-com:office:smarttags" w:element="metricconverter">
              <w:smartTagPr>
                <w:attr w:name="ProductID" w:val="-2 cm"/>
              </w:smartTagPr>
              <w:r w:rsidRPr="006431C4">
                <w:rPr>
                  <w:rFonts w:cs="Arial"/>
                  <w:szCs w:val="20"/>
                </w:rPr>
                <w:t>-2 cm</w:t>
              </w:r>
            </w:smartTag>
          </w:p>
        </w:tc>
      </w:tr>
      <w:tr w:rsidR="006336AC" w:rsidRPr="006431C4" w14:paraId="7DB99808" w14:textId="77777777" w:rsidTr="00D032BE">
        <w:tc>
          <w:tcPr>
            <w:tcW w:w="496" w:type="dxa"/>
            <w:tcBorders>
              <w:left w:val="single" w:sz="6" w:space="0" w:color="auto"/>
            </w:tcBorders>
          </w:tcPr>
          <w:p w14:paraId="1BAB9ECB"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4032" w:type="dxa"/>
            <w:tcBorders>
              <w:top w:val="single" w:sz="6" w:space="0" w:color="auto"/>
              <w:left w:val="single" w:sz="6" w:space="0" w:color="auto"/>
              <w:bottom w:val="single" w:sz="6" w:space="0" w:color="auto"/>
              <w:right w:val="single" w:sz="6" w:space="0" w:color="auto"/>
            </w:tcBorders>
          </w:tcPr>
          <w:p w14:paraId="21F78320" w14:textId="77777777" w:rsidR="006336AC" w:rsidRPr="006431C4" w:rsidRDefault="006336AC" w:rsidP="00413F29">
            <w:pPr>
              <w:numPr>
                <w:ilvl w:val="0"/>
                <w:numId w:val="67"/>
              </w:numPr>
              <w:shd w:val="clear" w:color="auto" w:fill="FFFFFF" w:themeFill="background1"/>
              <w:tabs>
                <w:tab w:val="left" w:pos="142"/>
              </w:tabs>
              <w:spacing w:line="240" w:lineRule="auto"/>
              <w:ind w:left="0" w:firstLine="0"/>
              <w:jc w:val="both"/>
              <w:rPr>
                <w:rFonts w:cs="Arial"/>
                <w:szCs w:val="20"/>
              </w:rPr>
            </w:pPr>
            <w:r w:rsidRPr="006431C4">
              <w:rPr>
                <w:rFonts w:cs="Arial"/>
                <w:szCs w:val="20"/>
              </w:rPr>
              <w:t>równość w profilu podłużnym łatą czterometrową)</w:t>
            </w:r>
          </w:p>
        </w:tc>
        <w:tc>
          <w:tcPr>
            <w:tcW w:w="3828" w:type="dxa"/>
            <w:tcBorders>
              <w:top w:val="single" w:sz="6" w:space="0" w:color="auto"/>
              <w:left w:val="single" w:sz="6" w:space="0" w:color="auto"/>
              <w:bottom w:val="single" w:sz="6" w:space="0" w:color="auto"/>
              <w:right w:val="single" w:sz="6" w:space="0" w:color="auto"/>
            </w:tcBorders>
          </w:tcPr>
          <w:p w14:paraId="2F6E310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Jw.</w:t>
            </w:r>
          </w:p>
        </w:tc>
        <w:tc>
          <w:tcPr>
            <w:tcW w:w="2268" w:type="dxa"/>
            <w:tcBorders>
              <w:top w:val="single" w:sz="6" w:space="0" w:color="auto"/>
              <w:left w:val="single" w:sz="6" w:space="0" w:color="auto"/>
              <w:bottom w:val="single" w:sz="6" w:space="0" w:color="auto"/>
              <w:right w:val="single" w:sz="6" w:space="0" w:color="auto"/>
            </w:tcBorders>
          </w:tcPr>
          <w:p w14:paraId="315AA6B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Nierówności do </w:t>
            </w:r>
            <w:smartTag w:uri="urn:schemas-microsoft-com:office:smarttags" w:element="metricconverter">
              <w:smartTagPr>
                <w:attr w:name="ProductID" w:val="8 mm"/>
              </w:smartTagPr>
              <w:r w:rsidRPr="006431C4">
                <w:rPr>
                  <w:rFonts w:cs="Arial"/>
                  <w:szCs w:val="20"/>
                </w:rPr>
                <w:t>8 mm</w:t>
              </w:r>
            </w:smartTag>
          </w:p>
        </w:tc>
      </w:tr>
      <w:tr w:rsidR="006336AC" w:rsidRPr="006431C4" w14:paraId="3411D323" w14:textId="77777777" w:rsidTr="00D032BE">
        <w:tc>
          <w:tcPr>
            <w:tcW w:w="496" w:type="dxa"/>
            <w:tcBorders>
              <w:left w:val="single" w:sz="6" w:space="0" w:color="auto"/>
            </w:tcBorders>
          </w:tcPr>
          <w:p w14:paraId="540A72E6"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4032" w:type="dxa"/>
            <w:tcBorders>
              <w:top w:val="single" w:sz="6" w:space="0" w:color="auto"/>
              <w:left w:val="single" w:sz="6" w:space="0" w:color="auto"/>
              <w:bottom w:val="single" w:sz="6" w:space="0" w:color="auto"/>
              <w:right w:val="single" w:sz="6" w:space="0" w:color="auto"/>
            </w:tcBorders>
          </w:tcPr>
          <w:p w14:paraId="2FE6D578" w14:textId="77777777" w:rsidR="006336AC" w:rsidRPr="006431C4" w:rsidRDefault="006336AC" w:rsidP="00413F29">
            <w:pPr>
              <w:numPr>
                <w:ilvl w:val="0"/>
                <w:numId w:val="67"/>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równość w przekroju poprzecznym </w:t>
            </w:r>
            <w:r w:rsidRPr="006431C4">
              <w:rPr>
                <w:rFonts w:cs="Arial"/>
                <w:szCs w:val="20"/>
              </w:rPr>
              <w:lastRenderedPageBreak/>
              <w:t>(sprawdzona łatą profilową z po-</w:t>
            </w:r>
            <w:proofErr w:type="spellStart"/>
            <w:r w:rsidRPr="006431C4">
              <w:rPr>
                <w:rFonts w:cs="Arial"/>
                <w:szCs w:val="20"/>
              </w:rPr>
              <w:t>ziomnicą</w:t>
            </w:r>
            <w:proofErr w:type="spellEnd"/>
            <w:r w:rsidRPr="006431C4">
              <w:rPr>
                <w:rFonts w:cs="Arial"/>
                <w:szCs w:val="20"/>
              </w:rPr>
              <w:t xml:space="preserve"> i pomiarze prześwitu </w:t>
            </w:r>
            <w:proofErr w:type="spellStart"/>
            <w:r w:rsidRPr="006431C4">
              <w:rPr>
                <w:rFonts w:cs="Arial"/>
                <w:szCs w:val="20"/>
              </w:rPr>
              <w:t>kli-nem</w:t>
            </w:r>
            <w:proofErr w:type="spellEnd"/>
            <w:r w:rsidRPr="006431C4">
              <w:rPr>
                <w:rFonts w:cs="Arial"/>
                <w:szCs w:val="20"/>
              </w:rPr>
              <w:t xml:space="preserve"> cechowanym oraz przymiarem liniowym względnie metodą </w:t>
            </w:r>
            <w:proofErr w:type="spellStart"/>
            <w:r w:rsidRPr="006431C4">
              <w:rPr>
                <w:rFonts w:cs="Arial"/>
                <w:szCs w:val="20"/>
              </w:rPr>
              <w:t>niwela-cji</w:t>
            </w:r>
            <w:proofErr w:type="spellEnd"/>
            <w:r w:rsidRPr="006431C4">
              <w:rPr>
                <w:rFonts w:cs="Arial"/>
                <w:szCs w:val="20"/>
              </w:rPr>
              <w:t>)</w:t>
            </w:r>
          </w:p>
        </w:tc>
        <w:tc>
          <w:tcPr>
            <w:tcW w:w="3828" w:type="dxa"/>
            <w:tcBorders>
              <w:top w:val="single" w:sz="6" w:space="0" w:color="auto"/>
              <w:left w:val="single" w:sz="6" w:space="0" w:color="auto"/>
              <w:bottom w:val="single" w:sz="6" w:space="0" w:color="auto"/>
              <w:right w:val="single" w:sz="6" w:space="0" w:color="auto"/>
            </w:tcBorders>
          </w:tcPr>
          <w:p w14:paraId="4598365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lastRenderedPageBreak/>
              <w:t>Jw.</w:t>
            </w:r>
          </w:p>
        </w:tc>
        <w:tc>
          <w:tcPr>
            <w:tcW w:w="2268" w:type="dxa"/>
            <w:tcBorders>
              <w:top w:val="single" w:sz="6" w:space="0" w:color="auto"/>
              <w:left w:val="single" w:sz="6" w:space="0" w:color="auto"/>
              <w:bottom w:val="single" w:sz="6" w:space="0" w:color="auto"/>
              <w:right w:val="single" w:sz="6" w:space="0" w:color="auto"/>
            </w:tcBorders>
          </w:tcPr>
          <w:p w14:paraId="7B6A321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Prześwity mię-</w:t>
            </w:r>
            <w:proofErr w:type="spellStart"/>
            <w:r w:rsidRPr="006431C4">
              <w:rPr>
                <w:rFonts w:cs="Arial"/>
                <w:szCs w:val="20"/>
              </w:rPr>
              <w:t>dzy</w:t>
            </w:r>
            <w:proofErr w:type="spellEnd"/>
            <w:r w:rsidRPr="006431C4">
              <w:rPr>
                <w:rFonts w:cs="Arial"/>
                <w:szCs w:val="20"/>
              </w:rPr>
              <w:t xml:space="preserve"> łatą </w:t>
            </w:r>
            <w:r w:rsidRPr="006431C4">
              <w:rPr>
                <w:rFonts w:cs="Arial"/>
                <w:szCs w:val="20"/>
              </w:rPr>
              <w:lastRenderedPageBreak/>
              <w:t xml:space="preserve">a po-     wierzchnią do         </w:t>
            </w:r>
            <w:smartTag w:uri="urn:schemas-microsoft-com:office:smarttags" w:element="metricconverter">
              <w:smartTagPr>
                <w:attr w:name="ProductID" w:val="8 mm"/>
              </w:smartTagPr>
              <w:r w:rsidRPr="006431C4">
                <w:rPr>
                  <w:rFonts w:cs="Arial"/>
                  <w:szCs w:val="20"/>
                </w:rPr>
                <w:t>8 mm</w:t>
              </w:r>
            </w:smartTag>
          </w:p>
        </w:tc>
      </w:tr>
      <w:tr w:rsidR="006336AC" w:rsidRPr="006431C4" w14:paraId="3BA93897" w14:textId="77777777" w:rsidTr="00D032BE">
        <w:tc>
          <w:tcPr>
            <w:tcW w:w="496" w:type="dxa"/>
            <w:tcBorders>
              <w:left w:val="single" w:sz="6" w:space="0" w:color="auto"/>
            </w:tcBorders>
          </w:tcPr>
          <w:p w14:paraId="2ADDB391"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4032" w:type="dxa"/>
            <w:tcBorders>
              <w:top w:val="single" w:sz="6" w:space="0" w:color="auto"/>
              <w:left w:val="single" w:sz="6" w:space="0" w:color="auto"/>
              <w:bottom w:val="single" w:sz="6" w:space="0" w:color="auto"/>
              <w:right w:val="single" w:sz="6" w:space="0" w:color="auto"/>
            </w:tcBorders>
          </w:tcPr>
          <w:p w14:paraId="163E90F4" w14:textId="77777777" w:rsidR="006336AC" w:rsidRPr="006431C4" w:rsidRDefault="006336AC" w:rsidP="00413F29">
            <w:pPr>
              <w:numPr>
                <w:ilvl w:val="0"/>
                <w:numId w:val="67"/>
              </w:numPr>
              <w:shd w:val="clear" w:color="auto" w:fill="FFFFFF" w:themeFill="background1"/>
              <w:tabs>
                <w:tab w:val="left" w:pos="142"/>
              </w:tabs>
              <w:spacing w:line="240" w:lineRule="auto"/>
              <w:ind w:left="0" w:firstLine="0"/>
              <w:jc w:val="both"/>
              <w:rPr>
                <w:rFonts w:cs="Arial"/>
                <w:szCs w:val="20"/>
              </w:rPr>
            </w:pPr>
            <w:r w:rsidRPr="006431C4">
              <w:rPr>
                <w:rFonts w:cs="Arial"/>
                <w:szCs w:val="20"/>
              </w:rPr>
              <w:t>spadki poprzeczne (sprawdzone me-</w:t>
            </w:r>
            <w:proofErr w:type="spellStart"/>
            <w:r w:rsidRPr="006431C4">
              <w:rPr>
                <w:rFonts w:cs="Arial"/>
                <w:szCs w:val="20"/>
              </w:rPr>
              <w:t>todą</w:t>
            </w:r>
            <w:proofErr w:type="spellEnd"/>
            <w:r w:rsidRPr="006431C4">
              <w:rPr>
                <w:rFonts w:cs="Arial"/>
                <w:szCs w:val="20"/>
              </w:rPr>
              <w:t xml:space="preserve"> niwelacji)</w:t>
            </w:r>
          </w:p>
        </w:tc>
        <w:tc>
          <w:tcPr>
            <w:tcW w:w="3828" w:type="dxa"/>
            <w:tcBorders>
              <w:top w:val="single" w:sz="6" w:space="0" w:color="auto"/>
              <w:left w:val="single" w:sz="6" w:space="0" w:color="auto"/>
              <w:bottom w:val="single" w:sz="6" w:space="0" w:color="auto"/>
              <w:right w:val="single" w:sz="6" w:space="0" w:color="auto"/>
            </w:tcBorders>
          </w:tcPr>
          <w:p w14:paraId="794B9AD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Jw.</w:t>
            </w:r>
          </w:p>
        </w:tc>
        <w:tc>
          <w:tcPr>
            <w:tcW w:w="2268" w:type="dxa"/>
            <w:tcBorders>
              <w:top w:val="single" w:sz="6" w:space="0" w:color="auto"/>
              <w:left w:val="single" w:sz="6" w:space="0" w:color="auto"/>
              <w:bottom w:val="single" w:sz="6" w:space="0" w:color="auto"/>
              <w:right w:val="single" w:sz="6" w:space="0" w:color="auto"/>
            </w:tcBorders>
          </w:tcPr>
          <w:p w14:paraId="6480C8E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Odchyłki od do-</w:t>
            </w:r>
            <w:proofErr w:type="spellStart"/>
            <w:r w:rsidRPr="006431C4">
              <w:rPr>
                <w:rFonts w:cs="Arial"/>
                <w:szCs w:val="20"/>
              </w:rPr>
              <w:t>kumentacji</w:t>
            </w:r>
            <w:proofErr w:type="spellEnd"/>
            <w:r w:rsidRPr="006431C4">
              <w:rPr>
                <w:rFonts w:cs="Arial"/>
                <w:szCs w:val="20"/>
              </w:rPr>
              <w:t xml:space="preserve"> pro-</w:t>
            </w:r>
            <w:proofErr w:type="spellStart"/>
            <w:r w:rsidRPr="006431C4">
              <w:rPr>
                <w:rFonts w:cs="Arial"/>
                <w:szCs w:val="20"/>
              </w:rPr>
              <w:t>jektowej</w:t>
            </w:r>
            <w:proofErr w:type="spellEnd"/>
            <w:r w:rsidRPr="006431C4">
              <w:rPr>
                <w:rFonts w:cs="Arial"/>
                <w:szCs w:val="20"/>
              </w:rPr>
              <w:t xml:space="preserve"> do 0,3%</w:t>
            </w:r>
          </w:p>
        </w:tc>
      </w:tr>
      <w:tr w:rsidR="006336AC" w:rsidRPr="006431C4" w14:paraId="605B60F2" w14:textId="77777777" w:rsidTr="00D032BE">
        <w:tc>
          <w:tcPr>
            <w:tcW w:w="496" w:type="dxa"/>
            <w:tcBorders>
              <w:left w:val="single" w:sz="6" w:space="0" w:color="auto"/>
            </w:tcBorders>
          </w:tcPr>
          <w:p w14:paraId="65ECC26F"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4032" w:type="dxa"/>
            <w:tcBorders>
              <w:top w:val="single" w:sz="6" w:space="0" w:color="auto"/>
              <w:left w:val="single" w:sz="6" w:space="0" w:color="auto"/>
              <w:bottom w:val="single" w:sz="6" w:space="0" w:color="auto"/>
              <w:right w:val="single" w:sz="6" w:space="0" w:color="auto"/>
            </w:tcBorders>
          </w:tcPr>
          <w:p w14:paraId="46EC0466" w14:textId="77777777" w:rsidR="006336AC" w:rsidRPr="006431C4" w:rsidRDefault="006336AC" w:rsidP="00413F29">
            <w:pPr>
              <w:numPr>
                <w:ilvl w:val="0"/>
                <w:numId w:val="67"/>
              </w:numPr>
              <w:shd w:val="clear" w:color="auto" w:fill="FFFFFF" w:themeFill="background1"/>
              <w:tabs>
                <w:tab w:val="left" w:pos="142"/>
              </w:tabs>
              <w:spacing w:line="240" w:lineRule="auto"/>
              <w:ind w:left="0" w:firstLine="0"/>
              <w:jc w:val="both"/>
              <w:rPr>
                <w:rFonts w:cs="Arial"/>
                <w:szCs w:val="20"/>
              </w:rPr>
            </w:pPr>
            <w:r w:rsidRPr="006431C4">
              <w:rPr>
                <w:rFonts w:cs="Arial"/>
                <w:szCs w:val="20"/>
              </w:rPr>
              <w:t>szerokość nawierzchni (sprawdzona przymiarem liniowym)</w:t>
            </w:r>
          </w:p>
        </w:tc>
        <w:tc>
          <w:tcPr>
            <w:tcW w:w="3828" w:type="dxa"/>
            <w:tcBorders>
              <w:top w:val="single" w:sz="6" w:space="0" w:color="auto"/>
              <w:left w:val="single" w:sz="6" w:space="0" w:color="auto"/>
              <w:bottom w:val="single" w:sz="6" w:space="0" w:color="auto"/>
              <w:right w:val="single" w:sz="6" w:space="0" w:color="auto"/>
            </w:tcBorders>
          </w:tcPr>
          <w:p w14:paraId="6771A25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Jw.</w:t>
            </w:r>
          </w:p>
        </w:tc>
        <w:tc>
          <w:tcPr>
            <w:tcW w:w="2268" w:type="dxa"/>
            <w:tcBorders>
              <w:top w:val="single" w:sz="6" w:space="0" w:color="auto"/>
              <w:left w:val="single" w:sz="6" w:space="0" w:color="auto"/>
              <w:bottom w:val="single" w:sz="6" w:space="0" w:color="auto"/>
              <w:right w:val="single" w:sz="6" w:space="0" w:color="auto"/>
            </w:tcBorders>
          </w:tcPr>
          <w:p w14:paraId="0D6E6D1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Odchyłki od </w:t>
            </w:r>
            <w:proofErr w:type="spellStart"/>
            <w:r w:rsidRPr="006431C4">
              <w:rPr>
                <w:rFonts w:cs="Arial"/>
                <w:szCs w:val="20"/>
              </w:rPr>
              <w:t>sze-rokości</w:t>
            </w:r>
            <w:proofErr w:type="spellEnd"/>
            <w:r w:rsidRPr="006431C4">
              <w:rPr>
                <w:rFonts w:cs="Arial"/>
                <w:szCs w:val="20"/>
              </w:rPr>
              <w:t xml:space="preserve"> </w:t>
            </w:r>
            <w:proofErr w:type="spellStart"/>
            <w:r w:rsidRPr="006431C4">
              <w:rPr>
                <w:rFonts w:cs="Arial"/>
                <w:szCs w:val="20"/>
              </w:rPr>
              <w:t>projekto-wanej</w:t>
            </w:r>
            <w:proofErr w:type="spellEnd"/>
            <w:r w:rsidRPr="006431C4">
              <w:rPr>
                <w:rFonts w:cs="Arial"/>
                <w:szCs w:val="20"/>
              </w:rPr>
              <w:t xml:space="preserve"> do  </w:t>
            </w:r>
            <w:r w:rsidRPr="006431C4">
              <w:rPr>
                <w:rFonts w:cs="Arial"/>
                <w:szCs w:val="20"/>
              </w:rPr>
              <w:sym w:font="Symbol" w:char="F0B1"/>
            </w:r>
            <w:r w:rsidRPr="006431C4">
              <w:rPr>
                <w:rFonts w:cs="Arial"/>
                <w:szCs w:val="20"/>
              </w:rPr>
              <w:t>5 cm</w:t>
            </w:r>
          </w:p>
        </w:tc>
      </w:tr>
      <w:tr w:rsidR="006336AC" w:rsidRPr="006431C4" w14:paraId="5FB0926D" w14:textId="77777777" w:rsidTr="00D032BE">
        <w:tc>
          <w:tcPr>
            <w:tcW w:w="496" w:type="dxa"/>
            <w:tcBorders>
              <w:left w:val="single" w:sz="6" w:space="0" w:color="auto"/>
            </w:tcBorders>
          </w:tcPr>
          <w:p w14:paraId="2CA30519"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4032" w:type="dxa"/>
            <w:tcBorders>
              <w:top w:val="single" w:sz="6" w:space="0" w:color="auto"/>
              <w:left w:val="single" w:sz="6" w:space="0" w:color="auto"/>
              <w:bottom w:val="single" w:sz="6" w:space="0" w:color="auto"/>
              <w:right w:val="single" w:sz="6" w:space="0" w:color="auto"/>
            </w:tcBorders>
          </w:tcPr>
          <w:p w14:paraId="05075A1D" w14:textId="77777777" w:rsidR="006336AC" w:rsidRPr="006431C4" w:rsidRDefault="006336AC" w:rsidP="00413F29">
            <w:pPr>
              <w:numPr>
                <w:ilvl w:val="0"/>
                <w:numId w:val="67"/>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szerokość i głębokość wypełnienia spoin i szczelin (oględziny i pomiar przymiarem liniowym po </w:t>
            </w:r>
            <w:proofErr w:type="spellStart"/>
            <w:r w:rsidRPr="006431C4">
              <w:rPr>
                <w:rFonts w:cs="Arial"/>
                <w:szCs w:val="20"/>
              </w:rPr>
              <w:t>wykrusze-niu</w:t>
            </w:r>
            <w:proofErr w:type="spellEnd"/>
            <w:r w:rsidRPr="006431C4">
              <w:rPr>
                <w:rFonts w:cs="Arial"/>
                <w:szCs w:val="20"/>
              </w:rPr>
              <w:t xml:space="preserve"> dług. </w:t>
            </w:r>
            <w:smartTag w:uri="urn:schemas-microsoft-com:office:smarttags" w:element="metricconverter">
              <w:smartTagPr>
                <w:attr w:name="ProductID" w:val="10 cm"/>
              </w:smartTagPr>
              <w:r w:rsidRPr="006431C4">
                <w:rPr>
                  <w:rFonts w:cs="Arial"/>
                  <w:szCs w:val="20"/>
                </w:rPr>
                <w:t>10 cm</w:t>
              </w:r>
            </w:smartTag>
            <w:r w:rsidRPr="006431C4">
              <w:rPr>
                <w:rFonts w:cs="Arial"/>
                <w:szCs w:val="20"/>
              </w:rPr>
              <w:t>)</w:t>
            </w:r>
          </w:p>
        </w:tc>
        <w:tc>
          <w:tcPr>
            <w:tcW w:w="3828" w:type="dxa"/>
            <w:tcBorders>
              <w:top w:val="single" w:sz="6" w:space="0" w:color="auto"/>
              <w:left w:val="single" w:sz="6" w:space="0" w:color="auto"/>
              <w:bottom w:val="single" w:sz="6" w:space="0" w:color="auto"/>
              <w:right w:val="single" w:sz="6" w:space="0" w:color="auto"/>
            </w:tcBorders>
          </w:tcPr>
          <w:p w14:paraId="0618CFB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 20 punktach charakterystycznych dziennej działki roboczej</w:t>
            </w:r>
          </w:p>
        </w:tc>
        <w:tc>
          <w:tcPr>
            <w:tcW w:w="2268" w:type="dxa"/>
            <w:tcBorders>
              <w:top w:val="single" w:sz="6" w:space="0" w:color="auto"/>
              <w:left w:val="single" w:sz="6" w:space="0" w:color="auto"/>
              <w:bottom w:val="single" w:sz="6" w:space="0" w:color="auto"/>
              <w:right w:val="single" w:sz="6" w:space="0" w:color="auto"/>
            </w:tcBorders>
          </w:tcPr>
          <w:p w14:paraId="00E4AC3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Wg pktu 5.7.5</w:t>
            </w:r>
          </w:p>
        </w:tc>
      </w:tr>
      <w:tr w:rsidR="006336AC" w:rsidRPr="006431C4" w14:paraId="242A0988" w14:textId="77777777" w:rsidTr="00D032BE">
        <w:tc>
          <w:tcPr>
            <w:tcW w:w="496" w:type="dxa"/>
            <w:tcBorders>
              <w:left w:val="single" w:sz="6" w:space="0" w:color="auto"/>
              <w:bottom w:val="single" w:sz="6" w:space="0" w:color="auto"/>
            </w:tcBorders>
          </w:tcPr>
          <w:p w14:paraId="13EE398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4032" w:type="dxa"/>
            <w:tcBorders>
              <w:top w:val="single" w:sz="6" w:space="0" w:color="auto"/>
              <w:left w:val="single" w:sz="6" w:space="0" w:color="auto"/>
              <w:bottom w:val="single" w:sz="6" w:space="0" w:color="auto"/>
              <w:right w:val="single" w:sz="6" w:space="0" w:color="auto"/>
            </w:tcBorders>
          </w:tcPr>
          <w:p w14:paraId="35213AB2" w14:textId="77777777" w:rsidR="006336AC" w:rsidRPr="006431C4" w:rsidRDefault="006336AC" w:rsidP="00413F29">
            <w:pPr>
              <w:numPr>
                <w:ilvl w:val="0"/>
                <w:numId w:val="67"/>
              </w:numPr>
              <w:shd w:val="clear" w:color="auto" w:fill="FFFFFF" w:themeFill="background1"/>
              <w:tabs>
                <w:tab w:val="left" w:pos="142"/>
              </w:tabs>
              <w:spacing w:line="240" w:lineRule="auto"/>
              <w:ind w:left="0" w:firstLine="0"/>
              <w:jc w:val="both"/>
              <w:rPr>
                <w:rFonts w:cs="Arial"/>
                <w:szCs w:val="20"/>
              </w:rPr>
            </w:pPr>
            <w:r w:rsidRPr="006431C4">
              <w:rPr>
                <w:rFonts w:cs="Arial"/>
                <w:szCs w:val="20"/>
              </w:rPr>
              <w:t>sprawdzenie koloru kostek i desenia ich ułożenia</w:t>
            </w:r>
          </w:p>
        </w:tc>
        <w:tc>
          <w:tcPr>
            <w:tcW w:w="3828" w:type="dxa"/>
            <w:tcBorders>
              <w:top w:val="single" w:sz="6" w:space="0" w:color="auto"/>
              <w:left w:val="single" w:sz="6" w:space="0" w:color="auto"/>
              <w:bottom w:val="single" w:sz="6" w:space="0" w:color="auto"/>
              <w:right w:val="single" w:sz="6" w:space="0" w:color="auto"/>
            </w:tcBorders>
          </w:tcPr>
          <w:p w14:paraId="56D58BE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Kontrola bieżąca</w:t>
            </w:r>
          </w:p>
        </w:tc>
        <w:tc>
          <w:tcPr>
            <w:tcW w:w="2268" w:type="dxa"/>
            <w:tcBorders>
              <w:top w:val="single" w:sz="6" w:space="0" w:color="auto"/>
              <w:left w:val="single" w:sz="6" w:space="0" w:color="auto"/>
              <w:bottom w:val="single" w:sz="6" w:space="0" w:color="auto"/>
              <w:right w:val="single" w:sz="6" w:space="0" w:color="auto"/>
            </w:tcBorders>
          </w:tcPr>
          <w:p w14:paraId="5965744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Wg </w:t>
            </w:r>
            <w:proofErr w:type="spellStart"/>
            <w:r w:rsidRPr="006431C4">
              <w:rPr>
                <w:rFonts w:cs="Arial"/>
                <w:szCs w:val="20"/>
              </w:rPr>
              <w:t>dokumenta-cji</w:t>
            </w:r>
            <w:proofErr w:type="spellEnd"/>
            <w:r w:rsidRPr="006431C4">
              <w:rPr>
                <w:rFonts w:cs="Arial"/>
                <w:szCs w:val="20"/>
              </w:rPr>
              <w:t xml:space="preserve"> projektowej lub decyzji </w:t>
            </w:r>
            <w:proofErr w:type="spellStart"/>
            <w:r w:rsidRPr="006431C4">
              <w:rPr>
                <w:rFonts w:cs="Arial"/>
                <w:szCs w:val="20"/>
              </w:rPr>
              <w:t>Inży-niera</w:t>
            </w:r>
            <w:proofErr w:type="spellEnd"/>
          </w:p>
        </w:tc>
      </w:tr>
    </w:tbl>
    <w:p w14:paraId="7BBC5C0D"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6.4. Badania wykonanych robót</w:t>
      </w:r>
    </w:p>
    <w:p w14:paraId="0424610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Zakres badań i pomiarów wykonanej nawierzchni z betonowej kostki brukowej podano w tablicy 3.</w:t>
      </w:r>
    </w:p>
    <w:p w14:paraId="02AAF83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Tablica 3. Badania i pomiary po ukończeniu budowy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032"/>
        <w:gridCol w:w="6096"/>
      </w:tblGrid>
      <w:tr w:rsidR="006336AC" w:rsidRPr="006431C4" w14:paraId="1016838A" w14:textId="77777777" w:rsidTr="00303B15">
        <w:tc>
          <w:tcPr>
            <w:tcW w:w="496" w:type="dxa"/>
            <w:tcBorders>
              <w:bottom w:val="double" w:sz="6" w:space="0" w:color="auto"/>
            </w:tcBorders>
          </w:tcPr>
          <w:p w14:paraId="740182C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Lp.</w:t>
            </w:r>
          </w:p>
        </w:tc>
        <w:tc>
          <w:tcPr>
            <w:tcW w:w="4032" w:type="dxa"/>
            <w:tcBorders>
              <w:bottom w:val="double" w:sz="6" w:space="0" w:color="auto"/>
            </w:tcBorders>
          </w:tcPr>
          <w:p w14:paraId="79026DC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Wyszczególnienie badań i pomiarów</w:t>
            </w:r>
          </w:p>
        </w:tc>
        <w:tc>
          <w:tcPr>
            <w:tcW w:w="6096" w:type="dxa"/>
            <w:tcBorders>
              <w:bottom w:val="double" w:sz="6" w:space="0" w:color="auto"/>
            </w:tcBorders>
          </w:tcPr>
          <w:p w14:paraId="6D3B1EB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Sposób sprawdzenia</w:t>
            </w:r>
          </w:p>
        </w:tc>
      </w:tr>
      <w:tr w:rsidR="006336AC" w:rsidRPr="006431C4" w14:paraId="38230D5C" w14:textId="77777777" w:rsidTr="00303B15">
        <w:tc>
          <w:tcPr>
            <w:tcW w:w="496" w:type="dxa"/>
            <w:tcBorders>
              <w:top w:val="nil"/>
            </w:tcBorders>
          </w:tcPr>
          <w:p w14:paraId="4AC1010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w:t>
            </w:r>
          </w:p>
        </w:tc>
        <w:tc>
          <w:tcPr>
            <w:tcW w:w="4032" w:type="dxa"/>
            <w:tcBorders>
              <w:top w:val="nil"/>
            </w:tcBorders>
          </w:tcPr>
          <w:p w14:paraId="69503BD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Sprawdzenie wyglądu zewnętrznego nawierzchni, krawężników, obrzeży, ścieków</w:t>
            </w:r>
          </w:p>
        </w:tc>
        <w:tc>
          <w:tcPr>
            <w:tcW w:w="6096" w:type="dxa"/>
            <w:tcBorders>
              <w:top w:val="nil"/>
            </w:tcBorders>
          </w:tcPr>
          <w:p w14:paraId="46153F1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Wizualne sprawdzenie jednorodności wyglądu, prawidłowości desenia, kolorów kostek, spękań, plam, deformacji, wy-kruszeń, spoin i szczelin</w:t>
            </w:r>
          </w:p>
        </w:tc>
      </w:tr>
      <w:tr w:rsidR="006336AC" w:rsidRPr="006431C4" w14:paraId="29585D98" w14:textId="77777777" w:rsidTr="00303B15">
        <w:tc>
          <w:tcPr>
            <w:tcW w:w="496" w:type="dxa"/>
          </w:tcPr>
          <w:p w14:paraId="33C4436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4032" w:type="dxa"/>
          </w:tcPr>
          <w:p w14:paraId="0B59F2F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Badanie położenia osi nawierzchni w planie</w:t>
            </w:r>
          </w:p>
        </w:tc>
        <w:tc>
          <w:tcPr>
            <w:tcW w:w="6096" w:type="dxa"/>
          </w:tcPr>
          <w:p w14:paraId="14CA20C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Geodezyjne sprawdzenie położenia osi co </w:t>
            </w:r>
            <w:smartTag w:uri="urn:schemas-microsoft-com:office:smarttags" w:element="metricconverter">
              <w:smartTagPr>
                <w:attr w:name="ProductID" w:val="25 m"/>
              </w:smartTagPr>
              <w:r w:rsidRPr="006431C4">
                <w:rPr>
                  <w:rFonts w:cs="Arial"/>
                  <w:szCs w:val="20"/>
                </w:rPr>
                <w:t>25 m</w:t>
              </w:r>
            </w:smartTag>
            <w:r w:rsidRPr="006431C4">
              <w:rPr>
                <w:rFonts w:cs="Arial"/>
                <w:szCs w:val="20"/>
              </w:rPr>
              <w:t xml:space="preserve"> i w punktach charakterystycznych (dopuszczalne przesunięcia wg tab. 2, lp. 5b)</w:t>
            </w:r>
          </w:p>
        </w:tc>
      </w:tr>
      <w:tr w:rsidR="006336AC" w:rsidRPr="006431C4" w14:paraId="35B0296F" w14:textId="77777777" w:rsidTr="00303B15">
        <w:tc>
          <w:tcPr>
            <w:tcW w:w="496" w:type="dxa"/>
          </w:tcPr>
          <w:p w14:paraId="3E0B47E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3</w:t>
            </w:r>
          </w:p>
        </w:tc>
        <w:tc>
          <w:tcPr>
            <w:tcW w:w="4032" w:type="dxa"/>
          </w:tcPr>
          <w:p w14:paraId="51D1CE1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Rzędne wysokościowe, równość podłużna i poprzeczna, spadki poprzeczne i szerokość</w:t>
            </w:r>
          </w:p>
        </w:tc>
        <w:tc>
          <w:tcPr>
            <w:tcW w:w="6096" w:type="dxa"/>
          </w:tcPr>
          <w:p w14:paraId="78DC478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Co </w:t>
            </w:r>
            <w:smartTag w:uri="urn:schemas-microsoft-com:office:smarttags" w:element="metricconverter">
              <w:smartTagPr>
                <w:attr w:name="ProductID" w:val="25 m"/>
              </w:smartTagPr>
              <w:r w:rsidRPr="006431C4">
                <w:rPr>
                  <w:rFonts w:cs="Arial"/>
                  <w:szCs w:val="20"/>
                </w:rPr>
                <w:t>25 m</w:t>
              </w:r>
            </w:smartTag>
            <w:r w:rsidRPr="006431C4">
              <w:rPr>
                <w:rFonts w:cs="Arial"/>
                <w:szCs w:val="20"/>
              </w:rPr>
              <w:t xml:space="preserve"> i we wszystkich  punktach charakterystycznych (wg metod i do-</w:t>
            </w:r>
            <w:proofErr w:type="spellStart"/>
            <w:r w:rsidRPr="006431C4">
              <w:rPr>
                <w:rFonts w:cs="Arial"/>
                <w:szCs w:val="20"/>
              </w:rPr>
              <w:t>puszczalnych</w:t>
            </w:r>
            <w:proofErr w:type="spellEnd"/>
            <w:r w:rsidRPr="006431C4">
              <w:rPr>
                <w:rFonts w:cs="Arial"/>
                <w:szCs w:val="20"/>
              </w:rPr>
              <w:t xml:space="preserve"> wartości podanych w tab. 2, lp. od 5c do 5g)</w:t>
            </w:r>
          </w:p>
        </w:tc>
      </w:tr>
      <w:tr w:rsidR="006336AC" w:rsidRPr="006431C4" w14:paraId="312E7CB4" w14:textId="77777777" w:rsidTr="00303B15">
        <w:tc>
          <w:tcPr>
            <w:tcW w:w="496" w:type="dxa"/>
          </w:tcPr>
          <w:p w14:paraId="42324DA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4</w:t>
            </w:r>
          </w:p>
        </w:tc>
        <w:tc>
          <w:tcPr>
            <w:tcW w:w="4032" w:type="dxa"/>
          </w:tcPr>
          <w:p w14:paraId="1EDAFB8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Rozmieszczenie i szerokość spoin i szczelin w nawierzchni, pomiędzy krawężnikami, obrzeżami, ściekami oraz wypełnienie spoin i szczelin</w:t>
            </w:r>
          </w:p>
        </w:tc>
        <w:tc>
          <w:tcPr>
            <w:tcW w:w="6096" w:type="dxa"/>
          </w:tcPr>
          <w:p w14:paraId="51F14D4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Wg pktu 5.5 i 5.7.5</w:t>
            </w:r>
          </w:p>
        </w:tc>
      </w:tr>
    </w:tbl>
    <w:p w14:paraId="5F72CC0C"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20ACD36"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bookmarkStart w:id="964" w:name="_Toc107903642"/>
      <w:r w:rsidRPr="006431C4">
        <w:rPr>
          <w:rFonts w:cs="Arial"/>
          <w:b/>
          <w:szCs w:val="20"/>
        </w:rPr>
        <w:t xml:space="preserve">7. </w:t>
      </w:r>
      <w:bookmarkEnd w:id="964"/>
      <w:r w:rsidRPr="006431C4">
        <w:rPr>
          <w:rFonts w:cs="Arial"/>
          <w:b/>
          <w:szCs w:val="20"/>
        </w:rPr>
        <w:t>OBMIAR ROBÓT</w:t>
      </w:r>
    </w:p>
    <w:p w14:paraId="036F7D31"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7.1. Ogólne zasady obmiaru robót</w:t>
      </w:r>
    </w:p>
    <w:p w14:paraId="67227BD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zasady obmiaru robót podano w SST D-M-00.00.00 „Wymagania ogólne” [5] pkt 7.</w:t>
      </w:r>
    </w:p>
    <w:p w14:paraId="30F5EC67"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7.2. Jednostka obmiarowa</w:t>
      </w:r>
    </w:p>
    <w:p w14:paraId="657B0A9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Jednostką obmiarową jest m</w:t>
      </w:r>
      <w:r w:rsidRPr="006431C4">
        <w:rPr>
          <w:rFonts w:cs="Arial"/>
          <w:szCs w:val="20"/>
          <w:vertAlign w:val="superscript"/>
        </w:rPr>
        <w:t>2</w:t>
      </w:r>
      <w:r w:rsidRPr="006431C4">
        <w:rPr>
          <w:rFonts w:cs="Arial"/>
          <w:szCs w:val="20"/>
        </w:rPr>
        <w:t xml:space="preserve"> (metr kwadratowy) wykonanej nawierzchni z betonowej kostki brukowej.</w:t>
      </w:r>
    </w:p>
    <w:p w14:paraId="3C519D7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Jednostki obmiarowe robót towarzyszących budowie nawierzchni z betonowej kostki brukowej (podbudowa, obramowanie itp.) są ustalone w odpowiednich SST wymienionych w pktach 5.4 i 5.5.</w:t>
      </w:r>
    </w:p>
    <w:p w14:paraId="2212C5EF"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bookmarkStart w:id="965" w:name="_Toc107903643"/>
      <w:r w:rsidRPr="006431C4">
        <w:rPr>
          <w:rFonts w:cs="Arial"/>
          <w:b/>
          <w:szCs w:val="20"/>
        </w:rPr>
        <w:t xml:space="preserve">8. </w:t>
      </w:r>
      <w:bookmarkEnd w:id="965"/>
      <w:r w:rsidRPr="006431C4">
        <w:rPr>
          <w:rFonts w:cs="Arial"/>
          <w:b/>
          <w:szCs w:val="20"/>
        </w:rPr>
        <w:t>ODBIÓR ROBÓT</w:t>
      </w:r>
    </w:p>
    <w:p w14:paraId="45402449"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8.1. Ogólne zasady odbioru robót</w:t>
      </w:r>
    </w:p>
    <w:p w14:paraId="48BCE2C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zasady odbioru robót podano w SST D-M-00.00.00 „Wymagania ogólne” [5] pkt 8.</w:t>
      </w:r>
    </w:p>
    <w:p w14:paraId="1154D97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Roboty uznaje się za wykonane zgodnie z dokumentacją projektową, SST i wymaganiami Inżyniera, jeżeli wszystkie pomiary i badania z zachowaniem tolerancji według pktu 6 dały wyniki pozytywne.</w:t>
      </w:r>
    </w:p>
    <w:p w14:paraId="7F2776A7"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8.2. Odbiór robót zanikających i ulegających  zakryciu</w:t>
      </w:r>
    </w:p>
    <w:p w14:paraId="27FFEF5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Odbiorowi robót zanikających i ulegających zakryciu podlegają:</w:t>
      </w:r>
    </w:p>
    <w:p w14:paraId="208E7EA8"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przygotowanie podłoża i wykonanie  koryta,</w:t>
      </w:r>
    </w:p>
    <w:p w14:paraId="159DAB88"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ewentualnie wykonanie podbudowy,</w:t>
      </w:r>
    </w:p>
    <w:p w14:paraId="5CCA323B"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ewentualnie wykonanie ław (podsypek) pod krawężniki, obrzeża, ścieki,</w:t>
      </w:r>
    </w:p>
    <w:p w14:paraId="53F5F99E"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wykonanie podsypki pod nawierzchnię,</w:t>
      </w:r>
    </w:p>
    <w:p w14:paraId="1E7609BA"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ewentualnie wypełnienie dolnej części szczelin dylatacyjnych.</w:t>
      </w:r>
    </w:p>
    <w:p w14:paraId="315FEA8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Odbiór tych robót powinien  być zgodny z wymaganiami pktu 8.2 D-M-00.00.00 „Wymagania ogólne” [5] oraz niniejszej SST.</w:t>
      </w:r>
    </w:p>
    <w:p w14:paraId="47B61616"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bookmarkStart w:id="966" w:name="_Toc107903644"/>
      <w:r w:rsidRPr="006431C4">
        <w:rPr>
          <w:rFonts w:cs="Arial"/>
          <w:b/>
          <w:szCs w:val="20"/>
        </w:rPr>
        <w:t xml:space="preserve">9. </w:t>
      </w:r>
      <w:bookmarkEnd w:id="966"/>
      <w:r w:rsidRPr="006431C4">
        <w:rPr>
          <w:rFonts w:cs="Arial"/>
          <w:b/>
          <w:szCs w:val="20"/>
        </w:rPr>
        <w:t>PODSTAWA PŁATNOŚCI</w:t>
      </w:r>
    </w:p>
    <w:p w14:paraId="2F7A354A"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9.1. Ogólne ustalenia dotyczące podstawy płatności</w:t>
      </w:r>
    </w:p>
    <w:p w14:paraId="7E5B35E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ustalenia dotyczące podstawy płatności podano w SST D-M-00.00.00 „Wymagania ogólne” [5] pkt 9.</w:t>
      </w:r>
    </w:p>
    <w:p w14:paraId="0C3050A4"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9.2. Cena jednostki obmiarowej</w:t>
      </w:r>
    </w:p>
    <w:p w14:paraId="3492562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Cena wykonania </w:t>
      </w:r>
      <w:smartTag w:uri="urn:schemas-microsoft-com:office:smarttags" w:element="metricconverter">
        <w:smartTagPr>
          <w:attr w:name="ProductID" w:val="1 m2"/>
        </w:smartTagPr>
        <w:r w:rsidRPr="006431C4">
          <w:rPr>
            <w:rFonts w:cs="Arial"/>
            <w:szCs w:val="20"/>
          </w:rPr>
          <w:t>1 m</w:t>
        </w:r>
        <w:r w:rsidRPr="006431C4">
          <w:rPr>
            <w:rFonts w:cs="Arial"/>
            <w:szCs w:val="20"/>
            <w:vertAlign w:val="superscript"/>
          </w:rPr>
          <w:t>2</w:t>
        </w:r>
      </w:smartTag>
      <w:r w:rsidRPr="006431C4">
        <w:rPr>
          <w:rFonts w:cs="Arial"/>
          <w:szCs w:val="20"/>
        </w:rPr>
        <w:t xml:space="preserve"> nawierzchni z betonowej kostki brukowej obejmuje:</w:t>
      </w:r>
    </w:p>
    <w:p w14:paraId="6D00074F"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prace pomiarowe i roboty przygotowawcze,</w:t>
      </w:r>
    </w:p>
    <w:p w14:paraId="3525462E"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oznakowanie robót,</w:t>
      </w:r>
    </w:p>
    <w:p w14:paraId="72021C83"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przygotowanie podłoża i wykonanie koryta,</w:t>
      </w:r>
    </w:p>
    <w:p w14:paraId="560CCA92"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dostarczenie materiałów i sprzętu,</w:t>
      </w:r>
    </w:p>
    <w:p w14:paraId="43C41BFB"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lastRenderedPageBreak/>
        <w:t>wykonanie podsypki,</w:t>
      </w:r>
    </w:p>
    <w:p w14:paraId="557236F6"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ustalenie kształtu, koloru i desenia kostek,</w:t>
      </w:r>
    </w:p>
    <w:p w14:paraId="19B35FD9"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ułożenie i ubicie kostek,</w:t>
      </w:r>
    </w:p>
    <w:p w14:paraId="1170D191"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wypełnienie spoin i ew. szczelin dylatacyjnych w nawierzchni,</w:t>
      </w:r>
    </w:p>
    <w:p w14:paraId="302450F6"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pielęgnację nawierzchni,</w:t>
      </w:r>
    </w:p>
    <w:p w14:paraId="7C42CA6D"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przeprowadzenie pomiarów i badań  wymaganych w niniejszej szczegółowej specyfikacji technicznej,</w:t>
      </w:r>
    </w:p>
    <w:p w14:paraId="295CA85E"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odwiezienie sprzętu.</w:t>
      </w:r>
    </w:p>
    <w:p w14:paraId="62B3DFD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Cena wykonania </w:t>
      </w:r>
      <w:smartTag w:uri="urn:schemas-microsoft-com:office:smarttags" w:element="metricconverter">
        <w:smartTagPr>
          <w:attr w:name="ProductID" w:val="1 m2"/>
        </w:smartTagPr>
        <w:r w:rsidRPr="006431C4">
          <w:rPr>
            <w:rFonts w:cs="Arial"/>
            <w:szCs w:val="20"/>
          </w:rPr>
          <w:t>1 m</w:t>
        </w:r>
        <w:r w:rsidRPr="006431C4">
          <w:rPr>
            <w:rFonts w:cs="Arial"/>
            <w:szCs w:val="20"/>
            <w:vertAlign w:val="superscript"/>
          </w:rPr>
          <w:t>2</w:t>
        </w:r>
      </w:smartTag>
      <w:r w:rsidRPr="006431C4">
        <w:rPr>
          <w:rFonts w:cs="Arial"/>
          <w:szCs w:val="20"/>
        </w:rPr>
        <w:t xml:space="preserve"> nawierzchni z betonowej kostki brukowej nie obejmuje robót towarzyszących (jak: podbudowa, obramowanie itp.), które powinny być ujęte w innych pozycjach kosztorysowych, a których zakres jest określony przez SST wymienione w pktach 5.4 i 5.5.</w:t>
      </w:r>
    </w:p>
    <w:p w14:paraId="299FE03A"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bookmarkStart w:id="967" w:name="_Toc421940505"/>
      <w:r w:rsidRPr="006431C4">
        <w:rPr>
          <w:rFonts w:cs="Arial"/>
          <w:b/>
          <w:szCs w:val="20"/>
        </w:rPr>
        <w:t>9.3. Sposób rozliczenia robót tymczasowych i prac towarzyszących</w:t>
      </w:r>
    </w:p>
    <w:p w14:paraId="7569DAB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Cena wykonania robót określonych niniejszą SST obejmuje:</w:t>
      </w:r>
    </w:p>
    <w:p w14:paraId="78F8DA3F"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roboty tymczasowe, które są potrzebne do wykonania robót podstawowych, ale nie są przekazywane Zamawiającemu i są usuwane po wykonaniu robót podstawowych,</w:t>
      </w:r>
    </w:p>
    <w:p w14:paraId="7DD9AA94" w14:textId="77777777" w:rsidR="006336AC" w:rsidRPr="006431C4" w:rsidRDefault="006336AC" w:rsidP="00D232E1">
      <w:pPr>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prace towarzyszące, które są niezbędne do wykonania robót podstawowych, niezaliczane do robót tymczasowych, jak geodezyjne wytyczenie robót itd.</w:t>
      </w:r>
      <w:bookmarkStart w:id="968" w:name="_Toc107903645"/>
    </w:p>
    <w:p w14:paraId="2271EE2C"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 xml:space="preserve">10. </w:t>
      </w:r>
      <w:bookmarkEnd w:id="967"/>
      <w:bookmarkEnd w:id="968"/>
      <w:r w:rsidRPr="006431C4">
        <w:rPr>
          <w:rFonts w:cs="Arial"/>
          <w:b/>
          <w:szCs w:val="20"/>
        </w:rPr>
        <w:t>PRZEPISY ZWIĄZANE</w:t>
      </w:r>
    </w:p>
    <w:p w14:paraId="07CAD1F3"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1984"/>
        <w:gridCol w:w="8010"/>
      </w:tblGrid>
      <w:tr w:rsidR="006336AC" w:rsidRPr="006431C4" w14:paraId="3CABCF37" w14:textId="77777777" w:rsidTr="00D032BE">
        <w:tc>
          <w:tcPr>
            <w:tcW w:w="496" w:type="dxa"/>
          </w:tcPr>
          <w:p w14:paraId="0AE5011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w:t>
            </w:r>
          </w:p>
        </w:tc>
        <w:tc>
          <w:tcPr>
            <w:tcW w:w="1984" w:type="dxa"/>
          </w:tcPr>
          <w:p w14:paraId="0E67907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PN-EN 197-1:2002</w:t>
            </w:r>
          </w:p>
        </w:tc>
        <w:tc>
          <w:tcPr>
            <w:tcW w:w="8010" w:type="dxa"/>
          </w:tcPr>
          <w:p w14:paraId="361E1F8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Cement. Część 1: Skład, wymagania i kryteria zgodności dotyczące cementu powszechnego użytku</w:t>
            </w:r>
          </w:p>
        </w:tc>
      </w:tr>
      <w:tr w:rsidR="006336AC" w:rsidRPr="006431C4" w14:paraId="63A57B28" w14:textId="77777777" w:rsidTr="00D032BE">
        <w:tc>
          <w:tcPr>
            <w:tcW w:w="496" w:type="dxa"/>
          </w:tcPr>
          <w:p w14:paraId="263936A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1984" w:type="dxa"/>
          </w:tcPr>
          <w:p w14:paraId="7BF2EEB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PN-EN 1338:2005</w:t>
            </w:r>
          </w:p>
        </w:tc>
        <w:tc>
          <w:tcPr>
            <w:tcW w:w="8010" w:type="dxa"/>
          </w:tcPr>
          <w:p w14:paraId="31BE112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Betonowe kostki brukowe. Wymagania i metody badań</w:t>
            </w:r>
          </w:p>
        </w:tc>
      </w:tr>
      <w:tr w:rsidR="006336AC" w:rsidRPr="006431C4" w14:paraId="56416A51" w14:textId="77777777" w:rsidTr="00D032BE">
        <w:tc>
          <w:tcPr>
            <w:tcW w:w="496" w:type="dxa"/>
          </w:tcPr>
          <w:p w14:paraId="5E7293E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3.</w:t>
            </w:r>
          </w:p>
        </w:tc>
        <w:tc>
          <w:tcPr>
            <w:tcW w:w="1984" w:type="dxa"/>
          </w:tcPr>
          <w:p w14:paraId="6CA0239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PN-EN 13242:2004</w:t>
            </w:r>
          </w:p>
        </w:tc>
        <w:tc>
          <w:tcPr>
            <w:tcW w:w="8010" w:type="dxa"/>
          </w:tcPr>
          <w:p w14:paraId="56820D3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6336AC" w:rsidRPr="006431C4" w14:paraId="4ED5675B" w14:textId="77777777" w:rsidTr="00D032BE">
        <w:tc>
          <w:tcPr>
            <w:tcW w:w="496" w:type="dxa"/>
          </w:tcPr>
          <w:p w14:paraId="26988AE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4.</w:t>
            </w:r>
          </w:p>
        </w:tc>
        <w:tc>
          <w:tcPr>
            <w:tcW w:w="1984" w:type="dxa"/>
          </w:tcPr>
          <w:p w14:paraId="4514B15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PN-EN 1008:2004</w:t>
            </w:r>
          </w:p>
        </w:tc>
        <w:tc>
          <w:tcPr>
            <w:tcW w:w="8010" w:type="dxa"/>
          </w:tcPr>
          <w:p w14:paraId="45E3CA5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Woda zarobowa do betonu. Specyfikacja pobierania próbek, badanie i ocena przydatności wody zarobowej do betonu, w tym wody odzyskanej z procesów produkcji betonu</w:t>
            </w:r>
          </w:p>
        </w:tc>
      </w:tr>
    </w:tbl>
    <w:p w14:paraId="6BEAF768"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10.2. Specyfikacje techniczne (ST)</w:t>
      </w:r>
    </w:p>
    <w:tbl>
      <w:tblPr>
        <w:tblW w:w="0" w:type="auto"/>
        <w:tblLayout w:type="fixed"/>
        <w:tblCellMar>
          <w:left w:w="70" w:type="dxa"/>
          <w:right w:w="70" w:type="dxa"/>
        </w:tblCellMar>
        <w:tblLook w:val="0000" w:firstRow="0" w:lastRow="0" w:firstColumn="0" w:lastColumn="0" w:noHBand="0" w:noVBand="0"/>
      </w:tblPr>
      <w:tblGrid>
        <w:gridCol w:w="496"/>
        <w:gridCol w:w="1984"/>
        <w:gridCol w:w="7726"/>
      </w:tblGrid>
      <w:tr w:rsidR="006336AC" w:rsidRPr="006431C4" w14:paraId="087DBABF" w14:textId="77777777" w:rsidTr="00D032BE">
        <w:tc>
          <w:tcPr>
            <w:tcW w:w="496" w:type="dxa"/>
          </w:tcPr>
          <w:p w14:paraId="3022397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5.</w:t>
            </w:r>
          </w:p>
        </w:tc>
        <w:tc>
          <w:tcPr>
            <w:tcW w:w="1984" w:type="dxa"/>
          </w:tcPr>
          <w:p w14:paraId="2C030DE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D-M-00.00.00</w:t>
            </w:r>
          </w:p>
        </w:tc>
        <w:tc>
          <w:tcPr>
            <w:tcW w:w="7726" w:type="dxa"/>
          </w:tcPr>
          <w:p w14:paraId="0C392CF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Wymagania ogólne</w:t>
            </w:r>
          </w:p>
        </w:tc>
      </w:tr>
      <w:tr w:rsidR="006336AC" w:rsidRPr="006431C4" w14:paraId="27993C61" w14:textId="77777777" w:rsidTr="00D032BE">
        <w:tc>
          <w:tcPr>
            <w:tcW w:w="496" w:type="dxa"/>
          </w:tcPr>
          <w:p w14:paraId="5A71F6C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6.</w:t>
            </w:r>
          </w:p>
        </w:tc>
        <w:tc>
          <w:tcPr>
            <w:tcW w:w="1984" w:type="dxa"/>
          </w:tcPr>
          <w:p w14:paraId="6114C50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D-04.01.01</w:t>
            </w:r>
            <w:r w:rsidRPr="006431C4">
              <w:rPr>
                <w:rFonts w:cs="Arial"/>
                <w:szCs w:val="20"/>
              </w:rPr>
              <w:sym w:font="Symbol" w:char="F0B8"/>
            </w:r>
            <w:r w:rsidRPr="006431C4">
              <w:rPr>
                <w:rFonts w:cs="Arial"/>
                <w:szCs w:val="20"/>
              </w:rPr>
              <w:t>04.03.01</w:t>
            </w:r>
          </w:p>
        </w:tc>
        <w:tc>
          <w:tcPr>
            <w:tcW w:w="7726" w:type="dxa"/>
          </w:tcPr>
          <w:p w14:paraId="74D8434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Dolne warstwy podbudów oraz oczyszczenie i skropienie</w:t>
            </w:r>
          </w:p>
        </w:tc>
      </w:tr>
      <w:tr w:rsidR="006336AC" w:rsidRPr="006431C4" w14:paraId="5556E76F" w14:textId="77777777" w:rsidTr="00D032BE">
        <w:tc>
          <w:tcPr>
            <w:tcW w:w="496" w:type="dxa"/>
          </w:tcPr>
          <w:p w14:paraId="3CAE236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7.</w:t>
            </w:r>
          </w:p>
        </w:tc>
        <w:tc>
          <w:tcPr>
            <w:tcW w:w="1984" w:type="dxa"/>
          </w:tcPr>
          <w:p w14:paraId="7F90781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D-04.04.00</w:t>
            </w:r>
            <w:r w:rsidRPr="006431C4">
              <w:rPr>
                <w:rFonts w:cs="Arial"/>
                <w:szCs w:val="20"/>
              </w:rPr>
              <w:sym w:font="Symbol" w:char="F0B8"/>
            </w:r>
            <w:r w:rsidRPr="006431C4">
              <w:rPr>
                <w:rFonts w:cs="Arial"/>
                <w:szCs w:val="20"/>
              </w:rPr>
              <w:t>04.04.03</w:t>
            </w:r>
          </w:p>
        </w:tc>
        <w:tc>
          <w:tcPr>
            <w:tcW w:w="7726" w:type="dxa"/>
          </w:tcPr>
          <w:p w14:paraId="645CC0A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Podbudowy z kruszywa stabilizowanego mechanicznie</w:t>
            </w:r>
          </w:p>
        </w:tc>
      </w:tr>
      <w:tr w:rsidR="006336AC" w:rsidRPr="006431C4" w14:paraId="1BD4C46B" w14:textId="77777777" w:rsidTr="00D032BE">
        <w:tc>
          <w:tcPr>
            <w:tcW w:w="496" w:type="dxa"/>
          </w:tcPr>
          <w:p w14:paraId="01F96C5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8.</w:t>
            </w:r>
          </w:p>
        </w:tc>
        <w:tc>
          <w:tcPr>
            <w:tcW w:w="1984" w:type="dxa"/>
          </w:tcPr>
          <w:p w14:paraId="58BDDF0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D-04.04.04</w:t>
            </w:r>
          </w:p>
        </w:tc>
        <w:tc>
          <w:tcPr>
            <w:tcW w:w="7726" w:type="dxa"/>
          </w:tcPr>
          <w:p w14:paraId="0721195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Podbudowa z tłucznia kamiennego</w:t>
            </w:r>
          </w:p>
        </w:tc>
      </w:tr>
      <w:tr w:rsidR="006336AC" w:rsidRPr="006431C4" w14:paraId="77577BD3" w14:textId="77777777" w:rsidTr="00D032BE">
        <w:tc>
          <w:tcPr>
            <w:tcW w:w="496" w:type="dxa"/>
          </w:tcPr>
          <w:p w14:paraId="4C7FF2B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9.</w:t>
            </w:r>
          </w:p>
        </w:tc>
        <w:tc>
          <w:tcPr>
            <w:tcW w:w="1984" w:type="dxa"/>
          </w:tcPr>
          <w:p w14:paraId="639053D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D-04.05.00</w:t>
            </w:r>
            <w:r w:rsidRPr="006431C4">
              <w:rPr>
                <w:rFonts w:cs="Arial"/>
                <w:szCs w:val="20"/>
              </w:rPr>
              <w:sym w:font="Symbol" w:char="F0B8"/>
            </w:r>
            <w:r w:rsidRPr="006431C4">
              <w:rPr>
                <w:rFonts w:cs="Arial"/>
                <w:szCs w:val="20"/>
              </w:rPr>
              <w:t>04.05.04</w:t>
            </w:r>
          </w:p>
        </w:tc>
        <w:tc>
          <w:tcPr>
            <w:tcW w:w="7726" w:type="dxa"/>
          </w:tcPr>
          <w:p w14:paraId="32EE344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Podbudowy i ulepszone podłoża z gruntów lub kruszyw stabilizowanych spoiwami hydraulicznymi</w:t>
            </w:r>
          </w:p>
        </w:tc>
      </w:tr>
      <w:tr w:rsidR="006336AC" w:rsidRPr="006431C4" w14:paraId="59594302" w14:textId="77777777" w:rsidTr="00D032BE">
        <w:tc>
          <w:tcPr>
            <w:tcW w:w="496" w:type="dxa"/>
          </w:tcPr>
          <w:p w14:paraId="7236422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10.</w:t>
            </w:r>
          </w:p>
        </w:tc>
        <w:tc>
          <w:tcPr>
            <w:tcW w:w="1984" w:type="dxa"/>
          </w:tcPr>
          <w:p w14:paraId="2695307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D-04.06.01</w:t>
            </w:r>
          </w:p>
        </w:tc>
        <w:tc>
          <w:tcPr>
            <w:tcW w:w="7726" w:type="dxa"/>
          </w:tcPr>
          <w:p w14:paraId="4471B5D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Podbudowa z chudego betonu</w:t>
            </w:r>
          </w:p>
        </w:tc>
      </w:tr>
      <w:tr w:rsidR="006336AC" w:rsidRPr="006431C4" w14:paraId="00D8C882" w14:textId="77777777" w:rsidTr="00D032BE">
        <w:tc>
          <w:tcPr>
            <w:tcW w:w="496" w:type="dxa"/>
          </w:tcPr>
          <w:p w14:paraId="506C780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11.</w:t>
            </w:r>
          </w:p>
        </w:tc>
        <w:tc>
          <w:tcPr>
            <w:tcW w:w="1984" w:type="dxa"/>
          </w:tcPr>
          <w:p w14:paraId="6C453EE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D-04.06.01b</w:t>
            </w:r>
          </w:p>
        </w:tc>
        <w:tc>
          <w:tcPr>
            <w:tcW w:w="7726" w:type="dxa"/>
          </w:tcPr>
          <w:p w14:paraId="378B94D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Podbudowa z betonu cementowego</w:t>
            </w:r>
          </w:p>
        </w:tc>
      </w:tr>
      <w:tr w:rsidR="006336AC" w:rsidRPr="006431C4" w14:paraId="44E85082" w14:textId="77777777" w:rsidTr="00D032BE">
        <w:tc>
          <w:tcPr>
            <w:tcW w:w="496" w:type="dxa"/>
          </w:tcPr>
          <w:p w14:paraId="1790C7A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12.</w:t>
            </w:r>
          </w:p>
        </w:tc>
        <w:tc>
          <w:tcPr>
            <w:tcW w:w="1984" w:type="dxa"/>
          </w:tcPr>
          <w:p w14:paraId="2847C30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D-05.03.04a</w:t>
            </w:r>
          </w:p>
        </w:tc>
        <w:tc>
          <w:tcPr>
            <w:tcW w:w="7726" w:type="dxa"/>
          </w:tcPr>
          <w:p w14:paraId="6412EBA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Wypełnianie szczelin w nawierzchni z betonu cementowego</w:t>
            </w:r>
          </w:p>
        </w:tc>
      </w:tr>
      <w:tr w:rsidR="006336AC" w:rsidRPr="006431C4" w14:paraId="64BBD6DE" w14:textId="77777777" w:rsidTr="00D032BE">
        <w:tc>
          <w:tcPr>
            <w:tcW w:w="496" w:type="dxa"/>
          </w:tcPr>
          <w:p w14:paraId="1F6568B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13.</w:t>
            </w:r>
          </w:p>
        </w:tc>
        <w:tc>
          <w:tcPr>
            <w:tcW w:w="1984" w:type="dxa"/>
          </w:tcPr>
          <w:p w14:paraId="106FE88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D-08.01.01a</w:t>
            </w:r>
          </w:p>
        </w:tc>
        <w:tc>
          <w:tcPr>
            <w:tcW w:w="7726" w:type="dxa"/>
          </w:tcPr>
          <w:p w14:paraId="3037B8D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Ustawianie krawężników betonowych</w:t>
            </w:r>
          </w:p>
        </w:tc>
      </w:tr>
      <w:tr w:rsidR="006336AC" w:rsidRPr="006431C4" w14:paraId="56F1D008" w14:textId="77777777" w:rsidTr="00D032BE">
        <w:tc>
          <w:tcPr>
            <w:tcW w:w="496" w:type="dxa"/>
          </w:tcPr>
          <w:p w14:paraId="152EE1A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14.</w:t>
            </w:r>
          </w:p>
        </w:tc>
        <w:tc>
          <w:tcPr>
            <w:tcW w:w="1984" w:type="dxa"/>
          </w:tcPr>
          <w:p w14:paraId="4293D02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D-08.01.02a</w:t>
            </w:r>
          </w:p>
        </w:tc>
        <w:tc>
          <w:tcPr>
            <w:tcW w:w="7726" w:type="dxa"/>
          </w:tcPr>
          <w:p w14:paraId="3BA57E7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Ustawianie krawężników kamiennych</w:t>
            </w:r>
          </w:p>
        </w:tc>
      </w:tr>
      <w:tr w:rsidR="006336AC" w:rsidRPr="006431C4" w14:paraId="0B8C725C" w14:textId="77777777" w:rsidTr="00D032BE">
        <w:tc>
          <w:tcPr>
            <w:tcW w:w="496" w:type="dxa"/>
          </w:tcPr>
          <w:p w14:paraId="15C6A83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15.</w:t>
            </w:r>
          </w:p>
        </w:tc>
        <w:tc>
          <w:tcPr>
            <w:tcW w:w="1984" w:type="dxa"/>
          </w:tcPr>
          <w:p w14:paraId="012FE94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D-08.03.01</w:t>
            </w:r>
          </w:p>
        </w:tc>
        <w:tc>
          <w:tcPr>
            <w:tcW w:w="7726" w:type="dxa"/>
          </w:tcPr>
          <w:p w14:paraId="2614EB1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Betonowe obrzeża chodnikowe</w:t>
            </w:r>
          </w:p>
        </w:tc>
      </w:tr>
      <w:tr w:rsidR="006336AC" w:rsidRPr="006431C4" w14:paraId="7ABA6A6E" w14:textId="77777777" w:rsidTr="00D032BE">
        <w:tc>
          <w:tcPr>
            <w:tcW w:w="496" w:type="dxa"/>
          </w:tcPr>
          <w:p w14:paraId="260BE29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16.</w:t>
            </w:r>
          </w:p>
        </w:tc>
        <w:tc>
          <w:tcPr>
            <w:tcW w:w="1984" w:type="dxa"/>
          </w:tcPr>
          <w:p w14:paraId="31008EA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D-08.05.00</w:t>
            </w:r>
          </w:p>
        </w:tc>
        <w:tc>
          <w:tcPr>
            <w:tcW w:w="7726" w:type="dxa"/>
          </w:tcPr>
          <w:p w14:paraId="7D6DDCB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Ścieki</w:t>
            </w:r>
          </w:p>
        </w:tc>
      </w:tr>
    </w:tbl>
    <w:p w14:paraId="5C91FADD"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bookmarkStart w:id="969" w:name="_Toc107903646"/>
    </w:p>
    <w:p w14:paraId="6751E8B1"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11. ZAŁĄCZNIKI</w:t>
      </w:r>
      <w:bookmarkEnd w:id="969"/>
    </w:p>
    <w:p w14:paraId="4C58CA88"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ZAŁĄCZNIK 1</w:t>
      </w:r>
    </w:p>
    <w:p w14:paraId="055EA365"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p>
    <w:p w14:paraId="1AAF00F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Przykłady kształtów betonowej kostki brukowej</w:t>
      </w:r>
    </w:p>
    <w:p w14:paraId="46C4715F"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793E367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62BC0463" w14:textId="77777777" w:rsidR="006336AC" w:rsidRPr="006431C4" w:rsidRDefault="006336AC" w:rsidP="00413F29">
      <w:pPr>
        <w:numPr>
          <w:ilvl w:val="0"/>
          <w:numId w:val="68"/>
        </w:numPr>
        <w:shd w:val="clear" w:color="auto" w:fill="FFFFFF" w:themeFill="background1"/>
        <w:tabs>
          <w:tab w:val="left" w:pos="142"/>
        </w:tabs>
        <w:spacing w:line="240" w:lineRule="auto"/>
        <w:ind w:left="0" w:firstLine="0"/>
        <w:jc w:val="both"/>
        <w:rPr>
          <w:rFonts w:cs="Arial"/>
          <w:szCs w:val="20"/>
        </w:rPr>
      </w:pPr>
      <w:r w:rsidRPr="006431C4">
        <w:rPr>
          <w:rFonts w:cs="Arial"/>
          <w:szCs w:val="20"/>
        </w:rPr>
        <w:t>Najczęściej spotykane kształty kostek i sposoby ich układania</w:t>
      </w:r>
      <w:r w:rsidRPr="006431C4">
        <w:rPr>
          <w:rFonts w:cs="Arial"/>
          <w:szCs w:val="20"/>
        </w:rPr>
        <w:br/>
        <w:t xml:space="preserve">(wg W. </w:t>
      </w:r>
      <w:proofErr w:type="spellStart"/>
      <w:r w:rsidRPr="006431C4">
        <w:rPr>
          <w:rFonts w:cs="Arial"/>
          <w:szCs w:val="20"/>
        </w:rPr>
        <w:t>Brylicki</w:t>
      </w:r>
      <w:proofErr w:type="spellEnd"/>
      <w:r w:rsidRPr="006431C4">
        <w:rPr>
          <w:rFonts w:cs="Arial"/>
          <w:szCs w:val="20"/>
        </w:rPr>
        <w:t xml:space="preserve">: Kostka brukowa z betonu </w:t>
      </w:r>
      <w:proofErr w:type="spellStart"/>
      <w:r w:rsidRPr="006431C4">
        <w:rPr>
          <w:rFonts w:cs="Arial"/>
          <w:szCs w:val="20"/>
        </w:rPr>
        <w:t>wibroprasowanego</w:t>
      </w:r>
      <w:proofErr w:type="spellEnd"/>
      <w:r w:rsidRPr="006431C4">
        <w:rPr>
          <w:rFonts w:cs="Arial"/>
          <w:szCs w:val="20"/>
        </w:rPr>
        <w:t>, 1998)</w:t>
      </w:r>
    </w:p>
    <w:p w14:paraId="62013ABB"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6436FFE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lastRenderedPageBreak/>
        <w:drawing>
          <wp:inline distT="0" distB="0" distL="0" distR="0" wp14:anchorId="51CF1921" wp14:editId="1103E8B3">
            <wp:extent cx="4686300" cy="2333625"/>
            <wp:effectExtent l="0" t="0" r="0" b="9525"/>
            <wp:docPr id="83" name="Obraz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686300" cy="2333625"/>
                    </a:xfrm>
                    <a:prstGeom prst="rect">
                      <a:avLst/>
                    </a:prstGeom>
                    <a:noFill/>
                    <a:ln>
                      <a:noFill/>
                    </a:ln>
                  </pic:spPr>
                </pic:pic>
              </a:graphicData>
            </a:graphic>
          </wp:inline>
        </w:drawing>
      </w:r>
    </w:p>
    <w:p w14:paraId="2D055229"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402DBCA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Podstawowe kształty kostek (wg W. Grzybowska, P. Zieliński: Nawierzchnie kostek betonowych w świetle doświadczeń zagranicznych, Drogownictwo 5/1999)</w:t>
      </w:r>
    </w:p>
    <w:p w14:paraId="35ABDAC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Oznaczenia:  (1) - typ kostki charakterystyczny dla wiązań w jodełkę,</w:t>
      </w:r>
    </w:p>
    <w:p w14:paraId="1CF55C17" w14:textId="77777777" w:rsidR="006336AC" w:rsidRPr="006431C4" w:rsidRDefault="006336AC" w:rsidP="00413F29">
      <w:pPr>
        <w:numPr>
          <w:ilvl w:val="0"/>
          <w:numId w:val="69"/>
        </w:numPr>
        <w:shd w:val="clear" w:color="auto" w:fill="FFFFFF" w:themeFill="background1"/>
        <w:tabs>
          <w:tab w:val="left" w:pos="142"/>
        </w:tabs>
        <w:spacing w:line="240" w:lineRule="auto"/>
        <w:ind w:left="0" w:firstLine="0"/>
        <w:jc w:val="both"/>
        <w:rPr>
          <w:rFonts w:cs="Arial"/>
          <w:szCs w:val="20"/>
        </w:rPr>
      </w:pPr>
      <w:r w:rsidRPr="006431C4">
        <w:rPr>
          <w:rFonts w:cs="Arial"/>
          <w:szCs w:val="20"/>
        </w:rPr>
        <w:t>- typ kostki odpowiedni tylko dla wiązań w rzędy proste.</w:t>
      </w:r>
    </w:p>
    <w:p w14:paraId="0BDA96A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r>
      <w:r w:rsidRPr="006431C4">
        <w:rPr>
          <w:rFonts w:cs="Arial"/>
          <w:szCs w:val="20"/>
        </w:rPr>
        <w:tab/>
        <w:t>Kształtki zacienione - typ kostki zapewniający dobry rozkład obciążenia.</w:t>
      </w:r>
    </w:p>
    <w:p w14:paraId="5BD161C6"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bl>
      <w:tblPr>
        <w:tblW w:w="0" w:type="auto"/>
        <w:tblLayout w:type="fixed"/>
        <w:tblCellMar>
          <w:left w:w="70" w:type="dxa"/>
          <w:right w:w="70" w:type="dxa"/>
        </w:tblCellMar>
        <w:tblLook w:val="0000" w:firstRow="0" w:lastRow="0" w:firstColumn="0" w:lastColumn="0" w:noHBand="0" w:noVBand="0"/>
      </w:tblPr>
      <w:tblGrid>
        <w:gridCol w:w="1630"/>
        <w:gridCol w:w="5880"/>
      </w:tblGrid>
      <w:tr w:rsidR="006336AC" w:rsidRPr="006431C4" w14:paraId="1B02BB94" w14:textId="77777777" w:rsidTr="00462D74">
        <w:tc>
          <w:tcPr>
            <w:tcW w:w="1630" w:type="dxa"/>
          </w:tcPr>
          <w:p w14:paraId="0AA0C71E"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50389BD"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03C7E83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Kategoria A</w:t>
            </w:r>
          </w:p>
          <w:p w14:paraId="27241D36"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F815FEF"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114A19F6"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62D2A67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Kategoria B</w:t>
            </w:r>
          </w:p>
          <w:p w14:paraId="4648201B"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8048A97"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4145BA71"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B0E56F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Kategoria C</w:t>
            </w:r>
          </w:p>
        </w:tc>
        <w:tc>
          <w:tcPr>
            <w:tcW w:w="5880" w:type="dxa"/>
          </w:tcPr>
          <w:p w14:paraId="602C353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5E02C91B" wp14:editId="2BEA05D9">
                  <wp:extent cx="3638550" cy="2009775"/>
                  <wp:effectExtent l="0" t="0" r="0" b="9525"/>
                  <wp:docPr id="82" name="Obraz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638550" cy="2009775"/>
                          </a:xfrm>
                          <a:prstGeom prst="rect">
                            <a:avLst/>
                          </a:prstGeom>
                          <a:noFill/>
                          <a:ln>
                            <a:noFill/>
                          </a:ln>
                        </pic:spPr>
                      </pic:pic>
                    </a:graphicData>
                  </a:graphic>
                </wp:inline>
              </w:drawing>
            </w:r>
          </w:p>
        </w:tc>
      </w:tr>
    </w:tbl>
    <w:p w14:paraId="52E2D782"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bl>
      <w:tblPr>
        <w:tblW w:w="0" w:type="auto"/>
        <w:tblLayout w:type="fixed"/>
        <w:tblCellMar>
          <w:left w:w="70" w:type="dxa"/>
          <w:right w:w="70" w:type="dxa"/>
        </w:tblCellMar>
        <w:tblLook w:val="0000" w:firstRow="0" w:lastRow="0" w:firstColumn="0" w:lastColumn="0" w:noHBand="0" w:noVBand="0"/>
      </w:tblPr>
      <w:tblGrid>
        <w:gridCol w:w="1488"/>
        <w:gridCol w:w="6022"/>
      </w:tblGrid>
      <w:tr w:rsidR="006336AC" w:rsidRPr="006431C4" w14:paraId="7250207A" w14:textId="77777777" w:rsidTr="00462D74">
        <w:tc>
          <w:tcPr>
            <w:tcW w:w="1488" w:type="dxa"/>
          </w:tcPr>
          <w:p w14:paraId="63727FA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Kategoria  A:</w:t>
            </w:r>
          </w:p>
        </w:tc>
        <w:tc>
          <w:tcPr>
            <w:tcW w:w="6022" w:type="dxa"/>
          </w:tcPr>
          <w:p w14:paraId="3A97F2F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kostki zazębiające się wzajemnie na wszystkich czterech bocznych ściankach - spoiny nie rozszerzają się pod ruchem</w:t>
            </w:r>
          </w:p>
        </w:tc>
      </w:tr>
      <w:tr w:rsidR="006336AC" w:rsidRPr="006431C4" w14:paraId="483E8D48" w14:textId="77777777" w:rsidTr="00462D74">
        <w:tc>
          <w:tcPr>
            <w:tcW w:w="1488" w:type="dxa"/>
          </w:tcPr>
          <w:p w14:paraId="06FADE1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Kategoria  B:</w:t>
            </w:r>
          </w:p>
        </w:tc>
        <w:tc>
          <w:tcPr>
            <w:tcW w:w="6022" w:type="dxa"/>
          </w:tcPr>
          <w:p w14:paraId="6127A05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kostki zazębiające się wzajemnie na dwóch bocznych ściankach                  - utrudnione rozszerzanie spoin równolegle do osi podłużnej elementów</w:t>
            </w:r>
          </w:p>
        </w:tc>
      </w:tr>
      <w:tr w:rsidR="006336AC" w:rsidRPr="006431C4" w14:paraId="57F54D10" w14:textId="77777777" w:rsidTr="00462D74">
        <w:tc>
          <w:tcPr>
            <w:tcW w:w="1488" w:type="dxa"/>
          </w:tcPr>
          <w:p w14:paraId="22BEEA0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Kategoria  C:</w:t>
            </w:r>
          </w:p>
        </w:tc>
        <w:tc>
          <w:tcPr>
            <w:tcW w:w="6022" w:type="dxa"/>
          </w:tcPr>
          <w:p w14:paraId="11251DC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kostki nie zazębiają się wzajemnie - wymagana jest duża dokładność układania kostek o jednakowych wymiarach</w:t>
            </w:r>
          </w:p>
        </w:tc>
      </w:tr>
    </w:tbl>
    <w:p w14:paraId="789A47DC"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1C3B616"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ZAŁĄCZNIK 2</w:t>
      </w:r>
    </w:p>
    <w:p w14:paraId="5C2D4AE0"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p>
    <w:p w14:paraId="509E47E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Zalecane grubości betonowej kostki brukowej</w:t>
      </w:r>
    </w:p>
    <w:p w14:paraId="6338F1D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(wg: A. Becher, Z. Gustowski – Jak wykonać trwałą nawierzchnię z kostki brukowej, „Materiały Budowlane” nr 5/2005)</w:t>
      </w:r>
    </w:p>
    <w:p w14:paraId="1AA269D3"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63C2774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t>W zależności od rodzaju zastosowania kostek w nawierzchni, można przyjmować następującą minimalną jej grubość:</w:t>
      </w:r>
    </w:p>
    <w:tbl>
      <w:tblPr>
        <w:tblW w:w="9464" w:type="dxa"/>
        <w:tblLook w:val="01E0" w:firstRow="1" w:lastRow="1" w:firstColumn="1" w:lastColumn="1" w:noHBand="0" w:noVBand="0"/>
      </w:tblPr>
      <w:tblGrid>
        <w:gridCol w:w="1384"/>
        <w:gridCol w:w="8080"/>
      </w:tblGrid>
      <w:tr w:rsidR="006336AC" w:rsidRPr="006431C4" w14:paraId="78D6F7A6" w14:textId="77777777" w:rsidTr="00462D74">
        <w:tc>
          <w:tcPr>
            <w:tcW w:w="1384" w:type="dxa"/>
          </w:tcPr>
          <w:p w14:paraId="3666BE6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a) </w:t>
            </w:r>
            <w:smartTag w:uri="urn:schemas-microsoft-com:office:smarttags" w:element="metricconverter">
              <w:smartTagPr>
                <w:attr w:name="ProductID" w:val="4 cm"/>
              </w:smartTagPr>
              <w:r w:rsidRPr="006431C4">
                <w:rPr>
                  <w:rFonts w:cs="Arial"/>
                  <w:szCs w:val="20"/>
                </w:rPr>
                <w:t>4 cm</w:t>
              </w:r>
            </w:smartTag>
          </w:p>
        </w:tc>
        <w:tc>
          <w:tcPr>
            <w:tcW w:w="8080" w:type="dxa"/>
          </w:tcPr>
          <w:p w14:paraId="1EA34691" w14:textId="77777777" w:rsidR="006336AC" w:rsidRPr="006431C4" w:rsidRDefault="006336AC" w:rsidP="00413F29">
            <w:pPr>
              <w:numPr>
                <w:ilvl w:val="0"/>
                <w:numId w:val="77"/>
              </w:numPr>
              <w:shd w:val="clear" w:color="auto" w:fill="FFFFFF" w:themeFill="background1"/>
              <w:tabs>
                <w:tab w:val="left" w:pos="142"/>
              </w:tabs>
              <w:spacing w:line="240" w:lineRule="auto"/>
              <w:ind w:left="0" w:firstLine="0"/>
              <w:jc w:val="both"/>
              <w:rPr>
                <w:rFonts w:cs="Arial"/>
                <w:szCs w:val="20"/>
              </w:rPr>
            </w:pPr>
            <w:r w:rsidRPr="006431C4">
              <w:rPr>
                <w:rFonts w:cs="Arial"/>
                <w:szCs w:val="20"/>
              </w:rPr>
              <w:t>w przypadku ruchu pieszego (np. na przydomowych chodnikach, tarasach),</w:t>
            </w:r>
          </w:p>
        </w:tc>
      </w:tr>
      <w:tr w:rsidR="006336AC" w:rsidRPr="006431C4" w14:paraId="10ECDAA7" w14:textId="77777777" w:rsidTr="00462D74">
        <w:tc>
          <w:tcPr>
            <w:tcW w:w="1384" w:type="dxa"/>
          </w:tcPr>
          <w:p w14:paraId="69E7866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b) 6 lub  </w:t>
            </w:r>
            <w:smartTag w:uri="urn:schemas-microsoft-com:office:smarttags" w:element="metricconverter">
              <w:smartTagPr>
                <w:attr w:name="ProductID" w:val="7 cm"/>
              </w:smartTagPr>
              <w:r w:rsidRPr="006431C4">
                <w:rPr>
                  <w:rFonts w:cs="Arial"/>
                  <w:szCs w:val="20"/>
                </w:rPr>
                <w:t>7 cm</w:t>
              </w:r>
            </w:smartTag>
          </w:p>
        </w:tc>
        <w:tc>
          <w:tcPr>
            <w:tcW w:w="8080" w:type="dxa"/>
          </w:tcPr>
          <w:p w14:paraId="721B0071" w14:textId="77777777" w:rsidR="006336AC" w:rsidRPr="006431C4" w:rsidRDefault="006336AC" w:rsidP="00413F29">
            <w:pPr>
              <w:numPr>
                <w:ilvl w:val="0"/>
                <w:numId w:val="77"/>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w przypadku ruchu pieszego i pojazdów </w:t>
            </w:r>
            <w:proofErr w:type="spellStart"/>
            <w:r w:rsidRPr="006431C4">
              <w:rPr>
                <w:rFonts w:cs="Arial"/>
                <w:szCs w:val="20"/>
              </w:rPr>
              <w:t>niemechanicznych</w:t>
            </w:r>
            <w:proofErr w:type="spellEnd"/>
            <w:r w:rsidRPr="006431C4">
              <w:rPr>
                <w:rFonts w:cs="Arial"/>
                <w:szCs w:val="20"/>
              </w:rPr>
              <w:t xml:space="preserve"> oraz mało intensywnego ruchu samochodów o masie do 3,5 t,</w:t>
            </w:r>
          </w:p>
        </w:tc>
      </w:tr>
      <w:tr w:rsidR="006336AC" w:rsidRPr="006431C4" w14:paraId="7951881B" w14:textId="77777777" w:rsidTr="00462D74">
        <w:tc>
          <w:tcPr>
            <w:tcW w:w="1384" w:type="dxa"/>
          </w:tcPr>
          <w:p w14:paraId="698CE5D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c) </w:t>
            </w:r>
            <w:smartTag w:uri="urn:schemas-microsoft-com:office:smarttags" w:element="metricconverter">
              <w:smartTagPr>
                <w:attr w:name="ProductID" w:val="8 cm"/>
              </w:smartTagPr>
              <w:r w:rsidRPr="006431C4">
                <w:rPr>
                  <w:rFonts w:cs="Arial"/>
                  <w:szCs w:val="20"/>
                </w:rPr>
                <w:t>8 cm</w:t>
              </w:r>
            </w:smartTag>
          </w:p>
        </w:tc>
        <w:tc>
          <w:tcPr>
            <w:tcW w:w="8080" w:type="dxa"/>
          </w:tcPr>
          <w:p w14:paraId="5D5AA3FA" w14:textId="77777777" w:rsidR="006336AC" w:rsidRPr="006431C4" w:rsidRDefault="006336AC" w:rsidP="00413F29">
            <w:pPr>
              <w:numPr>
                <w:ilvl w:val="0"/>
                <w:numId w:val="77"/>
              </w:numPr>
              <w:shd w:val="clear" w:color="auto" w:fill="FFFFFF" w:themeFill="background1"/>
              <w:tabs>
                <w:tab w:val="left" w:pos="142"/>
              </w:tabs>
              <w:spacing w:line="240" w:lineRule="auto"/>
              <w:ind w:left="0" w:firstLine="0"/>
              <w:jc w:val="both"/>
              <w:rPr>
                <w:rFonts w:cs="Arial"/>
                <w:szCs w:val="20"/>
              </w:rPr>
            </w:pPr>
            <w:r w:rsidRPr="006431C4">
              <w:rPr>
                <w:rFonts w:cs="Arial"/>
                <w:szCs w:val="20"/>
              </w:rPr>
              <w:t>w przypadku intensywnego ruchu samochodów osobowych, ciężarowych i innych ciężkich pojazdów,</w:t>
            </w:r>
          </w:p>
        </w:tc>
      </w:tr>
      <w:tr w:rsidR="006336AC" w:rsidRPr="006431C4" w14:paraId="36D5CB1E" w14:textId="77777777" w:rsidTr="00462D74">
        <w:tc>
          <w:tcPr>
            <w:tcW w:w="1384" w:type="dxa"/>
          </w:tcPr>
          <w:p w14:paraId="47DF6F4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d) </w:t>
            </w:r>
            <w:smartTag w:uri="urn:schemas-microsoft-com:office:smarttags" w:element="metricconverter">
              <w:smartTagPr>
                <w:attr w:name="ProductID" w:val="10 cm"/>
              </w:smartTagPr>
              <w:r w:rsidRPr="006431C4">
                <w:rPr>
                  <w:rFonts w:cs="Arial"/>
                  <w:szCs w:val="20"/>
                </w:rPr>
                <w:t>10 cm</w:t>
              </w:r>
            </w:smartTag>
          </w:p>
        </w:tc>
        <w:tc>
          <w:tcPr>
            <w:tcW w:w="8080" w:type="dxa"/>
          </w:tcPr>
          <w:p w14:paraId="61BD50E8" w14:textId="77777777" w:rsidR="006336AC" w:rsidRPr="006431C4" w:rsidRDefault="006336AC" w:rsidP="00413F29">
            <w:pPr>
              <w:numPr>
                <w:ilvl w:val="0"/>
                <w:numId w:val="77"/>
              </w:numPr>
              <w:shd w:val="clear" w:color="auto" w:fill="FFFFFF" w:themeFill="background1"/>
              <w:tabs>
                <w:tab w:val="left" w:pos="142"/>
              </w:tabs>
              <w:spacing w:line="240" w:lineRule="auto"/>
              <w:ind w:left="0" w:firstLine="0"/>
              <w:jc w:val="both"/>
              <w:rPr>
                <w:rFonts w:cs="Arial"/>
                <w:szCs w:val="20"/>
              </w:rPr>
            </w:pPr>
            <w:r w:rsidRPr="006431C4">
              <w:rPr>
                <w:rFonts w:cs="Arial"/>
                <w:szCs w:val="20"/>
              </w:rPr>
              <w:t>w przypadku najbardziej intensywnego obciążenia, np. na placach przemysłowych, przy ciągłym ruchu ciężkich pojazdów.</w:t>
            </w:r>
          </w:p>
        </w:tc>
      </w:tr>
    </w:tbl>
    <w:p w14:paraId="42DE1AE2"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DBA39E6"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ZAŁĄCZNIK 3</w:t>
      </w:r>
    </w:p>
    <w:p w14:paraId="4C4C18AD"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p>
    <w:p w14:paraId="1E5B82C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Przykładowe konstrukcje nawierzchni z betonowej kostki brukowej na ulicach</w:t>
      </w:r>
    </w:p>
    <w:p w14:paraId="37B6107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lastRenderedPageBreak/>
        <w:t xml:space="preserve">(wg W. </w:t>
      </w:r>
      <w:proofErr w:type="spellStart"/>
      <w:r w:rsidRPr="006431C4">
        <w:rPr>
          <w:rFonts w:cs="Arial"/>
          <w:szCs w:val="20"/>
        </w:rPr>
        <w:t>Brylicki</w:t>
      </w:r>
      <w:proofErr w:type="spellEnd"/>
      <w:r w:rsidRPr="006431C4">
        <w:rPr>
          <w:rFonts w:cs="Arial"/>
          <w:szCs w:val="20"/>
        </w:rPr>
        <w:t>: Zadanie dla specjalistów, „Budownictwo-Technologie-Architektura”,</w:t>
      </w:r>
      <w:r w:rsidRPr="006431C4">
        <w:rPr>
          <w:rFonts w:cs="Arial"/>
          <w:szCs w:val="20"/>
        </w:rPr>
        <w:br/>
        <w:t>nr specjalny, 2005 r.)</w:t>
      </w:r>
    </w:p>
    <w:p w14:paraId="5EA3B50C"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4965703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 Kategorie ruchu do ustalenia konstrukcji nawierzchni</w:t>
      </w:r>
    </w:p>
    <w:p w14:paraId="538DD1AE"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
        <w:gridCol w:w="7189"/>
        <w:gridCol w:w="2977"/>
      </w:tblGrid>
      <w:tr w:rsidR="006336AC" w:rsidRPr="006431C4" w14:paraId="313F170F" w14:textId="77777777" w:rsidTr="00303B15">
        <w:tc>
          <w:tcPr>
            <w:tcW w:w="495" w:type="dxa"/>
            <w:tcBorders>
              <w:bottom w:val="single" w:sz="4" w:space="0" w:color="auto"/>
            </w:tcBorders>
          </w:tcPr>
          <w:p w14:paraId="02B1DDC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Lp.</w:t>
            </w:r>
          </w:p>
        </w:tc>
        <w:tc>
          <w:tcPr>
            <w:tcW w:w="7189" w:type="dxa"/>
            <w:tcBorders>
              <w:bottom w:val="single" w:sz="4" w:space="0" w:color="auto"/>
            </w:tcBorders>
          </w:tcPr>
          <w:p w14:paraId="7C96AFE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Przeznaczenie nawierzchni</w:t>
            </w:r>
          </w:p>
        </w:tc>
        <w:tc>
          <w:tcPr>
            <w:tcW w:w="2977" w:type="dxa"/>
            <w:tcBorders>
              <w:bottom w:val="single" w:sz="4" w:space="0" w:color="auto"/>
            </w:tcBorders>
          </w:tcPr>
          <w:p w14:paraId="3BE8089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Kategoria ruchu</w:t>
            </w:r>
          </w:p>
          <w:p w14:paraId="4F9F66F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(liczba pojazdów porównawczych o nacisku do 80 kN/oś/pas/24 h)</w:t>
            </w:r>
          </w:p>
        </w:tc>
      </w:tr>
      <w:tr w:rsidR="006336AC" w:rsidRPr="006431C4" w14:paraId="008CE437" w14:textId="77777777" w:rsidTr="00303B15">
        <w:tc>
          <w:tcPr>
            <w:tcW w:w="495" w:type="dxa"/>
            <w:tcBorders>
              <w:top w:val="single" w:sz="4" w:space="0" w:color="auto"/>
            </w:tcBorders>
          </w:tcPr>
          <w:p w14:paraId="5C646CC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w:t>
            </w:r>
          </w:p>
        </w:tc>
        <w:tc>
          <w:tcPr>
            <w:tcW w:w="7189" w:type="dxa"/>
            <w:tcBorders>
              <w:top w:val="single" w:sz="4" w:space="0" w:color="auto"/>
            </w:tcBorders>
          </w:tcPr>
          <w:p w14:paraId="13AE997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Chodniki, ścieżki rowerowe i ciągi pieszo-jezdne tylko wyjątkowo wykorzystywane przez samochody dostawcze i samochody oczyszczania</w:t>
            </w:r>
          </w:p>
        </w:tc>
        <w:tc>
          <w:tcPr>
            <w:tcW w:w="2977" w:type="dxa"/>
            <w:tcBorders>
              <w:top w:val="single" w:sz="4" w:space="0" w:color="auto"/>
            </w:tcBorders>
          </w:tcPr>
          <w:p w14:paraId="2C431FE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Bardzo lekki</w:t>
            </w:r>
          </w:p>
          <w:p w14:paraId="262BFCC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R</w:t>
            </w:r>
            <w:r w:rsidRPr="006431C4">
              <w:rPr>
                <w:rFonts w:cs="Arial"/>
                <w:szCs w:val="20"/>
                <w:vertAlign w:val="subscript"/>
              </w:rPr>
              <w:t xml:space="preserve">0 </w:t>
            </w:r>
            <w:r w:rsidRPr="006431C4">
              <w:rPr>
                <w:rFonts w:cs="Arial"/>
                <w:szCs w:val="20"/>
              </w:rPr>
              <w:t>/do 4</w:t>
            </w:r>
          </w:p>
        </w:tc>
      </w:tr>
      <w:tr w:rsidR="006336AC" w:rsidRPr="006431C4" w14:paraId="36B66599" w14:textId="77777777" w:rsidTr="00303B15">
        <w:tc>
          <w:tcPr>
            <w:tcW w:w="495" w:type="dxa"/>
          </w:tcPr>
          <w:p w14:paraId="381BD2D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7189" w:type="dxa"/>
          </w:tcPr>
          <w:p w14:paraId="1E75740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Ulice osiedlowe, parkingi samochodów osobowych, na których okazjonalnie zatrzymują się samochody ciężarowe oraz rzadko użytkowane przez samochody ciężarowe ulice i place</w:t>
            </w:r>
          </w:p>
        </w:tc>
        <w:tc>
          <w:tcPr>
            <w:tcW w:w="2977" w:type="dxa"/>
          </w:tcPr>
          <w:p w14:paraId="1AF10CA2"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C7E5F6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Bardzo lekki</w:t>
            </w:r>
          </w:p>
          <w:p w14:paraId="071E768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R</w:t>
            </w:r>
            <w:r w:rsidRPr="006431C4">
              <w:rPr>
                <w:rFonts w:cs="Arial"/>
                <w:szCs w:val="20"/>
                <w:vertAlign w:val="subscript"/>
              </w:rPr>
              <w:t xml:space="preserve">1 </w:t>
            </w:r>
            <w:r w:rsidRPr="006431C4">
              <w:rPr>
                <w:rFonts w:cs="Arial"/>
                <w:szCs w:val="20"/>
              </w:rPr>
              <w:t>/ 5÷11</w:t>
            </w:r>
          </w:p>
        </w:tc>
      </w:tr>
      <w:tr w:rsidR="006336AC" w:rsidRPr="006431C4" w14:paraId="35728CCA" w14:textId="77777777" w:rsidTr="00303B15">
        <w:tc>
          <w:tcPr>
            <w:tcW w:w="495" w:type="dxa"/>
          </w:tcPr>
          <w:p w14:paraId="0E6473C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3</w:t>
            </w:r>
          </w:p>
        </w:tc>
        <w:tc>
          <w:tcPr>
            <w:tcW w:w="7189" w:type="dxa"/>
          </w:tcPr>
          <w:p w14:paraId="3EBA60E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Ulice osiedlowe, strefy ruchu pieszego z ruchem dostawczym, stale użytkowane parkingi samochodów osobowych z nielicznym udziałem samochodów ciężarowych i autobusów</w:t>
            </w:r>
          </w:p>
        </w:tc>
        <w:tc>
          <w:tcPr>
            <w:tcW w:w="2977" w:type="dxa"/>
          </w:tcPr>
          <w:p w14:paraId="0F25307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0C0892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Lekki</w:t>
            </w:r>
          </w:p>
          <w:p w14:paraId="1559E9F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R</w:t>
            </w:r>
            <w:r w:rsidRPr="006431C4">
              <w:rPr>
                <w:rFonts w:cs="Arial"/>
                <w:szCs w:val="20"/>
                <w:vertAlign w:val="subscript"/>
              </w:rPr>
              <w:t>2</w:t>
            </w:r>
            <w:r w:rsidRPr="006431C4">
              <w:rPr>
                <w:rFonts w:cs="Arial"/>
                <w:szCs w:val="20"/>
              </w:rPr>
              <w:t xml:space="preserve"> / 12÷35</w:t>
            </w:r>
          </w:p>
        </w:tc>
      </w:tr>
      <w:tr w:rsidR="006336AC" w:rsidRPr="006431C4" w14:paraId="57D7A4C0" w14:textId="77777777" w:rsidTr="00303B15">
        <w:tc>
          <w:tcPr>
            <w:tcW w:w="495" w:type="dxa"/>
          </w:tcPr>
          <w:p w14:paraId="0690013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4</w:t>
            </w:r>
          </w:p>
        </w:tc>
        <w:tc>
          <w:tcPr>
            <w:tcW w:w="7189" w:type="dxa"/>
          </w:tcPr>
          <w:p w14:paraId="5D8B810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Ulice zbiorcze, strefy ruchu pieszego z ciężkim ruchem dostawczym, parkingi dla samochodów ciężarowych i autobusów oraz drogi przemysłowe</w:t>
            </w:r>
          </w:p>
        </w:tc>
        <w:tc>
          <w:tcPr>
            <w:tcW w:w="2977" w:type="dxa"/>
          </w:tcPr>
          <w:p w14:paraId="4BE1F8E1"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Lekko-średni</w:t>
            </w:r>
          </w:p>
          <w:p w14:paraId="3715BBF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R</w:t>
            </w:r>
            <w:r w:rsidRPr="006431C4">
              <w:rPr>
                <w:rFonts w:cs="Arial"/>
                <w:szCs w:val="20"/>
                <w:vertAlign w:val="subscript"/>
              </w:rPr>
              <w:t>3</w:t>
            </w:r>
            <w:r w:rsidRPr="006431C4">
              <w:rPr>
                <w:rFonts w:cs="Arial"/>
                <w:szCs w:val="20"/>
              </w:rPr>
              <w:t xml:space="preserve"> / 36÷100</w:t>
            </w:r>
          </w:p>
        </w:tc>
      </w:tr>
    </w:tbl>
    <w:p w14:paraId="06D84D4B"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3319ED2B"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04AC69EF"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 Konstrukcje nawierzchni</w:t>
      </w:r>
    </w:p>
    <w:p w14:paraId="6568AB1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Oznaczenia: a) warstwa ścieralna z drobnowymiarowych elementów betonowych innych niż    elementy sześciokątne, b) warstwa ścieralna z drobnowymiarowych elementów betonowych o kształcie sześciokątnym, c) warstwa ścieralna z drobnowymiarowych elementów betonowych może być układana bezpośrednio na warstwie mrozoodpornej odpowiedniej grubości</w:t>
      </w:r>
    </w:p>
    <w:p w14:paraId="7B78BD8A"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620C40B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0B1B370D"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bl>
      <w:tblPr>
        <w:tblW w:w="0" w:type="auto"/>
        <w:tblLook w:val="01E0" w:firstRow="1" w:lastRow="1" w:firstColumn="1" w:lastColumn="1" w:noHBand="0" w:noVBand="0"/>
      </w:tblPr>
      <w:tblGrid>
        <w:gridCol w:w="3730"/>
        <w:gridCol w:w="3857"/>
      </w:tblGrid>
      <w:tr w:rsidR="006336AC" w:rsidRPr="006431C4" w14:paraId="439CC3B9" w14:textId="77777777" w:rsidTr="00462D74">
        <w:trPr>
          <w:trHeight w:val="437"/>
        </w:trPr>
        <w:tc>
          <w:tcPr>
            <w:tcW w:w="3730" w:type="dxa"/>
          </w:tcPr>
          <w:p w14:paraId="2E1B924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2.1. Konstrukcja nawierzchni dla kategorii ruchu R</w:t>
            </w:r>
            <w:r w:rsidRPr="006431C4">
              <w:rPr>
                <w:rFonts w:cs="Arial"/>
                <w:szCs w:val="20"/>
                <w:vertAlign w:val="subscript"/>
              </w:rPr>
              <w:t>0</w:t>
            </w:r>
            <w:r w:rsidRPr="006431C4">
              <w:rPr>
                <w:rFonts w:cs="Arial"/>
                <w:szCs w:val="20"/>
              </w:rPr>
              <w:t xml:space="preserve"> – grubość warstwy w [cm]</w:t>
            </w:r>
          </w:p>
          <w:p w14:paraId="72C7ECEF"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3857" w:type="dxa"/>
          </w:tcPr>
          <w:p w14:paraId="7AD974A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2.2. Konstrukcja nawierzchni dla kategorii ruchu R</w:t>
            </w:r>
            <w:r w:rsidRPr="006431C4">
              <w:rPr>
                <w:rFonts w:cs="Arial"/>
                <w:szCs w:val="20"/>
                <w:vertAlign w:val="subscript"/>
              </w:rPr>
              <w:t>1</w:t>
            </w:r>
            <w:r w:rsidRPr="006431C4">
              <w:rPr>
                <w:rFonts w:cs="Arial"/>
                <w:szCs w:val="20"/>
              </w:rPr>
              <w:t xml:space="preserve"> – grubość warstwy w [cm]</w:t>
            </w:r>
          </w:p>
          <w:p w14:paraId="035DE166"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r>
      <w:tr w:rsidR="006336AC" w:rsidRPr="006431C4" w14:paraId="1C62C8C9" w14:textId="77777777" w:rsidTr="00462D74">
        <w:trPr>
          <w:trHeight w:val="2157"/>
        </w:trPr>
        <w:tc>
          <w:tcPr>
            <w:tcW w:w="3730" w:type="dxa"/>
          </w:tcPr>
          <w:p w14:paraId="700D567D"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4BEF2508" wp14:editId="306C7D86">
                  <wp:extent cx="2085975" cy="1200150"/>
                  <wp:effectExtent l="0" t="0" r="9525" b="0"/>
                  <wp:docPr id="81" name="Obraz 81" descr="rys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descr="rys21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085975" cy="1200150"/>
                          </a:xfrm>
                          <a:prstGeom prst="rect">
                            <a:avLst/>
                          </a:prstGeom>
                          <a:noFill/>
                          <a:ln>
                            <a:noFill/>
                          </a:ln>
                        </pic:spPr>
                      </pic:pic>
                    </a:graphicData>
                  </a:graphic>
                </wp:inline>
              </w:drawing>
            </w:r>
          </w:p>
          <w:p w14:paraId="4ABBE1C9"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3857" w:type="dxa"/>
          </w:tcPr>
          <w:p w14:paraId="24D1B6E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4D183A72" wp14:editId="35870D2B">
                  <wp:extent cx="2247900" cy="1323975"/>
                  <wp:effectExtent l="0" t="0" r="0" b="9525"/>
                  <wp:docPr id="80" name="Obraz 80" descr="rys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descr="rys22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247900" cy="1323975"/>
                          </a:xfrm>
                          <a:prstGeom prst="rect">
                            <a:avLst/>
                          </a:prstGeom>
                          <a:noFill/>
                          <a:ln>
                            <a:noFill/>
                          </a:ln>
                        </pic:spPr>
                      </pic:pic>
                    </a:graphicData>
                  </a:graphic>
                </wp:inline>
              </w:drawing>
            </w:r>
          </w:p>
        </w:tc>
      </w:tr>
      <w:tr w:rsidR="006336AC" w:rsidRPr="006431C4" w14:paraId="622E8A5D" w14:textId="77777777" w:rsidTr="00462D74">
        <w:trPr>
          <w:trHeight w:val="206"/>
        </w:trPr>
        <w:tc>
          <w:tcPr>
            <w:tcW w:w="3730" w:type="dxa"/>
          </w:tcPr>
          <w:p w14:paraId="14BD8D1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1910F7BA" wp14:editId="3AFC4A86">
                  <wp:extent cx="2162175" cy="1247775"/>
                  <wp:effectExtent l="0" t="0" r="9525" b="9525"/>
                  <wp:docPr id="79" name="Obraz 79" descr="rys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descr="rys21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162175" cy="1247775"/>
                          </a:xfrm>
                          <a:prstGeom prst="rect">
                            <a:avLst/>
                          </a:prstGeom>
                          <a:noFill/>
                          <a:ln>
                            <a:noFill/>
                          </a:ln>
                        </pic:spPr>
                      </pic:pic>
                    </a:graphicData>
                  </a:graphic>
                </wp:inline>
              </w:drawing>
            </w:r>
          </w:p>
          <w:p w14:paraId="46DA0BBC"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3857" w:type="dxa"/>
          </w:tcPr>
          <w:p w14:paraId="3601127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7BC3DA1B" wp14:editId="23933F70">
                  <wp:extent cx="2238375" cy="1276350"/>
                  <wp:effectExtent l="0" t="0" r="9525" b="0"/>
                  <wp:docPr id="78" name="Obraz 78" descr="rys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descr="rys22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238375" cy="1276350"/>
                          </a:xfrm>
                          <a:prstGeom prst="rect">
                            <a:avLst/>
                          </a:prstGeom>
                          <a:noFill/>
                          <a:ln>
                            <a:noFill/>
                          </a:ln>
                        </pic:spPr>
                      </pic:pic>
                    </a:graphicData>
                  </a:graphic>
                </wp:inline>
              </w:drawing>
            </w:r>
          </w:p>
        </w:tc>
      </w:tr>
      <w:tr w:rsidR="006336AC" w:rsidRPr="006431C4" w14:paraId="53F7EFC1" w14:textId="77777777" w:rsidTr="00462D74">
        <w:trPr>
          <w:trHeight w:val="2340"/>
        </w:trPr>
        <w:tc>
          <w:tcPr>
            <w:tcW w:w="3730" w:type="dxa"/>
          </w:tcPr>
          <w:p w14:paraId="2E7F0CE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62F56874" wp14:editId="7BB50FE4">
                  <wp:extent cx="2162175" cy="1276350"/>
                  <wp:effectExtent l="0" t="0" r="9525" b="0"/>
                  <wp:docPr id="77" name="Obraz 77" descr="rys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descr="rys21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162175" cy="1276350"/>
                          </a:xfrm>
                          <a:prstGeom prst="rect">
                            <a:avLst/>
                          </a:prstGeom>
                          <a:noFill/>
                          <a:ln>
                            <a:noFill/>
                          </a:ln>
                        </pic:spPr>
                      </pic:pic>
                    </a:graphicData>
                  </a:graphic>
                </wp:inline>
              </w:drawing>
            </w:r>
          </w:p>
          <w:p w14:paraId="5B1E7160"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3857" w:type="dxa"/>
          </w:tcPr>
          <w:p w14:paraId="39F054F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6C2F914A" wp14:editId="77E5C0A3">
                  <wp:extent cx="2266950" cy="1314450"/>
                  <wp:effectExtent l="0" t="0" r="0" b="0"/>
                  <wp:docPr id="76" name="Obraz 76" descr="rys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descr="rys22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266950" cy="1314450"/>
                          </a:xfrm>
                          <a:prstGeom prst="rect">
                            <a:avLst/>
                          </a:prstGeom>
                          <a:noFill/>
                          <a:ln>
                            <a:noFill/>
                          </a:ln>
                        </pic:spPr>
                      </pic:pic>
                    </a:graphicData>
                  </a:graphic>
                </wp:inline>
              </w:drawing>
            </w:r>
          </w:p>
        </w:tc>
      </w:tr>
      <w:tr w:rsidR="006336AC" w:rsidRPr="006431C4" w14:paraId="37C74F73" w14:textId="77777777" w:rsidTr="00462D74">
        <w:trPr>
          <w:trHeight w:val="2154"/>
        </w:trPr>
        <w:tc>
          <w:tcPr>
            <w:tcW w:w="3730" w:type="dxa"/>
          </w:tcPr>
          <w:p w14:paraId="69B5942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lastRenderedPageBreak/>
              <w:drawing>
                <wp:inline distT="0" distB="0" distL="0" distR="0" wp14:anchorId="441C17B0" wp14:editId="04C59920">
                  <wp:extent cx="2228850" cy="1314450"/>
                  <wp:effectExtent l="0" t="0" r="0" b="0"/>
                  <wp:docPr id="75" name="Obraz 75" descr="rys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descr="rys21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228850" cy="1314450"/>
                          </a:xfrm>
                          <a:prstGeom prst="rect">
                            <a:avLst/>
                          </a:prstGeom>
                          <a:noFill/>
                          <a:ln>
                            <a:noFill/>
                          </a:ln>
                        </pic:spPr>
                      </pic:pic>
                    </a:graphicData>
                  </a:graphic>
                </wp:inline>
              </w:drawing>
            </w:r>
          </w:p>
        </w:tc>
        <w:tc>
          <w:tcPr>
            <w:tcW w:w="3857" w:type="dxa"/>
          </w:tcPr>
          <w:p w14:paraId="7601A29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2B902077" wp14:editId="533A45C7">
                  <wp:extent cx="2286000" cy="1333500"/>
                  <wp:effectExtent l="0" t="0" r="0" b="0"/>
                  <wp:docPr id="74" name="Obraz 74" descr="rys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descr="rys224"/>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286000" cy="1333500"/>
                          </a:xfrm>
                          <a:prstGeom prst="rect">
                            <a:avLst/>
                          </a:prstGeom>
                          <a:noFill/>
                          <a:ln>
                            <a:noFill/>
                          </a:ln>
                        </pic:spPr>
                      </pic:pic>
                    </a:graphicData>
                  </a:graphic>
                </wp:inline>
              </w:drawing>
            </w:r>
          </w:p>
        </w:tc>
      </w:tr>
    </w:tbl>
    <w:p w14:paraId="743FCB76"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4E6D6228"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55B6EC6"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bl>
      <w:tblPr>
        <w:tblW w:w="7621" w:type="dxa"/>
        <w:tblLayout w:type="fixed"/>
        <w:tblLook w:val="01E0" w:firstRow="1" w:lastRow="1" w:firstColumn="1" w:lastColumn="1" w:noHBand="0" w:noVBand="0"/>
      </w:tblPr>
      <w:tblGrid>
        <w:gridCol w:w="3736"/>
        <w:gridCol w:w="3885"/>
      </w:tblGrid>
      <w:tr w:rsidR="006336AC" w:rsidRPr="006431C4" w14:paraId="53680F72" w14:textId="77777777" w:rsidTr="00462D74">
        <w:trPr>
          <w:trHeight w:val="682"/>
        </w:trPr>
        <w:tc>
          <w:tcPr>
            <w:tcW w:w="3736" w:type="dxa"/>
          </w:tcPr>
          <w:p w14:paraId="2FB57E6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2.3. Konstrukcja nawierzchni dla kategorii ruchu R</w:t>
            </w:r>
            <w:r w:rsidRPr="006431C4">
              <w:rPr>
                <w:rFonts w:cs="Arial"/>
                <w:szCs w:val="20"/>
                <w:vertAlign w:val="subscript"/>
              </w:rPr>
              <w:t>2</w:t>
            </w:r>
            <w:r w:rsidRPr="006431C4">
              <w:rPr>
                <w:rFonts w:cs="Arial"/>
                <w:szCs w:val="20"/>
              </w:rPr>
              <w:t xml:space="preserve"> – grubość warstwy w [cm]</w:t>
            </w:r>
          </w:p>
          <w:p w14:paraId="60BEA1B6"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c>
          <w:tcPr>
            <w:tcW w:w="3885" w:type="dxa"/>
          </w:tcPr>
          <w:p w14:paraId="0C4EA5B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2.4. Konstrukcja nawierzchni dla kategorii ruchu R</w:t>
            </w:r>
            <w:r w:rsidRPr="006431C4">
              <w:rPr>
                <w:rFonts w:cs="Arial"/>
                <w:szCs w:val="20"/>
                <w:vertAlign w:val="subscript"/>
              </w:rPr>
              <w:t xml:space="preserve">3 </w:t>
            </w:r>
            <w:r w:rsidRPr="006431C4">
              <w:rPr>
                <w:rFonts w:cs="Arial"/>
                <w:szCs w:val="20"/>
              </w:rPr>
              <w:t>– grubość warstwy w [cm]</w:t>
            </w:r>
          </w:p>
          <w:p w14:paraId="4038858C"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tc>
      </w:tr>
      <w:tr w:rsidR="006336AC" w:rsidRPr="006431C4" w14:paraId="77A9C3DF" w14:textId="77777777" w:rsidTr="00462D74">
        <w:trPr>
          <w:trHeight w:val="334"/>
        </w:trPr>
        <w:tc>
          <w:tcPr>
            <w:tcW w:w="3736" w:type="dxa"/>
          </w:tcPr>
          <w:p w14:paraId="5A255C1C"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7D93C73E" wp14:editId="294FA191">
                  <wp:extent cx="2152650" cy="1257300"/>
                  <wp:effectExtent l="0" t="0" r="0" b="0"/>
                  <wp:docPr id="73" name="Obraz 73" descr="rys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descr="rys23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152650" cy="1257300"/>
                          </a:xfrm>
                          <a:prstGeom prst="rect">
                            <a:avLst/>
                          </a:prstGeom>
                          <a:noFill/>
                          <a:ln>
                            <a:noFill/>
                          </a:ln>
                        </pic:spPr>
                      </pic:pic>
                    </a:graphicData>
                  </a:graphic>
                </wp:inline>
              </w:drawing>
            </w:r>
          </w:p>
        </w:tc>
        <w:tc>
          <w:tcPr>
            <w:tcW w:w="3885" w:type="dxa"/>
          </w:tcPr>
          <w:p w14:paraId="664B73E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6EF5FDE2" wp14:editId="6E19A881">
                  <wp:extent cx="2295525" cy="1085850"/>
                  <wp:effectExtent l="0" t="0" r="9525" b="0"/>
                  <wp:docPr id="72" name="Obraz 72" descr="rys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descr="rys24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295525" cy="1085850"/>
                          </a:xfrm>
                          <a:prstGeom prst="rect">
                            <a:avLst/>
                          </a:prstGeom>
                          <a:noFill/>
                          <a:ln>
                            <a:noFill/>
                          </a:ln>
                        </pic:spPr>
                      </pic:pic>
                    </a:graphicData>
                  </a:graphic>
                </wp:inline>
              </w:drawing>
            </w:r>
          </w:p>
        </w:tc>
      </w:tr>
      <w:tr w:rsidR="006336AC" w:rsidRPr="006431C4" w14:paraId="5E91F898" w14:textId="77777777" w:rsidTr="00462D74">
        <w:trPr>
          <w:trHeight w:val="206"/>
        </w:trPr>
        <w:tc>
          <w:tcPr>
            <w:tcW w:w="3736" w:type="dxa"/>
          </w:tcPr>
          <w:p w14:paraId="46CC3E3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69626229" wp14:editId="7E5C9E20">
                  <wp:extent cx="2152650" cy="1238250"/>
                  <wp:effectExtent l="0" t="0" r="0" b="0"/>
                  <wp:docPr id="71" name="Obraz 71" descr="rys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descr="rys232"/>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152650" cy="1238250"/>
                          </a:xfrm>
                          <a:prstGeom prst="rect">
                            <a:avLst/>
                          </a:prstGeom>
                          <a:noFill/>
                          <a:ln>
                            <a:noFill/>
                          </a:ln>
                        </pic:spPr>
                      </pic:pic>
                    </a:graphicData>
                  </a:graphic>
                </wp:inline>
              </w:drawing>
            </w:r>
          </w:p>
        </w:tc>
        <w:tc>
          <w:tcPr>
            <w:tcW w:w="3885" w:type="dxa"/>
          </w:tcPr>
          <w:p w14:paraId="247CB0A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422B2CA8" wp14:editId="0D5D0CC4">
                  <wp:extent cx="2305050" cy="1228725"/>
                  <wp:effectExtent l="0" t="0" r="0" b="9525"/>
                  <wp:docPr id="70" name="Obraz 70" descr="rys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descr="rys24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305050" cy="1228725"/>
                          </a:xfrm>
                          <a:prstGeom prst="rect">
                            <a:avLst/>
                          </a:prstGeom>
                          <a:noFill/>
                          <a:ln>
                            <a:noFill/>
                          </a:ln>
                        </pic:spPr>
                      </pic:pic>
                    </a:graphicData>
                  </a:graphic>
                </wp:inline>
              </w:drawing>
            </w:r>
          </w:p>
        </w:tc>
      </w:tr>
      <w:tr w:rsidR="006336AC" w:rsidRPr="006431C4" w14:paraId="718D7A9E" w14:textId="77777777" w:rsidTr="00462D74">
        <w:trPr>
          <w:trHeight w:val="193"/>
        </w:trPr>
        <w:tc>
          <w:tcPr>
            <w:tcW w:w="3736" w:type="dxa"/>
          </w:tcPr>
          <w:p w14:paraId="20FAB7B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45BF659D" wp14:editId="5AAA0A88">
                  <wp:extent cx="2152650" cy="1257300"/>
                  <wp:effectExtent l="0" t="0" r="0" b="0"/>
                  <wp:docPr id="69" name="Obraz 69" descr="rys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descr="rys233"/>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152650" cy="1257300"/>
                          </a:xfrm>
                          <a:prstGeom prst="rect">
                            <a:avLst/>
                          </a:prstGeom>
                          <a:noFill/>
                          <a:ln>
                            <a:noFill/>
                          </a:ln>
                        </pic:spPr>
                      </pic:pic>
                    </a:graphicData>
                  </a:graphic>
                </wp:inline>
              </w:drawing>
            </w:r>
          </w:p>
        </w:tc>
        <w:tc>
          <w:tcPr>
            <w:tcW w:w="3885" w:type="dxa"/>
          </w:tcPr>
          <w:p w14:paraId="4D66887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4862DCB8" wp14:editId="13BA6C78">
                  <wp:extent cx="2371725" cy="1152525"/>
                  <wp:effectExtent l="0" t="0" r="9525" b="9525"/>
                  <wp:docPr id="68" name="Obraz 68" descr="rys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descr="rys24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371725" cy="1152525"/>
                          </a:xfrm>
                          <a:prstGeom prst="rect">
                            <a:avLst/>
                          </a:prstGeom>
                          <a:noFill/>
                          <a:ln>
                            <a:noFill/>
                          </a:ln>
                        </pic:spPr>
                      </pic:pic>
                    </a:graphicData>
                  </a:graphic>
                </wp:inline>
              </w:drawing>
            </w:r>
          </w:p>
        </w:tc>
      </w:tr>
      <w:tr w:rsidR="006336AC" w:rsidRPr="006431C4" w14:paraId="05675752" w14:textId="77777777" w:rsidTr="00462D74">
        <w:trPr>
          <w:trHeight w:val="193"/>
        </w:trPr>
        <w:tc>
          <w:tcPr>
            <w:tcW w:w="3736" w:type="dxa"/>
          </w:tcPr>
          <w:p w14:paraId="5BA5ED3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71DFE11A" wp14:editId="34CB946A">
                  <wp:extent cx="2238375" cy="1266825"/>
                  <wp:effectExtent l="0" t="0" r="9525" b="9525"/>
                  <wp:docPr id="67" name="Obraz 67" descr="rys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descr="rys23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238375" cy="1266825"/>
                          </a:xfrm>
                          <a:prstGeom prst="rect">
                            <a:avLst/>
                          </a:prstGeom>
                          <a:noFill/>
                          <a:ln>
                            <a:noFill/>
                          </a:ln>
                        </pic:spPr>
                      </pic:pic>
                    </a:graphicData>
                  </a:graphic>
                </wp:inline>
              </w:drawing>
            </w:r>
          </w:p>
        </w:tc>
        <w:tc>
          <w:tcPr>
            <w:tcW w:w="3885" w:type="dxa"/>
          </w:tcPr>
          <w:p w14:paraId="078B487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010964A1" wp14:editId="606617DA">
                  <wp:extent cx="2371725" cy="1133475"/>
                  <wp:effectExtent l="0" t="0" r="9525" b="9525"/>
                  <wp:docPr id="66" name="Obraz 66" descr="rys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descr="rys24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371725" cy="1133475"/>
                          </a:xfrm>
                          <a:prstGeom prst="rect">
                            <a:avLst/>
                          </a:prstGeom>
                          <a:noFill/>
                          <a:ln>
                            <a:noFill/>
                          </a:ln>
                        </pic:spPr>
                      </pic:pic>
                    </a:graphicData>
                  </a:graphic>
                </wp:inline>
              </w:drawing>
            </w:r>
          </w:p>
        </w:tc>
      </w:tr>
    </w:tbl>
    <w:p w14:paraId="688D9BB6"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1B9B746E"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35CE553C"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r w:rsidRPr="006431C4">
        <w:rPr>
          <w:rFonts w:cs="Arial"/>
          <w:b/>
          <w:szCs w:val="20"/>
        </w:rPr>
        <w:t>ZAŁĄCZNIK 4</w:t>
      </w:r>
    </w:p>
    <w:p w14:paraId="47A8BE41"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p>
    <w:p w14:paraId="2F97AD3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Zalecone konstrukcje nawierzchni z betonowej kostki brukowej na drogach publicznych</w:t>
      </w:r>
    </w:p>
    <w:p w14:paraId="68DBE1A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(wg rozporządzenia Ministra Transportu i Gospodarki Morskiej z dnia 2 marca 1999 r.</w:t>
      </w:r>
      <w:r w:rsidRPr="006431C4">
        <w:rPr>
          <w:rFonts w:cs="Arial"/>
          <w:szCs w:val="20"/>
        </w:rPr>
        <w:br/>
        <w:t>w sprawie warunków technicznych, jakim powinny odpowiadać drogi publiczne i ich usytuowanie, Dz.U. Nr 43, poz. 430)</w:t>
      </w:r>
    </w:p>
    <w:p w14:paraId="566CADFD"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25BB973" w14:textId="77777777" w:rsidR="006336AC" w:rsidRPr="006431C4" w:rsidRDefault="006336AC" w:rsidP="00413F29">
      <w:pPr>
        <w:numPr>
          <w:ilvl w:val="0"/>
          <w:numId w:val="78"/>
        </w:numPr>
        <w:shd w:val="clear" w:color="auto" w:fill="FFFFFF" w:themeFill="background1"/>
        <w:tabs>
          <w:tab w:val="left" w:pos="142"/>
          <w:tab w:val="num" w:pos="284"/>
        </w:tabs>
        <w:spacing w:line="240" w:lineRule="auto"/>
        <w:ind w:left="0" w:firstLine="0"/>
        <w:jc w:val="both"/>
        <w:rPr>
          <w:rFonts w:cs="Arial"/>
          <w:szCs w:val="20"/>
        </w:rPr>
      </w:pPr>
      <w:r w:rsidRPr="006431C4">
        <w:rPr>
          <w:rFonts w:cs="Arial"/>
          <w:szCs w:val="20"/>
        </w:rPr>
        <w:t>Nawierzchnia w rejonie przystanku autobusowego (na podłożu G1 o module sprężystości (wtórnym) ≥ 120 MPa)</w:t>
      </w:r>
    </w:p>
    <w:p w14:paraId="33E631E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114CBC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1.1. Drogi o ruchu kategorii KR3 (71</w:t>
      </w:r>
      <w:r w:rsidRPr="006431C4">
        <w:rPr>
          <w:rFonts w:cs="Arial"/>
          <w:szCs w:val="20"/>
        </w:rPr>
        <w:sym w:font="Symbol" w:char="F0B8"/>
      </w:r>
      <w:r w:rsidRPr="006431C4">
        <w:rPr>
          <w:rFonts w:cs="Arial"/>
          <w:szCs w:val="20"/>
        </w:rPr>
        <w:t>335 osi obliczeniowych 100 kN/pas/dobę)</w:t>
      </w:r>
    </w:p>
    <w:p w14:paraId="35D9490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lastRenderedPageBreak/>
        <w:drawing>
          <wp:inline distT="0" distB="0" distL="0" distR="0" wp14:anchorId="47ADFC35" wp14:editId="78B165C7">
            <wp:extent cx="4667250" cy="1800225"/>
            <wp:effectExtent l="0" t="0" r="0" b="9525"/>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667250" cy="1800225"/>
                    </a:xfrm>
                    <a:prstGeom prst="rect">
                      <a:avLst/>
                    </a:prstGeom>
                    <a:noFill/>
                    <a:ln>
                      <a:noFill/>
                    </a:ln>
                  </pic:spPr>
                </pic:pic>
              </a:graphicData>
            </a:graphic>
          </wp:inline>
        </w:drawing>
      </w:r>
    </w:p>
    <w:p w14:paraId="6BD2BDC5"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0EC72BED"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09ECD23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1.2. Drogi o ruchu kategorii KR4 (336</w:t>
      </w:r>
      <w:r w:rsidRPr="006431C4">
        <w:rPr>
          <w:rFonts w:cs="Arial"/>
          <w:szCs w:val="20"/>
        </w:rPr>
        <w:sym w:font="Symbol" w:char="F0B8"/>
      </w:r>
      <w:r w:rsidRPr="006431C4">
        <w:rPr>
          <w:rFonts w:cs="Arial"/>
          <w:szCs w:val="20"/>
        </w:rPr>
        <w:t>1000 osi obliczeniowych 100 kN/pas/dobę)</w:t>
      </w:r>
    </w:p>
    <w:p w14:paraId="5D49DE9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489A6C0B" wp14:editId="672FB96F">
            <wp:extent cx="4695825" cy="2047875"/>
            <wp:effectExtent l="0" t="0" r="9525" b="9525"/>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695825" cy="2047875"/>
                    </a:xfrm>
                    <a:prstGeom prst="rect">
                      <a:avLst/>
                    </a:prstGeom>
                    <a:noFill/>
                    <a:ln>
                      <a:noFill/>
                    </a:ln>
                  </pic:spPr>
                </pic:pic>
              </a:graphicData>
            </a:graphic>
          </wp:inline>
        </w:drawing>
      </w:r>
    </w:p>
    <w:p w14:paraId="75EC8FA1"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0F4F18B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1.3. Drogi o ruchu kategorii KR5 (1001</w:t>
      </w:r>
      <w:r w:rsidRPr="006431C4">
        <w:rPr>
          <w:rFonts w:cs="Arial"/>
          <w:szCs w:val="20"/>
        </w:rPr>
        <w:sym w:font="Symbol" w:char="F0B8"/>
      </w:r>
      <w:r w:rsidRPr="006431C4">
        <w:rPr>
          <w:rFonts w:cs="Arial"/>
          <w:szCs w:val="20"/>
        </w:rPr>
        <w:t>2000 osi obliczeniowych 100 kN/pas/dobę)</w:t>
      </w:r>
    </w:p>
    <w:p w14:paraId="6873D67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2CE9D68E" wp14:editId="21D8C966">
            <wp:extent cx="4705350" cy="2057400"/>
            <wp:effectExtent l="0" t="0" r="0" b="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705350" cy="2057400"/>
                    </a:xfrm>
                    <a:prstGeom prst="rect">
                      <a:avLst/>
                    </a:prstGeom>
                    <a:noFill/>
                    <a:ln>
                      <a:noFill/>
                    </a:ln>
                  </pic:spPr>
                </pic:pic>
              </a:graphicData>
            </a:graphic>
          </wp:inline>
        </w:drawing>
      </w:r>
    </w:p>
    <w:p w14:paraId="3EF72643"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A83B76D"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1A20975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2.</w:t>
      </w:r>
      <w:r w:rsidRPr="006431C4">
        <w:rPr>
          <w:rFonts w:cs="Arial"/>
          <w:szCs w:val="20"/>
        </w:rPr>
        <w:tab/>
        <w:t xml:space="preserve">Nawierzchnia jezdni dróg klasy L (lokalnych) i D (dojazdowych) w strefie zamieszkania (na podłożu G1 o module sprężystości (wtórnym) </w:t>
      </w:r>
      <w:r w:rsidRPr="006431C4">
        <w:rPr>
          <w:rFonts w:cs="Arial"/>
          <w:szCs w:val="20"/>
        </w:rPr>
        <w:sym w:font="Symbol" w:char="F0B3"/>
      </w:r>
      <w:r w:rsidRPr="006431C4">
        <w:rPr>
          <w:rFonts w:cs="Arial"/>
          <w:szCs w:val="20"/>
        </w:rPr>
        <w:t xml:space="preserve"> 100 MPa)</w:t>
      </w:r>
    </w:p>
    <w:p w14:paraId="6F5A5D5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14B3104B" wp14:editId="3484D69A">
            <wp:extent cx="2276475" cy="1343025"/>
            <wp:effectExtent l="0" t="0" r="9525" b="9525"/>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276475" cy="1343025"/>
                    </a:xfrm>
                    <a:prstGeom prst="rect">
                      <a:avLst/>
                    </a:prstGeom>
                    <a:noFill/>
                    <a:ln>
                      <a:noFill/>
                    </a:ln>
                  </pic:spPr>
                </pic:pic>
              </a:graphicData>
            </a:graphic>
          </wp:inline>
        </w:drawing>
      </w:r>
    </w:p>
    <w:p w14:paraId="78BB94B0"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4F442C3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3.</w:t>
      </w:r>
      <w:r w:rsidRPr="006431C4">
        <w:rPr>
          <w:rFonts w:cs="Arial"/>
          <w:szCs w:val="20"/>
        </w:rPr>
        <w:tab/>
        <w:t>Nawierzchnia chodnika</w:t>
      </w:r>
    </w:p>
    <w:p w14:paraId="0561BCDD" w14:textId="77777777" w:rsidR="006336AC" w:rsidRPr="006431C4" w:rsidRDefault="006336AC" w:rsidP="00413F29">
      <w:pPr>
        <w:numPr>
          <w:ilvl w:val="0"/>
          <w:numId w:val="70"/>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z dopuszczeniem postoju samochodów o masie całkowitej </w:t>
      </w:r>
      <w:r w:rsidRPr="006431C4">
        <w:rPr>
          <w:rFonts w:cs="Arial"/>
          <w:szCs w:val="20"/>
        </w:rPr>
        <w:sym w:font="Symbol" w:char="F0A3"/>
      </w:r>
      <w:r w:rsidRPr="006431C4">
        <w:rPr>
          <w:rFonts w:cs="Arial"/>
          <w:szCs w:val="20"/>
        </w:rPr>
        <w:t xml:space="preserve"> </w:t>
      </w:r>
      <w:smartTag w:uri="urn:schemas-microsoft-com:office:smarttags" w:element="metricconverter">
        <w:smartTagPr>
          <w:attr w:name="ProductID" w:val="2500 kg"/>
        </w:smartTagPr>
        <w:r w:rsidRPr="006431C4">
          <w:rPr>
            <w:rFonts w:cs="Arial"/>
            <w:szCs w:val="20"/>
          </w:rPr>
          <w:t>2500 kg</w:t>
        </w:r>
      </w:smartTag>
      <w:r w:rsidRPr="006431C4">
        <w:rPr>
          <w:rFonts w:cs="Arial"/>
          <w:szCs w:val="20"/>
        </w:rPr>
        <w:t xml:space="preserve">, na podłożu G1 o module sprężystości (wtórnym) </w:t>
      </w:r>
      <w:r w:rsidRPr="006431C4">
        <w:rPr>
          <w:rFonts w:cs="Arial"/>
          <w:szCs w:val="20"/>
        </w:rPr>
        <w:sym w:font="Symbol" w:char="F0B3"/>
      </w:r>
      <w:r w:rsidRPr="006431C4">
        <w:rPr>
          <w:rFonts w:cs="Arial"/>
          <w:szCs w:val="20"/>
        </w:rPr>
        <w:t xml:space="preserve"> 80 MPa</w:t>
      </w:r>
    </w:p>
    <w:p w14:paraId="11970D34"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lastRenderedPageBreak/>
        <w:drawing>
          <wp:inline distT="0" distB="0" distL="0" distR="0" wp14:anchorId="6729A51D" wp14:editId="43B03B34">
            <wp:extent cx="2286000" cy="1219200"/>
            <wp:effectExtent l="0" t="0" r="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286000" cy="1219200"/>
                    </a:xfrm>
                    <a:prstGeom prst="rect">
                      <a:avLst/>
                    </a:prstGeom>
                    <a:noFill/>
                    <a:ln>
                      <a:noFill/>
                    </a:ln>
                  </pic:spPr>
                </pic:pic>
              </a:graphicData>
            </a:graphic>
          </wp:inline>
        </w:drawing>
      </w:r>
    </w:p>
    <w:p w14:paraId="6AE25017"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b) wyłącznie dla ruchu pieszych</w:t>
      </w:r>
    </w:p>
    <w:p w14:paraId="0727782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5ADC026B" wp14:editId="4555BC7B">
            <wp:extent cx="2476500" cy="847725"/>
            <wp:effectExtent l="0" t="0" r="0" b="9525"/>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476500" cy="847725"/>
                    </a:xfrm>
                    <a:prstGeom prst="rect">
                      <a:avLst/>
                    </a:prstGeom>
                    <a:noFill/>
                    <a:ln>
                      <a:noFill/>
                    </a:ln>
                  </pic:spPr>
                </pic:pic>
              </a:graphicData>
            </a:graphic>
          </wp:inline>
        </w:drawing>
      </w:r>
    </w:p>
    <w:p w14:paraId="1038EB9A"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72B32359"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D5FF43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4.  Nawierzchnia ścieżek rowerowych</w:t>
      </w:r>
    </w:p>
    <w:p w14:paraId="45287E3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052C8CF5" wp14:editId="1928576B">
            <wp:extent cx="2476500" cy="847725"/>
            <wp:effectExtent l="0" t="0" r="0" b="9525"/>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476500" cy="847725"/>
                    </a:xfrm>
                    <a:prstGeom prst="rect">
                      <a:avLst/>
                    </a:prstGeom>
                    <a:noFill/>
                    <a:ln>
                      <a:noFill/>
                    </a:ln>
                  </pic:spPr>
                </pic:pic>
              </a:graphicData>
            </a:graphic>
          </wp:inline>
        </w:drawing>
      </w:r>
    </w:p>
    <w:p w14:paraId="3D7F634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B100CA1"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11C1700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5. Nawierzchnia przeznaczona do postoju pojazdów i jezdni manewrowej (m.in. na parkingu)</w:t>
      </w:r>
    </w:p>
    <w:p w14:paraId="44F399D4"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061395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5.1.</w:t>
      </w:r>
      <w:r w:rsidRPr="006431C4">
        <w:rPr>
          <w:rFonts w:cs="Arial"/>
          <w:szCs w:val="20"/>
        </w:rPr>
        <w:tab/>
        <w:t xml:space="preserve">dla samochodów o masie całkowitej </w:t>
      </w:r>
      <w:r w:rsidRPr="006431C4">
        <w:rPr>
          <w:rFonts w:cs="Arial"/>
          <w:szCs w:val="20"/>
        </w:rPr>
        <w:sym w:font="Symbol" w:char="F0A3"/>
      </w:r>
      <w:r w:rsidRPr="006431C4">
        <w:rPr>
          <w:rFonts w:cs="Arial"/>
          <w:szCs w:val="20"/>
        </w:rPr>
        <w:t xml:space="preserve"> </w:t>
      </w:r>
      <w:smartTag w:uri="urn:schemas-microsoft-com:office:smarttags" w:element="metricconverter">
        <w:smartTagPr>
          <w:attr w:name="ProductID" w:val="2500 kg"/>
        </w:smartTagPr>
        <w:r w:rsidRPr="006431C4">
          <w:rPr>
            <w:rFonts w:cs="Arial"/>
            <w:szCs w:val="20"/>
          </w:rPr>
          <w:t>2500 kg</w:t>
        </w:r>
      </w:smartTag>
      <w:r w:rsidRPr="006431C4">
        <w:rPr>
          <w:rFonts w:cs="Arial"/>
          <w:szCs w:val="20"/>
        </w:rPr>
        <w:t xml:space="preserve">, na podłożu G1 o module sprężystości (wtórnym) </w:t>
      </w:r>
      <w:r w:rsidRPr="006431C4">
        <w:rPr>
          <w:rFonts w:cs="Arial"/>
          <w:szCs w:val="20"/>
        </w:rPr>
        <w:sym w:font="Symbol" w:char="F0B3"/>
      </w:r>
      <w:r w:rsidRPr="006431C4">
        <w:rPr>
          <w:rFonts w:cs="Arial"/>
          <w:szCs w:val="20"/>
        </w:rPr>
        <w:t xml:space="preserve"> 100 MPa</w:t>
      </w:r>
    </w:p>
    <w:p w14:paraId="3CE100CA"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3BAE5121" wp14:editId="296B2DBD">
            <wp:extent cx="2581275" cy="1476375"/>
            <wp:effectExtent l="0" t="0" r="9525" b="9525"/>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581275" cy="1476375"/>
                    </a:xfrm>
                    <a:prstGeom prst="rect">
                      <a:avLst/>
                    </a:prstGeom>
                    <a:noFill/>
                    <a:ln>
                      <a:noFill/>
                    </a:ln>
                  </pic:spPr>
                </pic:pic>
              </a:graphicData>
            </a:graphic>
          </wp:inline>
        </w:drawing>
      </w:r>
    </w:p>
    <w:p w14:paraId="1EE824D8"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5.2.</w:t>
      </w:r>
      <w:r w:rsidRPr="006431C4">
        <w:rPr>
          <w:rFonts w:cs="Arial"/>
          <w:szCs w:val="20"/>
        </w:rPr>
        <w:tab/>
        <w:t xml:space="preserve">dla samochodów ciężarowych na podłożu G1 o module sprężystości (wtórnym) </w:t>
      </w:r>
      <w:r w:rsidRPr="006431C4">
        <w:rPr>
          <w:rFonts w:cs="Arial"/>
          <w:szCs w:val="20"/>
        </w:rPr>
        <w:sym w:font="Symbol" w:char="F0B3"/>
      </w:r>
      <w:r w:rsidRPr="006431C4">
        <w:rPr>
          <w:rFonts w:cs="Arial"/>
          <w:szCs w:val="20"/>
        </w:rPr>
        <w:t> 120 MPa</w:t>
      </w:r>
    </w:p>
    <w:p w14:paraId="4ADA35A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0FC681D5" wp14:editId="4D6F7782">
            <wp:extent cx="4667250" cy="3028950"/>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667250" cy="3028950"/>
                    </a:xfrm>
                    <a:prstGeom prst="rect">
                      <a:avLst/>
                    </a:prstGeom>
                    <a:noFill/>
                    <a:ln>
                      <a:noFill/>
                    </a:ln>
                  </pic:spPr>
                </pic:pic>
              </a:graphicData>
            </a:graphic>
          </wp:inline>
        </w:drawing>
      </w:r>
    </w:p>
    <w:p w14:paraId="304A2B6E"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870DEEC"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0D24D3E9"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58E252C2"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7D8DB065"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b/>
          <w:szCs w:val="20"/>
        </w:rPr>
        <w:t>ZAŁĄCZNIK 5</w:t>
      </w:r>
    </w:p>
    <w:p w14:paraId="3FB4FD51" w14:textId="77777777" w:rsidR="006336AC" w:rsidRPr="006431C4" w:rsidRDefault="006336AC" w:rsidP="00D232E1">
      <w:pPr>
        <w:shd w:val="clear" w:color="auto" w:fill="FFFFFF" w:themeFill="background1"/>
        <w:tabs>
          <w:tab w:val="left" w:pos="142"/>
        </w:tabs>
        <w:spacing w:line="240" w:lineRule="auto"/>
        <w:jc w:val="both"/>
        <w:rPr>
          <w:rFonts w:cs="Arial"/>
          <w:b/>
          <w:szCs w:val="20"/>
        </w:rPr>
      </w:pPr>
    </w:p>
    <w:p w14:paraId="1D66D23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Przykłady deseni układania betonowych kostek brukowych (wg literatury podanej w zał. 1)</w:t>
      </w:r>
    </w:p>
    <w:p w14:paraId="0C9A330A"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12A4B192" w14:textId="77777777" w:rsidR="006336AC" w:rsidRPr="006431C4" w:rsidRDefault="006336AC" w:rsidP="00413F29">
      <w:pPr>
        <w:numPr>
          <w:ilvl w:val="0"/>
          <w:numId w:val="71"/>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  deseń w jodełkę</w:t>
      </w:r>
    </w:p>
    <w:p w14:paraId="533CE496"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484899BB" wp14:editId="243E7D2B">
            <wp:extent cx="4714875" cy="1609725"/>
            <wp:effectExtent l="0" t="0" r="9525" b="9525"/>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714875" cy="1609725"/>
                    </a:xfrm>
                    <a:prstGeom prst="rect">
                      <a:avLst/>
                    </a:prstGeom>
                    <a:noFill/>
                    <a:ln>
                      <a:noFill/>
                    </a:ln>
                  </pic:spPr>
                </pic:pic>
              </a:graphicData>
            </a:graphic>
          </wp:inline>
        </w:drawing>
      </w:r>
    </w:p>
    <w:p w14:paraId="621A3152"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21E30709"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1D919B7E"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0C54931F" wp14:editId="239CBE17">
            <wp:extent cx="1685925" cy="1457325"/>
            <wp:effectExtent l="0" t="0" r="9525" b="9525"/>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685925" cy="1457325"/>
                    </a:xfrm>
                    <a:prstGeom prst="rect">
                      <a:avLst/>
                    </a:prstGeom>
                    <a:noFill/>
                    <a:ln>
                      <a:noFill/>
                    </a:ln>
                  </pic:spPr>
                </pic:pic>
              </a:graphicData>
            </a:graphic>
          </wp:inline>
        </w:drawing>
      </w:r>
    </w:p>
    <w:p w14:paraId="76070597" w14:textId="77777777" w:rsidR="006336AC" w:rsidRPr="006431C4" w:rsidRDefault="006336AC" w:rsidP="00413F29">
      <w:pPr>
        <w:numPr>
          <w:ilvl w:val="0"/>
          <w:numId w:val="72"/>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 deseń w rzędy proste</w:t>
      </w:r>
      <w:r w:rsidRPr="006431C4">
        <w:rPr>
          <w:rFonts w:cs="Arial"/>
          <w:szCs w:val="20"/>
        </w:rPr>
        <w:tab/>
      </w:r>
    </w:p>
    <w:p w14:paraId="066E6360"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ab/>
      </w:r>
      <w:r w:rsidRPr="006431C4">
        <w:rPr>
          <w:rFonts w:cs="Arial"/>
          <w:szCs w:val="20"/>
        </w:rPr>
        <w:tab/>
      </w:r>
      <w:r w:rsidRPr="006431C4">
        <w:rPr>
          <w:rFonts w:cs="Arial"/>
          <w:szCs w:val="20"/>
        </w:rPr>
        <w:tab/>
      </w:r>
    </w:p>
    <w:p w14:paraId="53E7148B"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4F354A2D" wp14:editId="4A6B87AC">
            <wp:extent cx="1781175" cy="1581150"/>
            <wp:effectExtent l="0" t="0" r="9525"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781175" cy="1581150"/>
                    </a:xfrm>
                    <a:prstGeom prst="rect">
                      <a:avLst/>
                    </a:prstGeom>
                    <a:noFill/>
                    <a:ln>
                      <a:noFill/>
                    </a:ln>
                  </pic:spPr>
                </pic:pic>
              </a:graphicData>
            </a:graphic>
          </wp:inline>
        </w:drawing>
      </w:r>
    </w:p>
    <w:p w14:paraId="630BFAF3"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szCs w:val="20"/>
        </w:rPr>
        <w:t>c) deseń koszykowy</w:t>
      </w:r>
    </w:p>
    <w:p w14:paraId="5DA7300A" w14:textId="77777777" w:rsidR="006336AC" w:rsidRPr="006431C4" w:rsidRDefault="006336AC" w:rsidP="00D232E1">
      <w:pPr>
        <w:shd w:val="clear" w:color="auto" w:fill="FFFFFF" w:themeFill="background1"/>
        <w:tabs>
          <w:tab w:val="left" w:pos="142"/>
        </w:tabs>
        <w:spacing w:line="240" w:lineRule="auto"/>
        <w:jc w:val="both"/>
        <w:rPr>
          <w:rFonts w:cs="Arial"/>
          <w:szCs w:val="20"/>
        </w:rPr>
      </w:pPr>
    </w:p>
    <w:p w14:paraId="71EAE1D2"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1A40BDD5" wp14:editId="40BF60E2">
            <wp:extent cx="1752600" cy="1504950"/>
            <wp:effectExtent l="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752600" cy="1504950"/>
                    </a:xfrm>
                    <a:prstGeom prst="rect">
                      <a:avLst/>
                    </a:prstGeom>
                    <a:noFill/>
                    <a:ln>
                      <a:noFill/>
                    </a:ln>
                  </pic:spPr>
                </pic:pic>
              </a:graphicData>
            </a:graphic>
          </wp:inline>
        </w:drawing>
      </w:r>
    </w:p>
    <w:p w14:paraId="5AE62E99" w14:textId="77777777" w:rsidR="006336AC" w:rsidRPr="006431C4" w:rsidRDefault="006336AC" w:rsidP="00D232E1">
      <w:pPr>
        <w:shd w:val="clear" w:color="auto" w:fill="FFFFFF" w:themeFill="background1"/>
        <w:tabs>
          <w:tab w:val="left" w:pos="142"/>
        </w:tabs>
        <w:spacing w:line="240" w:lineRule="auto"/>
        <w:jc w:val="both"/>
        <w:rPr>
          <w:rFonts w:cs="Arial"/>
          <w:szCs w:val="20"/>
        </w:rPr>
      </w:pPr>
      <w:r w:rsidRPr="006431C4">
        <w:rPr>
          <w:rFonts w:cs="Arial"/>
          <w:noProof/>
          <w:szCs w:val="20"/>
        </w:rPr>
        <w:drawing>
          <wp:inline distT="0" distB="0" distL="0" distR="0" wp14:anchorId="08F4830A" wp14:editId="2753CE4E">
            <wp:extent cx="1752600" cy="1504950"/>
            <wp:effectExtent l="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752600" cy="1504950"/>
                    </a:xfrm>
                    <a:prstGeom prst="rect">
                      <a:avLst/>
                    </a:prstGeom>
                    <a:noFill/>
                    <a:ln>
                      <a:noFill/>
                    </a:ln>
                  </pic:spPr>
                </pic:pic>
              </a:graphicData>
            </a:graphic>
          </wp:inline>
        </w:drawing>
      </w:r>
    </w:p>
    <w:p w14:paraId="4B96806B" w14:textId="77777777" w:rsidR="006336AC" w:rsidRPr="006431C4" w:rsidRDefault="006336AC" w:rsidP="008C1F84">
      <w:pPr>
        <w:numPr>
          <w:ilvl w:val="0"/>
          <w:numId w:val="73"/>
        </w:numPr>
        <w:shd w:val="clear" w:color="auto" w:fill="FFFFFF" w:themeFill="background1"/>
        <w:tabs>
          <w:tab w:val="left" w:pos="142"/>
        </w:tabs>
        <w:spacing w:after="240" w:line="240" w:lineRule="auto"/>
        <w:ind w:left="0" w:firstLine="0"/>
        <w:jc w:val="both"/>
        <w:rPr>
          <w:rFonts w:cs="Arial"/>
          <w:szCs w:val="20"/>
        </w:rPr>
      </w:pPr>
      <w:r w:rsidRPr="006431C4">
        <w:rPr>
          <w:rFonts w:cs="Arial"/>
          <w:szCs w:val="20"/>
        </w:rPr>
        <w:lastRenderedPageBreak/>
        <w:t>wzory dekoracyjne</w:t>
      </w:r>
    </w:p>
    <w:p w14:paraId="21FD8F4E" w14:textId="4C2454BF" w:rsidR="008C3873" w:rsidRDefault="008C3873" w:rsidP="00D232E1">
      <w:pPr>
        <w:pStyle w:val="Nagwek4"/>
        <w:shd w:val="clear" w:color="auto" w:fill="FFFFFF" w:themeFill="background1"/>
        <w:tabs>
          <w:tab w:val="left" w:pos="142"/>
        </w:tabs>
        <w:spacing w:line="240" w:lineRule="auto"/>
        <w:jc w:val="both"/>
        <w:rPr>
          <w:rFonts w:cs="Arial"/>
          <w:szCs w:val="20"/>
        </w:rPr>
      </w:pPr>
      <w:bookmarkStart w:id="970" w:name="_Toc111635989"/>
      <w:bookmarkStart w:id="971" w:name="_Toc378752713"/>
      <w:bookmarkStart w:id="972" w:name="_Toc378752714"/>
      <w:r w:rsidRPr="006431C4">
        <w:rPr>
          <w:rFonts w:cs="Arial"/>
          <w:szCs w:val="20"/>
        </w:rPr>
        <w:t>D-0</w:t>
      </w:r>
      <w:r w:rsidR="000C01AA">
        <w:rPr>
          <w:rFonts w:cs="Arial"/>
          <w:szCs w:val="20"/>
        </w:rPr>
        <w:t>5</w:t>
      </w:r>
      <w:r w:rsidRPr="006431C4">
        <w:rPr>
          <w:rFonts w:cs="Arial"/>
          <w:szCs w:val="20"/>
        </w:rPr>
        <w:t>.0</w:t>
      </w:r>
      <w:r w:rsidR="000C01AA">
        <w:rPr>
          <w:rFonts w:cs="Arial"/>
          <w:szCs w:val="20"/>
        </w:rPr>
        <w:t>3</w:t>
      </w:r>
      <w:r w:rsidRPr="006431C4">
        <w:rPr>
          <w:rFonts w:cs="Arial"/>
          <w:szCs w:val="20"/>
        </w:rPr>
        <w:t>.</w:t>
      </w:r>
      <w:r w:rsidR="000C01AA">
        <w:rPr>
          <w:rFonts w:cs="Arial"/>
          <w:szCs w:val="20"/>
        </w:rPr>
        <w:t>26g</w:t>
      </w:r>
      <w:r w:rsidRPr="006431C4">
        <w:rPr>
          <w:rFonts w:cs="Arial"/>
          <w:szCs w:val="20"/>
        </w:rPr>
        <w:t xml:space="preserve"> </w:t>
      </w:r>
      <w:r w:rsidR="000C01AA">
        <w:rPr>
          <w:rFonts w:cs="Arial"/>
          <w:szCs w:val="20"/>
        </w:rPr>
        <w:t>–</w:t>
      </w:r>
      <w:r w:rsidRPr="006431C4">
        <w:rPr>
          <w:rFonts w:cs="Arial"/>
          <w:szCs w:val="20"/>
        </w:rPr>
        <w:t xml:space="preserve"> </w:t>
      </w:r>
      <w:r w:rsidR="000C01AA">
        <w:rPr>
          <w:rFonts w:cs="Arial"/>
          <w:szCs w:val="20"/>
        </w:rPr>
        <w:t>POŁĄCZENIE NOWEJ KONSTRUKCJI NAWIERZCHNI Z NAWIERZCHNIĄ ISTNIEJĄCĄ</w:t>
      </w:r>
      <w:bookmarkEnd w:id="970"/>
    </w:p>
    <w:p w14:paraId="31C8D771" w14:textId="77777777" w:rsidR="000C01AA" w:rsidRPr="000C01AA" w:rsidRDefault="000C01AA" w:rsidP="000C01AA">
      <w:pPr>
        <w:pStyle w:val="Nagwek1"/>
        <w:spacing w:line="240" w:lineRule="auto"/>
        <w:rPr>
          <w:rFonts w:cs="Arial"/>
          <w:szCs w:val="20"/>
        </w:rPr>
      </w:pPr>
      <w:bookmarkStart w:id="973" w:name="_Toc250368191"/>
      <w:r w:rsidRPr="000C01AA">
        <w:rPr>
          <w:rFonts w:cs="Arial"/>
          <w:szCs w:val="20"/>
        </w:rPr>
        <w:t>1. WSTĘP</w:t>
      </w:r>
      <w:bookmarkEnd w:id="973"/>
    </w:p>
    <w:p w14:paraId="00FDD6C8" w14:textId="43DC0B66" w:rsidR="000C01AA" w:rsidRPr="000C01AA" w:rsidRDefault="000C01AA" w:rsidP="000C01AA">
      <w:pPr>
        <w:pStyle w:val="Nagwek2"/>
        <w:spacing w:line="240" w:lineRule="auto"/>
        <w:rPr>
          <w:rFonts w:cs="Arial"/>
          <w:szCs w:val="20"/>
        </w:rPr>
      </w:pPr>
      <w:r w:rsidRPr="000C01AA">
        <w:rPr>
          <w:rFonts w:cs="Arial"/>
          <w:szCs w:val="20"/>
        </w:rPr>
        <w:t xml:space="preserve">1.1. Przedmiot </w:t>
      </w:r>
      <w:r>
        <w:rPr>
          <w:rFonts w:cs="Arial"/>
          <w:szCs w:val="20"/>
        </w:rPr>
        <w:t>S</w:t>
      </w:r>
      <w:r w:rsidRPr="000C01AA">
        <w:rPr>
          <w:rFonts w:cs="Arial"/>
          <w:szCs w:val="20"/>
        </w:rPr>
        <w:t>ST</w:t>
      </w:r>
    </w:p>
    <w:p w14:paraId="25256A22" w14:textId="125AE56B" w:rsidR="000C01AA" w:rsidRPr="000C01AA" w:rsidRDefault="000C01AA" w:rsidP="000C01AA">
      <w:pPr>
        <w:pStyle w:val="Standardowytekst"/>
        <w:rPr>
          <w:rFonts w:ascii="Arial" w:hAnsi="Arial" w:cs="Arial"/>
        </w:rPr>
      </w:pPr>
      <w:r w:rsidRPr="000C01AA">
        <w:rPr>
          <w:rFonts w:ascii="Arial" w:hAnsi="Arial" w:cs="Arial"/>
        </w:rPr>
        <w:tab/>
        <w:t xml:space="preserve">Przedmiotem niniejszej </w:t>
      </w:r>
      <w:r>
        <w:rPr>
          <w:rFonts w:ascii="Arial" w:hAnsi="Arial" w:cs="Arial"/>
        </w:rPr>
        <w:t>szczegółowe</w:t>
      </w:r>
      <w:r w:rsidRPr="000C01AA">
        <w:rPr>
          <w:rFonts w:ascii="Arial" w:hAnsi="Arial" w:cs="Arial"/>
        </w:rPr>
        <w:t>j specyfikacji technicznej (</w:t>
      </w:r>
      <w:r>
        <w:rPr>
          <w:rFonts w:ascii="Arial" w:hAnsi="Arial" w:cs="Arial"/>
        </w:rPr>
        <w:t>S</w:t>
      </w:r>
      <w:r w:rsidRPr="000C01AA">
        <w:rPr>
          <w:rFonts w:ascii="Arial" w:hAnsi="Arial" w:cs="Arial"/>
        </w:rPr>
        <w:t>ST) są wymagania dotyczące wykonania i odbioru robót związanych z połączeniem nowej konstrukcji nawierzchni z nawierzchnią istniejącą.</w:t>
      </w:r>
    </w:p>
    <w:p w14:paraId="27656C07" w14:textId="1EE7C534" w:rsidR="000C01AA" w:rsidRPr="000C01AA" w:rsidRDefault="000C01AA" w:rsidP="000C01AA">
      <w:pPr>
        <w:pStyle w:val="Nagwek2"/>
        <w:spacing w:line="240" w:lineRule="auto"/>
        <w:rPr>
          <w:rFonts w:cs="Arial"/>
          <w:szCs w:val="20"/>
        </w:rPr>
      </w:pPr>
      <w:r w:rsidRPr="000C01AA">
        <w:rPr>
          <w:rFonts w:cs="Arial"/>
          <w:szCs w:val="20"/>
        </w:rPr>
        <w:t xml:space="preserve">1.2. Zakres stosowania </w:t>
      </w:r>
      <w:r>
        <w:rPr>
          <w:rFonts w:cs="Arial"/>
          <w:szCs w:val="20"/>
        </w:rPr>
        <w:t>S</w:t>
      </w:r>
      <w:r w:rsidRPr="000C01AA">
        <w:rPr>
          <w:rFonts w:cs="Arial"/>
          <w:szCs w:val="20"/>
        </w:rPr>
        <w:t>ST</w:t>
      </w:r>
    </w:p>
    <w:p w14:paraId="6205BFBF" w14:textId="77777777" w:rsidR="000C01AA" w:rsidRPr="006431C4" w:rsidRDefault="000C01AA" w:rsidP="000C01AA">
      <w:pPr>
        <w:shd w:val="clear" w:color="auto" w:fill="FFFFFF" w:themeFill="background1"/>
        <w:tabs>
          <w:tab w:val="left" w:pos="142"/>
        </w:tabs>
        <w:spacing w:line="240" w:lineRule="auto"/>
        <w:jc w:val="both"/>
        <w:rPr>
          <w:rFonts w:cs="Arial"/>
          <w:szCs w:val="20"/>
        </w:rPr>
      </w:pPr>
      <w:r w:rsidRPr="000C01AA">
        <w:rPr>
          <w:rFonts w:cs="Arial"/>
          <w:szCs w:val="20"/>
        </w:rPr>
        <w:tab/>
      </w: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2033252475"/>
        <w:placeholder>
          <w:docPart w:val="82B41CA2DBA84E53A688AC7ABEC16448"/>
        </w:placeholder>
        <w:dataBinding w:prefixMappings="xmlns:ns0='http://purl.org/dc/elements/1.1/' xmlns:ns1='http://schemas.openxmlformats.org/package/2006/metadata/core-properties' " w:xpath="/ns1:coreProperties[1]/ns0:subject[1]" w:storeItemID="{6C3C8BC8-F283-45AE-878A-BAB7291924A1}"/>
        <w:text/>
      </w:sdtPr>
      <w:sdtEndPr/>
      <w:sdtContent>
        <w:p w14:paraId="1199EE36" w14:textId="77777777" w:rsidR="000C01AA" w:rsidRPr="006431C4" w:rsidRDefault="000C01AA" w:rsidP="000C01AA">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5E921A69" w14:textId="46CB1C57" w:rsidR="000C01AA" w:rsidRPr="000C01AA" w:rsidRDefault="000C01AA" w:rsidP="000C01AA">
      <w:pPr>
        <w:pStyle w:val="Standardowytekst"/>
        <w:rPr>
          <w:rFonts w:ascii="Arial" w:hAnsi="Arial" w:cs="Arial"/>
        </w:rPr>
      </w:pPr>
      <w:r w:rsidRPr="000C01AA">
        <w:rPr>
          <w:rFonts w:ascii="Arial" w:hAnsi="Arial" w:cs="Arial"/>
        </w:rPr>
        <w:t xml:space="preserve">1.3. Zakres robót objętych </w:t>
      </w:r>
      <w:r>
        <w:rPr>
          <w:rFonts w:ascii="Arial" w:hAnsi="Arial" w:cs="Arial"/>
        </w:rPr>
        <w:t>S</w:t>
      </w:r>
      <w:r w:rsidRPr="000C01AA">
        <w:rPr>
          <w:rFonts w:ascii="Arial" w:hAnsi="Arial" w:cs="Arial"/>
        </w:rPr>
        <w:t>ST</w:t>
      </w:r>
    </w:p>
    <w:p w14:paraId="260C20B6" w14:textId="77777777" w:rsidR="000C01AA" w:rsidRPr="000C01AA" w:rsidRDefault="000C01AA" w:rsidP="000C01AA">
      <w:pPr>
        <w:spacing w:line="240" w:lineRule="auto"/>
        <w:rPr>
          <w:rFonts w:cs="Arial"/>
          <w:szCs w:val="20"/>
        </w:rPr>
      </w:pPr>
      <w:r w:rsidRPr="000C01AA">
        <w:rPr>
          <w:rFonts w:cs="Arial"/>
          <w:szCs w:val="20"/>
        </w:rPr>
        <w:tab/>
        <w:t>Ustalenia zawarte w niniejszej specyfikacji dotyczą zasad prowadzenia robót związanych z wykonaniem i odbiorem połączenia nowej konstrukcji nawierzchni, zawierającej asfaltową warstwę ścieralną i wiążącą z istniejącą nawierzchnią asfaltową na dowolnej podbudowie.</w:t>
      </w:r>
    </w:p>
    <w:p w14:paraId="3A4FB58B" w14:textId="77777777" w:rsidR="000C01AA" w:rsidRPr="000C01AA" w:rsidRDefault="000C01AA" w:rsidP="000C01AA">
      <w:pPr>
        <w:spacing w:line="240" w:lineRule="auto"/>
        <w:rPr>
          <w:rFonts w:cs="Arial"/>
          <w:szCs w:val="20"/>
        </w:rPr>
      </w:pPr>
      <w:r w:rsidRPr="000C01AA">
        <w:rPr>
          <w:rFonts w:cs="Arial"/>
          <w:szCs w:val="20"/>
        </w:rPr>
        <w:tab/>
        <w:t xml:space="preserve">Połączenie polega na rozbiórce starej nawierzchni z wykonaniem schodkowania jej krawędzi, skropieniu warstwy wiążącej emulsją asfaltową i ułożeniu </w:t>
      </w:r>
      <w:proofErr w:type="spellStart"/>
      <w:r w:rsidRPr="000C01AA">
        <w:rPr>
          <w:rFonts w:cs="Arial"/>
          <w:szCs w:val="20"/>
        </w:rPr>
        <w:t>geokompozytu</w:t>
      </w:r>
      <w:proofErr w:type="spellEnd"/>
      <w:r w:rsidRPr="000C01AA">
        <w:rPr>
          <w:rFonts w:cs="Arial"/>
          <w:szCs w:val="20"/>
        </w:rPr>
        <w:t>, a następnie przykryciu go nową asfaltową warstwą ścieralną.</w:t>
      </w:r>
    </w:p>
    <w:p w14:paraId="1EF45DA8" w14:textId="77777777" w:rsidR="000C01AA" w:rsidRPr="000C01AA" w:rsidRDefault="000C01AA" w:rsidP="000C01AA">
      <w:pPr>
        <w:spacing w:line="240" w:lineRule="auto"/>
        <w:rPr>
          <w:rFonts w:cs="Arial"/>
          <w:szCs w:val="20"/>
        </w:rPr>
      </w:pPr>
      <w:r w:rsidRPr="000C01AA">
        <w:rPr>
          <w:rFonts w:cs="Arial"/>
          <w:szCs w:val="20"/>
        </w:rPr>
        <w:tab/>
        <w:t>Wykonanie połączenia ma zapobiec (lub co najmniej opóźnić) wystąpieniu na powierzchni jezdni poprzecznego pęknięcia, odbitego od spoiny na krawędzi połączenia.</w:t>
      </w:r>
    </w:p>
    <w:p w14:paraId="1FB9A670" w14:textId="77777777" w:rsidR="000C01AA" w:rsidRPr="000C01AA" w:rsidRDefault="000C01AA" w:rsidP="000C01AA">
      <w:pPr>
        <w:pStyle w:val="Nagwek2"/>
        <w:spacing w:line="240" w:lineRule="auto"/>
        <w:rPr>
          <w:rFonts w:cs="Arial"/>
          <w:szCs w:val="20"/>
        </w:rPr>
      </w:pPr>
      <w:r w:rsidRPr="000C01AA">
        <w:rPr>
          <w:rFonts w:cs="Arial"/>
          <w:szCs w:val="20"/>
        </w:rPr>
        <w:t>1.4. Określenia podstawowe</w:t>
      </w:r>
    </w:p>
    <w:p w14:paraId="3032D734" w14:textId="77777777" w:rsidR="000C01AA" w:rsidRPr="000C01AA" w:rsidRDefault="000C01AA" w:rsidP="000C01AA">
      <w:pPr>
        <w:spacing w:after="120" w:line="240" w:lineRule="auto"/>
        <w:rPr>
          <w:rFonts w:cs="Arial"/>
          <w:szCs w:val="20"/>
        </w:rPr>
      </w:pPr>
      <w:r w:rsidRPr="000C01AA">
        <w:rPr>
          <w:rFonts w:cs="Arial"/>
          <w:b/>
          <w:szCs w:val="20"/>
        </w:rPr>
        <w:t xml:space="preserve">1.4.1. </w:t>
      </w:r>
      <w:r w:rsidRPr="000C01AA">
        <w:rPr>
          <w:rFonts w:cs="Arial"/>
          <w:szCs w:val="20"/>
        </w:rPr>
        <w:t>Nawierzchnia – konstrukcja składająca się z kilku warstw, służących do przejmowania i rozkładania na podłoże obciążeń od ruchu pojazdów.</w:t>
      </w:r>
    </w:p>
    <w:p w14:paraId="2976A86E" w14:textId="77777777" w:rsidR="000C01AA" w:rsidRPr="000C01AA" w:rsidRDefault="000C01AA" w:rsidP="000C01AA">
      <w:pPr>
        <w:spacing w:after="120" w:line="240" w:lineRule="auto"/>
        <w:rPr>
          <w:rFonts w:cs="Arial"/>
          <w:szCs w:val="20"/>
        </w:rPr>
      </w:pPr>
      <w:r w:rsidRPr="000C01AA">
        <w:rPr>
          <w:rFonts w:cs="Arial"/>
          <w:b/>
          <w:szCs w:val="20"/>
        </w:rPr>
        <w:t xml:space="preserve">1.4.2. </w:t>
      </w:r>
      <w:r w:rsidRPr="000C01AA">
        <w:rPr>
          <w:rFonts w:cs="Arial"/>
          <w:szCs w:val="20"/>
        </w:rPr>
        <w:t>Warstwa nawierzchni – element konstrukcji nawierzchni zbudowany z jednego materiału.</w:t>
      </w:r>
    </w:p>
    <w:p w14:paraId="482842D3" w14:textId="77777777" w:rsidR="000C01AA" w:rsidRPr="000C01AA" w:rsidRDefault="000C01AA" w:rsidP="000C01AA">
      <w:pPr>
        <w:spacing w:after="120" w:line="240" w:lineRule="auto"/>
        <w:rPr>
          <w:rFonts w:cs="Arial"/>
          <w:szCs w:val="20"/>
        </w:rPr>
      </w:pPr>
      <w:r w:rsidRPr="000C01AA">
        <w:rPr>
          <w:rFonts w:cs="Arial"/>
          <w:b/>
          <w:szCs w:val="20"/>
        </w:rPr>
        <w:t xml:space="preserve">1.4.3. </w:t>
      </w:r>
      <w:r w:rsidRPr="000C01AA">
        <w:rPr>
          <w:rFonts w:cs="Arial"/>
          <w:szCs w:val="20"/>
        </w:rPr>
        <w:t>Warstwa ścieralna – górna warstwa nawierzchni będąca w bezpośrednim kontakcie z kołami pojazdów.</w:t>
      </w:r>
    </w:p>
    <w:p w14:paraId="4B9881B4" w14:textId="77777777" w:rsidR="000C01AA" w:rsidRPr="000C01AA" w:rsidRDefault="000C01AA" w:rsidP="000C01AA">
      <w:pPr>
        <w:spacing w:after="120" w:line="240" w:lineRule="auto"/>
        <w:rPr>
          <w:rFonts w:cs="Arial"/>
          <w:szCs w:val="20"/>
        </w:rPr>
      </w:pPr>
      <w:r w:rsidRPr="000C01AA">
        <w:rPr>
          <w:rFonts w:cs="Arial"/>
          <w:b/>
          <w:szCs w:val="20"/>
        </w:rPr>
        <w:t xml:space="preserve">1.4.4. </w:t>
      </w:r>
      <w:r w:rsidRPr="000C01AA">
        <w:rPr>
          <w:rFonts w:cs="Arial"/>
          <w:szCs w:val="20"/>
        </w:rPr>
        <w:t>Warstwa wiążąca – warstwa nawierzchni między warstwą ścieralną a podbudową.</w:t>
      </w:r>
    </w:p>
    <w:p w14:paraId="34B4A331" w14:textId="77777777" w:rsidR="000C01AA" w:rsidRPr="000C01AA" w:rsidRDefault="000C01AA" w:rsidP="000C01AA">
      <w:pPr>
        <w:spacing w:after="120" w:line="240" w:lineRule="auto"/>
        <w:rPr>
          <w:rFonts w:cs="Arial"/>
          <w:szCs w:val="20"/>
        </w:rPr>
      </w:pPr>
      <w:r w:rsidRPr="000C01AA">
        <w:rPr>
          <w:rFonts w:cs="Arial"/>
          <w:b/>
          <w:szCs w:val="20"/>
        </w:rPr>
        <w:t xml:space="preserve">1.4.5. </w:t>
      </w:r>
      <w:r w:rsidRPr="000C01AA">
        <w:rPr>
          <w:rFonts w:cs="Arial"/>
          <w:szCs w:val="20"/>
        </w:rPr>
        <w:t>Podbudowa – główny element konstrukcyjny nawierzchni, ułożony w jednej lub kilku warstwach.</w:t>
      </w:r>
    </w:p>
    <w:p w14:paraId="10E56F9D" w14:textId="77777777" w:rsidR="000C01AA" w:rsidRPr="000C01AA" w:rsidRDefault="000C01AA" w:rsidP="000C01AA">
      <w:pPr>
        <w:spacing w:after="120" w:line="240" w:lineRule="auto"/>
        <w:rPr>
          <w:rFonts w:cs="Arial"/>
          <w:szCs w:val="20"/>
        </w:rPr>
      </w:pPr>
      <w:r w:rsidRPr="000C01AA">
        <w:rPr>
          <w:rFonts w:cs="Arial"/>
          <w:b/>
          <w:szCs w:val="20"/>
        </w:rPr>
        <w:t xml:space="preserve">1.4.6. </w:t>
      </w:r>
      <w:r w:rsidRPr="000C01AA">
        <w:rPr>
          <w:rFonts w:cs="Arial"/>
          <w:szCs w:val="20"/>
        </w:rPr>
        <w:t>Połączenie nowej i starej nawierzchni – sposób konstrukcji, łączący nową nawierzchnię z nawierzchnią istniejącą, mający na celu zagwarantowanie tej samej nośności (trwałości zmęczeniowej) obu części i zapobiegający wystąpieniu na powierzchni jezdni poprzecznego pęknięcia.</w:t>
      </w:r>
    </w:p>
    <w:p w14:paraId="4CF78139" w14:textId="77777777" w:rsidR="000C01AA" w:rsidRPr="000C01AA" w:rsidRDefault="000C01AA" w:rsidP="000C01AA">
      <w:pPr>
        <w:spacing w:after="120" w:line="240" w:lineRule="auto"/>
        <w:rPr>
          <w:rFonts w:cs="Arial"/>
          <w:szCs w:val="20"/>
        </w:rPr>
      </w:pPr>
      <w:r w:rsidRPr="000C01AA">
        <w:rPr>
          <w:rFonts w:cs="Arial"/>
          <w:b/>
          <w:szCs w:val="20"/>
        </w:rPr>
        <w:t xml:space="preserve">1.4.7. </w:t>
      </w:r>
      <w:r w:rsidRPr="000C01AA">
        <w:rPr>
          <w:rFonts w:cs="Arial"/>
          <w:szCs w:val="20"/>
        </w:rPr>
        <w:t xml:space="preserve">Kategoria ruchu – obciążenie drogi ruchem samochodowym, wyrażone w osiach obliczeniowych (100 kN) wg „Katalogu typowych konstrukcji nawierzchni podatnych i półsztywnych”, GDDP – </w:t>
      </w:r>
      <w:proofErr w:type="spellStart"/>
      <w:r w:rsidRPr="000C01AA">
        <w:rPr>
          <w:rFonts w:cs="Arial"/>
          <w:szCs w:val="20"/>
        </w:rPr>
        <w:t>IBDiM</w:t>
      </w:r>
      <w:proofErr w:type="spellEnd"/>
      <w:r w:rsidRPr="000C01AA">
        <w:rPr>
          <w:rFonts w:cs="Arial"/>
          <w:szCs w:val="20"/>
        </w:rPr>
        <w:t>, Warszawa 1997.</w:t>
      </w:r>
    </w:p>
    <w:p w14:paraId="4E254178" w14:textId="77777777" w:rsidR="000C01AA" w:rsidRPr="000C01AA" w:rsidRDefault="000C01AA" w:rsidP="000C01AA">
      <w:pPr>
        <w:spacing w:after="120" w:line="240" w:lineRule="auto"/>
        <w:rPr>
          <w:rFonts w:cs="Arial"/>
          <w:szCs w:val="20"/>
        </w:rPr>
      </w:pPr>
      <w:r w:rsidRPr="000C01AA">
        <w:rPr>
          <w:rFonts w:cs="Arial"/>
          <w:b/>
          <w:szCs w:val="20"/>
        </w:rPr>
        <w:t xml:space="preserve">1.4.8. </w:t>
      </w:r>
      <w:r w:rsidRPr="000C01AA">
        <w:rPr>
          <w:rFonts w:cs="Arial"/>
          <w:szCs w:val="20"/>
        </w:rPr>
        <w:t>Emulsja asfaltowa – emulsja, w której fazą zdyspergowaną jest asfalt, a fazą ciągłą jest woda lub roztwór wodny, o ile nie ustalono inaczej.</w:t>
      </w:r>
    </w:p>
    <w:p w14:paraId="064D89AA" w14:textId="77777777" w:rsidR="000C01AA" w:rsidRPr="000C01AA" w:rsidRDefault="000C01AA" w:rsidP="000C01AA">
      <w:pPr>
        <w:spacing w:after="120" w:line="240" w:lineRule="auto"/>
        <w:rPr>
          <w:rFonts w:cs="Arial"/>
          <w:szCs w:val="20"/>
        </w:rPr>
      </w:pPr>
      <w:r w:rsidRPr="000C01AA">
        <w:rPr>
          <w:rFonts w:cs="Arial"/>
          <w:b/>
          <w:szCs w:val="20"/>
        </w:rPr>
        <w:t xml:space="preserve">1.4.9. </w:t>
      </w:r>
      <w:proofErr w:type="spellStart"/>
      <w:r w:rsidRPr="000C01AA">
        <w:rPr>
          <w:rFonts w:cs="Arial"/>
          <w:szCs w:val="20"/>
        </w:rPr>
        <w:t>Geokompozyt</w:t>
      </w:r>
      <w:proofErr w:type="spellEnd"/>
      <w:r w:rsidRPr="000C01AA">
        <w:rPr>
          <w:rFonts w:cs="Arial"/>
          <w:szCs w:val="20"/>
        </w:rPr>
        <w:t xml:space="preserve"> – </w:t>
      </w:r>
      <w:proofErr w:type="spellStart"/>
      <w:r w:rsidRPr="000C01AA">
        <w:rPr>
          <w:rFonts w:cs="Arial"/>
          <w:szCs w:val="20"/>
        </w:rPr>
        <w:t>geosyntetyk</w:t>
      </w:r>
      <w:proofErr w:type="spellEnd"/>
      <w:r w:rsidRPr="000C01AA">
        <w:rPr>
          <w:rFonts w:cs="Arial"/>
          <w:szCs w:val="20"/>
        </w:rPr>
        <w:t>, składający się z siatki z włókien mineralnych połączonej z geowłókniną z włókien syntetycznych.</w:t>
      </w:r>
    </w:p>
    <w:p w14:paraId="67A6F5E7" w14:textId="77777777" w:rsidR="000C01AA" w:rsidRPr="000C01AA" w:rsidRDefault="000C01AA" w:rsidP="000C01AA">
      <w:pPr>
        <w:spacing w:line="240" w:lineRule="auto"/>
        <w:rPr>
          <w:rFonts w:cs="Arial"/>
          <w:szCs w:val="20"/>
        </w:rPr>
      </w:pPr>
      <w:r w:rsidRPr="000C01AA">
        <w:rPr>
          <w:rFonts w:cs="Arial"/>
          <w:b/>
          <w:szCs w:val="20"/>
        </w:rPr>
        <w:t xml:space="preserve">1.4.10. </w:t>
      </w:r>
      <w:r w:rsidRPr="000C01AA">
        <w:rPr>
          <w:rFonts w:cs="Arial"/>
          <w:szCs w:val="20"/>
        </w:rPr>
        <w:t>Pozostałe określenia podstawowe są zgodne z obowiązującymi, odpowiednimi polskimi normami i z definicjami podanymi w OST D-M-00.00.00 „Wymagania ogólne” [1] pkt 1.4.</w:t>
      </w:r>
    </w:p>
    <w:p w14:paraId="0B349323" w14:textId="77777777" w:rsidR="000C01AA" w:rsidRPr="000C01AA" w:rsidRDefault="000C01AA" w:rsidP="000C01AA">
      <w:pPr>
        <w:pStyle w:val="Nagwek2"/>
        <w:spacing w:line="240" w:lineRule="auto"/>
        <w:rPr>
          <w:rFonts w:cs="Arial"/>
          <w:szCs w:val="20"/>
        </w:rPr>
      </w:pPr>
      <w:r w:rsidRPr="000C01AA">
        <w:rPr>
          <w:rFonts w:cs="Arial"/>
          <w:szCs w:val="20"/>
        </w:rPr>
        <w:t>1.5. Ogólne wymagania dotyczące robót</w:t>
      </w:r>
    </w:p>
    <w:p w14:paraId="7AFD4E9F" w14:textId="2CA32DD4" w:rsidR="000C01AA" w:rsidRPr="000C01AA" w:rsidRDefault="000C01AA" w:rsidP="000C01AA">
      <w:pPr>
        <w:spacing w:line="240" w:lineRule="auto"/>
        <w:rPr>
          <w:rFonts w:cs="Arial"/>
          <w:szCs w:val="20"/>
        </w:rPr>
      </w:pPr>
      <w:r w:rsidRPr="000C01AA">
        <w:rPr>
          <w:rFonts w:cs="Arial"/>
          <w:b/>
          <w:szCs w:val="20"/>
        </w:rPr>
        <w:tab/>
      </w:r>
      <w:r w:rsidRPr="000C01AA">
        <w:rPr>
          <w:rFonts w:cs="Arial"/>
          <w:szCs w:val="20"/>
        </w:rPr>
        <w:t xml:space="preserve">Ogólne wymagania dotyczące robót podano w </w:t>
      </w:r>
      <w:r>
        <w:rPr>
          <w:rFonts w:cs="Arial"/>
          <w:szCs w:val="20"/>
        </w:rPr>
        <w:t>S</w:t>
      </w:r>
      <w:r w:rsidRPr="000C01AA">
        <w:rPr>
          <w:rFonts w:cs="Arial"/>
          <w:szCs w:val="20"/>
        </w:rPr>
        <w:t>ST D-M-00.00.00 „Wymagania ogólne” [1] pkt 1.5.</w:t>
      </w:r>
    </w:p>
    <w:p w14:paraId="62BE30B5" w14:textId="77777777" w:rsidR="000C01AA" w:rsidRPr="000C01AA" w:rsidRDefault="000C01AA" w:rsidP="000C01AA">
      <w:pPr>
        <w:pStyle w:val="Nagwek1"/>
        <w:spacing w:line="240" w:lineRule="auto"/>
        <w:rPr>
          <w:rFonts w:cs="Arial"/>
          <w:szCs w:val="20"/>
        </w:rPr>
      </w:pPr>
      <w:bookmarkStart w:id="974" w:name="_Toc250368192"/>
      <w:r w:rsidRPr="000C01AA">
        <w:rPr>
          <w:rFonts w:cs="Arial"/>
          <w:szCs w:val="20"/>
        </w:rPr>
        <w:t>2. MATERIAŁY</w:t>
      </w:r>
      <w:bookmarkEnd w:id="974"/>
    </w:p>
    <w:p w14:paraId="355F6ED7" w14:textId="77777777" w:rsidR="000C01AA" w:rsidRPr="000C01AA" w:rsidRDefault="000C01AA" w:rsidP="000C01AA">
      <w:pPr>
        <w:pStyle w:val="Nagwek2"/>
        <w:spacing w:line="240" w:lineRule="auto"/>
        <w:rPr>
          <w:rFonts w:cs="Arial"/>
          <w:szCs w:val="20"/>
        </w:rPr>
      </w:pPr>
      <w:r w:rsidRPr="000C01AA">
        <w:rPr>
          <w:rFonts w:cs="Arial"/>
          <w:szCs w:val="20"/>
        </w:rPr>
        <w:t>2.1. Ogólne wymagania dotyczące materiałów</w:t>
      </w:r>
    </w:p>
    <w:p w14:paraId="292BF4D7" w14:textId="6B2C79AB" w:rsidR="000C01AA" w:rsidRPr="000C01AA" w:rsidRDefault="000C01AA" w:rsidP="000C01AA">
      <w:pPr>
        <w:spacing w:line="240" w:lineRule="auto"/>
        <w:rPr>
          <w:rFonts w:cs="Arial"/>
          <w:szCs w:val="20"/>
        </w:rPr>
      </w:pPr>
      <w:r w:rsidRPr="000C01AA">
        <w:rPr>
          <w:rFonts w:cs="Arial"/>
          <w:b/>
          <w:szCs w:val="20"/>
        </w:rPr>
        <w:tab/>
      </w:r>
      <w:r w:rsidRPr="000C01AA">
        <w:rPr>
          <w:rFonts w:cs="Arial"/>
          <w:szCs w:val="20"/>
        </w:rPr>
        <w:t xml:space="preserve">Ogólne wymagania dotyczące materiałów, ich pozyskiwania i składowania, podano w </w:t>
      </w:r>
      <w:r>
        <w:rPr>
          <w:rFonts w:cs="Arial"/>
          <w:szCs w:val="20"/>
        </w:rPr>
        <w:t>S</w:t>
      </w:r>
      <w:r w:rsidRPr="000C01AA">
        <w:rPr>
          <w:rFonts w:cs="Arial"/>
          <w:szCs w:val="20"/>
        </w:rPr>
        <w:t>ST D-M-00.00.00 „Wymagania ogólne” [1] pkt 2.</w:t>
      </w:r>
    </w:p>
    <w:p w14:paraId="165CA191" w14:textId="77777777" w:rsidR="000C01AA" w:rsidRPr="000C01AA" w:rsidRDefault="000C01AA" w:rsidP="000C01AA">
      <w:pPr>
        <w:pStyle w:val="Nagwek2"/>
        <w:spacing w:line="240" w:lineRule="auto"/>
        <w:rPr>
          <w:rFonts w:cs="Arial"/>
          <w:szCs w:val="20"/>
        </w:rPr>
      </w:pPr>
      <w:r w:rsidRPr="000C01AA">
        <w:rPr>
          <w:rFonts w:cs="Arial"/>
          <w:szCs w:val="20"/>
        </w:rPr>
        <w:t>2.2. Materiały do wykonania robót</w:t>
      </w:r>
    </w:p>
    <w:p w14:paraId="7AAEF9C2" w14:textId="77777777" w:rsidR="000C01AA" w:rsidRPr="000C01AA" w:rsidRDefault="000C01AA" w:rsidP="000C01AA">
      <w:pPr>
        <w:spacing w:after="120" w:line="240" w:lineRule="auto"/>
        <w:rPr>
          <w:rFonts w:cs="Arial"/>
          <w:szCs w:val="20"/>
        </w:rPr>
      </w:pPr>
      <w:r w:rsidRPr="000C01AA">
        <w:rPr>
          <w:rFonts w:cs="Arial"/>
          <w:b/>
          <w:szCs w:val="20"/>
        </w:rPr>
        <w:t xml:space="preserve">2.2.1. </w:t>
      </w:r>
      <w:r w:rsidRPr="000C01AA">
        <w:rPr>
          <w:rFonts w:cs="Arial"/>
          <w:szCs w:val="20"/>
        </w:rPr>
        <w:t xml:space="preserve"> Zgodność materiałów z dokumentacją projektową </w:t>
      </w:r>
    </w:p>
    <w:p w14:paraId="25B08FA0" w14:textId="77777777" w:rsidR="000C01AA" w:rsidRPr="000C01AA" w:rsidRDefault="000C01AA" w:rsidP="000C01AA">
      <w:pPr>
        <w:spacing w:after="120" w:line="240" w:lineRule="auto"/>
        <w:rPr>
          <w:rFonts w:cs="Arial"/>
          <w:szCs w:val="20"/>
        </w:rPr>
      </w:pPr>
      <w:r w:rsidRPr="000C01AA">
        <w:rPr>
          <w:rFonts w:cs="Arial"/>
          <w:szCs w:val="20"/>
        </w:rPr>
        <w:tab/>
        <w:t>Materiały do wykonania robót powinny być zgodne z ustaleniami dokumentacji projektowej lub ST.</w:t>
      </w:r>
    </w:p>
    <w:p w14:paraId="0182A241" w14:textId="77777777" w:rsidR="000C01AA" w:rsidRPr="000C01AA" w:rsidRDefault="000C01AA" w:rsidP="000C01AA">
      <w:pPr>
        <w:spacing w:line="240" w:lineRule="auto"/>
        <w:rPr>
          <w:rFonts w:cs="Arial"/>
          <w:szCs w:val="20"/>
        </w:rPr>
      </w:pPr>
      <w:r w:rsidRPr="000C01AA">
        <w:rPr>
          <w:rFonts w:cs="Arial"/>
          <w:b/>
          <w:szCs w:val="20"/>
        </w:rPr>
        <w:t xml:space="preserve">2.2.2. </w:t>
      </w:r>
      <w:r w:rsidRPr="000C01AA">
        <w:rPr>
          <w:rFonts w:cs="Arial"/>
          <w:szCs w:val="20"/>
        </w:rPr>
        <w:t>Materiały do wykonania robót</w:t>
      </w:r>
    </w:p>
    <w:p w14:paraId="0B9742C7" w14:textId="77777777" w:rsidR="000C01AA" w:rsidRPr="000C01AA" w:rsidRDefault="000C01AA" w:rsidP="000C01AA">
      <w:pPr>
        <w:spacing w:before="120" w:line="240" w:lineRule="auto"/>
        <w:rPr>
          <w:rFonts w:cs="Arial"/>
          <w:szCs w:val="20"/>
        </w:rPr>
      </w:pPr>
      <w:r w:rsidRPr="000C01AA">
        <w:rPr>
          <w:rFonts w:cs="Arial"/>
          <w:szCs w:val="20"/>
        </w:rPr>
        <w:tab/>
        <w:t xml:space="preserve">Do wykonania robót należy użyć: </w:t>
      </w:r>
    </w:p>
    <w:p w14:paraId="44E97162" w14:textId="77777777" w:rsidR="000C01AA" w:rsidRPr="000C01AA" w:rsidRDefault="000C01AA" w:rsidP="00CF1E7D">
      <w:pPr>
        <w:numPr>
          <w:ilvl w:val="0"/>
          <w:numId w:val="279"/>
        </w:numPr>
        <w:overflowPunct w:val="0"/>
        <w:autoSpaceDE w:val="0"/>
        <w:autoSpaceDN w:val="0"/>
        <w:adjustRightInd w:val="0"/>
        <w:spacing w:line="240" w:lineRule="auto"/>
        <w:jc w:val="both"/>
        <w:textAlignment w:val="baseline"/>
        <w:rPr>
          <w:rFonts w:cs="Arial"/>
          <w:szCs w:val="20"/>
        </w:rPr>
      </w:pPr>
      <w:proofErr w:type="spellStart"/>
      <w:r w:rsidRPr="000C01AA">
        <w:rPr>
          <w:rFonts w:cs="Arial"/>
          <w:szCs w:val="20"/>
        </w:rPr>
        <w:t>geokompozyt</w:t>
      </w:r>
      <w:proofErr w:type="spellEnd"/>
      <w:r w:rsidRPr="000C01AA">
        <w:rPr>
          <w:rFonts w:cs="Arial"/>
          <w:szCs w:val="20"/>
        </w:rPr>
        <w:t>, wzmacniający nawierzchnię na linii styku starej i nowej nawierzchni,</w:t>
      </w:r>
    </w:p>
    <w:p w14:paraId="4AAF9E92" w14:textId="77777777" w:rsidR="000C01AA" w:rsidRPr="000C01AA" w:rsidRDefault="000C01AA" w:rsidP="00CF1E7D">
      <w:pPr>
        <w:numPr>
          <w:ilvl w:val="0"/>
          <w:numId w:val="279"/>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emulsję asfaltową do złączenia </w:t>
      </w:r>
      <w:proofErr w:type="spellStart"/>
      <w:r w:rsidRPr="000C01AA">
        <w:rPr>
          <w:rFonts w:cs="Arial"/>
          <w:szCs w:val="20"/>
        </w:rPr>
        <w:t>geokompozytu</w:t>
      </w:r>
      <w:proofErr w:type="spellEnd"/>
      <w:r w:rsidRPr="000C01AA">
        <w:rPr>
          <w:rFonts w:cs="Arial"/>
          <w:szCs w:val="20"/>
        </w:rPr>
        <w:t xml:space="preserve"> z nawierzchnią.</w:t>
      </w:r>
    </w:p>
    <w:p w14:paraId="4E6320A7" w14:textId="77777777" w:rsidR="000C01AA" w:rsidRPr="000C01AA" w:rsidRDefault="000C01AA" w:rsidP="000C01AA">
      <w:pPr>
        <w:spacing w:line="240" w:lineRule="auto"/>
        <w:ind w:firstLine="709"/>
        <w:rPr>
          <w:rFonts w:cs="Arial"/>
          <w:szCs w:val="20"/>
        </w:rPr>
      </w:pPr>
      <w:r w:rsidRPr="000C01AA">
        <w:rPr>
          <w:rFonts w:cs="Arial"/>
          <w:szCs w:val="20"/>
        </w:rPr>
        <w:t>Ponadto przy konstruowaniu połączenia nowej i starej nawierzchni występują materiały, z których zbudowana będzie nowa nawierzchnia.</w:t>
      </w:r>
    </w:p>
    <w:p w14:paraId="4BE889CC" w14:textId="77777777" w:rsidR="000C01AA" w:rsidRPr="000C01AA" w:rsidRDefault="000C01AA" w:rsidP="000C01AA">
      <w:pPr>
        <w:spacing w:before="120" w:line="240" w:lineRule="auto"/>
        <w:rPr>
          <w:rFonts w:cs="Arial"/>
          <w:szCs w:val="20"/>
        </w:rPr>
      </w:pPr>
      <w:r w:rsidRPr="000C01AA">
        <w:rPr>
          <w:rFonts w:cs="Arial"/>
          <w:b/>
          <w:szCs w:val="20"/>
        </w:rPr>
        <w:t xml:space="preserve">2.2.3. </w:t>
      </w:r>
      <w:proofErr w:type="spellStart"/>
      <w:r w:rsidRPr="000C01AA">
        <w:rPr>
          <w:rFonts w:cs="Arial"/>
          <w:szCs w:val="20"/>
        </w:rPr>
        <w:t>Geokompozyt</w:t>
      </w:r>
      <w:proofErr w:type="spellEnd"/>
    </w:p>
    <w:p w14:paraId="32FB3CDD" w14:textId="77777777" w:rsidR="000C01AA" w:rsidRPr="000C01AA" w:rsidRDefault="000C01AA" w:rsidP="000C01AA">
      <w:pPr>
        <w:spacing w:before="120" w:line="240" w:lineRule="auto"/>
        <w:rPr>
          <w:rFonts w:cs="Arial"/>
          <w:szCs w:val="20"/>
        </w:rPr>
      </w:pPr>
      <w:r w:rsidRPr="000C01AA">
        <w:rPr>
          <w:rFonts w:cs="Arial"/>
          <w:szCs w:val="20"/>
        </w:rPr>
        <w:tab/>
        <w:t xml:space="preserve">Jeśli dokumentacja projektowa nie ustala inaczej, pod linią styku starej i nowej nawierzchni można zastosować </w:t>
      </w:r>
      <w:proofErr w:type="spellStart"/>
      <w:r w:rsidRPr="000C01AA">
        <w:rPr>
          <w:rFonts w:cs="Arial"/>
          <w:szCs w:val="20"/>
        </w:rPr>
        <w:t>geokompozyt</w:t>
      </w:r>
      <w:proofErr w:type="spellEnd"/>
      <w:r w:rsidRPr="000C01AA">
        <w:rPr>
          <w:rFonts w:cs="Arial"/>
          <w:szCs w:val="20"/>
        </w:rPr>
        <w:t xml:space="preserve">, stanowiący połączenie siatki z włókien mineralnych (np. poliestrowych, szklanych) z geowłókniną wytworzoną z włókien syntetycznych (polipropylenowych, polietylenowych lub poliestrowych) ciągłych wzmacnianych </w:t>
      </w:r>
      <w:r w:rsidRPr="000C01AA">
        <w:rPr>
          <w:rFonts w:cs="Arial"/>
          <w:szCs w:val="20"/>
        </w:rPr>
        <w:lastRenderedPageBreak/>
        <w:t xml:space="preserve">mechanicznie poprzez igłowanie, stabilizowanych przeciw promieniowaniu UV. </w:t>
      </w:r>
      <w:proofErr w:type="spellStart"/>
      <w:r w:rsidRPr="000C01AA">
        <w:rPr>
          <w:rFonts w:cs="Arial"/>
          <w:szCs w:val="20"/>
        </w:rPr>
        <w:t>Geokompozyt</w:t>
      </w:r>
      <w:proofErr w:type="spellEnd"/>
      <w:r w:rsidRPr="000C01AA">
        <w:rPr>
          <w:rFonts w:cs="Arial"/>
          <w:szCs w:val="20"/>
        </w:rPr>
        <w:t xml:space="preserve"> musi mieć deklarowane przez producenta przeznaczenie do wzmacniania nawierzchni asfaltowych i opóźniania powstawania spękań w nawierzchni.</w:t>
      </w:r>
    </w:p>
    <w:p w14:paraId="6B5AB762" w14:textId="77777777" w:rsidR="000C01AA" w:rsidRPr="000C01AA" w:rsidRDefault="000C01AA" w:rsidP="000C01AA">
      <w:pPr>
        <w:spacing w:line="240" w:lineRule="auto"/>
        <w:rPr>
          <w:rFonts w:cs="Arial"/>
          <w:szCs w:val="20"/>
        </w:rPr>
      </w:pPr>
      <w:r w:rsidRPr="000C01AA">
        <w:rPr>
          <w:rFonts w:cs="Arial"/>
          <w:szCs w:val="20"/>
        </w:rPr>
        <w:tab/>
        <w:t xml:space="preserve">Wytrzymałość na rozciąganie </w:t>
      </w:r>
      <w:proofErr w:type="spellStart"/>
      <w:r w:rsidRPr="000C01AA">
        <w:rPr>
          <w:rFonts w:cs="Arial"/>
          <w:szCs w:val="20"/>
        </w:rPr>
        <w:t>geokompozytu</w:t>
      </w:r>
      <w:proofErr w:type="spellEnd"/>
      <w:r w:rsidRPr="000C01AA">
        <w:rPr>
          <w:rFonts w:cs="Arial"/>
          <w:szCs w:val="20"/>
        </w:rPr>
        <w:t xml:space="preserve"> powinna wynosić:</w:t>
      </w:r>
    </w:p>
    <w:p w14:paraId="123A2749" w14:textId="77777777" w:rsidR="000C01AA" w:rsidRPr="000C01AA" w:rsidRDefault="000C01AA" w:rsidP="00CF1E7D">
      <w:pPr>
        <w:numPr>
          <w:ilvl w:val="0"/>
          <w:numId w:val="280"/>
        </w:numPr>
        <w:overflowPunct w:val="0"/>
        <w:autoSpaceDE w:val="0"/>
        <w:autoSpaceDN w:val="0"/>
        <w:adjustRightInd w:val="0"/>
        <w:spacing w:line="240" w:lineRule="auto"/>
        <w:jc w:val="both"/>
        <w:textAlignment w:val="baseline"/>
        <w:rPr>
          <w:rFonts w:cs="Arial"/>
          <w:szCs w:val="20"/>
        </w:rPr>
      </w:pPr>
      <w:r w:rsidRPr="000C01AA">
        <w:rPr>
          <w:rFonts w:cs="Arial"/>
          <w:szCs w:val="20"/>
        </w:rPr>
        <w:t>dla dróg o kategorii ruchu KR1 do KR4</w:t>
      </w:r>
      <w:r w:rsidRPr="000C01AA">
        <w:rPr>
          <w:rFonts w:cs="Arial"/>
          <w:szCs w:val="20"/>
        </w:rPr>
        <w:tab/>
        <w:t>≥ 70 kN/m,</w:t>
      </w:r>
    </w:p>
    <w:p w14:paraId="5C01D896" w14:textId="77777777" w:rsidR="000C01AA" w:rsidRPr="000C01AA" w:rsidRDefault="000C01AA" w:rsidP="00CF1E7D">
      <w:pPr>
        <w:numPr>
          <w:ilvl w:val="0"/>
          <w:numId w:val="280"/>
        </w:numPr>
        <w:overflowPunct w:val="0"/>
        <w:autoSpaceDE w:val="0"/>
        <w:autoSpaceDN w:val="0"/>
        <w:adjustRightInd w:val="0"/>
        <w:spacing w:line="240" w:lineRule="auto"/>
        <w:jc w:val="both"/>
        <w:textAlignment w:val="baseline"/>
        <w:rPr>
          <w:rFonts w:cs="Arial"/>
          <w:szCs w:val="20"/>
        </w:rPr>
      </w:pPr>
      <w:r w:rsidRPr="000C01AA">
        <w:rPr>
          <w:rFonts w:cs="Arial"/>
          <w:szCs w:val="20"/>
        </w:rPr>
        <w:t>dla dróg o kategorii ruchu KR5 do KR6</w:t>
      </w:r>
      <w:r w:rsidRPr="000C01AA">
        <w:rPr>
          <w:rFonts w:cs="Arial"/>
          <w:szCs w:val="20"/>
        </w:rPr>
        <w:tab/>
        <w:t>≥ 100 kN/m.</w:t>
      </w:r>
    </w:p>
    <w:p w14:paraId="4DDECDC1" w14:textId="77777777" w:rsidR="000C01AA" w:rsidRPr="000C01AA" w:rsidRDefault="000C01AA" w:rsidP="000C01AA">
      <w:pPr>
        <w:spacing w:line="240" w:lineRule="auto"/>
        <w:ind w:left="709"/>
        <w:rPr>
          <w:rFonts w:cs="Arial"/>
          <w:szCs w:val="20"/>
        </w:rPr>
      </w:pPr>
      <w:r w:rsidRPr="000C01AA">
        <w:rPr>
          <w:rFonts w:cs="Arial"/>
          <w:szCs w:val="20"/>
        </w:rPr>
        <w:t>Wydłużenie przy zerwaniu wzdłuż pasma powinno wynosić ≤ 3%.</w:t>
      </w:r>
    </w:p>
    <w:p w14:paraId="77884817" w14:textId="77777777" w:rsidR="000C01AA" w:rsidRPr="000C01AA" w:rsidRDefault="000C01AA" w:rsidP="000C01AA">
      <w:pPr>
        <w:spacing w:line="240" w:lineRule="auto"/>
        <w:ind w:firstLine="709"/>
        <w:rPr>
          <w:rFonts w:cs="Arial"/>
          <w:szCs w:val="20"/>
        </w:rPr>
      </w:pPr>
      <w:r w:rsidRPr="000C01AA">
        <w:rPr>
          <w:rFonts w:cs="Arial"/>
          <w:szCs w:val="20"/>
        </w:rPr>
        <w:t xml:space="preserve">Temperatura mięknienia </w:t>
      </w:r>
      <w:proofErr w:type="spellStart"/>
      <w:r w:rsidRPr="000C01AA">
        <w:rPr>
          <w:rFonts w:cs="Arial"/>
          <w:szCs w:val="20"/>
        </w:rPr>
        <w:t>geokompozytu</w:t>
      </w:r>
      <w:proofErr w:type="spellEnd"/>
      <w:r w:rsidRPr="000C01AA">
        <w:rPr>
          <w:rFonts w:cs="Arial"/>
          <w:szCs w:val="20"/>
        </w:rPr>
        <w:t xml:space="preserve"> powinna być niższa od temperatury układania warstwy ścieralnej.</w:t>
      </w:r>
    </w:p>
    <w:p w14:paraId="42429889" w14:textId="77777777" w:rsidR="000C01AA" w:rsidRPr="000C01AA" w:rsidRDefault="000C01AA" w:rsidP="000C01AA">
      <w:pPr>
        <w:spacing w:line="240" w:lineRule="auto"/>
        <w:ind w:firstLine="709"/>
        <w:rPr>
          <w:rFonts w:cs="Arial"/>
          <w:szCs w:val="20"/>
        </w:rPr>
      </w:pPr>
      <w:r w:rsidRPr="000C01AA">
        <w:rPr>
          <w:rFonts w:cs="Arial"/>
          <w:szCs w:val="20"/>
        </w:rPr>
        <w:t xml:space="preserve">Długość </w:t>
      </w:r>
      <w:proofErr w:type="spellStart"/>
      <w:r w:rsidRPr="000C01AA">
        <w:rPr>
          <w:rFonts w:cs="Arial"/>
          <w:szCs w:val="20"/>
        </w:rPr>
        <w:t>geokompozytu</w:t>
      </w:r>
      <w:proofErr w:type="spellEnd"/>
      <w:r w:rsidRPr="000C01AA">
        <w:rPr>
          <w:rFonts w:cs="Arial"/>
          <w:szCs w:val="20"/>
        </w:rPr>
        <w:t xml:space="preserve"> powinna być równa szerokości nawierzchni. Jeżeli dokumentacja projektowa nie podaje inaczej, szerokość </w:t>
      </w:r>
      <w:proofErr w:type="spellStart"/>
      <w:r w:rsidRPr="000C01AA">
        <w:rPr>
          <w:rFonts w:cs="Arial"/>
          <w:szCs w:val="20"/>
        </w:rPr>
        <w:t>geokompozytu</w:t>
      </w:r>
      <w:proofErr w:type="spellEnd"/>
      <w:r w:rsidRPr="000C01AA">
        <w:rPr>
          <w:rFonts w:cs="Arial"/>
          <w:szCs w:val="20"/>
        </w:rPr>
        <w:t xml:space="preserve"> powinna wynosić po </w:t>
      </w:r>
      <w:smartTag w:uri="urn:schemas-microsoft-com:office:smarttags" w:element="metricconverter">
        <w:smartTagPr>
          <w:attr w:name="ProductID" w:val="1,0 m"/>
        </w:smartTagPr>
        <w:r w:rsidRPr="000C01AA">
          <w:rPr>
            <w:rFonts w:cs="Arial"/>
            <w:szCs w:val="20"/>
          </w:rPr>
          <w:t>1,0 m</w:t>
        </w:r>
      </w:smartTag>
      <w:r w:rsidRPr="000C01AA">
        <w:rPr>
          <w:rFonts w:cs="Arial"/>
          <w:szCs w:val="20"/>
        </w:rPr>
        <w:t xml:space="preserve"> z każdej strony spoiny w warstwie wiążącej.</w:t>
      </w:r>
    </w:p>
    <w:p w14:paraId="0FE2951E" w14:textId="77777777" w:rsidR="000C01AA" w:rsidRPr="000C01AA" w:rsidRDefault="000C01AA" w:rsidP="000C01AA">
      <w:pPr>
        <w:spacing w:before="120" w:after="120" w:line="240" w:lineRule="auto"/>
        <w:rPr>
          <w:rFonts w:cs="Arial"/>
          <w:szCs w:val="20"/>
        </w:rPr>
      </w:pPr>
      <w:r w:rsidRPr="000C01AA">
        <w:rPr>
          <w:rFonts w:cs="Arial"/>
          <w:b/>
          <w:szCs w:val="20"/>
        </w:rPr>
        <w:t xml:space="preserve">2.2.4. </w:t>
      </w:r>
      <w:r w:rsidRPr="000C01AA">
        <w:rPr>
          <w:rFonts w:cs="Arial"/>
          <w:szCs w:val="20"/>
        </w:rPr>
        <w:t>Emulsja asfaltowa</w:t>
      </w:r>
    </w:p>
    <w:p w14:paraId="027F4F1B" w14:textId="77777777" w:rsidR="000C01AA" w:rsidRPr="000C01AA" w:rsidRDefault="000C01AA" w:rsidP="000C01AA">
      <w:pPr>
        <w:spacing w:line="240" w:lineRule="auto"/>
        <w:rPr>
          <w:rFonts w:cs="Arial"/>
          <w:szCs w:val="20"/>
        </w:rPr>
      </w:pPr>
      <w:r w:rsidRPr="000C01AA">
        <w:rPr>
          <w:rFonts w:cs="Arial"/>
          <w:szCs w:val="20"/>
        </w:rPr>
        <w:tab/>
        <w:t xml:space="preserve">Do złączania </w:t>
      </w:r>
      <w:proofErr w:type="spellStart"/>
      <w:r w:rsidRPr="000C01AA">
        <w:rPr>
          <w:rFonts w:cs="Arial"/>
          <w:szCs w:val="20"/>
        </w:rPr>
        <w:t>geokompozytu</w:t>
      </w:r>
      <w:proofErr w:type="spellEnd"/>
      <w:r w:rsidRPr="000C01AA">
        <w:rPr>
          <w:rFonts w:cs="Arial"/>
          <w:szCs w:val="20"/>
        </w:rPr>
        <w:t xml:space="preserve"> z asfaltową warstwą nawierzchni należy stosować kationową emulsję modyfikowaną polimerem, spełniającą wymagania określone w        tablicy 1.</w:t>
      </w:r>
    </w:p>
    <w:p w14:paraId="690A82EB" w14:textId="77777777" w:rsidR="000C01AA" w:rsidRPr="000C01AA" w:rsidRDefault="000C01AA" w:rsidP="000C01AA">
      <w:pPr>
        <w:spacing w:before="120" w:after="120" w:line="240" w:lineRule="auto"/>
        <w:ind w:left="992" w:hanging="992"/>
        <w:rPr>
          <w:rFonts w:cs="Arial"/>
          <w:szCs w:val="20"/>
        </w:rPr>
      </w:pPr>
      <w:r w:rsidRPr="000C01AA">
        <w:rPr>
          <w:rFonts w:cs="Arial"/>
          <w:szCs w:val="20"/>
        </w:rPr>
        <w:t>Tablica 1. Wymagania dotyczące kationowych emulsji asfaltowych modyfikowanych polimerami (wg [7])</w:t>
      </w:r>
    </w:p>
    <w:tbl>
      <w:tblPr>
        <w:tblW w:w="75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1134"/>
        <w:gridCol w:w="992"/>
        <w:gridCol w:w="807"/>
        <w:gridCol w:w="1300"/>
        <w:gridCol w:w="716"/>
        <w:gridCol w:w="1254"/>
      </w:tblGrid>
      <w:tr w:rsidR="000C01AA" w:rsidRPr="000C01AA" w14:paraId="258169F3" w14:textId="77777777" w:rsidTr="007B6855">
        <w:tc>
          <w:tcPr>
            <w:tcW w:w="1384" w:type="dxa"/>
            <w:vMerge w:val="restart"/>
            <w:vAlign w:val="center"/>
          </w:tcPr>
          <w:p w14:paraId="534D4F7C" w14:textId="77777777" w:rsidR="000C01AA" w:rsidRPr="000C01AA" w:rsidRDefault="000C01AA" w:rsidP="000C01AA">
            <w:pPr>
              <w:spacing w:line="240" w:lineRule="auto"/>
              <w:jc w:val="center"/>
              <w:rPr>
                <w:rFonts w:cs="Arial"/>
                <w:szCs w:val="20"/>
              </w:rPr>
            </w:pPr>
            <w:r w:rsidRPr="000C01AA">
              <w:rPr>
                <w:rFonts w:cs="Arial"/>
                <w:szCs w:val="20"/>
              </w:rPr>
              <w:t>Wymagania techniczne</w:t>
            </w:r>
          </w:p>
        </w:tc>
        <w:tc>
          <w:tcPr>
            <w:tcW w:w="1134" w:type="dxa"/>
            <w:vMerge w:val="restart"/>
            <w:vAlign w:val="center"/>
          </w:tcPr>
          <w:p w14:paraId="57EF17EB" w14:textId="77777777" w:rsidR="000C01AA" w:rsidRPr="000C01AA" w:rsidRDefault="000C01AA" w:rsidP="000C01AA">
            <w:pPr>
              <w:spacing w:line="240" w:lineRule="auto"/>
              <w:jc w:val="center"/>
              <w:rPr>
                <w:rFonts w:cs="Arial"/>
                <w:szCs w:val="20"/>
              </w:rPr>
            </w:pPr>
            <w:r w:rsidRPr="000C01AA">
              <w:rPr>
                <w:rFonts w:cs="Arial"/>
                <w:szCs w:val="20"/>
              </w:rPr>
              <w:t>Metoda badania</w:t>
            </w:r>
          </w:p>
          <w:p w14:paraId="0A758457" w14:textId="77777777" w:rsidR="000C01AA" w:rsidRPr="000C01AA" w:rsidRDefault="000C01AA" w:rsidP="000C01AA">
            <w:pPr>
              <w:spacing w:line="240" w:lineRule="auto"/>
              <w:jc w:val="center"/>
              <w:rPr>
                <w:rFonts w:cs="Arial"/>
                <w:szCs w:val="20"/>
              </w:rPr>
            </w:pPr>
            <w:r w:rsidRPr="000C01AA">
              <w:rPr>
                <w:rFonts w:cs="Arial"/>
                <w:szCs w:val="20"/>
              </w:rPr>
              <w:t>wg normy</w:t>
            </w:r>
          </w:p>
        </w:tc>
        <w:tc>
          <w:tcPr>
            <w:tcW w:w="992" w:type="dxa"/>
            <w:vMerge w:val="restart"/>
            <w:vAlign w:val="center"/>
          </w:tcPr>
          <w:p w14:paraId="5962BBA5" w14:textId="77777777" w:rsidR="000C01AA" w:rsidRPr="000C01AA" w:rsidRDefault="000C01AA" w:rsidP="000C01AA">
            <w:pPr>
              <w:spacing w:line="240" w:lineRule="auto"/>
              <w:jc w:val="center"/>
              <w:rPr>
                <w:rFonts w:cs="Arial"/>
                <w:szCs w:val="20"/>
              </w:rPr>
            </w:pPr>
            <w:r w:rsidRPr="000C01AA">
              <w:rPr>
                <w:rFonts w:cs="Arial"/>
                <w:szCs w:val="20"/>
              </w:rPr>
              <w:t>Jednostka</w:t>
            </w:r>
          </w:p>
        </w:tc>
        <w:tc>
          <w:tcPr>
            <w:tcW w:w="4077" w:type="dxa"/>
            <w:gridSpan w:val="4"/>
          </w:tcPr>
          <w:p w14:paraId="3BC59211" w14:textId="77777777" w:rsidR="000C01AA" w:rsidRPr="000C01AA" w:rsidRDefault="000C01AA" w:rsidP="000C01AA">
            <w:pPr>
              <w:spacing w:line="240" w:lineRule="auto"/>
              <w:jc w:val="center"/>
              <w:rPr>
                <w:rFonts w:cs="Arial"/>
                <w:szCs w:val="20"/>
              </w:rPr>
            </w:pPr>
            <w:r w:rsidRPr="000C01AA">
              <w:rPr>
                <w:rFonts w:cs="Arial"/>
                <w:szCs w:val="20"/>
              </w:rPr>
              <w:t>Wymagania dla emulsji</w:t>
            </w:r>
          </w:p>
        </w:tc>
      </w:tr>
      <w:tr w:rsidR="000C01AA" w:rsidRPr="000C01AA" w14:paraId="4529E2F6" w14:textId="77777777" w:rsidTr="007B6855">
        <w:trPr>
          <w:trHeight w:val="357"/>
        </w:trPr>
        <w:tc>
          <w:tcPr>
            <w:tcW w:w="1384" w:type="dxa"/>
            <w:vMerge/>
          </w:tcPr>
          <w:p w14:paraId="70CA4599" w14:textId="77777777" w:rsidR="000C01AA" w:rsidRPr="000C01AA" w:rsidRDefault="000C01AA" w:rsidP="000C01AA">
            <w:pPr>
              <w:spacing w:line="240" w:lineRule="auto"/>
              <w:jc w:val="center"/>
              <w:rPr>
                <w:rFonts w:cs="Arial"/>
                <w:szCs w:val="20"/>
              </w:rPr>
            </w:pPr>
          </w:p>
        </w:tc>
        <w:tc>
          <w:tcPr>
            <w:tcW w:w="1134" w:type="dxa"/>
            <w:vMerge/>
          </w:tcPr>
          <w:p w14:paraId="1ADCF2E0" w14:textId="77777777" w:rsidR="000C01AA" w:rsidRPr="000C01AA" w:rsidRDefault="000C01AA" w:rsidP="000C01AA">
            <w:pPr>
              <w:spacing w:line="240" w:lineRule="auto"/>
              <w:jc w:val="center"/>
              <w:rPr>
                <w:rFonts w:cs="Arial"/>
                <w:szCs w:val="20"/>
              </w:rPr>
            </w:pPr>
          </w:p>
        </w:tc>
        <w:tc>
          <w:tcPr>
            <w:tcW w:w="992" w:type="dxa"/>
            <w:vMerge/>
          </w:tcPr>
          <w:p w14:paraId="295E2B42" w14:textId="77777777" w:rsidR="000C01AA" w:rsidRPr="000C01AA" w:rsidRDefault="000C01AA" w:rsidP="000C01AA">
            <w:pPr>
              <w:spacing w:line="240" w:lineRule="auto"/>
              <w:jc w:val="center"/>
              <w:rPr>
                <w:rFonts w:cs="Arial"/>
                <w:szCs w:val="20"/>
              </w:rPr>
            </w:pPr>
          </w:p>
        </w:tc>
        <w:tc>
          <w:tcPr>
            <w:tcW w:w="2107" w:type="dxa"/>
            <w:gridSpan w:val="2"/>
          </w:tcPr>
          <w:p w14:paraId="1CAE3914" w14:textId="77777777" w:rsidR="000C01AA" w:rsidRPr="000C01AA" w:rsidRDefault="000C01AA" w:rsidP="000C01AA">
            <w:pPr>
              <w:spacing w:line="240" w:lineRule="auto"/>
              <w:jc w:val="center"/>
              <w:rPr>
                <w:rFonts w:cs="Arial"/>
                <w:szCs w:val="20"/>
              </w:rPr>
            </w:pPr>
            <w:r w:rsidRPr="000C01AA">
              <w:rPr>
                <w:rFonts w:cs="Arial"/>
                <w:szCs w:val="20"/>
              </w:rPr>
              <w:t>C60 BP3 ZM lub</w:t>
            </w:r>
          </w:p>
          <w:p w14:paraId="62D06D49" w14:textId="77777777" w:rsidR="000C01AA" w:rsidRPr="000C01AA" w:rsidRDefault="000C01AA" w:rsidP="000C01AA">
            <w:pPr>
              <w:spacing w:line="240" w:lineRule="auto"/>
              <w:jc w:val="center"/>
              <w:rPr>
                <w:rFonts w:cs="Arial"/>
                <w:szCs w:val="20"/>
              </w:rPr>
            </w:pPr>
            <w:r w:rsidRPr="000C01AA">
              <w:rPr>
                <w:rFonts w:cs="Arial"/>
                <w:szCs w:val="20"/>
              </w:rPr>
              <w:t xml:space="preserve"> C60 BP4 ZM</w:t>
            </w:r>
          </w:p>
        </w:tc>
        <w:tc>
          <w:tcPr>
            <w:tcW w:w="1970" w:type="dxa"/>
            <w:gridSpan w:val="2"/>
          </w:tcPr>
          <w:p w14:paraId="70FD6C1F" w14:textId="77777777" w:rsidR="000C01AA" w:rsidRPr="000C01AA" w:rsidRDefault="000C01AA" w:rsidP="000C01AA">
            <w:pPr>
              <w:spacing w:before="120" w:line="240" w:lineRule="auto"/>
              <w:jc w:val="center"/>
              <w:rPr>
                <w:rFonts w:cs="Arial"/>
                <w:szCs w:val="20"/>
              </w:rPr>
            </w:pPr>
            <w:r w:rsidRPr="000C01AA">
              <w:rPr>
                <w:rFonts w:cs="Arial"/>
                <w:szCs w:val="20"/>
              </w:rPr>
              <w:t>C60 BP5 ZM</w:t>
            </w:r>
          </w:p>
        </w:tc>
      </w:tr>
      <w:tr w:rsidR="000C01AA" w:rsidRPr="000C01AA" w14:paraId="71539D35" w14:textId="77777777" w:rsidTr="007B6855">
        <w:tc>
          <w:tcPr>
            <w:tcW w:w="1384" w:type="dxa"/>
            <w:vMerge/>
          </w:tcPr>
          <w:p w14:paraId="72F4E163" w14:textId="77777777" w:rsidR="000C01AA" w:rsidRPr="000C01AA" w:rsidRDefault="000C01AA" w:rsidP="000C01AA">
            <w:pPr>
              <w:spacing w:line="240" w:lineRule="auto"/>
              <w:rPr>
                <w:rFonts w:cs="Arial"/>
                <w:szCs w:val="20"/>
              </w:rPr>
            </w:pPr>
          </w:p>
        </w:tc>
        <w:tc>
          <w:tcPr>
            <w:tcW w:w="1134" w:type="dxa"/>
            <w:vMerge/>
          </w:tcPr>
          <w:p w14:paraId="377793FE" w14:textId="77777777" w:rsidR="000C01AA" w:rsidRPr="000C01AA" w:rsidRDefault="000C01AA" w:rsidP="000C01AA">
            <w:pPr>
              <w:spacing w:line="240" w:lineRule="auto"/>
              <w:jc w:val="center"/>
              <w:rPr>
                <w:rFonts w:cs="Arial"/>
                <w:szCs w:val="20"/>
              </w:rPr>
            </w:pPr>
          </w:p>
        </w:tc>
        <w:tc>
          <w:tcPr>
            <w:tcW w:w="992" w:type="dxa"/>
            <w:vMerge/>
          </w:tcPr>
          <w:p w14:paraId="01754906" w14:textId="77777777" w:rsidR="000C01AA" w:rsidRPr="000C01AA" w:rsidRDefault="000C01AA" w:rsidP="000C01AA">
            <w:pPr>
              <w:spacing w:line="240" w:lineRule="auto"/>
              <w:jc w:val="center"/>
              <w:rPr>
                <w:rFonts w:cs="Arial"/>
                <w:szCs w:val="20"/>
              </w:rPr>
            </w:pPr>
          </w:p>
        </w:tc>
        <w:tc>
          <w:tcPr>
            <w:tcW w:w="807" w:type="dxa"/>
          </w:tcPr>
          <w:p w14:paraId="0B7F252D" w14:textId="77777777" w:rsidR="000C01AA" w:rsidRPr="000C01AA" w:rsidRDefault="000C01AA" w:rsidP="000C01AA">
            <w:pPr>
              <w:spacing w:before="120" w:line="240" w:lineRule="auto"/>
              <w:jc w:val="center"/>
              <w:rPr>
                <w:rFonts w:cs="Arial"/>
                <w:szCs w:val="20"/>
              </w:rPr>
            </w:pPr>
            <w:r w:rsidRPr="000C01AA">
              <w:rPr>
                <w:rFonts w:cs="Arial"/>
                <w:szCs w:val="20"/>
              </w:rPr>
              <w:t>Klasa</w:t>
            </w:r>
          </w:p>
        </w:tc>
        <w:tc>
          <w:tcPr>
            <w:tcW w:w="1300" w:type="dxa"/>
          </w:tcPr>
          <w:p w14:paraId="27C1F974" w14:textId="77777777" w:rsidR="000C01AA" w:rsidRPr="000C01AA" w:rsidRDefault="000C01AA" w:rsidP="000C01AA">
            <w:pPr>
              <w:spacing w:line="240" w:lineRule="auto"/>
              <w:jc w:val="center"/>
              <w:rPr>
                <w:rFonts w:cs="Arial"/>
                <w:szCs w:val="20"/>
              </w:rPr>
            </w:pPr>
            <w:r w:rsidRPr="000C01AA">
              <w:rPr>
                <w:rFonts w:cs="Arial"/>
                <w:szCs w:val="20"/>
              </w:rPr>
              <w:t>Zakres wartości</w:t>
            </w:r>
          </w:p>
        </w:tc>
        <w:tc>
          <w:tcPr>
            <w:tcW w:w="716" w:type="dxa"/>
          </w:tcPr>
          <w:p w14:paraId="578BAEC5" w14:textId="77777777" w:rsidR="000C01AA" w:rsidRPr="000C01AA" w:rsidRDefault="000C01AA" w:rsidP="000C01AA">
            <w:pPr>
              <w:spacing w:before="120" w:line="240" w:lineRule="auto"/>
              <w:jc w:val="center"/>
              <w:rPr>
                <w:rFonts w:cs="Arial"/>
                <w:szCs w:val="20"/>
              </w:rPr>
            </w:pPr>
            <w:r w:rsidRPr="000C01AA">
              <w:rPr>
                <w:rFonts w:cs="Arial"/>
                <w:szCs w:val="20"/>
              </w:rPr>
              <w:t>Klasa</w:t>
            </w:r>
          </w:p>
        </w:tc>
        <w:tc>
          <w:tcPr>
            <w:tcW w:w="1254" w:type="dxa"/>
          </w:tcPr>
          <w:p w14:paraId="24BC92AC" w14:textId="77777777" w:rsidR="000C01AA" w:rsidRPr="000C01AA" w:rsidRDefault="000C01AA" w:rsidP="000C01AA">
            <w:pPr>
              <w:spacing w:line="240" w:lineRule="auto"/>
              <w:jc w:val="center"/>
              <w:rPr>
                <w:rFonts w:cs="Arial"/>
                <w:szCs w:val="20"/>
              </w:rPr>
            </w:pPr>
            <w:r w:rsidRPr="000C01AA">
              <w:rPr>
                <w:rFonts w:cs="Arial"/>
                <w:szCs w:val="20"/>
              </w:rPr>
              <w:t>Zakres wartości</w:t>
            </w:r>
          </w:p>
        </w:tc>
      </w:tr>
      <w:tr w:rsidR="000C01AA" w:rsidRPr="000C01AA" w14:paraId="0DA6D481" w14:textId="77777777" w:rsidTr="007B6855">
        <w:tc>
          <w:tcPr>
            <w:tcW w:w="1384" w:type="dxa"/>
          </w:tcPr>
          <w:p w14:paraId="2FC2FA75" w14:textId="77777777" w:rsidR="000C01AA" w:rsidRPr="000C01AA" w:rsidRDefault="000C01AA" w:rsidP="000C01AA">
            <w:pPr>
              <w:spacing w:before="120" w:line="240" w:lineRule="auto"/>
              <w:rPr>
                <w:rFonts w:cs="Arial"/>
                <w:szCs w:val="20"/>
              </w:rPr>
            </w:pPr>
            <w:r w:rsidRPr="000C01AA">
              <w:rPr>
                <w:rFonts w:cs="Arial"/>
                <w:szCs w:val="20"/>
              </w:rPr>
              <w:t>Indeks rozpadu</w:t>
            </w:r>
          </w:p>
        </w:tc>
        <w:tc>
          <w:tcPr>
            <w:tcW w:w="1134" w:type="dxa"/>
          </w:tcPr>
          <w:p w14:paraId="660F2C40" w14:textId="77777777" w:rsidR="000C01AA" w:rsidRPr="000C01AA" w:rsidRDefault="000C01AA" w:rsidP="000C01AA">
            <w:pPr>
              <w:spacing w:line="240" w:lineRule="auto"/>
              <w:jc w:val="center"/>
              <w:rPr>
                <w:rFonts w:cs="Arial"/>
                <w:szCs w:val="20"/>
              </w:rPr>
            </w:pPr>
            <w:r w:rsidRPr="000C01AA">
              <w:rPr>
                <w:rFonts w:cs="Arial"/>
                <w:szCs w:val="20"/>
              </w:rPr>
              <w:t>PN-EN 13075-1 [6]</w:t>
            </w:r>
          </w:p>
        </w:tc>
        <w:tc>
          <w:tcPr>
            <w:tcW w:w="992" w:type="dxa"/>
          </w:tcPr>
          <w:p w14:paraId="6F21739B" w14:textId="77777777" w:rsidR="000C01AA" w:rsidRPr="000C01AA" w:rsidRDefault="000C01AA" w:rsidP="000C01AA">
            <w:pPr>
              <w:spacing w:line="240" w:lineRule="auto"/>
              <w:jc w:val="center"/>
              <w:rPr>
                <w:rFonts w:cs="Arial"/>
                <w:szCs w:val="20"/>
              </w:rPr>
            </w:pPr>
            <w:r w:rsidRPr="000C01AA">
              <w:rPr>
                <w:rFonts w:cs="Arial"/>
                <w:szCs w:val="20"/>
              </w:rPr>
              <w:t>-</w:t>
            </w:r>
          </w:p>
        </w:tc>
        <w:tc>
          <w:tcPr>
            <w:tcW w:w="807" w:type="dxa"/>
          </w:tcPr>
          <w:p w14:paraId="715CF1C6" w14:textId="77777777" w:rsidR="000C01AA" w:rsidRPr="000C01AA" w:rsidRDefault="000C01AA" w:rsidP="000C01AA">
            <w:pPr>
              <w:spacing w:before="120" w:line="240" w:lineRule="auto"/>
              <w:jc w:val="center"/>
              <w:rPr>
                <w:rFonts w:cs="Arial"/>
                <w:szCs w:val="20"/>
              </w:rPr>
            </w:pPr>
            <w:r w:rsidRPr="000C01AA">
              <w:rPr>
                <w:rFonts w:cs="Arial"/>
                <w:szCs w:val="20"/>
              </w:rPr>
              <w:t>3 lub 4</w:t>
            </w:r>
          </w:p>
        </w:tc>
        <w:tc>
          <w:tcPr>
            <w:tcW w:w="1300" w:type="dxa"/>
          </w:tcPr>
          <w:p w14:paraId="15B42B7F" w14:textId="77777777" w:rsidR="000C01AA" w:rsidRPr="000C01AA" w:rsidRDefault="000C01AA" w:rsidP="000C01AA">
            <w:pPr>
              <w:spacing w:line="240" w:lineRule="auto"/>
              <w:jc w:val="center"/>
              <w:rPr>
                <w:rFonts w:cs="Arial"/>
                <w:szCs w:val="20"/>
              </w:rPr>
            </w:pPr>
            <w:r w:rsidRPr="000C01AA">
              <w:rPr>
                <w:rFonts w:cs="Arial"/>
                <w:szCs w:val="20"/>
              </w:rPr>
              <w:t xml:space="preserve">50 do 100 </w:t>
            </w:r>
          </w:p>
          <w:p w14:paraId="3BF576A3" w14:textId="77777777" w:rsidR="000C01AA" w:rsidRPr="000C01AA" w:rsidRDefault="000C01AA" w:rsidP="000C01AA">
            <w:pPr>
              <w:spacing w:line="240" w:lineRule="auto"/>
              <w:jc w:val="center"/>
              <w:rPr>
                <w:rFonts w:cs="Arial"/>
                <w:szCs w:val="20"/>
              </w:rPr>
            </w:pPr>
            <w:r w:rsidRPr="000C01AA">
              <w:rPr>
                <w:rFonts w:cs="Arial"/>
                <w:szCs w:val="20"/>
              </w:rPr>
              <w:t>lub 70 do 130</w:t>
            </w:r>
          </w:p>
        </w:tc>
        <w:tc>
          <w:tcPr>
            <w:tcW w:w="716" w:type="dxa"/>
          </w:tcPr>
          <w:p w14:paraId="52D51A57" w14:textId="77777777" w:rsidR="000C01AA" w:rsidRPr="000C01AA" w:rsidRDefault="000C01AA" w:rsidP="000C01AA">
            <w:pPr>
              <w:spacing w:before="120" w:line="240" w:lineRule="auto"/>
              <w:jc w:val="center"/>
              <w:rPr>
                <w:rFonts w:cs="Arial"/>
                <w:szCs w:val="20"/>
              </w:rPr>
            </w:pPr>
            <w:r w:rsidRPr="000C01AA">
              <w:rPr>
                <w:rFonts w:cs="Arial"/>
                <w:szCs w:val="20"/>
              </w:rPr>
              <w:t>5</w:t>
            </w:r>
          </w:p>
        </w:tc>
        <w:tc>
          <w:tcPr>
            <w:tcW w:w="1254" w:type="dxa"/>
          </w:tcPr>
          <w:p w14:paraId="54604E40" w14:textId="77777777" w:rsidR="000C01AA" w:rsidRPr="000C01AA" w:rsidRDefault="000C01AA" w:rsidP="000C01AA">
            <w:pPr>
              <w:spacing w:line="240" w:lineRule="auto"/>
              <w:jc w:val="center"/>
              <w:rPr>
                <w:rFonts w:cs="Arial"/>
                <w:szCs w:val="20"/>
              </w:rPr>
            </w:pPr>
            <w:r w:rsidRPr="000C01AA">
              <w:rPr>
                <w:rFonts w:cs="Arial"/>
                <w:szCs w:val="20"/>
              </w:rPr>
              <w:t>120 do 180</w:t>
            </w:r>
          </w:p>
        </w:tc>
      </w:tr>
      <w:tr w:rsidR="000C01AA" w:rsidRPr="000C01AA" w14:paraId="44DD0FB3" w14:textId="77777777" w:rsidTr="007B6855">
        <w:tc>
          <w:tcPr>
            <w:tcW w:w="1384" w:type="dxa"/>
          </w:tcPr>
          <w:p w14:paraId="543317E1" w14:textId="77777777" w:rsidR="000C01AA" w:rsidRPr="000C01AA" w:rsidRDefault="000C01AA" w:rsidP="000C01AA">
            <w:pPr>
              <w:spacing w:line="240" w:lineRule="auto"/>
              <w:rPr>
                <w:rFonts w:cs="Arial"/>
                <w:szCs w:val="20"/>
              </w:rPr>
            </w:pPr>
            <w:r w:rsidRPr="000C01AA">
              <w:rPr>
                <w:rFonts w:cs="Arial"/>
                <w:szCs w:val="20"/>
              </w:rPr>
              <w:t>Zawartość lepiszcza</w:t>
            </w:r>
          </w:p>
        </w:tc>
        <w:tc>
          <w:tcPr>
            <w:tcW w:w="1134" w:type="dxa"/>
          </w:tcPr>
          <w:p w14:paraId="4727E35C" w14:textId="77777777" w:rsidR="000C01AA" w:rsidRPr="000C01AA" w:rsidRDefault="000C01AA" w:rsidP="000C01AA">
            <w:pPr>
              <w:spacing w:line="240" w:lineRule="auto"/>
              <w:jc w:val="center"/>
              <w:rPr>
                <w:rFonts w:cs="Arial"/>
                <w:szCs w:val="20"/>
              </w:rPr>
            </w:pPr>
            <w:r w:rsidRPr="000C01AA">
              <w:rPr>
                <w:rFonts w:cs="Arial"/>
                <w:szCs w:val="20"/>
              </w:rPr>
              <w:t>PN-EN 1428 [2]</w:t>
            </w:r>
          </w:p>
        </w:tc>
        <w:tc>
          <w:tcPr>
            <w:tcW w:w="992" w:type="dxa"/>
          </w:tcPr>
          <w:p w14:paraId="604A2B58" w14:textId="77777777" w:rsidR="000C01AA" w:rsidRPr="000C01AA" w:rsidRDefault="000C01AA" w:rsidP="000C01AA">
            <w:pPr>
              <w:spacing w:before="120" w:line="240" w:lineRule="auto"/>
              <w:jc w:val="center"/>
              <w:rPr>
                <w:rFonts w:cs="Arial"/>
                <w:szCs w:val="20"/>
              </w:rPr>
            </w:pPr>
            <w:r w:rsidRPr="000C01AA">
              <w:rPr>
                <w:rFonts w:cs="Arial"/>
                <w:szCs w:val="20"/>
              </w:rPr>
              <w:t>%(m/m)</w:t>
            </w:r>
          </w:p>
        </w:tc>
        <w:tc>
          <w:tcPr>
            <w:tcW w:w="807" w:type="dxa"/>
          </w:tcPr>
          <w:p w14:paraId="186DB087" w14:textId="77777777" w:rsidR="000C01AA" w:rsidRPr="000C01AA" w:rsidRDefault="000C01AA" w:rsidP="000C01AA">
            <w:pPr>
              <w:spacing w:before="120" w:line="240" w:lineRule="auto"/>
              <w:jc w:val="center"/>
              <w:rPr>
                <w:rFonts w:cs="Arial"/>
                <w:szCs w:val="20"/>
              </w:rPr>
            </w:pPr>
            <w:r w:rsidRPr="000C01AA">
              <w:rPr>
                <w:rFonts w:cs="Arial"/>
                <w:szCs w:val="20"/>
              </w:rPr>
              <w:t>5</w:t>
            </w:r>
          </w:p>
        </w:tc>
        <w:tc>
          <w:tcPr>
            <w:tcW w:w="1300" w:type="dxa"/>
          </w:tcPr>
          <w:p w14:paraId="4319F18D" w14:textId="77777777" w:rsidR="000C01AA" w:rsidRPr="000C01AA" w:rsidRDefault="000C01AA" w:rsidP="000C01AA">
            <w:pPr>
              <w:spacing w:before="120" w:line="240" w:lineRule="auto"/>
              <w:jc w:val="center"/>
              <w:rPr>
                <w:rFonts w:cs="Arial"/>
                <w:szCs w:val="20"/>
              </w:rPr>
            </w:pPr>
            <w:r w:rsidRPr="000C01AA">
              <w:rPr>
                <w:rFonts w:cs="Arial"/>
                <w:szCs w:val="20"/>
              </w:rPr>
              <w:t>58 do 62</w:t>
            </w:r>
            <w:r w:rsidRPr="000C01AA">
              <w:rPr>
                <w:rFonts w:cs="Arial"/>
                <w:szCs w:val="20"/>
                <w:vertAlign w:val="superscript"/>
              </w:rPr>
              <w:t>a)</w:t>
            </w:r>
          </w:p>
        </w:tc>
        <w:tc>
          <w:tcPr>
            <w:tcW w:w="716" w:type="dxa"/>
          </w:tcPr>
          <w:p w14:paraId="55548523" w14:textId="77777777" w:rsidR="000C01AA" w:rsidRPr="000C01AA" w:rsidRDefault="000C01AA" w:rsidP="000C01AA">
            <w:pPr>
              <w:spacing w:before="120" w:line="240" w:lineRule="auto"/>
              <w:jc w:val="center"/>
              <w:rPr>
                <w:rFonts w:cs="Arial"/>
                <w:szCs w:val="20"/>
              </w:rPr>
            </w:pPr>
            <w:r w:rsidRPr="000C01AA">
              <w:rPr>
                <w:rFonts w:cs="Arial"/>
                <w:szCs w:val="20"/>
              </w:rPr>
              <w:t>5</w:t>
            </w:r>
          </w:p>
        </w:tc>
        <w:tc>
          <w:tcPr>
            <w:tcW w:w="1254" w:type="dxa"/>
          </w:tcPr>
          <w:p w14:paraId="26848488" w14:textId="77777777" w:rsidR="000C01AA" w:rsidRPr="000C01AA" w:rsidRDefault="000C01AA" w:rsidP="000C01AA">
            <w:pPr>
              <w:spacing w:before="120" w:line="240" w:lineRule="auto"/>
              <w:jc w:val="center"/>
              <w:rPr>
                <w:rFonts w:cs="Arial"/>
                <w:szCs w:val="20"/>
              </w:rPr>
            </w:pPr>
            <w:r w:rsidRPr="000C01AA">
              <w:rPr>
                <w:rFonts w:cs="Arial"/>
                <w:szCs w:val="20"/>
              </w:rPr>
              <w:t>58 do 62</w:t>
            </w:r>
            <w:r w:rsidRPr="000C01AA">
              <w:rPr>
                <w:rFonts w:cs="Arial"/>
                <w:szCs w:val="20"/>
                <w:vertAlign w:val="superscript"/>
              </w:rPr>
              <w:t>a)</w:t>
            </w:r>
          </w:p>
        </w:tc>
      </w:tr>
      <w:tr w:rsidR="000C01AA" w:rsidRPr="000C01AA" w14:paraId="0F96D0F4" w14:textId="77777777" w:rsidTr="007B6855">
        <w:tc>
          <w:tcPr>
            <w:tcW w:w="1384" w:type="dxa"/>
          </w:tcPr>
          <w:p w14:paraId="6FB02C01" w14:textId="77777777" w:rsidR="000C01AA" w:rsidRPr="000C01AA" w:rsidRDefault="000C01AA" w:rsidP="000C01AA">
            <w:pPr>
              <w:spacing w:line="240" w:lineRule="auto"/>
              <w:rPr>
                <w:rFonts w:cs="Arial"/>
                <w:szCs w:val="20"/>
              </w:rPr>
            </w:pPr>
            <w:r w:rsidRPr="000C01AA">
              <w:rPr>
                <w:rFonts w:cs="Arial"/>
                <w:szCs w:val="20"/>
              </w:rPr>
              <w:t xml:space="preserve">Czas wypływu dla Ø </w:t>
            </w:r>
            <w:smartTag w:uri="urn:schemas-microsoft-com:office:smarttags" w:element="metricconverter">
              <w:smartTagPr>
                <w:attr w:name="ProductID" w:val="2 mm"/>
              </w:smartTagPr>
              <w:r w:rsidRPr="000C01AA">
                <w:rPr>
                  <w:rFonts w:cs="Arial"/>
                  <w:szCs w:val="20"/>
                </w:rPr>
                <w:t>2 mm</w:t>
              </w:r>
            </w:smartTag>
            <w:r w:rsidRPr="000C01AA">
              <w:rPr>
                <w:rFonts w:cs="Arial"/>
                <w:szCs w:val="20"/>
              </w:rPr>
              <w:t xml:space="preserve"> w 40</w:t>
            </w:r>
            <w:r w:rsidRPr="000C01AA">
              <w:rPr>
                <w:rFonts w:cs="Arial"/>
                <w:szCs w:val="20"/>
                <w:vertAlign w:val="superscript"/>
              </w:rPr>
              <w:t>o</w:t>
            </w:r>
            <w:r w:rsidRPr="000C01AA">
              <w:rPr>
                <w:rFonts w:cs="Arial"/>
                <w:szCs w:val="20"/>
              </w:rPr>
              <w:t>C</w:t>
            </w:r>
          </w:p>
        </w:tc>
        <w:tc>
          <w:tcPr>
            <w:tcW w:w="1134" w:type="dxa"/>
          </w:tcPr>
          <w:p w14:paraId="5495045E" w14:textId="77777777" w:rsidR="000C01AA" w:rsidRPr="000C01AA" w:rsidRDefault="000C01AA" w:rsidP="000C01AA">
            <w:pPr>
              <w:spacing w:before="120" w:line="240" w:lineRule="auto"/>
              <w:jc w:val="center"/>
              <w:rPr>
                <w:rFonts w:cs="Arial"/>
                <w:szCs w:val="20"/>
              </w:rPr>
            </w:pPr>
            <w:r w:rsidRPr="000C01AA">
              <w:rPr>
                <w:rFonts w:cs="Arial"/>
                <w:szCs w:val="20"/>
              </w:rPr>
              <w:t>PN-EN 12846 [4]</w:t>
            </w:r>
          </w:p>
        </w:tc>
        <w:tc>
          <w:tcPr>
            <w:tcW w:w="992" w:type="dxa"/>
          </w:tcPr>
          <w:p w14:paraId="73D57A77" w14:textId="77777777" w:rsidR="000C01AA" w:rsidRPr="000C01AA" w:rsidRDefault="000C01AA" w:rsidP="000C01AA">
            <w:pPr>
              <w:spacing w:line="240" w:lineRule="auto"/>
              <w:jc w:val="center"/>
              <w:rPr>
                <w:rFonts w:cs="Arial"/>
                <w:szCs w:val="20"/>
              </w:rPr>
            </w:pPr>
          </w:p>
          <w:p w14:paraId="5FC80BC8" w14:textId="77777777" w:rsidR="000C01AA" w:rsidRPr="000C01AA" w:rsidRDefault="000C01AA" w:rsidP="000C01AA">
            <w:pPr>
              <w:spacing w:line="240" w:lineRule="auto"/>
              <w:jc w:val="center"/>
              <w:rPr>
                <w:rFonts w:cs="Arial"/>
                <w:szCs w:val="20"/>
              </w:rPr>
            </w:pPr>
            <w:r w:rsidRPr="000C01AA">
              <w:rPr>
                <w:rFonts w:cs="Arial"/>
                <w:szCs w:val="20"/>
              </w:rPr>
              <w:t>s</w:t>
            </w:r>
          </w:p>
        </w:tc>
        <w:tc>
          <w:tcPr>
            <w:tcW w:w="807" w:type="dxa"/>
          </w:tcPr>
          <w:p w14:paraId="1878EEDF" w14:textId="77777777" w:rsidR="000C01AA" w:rsidRPr="000C01AA" w:rsidRDefault="000C01AA" w:rsidP="000C01AA">
            <w:pPr>
              <w:spacing w:line="240" w:lineRule="auto"/>
              <w:jc w:val="center"/>
              <w:rPr>
                <w:rFonts w:cs="Arial"/>
                <w:szCs w:val="20"/>
              </w:rPr>
            </w:pPr>
          </w:p>
          <w:p w14:paraId="7270941C" w14:textId="77777777" w:rsidR="000C01AA" w:rsidRPr="000C01AA" w:rsidRDefault="000C01AA" w:rsidP="000C01AA">
            <w:pPr>
              <w:spacing w:line="240" w:lineRule="auto"/>
              <w:jc w:val="center"/>
              <w:rPr>
                <w:rFonts w:cs="Arial"/>
                <w:szCs w:val="20"/>
              </w:rPr>
            </w:pPr>
            <w:r w:rsidRPr="000C01AA">
              <w:rPr>
                <w:rFonts w:cs="Arial"/>
                <w:szCs w:val="20"/>
              </w:rPr>
              <w:t>1</w:t>
            </w:r>
          </w:p>
        </w:tc>
        <w:tc>
          <w:tcPr>
            <w:tcW w:w="1300" w:type="dxa"/>
          </w:tcPr>
          <w:p w14:paraId="63EEF1BA" w14:textId="77777777" w:rsidR="000C01AA" w:rsidRPr="000C01AA" w:rsidRDefault="000C01AA" w:rsidP="000C01AA">
            <w:pPr>
              <w:spacing w:line="240" w:lineRule="auto"/>
              <w:jc w:val="center"/>
              <w:rPr>
                <w:rFonts w:cs="Arial"/>
                <w:szCs w:val="20"/>
              </w:rPr>
            </w:pPr>
          </w:p>
          <w:p w14:paraId="60BC5AA3" w14:textId="77777777" w:rsidR="000C01AA" w:rsidRPr="000C01AA" w:rsidRDefault="000C01AA" w:rsidP="000C01AA">
            <w:pPr>
              <w:spacing w:line="240" w:lineRule="auto"/>
              <w:jc w:val="center"/>
              <w:rPr>
                <w:rFonts w:cs="Arial"/>
                <w:szCs w:val="20"/>
              </w:rPr>
            </w:pPr>
            <w:proofErr w:type="spellStart"/>
            <w:r w:rsidRPr="000C01AA">
              <w:rPr>
                <w:rFonts w:cs="Arial"/>
                <w:szCs w:val="20"/>
              </w:rPr>
              <w:t>TBR</w:t>
            </w:r>
            <w:r w:rsidRPr="000C01AA">
              <w:rPr>
                <w:rFonts w:cs="Arial"/>
                <w:szCs w:val="20"/>
                <w:vertAlign w:val="superscript"/>
              </w:rPr>
              <w:t>b</w:t>
            </w:r>
            <w:proofErr w:type="spellEnd"/>
            <w:r w:rsidRPr="000C01AA">
              <w:rPr>
                <w:rFonts w:cs="Arial"/>
                <w:szCs w:val="20"/>
                <w:vertAlign w:val="superscript"/>
              </w:rPr>
              <w:t>)</w:t>
            </w:r>
          </w:p>
        </w:tc>
        <w:tc>
          <w:tcPr>
            <w:tcW w:w="716" w:type="dxa"/>
          </w:tcPr>
          <w:p w14:paraId="34EE18E6" w14:textId="77777777" w:rsidR="000C01AA" w:rsidRPr="000C01AA" w:rsidRDefault="000C01AA" w:rsidP="000C01AA">
            <w:pPr>
              <w:spacing w:line="240" w:lineRule="auto"/>
              <w:jc w:val="center"/>
              <w:rPr>
                <w:rFonts w:cs="Arial"/>
                <w:szCs w:val="20"/>
              </w:rPr>
            </w:pPr>
          </w:p>
          <w:p w14:paraId="2D3E08CC" w14:textId="77777777" w:rsidR="000C01AA" w:rsidRPr="000C01AA" w:rsidRDefault="000C01AA" w:rsidP="000C01AA">
            <w:pPr>
              <w:spacing w:line="240" w:lineRule="auto"/>
              <w:jc w:val="center"/>
              <w:rPr>
                <w:rFonts w:cs="Arial"/>
                <w:szCs w:val="20"/>
              </w:rPr>
            </w:pPr>
            <w:r w:rsidRPr="000C01AA">
              <w:rPr>
                <w:rFonts w:cs="Arial"/>
                <w:szCs w:val="20"/>
              </w:rPr>
              <w:t>1</w:t>
            </w:r>
          </w:p>
        </w:tc>
        <w:tc>
          <w:tcPr>
            <w:tcW w:w="1254" w:type="dxa"/>
          </w:tcPr>
          <w:p w14:paraId="3FE43A66" w14:textId="77777777" w:rsidR="000C01AA" w:rsidRPr="000C01AA" w:rsidRDefault="000C01AA" w:rsidP="000C01AA">
            <w:pPr>
              <w:spacing w:line="240" w:lineRule="auto"/>
              <w:jc w:val="center"/>
              <w:rPr>
                <w:rFonts w:cs="Arial"/>
                <w:szCs w:val="20"/>
              </w:rPr>
            </w:pPr>
          </w:p>
          <w:p w14:paraId="31A12F0D" w14:textId="77777777" w:rsidR="000C01AA" w:rsidRPr="000C01AA" w:rsidRDefault="000C01AA" w:rsidP="000C01AA">
            <w:pPr>
              <w:spacing w:line="240" w:lineRule="auto"/>
              <w:jc w:val="center"/>
              <w:rPr>
                <w:rFonts w:cs="Arial"/>
                <w:szCs w:val="20"/>
              </w:rPr>
            </w:pPr>
            <w:proofErr w:type="spellStart"/>
            <w:r w:rsidRPr="000C01AA">
              <w:rPr>
                <w:rFonts w:cs="Arial"/>
                <w:szCs w:val="20"/>
              </w:rPr>
              <w:t>TBR</w:t>
            </w:r>
            <w:r w:rsidRPr="000C01AA">
              <w:rPr>
                <w:rFonts w:cs="Arial"/>
                <w:szCs w:val="20"/>
                <w:vertAlign w:val="superscript"/>
              </w:rPr>
              <w:t>b</w:t>
            </w:r>
            <w:proofErr w:type="spellEnd"/>
            <w:r w:rsidRPr="000C01AA">
              <w:rPr>
                <w:rFonts w:cs="Arial"/>
                <w:szCs w:val="20"/>
                <w:vertAlign w:val="superscript"/>
              </w:rPr>
              <w:t>)</w:t>
            </w:r>
          </w:p>
        </w:tc>
      </w:tr>
      <w:tr w:rsidR="000C01AA" w:rsidRPr="000C01AA" w14:paraId="22E1933B" w14:textId="77777777" w:rsidTr="007B6855">
        <w:tc>
          <w:tcPr>
            <w:tcW w:w="1384" w:type="dxa"/>
          </w:tcPr>
          <w:p w14:paraId="27DAE234" w14:textId="77777777" w:rsidR="000C01AA" w:rsidRPr="000C01AA" w:rsidRDefault="000C01AA" w:rsidP="000C01AA">
            <w:pPr>
              <w:spacing w:line="240" w:lineRule="auto"/>
              <w:rPr>
                <w:rFonts w:cs="Arial"/>
                <w:szCs w:val="20"/>
              </w:rPr>
            </w:pPr>
            <w:r w:rsidRPr="000C01AA">
              <w:rPr>
                <w:rFonts w:cs="Arial"/>
                <w:szCs w:val="20"/>
              </w:rPr>
              <w:t xml:space="preserve">Pozostałość na sicie </w:t>
            </w:r>
            <w:smartTag w:uri="urn:schemas-microsoft-com:office:smarttags" w:element="metricconverter">
              <w:smartTagPr>
                <w:attr w:name="ProductID" w:val="0,5 mm"/>
              </w:smartTagPr>
              <w:r w:rsidRPr="000C01AA">
                <w:rPr>
                  <w:rFonts w:cs="Arial"/>
                  <w:szCs w:val="20"/>
                </w:rPr>
                <w:t>0,5 mm</w:t>
              </w:r>
            </w:smartTag>
          </w:p>
        </w:tc>
        <w:tc>
          <w:tcPr>
            <w:tcW w:w="1134" w:type="dxa"/>
          </w:tcPr>
          <w:p w14:paraId="1324BC43" w14:textId="77777777" w:rsidR="000C01AA" w:rsidRPr="000C01AA" w:rsidRDefault="000C01AA" w:rsidP="000C01AA">
            <w:pPr>
              <w:spacing w:line="240" w:lineRule="auto"/>
              <w:jc w:val="center"/>
              <w:rPr>
                <w:rFonts w:cs="Arial"/>
                <w:szCs w:val="20"/>
              </w:rPr>
            </w:pPr>
            <w:r w:rsidRPr="000C01AA">
              <w:rPr>
                <w:rFonts w:cs="Arial"/>
                <w:szCs w:val="20"/>
              </w:rPr>
              <w:t>PN-EN 1429 [3]</w:t>
            </w:r>
          </w:p>
        </w:tc>
        <w:tc>
          <w:tcPr>
            <w:tcW w:w="992" w:type="dxa"/>
          </w:tcPr>
          <w:p w14:paraId="035701E1" w14:textId="77777777" w:rsidR="000C01AA" w:rsidRPr="000C01AA" w:rsidRDefault="000C01AA" w:rsidP="000C01AA">
            <w:pPr>
              <w:spacing w:before="120" w:line="240" w:lineRule="auto"/>
              <w:jc w:val="center"/>
              <w:rPr>
                <w:rFonts w:cs="Arial"/>
                <w:szCs w:val="20"/>
              </w:rPr>
            </w:pPr>
            <w:r w:rsidRPr="000C01AA">
              <w:rPr>
                <w:rFonts w:cs="Arial"/>
                <w:szCs w:val="20"/>
              </w:rPr>
              <w:t>%(m/m)</w:t>
            </w:r>
          </w:p>
        </w:tc>
        <w:tc>
          <w:tcPr>
            <w:tcW w:w="807" w:type="dxa"/>
          </w:tcPr>
          <w:p w14:paraId="3BEFB64F" w14:textId="77777777" w:rsidR="000C01AA" w:rsidRPr="000C01AA" w:rsidRDefault="000C01AA" w:rsidP="000C01AA">
            <w:pPr>
              <w:spacing w:before="120" w:line="240" w:lineRule="auto"/>
              <w:jc w:val="center"/>
              <w:rPr>
                <w:rFonts w:cs="Arial"/>
                <w:szCs w:val="20"/>
              </w:rPr>
            </w:pPr>
            <w:r w:rsidRPr="000C01AA">
              <w:rPr>
                <w:rFonts w:cs="Arial"/>
                <w:szCs w:val="20"/>
              </w:rPr>
              <w:t>1</w:t>
            </w:r>
          </w:p>
        </w:tc>
        <w:tc>
          <w:tcPr>
            <w:tcW w:w="1300" w:type="dxa"/>
          </w:tcPr>
          <w:p w14:paraId="7631B68F" w14:textId="77777777" w:rsidR="000C01AA" w:rsidRPr="000C01AA" w:rsidRDefault="000C01AA" w:rsidP="000C01AA">
            <w:pPr>
              <w:spacing w:before="120" w:line="240" w:lineRule="auto"/>
              <w:jc w:val="center"/>
              <w:rPr>
                <w:rFonts w:cs="Arial"/>
                <w:szCs w:val="20"/>
              </w:rPr>
            </w:pPr>
            <w:r w:rsidRPr="000C01AA">
              <w:rPr>
                <w:rFonts w:cs="Arial"/>
                <w:szCs w:val="20"/>
              </w:rPr>
              <w:t>TBR</w:t>
            </w:r>
          </w:p>
        </w:tc>
        <w:tc>
          <w:tcPr>
            <w:tcW w:w="716" w:type="dxa"/>
          </w:tcPr>
          <w:p w14:paraId="6C357F30" w14:textId="77777777" w:rsidR="000C01AA" w:rsidRPr="000C01AA" w:rsidRDefault="000C01AA" w:rsidP="000C01AA">
            <w:pPr>
              <w:spacing w:before="120" w:line="240" w:lineRule="auto"/>
              <w:jc w:val="center"/>
              <w:rPr>
                <w:rFonts w:cs="Arial"/>
                <w:szCs w:val="20"/>
              </w:rPr>
            </w:pPr>
            <w:r w:rsidRPr="000C01AA">
              <w:rPr>
                <w:rFonts w:cs="Arial"/>
                <w:szCs w:val="20"/>
              </w:rPr>
              <w:t>1</w:t>
            </w:r>
          </w:p>
        </w:tc>
        <w:tc>
          <w:tcPr>
            <w:tcW w:w="1254" w:type="dxa"/>
          </w:tcPr>
          <w:p w14:paraId="5B5D3C5D" w14:textId="77777777" w:rsidR="000C01AA" w:rsidRPr="000C01AA" w:rsidRDefault="000C01AA" w:rsidP="000C01AA">
            <w:pPr>
              <w:spacing w:before="120" w:line="240" w:lineRule="auto"/>
              <w:jc w:val="center"/>
              <w:rPr>
                <w:rFonts w:cs="Arial"/>
                <w:szCs w:val="20"/>
              </w:rPr>
            </w:pPr>
            <w:r w:rsidRPr="000C01AA">
              <w:rPr>
                <w:rFonts w:cs="Arial"/>
                <w:szCs w:val="20"/>
              </w:rPr>
              <w:t>TBR</w:t>
            </w:r>
          </w:p>
        </w:tc>
      </w:tr>
      <w:tr w:rsidR="000C01AA" w:rsidRPr="000C01AA" w14:paraId="34BE94FA" w14:textId="77777777" w:rsidTr="007B6855">
        <w:tc>
          <w:tcPr>
            <w:tcW w:w="1384" w:type="dxa"/>
          </w:tcPr>
          <w:p w14:paraId="42D9F0EF" w14:textId="77777777" w:rsidR="000C01AA" w:rsidRPr="000C01AA" w:rsidRDefault="000C01AA" w:rsidP="000C01AA">
            <w:pPr>
              <w:spacing w:line="240" w:lineRule="auto"/>
              <w:rPr>
                <w:rFonts w:cs="Arial"/>
                <w:szCs w:val="20"/>
              </w:rPr>
            </w:pPr>
            <w:r w:rsidRPr="000C01AA">
              <w:rPr>
                <w:rFonts w:cs="Arial"/>
                <w:szCs w:val="20"/>
              </w:rPr>
              <w:t xml:space="preserve">Trwałość po 7 dniach </w:t>
            </w:r>
            <w:proofErr w:type="spellStart"/>
            <w:r w:rsidRPr="000C01AA">
              <w:rPr>
                <w:rFonts w:cs="Arial"/>
                <w:szCs w:val="20"/>
              </w:rPr>
              <w:t>magazy-nowania</w:t>
            </w:r>
            <w:proofErr w:type="spellEnd"/>
          </w:p>
        </w:tc>
        <w:tc>
          <w:tcPr>
            <w:tcW w:w="1134" w:type="dxa"/>
          </w:tcPr>
          <w:p w14:paraId="3DFCEB00" w14:textId="77777777" w:rsidR="000C01AA" w:rsidRPr="000C01AA" w:rsidRDefault="000C01AA" w:rsidP="000C01AA">
            <w:pPr>
              <w:spacing w:before="120" w:line="240" w:lineRule="auto"/>
              <w:jc w:val="center"/>
              <w:rPr>
                <w:rFonts w:cs="Arial"/>
                <w:szCs w:val="20"/>
              </w:rPr>
            </w:pPr>
            <w:r w:rsidRPr="000C01AA">
              <w:rPr>
                <w:rFonts w:cs="Arial"/>
                <w:szCs w:val="20"/>
              </w:rPr>
              <w:t>PN-EN 1429 [3]</w:t>
            </w:r>
          </w:p>
        </w:tc>
        <w:tc>
          <w:tcPr>
            <w:tcW w:w="992" w:type="dxa"/>
          </w:tcPr>
          <w:p w14:paraId="2AD0213D" w14:textId="77777777" w:rsidR="000C01AA" w:rsidRPr="000C01AA" w:rsidRDefault="000C01AA" w:rsidP="000C01AA">
            <w:pPr>
              <w:spacing w:line="240" w:lineRule="auto"/>
              <w:jc w:val="center"/>
              <w:rPr>
                <w:rFonts w:cs="Arial"/>
                <w:szCs w:val="20"/>
              </w:rPr>
            </w:pPr>
          </w:p>
          <w:p w14:paraId="0D97EA85" w14:textId="77777777" w:rsidR="000C01AA" w:rsidRPr="000C01AA" w:rsidRDefault="000C01AA" w:rsidP="000C01AA">
            <w:pPr>
              <w:spacing w:line="240" w:lineRule="auto"/>
              <w:jc w:val="center"/>
              <w:rPr>
                <w:rFonts w:cs="Arial"/>
                <w:szCs w:val="20"/>
              </w:rPr>
            </w:pPr>
            <w:r w:rsidRPr="000C01AA">
              <w:rPr>
                <w:rFonts w:cs="Arial"/>
                <w:szCs w:val="20"/>
              </w:rPr>
              <w:t>%(m/m)</w:t>
            </w:r>
          </w:p>
        </w:tc>
        <w:tc>
          <w:tcPr>
            <w:tcW w:w="807" w:type="dxa"/>
          </w:tcPr>
          <w:p w14:paraId="180C9D20" w14:textId="77777777" w:rsidR="000C01AA" w:rsidRPr="000C01AA" w:rsidRDefault="000C01AA" w:rsidP="000C01AA">
            <w:pPr>
              <w:spacing w:line="240" w:lineRule="auto"/>
              <w:jc w:val="center"/>
              <w:rPr>
                <w:rFonts w:cs="Arial"/>
                <w:szCs w:val="20"/>
              </w:rPr>
            </w:pPr>
          </w:p>
          <w:p w14:paraId="36F49FEE" w14:textId="77777777" w:rsidR="000C01AA" w:rsidRPr="000C01AA" w:rsidRDefault="000C01AA" w:rsidP="000C01AA">
            <w:pPr>
              <w:spacing w:line="240" w:lineRule="auto"/>
              <w:jc w:val="center"/>
              <w:rPr>
                <w:rFonts w:cs="Arial"/>
                <w:szCs w:val="20"/>
              </w:rPr>
            </w:pPr>
            <w:r w:rsidRPr="000C01AA">
              <w:rPr>
                <w:rFonts w:cs="Arial"/>
                <w:szCs w:val="20"/>
              </w:rPr>
              <w:t>1</w:t>
            </w:r>
          </w:p>
        </w:tc>
        <w:tc>
          <w:tcPr>
            <w:tcW w:w="1300" w:type="dxa"/>
          </w:tcPr>
          <w:p w14:paraId="61A835FD" w14:textId="77777777" w:rsidR="000C01AA" w:rsidRPr="000C01AA" w:rsidRDefault="000C01AA" w:rsidP="000C01AA">
            <w:pPr>
              <w:spacing w:line="240" w:lineRule="auto"/>
              <w:jc w:val="center"/>
              <w:rPr>
                <w:rFonts w:cs="Arial"/>
                <w:szCs w:val="20"/>
              </w:rPr>
            </w:pPr>
          </w:p>
          <w:p w14:paraId="0D2C2486" w14:textId="77777777" w:rsidR="000C01AA" w:rsidRPr="000C01AA" w:rsidRDefault="000C01AA" w:rsidP="000C01AA">
            <w:pPr>
              <w:spacing w:line="240" w:lineRule="auto"/>
              <w:jc w:val="center"/>
              <w:rPr>
                <w:rFonts w:cs="Arial"/>
                <w:szCs w:val="20"/>
              </w:rPr>
            </w:pPr>
            <w:r w:rsidRPr="000C01AA">
              <w:rPr>
                <w:rFonts w:cs="Arial"/>
                <w:szCs w:val="20"/>
              </w:rPr>
              <w:t>TBR</w:t>
            </w:r>
          </w:p>
        </w:tc>
        <w:tc>
          <w:tcPr>
            <w:tcW w:w="716" w:type="dxa"/>
          </w:tcPr>
          <w:p w14:paraId="7181D496" w14:textId="77777777" w:rsidR="000C01AA" w:rsidRPr="000C01AA" w:rsidRDefault="000C01AA" w:rsidP="000C01AA">
            <w:pPr>
              <w:spacing w:line="240" w:lineRule="auto"/>
              <w:jc w:val="center"/>
              <w:rPr>
                <w:rFonts w:cs="Arial"/>
                <w:szCs w:val="20"/>
              </w:rPr>
            </w:pPr>
          </w:p>
          <w:p w14:paraId="1CC56944" w14:textId="77777777" w:rsidR="000C01AA" w:rsidRPr="000C01AA" w:rsidRDefault="000C01AA" w:rsidP="000C01AA">
            <w:pPr>
              <w:spacing w:line="240" w:lineRule="auto"/>
              <w:jc w:val="center"/>
              <w:rPr>
                <w:rFonts w:cs="Arial"/>
                <w:szCs w:val="20"/>
              </w:rPr>
            </w:pPr>
            <w:r w:rsidRPr="000C01AA">
              <w:rPr>
                <w:rFonts w:cs="Arial"/>
                <w:szCs w:val="20"/>
              </w:rPr>
              <w:t>1</w:t>
            </w:r>
          </w:p>
        </w:tc>
        <w:tc>
          <w:tcPr>
            <w:tcW w:w="1254" w:type="dxa"/>
          </w:tcPr>
          <w:p w14:paraId="5C642966" w14:textId="77777777" w:rsidR="000C01AA" w:rsidRPr="000C01AA" w:rsidRDefault="000C01AA" w:rsidP="000C01AA">
            <w:pPr>
              <w:spacing w:line="240" w:lineRule="auto"/>
              <w:jc w:val="center"/>
              <w:rPr>
                <w:rFonts w:cs="Arial"/>
                <w:szCs w:val="20"/>
              </w:rPr>
            </w:pPr>
          </w:p>
          <w:p w14:paraId="099503C7" w14:textId="77777777" w:rsidR="000C01AA" w:rsidRPr="000C01AA" w:rsidRDefault="000C01AA" w:rsidP="000C01AA">
            <w:pPr>
              <w:spacing w:line="240" w:lineRule="auto"/>
              <w:jc w:val="center"/>
              <w:rPr>
                <w:rFonts w:cs="Arial"/>
                <w:szCs w:val="20"/>
              </w:rPr>
            </w:pPr>
            <w:r w:rsidRPr="000C01AA">
              <w:rPr>
                <w:rFonts w:cs="Arial"/>
                <w:szCs w:val="20"/>
              </w:rPr>
              <w:t>TBR</w:t>
            </w:r>
          </w:p>
        </w:tc>
      </w:tr>
      <w:tr w:rsidR="000C01AA" w:rsidRPr="000C01AA" w14:paraId="63F13958" w14:textId="77777777" w:rsidTr="007B6855">
        <w:tc>
          <w:tcPr>
            <w:tcW w:w="1384" w:type="dxa"/>
          </w:tcPr>
          <w:p w14:paraId="0E6610B1" w14:textId="77777777" w:rsidR="000C01AA" w:rsidRPr="000C01AA" w:rsidRDefault="000C01AA" w:rsidP="000C01AA">
            <w:pPr>
              <w:spacing w:before="120" w:line="240" w:lineRule="auto"/>
              <w:rPr>
                <w:rFonts w:cs="Arial"/>
                <w:szCs w:val="20"/>
              </w:rPr>
            </w:pPr>
            <w:r w:rsidRPr="000C01AA">
              <w:rPr>
                <w:rFonts w:cs="Arial"/>
                <w:szCs w:val="20"/>
              </w:rPr>
              <w:t>Sedymentacja</w:t>
            </w:r>
          </w:p>
        </w:tc>
        <w:tc>
          <w:tcPr>
            <w:tcW w:w="1134" w:type="dxa"/>
          </w:tcPr>
          <w:p w14:paraId="7C9B0FEB" w14:textId="77777777" w:rsidR="000C01AA" w:rsidRPr="000C01AA" w:rsidRDefault="000C01AA" w:rsidP="000C01AA">
            <w:pPr>
              <w:spacing w:line="240" w:lineRule="auto"/>
              <w:jc w:val="center"/>
              <w:rPr>
                <w:rFonts w:cs="Arial"/>
                <w:szCs w:val="20"/>
              </w:rPr>
            </w:pPr>
            <w:r w:rsidRPr="000C01AA">
              <w:rPr>
                <w:rFonts w:cs="Arial"/>
                <w:szCs w:val="20"/>
              </w:rPr>
              <w:t>PN-EN 12847 [5]</w:t>
            </w:r>
          </w:p>
        </w:tc>
        <w:tc>
          <w:tcPr>
            <w:tcW w:w="992" w:type="dxa"/>
          </w:tcPr>
          <w:p w14:paraId="63BE9E5C" w14:textId="77777777" w:rsidR="000C01AA" w:rsidRPr="000C01AA" w:rsidRDefault="000C01AA" w:rsidP="000C01AA">
            <w:pPr>
              <w:spacing w:before="120" w:line="240" w:lineRule="auto"/>
              <w:jc w:val="center"/>
              <w:rPr>
                <w:rFonts w:cs="Arial"/>
                <w:szCs w:val="20"/>
              </w:rPr>
            </w:pPr>
            <w:r w:rsidRPr="000C01AA">
              <w:rPr>
                <w:rFonts w:cs="Arial"/>
                <w:szCs w:val="20"/>
              </w:rPr>
              <w:t>%(m/m)</w:t>
            </w:r>
          </w:p>
        </w:tc>
        <w:tc>
          <w:tcPr>
            <w:tcW w:w="807" w:type="dxa"/>
          </w:tcPr>
          <w:p w14:paraId="22CE1028" w14:textId="77777777" w:rsidR="000C01AA" w:rsidRPr="000C01AA" w:rsidRDefault="000C01AA" w:rsidP="000C01AA">
            <w:pPr>
              <w:spacing w:before="120" w:line="240" w:lineRule="auto"/>
              <w:jc w:val="center"/>
              <w:rPr>
                <w:rFonts w:cs="Arial"/>
                <w:szCs w:val="20"/>
              </w:rPr>
            </w:pPr>
            <w:r w:rsidRPr="000C01AA">
              <w:rPr>
                <w:rFonts w:cs="Arial"/>
                <w:szCs w:val="20"/>
              </w:rPr>
              <w:t>1</w:t>
            </w:r>
          </w:p>
        </w:tc>
        <w:tc>
          <w:tcPr>
            <w:tcW w:w="1300" w:type="dxa"/>
          </w:tcPr>
          <w:p w14:paraId="564E951D" w14:textId="77777777" w:rsidR="000C01AA" w:rsidRPr="000C01AA" w:rsidRDefault="000C01AA" w:rsidP="000C01AA">
            <w:pPr>
              <w:spacing w:before="120" w:line="240" w:lineRule="auto"/>
              <w:jc w:val="center"/>
              <w:rPr>
                <w:rFonts w:cs="Arial"/>
                <w:szCs w:val="20"/>
              </w:rPr>
            </w:pPr>
            <w:r w:rsidRPr="000C01AA">
              <w:rPr>
                <w:rFonts w:cs="Arial"/>
                <w:szCs w:val="20"/>
              </w:rPr>
              <w:t>TBR</w:t>
            </w:r>
          </w:p>
        </w:tc>
        <w:tc>
          <w:tcPr>
            <w:tcW w:w="716" w:type="dxa"/>
          </w:tcPr>
          <w:p w14:paraId="1FBB576C" w14:textId="77777777" w:rsidR="000C01AA" w:rsidRPr="000C01AA" w:rsidRDefault="000C01AA" w:rsidP="000C01AA">
            <w:pPr>
              <w:spacing w:before="120" w:line="240" w:lineRule="auto"/>
              <w:jc w:val="center"/>
              <w:rPr>
                <w:rFonts w:cs="Arial"/>
                <w:szCs w:val="20"/>
              </w:rPr>
            </w:pPr>
            <w:r w:rsidRPr="000C01AA">
              <w:rPr>
                <w:rFonts w:cs="Arial"/>
                <w:szCs w:val="20"/>
              </w:rPr>
              <w:t>1</w:t>
            </w:r>
          </w:p>
        </w:tc>
        <w:tc>
          <w:tcPr>
            <w:tcW w:w="1254" w:type="dxa"/>
          </w:tcPr>
          <w:p w14:paraId="71159490" w14:textId="77777777" w:rsidR="000C01AA" w:rsidRPr="000C01AA" w:rsidRDefault="000C01AA" w:rsidP="000C01AA">
            <w:pPr>
              <w:spacing w:before="120" w:line="240" w:lineRule="auto"/>
              <w:jc w:val="center"/>
              <w:rPr>
                <w:rFonts w:cs="Arial"/>
                <w:szCs w:val="20"/>
              </w:rPr>
            </w:pPr>
            <w:r w:rsidRPr="000C01AA">
              <w:rPr>
                <w:rFonts w:cs="Arial"/>
                <w:szCs w:val="20"/>
              </w:rPr>
              <w:t>TBR</w:t>
            </w:r>
          </w:p>
        </w:tc>
      </w:tr>
    </w:tbl>
    <w:p w14:paraId="3831C780" w14:textId="77777777" w:rsidR="000C01AA" w:rsidRPr="000C01AA" w:rsidRDefault="000C01AA" w:rsidP="000C01AA">
      <w:pPr>
        <w:spacing w:line="240" w:lineRule="auto"/>
        <w:rPr>
          <w:rFonts w:cs="Arial"/>
          <w:szCs w:val="20"/>
        </w:rPr>
      </w:pPr>
    </w:p>
    <w:p w14:paraId="68BF4DDE" w14:textId="77777777" w:rsidR="000C01AA" w:rsidRPr="000C01AA" w:rsidRDefault="000C01AA" w:rsidP="00CF1E7D">
      <w:pPr>
        <w:numPr>
          <w:ilvl w:val="0"/>
          <w:numId w:val="281"/>
        </w:numPr>
        <w:tabs>
          <w:tab w:val="clear" w:pos="720"/>
          <w:tab w:val="num" w:pos="284"/>
        </w:tabs>
        <w:overflowPunct w:val="0"/>
        <w:autoSpaceDE w:val="0"/>
        <w:autoSpaceDN w:val="0"/>
        <w:adjustRightInd w:val="0"/>
        <w:spacing w:line="240" w:lineRule="auto"/>
        <w:ind w:hanging="720"/>
        <w:jc w:val="both"/>
        <w:textAlignment w:val="baseline"/>
        <w:rPr>
          <w:rFonts w:cs="Arial"/>
          <w:szCs w:val="20"/>
        </w:rPr>
      </w:pPr>
      <w:r w:rsidRPr="000C01AA">
        <w:rPr>
          <w:rFonts w:cs="Arial"/>
          <w:szCs w:val="20"/>
        </w:rPr>
        <w:t>Emulsję można rozcieńczać wodą, do stężenia asfaltu nie niższego niż 40%(m/m)</w:t>
      </w:r>
    </w:p>
    <w:p w14:paraId="0E1B2BB9" w14:textId="77777777" w:rsidR="000C01AA" w:rsidRPr="000C01AA" w:rsidRDefault="000C01AA" w:rsidP="00CF1E7D">
      <w:pPr>
        <w:numPr>
          <w:ilvl w:val="0"/>
          <w:numId w:val="281"/>
        </w:numPr>
        <w:tabs>
          <w:tab w:val="clear" w:pos="720"/>
          <w:tab w:val="num" w:pos="284"/>
        </w:tabs>
        <w:overflowPunct w:val="0"/>
        <w:autoSpaceDE w:val="0"/>
        <w:autoSpaceDN w:val="0"/>
        <w:adjustRightInd w:val="0"/>
        <w:spacing w:line="240" w:lineRule="auto"/>
        <w:ind w:hanging="720"/>
        <w:jc w:val="both"/>
        <w:textAlignment w:val="baseline"/>
        <w:rPr>
          <w:rFonts w:cs="Arial"/>
          <w:szCs w:val="20"/>
        </w:rPr>
      </w:pPr>
      <w:r w:rsidRPr="000C01AA">
        <w:rPr>
          <w:rFonts w:cs="Arial"/>
          <w:szCs w:val="20"/>
        </w:rPr>
        <w:t>Nie dotyczy emulsji rozcieńczanej wodą na budowie</w:t>
      </w:r>
    </w:p>
    <w:p w14:paraId="4369052A" w14:textId="77777777" w:rsidR="000C01AA" w:rsidRPr="000C01AA" w:rsidRDefault="000C01AA" w:rsidP="000C01AA">
      <w:pPr>
        <w:tabs>
          <w:tab w:val="num" w:pos="0"/>
        </w:tabs>
        <w:spacing w:line="240" w:lineRule="auto"/>
        <w:rPr>
          <w:rFonts w:cs="Arial"/>
          <w:szCs w:val="20"/>
        </w:rPr>
      </w:pPr>
      <w:r w:rsidRPr="000C01AA">
        <w:rPr>
          <w:rFonts w:cs="Arial"/>
          <w:szCs w:val="20"/>
        </w:rPr>
        <w:t xml:space="preserve">TBR (To be </w:t>
      </w:r>
      <w:proofErr w:type="spellStart"/>
      <w:r w:rsidRPr="000C01AA">
        <w:rPr>
          <w:rFonts w:cs="Arial"/>
          <w:szCs w:val="20"/>
        </w:rPr>
        <w:t>reported</w:t>
      </w:r>
      <w:proofErr w:type="spellEnd"/>
      <w:r w:rsidRPr="000C01AA">
        <w:rPr>
          <w:rFonts w:cs="Arial"/>
          <w:szCs w:val="20"/>
        </w:rPr>
        <w:t>) – do zadeklarowania (producent może dostarczyć odpowiednie informacje, jednak nie jest do tego zobowiązany)</w:t>
      </w:r>
    </w:p>
    <w:p w14:paraId="2EF7F580" w14:textId="77777777" w:rsidR="000C01AA" w:rsidRPr="000C01AA" w:rsidRDefault="000C01AA" w:rsidP="000C01AA">
      <w:pPr>
        <w:tabs>
          <w:tab w:val="num" w:pos="0"/>
        </w:tabs>
        <w:spacing w:before="120" w:line="240" w:lineRule="auto"/>
        <w:rPr>
          <w:rFonts w:cs="Arial"/>
          <w:szCs w:val="20"/>
        </w:rPr>
      </w:pPr>
      <w:r w:rsidRPr="000C01AA">
        <w:rPr>
          <w:rFonts w:cs="Arial"/>
          <w:szCs w:val="20"/>
        </w:rPr>
        <w:t>Przykład oznaczenia kationowej emulsji asfaltowej:</w:t>
      </w:r>
    </w:p>
    <w:p w14:paraId="7991EFC9" w14:textId="77777777" w:rsidR="000C01AA" w:rsidRPr="000C01AA" w:rsidRDefault="000C01AA" w:rsidP="000C01AA">
      <w:pPr>
        <w:spacing w:before="120" w:line="240" w:lineRule="auto"/>
        <w:ind w:left="1276" w:hanging="1276"/>
        <w:rPr>
          <w:rFonts w:cs="Arial"/>
          <w:szCs w:val="20"/>
        </w:rPr>
      </w:pPr>
      <w:r w:rsidRPr="000C01AA">
        <w:rPr>
          <w:rFonts w:cs="Arial"/>
          <w:szCs w:val="20"/>
        </w:rPr>
        <w:t>C60 BP3 ZM – kationowa emulsja asfaltowa o zawartości lepiszcza 60%, wyprodukowana z asfaltu modyfikowanego polimerami, o klasie indeksu rozpadu 3, przeznaczona do złączania warstw nawierzchni.</w:t>
      </w:r>
    </w:p>
    <w:p w14:paraId="6EA8EC60" w14:textId="77777777" w:rsidR="000C01AA" w:rsidRPr="000C01AA" w:rsidRDefault="000C01AA" w:rsidP="000C01AA">
      <w:pPr>
        <w:spacing w:before="120" w:line="240" w:lineRule="auto"/>
        <w:ind w:left="1276" w:hanging="1276"/>
        <w:rPr>
          <w:rFonts w:cs="Arial"/>
          <w:szCs w:val="20"/>
        </w:rPr>
      </w:pPr>
    </w:p>
    <w:p w14:paraId="6181108A" w14:textId="77777777" w:rsidR="000C01AA" w:rsidRPr="000C01AA" w:rsidRDefault="000C01AA" w:rsidP="000C01AA">
      <w:pPr>
        <w:spacing w:before="120" w:line="240" w:lineRule="auto"/>
        <w:ind w:left="1276" w:hanging="1276"/>
        <w:rPr>
          <w:rFonts w:cs="Arial"/>
          <w:szCs w:val="20"/>
        </w:rPr>
      </w:pPr>
      <w:r w:rsidRPr="000C01AA">
        <w:rPr>
          <w:rFonts w:cs="Arial"/>
          <w:b/>
          <w:szCs w:val="20"/>
        </w:rPr>
        <w:t xml:space="preserve">2.2.5. </w:t>
      </w:r>
      <w:r w:rsidRPr="000C01AA">
        <w:rPr>
          <w:rFonts w:cs="Arial"/>
          <w:szCs w:val="20"/>
        </w:rPr>
        <w:t>Materiały występujące przy budowie nowej nawierzchni</w:t>
      </w:r>
    </w:p>
    <w:p w14:paraId="2F646D1A" w14:textId="77777777" w:rsidR="000C01AA" w:rsidRPr="000C01AA" w:rsidRDefault="000C01AA" w:rsidP="000C01AA">
      <w:pPr>
        <w:spacing w:before="120" w:line="240" w:lineRule="auto"/>
        <w:rPr>
          <w:rFonts w:cs="Arial"/>
          <w:szCs w:val="20"/>
        </w:rPr>
      </w:pPr>
      <w:r w:rsidRPr="000C01AA">
        <w:rPr>
          <w:rFonts w:cs="Arial"/>
          <w:b/>
          <w:szCs w:val="20"/>
        </w:rPr>
        <w:tab/>
      </w:r>
      <w:r w:rsidRPr="000C01AA">
        <w:rPr>
          <w:rFonts w:cs="Arial"/>
          <w:szCs w:val="20"/>
        </w:rPr>
        <w:t>Materiały występujące przy budowie nowej nawierzchni powinny być zgodne z ustaleniami dokumentacji projektowej i dostosowane do rodzaju warstw nawierzchni.</w:t>
      </w:r>
    </w:p>
    <w:p w14:paraId="3ABA58A9" w14:textId="77777777" w:rsidR="000C01AA" w:rsidRPr="000C01AA" w:rsidRDefault="000C01AA" w:rsidP="000C01AA">
      <w:pPr>
        <w:pStyle w:val="Nagwek1"/>
        <w:spacing w:line="240" w:lineRule="auto"/>
        <w:rPr>
          <w:rFonts w:cs="Arial"/>
          <w:szCs w:val="20"/>
        </w:rPr>
      </w:pPr>
      <w:bookmarkStart w:id="975" w:name="_Toc116360494"/>
      <w:bookmarkStart w:id="976" w:name="_Toc174333135"/>
      <w:bookmarkStart w:id="977" w:name="_Toc208892383"/>
      <w:bookmarkStart w:id="978" w:name="_Toc235854624"/>
      <w:bookmarkStart w:id="979" w:name="_Toc250368193"/>
      <w:r w:rsidRPr="000C01AA">
        <w:rPr>
          <w:rFonts w:cs="Arial"/>
          <w:szCs w:val="20"/>
        </w:rPr>
        <w:t xml:space="preserve">3. </w:t>
      </w:r>
      <w:bookmarkEnd w:id="975"/>
      <w:bookmarkEnd w:id="976"/>
      <w:bookmarkEnd w:id="977"/>
      <w:bookmarkEnd w:id="978"/>
      <w:bookmarkEnd w:id="979"/>
      <w:r w:rsidRPr="000C01AA">
        <w:rPr>
          <w:rFonts w:cs="Arial"/>
          <w:szCs w:val="20"/>
        </w:rPr>
        <w:t>SPRZĘT</w:t>
      </w:r>
    </w:p>
    <w:p w14:paraId="19E8198C" w14:textId="77777777" w:rsidR="000C01AA" w:rsidRPr="000C01AA" w:rsidRDefault="000C01AA" w:rsidP="000C01AA">
      <w:pPr>
        <w:pStyle w:val="Nagwek2"/>
        <w:spacing w:line="240" w:lineRule="auto"/>
        <w:rPr>
          <w:rFonts w:cs="Arial"/>
          <w:szCs w:val="20"/>
        </w:rPr>
      </w:pPr>
      <w:r w:rsidRPr="000C01AA">
        <w:rPr>
          <w:rFonts w:cs="Arial"/>
          <w:szCs w:val="20"/>
        </w:rPr>
        <w:t>3.1. Ogólne wymagania dotyczące sprzętu</w:t>
      </w:r>
    </w:p>
    <w:p w14:paraId="7828D4A4" w14:textId="7EC2E47B" w:rsidR="000C01AA" w:rsidRPr="000C01AA" w:rsidRDefault="000C01AA" w:rsidP="000C01AA">
      <w:pPr>
        <w:spacing w:line="240" w:lineRule="auto"/>
        <w:rPr>
          <w:rFonts w:cs="Arial"/>
          <w:szCs w:val="20"/>
        </w:rPr>
      </w:pPr>
      <w:r w:rsidRPr="000C01AA">
        <w:rPr>
          <w:rFonts w:cs="Arial"/>
          <w:szCs w:val="20"/>
        </w:rPr>
        <w:tab/>
        <w:t xml:space="preserve">Ogólne wymagania dotyczące sprzętu podano w </w:t>
      </w:r>
      <w:r>
        <w:rPr>
          <w:rFonts w:cs="Arial"/>
          <w:szCs w:val="20"/>
        </w:rPr>
        <w:t>S</w:t>
      </w:r>
      <w:r w:rsidRPr="000C01AA">
        <w:rPr>
          <w:rFonts w:cs="Arial"/>
          <w:szCs w:val="20"/>
        </w:rPr>
        <w:t>ST  D-M-00.00.00 „Wymagania ogólne” [1] pkt 3.</w:t>
      </w:r>
    </w:p>
    <w:p w14:paraId="51728E0A" w14:textId="77777777" w:rsidR="000C01AA" w:rsidRPr="000C01AA" w:rsidRDefault="000C01AA" w:rsidP="000C01AA">
      <w:pPr>
        <w:pStyle w:val="Nagwek2"/>
        <w:spacing w:line="240" w:lineRule="auto"/>
        <w:rPr>
          <w:rFonts w:cs="Arial"/>
          <w:szCs w:val="20"/>
        </w:rPr>
      </w:pPr>
      <w:r w:rsidRPr="000C01AA">
        <w:rPr>
          <w:rFonts w:cs="Arial"/>
          <w:szCs w:val="20"/>
        </w:rPr>
        <w:t>3.2. Sprzęt stosowany do wykonania robót</w:t>
      </w:r>
    </w:p>
    <w:p w14:paraId="32BFF637" w14:textId="77777777" w:rsidR="000C01AA" w:rsidRPr="000C01AA" w:rsidRDefault="000C01AA" w:rsidP="000C01AA">
      <w:pPr>
        <w:spacing w:line="240" w:lineRule="auto"/>
        <w:rPr>
          <w:rFonts w:cs="Arial"/>
          <w:szCs w:val="20"/>
        </w:rPr>
      </w:pPr>
      <w:r w:rsidRPr="000C01AA">
        <w:rPr>
          <w:rFonts w:cs="Arial"/>
          <w:szCs w:val="20"/>
        </w:rPr>
        <w:tab/>
        <w:t>Przy wykonywaniu robót Wykonawca w zależności od potrzeb, powinien wykazać się możliwością korzystania ze sprzętu dostosowanego do przyjętej metody robót, jak:</w:t>
      </w:r>
    </w:p>
    <w:p w14:paraId="09557AFE" w14:textId="77777777" w:rsidR="000C01AA" w:rsidRPr="000C01AA" w:rsidRDefault="000C01AA" w:rsidP="00CF1E7D">
      <w:pPr>
        <w:numPr>
          <w:ilvl w:val="0"/>
          <w:numId w:val="282"/>
        </w:numPr>
        <w:overflowPunct w:val="0"/>
        <w:autoSpaceDE w:val="0"/>
        <w:autoSpaceDN w:val="0"/>
        <w:adjustRightInd w:val="0"/>
        <w:spacing w:line="240" w:lineRule="auto"/>
        <w:jc w:val="both"/>
        <w:textAlignment w:val="baseline"/>
        <w:rPr>
          <w:rFonts w:cs="Arial"/>
          <w:szCs w:val="20"/>
        </w:rPr>
      </w:pPr>
      <w:r w:rsidRPr="000C01AA">
        <w:rPr>
          <w:rFonts w:cs="Arial"/>
          <w:szCs w:val="20"/>
        </w:rPr>
        <w:t>piły do cięcia betonu asfaltowego,</w:t>
      </w:r>
    </w:p>
    <w:p w14:paraId="2F5C220A" w14:textId="77777777" w:rsidR="000C01AA" w:rsidRPr="000C01AA" w:rsidRDefault="000C01AA" w:rsidP="00CF1E7D">
      <w:pPr>
        <w:numPr>
          <w:ilvl w:val="0"/>
          <w:numId w:val="282"/>
        </w:numPr>
        <w:overflowPunct w:val="0"/>
        <w:autoSpaceDE w:val="0"/>
        <w:autoSpaceDN w:val="0"/>
        <w:adjustRightInd w:val="0"/>
        <w:spacing w:line="240" w:lineRule="auto"/>
        <w:jc w:val="both"/>
        <w:textAlignment w:val="baseline"/>
        <w:rPr>
          <w:rFonts w:cs="Arial"/>
          <w:szCs w:val="20"/>
        </w:rPr>
      </w:pPr>
      <w:r w:rsidRPr="000C01AA">
        <w:rPr>
          <w:rFonts w:cs="Arial"/>
          <w:szCs w:val="20"/>
        </w:rPr>
        <w:t>frezarki do betonu asfaltowego,</w:t>
      </w:r>
    </w:p>
    <w:p w14:paraId="7C92A336" w14:textId="77777777" w:rsidR="000C01AA" w:rsidRPr="000C01AA" w:rsidRDefault="000C01AA" w:rsidP="00CF1E7D">
      <w:pPr>
        <w:numPr>
          <w:ilvl w:val="0"/>
          <w:numId w:val="282"/>
        </w:numPr>
        <w:overflowPunct w:val="0"/>
        <w:autoSpaceDE w:val="0"/>
        <w:autoSpaceDN w:val="0"/>
        <w:adjustRightInd w:val="0"/>
        <w:spacing w:line="240" w:lineRule="auto"/>
        <w:jc w:val="both"/>
        <w:textAlignment w:val="baseline"/>
        <w:rPr>
          <w:rFonts w:cs="Arial"/>
          <w:szCs w:val="20"/>
        </w:rPr>
      </w:pPr>
      <w:r w:rsidRPr="000C01AA">
        <w:rPr>
          <w:rFonts w:cs="Arial"/>
          <w:szCs w:val="20"/>
        </w:rPr>
        <w:t>młot pneumatyczny, sprężarka powietrza,</w:t>
      </w:r>
    </w:p>
    <w:p w14:paraId="208C36B2" w14:textId="77777777" w:rsidR="000C01AA" w:rsidRPr="000C01AA" w:rsidRDefault="000C01AA" w:rsidP="00CF1E7D">
      <w:pPr>
        <w:numPr>
          <w:ilvl w:val="0"/>
          <w:numId w:val="282"/>
        </w:numPr>
        <w:overflowPunct w:val="0"/>
        <w:autoSpaceDE w:val="0"/>
        <w:autoSpaceDN w:val="0"/>
        <w:adjustRightInd w:val="0"/>
        <w:spacing w:line="240" w:lineRule="auto"/>
        <w:jc w:val="both"/>
        <w:textAlignment w:val="baseline"/>
        <w:rPr>
          <w:rFonts w:cs="Arial"/>
          <w:szCs w:val="20"/>
        </w:rPr>
      </w:pPr>
      <w:r w:rsidRPr="000C01AA">
        <w:rPr>
          <w:rFonts w:cs="Arial"/>
          <w:szCs w:val="20"/>
        </w:rPr>
        <w:lastRenderedPageBreak/>
        <w:t>skrapiarka emulsji asfaltowej z ręcznie prowadzoną lancą spryskującą, ze zbiornikiem na lepiszcze,</w:t>
      </w:r>
    </w:p>
    <w:p w14:paraId="3E1B09AE" w14:textId="77777777" w:rsidR="000C01AA" w:rsidRPr="000C01AA" w:rsidRDefault="000C01AA" w:rsidP="00CF1E7D">
      <w:pPr>
        <w:numPr>
          <w:ilvl w:val="0"/>
          <w:numId w:val="282"/>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ew. układarka </w:t>
      </w:r>
      <w:proofErr w:type="spellStart"/>
      <w:r w:rsidRPr="000C01AA">
        <w:rPr>
          <w:rFonts w:cs="Arial"/>
          <w:szCs w:val="20"/>
        </w:rPr>
        <w:t>geokompozytu</w:t>
      </w:r>
      <w:proofErr w:type="spellEnd"/>
      <w:r w:rsidRPr="000C01AA">
        <w:rPr>
          <w:rFonts w:cs="Arial"/>
          <w:szCs w:val="20"/>
        </w:rPr>
        <w:t xml:space="preserve">, umożliwiającą rozwijanie go ze szpuli oraz noże do cięcia </w:t>
      </w:r>
      <w:proofErr w:type="spellStart"/>
      <w:r w:rsidRPr="000C01AA">
        <w:rPr>
          <w:rFonts w:cs="Arial"/>
          <w:szCs w:val="20"/>
        </w:rPr>
        <w:t>geokompozytu</w:t>
      </w:r>
      <w:proofErr w:type="spellEnd"/>
      <w:r w:rsidRPr="000C01AA">
        <w:rPr>
          <w:rFonts w:cs="Arial"/>
          <w:szCs w:val="20"/>
        </w:rPr>
        <w:t>,</w:t>
      </w:r>
    </w:p>
    <w:p w14:paraId="2E4F28D6" w14:textId="77777777" w:rsidR="000C01AA" w:rsidRPr="000C01AA" w:rsidRDefault="000C01AA" w:rsidP="00CF1E7D">
      <w:pPr>
        <w:numPr>
          <w:ilvl w:val="0"/>
          <w:numId w:val="282"/>
        </w:numPr>
        <w:overflowPunct w:val="0"/>
        <w:autoSpaceDE w:val="0"/>
        <w:autoSpaceDN w:val="0"/>
        <w:adjustRightInd w:val="0"/>
        <w:spacing w:line="240" w:lineRule="auto"/>
        <w:jc w:val="both"/>
        <w:textAlignment w:val="baseline"/>
        <w:rPr>
          <w:rFonts w:cs="Arial"/>
          <w:szCs w:val="20"/>
        </w:rPr>
      </w:pPr>
      <w:r w:rsidRPr="000C01AA">
        <w:rPr>
          <w:rFonts w:cs="Arial"/>
          <w:szCs w:val="20"/>
        </w:rPr>
        <w:t>sprzęt pomocniczy, jak oskardy, łopaty, szczotki itp.</w:t>
      </w:r>
    </w:p>
    <w:p w14:paraId="2DDE5E4E" w14:textId="77777777" w:rsidR="000C01AA" w:rsidRPr="000C01AA" w:rsidRDefault="000C01AA" w:rsidP="000C01AA">
      <w:pPr>
        <w:spacing w:line="240" w:lineRule="auto"/>
        <w:ind w:firstLine="709"/>
        <w:rPr>
          <w:rFonts w:cs="Arial"/>
          <w:szCs w:val="20"/>
        </w:rPr>
      </w:pPr>
      <w:r w:rsidRPr="000C01AA">
        <w:rPr>
          <w:rFonts w:cs="Arial"/>
          <w:szCs w:val="20"/>
        </w:rPr>
        <w:t>Zaleca się, aby skrapiarka była wyposażona w urządzenia pomiarowo-kontrolne, pozwalające na sprawdzenie i regulowanie: temperatury, ciśnienia, obrotów pompy dozującej lepiszcze, prędkości poruszania się skrapiarki oraz ilości dozowanego lepiszcza. Skrapiarka powinna zapewniać rozkładanie lepiszcza z tolerancją ± 10% w stosunku do ilości założonej. Zbiornik na lepiszcze powinien być izolowany termicznie, tak aby było możliwe zachowanie stałej temperatury lepiszcza.</w:t>
      </w:r>
    </w:p>
    <w:p w14:paraId="46D49187" w14:textId="77777777" w:rsidR="000C01AA" w:rsidRPr="000C01AA" w:rsidRDefault="000C01AA" w:rsidP="000C01AA">
      <w:pPr>
        <w:spacing w:line="240" w:lineRule="auto"/>
        <w:ind w:firstLine="709"/>
        <w:rPr>
          <w:rFonts w:cs="Arial"/>
          <w:szCs w:val="20"/>
        </w:rPr>
      </w:pPr>
      <w:r w:rsidRPr="000C01AA">
        <w:rPr>
          <w:rFonts w:cs="Arial"/>
          <w:szCs w:val="20"/>
        </w:rPr>
        <w:t>Sprzęt do budowy nowej nawierzchni powinien być dostosowany do rodzaju warstw nawierzchni, ustalonych w dokumentacji projektowej.</w:t>
      </w:r>
    </w:p>
    <w:p w14:paraId="63DFD4E9" w14:textId="77777777" w:rsidR="000C01AA" w:rsidRPr="000C01AA" w:rsidRDefault="000C01AA" w:rsidP="000C01AA">
      <w:pPr>
        <w:spacing w:line="240" w:lineRule="auto"/>
        <w:ind w:firstLine="709"/>
        <w:rPr>
          <w:rFonts w:cs="Arial"/>
          <w:szCs w:val="20"/>
        </w:rPr>
      </w:pPr>
      <w:r w:rsidRPr="000C01AA">
        <w:rPr>
          <w:rFonts w:cs="Arial"/>
          <w:szCs w:val="20"/>
        </w:rPr>
        <w:t>Sprzęt powinien odpowiadać wymaganiom określonym w założeniach Zamawiającego, ST, instrukcjach producentów lub propozycji Wykonawcy i powinien być zaakceptowany przez Inżyniera.</w:t>
      </w:r>
    </w:p>
    <w:p w14:paraId="1CF7EBED" w14:textId="77777777" w:rsidR="000C01AA" w:rsidRPr="000C01AA" w:rsidRDefault="000C01AA" w:rsidP="000C01AA">
      <w:pPr>
        <w:pStyle w:val="Nagwek1"/>
        <w:spacing w:line="240" w:lineRule="auto"/>
        <w:rPr>
          <w:rFonts w:cs="Arial"/>
          <w:szCs w:val="20"/>
        </w:rPr>
      </w:pPr>
      <w:bookmarkStart w:id="980" w:name="_Toc116360495"/>
      <w:bookmarkStart w:id="981" w:name="_Toc174333136"/>
      <w:bookmarkStart w:id="982" w:name="_Toc208892384"/>
      <w:bookmarkStart w:id="983" w:name="_Toc235854625"/>
      <w:bookmarkStart w:id="984" w:name="_Toc250368194"/>
      <w:r w:rsidRPr="000C01AA">
        <w:rPr>
          <w:rFonts w:cs="Arial"/>
          <w:szCs w:val="20"/>
        </w:rPr>
        <w:t>4. TRANSPORT</w:t>
      </w:r>
      <w:bookmarkEnd w:id="980"/>
      <w:bookmarkEnd w:id="981"/>
      <w:bookmarkEnd w:id="982"/>
      <w:bookmarkEnd w:id="983"/>
      <w:bookmarkEnd w:id="984"/>
    </w:p>
    <w:p w14:paraId="6E22B18C" w14:textId="77777777" w:rsidR="000C01AA" w:rsidRPr="000C01AA" w:rsidRDefault="000C01AA" w:rsidP="000C01AA">
      <w:pPr>
        <w:pStyle w:val="Nagwek2"/>
        <w:spacing w:line="240" w:lineRule="auto"/>
        <w:rPr>
          <w:rFonts w:cs="Arial"/>
          <w:szCs w:val="20"/>
        </w:rPr>
      </w:pPr>
      <w:r w:rsidRPr="000C01AA">
        <w:rPr>
          <w:rFonts w:cs="Arial"/>
          <w:szCs w:val="20"/>
        </w:rPr>
        <w:t xml:space="preserve">4.1. Ogólne wymagania dotyczące transportu </w:t>
      </w:r>
    </w:p>
    <w:p w14:paraId="44022884" w14:textId="6368098B" w:rsidR="000C01AA" w:rsidRPr="000C01AA" w:rsidRDefault="000C01AA" w:rsidP="000C01AA">
      <w:pPr>
        <w:tabs>
          <w:tab w:val="left" w:pos="284"/>
          <w:tab w:val="right" w:leader="dot" w:pos="8505"/>
        </w:tabs>
        <w:spacing w:line="240" w:lineRule="auto"/>
        <w:rPr>
          <w:rFonts w:cs="Arial"/>
          <w:szCs w:val="20"/>
        </w:rPr>
      </w:pPr>
      <w:r w:rsidRPr="000C01AA">
        <w:rPr>
          <w:rFonts w:cs="Arial"/>
          <w:szCs w:val="20"/>
        </w:rPr>
        <w:tab/>
        <w:t xml:space="preserve">     Ogólne wymagania dotyczące transportu podano w </w:t>
      </w:r>
      <w:r>
        <w:rPr>
          <w:rFonts w:cs="Arial"/>
          <w:szCs w:val="20"/>
        </w:rPr>
        <w:t>S</w:t>
      </w:r>
      <w:r w:rsidRPr="000C01AA">
        <w:rPr>
          <w:rFonts w:cs="Arial"/>
          <w:szCs w:val="20"/>
        </w:rPr>
        <w:t>ST D-M-00.00.00 „Wymagania ogólne” [1]  pkt 4.</w:t>
      </w:r>
    </w:p>
    <w:p w14:paraId="21D93615" w14:textId="77777777" w:rsidR="000C01AA" w:rsidRPr="000C01AA" w:rsidRDefault="000C01AA" w:rsidP="000C01AA">
      <w:pPr>
        <w:pStyle w:val="Nagwek2"/>
        <w:spacing w:line="240" w:lineRule="auto"/>
        <w:rPr>
          <w:rFonts w:cs="Arial"/>
          <w:szCs w:val="20"/>
        </w:rPr>
      </w:pPr>
      <w:r w:rsidRPr="000C01AA">
        <w:rPr>
          <w:rFonts w:cs="Arial"/>
          <w:szCs w:val="20"/>
        </w:rPr>
        <w:t>4.2. Transport materiałów</w:t>
      </w:r>
    </w:p>
    <w:p w14:paraId="24FC8D36" w14:textId="77777777" w:rsidR="000C01AA" w:rsidRPr="000C01AA" w:rsidRDefault="000C01AA" w:rsidP="000C01AA">
      <w:pPr>
        <w:spacing w:line="240" w:lineRule="auto"/>
        <w:rPr>
          <w:rFonts w:cs="Arial"/>
          <w:szCs w:val="20"/>
        </w:rPr>
      </w:pPr>
      <w:r w:rsidRPr="000C01AA">
        <w:rPr>
          <w:rFonts w:cs="Arial"/>
          <w:szCs w:val="20"/>
        </w:rPr>
        <w:tab/>
      </w:r>
      <w:proofErr w:type="spellStart"/>
      <w:r w:rsidRPr="000C01AA">
        <w:rPr>
          <w:rFonts w:cs="Arial"/>
          <w:szCs w:val="20"/>
        </w:rPr>
        <w:t>Geokompozyt</w:t>
      </w:r>
      <w:proofErr w:type="spellEnd"/>
      <w:r w:rsidRPr="000C01AA">
        <w:rPr>
          <w:rFonts w:cs="Arial"/>
          <w:szCs w:val="20"/>
        </w:rPr>
        <w:t xml:space="preserve"> należy transportować w rolkach owiniętych folią w celu zabezpieczenia go przed uszkodzeniem w czasie transportu i składowania na budowie, a także przed negatywnym działaniem ultrafioletowego promieniowania słonecznego. Rolki powinny być przewożone w pozycji pionowej lub ułożone poziomo, nie więcej niż w trzech warstwach. Podczas transportu i składowania należy chronić materiał przed zawilgoceniem i zabrudzeniem. W czasie wyładowania </w:t>
      </w:r>
      <w:proofErr w:type="spellStart"/>
      <w:r w:rsidRPr="000C01AA">
        <w:rPr>
          <w:rFonts w:cs="Arial"/>
          <w:szCs w:val="20"/>
        </w:rPr>
        <w:t>geokompozytu</w:t>
      </w:r>
      <w:proofErr w:type="spellEnd"/>
      <w:r w:rsidRPr="000C01AA">
        <w:rPr>
          <w:rFonts w:cs="Arial"/>
          <w:szCs w:val="20"/>
        </w:rPr>
        <w:t xml:space="preserve"> ze środka transportu nie należy dopuścić do porozrywania lub podziurawienia opakowania z folii.</w:t>
      </w:r>
    </w:p>
    <w:p w14:paraId="07C21255" w14:textId="77777777" w:rsidR="000C01AA" w:rsidRPr="000C01AA" w:rsidRDefault="000C01AA" w:rsidP="000C01AA">
      <w:pPr>
        <w:spacing w:line="240" w:lineRule="auto"/>
        <w:rPr>
          <w:rFonts w:cs="Arial"/>
          <w:szCs w:val="20"/>
        </w:rPr>
      </w:pPr>
      <w:r w:rsidRPr="000C01AA">
        <w:rPr>
          <w:rFonts w:cs="Arial"/>
          <w:szCs w:val="20"/>
        </w:rPr>
        <w:tab/>
        <w:t xml:space="preserve">Emulsja asfaltowa może być transportowana w cysternach, skrapiarkach, beczkach i innych opakowaniach, pod warunkiem, że nie będą korodowały pod wpływem emulsji i nie będą powodowały jej rozpadu. Cysterny powinny być przedzielone przegrodami na komory o pojemności do </w:t>
      </w:r>
      <w:smartTag w:uri="urn:schemas-microsoft-com:office:smarttags" w:element="metricconverter">
        <w:smartTagPr>
          <w:attr w:name="ProductID" w:val="1 m3"/>
        </w:smartTagPr>
        <w:r w:rsidRPr="000C01AA">
          <w:rPr>
            <w:rFonts w:cs="Arial"/>
            <w:szCs w:val="20"/>
          </w:rPr>
          <w:t>1 m</w:t>
        </w:r>
        <w:r w:rsidRPr="000C01AA">
          <w:rPr>
            <w:rFonts w:cs="Arial"/>
            <w:szCs w:val="20"/>
            <w:vertAlign w:val="superscript"/>
          </w:rPr>
          <w:t>3</w:t>
        </w:r>
      </w:smartTag>
      <w:r w:rsidRPr="000C01AA">
        <w:rPr>
          <w:rFonts w:cs="Arial"/>
          <w:szCs w:val="20"/>
        </w:rPr>
        <w:t>, które powinny mieć wykroje umożliwiające przepływ emulsji. Zbiorniki do przewozu emulsji powinny być czyste i nie zawierać resztek innych lepiszczy.</w:t>
      </w:r>
    </w:p>
    <w:p w14:paraId="3B4605D2" w14:textId="77777777" w:rsidR="000C01AA" w:rsidRPr="000C01AA" w:rsidRDefault="000C01AA" w:rsidP="000C01AA">
      <w:pPr>
        <w:spacing w:line="240" w:lineRule="auto"/>
        <w:rPr>
          <w:rFonts w:cs="Arial"/>
          <w:szCs w:val="20"/>
        </w:rPr>
      </w:pPr>
      <w:r w:rsidRPr="000C01AA">
        <w:rPr>
          <w:rFonts w:cs="Arial"/>
          <w:szCs w:val="20"/>
        </w:rPr>
        <w:tab/>
        <w:t>Transport materiałów do budowy nowej nawierzchni powinien być zgodny z ustaleniami dla całego budowanego odcinka drogi.</w:t>
      </w:r>
    </w:p>
    <w:p w14:paraId="085A12F3" w14:textId="77777777" w:rsidR="000C01AA" w:rsidRPr="000C01AA" w:rsidRDefault="000C01AA" w:rsidP="000C01AA">
      <w:pPr>
        <w:pStyle w:val="Nagwek1"/>
        <w:numPr>
          <w:ilvl w:val="12"/>
          <w:numId w:val="0"/>
        </w:numPr>
        <w:spacing w:line="240" w:lineRule="auto"/>
        <w:rPr>
          <w:rFonts w:cs="Arial"/>
          <w:szCs w:val="20"/>
        </w:rPr>
      </w:pPr>
      <w:bookmarkStart w:id="985" w:name="_Toc124213277"/>
      <w:bookmarkStart w:id="986" w:name="_Toc144694239"/>
      <w:bookmarkStart w:id="987" w:name="_Toc199904823"/>
      <w:bookmarkStart w:id="988" w:name="_Toc204566520"/>
      <w:bookmarkStart w:id="989" w:name="_Toc233428813"/>
      <w:bookmarkStart w:id="990" w:name="_Toc235854626"/>
      <w:bookmarkStart w:id="991" w:name="_Toc250368195"/>
      <w:r w:rsidRPr="000C01AA">
        <w:rPr>
          <w:rFonts w:cs="Arial"/>
          <w:szCs w:val="20"/>
        </w:rPr>
        <w:t xml:space="preserve">5. </w:t>
      </w:r>
      <w:bookmarkEnd w:id="985"/>
      <w:bookmarkEnd w:id="986"/>
      <w:bookmarkEnd w:id="987"/>
      <w:bookmarkEnd w:id="988"/>
      <w:bookmarkEnd w:id="989"/>
      <w:bookmarkEnd w:id="990"/>
      <w:bookmarkEnd w:id="991"/>
      <w:r w:rsidRPr="000C01AA">
        <w:rPr>
          <w:rFonts w:cs="Arial"/>
          <w:szCs w:val="20"/>
        </w:rPr>
        <w:t>WYKONANIE ROBÓT</w:t>
      </w:r>
    </w:p>
    <w:p w14:paraId="02959699" w14:textId="77777777" w:rsidR="000C01AA" w:rsidRPr="000C01AA" w:rsidRDefault="000C01AA" w:rsidP="000C01AA">
      <w:pPr>
        <w:pStyle w:val="Nagwek2"/>
        <w:numPr>
          <w:ilvl w:val="12"/>
          <w:numId w:val="0"/>
        </w:numPr>
        <w:spacing w:line="240" w:lineRule="auto"/>
        <w:rPr>
          <w:rFonts w:cs="Arial"/>
          <w:szCs w:val="20"/>
        </w:rPr>
      </w:pPr>
      <w:r w:rsidRPr="000C01AA">
        <w:rPr>
          <w:rFonts w:cs="Arial"/>
          <w:szCs w:val="20"/>
        </w:rPr>
        <w:t>5.1. Ogólne zasady wykonania robót</w:t>
      </w:r>
    </w:p>
    <w:p w14:paraId="3FBF2667" w14:textId="0EBA7077" w:rsidR="000C01AA" w:rsidRPr="000C01AA" w:rsidRDefault="000C01AA" w:rsidP="000C01AA">
      <w:pPr>
        <w:numPr>
          <w:ilvl w:val="12"/>
          <w:numId w:val="0"/>
        </w:numPr>
        <w:spacing w:line="240" w:lineRule="auto"/>
        <w:rPr>
          <w:rFonts w:cs="Arial"/>
          <w:szCs w:val="20"/>
        </w:rPr>
      </w:pPr>
      <w:r w:rsidRPr="000C01AA">
        <w:rPr>
          <w:rFonts w:cs="Arial"/>
          <w:szCs w:val="20"/>
        </w:rPr>
        <w:tab/>
        <w:t xml:space="preserve">Ogólne zasady wykonania robót podano w </w:t>
      </w:r>
      <w:r>
        <w:rPr>
          <w:rFonts w:cs="Arial"/>
          <w:szCs w:val="20"/>
        </w:rPr>
        <w:t>S</w:t>
      </w:r>
      <w:r w:rsidRPr="000C01AA">
        <w:rPr>
          <w:rFonts w:cs="Arial"/>
          <w:szCs w:val="20"/>
        </w:rPr>
        <w:t>ST D-M-00.00.00 „Wymagania ogólne” [1] pkt 5.</w:t>
      </w:r>
    </w:p>
    <w:p w14:paraId="23310774" w14:textId="77777777" w:rsidR="000C01AA" w:rsidRPr="000C01AA" w:rsidRDefault="000C01AA" w:rsidP="000C01AA">
      <w:pPr>
        <w:pStyle w:val="Nagwek2"/>
        <w:spacing w:line="240" w:lineRule="auto"/>
        <w:rPr>
          <w:rFonts w:cs="Arial"/>
          <w:szCs w:val="20"/>
        </w:rPr>
      </w:pPr>
      <w:r w:rsidRPr="000C01AA">
        <w:rPr>
          <w:rFonts w:cs="Arial"/>
          <w:szCs w:val="20"/>
        </w:rPr>
        <w:t>5.2. Zasady wykonywania robót</w:t>
      </w:r>
    </w:p>
    <w:p w14:paraId="2AF7A2F1" w14:textId="77777777" w:rsidR="000C01AA" w:rsidRPr="000C01AA" w:rsidRDefault="000C01AA" w:rsidP="000C01AA">
      <w:pPr>
        <w:spacing w:line="240" w:lineRule="auto"/>
        <w:ind w:firstLine="709"/>
        <w:rPr>
          <w:rFonts w:cs="Arial"/>
          <w:szCs w:val="20"/>
        </w:rPr>
      </w:pPr>
      <w:r w:rsidRPr="000C01AA">
        <w:rPr>
          <w:rFonts w:cs="Arial"/>
          <w:szCs w:val="20"/>
        </w:rPr>
        <w:t>Sposób wykonania robót powinien być zgodny z dokumentacją projektową i ST. W przypadku braku wystarczających danych można korzystać z ustaleń podanych w niniejszej specyfikacji oraz z informacji podanych w załącznikach.</w:t>
      </w:r>
    </w:p>
    <w:p w14:paraId="7932BB0F" w14:textId="77777777" w:rsidR="000C01AA" w:rsidRPr="000C01AA" w:rsidRDefault="000C01AA" w:rsidP="000C01AA">
      <w:pPr>
        <w:spacing w:line="240" w:lineRule="auto"/>
        <w:rPr>
          <w:rFonts w:cs="Arial"/>
          <w:szCs w:val="20"/>
        </w:rPr>
      </w:pPr>
      <w:r w:rsidRPr="000C01AA">
        <w:rPr>
          <w:rFonts w:cs="Arial"/>
          <w:szCs w:val="20"/>
        </w:rPr>
        <w:tab/>
        <w:t>Podstawowe czynności przy wykonywaniu robót obejmują:</w:t>
      </w:r>
    </w:p>
    <w:p w14:paraId="2A3F218A" w14:textId="77777777" w:rsidR="000C01AA" w:rsidRPr="000C01AA" w:rsidRDefault="000C01AA" w:rsidP="000C01AA">
      <w:pPr>
        <w:numPr>
          <w:ilvl w:val="0"/>
          <w:numId w:val="79"/>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roboty przygotowawcze, </w:t>
      </w:r>
    </w:p>
    <w:p w14:paraId="52F684F9" w14:textId="77777777" w:rsidR="000C01AA" w:rsidRPr="000C01AA" w:rsidRDefault="000C01AA" w:rsidP="000C01AA">
      <w:pPr>
        <w:numPr>
          <w:ilvl w:val="0"/>
          <w:numId w:val="79"/>
        </w:numPr>
        <w:overflowPunct w:val="0"/>
        <w:autoSpaceDE w:val="0"/>
        <w:autoSpaceDN w:val="0"/>
        <w:adjustRightInd w:val="0"/>
        <w:spacing w:line="240" w:lineRule="auto"/>
        <w:jc w:val="both"/>
        <w:textAlignment w:val="baseline"/>
        <w:rPr>
          <w:rFonts w:cs="Arial"/>
          <w:szCs w:val="20"/>
        </w:rPr>
      </w:pPr>
      <w:r w:rsidRPr="000C01AA">
        <w:rPr>
          <w:rFonts w:cs="Arial"/>
          <w:szCs w:val="20"/>
        </w:rPr>
        <w:t>rozbiórkę starej nawierzchni,</w:t>
      </w:r>
    </w:p>
    <w:p w14:paraId="56581621" w14:textId="77777777" w:rsidR="000C01AA" w:rsidRPr="000C01AA" w:rsidRDefault="000C01AA" w:rsidP="000C01AA">
      <w:pPr>
        <w:numPr>
          <w:ilvl w:val="0"/>
          <w:numId w:val="79"/>
        </w:numPr>
        <w:overflowPunct w:val="0"/>
        <w:autoSpaceDE w:val="0"/>
        <w:autoSpaceDN w:val="0"/>
        <w:adjustRightInd w:val="0"/>
        <w:spacing w:line="240" w:lineRule="auto"/>
        <w:jc w:val="both"/>
        <w:textAlignment w:val="baseline"/>
        <w:rPr>
          <w:rFonts w:cs="Arial"/>
          <w:szCs w:val="20"/>
        </w:rPr>
      </w:pPr>
      <w:r w:rsidRPr="000C01AA">
        <w:rPr>
          <w:rFonts w:cs="Arial"/>
          <w:szCs w:val="20"/>
        </w:rPr>
        <w:t>ułożenie nowych warstw podbudowy i warstwy wiążącej,</w:t>
      </w:r>
    </w:p>
    <w:p w14:paraId="0C55C962" w14:textId="77777777" w:rsidR="000C01AA" w:rsidRPr="000C01AA" w:rsidRDefault="000C01AA" w:rsidP="000C01AA">
      <w:pPr>
        <w:numPr>
          <w:ilvl w:val="0"/>
          <w:numId w:val="79"/>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ułożenie </w:t>
      </w:r>
      <w:proofErr w:type="spellStart"/>
      <w:r w:rsidRPr="000C01AA">
        <w:rPr>
          <w:rFonts w:cs="Arial"/>
          <w:szCs w:val="20"/>
        </w:rPr>
        <w:t>geokompozytu</w:t>
      </w:r>
      <w:proofErr w:type="spellEnd"/>
      <w:r w:rsidRPr="000C01AA">
        <w:rPr>
          <w:rFonts w:cs="Arial"/>
          <w:szCs w:val="20"/>
        </w:rPr>
        <w:t xml:space="preserve"> i warstwy ścieralnej,</w:t>
      </w:r>
    </w:p>
    <w:p w14:paraId="521B5C76" w14:textId="77777777" w:rsidR="000C01AA" w:rsidRPr="000C01AA" w:rsidRDefault="000C01AA" w:rsidP="000C01AA">
      <w:pPr>
        <w:numPr>
          <w:ilvl w:val="0"/>
          <w:numId w:val="79"/>
        </w:numPr>
        <w:overflowPunct w:val="0"/>
        <w:autoSpaceDE w:val="0"/>
        <w:autoSpaceDN w:val="0"/>
        <w:adjustRightInd w:val="0"/>
        <w:spacing w:line="240" w:lineRule="auto"/>
        <w:jc w:val="both"/>
        <w:textAlignment w:val="baseline"/>
        <w:rPr>
          <w:rFonts w:cs="Arial"/>
          <w:szCs w:val="20"/>
        </w:rPr>
      </w:pPr>
      <w:r w:rsidRPr="000C01AA">
        <w:rPr>
          <w:rFonts w:cs="Arial"/>
          <w:szCs w:val="20"/>
        </w:rPr>
        <w:t>roboty wykończeniowe.</w:t>
      </w:r>
    </w:p>
    <w:p w14:paraId="7EB70CFB" w14:textId="77777777" w:rsidR="000C01AA" w:rsidRPr="000C01AA" w:rsidRDefault="000C01AA" w:rsidP="000C01AA">
      <w:pPr>
        <w:pStyle w:val="Nagwek2"/>
        <w:spacing w:line="240" w:lineRule="auto"/>
        <w:rPr>
          <w:rFonts w:cs="Arial"/>
          <w:szCs w:val="20"/>
        </w:rPr>
      </w:pPr>
      <w:r w:rsidRPr="000C01AA">
        <w:rPr>
          <w:rFonts w:cs="Arial"/>
          <w:szCs w:val="20"/>
        </w:rPr>
        <w:t>5.3. Roboty przygotowawcze</w:t>
      </w:r>
    </w:p>
    <w:p w14:paraId="4F79EB86" w14:textId="77777777" w:rsidR="000C01AA" w:rsidRPr="000C01AA" w:rsidRDefault="000C01AA" w:rsidP="000C01AA">
      <w:pPr>
        <w:spacing w:line="240" w:lineRule="auto"/>
        <w:rPr>
          <w:rFonts w:cs="Arial"/>
          <w:szCs w:val="20"/>
        </w:rPr>
      </w:pPr>
      <w:r w:rsidRPr="000C01AA">
        <w:rPr>
          <w:rFonts w:cs="Arial"/>
          <w:szCs w:val="20"/>
        </w:rPr>
        <w:tab/>
        <w:t>Przed przystąpieniem do robót należy, na podstawie dokumentacji projektowej,  ST lub wskazań Inżyniera:</w:t>
      </w:r>
    </w:p>
    <w:p w14:paraId="134D54B7" w14:textId="77777777" w:rsidR="000C01AA" w:rsidRPr="000C01AA" w:rsidRDefault="000C01AA" w:rsidP="000C01AA">
      <w:pPr>
        <w:numPr>
          <w:ilvl w:val="0"/>
          <w:numId w:val="80"/>
        </w:numPr>
        <w:overflowPunct w:val="0"/>
        <w:autoSpaceDE w:val="0"/>
        <w:autoSpaceDN w:val="0"/>
        <w:adjustRightInd w:val="0"/>
        <w:spacing w:line="240" w:lineRule="auto"/>
        <w:jc w:val="both"/>
        <w:textAlignment w:val="baseline"/>
        <w:rPr>
          <w:rFonts w:cs="Arial"/>
          <w:szCs w:val="20"/>
        </w:rPr>
      </w:pPr>
      <w:r w:rsidRPr="000C01AA">
        <w:rPr>
          <w:rFonts w:cs="Arial"/>
          <w:szCs w:val="20"/>
        </w:rPr>
        <w:t>ustalić lokalizację robót, wyznaczyć oraz oznaczyć linię styku istniejącej nawierzchni i nowej konstrukcji,</w:t>
      </w:r>
    </w:p>
    <w:p w14:paraId="18B7AC93" w14:textId="77777777" w:rsidR="000C01AA" w:rsidRPr="000C01AA" w:rsidRDefault="000C01AA" w:rsidP="000C01AA">
      <w:pPr>
        <w:numPr>
          <w:ilvl w:val="0"/>
          <w:numId w:val="80"/>
        </w:numPr>
        <w:overflowPunct w:val="0"/>
        <w:autoSpaceDE w:val="0"/>
        <w:autoSpaceDN w:val="0"/>
        <w:adjustRightInd w:val="0"/>
        <w:spacing w:line="240" w:lineRule="auto"/>
        <w:jc w:val="both"/>
        <w:textAlignment w:val="baseline"/>
        <w:rPr>
          <w:rFonts w:cs="Arial"/>
          <w:szCs w:val="20"/>
        </w:rPr>
      </w:pPr>
      <w:r w:rsidRPr="000C01AA">
        <w:rPr>
          <w:rFonts w:cs="Arial"/>
          <w:szCs w:val="20"/>
        </w:rPr>
        <w:t>ew. przeprowadzić obliczenia i pomiary geodezyjne niezbędne do szczegółowego wytyczenia robót oraz ustalenia danych wysokościowych,</w:t>
      </w:r>
    </w:p>
    <w:p w14:paraId="596450CD" w14:textId="77777777" w:rsidR="000C01AA" w:rsidRPr="000C01AA" w:rsidRDefault="000C01AA" w:rsidP="000C01AA">
      <w:pPr>
        <w:numPr>
          <w:ilvl w:val="0"/>
          <w:numId w:val="80"/>
        </w:numPr>
        <w:overflowPunct w:val="0"/>
        <w:autoSpaceDE w:val="0"/>
        <w:autoSpaceDN w:val="0"/>
        <w:adjustRightInd w:val="0"/>
        <w:spacing w:line="240" w:lineRule="auto"/>
        <w:jc w:val="both"/>
        <w:textAlignment w:val="baseline"/>
        <w:rPr>
          <w:rFonts w:cs="Arial"/>
          <w:szCs w:val="20"/>
        </w:rPr>
      </w:pPr>
      <w:r w:rsidRPr="000C01AA">
        <w:rPr>
          <w:rFonts w:cs="Arial"/>
          <w:szCs w:val="20"/>
        </w:rPr>
        <w:t>usunąć przeszkody, np. drzewa, krzaki, obiekty, elementy dróg, ogrodzeń itd.</w:t>
      </w:r>
    </w:p>
    <w:p w14:paraId="787CBAA9" w14:textId="77777777" w:rsidR="000C01AA" w:rsidRPr="000C01AA" w:rsidRDefault="000C01AA" w:rsidP="000C01AA">
      <w:pPr>
        <w:pStyle w:val="Nagwek2"/>
        <w:spacing w:line="240" w:lineRule="auto"/>
        <w:rPr>
          <w:rFonts w:cs="Arial"/>
          <w:szCs w:val="20"/>
        </w:rPr>
      </w:pPr>
      <w:r w:rsidRPr="000C01AA">
        <w:rPr>
          <w:rFonts w:cs="Arial"/>
          <w:szCs w:val="20"/>
        </w:rPr>
        <w:t>5.4. Rozbiórka starej nawierzchni</w:t>
      </w:r>
    </w:p>
    <w:p w14:paraId="6411DEB4" w14:textId="77777777" w:rsidR="000C01AA" w:rsidRPr="000C01AA" w:rsidRDefault="000C01AA" w:rsidP="000C01AA">
      <w:pPr>
        <w:spacing w:line="240" w:lineRule="auto"/>
        <w:rPr>
          <w:rFonts w:cs="Arial"/>
          <w:szCs w:val="20"/>
        </w:rPr>
      </w:pPr>
      <w:r w:rsidRPr="000C01AA">
        <w:rPr>
          <w:rFonts w:cs="Arial"/>
          <w:szCs w:val="20"/>
        </w:rPr>
        <w:tab/>
        <w:t>Fragment istniejącej nawierzchni, od wyznaczonej linii styku nowej i starej nawierzchni, należy rozebrać do głębokości przewidzianej dokumentacją projektową, przy użyciu ręcznego sprzętu rozbiórkowego lub frezarki.</w:t>
      </w:r>
    </w:p>
    <w:p w14:paraId="1C997C3B" w14:textId="77777777" w:rsidR="000C01AA" w:rsidRPr="000C01AA" w:rsidRDefault="000C01AA" w:rsidP="000C01AA">
      <w:pPr>
        <w:spacing w:line="240" w:lineRule="auto"/>
        <w:rPr>
          <w:rFonts w:cs="Arial"/>
          <w:szCs w:val="20"/>
        </w:rPr>
      </w:pPr>
      <w:r w:rsidRPr="000C01AA">
        <w:rPr>
          <w:rFonts w:cs="Arial"/>
          <w:szCs w:val="20"/>
        </w:rPr>
        <w:tab/>
        <w:t xml:space="preserve">Przy rozbiórce istniejącej nawierzchni należy wykonać stopnie w istniejącej konstrukcji w celu uzyskania prawidłowego wzmocnionego połączenia nowych i starych warstw. Szerokość stopni powinna być nie mniejsza niż 1,5 grubości wyżej położonej warstwy, z wyjątkiem stopnia pod warstwą ścieralną, którego szerokość powinna wynosić 1,1 ÷ </w:t>
      </w:r>
      <w:smartTag w:uri="urn:schemas-microsoft-com:office:smarttags" w:element="metricconverter">
        <w:smartTagPr>
          <w:attr w:name="ProductID" w:val="1,15 m"/>
        </w:smartTagPr>
        <w:r w:rsidRPr="000C01AA">
          <w:rPr>
            <w:rFonts w:cs="Arial"/>
            <w:szCs w:val="20"/>
          </w:rPr>
          <w:t>1,15 m</w:t>
        </w:r>
      </w:smartTag>
      <w:r w:rsidRPr="000C01AA">
        <w:rPr>
          <w:rFonts w:cs="Arial"/>
          <w:szCs w:val="20"/>
        </w:rPr>
        <w:t>.</w:t>
      </w:r>
    </w:p>
    <w:p w14:paraId="473F98EF" w14:textId="77777777" w:rsidR="000C01AA" w:rsidRPr="000C01AA" w:rsidRDefault="000C01AA" w:rsidP="000C01AA">
      <w:pPr>
        <w:spacing w:line="240" w:lineRule="auto"/>
        <w:rPr>
          <w:rFonts w:cs="Arial"/>
          <w:szCs w:val="20"/>
        </w:rPr>
      </w:pPr>
      <w:r w:rsidRPr="000C01AA">
        <w:rPr>
          <w:rFonts w:cs="Arial"/>
          <w:szCs w:val="20"/>
        </w:rPr>
        <w:tab/>
        <w:t>Przykład rozbiórki istniejącej nawierzchni przedstawiono na rysunku 1.</w:t>
      </w:r>
    </w:p>
    <w:p w14:paraId="6DDAD6D2" w14:textId="77777777" w:rsidR="000C01AA" w:rsidRPr="000C01AA" w:rsidRDefault="000C01AA" w:rsidP="000C01AA">
      <w:pPr>
        <w:pStyle w:val="Nagwek2"/>
        <w:spacing w:line="240" w:lineRule="auto"/>
        <w:rPr>
          <w:rFonts w:cs="Arial"/>
          <w:szCs w:val="20"/>
        </w:rPr>
      </w:pPr>
      <w:r w:rsidRPr="000C01AA">
        <w:rPr>
          <w:rFonts w:cs="Arial"/>
          <w:szCs w:val="20"/>
        </w:rPr>
        <w:t>5.5. Ułożenie nowych warstw podbudowy i warstwy wiążącej</w:t>
      </w:r>
    </w:p>
    <w:p w14:paraId="7F7039DC" w14:textId="77777777" w:rsidR="000C01AA" w:rsidRPr="000C01AA" w:rsidRDefault="000C01AA" w:rsidP="000C01AA">
      <w:pPr>
        <w:spacing w:line="240" w:lineRule="auto"/>
        <w:rPr>
          <w:rFonts w:cs="Arial"/>
          <w:szCs w:val="20"/>
        </w:rPr>
      </w:pPr>
      <w:r w:rsidRPr="000C01AA">
        <w:rPr>
          <w:rFonts w:cs="Arial"/>
          <w:szCs w:val="20"/>
        </w:rPr>
        <w:tab/>
        <w:t>Do przygotowanych stopni na powierzchniach warstw nawierzchni należy doprowadzić nowe warstwy podbudowy i warstwę wiążącą. Stare powierzchnie warstw należy oczyścić, a w przypadku konstrukcji niezwiązanych należy je zagęścić.</w:t>
      </w:r>
    </w:p>
    <w:p w14:paraId="0F68ABA1" w14:textId="77777777" w:rsidR="000C01AA" w:rsidRPr="000C01AA" w:rsidRDefault="000C01AA" w:rsidP="000C01AA">
      <w:pPr>
        <w:spacing w:line="240" w:lineRule="auto"/>
        <w:rPr>
          <w:rFonts w:cs="Arial"/>
          <w:szCs w:val="20"/>
        </w:rPr>
      </w:pPr>
      <w:r w:rsidRPr="000C01AA">
        <w:rPr>
          <w:rFonts w:cs="Arial"/>
          <w:szCs w:val="20"/>
        </w:rPr>
        <w:tab/>
        <w:t>Wykonanie konstrukcji warstw nawierzchni powinno odpowiadać wymaganiom właściwych specyfikacji technicznych, określonych w dokumentacji projektowej.</w:t>
      </w:r>
    </w:p>
    <w:p w14:paraId="3D8CF8F5" w14:textId="77777777" w:rsidR="000C01AA" w:rsidRPr="000C01AA" w:rsidRDefault="000C01AA" w:rsidP="000C01AA">
      <w:pPr>
        <w:pStyle w:val="Nagwek2"/>
        <w:spacing w:line="240" w:lineRule="auto"/>
        <w:rPr>
          <w:rFonts w:cs="Arial"/>
          <w:szCs w:val="20"/>
        </w:rPr>
      </w:pPr>
      <w:r w:rsidRPr="000C01AA">
        <w:rPr>
          <w:rFonts w:cs="Arial"/>
          <w:szCs w:val="20"/>
        </w:rPr>
        <w:t xml:space="preserve">5.6. Ułożenie </w:t>
      </w:r>
      <w:proofErr w:type="spellStart"/>
      <w:r w:rsidRPr="000C01AA">
        <w:rPr>
          <w:rFonts w:cs="Arial"/>
          <w:szCs w:val="20"/>
        </w:rPr>
        <w:t>geokompozytu</w:t>
      </w:r>
      <w:proofErr w:type="spellEnd"/>
      <w:r w:rsidRPr="000C01AA">
        <w:rPr>
          <w:rFonts w:cs="Arial"/>
          <w:szCs w:val="20"/>
        </w:rPr>
        <w:t xml:space="preserve"> i warstwy ścieralnej</w:t>
      </w:r>
    </w:p>
    <w:p w14:paraId="6437B50E" w14:textId="77777777" w:rsidR="000C01AA" w:rsidRPr="000C01AA" w:rsidRDefault="000C01AA" w:rsidP="000C01AA">
      <w:pPr>
        <w:spacing w:line="240" w:lineRule="auto"/>
        <w:rPr>
          <w:rFonts w:cs="Arial"/>
          <w:szCs w:val="20"/>
        </w:rPr>
      </w:pPr>
      <w:r w:rsidRPr="000C01AA">
        <w:rPr>
          <w:rFonts w:cs="Arial"/>
          <w:szCs w:val="20"/>
        </w:rPr>
        <w:tab/>
        <w:t>Na ułożonej i zagęszczonej warstwie wiążącej (np. z betonu asfaltowego) należy:</w:t>
      </w:r>
    </w:p>
    <w:p w14:paraId="4829C30F" w14:textId="77777777" w:rsidR="000C01AA" w:rsidRPr="000C01AA" w:rsidRDefault="000C01AA" w:rsidP="00CF1E7D">
      <w:pPr>
        <w:numPr>
          <w:ilvl w:val="0"/>
          <w:numId w:val="283"/>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skropić emulsją asfaltową, według </w:t>
      </w:r>
      <w:proofErr w:type="spellStart"/>
      <w:r w:rsidRPr="000C01AA">
        <w:rPr>
          <w:rFonts w:cs="Arial"/>
          <w:szCs w:val="20"/>
        </w:rPr>
        <w:t>pktu</w:t>
      </w:r>
      <w:proofErr w:type="spellEnd"/>
      <w:r w:rsidRPr="000C01AA">
        <w:rPr>
          <w:rFonts w:cs="Arial"/>
          <w:szCs w:val="20"/>
        </w:rPr>
        <w:t xml:space="preserve"> 2.2.4, pas szerokości 2,2 ÷ </w:t>
      </w:r>
      <w:smartTag w:uri="urn:schemas-microsoft-com:office:smarttags" w:element="metricconverter">
        <w:smartTagPr>
          <w:attr w:name="ProductID" w:val="2,3 m"/>
        </w:smartTagPr>
        <w:r w:rsidRPr="000C01AA">
          <w:rPr>
            <w:rFonts w:cs="Arial"/>
            <w:szCs w:val="20"/>
          </w:rPr>
          <w:t>2,3 m</w:t>
        </w:r>
      </w:smartTag>
      <w:r w:rsidRPr="000C01AA">
        <w:rPr>
          <w:rFonts w:cs="Arial"/>
          <w:szCs w:val="20"/>
        </w:rPr>
        <w:t xml:space="preserve"> (około 0,2 ÷ </w:t>
      </w:r>
      <w:smartTag w:uri="urn:schemas-microsoft-com:office:smarttags" w:element="metricconverter">
        <w:smartTagPr>
          <w:attr w:name="ProductID" w:val="0,3 m"/>
        </w:smartTagPr>
        <w:r w:rsidRPr="000C01AA">
          <w:rPr>
            <w:rFonts w:cs="Arial"/>
            <w:szCs w:val="20"/>
          </w:rPr>
          <w:t>0,3 m</w:t>
        </w:r>
      </w:smartTag>
      <w:r w:rsidRPr="000C01AA">
        <w:rPr>
          <w:rFonts w:cs="Arial"/>
          <w:szCs w:val="20"/>
        </w:rPr>
        <w:t xml:space="preserve"> większy niż szerokość </w:t>
      </w:r>
      <w:proofErr w:type="spellStart"/>
      <w:r w:rsidRPr="000C01AA">
        <w:rPr>
          <w:rFonts w:cs="Arial"/>
          <w:szCs w:val="20"/>
        </w:rPr>
        <w:t>geokompozytu</w:t>
      </w:r>
      <w:proofErr w:type="spellEnd"/>
      <w:r w:rsidRPr="000C01AA">
        <w:rPr>
          <w:rFonts w:cs="Arial"/>
          <w:szCs w:val="20"/>
        </w:rPr>
        <w:t>, który ma być ułożony),</w:t>
      </w:r>
    </w:p>
    <w:p w14:paraId="052D02A6" w14:textId="77777777" w:rsidR="000C01AA" w:rsidRPr="000C01AA" w:rsidRDefault="000C01AA" w:rsidP="00CF1E7D">
      <w:pPr>
        <w:numPr>
          <w:ilvl w:val="0"/>
          <w:numId w:val="283"/>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ułożyć </w:t>
      </w:r>
      <w:proofErr w:type="spellStart"/>
      <w:r w:rsidRPr="000C01AA">
        <w:rPr>
          <w:rFonts w:cs="Arial"/>
          <w:szCs w:val="20"/>
        </w:rPr>
        <w:t>geokompozyt</w:t>
      </w:r>
      <w:proofErr w:type="spellEnd"/>
      <w:r w:rsidRPr="000C01AA">
        <w:rPr>
          <w:rFonts w:cs="Arial"/>
          <w:szCs w:val="20"/>
        </w:rPr>
        <w:t xml:space="preserve"> o szerokości co najmniej </w:t>
      </w:r>
      <w:smartTag w:uri="urn:schemas-microsoft-com:office:smarttags" w:element="metricconverter">
        <w:smartTagPr>
          <w:attr w:name="ProductID" w:val="1,0 m"/>
        </w:smartTagPr>
        <w:r w:rsidRPr="000C01AA">
          <w:rPr>
            <w:rFonts w:cs="Arial"/>
            <w:szCs w:val="20"/>
          </w:rPr>
          <w:t>1,0 m</w:t>
        </w:r>
      </w:smartTag>
      <w:r w:rsidRPr="000C01AA">
        <w:rPr>
          <w:rFonts w:cs="Arial"/>
          <w:szCs w:val="20"/>
        </w:rPr>
        <w:t xml:space="preserve"> po każdej stronie połączenia,</w:t>
      </w:r>
    </w:p>
    <w:p w14:paraId="2ACB58DF" w14:textId="77777777" w:rsidR="000C01AA" w:rsidRPr="000C01AA" w:rsidRDefault="000C01AA" w:rsidP="00CF1E7D">
      <w:pPr>
        <w:numPr>
          <w:ilvl w:val="0"/>
          <w:numId w:val="283"/>
        </w:numPr>
        <w:overflowPunct w:val="0"/>
        <w:autoSpaceDE w:val="0"/>
        <w:autoSpaceDN w:val="0"/>
        <w:adjustRightInd w:val="0"/>
        <w:spacing w:line="240" w:lineRule="auto"/>
        <w:jc w:val="both"/>
        <w:textAlignment w:val="baseline"/>
        <w:rPr>
          <w:rFonts w:cs="Arial"/>
          <w:szCs w:val="20"/>
        </w:rPr>
      </w:pPr>
      <w:r w:rsidRPr="000C01AA">
        <w:rPr>
          <w:rFonts w:cs="Arial"/>
          <w:szCs w:val="20"/>
        </w:rPr>
        <w:lastRenderedPageBreak/>
        <w:t xml:space="preserve">przykryć całość fragmentu nawierzchni nad </w:t>
      </w:r>
      <w:proofErr w:type="spellStart"/>
      <w:r w:rsidRPr="000C01AA">
        <w:rPr>
          <w:rFonts w:cs="Arial"/>
          <w:szCs w:val="20"/>
        </w:rPr>
        <w:t>geokompozytem</w:t>
      </w:r>
      <w:proofErr w:type="spellEnd"/>
      <w:r w:rsidRPr="000C01AA">
        <w:rPr>
          <w:rFonts w:cs="Arial"/>
          <w:szCs w:val="20"/>
        </w:rPr>
        <w:t xml:space="preserve"> nową warstwą ścieralną.</w:t>
      </w:r>
    </w:p>
    <w:p w14:paraId="561D3030" w14:textId="77777777" w:rsidR="000C01AA" w:rsidRPr="000C01AA" w:rsidRDefault="000C01AA" w:rsidP="000C01AA">
      <w:pPr>
        <w:spacing w:line="240" w:lineRule="auto"/>
        <w:ind w:left="709"/>
        <w:rPr>
          <w:rFonts w:cs="Arial"/>
          <w:szCs w:val="20"/>
        </w:rPr>
      </w:pPr>
      <w:r w:rsidRPr="000C01AA">
        <w:rPr>
          <w:rFonts w:cs="Arial"/>
          <w:szCs w:val="20"/>
        </w:rPr>
        <w:t>Przy wyżej wymienionych czynnościach obowiązują następujące zalecenia:</w:t>
      </w:r>
    </w:p>
    <w:p w14:paraId="38CE7EB9"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układanie </w:t>
      </w:r>
      <w:proofErr w:type="spellStart"/>
      <w:r w:rsidRPr="000C01AA">
        <w:rPr>
          <w:rFonts w:cs="Arial"/>
          <w:szCs w:val="20"/>
        </w:rPr>
        <w:t>geokompozytu</w:t>
      </w:r>
      <w:proofErr w:type="spellEnd"/>
      <w:r w:rsidRPr="000C01AA">
        <w:rPr>
          <w:rFonts w:cs="Arial"/>
          <w:szCs w:val="20"/>
        </w:rPr>
        <w:t xml:space="preserve"> można prowadzić wyłącznie podczas suchej pogody; </w:t>
      </w:r>
      <w:proofErr w:type="spellStart"/>
      <w:r w:rsidRPr="000C01AA">
        <w:rPr>
          <w:rFonts w:cs="Arial"/>
          <w:szCs w:val="20"/>
        </w:rPr>
        <w:t>geokompozyt</w:t>
      </w:r>
      <w:proofErr w:type="spellEnd"/>
      <w:r w:rsidRPr="000C01AA">
        <w:rPr>
          <w:rFonts w:cs="Arial"/>
          <w:szCs w:val="20"/>
        </w:rPr>
        <w:t xml:space="preserve"> nie może być mokry i pozostawiony na noc bez przykrycia warstwą asfaltową; temperatura powietrza powinna wynosić co najmniej +10°C,</w:t>
      </w:r>
    </w:p>
    <w:p w14:paraId="64E05E84"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ilość lepiszcza do skropienia (składa się z lepiszcza do nasycenia podłoża: około 100 ÷ 250 g/m</w:t>
      </w:r>
      <w:r w:rsidRPr="000C01AA">
        <w:rPr>
          <w:rFonts w:cs="Arial"/>
          <w:szCs w:val="20"/>
          <w:vertAlign w:val="superscript"/>
        </w:rPr>
        <w:t>2</w:t>
      </w:r>
      <w:r w:rsidRPr="000C01AA">
        <w:rPr>
          <w:rFonts w:cs="Arial"/>
          <w:szCs w:val="20"/>
        </w:rPr>
        <w:t xml:space="preserve"> efektywnego lepiszcza – asfaltu oraz lepiszcza do nasycenia geowłókniny w </w:t>
      </w:r>
      <w:proofErr w:type="spellStart"/>
      <w:r w:rsidRPr="000C01AA">
        <w:rPr>
          <w:rFonts w:cs="Arial"/>
          <w:szCs w:val="20"/>
        </w:rPr>
        <w:t>geokompozycie</w:t>
      </w:r>
      <w:proofErr w:type="spellEnd"/>
      <w:r w:rsidRPr="000C01AA">
        <w:rPr>
          <w:rFonts w:cs="Arial"/>
          <w:szCs w:val="20"/>
        </w:rPr>
        <w:t xml:space="preserve"> oznaczanego doświadczalnie wg [9]) może orientacyjnie wynosić 1100 ÷ 1600 g/m</w:t>
      </w:r>
      <w:r w:rsidRPr="000C01AA">
        <w:rPr>
          <w:rFonts w:cs="Arial"/>
          <w:szCs w:val="20"/>
          <w:vertAlign w:val="superscript"/>
        </w:rPr>
        <w:t>2</w:t>
      </w:r>
      <w:r w:rsidRPr="000C01AA">
        <w:rPr>
          <w:rFonts w:cs="Arial"/>
          <w:szCs w:val="20"/>
        </w:rPr>
        <w:t xml:space="preserve"> w zależności od stanu podłoża i masy powierzchniowej geowłókniny; właściwą ilość powinien podać dostawca lub producent wyrobu,</w:t>
      </w:r>
    </w:p>
    <w:p w14:paraId="0E96C998"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dobre zespolenie </w:t>
      </w:r>
      <w:proofErr w:type="spellStart"/>
      <w:r w:rsidRPr="000C01AA">
        <w:rPr>
          <w:rFonts w:cs="Arial"/>
          <w:szCs w:val="20"/>
        </w:rPr>
        <w:t>geokompozytu</w:t>
      </w:r>
      <w:proofErr w:type="spellEnd"/>
      <w:r w:rsidRPr="000C01AA">
        <w:rPr>
          <w:rFonts w:cs="Arial"/>
          <w:szCs w:val="20"/>
        </w:rPr>
        <w:t xml:space="preserve"> z sąsiednimi warstwami nawierzchni uzyska się, gdy: podłoże będzie czyste, suche (przed skropieniem), równe (tak aby wyrób do niego przylegał),</w:t>
      </w:r>
    </w:p>
    <w:p w14:paraId="49C08550"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proofErr w:type="spellStart"/>
      <w:r w:rsidRPr="000C01AA">
        <w:rPr>
          <w:rFonts w:cs="Arial"/>
          <w:szCs w:val="20"/>
        </w:rPr>
        <w:t>geokompozyt</w:t>
      </w:r>
      <w:proofErr w:type="spellEnd"/>
      <w:r w:rsidRPr="000C01AA">
        <w:rPr>
          <w:rFonts w:cs="Arial"/>
          <w:szCs w:val="20"/>
        </w:rPr>
        <w:t xml:space="preserve"> powinien być układany stroną z siatką do podłoża, po rozpadzie emulsji asfaltowej i odparowaniu wody; czas oczekiwania na odparowanie powinien być taki, aby pozostały asfalt miał konsystencję lekko klejącą,</w:t>
      </w:r>
    </w:p>
    <w:p w14:paraId="79C737A2"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powierzchnia skrapiana emulsją asfaltową powinna być czysta – wszelkie zanieczyszczenia gliną, kruszywem itp. powinny zostać usunięte przed skropieniem,</w:t>
      </w:r>
    </w:p>
    <w:p w14:paraId="6AAE3F6E"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części </w:t>
      </w:r>
      <w:proofErr w:type="spellStart"/>
      <w:r w:rsidRPr="000C01AA">
        <w:rPr>
          <w:rFonts w:cs="Arial"/>
          <w:szCs w:val="20"/>
        </w:rPr>
        <w:t>geokompozytu</w:t>
      </w:r>
      <w:proofErr w:type="spellEnd"/>
      <w:r w:rsidRPr="000C01AA">
        <w:rPr>
          <w:rFonts w:cs="Arial"/>
          <w:szCs w:val="20"/>
        </w:rPr>
        <w:t xml:space="preserve"> zanieczyszczone smarem i olejem należy wyciąć, a miejsca te należy powtórnie skropić wraz z brzegiem otaczającego wyrobu i wkleić w nie prostokątną łatę </w:t>
      </w:r>
      <w:proofErr w:type="spellStart"/>
      <w:r w:rsidRPr="000C01AA">
        <w:rPr>
          <w:rFonts w:cs="Arial"/>
          <w:szCs w:val="20"/>
        </w:rPr>
        <w:t>geokompozytu</w:t>
      </w:r>
      <w:proofErr w:type="spellEnd"/>
      <w:r w:rsidRPr="000C01AA">
        <w:rPr>
          <w:rFonts w:cs="Arial"/>
          <w:szCs w:val="20"/>
        </w:rPr>
        <w:t xml:space="preserve"> o wymiarach zapewniających przykrycie wyciętego otworu z zakładem około </w:t>
      </w:r>
      <w:smartTag w:uri="urn:schemas-microsoft-com:office:smarttags" w:element="metricconverter">
        <w:smartTagPr>
          <w:attr w:name="ProductID" w:val="0,10 m"/>
        </w:smartTagPr>
        <w:r w:rsidRPr="000C01AA">
          <w:rPr>
            <w:rFonts w:cs="Arial"/>
            <w:szCs w:val="20"/>
          </w:rPr>
          <w:t>0,10 m</w:t>
        </w:r>
      </w:smartTag>
      <w:r w:rsidRPr="000C01AA">
        <w:rPr>
          <w:rFonts w:cs="Arial"/>
          <w:szCs w:val="20"/>
        </w:rPr>
        <w:t>,</w:t>
      </w:r>
    </w:p>
    <w:p w14:paraId="39C44949"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w przypadku łączenia pasów </w:t>
      </w:r>
      <w:proofErr w:type="spellStart"/>
      <w:r w:rsidRPr="000C01AA">
        <w:rPr>
          <w:rFonts w:cs="Arial"/>
          <w:szCs w:val="20"/>
        </w:rPr>
        <w:t>geokompozytu</w:t>
      </w:r>
      <w:proofErr w:type="spellEnd"/>
      <w:r w:rsidRPr="000C01AA">
        <w:rPr>
          <w:rFonts w:cs="Arial"/>
          <w:szCs w:val="20"/>
        </w:rPr>
        <w:t xml:space="preserve"> szerokość poprzecznego zakładu wynosi 0,10 ÷ </w:t>
      </w:r>
      <w:smartTag w:uri="urn:schemas-microsoft-com:office:smarttags" w:element="metricconverter">
        <w:smartTagPr>
          <w:attr w:name="ProductID" w:val="0,15 m"/>
        </w:smartTagPr>
        <w:r w:rsidRPr="000C01AA">
          <w:rPr>
            <w:rFonts w:cs="Arial"/>
            <w:szCs w:val="20"/>
          </w:rPr>
          <w:t>0,15 m</w:t>
        </w:r>
      </w:smartTag>
      <w:r w:rsidRPr="000C01AA">
        <w:rPr>
          <w:rFonts w:cs="Arial"/>
          <w:szCs w:val="20"/>
        </w:rPr>
        <w:t>, przy czym dolną warstwę zakładu należy skropić dodatkowo lepiszczem w ilości około 0,400 g/m</w:t>
      </w:r>
      <w:r w:rsidRPr="000C01AA">
        <w:rPr>
          <w:rFonts w:cs="Arial"/>
          <w:szCs w:val="20"/>
          <w:vertAlign w:val="superscript"/>
        </w:rPr>
        <w:t>2</w:t>
      </w:r>
      <w:r w:rsidRPr="000C01AA">
        <w:rPr>
          <w:rFonts w:cs="Arial"/>
          <w:szCs w:val="20"/>
        </w:rPr>
        <w:t>,</w:t>
      </w:r>
    </w:p>
    <w:p w14:paraId="3A3C45B2"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przy ręcznym układaniu </w:t>
      </w:r>
      <w:proofErr w:type="spellStart"/>
      <w:r w:rsidRPr="000C01AA">
        <w:rPr>
          <w:rFonts w:cs="Arial"/>
          <w:szCs w:val="20"/>
        </w:rPr>
        <w:t>geokompozytu</w:t>
      </w:r>
      <w:proofErr w:type="spellEnd"/>
      <w:r w:rsidRPr="000C01AA">
        <w:rPr>
          <w:rFonts w:cs="Arial"/>
          <w:szCs w:val="20"/>
        </w:rPr>
        <w:t xml:space="preserve"> zaleca się, bezpośrednio po jego ułożeniu, przejazd jednokrotny walcem ogumionym (ew. stalowym) w celu ustabilizowania jego położenia,</w:t>
      </w:r>
    </w:p>
    <w:p w14:paraId="354A7EC7"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w przypadku powstania fałdy w </w:t>
      </w:r>
      <w:proofErr w:type="spellStart"/>
      <w:r w:rsidRPr="000C01AA">
        <w:rPr>
          <w:rFonts w:cs="Arial"/>
          <w:szCs w:val="20"/>
        </w:rPr>
        <w:t>geokompozycie</w:t>
      </w:r>
      <w:proofErr w:type="spellEnd"/>
      <w:r w:rsidRPr="000C01AA">
        <w:rPr>
          <w:rFonts w:cs="Arial"/>
          <w:szCs w:val="20"/>
        </w:rPr>
        <w:t xml:space="preserve"> należy ją przeciąć i założyć w kierunku układania warstwy nawierzchni asfaltowej,</w:t>
      </w:r>
    </w:p>
    <w:p w14:paraId="05EE6C37"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przed ułożeniem warstwy ścieralnej na </w:t>
      </w:r>
      <w:proofErr w:type="spellStart"/>
      <w:r w:rsidRPr="000C01AA">
        <w:rPr>
          <w:rFonts w:cs="Arial"/>
          <w:szCs w:val="20"/>
        </w:rPr>
        <w:t>geokompozycie</w:t>
      </w:r>
      <w:proofErr w:type="spellEnd"/>
      <w:r w:rsidRPr="000C01AA">
        <w:rPr>
          <w:rFonts w:cs="Arial"/>
          <w:szCs w:val="20"/>
        </w:rPr>
        <w:t xml:space="preserve"> należy naprawić miejsca odklejone, fałdy, pęcherze i rozdarcia,</w:t>
      </w:r>
    </w:p>
    <w:p w14:paraId="26BA3E3E" w14:textId="77777777" w:rsidR="000C01AA" w:rsidRPr="000C01AA" w:rsidRDefault="000C01AA" w:rsidP="00CF1E7D">
      <w:pPr>
        <w:numPr>
          <w:ilvl w:val="0"/>
          <w:numId w:val="284"/>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ruch pojazdów roboczych po rozłożeniu </w:t>
      </w:r>
      <w:proofErr w:type="spellStart"/>
      <w:r w:rsidRPr="000C01AA">
        <w:rPr>
          <w:rFonts w:cs="Arial"/>
          <w:szCs w:val="20"/>
        </w:rPr>
        <w:t>geokompozytu</w:t>
      </w:r>
      <w:proofErr w:type="spellEnd"/>
      <w:r w:rsidRPr="000C01AA">
        <w:rPr>
          <w:rFonts w:cs="Arial"/>
          <w:szCs w:val="20"/>
        </w:rPr>
        <w:t xml:space="preserve"> powinien być ograniczony do minimum przy przestrzeganiu zakazu gwałtownego hamowania i skręcania, aby nie fałdować wyrobu.</w:t>
      </w:r>
    </w:p>
    <w:p w14:paraId="51F29635" w14:textId="77777777" w:rsidR="000C01AA" w:rsidRPr="000C01AA" w:rsidRDefault="000C01AA" w:rsidP="000C01AA">
      <w:pPr>
        <w:spacing w:line="240" w:lineRule="auto"/>
        <w:ind w:firstLine="709"/>
        <w:rPr>
          <w:rFonts w:cs="Arial"/>
          <w:szCs w:val="20"/>
        </w:rPr>
      </w:pPr>
      <w:r w:rsidRPr="000C01AA">
        <w:rPr>
          <w:rFonts w:cs="Arial"/>
          <w:szCs w:val="20"/>
        </w:rPr>
        <w:t xml:space="preserve">Konieczne jest zapewnienie prawidłowej impregnacji i przyklejenia </w:t>
      </w:r>
      <w:proofErr w:type="spellStart"/>
      <w:r w:rsidRPr="000C01AA">
        <w:rPr>
          <w:rFonts w:cs="Arial"/>
          <w:szCs w:val="20"/>
        </w:rPr>
        <w:t>geokompozytu</w:t>
      </w:r>
      <w:proofErr w:type="spellEnd"/>
      <w:r w:rsidRPr="000C01AA">
        <w:rPr>
          <w:rFonts w:cs="Arial"/>
          <w:szCs w:val="20"/>
        </w:rPr>
        <w:t xml:space="preserve"> do podłoża. Jeżeli uzyskanie tego nie jest możliwe z jakiegokolwiek powodu (np. istnieją fale), to należy zrezygnować z zastosowania tej technologii, bowiem niewłaściwe jej wykonanie może być powodem zniszczenia nawierzchni (np. fale mogą zniszczyć połączenie warstw).</w:t>
      </w:r>
    </w:p>
    <w:p w14:paraId="6279463E" w14:textId="77777777" w:rsidR="000C01AA" w:rsidRPr="000C01AA" w:rsidRDefault="000C01AA" w:rsidP="000C01AA">
      <w:pPr>
        <w:spacing w:line="240" w:lineRule="auto"/>
        <w:ind w:firstLine="709"/>
        <w:rPr>
          <w:rFonts w:cs="Arial"/>
          <w:szCs w:val="20"/>
        </w:rPr>
      </w:pPr>
      <w:r w:rsidRPr="000C01AA">
        <w:rPr>
          <w:rFonts w:cs="Arial"/>
          <w:szCs w:val="20"/>
        </w:rPr>
        <w:t>Przykład połączenia nowej i starej nawierzchni przedstawiono na rysunku 2.</w:t>
      </w:r>
    </w:p>
    <w:p w14:paraId="6188B44E" w14:textId="77777777" w:rsidR="000C01AA" w:rsidRPr="000C01AA" w:rsidRDefault="000C01AA" w:rsidP="000C01AA">
      <w:pPr>
        <w:pStyle w:val="Nagwek2"/>
        <w:spacing w:line="240" w:lineRule="auto"/>
        <w:rPr>
          <w:rFonts w:cs="Arial"/>
          <w:szCs w:val="20"/>
        </w:rPr>
      </w:pPr>
      <w:r w:rsidRPr="000C01AA">
        <w:rPr>
          <w:rFonts w:cs="Arial"/>
          <w:szCs w:val="20"/>
        </w:rPr>
        <w:t>5.7. Roboty wykończeniowe</w:t>
      </w:r>
    </w:p>
    <w:p w14:paraId="5479F0DF" w14:textId="77777777" w:rsidR="000C01AA" w:rsidRPr="000C01AA" w:rsidRDefault="000C01AA" w:rsidP="000C01AA">
      <w:pPr>
        <w:spacing w:line="240" w:lineRule="auto"/>
        <w:ind w:firstLine="709"/>
        <w:rPr>
          <w:rFonts w:cs="Arial"/>
          <w:szCs w:val="20"/>
        </w:rPr>
      </w:pPr>
      <w:r w:rsidRPr="000C01AA">
        <w:rPr>
          <w:rFonts w:cs="Arial"/>
          <w:szCs w:val="20"/>
        </w:rPr>
        <w:t>Roboty wykończeniowe powinny być zgodne z dokumentacją projektową i ST. Do robót wykończeniowych należą prace związane z dostosowaniem wykonanych robót do istniejących warunków terenowych, takie jak:</w:t>
      </w:r>
    </w:p>
    <w:p w14:paraId="651A815D" w14:textId="77777777" w:rsidR="000C01AA" w:rsidRPr="000C01AA" w:rsidRDefault="000C01AA" w:rsidP="00CF1E7D">
      <w:pPr>
        <w:numPr>
          <w:ilvl w:val="0"/>
          <w:numId w:val="260"/>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odtworzenie przeszkód czasowo usuniętych, </w:t>
      </w:r>
    </w:p>
    <w:p w14:paraId="44E1AB45" w14:textId="77777777" w:rsidR="000C01AA" w:rsidRPr="000C01AA" w:rsidRDefault="000C01AA" w:rsidP="00CF1E7D">
      <w:pPr>
        <w:numPr>
          <w:ilvl w:val="0"/>
          <w:numId w:val="260"/>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niezbędne uzupełnienia zniszczonej w czasie robót roślinności, np. </w:t>
      </w:r>
      <w:proofErr w:type="spellStart"/>
      <w:r w:rsidRPr="000C01AA">
        <w:rPr>
          <w:rFonts w:cs="Arial"/>
          <w:szCs w:val="20"/>
        </w:rPr>
        <w:t>zatrawienia</w:t>
      </w:r>
      <w:proofErr w:type="spellEnd"/>
      <w:r w:rsidRPr="000C01AA">
        <w:rPr>
          <w:rFonts w:cs="Arial"/>
          <w:szCs w:val="20"/>
        </w:rPr>
        <w:t xml:space="preserve">,  </w:t>
      </w:r>
    </w:p>
    <w:p w14:paraId="207451C8" w14:textId="77777777" w:rsidR="000C01AA" w:rsidRPr="000C01AA" w:rsidRDefault="000C01AA" w:rsidP="00CF1E7D">
      <w:pPr>
        <w:numPr>
          <w:ilvl w:val="0"/>
          <w:numId w:val="260"/>
        </w:numPr>
        <w:overflowPunct w:val="0"/>
        <w:autoSpaceDE w:val="0"/>
        <w:autoSpaceDN w:val="0"/>
        <w:adjustRightInd w:val="0"/>
        <w:spacing w:line="240" w:lineRule="auto"/>
        <w:jc w:val="both"/>
        <w:textAlignment w:val="baseline"/>
        <w:rPr>
          <w:rFonts w:cs="Arial"/>
          <w:szCs w:val="20"/>
        </w:rPr>
      </w:pPr>
      <w:r w:rsidRPr="000C01AA">
        <w:rPr>
          <w:rFonts w:cs="Arial"/>
          <w:szCs w:val="20"/>
        </w:rPr>
        <w:t>roboty porządkujące otoczenie terenu robót.</w:t>
      </w:r>
    </w:p>
    <w:p w14:paraId="297225B9" w14:textId="77777777" w:rsidR="000C01AA" w:rsidRPr="000C01AA" w:rsidRDefault="000C01AA" w:rsidP="000C01AA">
      <w:pPr>
        <w:pStyle w:val="Nagwek1"/>
        <w:spacing w:line="240" w:lineRule="auto"/>
        <w:rPr>
          <w:rFonts w:cs="Arial"/>
          <w:szCs w:val="20"/>
        </w:rPr>
      </w:pPr>
      <w:bookmarkStart w:id="992" w:name="_Toc138042850"/>
      <w:bookmarkStart w:id="993" w:name="_Toc250368196"/>
      <w:r w:rsidRPr="000C01AA">
        <w:rPr>
          <w:rFonts w:cs="Arial"/>
          <w:szCs w:val="20"/>
        </w:rPr>
        <w:t>6. KONTROLA JAKOŚCI ROBÓT</w:t>
      </w:r>
      <w:bookmarkEnd w:id="992"/>
      <w:bookmarkEnd w:id="993"/>
    </w:p>
    <w:p w14:paraId="1B1DE94D" w14:textId="77777777" w:rsidR="000C01AA" w:rsidRPr="000C01AA" w:rsidRDefault="000C01AA" w:rsidP="000C01AA">
      <w:pPr>
        <w:pStyle w:val="Nagwek2"/>
        <w:spacing w:line="240" w:lineRule="auto"/>
        <w:rPr>
          <w:rFonts w:cs="Arial"/>
          <w:szCs w:val="20"/>
        </w:rPr>
      </w:pPr>
      <w:r w:rsidRPr="000C01AA">
        <w:rPr>
          <w:rFonts w:cs="Arial"/>
          <w:szCs w:val="20"/>
        </w:rPr>
        <w:t>6.1. Ogólne zasady kontroli jakości robót</w:t>
      </w:r>
    </w:p>
    <w:p w14:paraId="658BE033" w14:textId="77777777" w:rsidR="000C01AA" w:rsidRPr="000C01AA" w:rsidRDefault="000C01AA" w:rsidP="000C01AA">
      <w:pPr>
        <w:spacing w:line="240" w:lineRule="auto"/>
        <w:rPr>
          <w:rFonts w:cs="Arial"/>
          <w:szCs w:val="20"/>
        </w:rPr>
      </w:pPr>
      <w:r w:rsidRPr="000C01AA">
        <w:rPr>
          <w:rFonts w:cs="Arial"/>
          <w:szCs w:val="20"/>
        </w:rPr>
        <w:tab/>
        <w:t>Ogólne zasady kontroli jakości robót podano w OST D-M-00.00.00 „Wymagania ogólne” [1] pkt 6.</w:t>
      </w:r>
    </w:p>
    <w:p w14:paraId="4224EB54" w14:textId="77777777" w:rsidR="000C01AA" w:rsidRPr="000C01AA" w:rsidRDefault="000C01AA" w:rsidP="000C01AA">
      <w:pPr>
        <w:pStyle w:val="Nagwek2"/>
        <w:spacing w:line="240" w:lineRule="auto"/>
        <w:rPr>
          <w:rFonts w:cs="Arial"/>
          <w:szCs w:val="20"/>
        </w:rPr>
      </w:pPr>
      <w:r w:rsidRPr="000C01AA">
        <w:rPr>
          <w:rFonts w:cs="Arial"/>
          <w:szCs w:val="20"/>
        </w:rPr>
        <w:t>6.2. Badania przed przystąpieniem do robót</w:t>
      </w:r>
    </w:p>
    <w:p w14:paraId="1D64D773" w14:textId="77777777" w:rsidR="000C01AA" w:rsidRPr="000C01AA" w:rsidRDefault="000C01AA" w:rsidP="000C01AA">
      <w:pPr>
        <w:spacing w:line="240" w:lineRule="auto"/>
        <w:rPr>
          <w:rFonts w:cs="Arial"/>
          <w:szCs w:val="20"/>
        </w:rPr>
      </w:pPr>
      <w:r w:rsidRPr="000C01AA">
        <w:rPr>
          <w:rFonts w:cs="Arial"/>
          <w:szCs w:val="20"/>
        </w:rPr>
        <w:tab/>
        <w:t>Przed przystąpieniem do robót Wykonawca powinien:</w:t>
      </w:r>
    </w:p>
    <w:p w14:paraId="40AA19C3" w14:textId="77777777" w:rsidR="000C01AA" w:rsidRPr="000C01AA" w:rsidRDefault="000C01AA" w:rsidP="00CF1E7D">
      <w:pPr>
        <w:numPr>
          <w:ilvl w:val="0"/>
          <w:numId w:val="260"/>
        </w:numPr>
        <w:overflowPunct w:val="0"/>
        <w:autoSpaceDE w:val="0"/>
        <w:autoSpaceDN w:val="0"/>
        <w:adjustRightInd w:val="0"/>
        <w:spacing w:line="240" w:lineRule="auto"/>
        <w:jc w:val="both"/>
        <w:textAlignment w:val="baseline"/>
        <w:rPr>
          <w:rFonts w:cs="Arial"/>
          <w:szCs w:val="20"/>
        </w:rPr>
      </w:pPr>
      <w:r w:rsidRPr="000C01AA">
        <w:rPr>
          <w:rFonts w:cs="Arial"/>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58AB3683" w14:textId="77777777" w:rsidR="000C01AA" w:rsidRPr="000C01AA" w:rsidRDefault="000C01AA" w:rsidP="00CF1E7D">
      <w:pPr>
        <w:numPr>
          <w:ilvl w:val="0"/>
          <w:numId w:val="260"/>
        </w:numPr>
        <w:overflowPunct w:val="0"/>
        <w:autoSpaceDE w:val="0"/>
        <w:autoSpaceDN w:val="0"/>
        <w:adjustRightInd w:val="0"/>
        <w:spacing w:line="240" w:lineRule="auto"/>
        <w:jc w:val="both"/>
        <w:textAlignment w:val="baseline"/>
        <w:rPr>
          <w:rFonts w:cs="Arial"/>
          <w:szCs w:val="20"/>
        </w:rPr>
      </w:pPr>
      <w:r w:rsidRPr="000C01AA">
        <w:rPr>
          <w:rFonts w:cs="Arial"/>
          <w:szCs w:val="20"/>
        </w:rPr>
        <w:t>ew. wykonać własne badania właściwości materiałów przeznaczonych do wykonania robót, określone przez Inżyniera,</w:t>
      </w:r>
    </w:p>
    <w:p w14:paraId="3B573647" w14:textId="77777777" w:rsidR="000C01AA" w:rsidRPr="000C01AA" w:rsidRDefault="000C01AA" w:rsidP="00CF1E7D">
      <w:pPr>
        <w:numPr>
          <w:ilvl w:val="0"/>
          <w:numId w:val="260"/>
        </w:numPr>
        <w:overflowPunct w:val="0"/>
        <w:autoSpaceDE w:val="0"/>
        <w:autoSpaceDN w:val="0"/>
        <w:adjustRightInd w:val="0"/>
        <w:spacing w:line="240" w:lineRule="auto"/>
        <w:jc w:val="both"/>
        <w:textAlignment w:val="baseline"/>
        <w:rPr>
          <w:rFonts w:cs="Arial"/>
          <w:szCs w:val="20"/>
        </w:rPr>
      </w:pPr>
      <w:r w:rsidRPr="000C01AA">
        <w:rPr>
          <w:rFonts w:cs="Arial"/>
          <w:szCs w:val="20"/>
        </w:rPr>
        <w:t>sprawdzić cechy zewnętrzne gotowych materiałów z tworzyw i prefabrykowanych.</w:t>
      </w:r>
    </w:p>
    <w:p w14:paraId="31F4FA26" w14:textId="24F52463" w:rsidR="000C01AA" w:rsidRPr="000C01AA" w:rsidRDefault="000C01AA" w:rsidP="000C01AA">
      <w:pPr>
        <w:numPr>
          <w:ilvl w:val="12"/>
          <w:numId w:val="0"/>
        </w:numPr>
        <w:spacing w:line="240" w:lineRule="auto"/>
        <w:rPr>
          <w:rFonts w:cs="Arial"/>
          <w:szCs w:val="20"/>
        </w:rPr>
      </w:pPr>
      <w:r w:rsidRPr="000C01AA">
        <w:rPr>
          <w:rFonts w:cs="Arial"/>
          <w:szCs w:val="20"/>
        </w:rPr>
        <w:tab/>
        <w:t>Wszystkie dokumenty oraz wyniki badań Wykonawca przedstawia Inżynierowi do akceptacji.</w:t>
      </w:r>
    </w:p>
    <w:p w14:paraId="1E2D48D1" w14:textId="77777777" w:rsidR="000C01AA" w:rsidRPr="000C01AA" w:rsidRDefault="000C01AA" w:rsidP="000C01AA">
      <w:pPr>
        <w:spacing w:after="120" w:line="240" w:lineRule="auto"/>
        <w:rPr>
          <w:rFonts w:cs="Arial"/>
          <w:szCs w:val="20"/>
        </w:rPr>
      </w:pPr>
    </w:p>
    <w:p w14:paraId="4A4F3891" w14:textId="77777777" w:rsidR="000C01AA" w:rsidRPr="000C01AA" w:rsidRDefault="000C01AA" w:rsidP="000C01AA">
      <w:pPr>
        <w:pStyle w:val="Nagwek2"/>
        <w:spacing w:line="240" w:lineRule="auto"/>
        <w:rPr>
          <w:rFonts w:cs="Arial"/>
          <w:szCs w:val="20"/>
        </w:rPr>
      </w:pPr>
      <w:r w:rsidRPr="000C01AA">
        <w:rPr>
          <w:rFonts w:cs="Arial"/>
          <w:szCs w:val="20"/>
        </w:rPr>
        <w:t>6.3. Badania w czasie robót</w:t>
      </w:r>
    </w:p>
    <w:p w14:paraId="5C39E6D2" w14:textId="77777777" w:rsidR="000C01AA" w:rsidRPr="000C01AA" w:rsidRDefault="000C01AA" w:rsidP="000C01AA">
      <w:pPr>
        <w:spacing w:after="120" w:line="240" w:lineRule="auto"/>
        <w:ind w:firstLine="709"/>
        <w:rPr>
          <w:rFonts w:cs="Arial"/>
          <w:szCs w:val="20"/>
        </w:rPr>
      </w:pPr>
      <w:r w:rsidRPr="000C01AA">
        <w:rPr>
          <w:rFonts w:cs="Arial"/>
          <w:szCs w:val="20"/>
        </w:rPr>
        <w:t>Częstotliwość oraz zakres badań i pomiarów, które należy wykonać w czasie robót podaje tablica 2.</w:t>
      </w:r>
    </w:p>
    <w:p w14:paraId="3458DF74" w14:textId="77777777" w:rsidR="000C01AA" w:rsidRPr="000C01AA" w:rsidRDefault="000C01AA" w:rsidP="000C01AA">
      <w:pPr>
        <w:spacing w:after="120" w:line="240" w:lineRule="auto"/>
        <w:rPr>
          <w:rFonts w:cs="Arial"/>
          <w:szCs w:val="20"/>
        </w:rPr>
      </w:pPr>
      <w:r w:rsidRPr="000C01AA">
        <w:rPr>
          <w:rFonts w:cs="Arial"/>
          <w:szCs w:val="20"/>
        </w:rPr>
        <w:t>Tablica 2. Częstotliwość oraz zakres badań i pomiarów w czasie robót</w:t>
      </w:r>
    </w:p>
    <w:tbl>
      <w:tblPr>
        <w:tblW w:w="74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260"/>
        <w:gridCol w:w="1417"/>
        <w:gridCol w:w="2268"/>
      </w:tblGrid>
      <w:tr w:rsidR="000C01AA" w:rsidRPr="000C01AA" w14:paraId="4411558C" w14:textId="77777777" w:rsidTr="007B6855">
        <w:tc>
          <w:tcPr>
            <w:tcW w:w="496" w:type="dxa"/>
            <w:tcBorders>
              <w:bottom w:val="single" w:sz="4" w:space="0" w:color="auto"/>
            </w:tcBorders>
          </w:tcPr>
          <w:p w14:paraId="508144D3" w14:textId="77777777" w:rsidR="000C01AA" w:rsidRPr="000C01AA" w:rsidRDefault="000C01AA" w:rsidP="000C01AA">
            <w:pPr>
              <w:spacing w:before="120" w:line="240" w:lineRule="auto"/>
              <w:jc w:val="center"/>
              <w:rPr>
                <w:rFonts w:cs="Arial"/>
                <w:szCs w:val="20"/>
              </w:rPr>
            </w:pPr>
            <w:r w:rsidRPr="000C01AA">
              <w:rPr>
                <w:rFonts w:cs="Arial"/>
                <w:szCs w:val="20"/>
              </w:rPr>
              <w:t>Lp.</w:t>
            </w:r>
          </w:p>
        </w:tc>
        <w:tc>
          <w:tcPr>
            <w:tcW w:w="3260" w:type="dxa"/>
            <w:tcBorders>
              <w:bottom w:val="single" w:sz="4" w:space="0" w:color="auto"/>
            </w:tcBorders>
          </w:tcPr>
          <w:p w14:paraId="0A3A2AC6" w14:textId="77777777" w:rsidR="000C01AA" w:rsidRPr="000C01AA" w:rsidRDefault="000C01AA" w:rsidP="000C01AA">
            <w:pPr>
              <w:spacing w:before="120" w:line="240" w:lineRule="auto"/>
              <w:jc w:val="center"/>
              <w:rPr>
                <w:rFonts w:cs="Arial"/>
                <w:szCs w:val="20"/>
              </w:rPr>
            </w:pPr>
            <w:r w:rsidRPr="000C01AA">
              <w:rPr>
                <w:rFonts w:cs="Arial"/>
                <w:szCs w:val="20"/>
              </w:rPr>
              <w:t>Wyszczególnienie badań i pomiarów</w:t>
            </w:r>
          </w:p>
        </w:tc>
        <w:tc>
          <w:tcPr>
            <w:tcW w:w="1417" w:type="dxa"/>
            <w:tcBorders>
              <w:bottom w:val="single" w:sz="4" w:space="0" w:color="auto"/>
            </w:tcBorders>
          </w:tcPr>
          <w:p w14:paraId="7487926B" w14:textId="77777777" w:rsidR="000C01AA" w:rsidRPr="000C01AA" w:rsidRDefault="000C01AA" w:rsidP="000C01AA">
            <w:pPr>
              <w:spacing w:line="240" w:lineRule="auto"/>
              <w:jc w:val="center"/>
              <w:rPr>
                <w:rFonts w:cs="Arial"/>
                <w:szCs w:val="20"/>
              </w:rPr>
            </w:pPr>
            <w:r w:rsidRPr="000C01AA">
              <w:rPr>
                <w:rFonts w:cs="Arial"/>
                <w:szCs w:val="20"/>
              </w:rPr>
              <w:t>Częstotliwość badań</w:t>
            </w:r>
          </w:p>
        </w:tc>
        <w:tc>
          <w:tcPr>
            <w:tcW w:w="2268" w:type="dxa"/>
            <w:tcBorders>
              <w:bottom w:val="single" w:sz="4" w:space="0" w:color="auto"/>
            </w:tcBorders>
          </w:tcPr>
          <w:p w14:paraId="1008FE52" w14:textId="77777777" w:rsidR="000C01AA" w:rsidRPr="000C01AA" w:rsidRDefault="000C01AA" w:rsidP="000C01AA">
            <w:pPr>
              <w:spacing w:before="120" w:line="240" w:lineRule="auto"/>
              <w:jc w:val="center"/>
              <w:rPr>
                <w:rFonts w:cs="Arial"/>
                <w:szCs w:val="20"/>
              </w:rPr>
            </w:pPr>
            <w:r w:rsidRPr="000C01AA">
              <w:rPr>
                <w:rFonts w:cs="Arial"/>
                <w:szCs w:val="20"/>
              </w:rPr>
              <w:t>Wartości dopuszczalne</w:t>
            </w:r>
          </w:p>
        </w:tc>
      </w:tr>
      <w:tr w:rsidR="000C01AA" w:rsidRPr="000C01AA" w14:paraId="0C6CF035" w14:textId="77777777" w:rsidTr="007B6855">
        <w:tc>
          <w:tcPr>
            <w:tcW w:w="496" w:type="dxa"/>
            <w:tcBorders>
              <w:top w:val="single" w:sz="4" w:space="0" w:color="auto"/>
            </w:tcBorders>
          </w:tcPr>
          <w:p w14:paraId="680BB9D1" w14:textId="77777777" w:rsidR="000C01AA" w:rsidRPr="000C01AA" w:rsidRDefault="000C01AA" w:rsidP="000C01AA">
            <w:pPr>
              <w:spacing w:line="240" w:lineRule="auto"/>
              <w:jc w:val="center"/>
              <w:rPr>
                <w:rFonts w:cs="Arial"/>
                <w:szCs w:val="20"/>
              </w:rPr>
            </w:pPr>
            <w:r w:rsidRPr="000C01AA">
              <w:rPr>
                <w:rFonts w:cs="Arial"/>
                <w:szCs w:val="20"/>
              </w:rPr>
              <w:t>1</w:t>
            </w:r>
          </w:p>
        </w:tc>
        <w:tc>
          <w:tcPr>
            <w:tcW w:w="3260" w:type="dxa"/>
            <w:tcBorders>
              <w:top w:val="single" w:sz="4" w:space="0" w:color="auto"/>
            </w:tcBorders>
          </w:tcPr>
          <w:p w14:paraId="24E47E97" w14:textId="77777777" w:rsidR="000C01AA" w:rsidRPr="000C01AA" w:rsidRDefault="000C01AA" w:rsidP="000C01AA">
            <w:pPr>
              <w:spacing w:line="240" w:lineRule="auto"/>
              <w:rPr>
                <w:rFonts w:cs="Arial"/>
                <w:szCs w:val="20"/>
              </w:rPr>
            </w:pPr>
            <w:r w:rsidRPr="000C01AA">
              <w:rPr>
                <w:rFonts w:cs="Arial"/>
                <w:szCs w:val="20"/>
              </w:rPr>
              <w:t>Lokalizacja i zgodność granic terenu robót z dokumentacją projektową</w:t>
            </w:r>
          </w:p>
        </w:tc>
        <w:tc>
          <w:tcPr>
            <w:tcW w:w="1417" w:type="dxa"/>
            <w:tcBorders>
              <w:top w:val="single" w:sz="4" w:space="0" w:color="auto"/>
            </w:tcBorders>
          </w:tcPr>
          <w:p w14:paraId="6CD91D67" w14:textId="77777777" w:rsidR="000C01AA" w:rsidRPr="000C01AA" w:rsidRDefault="000C01AA" w:rsidP="000C01AA">
            <w:pPr>
              <w:spacing w:line="240" w:lineRule="auto"/>
              <w:jc w:val="center"/>
              <w:rPr>
                <w:rFonts w:cs="Arial"/>
                <w:szCs w:val="20"/>
              </w:rPr>
            </w:pPr>
            <w:r w:rsidRPr="000C01AA">
              <w:rPr>
                <w:rFonts w:cs="Arial"/>
                <w:szCs w:val="20"/>
              </w:rPr>
              <w:t>1 raz</w:t>
            </w:r>
          </w:p>
        </w:tc>
        <w:tc>
          <w:tcPr>
            <w:tcW w:w="2268" w:type="dxa"/>
            <w:tcBorders>
              <w:top w:val="single" w:sz="4" w:space="0" w:color="auto"/>
            </w:tcBorders>
          </w:tcPr>
          <w:p w14:paraId="6049DB3F" w14:textId="77777777" w:rsidR="000C01AA" w:rsidRPr="000C01AA" w:rsidRDefault="000C01AA" w:rsidP="000C01AA">
            <w:pPr>
              <w:spacing w:line="240" w:lineRule="auto"/>
              <w:jc w:val="center"/>
              <w:rPr>
                <w:rFonts w:cs="Arial"/>
                <w:szCs w:val="20"/>
              </w:rPr>
            </w:pPr>
            <w:r w:rsidRPr="000C01AA">
              <w:rPr>
                <w:rFonts w:cs="Arial"/>
                <w:szCs w:val="20"/>
              </w:rPr>
              <w:t xml:space="preserve">Wg </w:t>
            </w:r>
            <w:proofErr w:type="spellStart"/>
            <w:r w:rsidRPr="000C01AA">
              <w:rPr>
                <w:rFonts w:cs="Arial"/>
                <w:szCs w:val="20"/>
              </w:rPr>
              <w:t>pktu</w:t>
            </w:r>
            <w:proofErr w:type="spellEnd"/>
            <w:r w:rsidRPr="000C01AA">
              <w:rPr>
                <w:rFonts w:cs="Arial"/>
                <w:szCs w:val="20"/>
              </w:rPr>
              <w:t xml:space="preserve"> 5 i dokumentacji projektowej</w:t>
            </w:r>
          </w:p>
        </w:tc>
      </w:tr>
      <w:tr w:rsidR="000C01AA" w:rsidRPr="000C01AA" w14:paraId="5C488621" w14:textId="77777777" w:rsidTr="007B6855">
        <w:tc>
          <w:tcPr>
            <w:tcW w:w="496" w:type="dxa"/>
          </w:tcPr>
          <w:p w14:paraId="4A47DF72" w14:textId="77777777" w:rsidR="000C01AA" w:rsidRPr="000C01AA" w:rsidRDefault="000C01AA" w:rsidP="000C01AA">
            <w:pPr>
              <w:spacing w:line="240" w:lineRule="auto"/>
              <w:jc w:val="center"/>
              <w:rPr>
                <w:rFonts w:cs="Arial"/>
                <w:szCs w:val="20"/>
              </w:rPr>
            </w:pPr>
            <w:r w:rsidRPr="000C01AA">
              <w:rPr>
                <w:rFonts w:cs="Arial"/>
                <w:szCs w:val="20"/>
              </w:rPr>
              <w:t>2</w:t>
            </w:r>
          </w:p>
        </w:tc>
        <w:tc>
          <w:tcPr>
            <w:tcW w:w="3260" w:type="dxa"/>
          </w:tcPr>
          <w:p w14:paraId="4253E91D" w14:textId="77777777" w:rsidR="000C01AA" w:rsidRPr="000C01AA" w:rsidRDefault="000C01AA" w:rsidP="000C01AA">
            <w:pPr>
              <w:spacing w:line="240" w:lineRule="auto"/>
              <w:rPr>
                <w:rFonts w:cs="Arial"/>
                <w:szCs w:val="20"/>
              </w:rPr>
            </w:pPr>
            <w:r w:rsidRPr="000C01AA">
              <w:rPr>
                <w:rFonts w:cs="Arial"/>
                <w:szCs w:val="20"/>
              </w:rPr>
              <w:t>Wyznaczenie linii styku starej i nowej nawierzchni</w:t>
            </w:r>
          </w:p>
        </w:tc>
        <w:tc>
          <w:tcPr>
            <w:tcW w:w="1417" w:type="dxa"/>
          </w:tcPr>
          <w:p w14:paraId="2822C911" w14:textId="77777777" w:rsidR="000C01AA" w:rsidRPr="000C01AA" w:rsidRDefault="000C01AA" w:rsidP="000C01AA">
            <w:pPr>
              <w:spacing w:before="120" w:line="240" w:lineRule="auto"/>
              <w:jc w:val="center"/>
              <w:rPr>
                <w:rFonts w:cs="Arial"/>
                <w:szCs w:val="20"/>
              </w:rPr>
            </w:pPr>
            <w:r w:rsidRPr="000C01AA">
              <w:rPr>
                <w:rFonts w:cs="Arial"/>
                <w:szCs w:val="20"/>
              </w:rPr>
              <w:t>1 raz</w:t>
            </w:r>
          </w:p>
        </w:tc>
        <w:tc>
          <w:tcPr>
            <w:tcW w:w="2268" w:type="dxa"/>
          </w:tcPr>
          <w:p w14:paraId="5988483F" w14:textId="77777777" w:rsidR="000C01AA" w:rsidRPr="000C01AA" w:rsidRDefault="000C01AA" w:rsidP="000C01AA">
            <w:pPr>
              <w:spacing w:before="120" w:line="240" w:lineRule="auto"/>
              <w:jc w:val="center"/>
              <w:rPr>
                <w:rFonts w:cs="Arial"/>
                <w:szCs w:val="20"/>
              </w:rPr>
            </w:pPr>
            <w:r w:rsidRPr="000C01AA">
              <w:rPr>
                <w:rFonts w:cs="Arial"/>
                <w:szCs w:val="20"/>
              </w:rPr>
              <w:t>Linia prosta</w:t>
            </w:r>
          </w:p>
        </w:tc>
      </w:tr>
      <w:tr w:rsidR="000C01AA" w:rsidRPr="000C01AA" w14:paraId="749073F7" w14:textId="77777777" w:rsidTr="007B6855">
        <w:tc>
          <w:tcPr>
            <w:tcW w:w="496" w:type="dxa"/>
          </w:tcPr>
          <w:p w14:paraId="654E99BF" w14:textId="77777777" w:rsidR="000C01AA" w:rsidRPr="000C01AA" w:rsidRDefault="000C01AA" w:rsidP="000C01AA">
            <w:pPr>
              <w:spacing w:before="60" w:after="60" w:line="240" w:lineRule="auto"/>
              <w:jc w:val="center"/>
              <w:rPr>
                <w:rFonts w:cs="Arial"/>
                <w:szCs w:val="20"/>
              </w:rPr>
            </w:pPr>
            <w:r w:rsidRPr="000C01AA">
              <w:rPr>
                <w:rFonts w:cs="Arial"/>
                <w:szCs w:val="20"/>
              </w:rPr>
              <w:t>3</w:t>
            </w:r>
          </w:p>
        </w:tc>
        <w:tc>
          <w:tcPr>
            <w:tcW w:w="3260" w:type="dxa"/>
          </w:tcPr>
          <w:p w14:paraId="136D1499" w14:textId="77777777" w:rsidR="000C01AA" w:rsidRPr="000C01AA" w:rsidRDefault="000C01AA" w:rsidP="000C01AA">
            <w:pPr>
              <w:spacing w:before="60" w:after="60" w:line="240" w:lineRule="auto"/>
              <w:rPr>
                <w:rFonts w:cs="Arial"/>
                <w:szCs w:val="20"/>
              </w:rPr>
            </w:pPr>
            <w:r w:rsidRPr="000C01AA">
              <w:rPr>
                <w:rFonts w:cs="Arial"/>
                <w:szCs w:val="20"/>
              </w:rPr>
              <w:t>Rozbiórka starej nawierzchni</w:t>
            </w:r>
          </w:p>
        </w:tc>
        <w:tc>
          <w:tcPr>
            <w:tcW w:w="1417" w:type="dxa"/>
          </w:tcPr>
          <w:p w14:paraId="5ABBEDC0" w14:textId="77777777" w:rsidR="000C01AA" w:rsidRPr="000C01AA" w:rsidRDefault="000C01AA" w:rsidP="000C01AA">
            <w:pPr>
              <w:spacing w:before="60" w:after="60" w:line="240" w:lineRule="auto"/>
              <w:jc w:val="center"/>
              <w:rPr>
                <w:rFonts w:cs="Arial"/>
                <w:szCs w:val="20"/>
              </w:rPr>
            </w:pPr>
            <w:r w:rsidRPr="000C01AA">
              <w:rPr>
                <w:rFonts w:cs="Arial"/>
                <w:szCs w:val="20"/>
              </w:rPr>
              <w:t>Ocena ciągła</w:t>
            </w:r>
          </w:p>
        </w:tc>
        <w:tc>
          <w:tcPr>
            <w:tcW w:w="2268" w:type="dxa"/>
          </w:tcPr>
          <w:p w14:paraId="769CB31E" w14:textId="77777777" w:rsidR="000C01AA" w:rsidRPr="000C01AA" w:rsidRDefault="000C01AA" w:rsidP="000C01AA">
            <w:pPr>
              <w:spacing w:before="60" w:after="60" w:line="240" w:lineRule="auto"/>
              <w:jc w:val="center"/>
              <w:rPr>
                <w:rFonts w:cs="Arial"/>
                <w:szCs w:val="20"/>
              </w:rPr>
            </w:pPr>
            <w:r w:rsidRPr="000C01AA">
              <w:rPr>
                <w:rFonts w:cs="Arial"/>
                <w:szCs w:val="20"/>
              </w:rPr>
              <w:t xml:space="preserve">Wg </w:t>
            </w:r>
            <w:proofErr w:type="spellStart"/>
            <w:r w:rsidRPr="000C01AA">
              <w:rPr>
                <w:rFonts w:cs="Arial"/>
                <w:szCs w:val="20"/>
              </w:rPr>
              <w:t>pktu</w:t>
            </w:r>
            <w:proofErr w:type="spellEnd"/>
            <w:r w:rsidRPr="000C01AA">
              <w:rPr>
                <w:rFonts w:cs="Arial"/>
                <w:szCs w:val="20"/>
              </w:rPr>
              <w:t xml:space="preserve"> 5.4</w:t>
            </w:r>
          </w:p>
        </w:tc>
      </w:tr>
      <w:tr w:rsidR="000C01AA" w:rsidRPr="000C01AA" w14:paraId="42911B4A" w14:textId="77777777" w:rsidTr="007B6855">
        <w:tc>
          <w:tcPr>
            <w:tcW w:w="496" w:type="dxa"/>
          </w:tcPr>
          <w:p w14:paraId="64BDC47D" w14:textId="77777777" w:rsidR="000C01AA" w:rsidRPr="000C01AA" w:rsidRDefault="000C01AA" w:rsidP="000C01AA">
            <w:pPr>
              <w:spacing w:line="240" w:lineRule="auto"/>
              <w:jc w:val="center"/>
              <w:rPr>
                <w:rFonts w:cs="Arial"/>
                <w:szCs w:val="20"/>
              </w:rPr>
            </w:pPr>
            <w:r w:rsidRPr="000C01AA">
              <w:rPr>
                <w:rFonts w:cs="Arial"/>
                <w:szCs w:val="20"/>
              </w:rPr>
              <w:lastRenderedPageBreak/>
              <w:t>4</w:t>
            </w:r>
          </w:p>
        </w:tc>
        <w:tc>
          <w:tcPr>
            <w:tcW w:w="3260" w:type="dxa"/>
          </w:tcPr>
          <w:p w14:paraId="5F27CFB1" w14:textId="77777777" w:rsidR="000C01AA" w:rsidRPr="000C01AA" w:rsidRDefault="000C01AA" w:rsidP="000C01AA">
            <w:pPr>
              <w:spacing w:line="240" w:lineRule="auto"/>
              <w:rPr>
                <w:rFonts w:cs="Arial"/>
                <w:szCs w:val="20"/>
              </w:rPr>
            </w:pPr>
            <w:r w:rsidRPr="000C01AA">
              <w:rPr>
                <w:rFonts w:cs="Arial"/>
                <w:szCs w:val="20"/>
              </w:rPr>
              <w:t>Ułożenie nowych warstw podbudowy i warstwy wiążącej</w:t>
            </w:r>
          </w:p>
        </w:tc>
        <w:tc>
          <w:tcPr>
            <w:tcW w:w="1417" w:type="dxa"/>
          </w:tcPr>
          <w:p w14:paraId="1557A2CE" w14:textId="77777777" w:rsidR="000C01AA" w:rsidRPr="000C01AA" w:rsidRDefault="000C01AA" w:rsidP="000C01AA">
            <w:pPr>
              <w:spacing w:before="120" w:line="240" w:lineRule="auto"/>
              <w:jc w:val="center"/>
              <w:rPr>
                <w:rFonts w:cs="Arial"/>
                <w:szCs w:val="20"/>
              </w:rPr>
            </w:pPr>
            <w:r w:rsidRPr="000C01AA">
              <w:rPr>
                <w:rFonts w:cs="Arial"/>
                <w:szCs w:val="20"/>
              </w:rPr>
              <w:t>Jw.</w:t>
            </w:r>
          </w:p>
        </w:tc>
        <w:tc>
          <w:tcPr>
            <w:tcW w:w="2268" w:type="dxa"/>
          </w:tcPr>
          <w:p w14:paraId="5E0D62B8" w14:textId="77777777" w:rsidR="000C01AA" w:rsidRPr="000C01AA" w:rsidRDefault="000C01AA" w:rsidP="000C01AA">
            <w:pPr>
              <w:spacing w:before="120" w:line="240" w:lineRule="auto"/>
              <w:jc w:val="center"/>
              <w:rPr>
                <w:rFonts w:cs="Arial"/>
                <w:szCs w:val="20"/>
              </w:rPr>
            </w:pPr>
            <w:r w:rsidRPr="000C01AA">
              <w:rPr>
                <w:rFonts w:cs="Arial"/>
                <w:szCs w:val="20"/>
              </w:rPr>
              <w:t xml:space="preserve">Wg </w:t>
            </w:r>
            <w:proofErr w:type="spellStart"/>
            <w:r w:rsidRPr="000C01AA">
              <w:rPr>
                <w:rFonts w:cs="Arial"/>
                <w:szCs w:val="20"/>
              </w:rPr>
              <w:t>pktu</w:t>
            </w:r>
            <w:proofErr w:type="spellEnd"/>
            <w:r w:rsidRPr="000C01AA">
              <w:rPr>
                <w:rFonts w:cs="Arial"/>
                <w:szCs w:val="20"/>
              </w:rPr>
              <w:t xml:space="preserve"> 5.5</w:t>
            </w:r>
          </w:p>
        </w:tc>
      </w:tr>
      <w:tr w:rsidR="000C01AA" w:rsidRPr="000C01AA" w14:paraId="3E53884A" w14:textId="77777777" w:rsidTr="007B6855">
        <w:tc>
          <w:tcPr>
            <w:tcW w:w="496" w:type="dxa"/>
          </w:tcPr>
          <w:p w14:paraId="53D0B5AE" w14:textId="77777777" w:rsidR="000C01AA" w:rsidRPr="000C01AA" w:rsidRDefault="000C01AA" w:rsidP="000C01AA">
            <w:pPr>
              <w:spacing w:line="240" w:lineRule="auto"/>
              <w:jc w:val="center"/>
              <w:rPr>
                <w:rFonts w:cs="Arial"/>
                <w:szCs w:val="20"/>
              </w:rPr>
            </w:pPr>
            <w:r w:rsidRPr="000C01AA">
              <w:rPr>
                <w:rFonts w:cs="Arial"/>
                <w:szCs w:val="20"/>
              </w:rPr>
              <w:t>5</w:t>
            </w:r>
          </w:p>
        </w:tc>
        <w:tc>
          <w:tcPr>
            <w:tcW w:w="3260" w:type="dxa"/>
          </w:tcPr>
          <w:p w14:paraId="08D6BF36" w14:textId="77777777" w:rsidR="000C01AA" w:rsidRPr="000C01AA" w:rsidRDefault="000C01AA" w:rsidP="000C01AA">
            <w:pPr>
              <w:spacing w:line="240" w:lineRule="auto"/>
              <w:rPr>
                <w:rFonts w:cs="Arial"/>
                <w:szCs w:val="20"/>
              </w:rPr>
            </w:pPr>
            <w:r w:rsidRPr="000C01AA">
              <w:rPr>
                <w:rFonts w:cs="Arial"/>
                <w:szCs w:val="20"/>
              </w:rPr>
              <w:t xml:space="preserve">Skropienie emulsją asfaltową podłoża pod </w:t>
            </w:r>
            <w:proofErr w:type="spellStart"/>
            <w:r w:rsidRPr="000C01AA">
              <w:rPr>
                <w:rFonts w:cs="Arial"/>
                <w:szCs w:val="20"/>
              </w:rPr>
              <w:t>geokompozyt</w:t>
            </w:r>
            <w:proofErr w:type="spellEnd"/>
          </w:p>
        </w:tc>
        <w:tc>
          <w:tcPr>
            <w:tcW w:w="1417" w:type="dxa"/>
          </w:tcPr>
          <w:p w14:paraId="31723CC8" w14:textId="77777777" w:rsidR="000C01AA" w:rsidRPr="000C01AA" w:rsidRDefault="000C01AA" w:rsidP="000C01AA">
            <w:pPr>
              <w:spacing w:before="120" w:line="240" w:lineRule="auto"/>
              <w:jc w:val="center"/>
              <w:rPr>
                <w:rFonts w:cs="Arial"/>
                <w:szCs w:val="20"/>
              </w:rPr>
            </w:pPr>
            <w:r w:rsidRPr="000C01AA">
              <w:rPr>
                <w:rFonts w:cs="Arial"/>
                <w:szCs w:val="20"/>
              </w:rPr>
              <w:t>Jw.</w:t>
            </w:r>
          </w:p>
        </w:tc>
        <w:tc>
          <w:tcPr>
            <w:tcW w:w="2268" w:type="dxa"/>
          </w:tcPr>
          <w:p w14:paraId="0692870C" w14:textId="77777777" w:rsidR="000C01AA" w:rsidRPr="000C01AA" w:rsidRDefault="000C01AA" w:rsidP="000C01AA">
            <w:pPr>
              <w:spacing w:before="120" w:line="240" w:lineRule="auto"/>
              <w:jc w:val="center"/>
              <w:rPr>
                <w:rFonts w:cs="Arial"/>
                <w:szCs w:val="20"/>
              </w:rPr>
            </w:pPr>
            <w:r w:rsidRPr="000C01AA">
              <w:rPr>
                <w:rFonts w:cs="Arial"/>
                <w:szCs w:val="20"/>
              </w:rPr>
              <w:t xml:space="preserve">Wg </w:t>
            </w:r>
            <w:proofErr w:type="spellStart"/>
            <w:r w:rsidRPr="000C01AA">
              <w:rPr>
                <w:rFonts w:cs="Arial"/>
                <w:szCs w:val="20"/>
              </w:rPr>
              <w:t>pktu</w:t>
            </w:r>
            <w:proofErr w:type="spellEnd"/>
            <w:r w:rsidRPr="000C01AA">
              <w:rPr>
                <w:rFonts w:cs="Arial"/>
                <w:szCs w:val="20"/>
              </w:rPr>
              <w:t xml:space="preserve"> 5.6</w:t>
            </w:r>
          </w:p>
        </w:tc>
      </w:tr>
      <w:tr w:rsidR="000C01AA" w:rsidRPr="000C01AA" w14:paraId="0087C24F" w14:textId="77777777" w:rsidTr="007B6855">
        <w:tc>
          <w:tcPr>
            <w:tcW w:w="496" w:type="dxa"/>
          </w:tcPr>
          <w:p w14:paraId="25A049D0" w14:textId="77777777" w:rsidR="000C01AA" w:rsidRPr="000C01AA" w:rsidRDefault="000C01AA" w:rsidP="000C01AA">
            <w:pPr>
              <w:spacing w:before="60" w:after="60" w:line="240" w:lineRule="auto"/>
              <w:jc w:val="center"/>
              <w:rPr>
                <w:rFonts w:cs="Arial"/>
                <w:szCs w:val="20"/>
              </w:rPr>
            </w:pPr>
            <w:r w:rsidRPr="000C01AA">
              <w:rPr>
                <w:rFonts w:cs="Arial"/>
                <w:szCs w:val="20"/>
              </w:rPr>
              <w:t>6</w:t>
            </w:r>
          </w:p>
        </w:tc>
        <w:tc>
          <w:tcPr>
            <w:tcW w:w="3260" w:type="dxa"/>
          </w:tcPr>
          <w:p w14:paraId="113C7C9E" w14:textId="77777777" w:rsidR="000C01AA" w:rsidRPr="000C01AA" w:rsidRDefault="000C01AA" w:rsidP="000C01AA">
            <w:pPr>
              <w:spacing w:before="60" w:after="60" w:line="240" w:lineRule="auto"/>
              <w:rPr>
                <w:rFonts w:cs="Arial"/>
                <w:szCs w:val="20"/>
              </w:rPr>
            </w:pPr>
            <w:r w:rsidRPr="000C01AA">
              <w:rPr>
                <w:rFonts w:cs="Arial"/>
                <w:szCs w:val="20"/>
              </w:rPr>
              <w:t xml:space="preserve">Ułożenie </w:t>
            </w:r>
            <w:proofErr w:type="spellStart"/>
            <w:r w:rsidRPr="000C01AA">
              <w:rPr>
                <w:rFonts w:cs="Arial"/>
                <w:szCs w:val="20"/>
              </w:rPr>
              <w:t>geokompozytu</w:t>
            </w:r>
            <w:proofErr w:type="spellEnd"/>
          </w:p>
        </w:tc>
        <w:tc>
          <w:tcPr>
            <w:tcW w:w="1417" w:type="dxa"/>
          </w:tcPr>
          <w:p w14:paraId="58857AE2" w14:textId="77777777" w:rsidR="000C01AA" w:rsidRPr="000C01AA" w:rsidRDefault="000C01AA" w:rsidP="000C01AA">
            <w:pPr>
              <w:spacing w:before="60" w:after="60" w:line="240" w:lineRule="auto"/>
              <w:jc w:val="center"/>
              <w:rPr>
                <w:rFonts w:cs="Arial"/>
                <w:szCs w:val="20"/>
              </w:rPr>
            </w:pPr>
            <w:r w:rsidRPr="000C01AA">
              <w:rPr>
                <w:rFonts w:cs="Arial"/>
                <w:szCs w:val="20"/>
              </w:rPr>
              <w:t>Jw.</w:t>
            </w:r>
          </w:p>
        </w:tc>
        <w:tc>
          <w:tcPr>
            <w:tcW w:w="2268" w:type="dxa"/>
          </w:tcPr>
          <w:p w14:paraId="13C826DE" w14:textId="77777777" w:rsidR="000C01AA" w:rsidRPr="000C01AA" w:rsidRDefault="000C01AA" w:rsidP="000C01AA">
            <w:pPr>
              <w:spacing w:before="60" w:after="60" w:line="240" w:lineRule="auto"/>
              <w:jc w:val="center"/>
              <w:rPr>
                <w:rFonts w:cs="Arial"/>
                <w:szCs w:val="20"/>
              </w:rPr>
            </w:pPr>
            <w:r w:rsidRPr="000C01AA">
              <w:rPr>
                <w:rFonts w:cs="Arial"/>
                <w:szCs w:val="20"/>
              </w:rPr>
              <w:t xml:space="preserve">Wg </w:t>
            </w:r>
            <w:proofErr w:type="spellStart"/>
            <w:r w:rsidRPr="000C01AA">
              <w:rPr>
                <w:rFonts w:cs="Arial"/>
                <w:szCs w:val="20"/>
              </w:rPr>
              <w:t>pktu</w:t>
            </w:r>
            <w:proofErr w:type="spellEnd"/>
            <w:r w:rsidRPr="000C01AA">
              <w:rPr>
                <w:rFonts w:cs="Arial"/>
                <w:szCs w:val="20"/>
              </w:rPr>
              <w:t xml:space="preserve"> 5.6</w:t>
            </w:r>
          </w:p>
        </w:tc>
      </w:tr>
      <w:tr w:rsidR="000C01AA" w:rsidRPr="000C01AA" w14:paraId="444D1F6F" w14:textId="77777777" w:rsidTr="007B6855">
        <w:tc>
          <w:tcPr>
            <w:tcW w:w="496" w:type="dxa"/>
          </w:tcPr>
          <w:p w14:paraId="7335F1E4" w14:textId="77777777" w:rsidR="000C01AA" w:rsidRPr="000C01AA" w:rsidRDefault="000C01AA" w:rsidP="000C01AA">
            <w:pPr>
              <w:spacing w:line="240" w:lineRule="auto"/>
              <w:jc w:val="center"/>
              <w:rPr>
                <w:rFonts w:cs="Arial"/>
                <w:szCs w:val="20"/>
              </w:rPr>
            </w:pPr>
            <w:r w:rsidRPr="000C01AA">
              <w:rPr>
                <w:rFonts w:cs="Arial"/>
                <w:szCs w:val="20"/>
              </w:rPr>
              <w:t>7</w:t>
            </w:r>
          </w:p>
        </w:tc>
        <w:tc>
          <w:tcPr>
            <w:tcW w:w="3260" w:type="dxa"/>
          </w:tcPr>
          <w:p w14:paraId="778DA393" w14:textId="77777777" w:rsidR="000C01AA" w:rsidRPr="000C01AA" w:rsidRDefault="000C01AA" w:rsidP="000C01AA">
            <w:pPr>
              <w:spacing w:line="240" w:lineRule="auto"/>
              <w:rPr>
                <w:rFonts w:cs="Arial"/>
                <w:szCs w:val="20"/>
              </w:rPr>
            </w:pPr>
            <w:r w:rsidRPr="000C01AA">
              <w:rPr>
                <w:rFonts w:cs="Arial"/>
                <w:szCs w:val="20"/>
              </w:rPr>
              <w:t>Ułożenie nowej warstwy ścieralnej nawierzchni</w:t>
            </w:r>
          </w:p>
        </w:tc>
        <w:tc>
          <w:tcPr>
            <w:tcW w:w="1417" w:type="dxa"/>
          </w:tcPr>
          <w:p w14:paraId="0FC92B6D" w14:textId="77777777" w:rsidR="000C01AA" w:rsidRPr="000C01AA" w:rsidRDefault="000C01AA" w:rsidP="000C01AA">
            <w:pPr>
              <w:spacing w:before="120" w:line="240" w:lineRule="auto"/>
              <w:jc w:val="center"/>
              <w:rPr>
                <w:rFonts w:cs="Arial"/>
                <w:szCs w:val="20"/>
              </w:rPr>
            </w:pPr>
            <w:r w:rsidRPr="000C01AA">
              <w:rPr>
                <w:rFonts w:cs="Arial"/>
                <w:szCs w:val="20"/>
              </w:rPr>
              <w:t>Jw.</w:t>
            </w:r>
          </w:p>
        </w:tc>
        <w:tc>
          <w:tcPr>
            <w:tcW w:w="2268" w:type="dxa"/>
          </w:tcPr>
          <w:p w14:paraId="3393B32A" w14:textId="77777777" w:rsidR="000C01AA" w:rsidRPr="000C01AA" w:rsidRDefault="000C01AA" w:rsidP="000C01AA">
            <w:pPr>
              <w:spacing w:before="120" w:line="240" w:lineRule="auto"/>
              <w:jc w:val="center"/>
              <w:rPr>
                <w:rFonts w:cs="Arial"/>
                <w:szCs w:val="20"/>
              </w:rPr>
            </w:pPr>
            <w:r w:rsidRPr="000C01AA">
              <w:rPr>
                <w:rFonts w:cs="Arial"/>
                <w:szCs w:val="20"/>
              </w:rPr>
              <w:t xml:space="preserve">Wg </w:t>
            </w:r>
            <w:proofErr w:type="spellStart"/>
            <w:r w:rsidRPr="000C01AA">
              <w:rPr>
                <w:rFonts w:cs="Arial"/>
                <w:szCs w:val="20"/>
              </w:rPr>
              <w:t>pktu</w:t>
            </w:r>
            <w:proofErr w:type="spellEnd"/>
            <w:r w:rsidRPr="000C01AA">
              <w:rPr>
                <w:rFonts w:cs="Arial"/>
                <w:szCs w:val="20"/>
              </w:rPr>
              <w:t xml:space="preserve"> 5.6</w:t>
            </w:r>
          </w:p>
        </w:tc>
      </w:tr>
      <w:tr w:rsidR="000C01AA" w:rsidRPr="000C01AA" w14:paraId="4BABF8F6" w14:textId="77777777" w:rsidTr="007B6855">
        <w:tc>
          <w:tcPr>
            <w:tcW w:w="496" w:type="dxa"/>
          </w:tcPr>
          <w:p w14:paraId="5DBBC29C" w14:textId="77777777" w:rsidR="000C01AA" w:rsidRPr="000C01AA" w:rsidRDefault="000C01AA" w:rsidP="000C01AA">
            <w:pPr>
              <w:spacing w:before="60" w:after="60" w:line="240" w:lineRule="auto"/>
              <w:jc w:val="center"/>
              <w:rPr>
                <w:rFonts w:cs="Arial"/>
                <w:szCs w:val="20"/>
              </w:rPr>
            </w:pPr>
            <w:r w:rsidRPr="000C01AA">
              <w:rPr>
                <w:rFonts w:cs="Arial"/>
                <w:szCs w:val="20"/>
              </w:rPr>
              <w:t>8</w:t>
            </w:r>
          </w:p>
        </w:tc>
        <w:tc>
          <w:tcPr>
            <w:tcW w:w="3260" w:type="dxa"/>
          </w:tcPr>
          <w:p w14:paraId="0725B9FC" w14:textId="77777777" w:rsidR="000C01AA" w:rsidRPr="000C01AA" w:rsidRDefault="000C01AA" w:rsidP="000C01AA">
            <w:pPr>
              <w:spacing w:before="60" w:after="60" w:line="240" w:lineRule="auto"/>
              <w:rPr>
                <w:rFonts w:cs="Arial"/>
                <w:szCs w:val="20"/>
              </w:rPr>
            </w:pPr>
            <w:r w:rsidRPr="000C01AA">
              <w:rPr>
                <w:rFonts w:cs="Arial"/>
                <w:szCs w:val="20"/>
              </w:rPr>
              <w:t>Wykonanie robót wykończeniowych</w:t>
            </w:r>
          </w:p>
        </w:tc>
        <w:tc>
          <w:tcPr>
            <w:tcW w:w="1417" w:type="dxa"/>
          </w:tcPr>
          <w:p w14:paraId="4D5CADD2" w14:textId="77777777" w:rsidR="000C01AA" w:rsidRPr="000C01AA" w:rsidRDefault="000C01AA" w:rsidP="000C01AA">
            <w:pPr>
              <w:spacing w:before="60" w:after="60" w:line="240" w:lineRule="auto"/>
              <w:jc w:val="center"/>
              <w:rPr>
                <w:rFonts w:cs="Arial"/>
                <w:szCs w:val="20"/>
              </w:rPr>
            </w:pPr>
            <w:r w:rsidRPr="000C01AA">
              <w:rPr>
                <w:rFonts w:cs="Arial"/>
                <w:szCs w:val="20"/>
              </w:rPr>
              <w:t>Ocena ciągła</w:t>
            </w:r>
          </w:p>
        </w:tc>
        <w:tc>
          <w:tcPr>
            <w:tcW w:w="2268" w:type="dxa"/>
          </w:tcPr>
          <w:p w14:paraId="778530BF" w14:textId="77777777" w:rsidR="000C01AA" w:rsidRPr="000C01AA" w:rsidRDefault="000C01AA" w:rsidP="000C01AA">
            <w:pPr>
              <w:spacing w:before="60" w:after="60" w:line="240" w:lineRule="auto"/>
              <w:jc w:val="center"/>
              <w:rPr>
                <w:rFonts w:cs="Arial"/>
                <w:szCs w:val="20"/>
              </w:rPr>
            </w:pPr>
            <w:r w:rsidRPr="000C01AA">
              <w:rPr>
                <w:rFonts w:cs="Arial"/>
                <w:szCs w:val="20"/>
              </w:rPr>
              <w:t xml:space="preserve">Wg </w:t>
            </w:r>
            <w:proofErr w:type="spellStart"/>
            <w:r w:rsidRPr="000C01AA">
              <w:rPr>
                <w:rFonts w:cs="Arial"/>
                <w:szCs w:val="20"/>
              </w:rPr>
              <w:t>pktu</w:t>
            </w:r>
            <w:proofErr w:type="spellEnd"/>
            <w:r w:rsidRPr="000C01AA">
              <w:rPr>
                <w:rFonts w:cs="Arial"/>
                <w:szCs w:val="20"/>
              </w:rPr>
              <w:t xml:space="preserve"> 5.7</w:t>
            </w:r>
          </w:p>
        </w:tc>
      </w:tr>
    </w:tbl>
    <w:p w14:paraId="1F7ACCA9" w14:textId="77777777" w:rsidR="000C01AA" w:rsidRPr="000C01AA" w:rsidRDefault="000C01AA" w:rsidP="000C01AA">
      <w:pPr>
        <w:spacing w:line="240" w:lineRule="auto"/>
        <w:rPr>
          <w:rFonts w:cs="Arial"/>
          <w:szCs w:val="20"/>
        </w:rPr>
      </w:pPr>
    </w:p>
    <w:p w14:paraId="450A3A53" w14:textId="77777777" w:rsidR="000C01AA" w:rsidRPr="000C01AA" w:rsidRDefault="000C01AA" w:rsidP="000C01AA">
      <w:pPr>
        <w:pStyle w:val="Nagwek1"/>
        <w:spacing w:line="240" w:lineRule="auto"/>
        <w:rPr>
          <w:rFonts w:cs="Arial"/>
          <w:szCs w:val="20"/>
        </w:rPr>
      </w:pPr>
      <w:bookmarkStart w:id="994" w:name="_Toc421594985"/>
      <w:bookmarkStart w:id="995" w:name="_Toc507909785"/>
      <w:bookmarkStart w:id="996" w:name="_Toc507909892"/>
      <w:bookmarkStart w:id="997" w:name="_Toc138042851"/>
      <w:bookmarkStart w:id="998" w:name="_Toc250368197"/>
      <w:r w:rsidRPr="000C01AA">
        <w:rPr>
          <w:rFonts w:cs="Arial"/>
          <w:szCs w:val="20"/>
        </w:rPr>
        <w:t xml:space="preserve">7. </w:t>
      </w:r>
      <w:bookmarkEnd w:id="994"/>
      <w:bookmarkEnd w:id="995"/>
      <w:bookmarkEnd w:id="996"/>
      <w:bookmarkEnd w:id="997"/>
      <w:bookmarkEnd w:id="998"/>
      <w:r w:rsidRPr="000C01AA">
        <w:rPr>
          <w:rFonts w:cs="Arial"/>
          <w:szCs w:val="20"/>
        </w:rPr>
        <w:t>OBMIAR ROBÓT</w:t>
      </w:r>
    </w:p>
    <w:p w14:paraId="346C4E35" w14:textId="77777777" w:rsidR="000C01AA" w:rsidRPr="000C01AA" w:rsidRDefault="000C01AA" w:rsidP="000C01AA">
      <w:pPr>
        <w:pStyle w:val="Nagwek2"/>
        <w:spacing w:line="240" w:lineRule="auto"/>
        <w:rPr>
          <w:rFonts w:cs="Arial"/>
          <w:szCs w:val="20"/>
        </w:rPr>
      </w:pPr>
      <w:r w:rsidRPr="000C01AA">
        <w:rPr>
          <w:rFonts w:cs="Arial"/>
          <w:szCs w:val="20"/>
        </w:rPr>
        <w:t>7.1. Ogólne zasady obmiaru robót</w:t>
      </w:r>
    </w:p>
    <w:p w14:paraId="3A0108BE" w14:textId="1F8F0E69" w:rsidR="000C01AA" w:rsidRPr="000C01AA" w:rsidRDefault="000C01AA" w:rsidP="000C01AA">
      <w:pPr>
        <w:spacing w:line="240" w:lineRule="auto"/>
        <w:rPr>
          <w:rFonts w:cs="Arial"/>
          <w:szCs w:val="20"/>
        </w:rPr>
      </w:pPr>
      <w:r w:rsidRPr="000C01AA">
        <w:rPr>
          <w:rFonts w:cs="Arial"/>
          <w:szCs w:val="20"/>
        </w:rPr>
        <w:tab/>
        <w:t xml:space="preserve">Ogólne zasady obmiaru robót podano w </w:t>
      </w:r>
      <w:r>
        <w:rPr>
          <w:rFonts w:cs="Arial"/>
          <w:szCs w:val="20"/>
        </w:rPr>
        <w:t>S</w:t>
      </w:r>
      <w:r w:rsidRPr="000C01AA">
        <w:rPr>
          <w:rFonts w:cs="Arial"/>
          <w:szCs w:val="20"/>
        </w:rPr>
        <w:t>ST D-M-00.00.00 „Wymagania ogólne” [1] pkt 7.</w:t>
      </w:r>
    </w:p>
    <w:p w14:paraId="54B9316C" w14:textId="77777777" w:rsidR="000C01AA" w:rsidRPr="000C01AA" w:rsidRDefault="000C01AA" w:rsidP="000C01AA">
      <w:pPr>
        <w:pStyle w:val="Nagwek2"/>
        <w:spacing w:line="240" w:lineRule="auto"/>
        <w:rPr>
          <w:rFonts w:cs="Arial"/>
          <w:szCs w:val="20"/>
        </w:rPr>
      </w:pPr>
      <w:r w:rsidRPr="000C01AA">
        <w:rPr>
          <w:rFonts w:cs="Arial"/>
          <w:szCs w:val="20"/>
        </w:rPr>
        <w:t>7.2. Jednostka obmiarowa</w:t>
      </w:r>
    </w:p>
    <w:p w14:paraId="5FA9D240" w14:textId="77777777" w:rsidR="000C01AA" w:rsidRPr="000C01AA" w:rsidRDefault="000C01AA" w:rsidP="000C01AA">
      <w:pPr>
        <w:spacing w:line="240" w:lineRule="auto"/>
        <w:rPr>
          <w:rFonts w:cs="Arial"/>
          <w:szCs w:val="20"/>
        </w:rPr>
      </w:pPr>
      <w:r w:rsidRPr="000C01AA">
        <w:rPr>
          <w:rFonts w:cs="Arial"/>
          <w:szCs w:val="20"/>
        </w:rPr>
        <w:tab/>
        <w:t>Jednostką obmiarową jest m</w:t>
      </w:r>
      <w:r w:rsidRPr="000C01AA">
        <w:rPr>
          <w:rFonts w:cs="Arial"/>
          <w:szCs w:val="20"/>
          <w:vertAlign w:val="superscript"/>
        </w:rPr>
        <w:t>2</w:t>
      </w:r>
      <w:r w:rsidRPr="000C01AA">
        <w:rPr>
          <w:rFonts w:cs="Arial"/>
          <w:szCs w:val="20"/>
        </w:rPr>
        <w:t xml:space="preserve"> (metr kwadratowy) ułożonego </w:t>
      </w:r>
      <w:proofErr w:type="spellStart"/>
      <w:r w:rsidRPr="000C01AA">
        <w:rPr>
          <w:rFonts w:cs="Arial"/>
          <w:szCs w:val="20"/>
        </w:rPr>
        <w:t>geokompozytu</w:t>
      </w:r>
      <w:proofErr w:type="spellEnd"/>
      <w:r w:rsidRPr="000C01AA">
        <w:rPr>
          <w:rFonts w:cs="Arial"/>
          <w:szCs w:val="20"/>
        </w:rPr>
        <w:t>.</w:t>
      </w:r>
    </w:p>
    <w:p w14:paraId="10F3CF2C" w14:textId="77777777" w:rsidR="000C01AA" w:rsidRPr="000C01AA" w:rsidRDefault="000C01AA" w:rsidP="000C01AA">
      <w:pPr>
        <w:spacing w:line="240" w:lineRule="auto"/>
        <w:rPr>
          <w:rFonts w:cs="Arial"/>
          <w:szCs w:val="20"/>
        </w:rPr>
      </w:pPr>
      <w:r w:rsidRPr="000C01AA">
        <w:rPr>
          <w:rFonts w:cs="Arial"/>
          <w:szCs w:val="20"/>
        </w:rPr>
        <w:tab/>
        <w:t>Jednostki obmiarowe robót towarzyszących (np. ułożenia warstw nowej nawierzchni) są ustalone w odpowiednich OST.</w:t>
      </w:r>
    </w:p>
    <w:p w14:paraId="745F905D" w14:textId="77777777" w:rsidR="000C01AA" w:rsidRPr="000C01AA" w:rsidRDefault="000C01AA" w:rsidP="000C01AA">
      <w:pPr>
        <w:pStyle w:val="Nagwek1"/>
        <w:spacing w:line="240" w:lineRule="auto"/>
        <w:rPr>
          <w:rFonts w:cs="Arial"/>
          <w:szCs w:val="20"/>
        </w:rPr>
      </w:pPr>
      <w:bookmarkStart w:id="999" w:name="_Toc421594986"/>
      <w:bookmarkStart w:id="1000" w:name="_Toc507909786"/>
      <w:bookmarkStart w:id="1001" w:name="_Toc507909893"/>
      <w:bookmarkStart w:id="1002" w:name="_Toc138042852"/>
      <w:bookmarkStart w:id="1003" w:name="_Toc250368198"/>
      <w:r w:rsidRPr="000C01AA">
        <w:rPr>
          <w:rFonts w:cs="Arial"/>
          <w:szCs w:val="20"/>
        </w:rPr>
        <w:t xml:space="preserve">8. </w:t>
      </w:r>
      <w:bookmarkEnd w:id="999"/>
      <w:bookmarkEnd w:id="1000"/>
      <w:bookmarkEnd w:id="1001"/>
      <w:bookmarkEnd w:id="1002"/>
      <w:bookmarkEnd w:id="1003"/>
      <w:r w:rsidRPr="000C01AA">
        <w:rPr>
          <w:rFonts w:cs="Arial"/>
          <w:szCs w:val="20"/>
        </w:rPr>
        <w:t>ODBIÓR ROBÓT</w:t>
      </w:r>
    </w:p>
    <w:p w14:paraId="113247A2" w14:textId="77777777" w:rsidR="000C01AA" w:rsidRPr="000C01AA" w:rsidRDefault="000C01AA" w:rsidP="000C01AA">
      <w:pPr>
        <w:pStyle w:val="Nagwek2"/>
        <w:spacing w:line="240" w:lineRule="auto"/>
        <w:rPr>
          <w:rFonts w:cs="Arial"/>
          <w:szCs w:val="20"/>
        </w:rPr>
      </w:pPr>
      <w:r w:rsidRPr="000C01AA">
        <w:rPr>
          <w:rFonts w:cs="Arial"/>
          <w:szCs w:val="20"/>
        </w:rPr>
        <w:t>8.1. Ogólne zasady odbioru robót</w:t>
      </w:r>
      <w:r w:rsidRPr="000C01AA">
        <w:rPr>
          <w:rFonts w:cs="Arial"/>
          <w:szCs w:val="20"/>
        </w:rPr>
        <w:tab/>
      </w:r>
    </w:p>
    <w:p w14:paraId="50F2D177" w14:textId="50986A4C" w:rsidR="000C01AA" w:rsidRPr="000C01AA" w:rsidRDefault="000C01AA" w:rsidP="000C01AA">
      <w:pPr>
        <w:spacing w:line="240" w:lineRule="auto"/>
        <w:ind w:firstLine="709"/>
        <w:rPr>
          <w:rFonts w:cs="Arial"/>
          <w:szCs w:val="20"/>
        </w:rPr>
      </w:pPr>
      <w:r w:rsidRPr="000C01AA">
        <w:rPr>
          <w:rFonts w:cs="Arial"/>
          <w:szCs w:val="20"/>
        </w:rPr>
        <w:t xml:space="preserve">Ogólne zasady odbioru robót podano w </w:t>
      </w:r>
      <w:r w:rsidR="00000364">
        <w:rPr>
          <w:rFonts w:cs="Arial"/>
          <w:szCs w:val="20"/>
        </w:rPr>
        <w:t>S</w:t>
      </w:r>
      <w:r w:rsidRPr="000C01AA">
        <w:rPr>
          <w:rFonts w:cs="Arial"/>
          <w:szCs w:val="20"/>
        </w:rPr>
        <w:t>ST D-M-00.00.00 „Wymagania ogólne” [1] pkt 8.</w:t>
      </w:r>
    </w:p>
    <w:p w14:paraId="0E5AA43D" w14:textId="77777777" w:rsidR="000C01AA" w:rsidRPr="000C01AA" w:rsidRDefault="000C01AA" w:rsidP="000C01AA">
      <w:pPr>
        <w:spacing w:after="120" w:line="240" w:lineRule="auto"/>
        <w:rPr>
          <w:rFonts w:cs="Arial"/>
          <w:szCs w:val="20"/>
        </w:rPr>
      </w:pPr>
      <w:r w:rsidRPr="000C01AA">
        <w:rPr>
          <w:rFonts w:cs="Arial"/>
          <w:szCs w:val="20"/>
        </w:rPr>
        <w:tab/>
        <w:t xml:space="preserve">Roboty uznaje się za wykonane zgodnie z dokumentacją projektową, ST i wymaganiami Inżyniera, jeżeli wszystkie pomiary i badania z zachowaniem tolerancji według </w:t>
      </w:r>
      <w:proofErr w:type="spellStart"/>
      <w:r w:rsidRPr="000C01AA">
        <w:rPr>
          <w:rFonts w:cs="Arial"/>
          <w:szCs w:val="20"/>
        </w:rPr>
        <w:t>pktu</w:t>
      </w:r>
      <w:proofErr w:type="spellEnd"/>
      <w:r w:rsidRPr="000C01AA">
        <w:rPr>
          <w:rFonts w:cs="Arial"/>
          <w:szCs w:val="20"/>
        </w:rPr>
        <w:t xml:space="preserve"> 6 dały wyniki pozytywne.</w:t>
      </w:r>
      <w:bookmarkStart w:id="1004" w:name="_Toc421594987"/>
    </w:p>
    <w:p w14:paraId="465B821D" w14:textId="77777777" w:rsidR="000C01AA" w:rsidRPr="000C01AA" w:rsidRDefault="000C01AA" w:rsidP="000C01AA">
      <w:pPr>
        <w:pStyle w:val="Nagwek2"/>
        <w:spacing w:line="240" w:lineRule="auto"/>
        <w:rPr>
          <w:rFonts w:cs="Arial"/>
          <w:szCs w:val="20"/>
        </w:rPr>
      </w:pPr>
      <w:r w:rsidRPr="000C01AA">
        <w:rPr>
          <w:rFonts w:cs="Arial"/>
          <w:szCs w:val="20"/>
        </w:rPr>
        <w:t>8.2. Odbiór robót zanikających i ulegających zakryciu</w:t>
      </w:r>
    </w:p>
    <w:p w14:paraId="3F9B7717" w14:textId="77777777" w:rsidR="000C01AA" w:rsidRPr="000C01AA" w:rsidRDefault="000C01AA" w:rsidP="000C01AA">
      <w:pPr>
        <w:spacing w:line="240" w:lineRule="auto"/>
        <w:rPr>
          <w:rFonts w:cs="Arial"/>
          <w:szCs w:val="20"/>
        </w:rPr>
      </w:pPr>
      <w:r w:rsidRPr="000C01AA">
        <w:rPr>
          <w:rFonts w:cs="Arial"/>
          <w:szCs w:val="20"/>
        </w:rPr>
        <w:tab/>
        <w:t>Odbiorowi robót zanikających i ulegających zakryciu podlegają:</w:t>
      </w:r>
    </w:p>
    <w:p w14:paraId="4A347E0E" w14:textId="77777777" w:rsidR="000C01AA" w:rsidRPr="000C01AA" w:rsidRDefault="000C01AA" w:rsidP="00CF1E7D">
      <w:pPr>
        <w:numPr>
          <w:ilvl w:val="0"/>
          <w:numId w:val="286"/>
        </w:numPr>
        <w:overflowPunct w:val="0"/>
        <w:autoSpaceDE w:val="0"/>
        <w:autoSpaceDN w:val="0"/>
        <w:adjustRightInd w:val="0"/>
        <w:spacing w:line="240" w:lineRule="auto"/>
        <w:jc w:val="both"/>
        <w:textAlignment w:val="baseline"/>
        <w:rPr>
          <w:rFonts w:cs="Arial"/>
          <w:szCs w:val="20"/>
        </w:rPr>
      </w:pPr>
      <w:r w:rsidRPr="000C01AA">
        <w:rPr>
          <w:rFonts w:cs="Arial"/>
          <w:szCs w:val="20"/>
        </w:rPr>
        <w:t>oczyszczenie nawierzchni,</w:t>
      </w:r>
    </w:p>
    <w:p w14:paraId="5AD4AA9D" w14:textId="77777777" w:rsidR="000C01AA" w:rsidRPr="000C01AA" w:rsidRDefault="000C01AA" w:rsidP="00CF1E7D">
      <w:pPr>
        <w:numPr>
          <w:ilvl w:val="0"/>
          <w:numId w:val="286"/>
        </w:numPr>
        <w:overflowPunct w:val="0"/>
        <w:autoSpaceDE w:val="0"/>
        <w:autoSpaceDN w:val="0"/>
        <w:adjustRightInd w:val="0"/>
        <w:spacing w:line="240" w:lineRule="auto"/>
        <w:jc w:val="both"/>
        <w:textAlignment w:val="baseline"/>
        <w:rPr>
          <w:rFonts w:cs="Arial"/>
          <w:szCs w:val="20"/>
        </w:rPr>
      </w:pPr>
      <w:r w:rsidRPr="000C01AA">
        <w:rPr>
          <w:rFonts w:cs="Arial"/>
          <w:szCs w:val="20"/>
        </w:rPr>
        <w:t>skropienie nawierzchni emulsją asfaltową,</w:t>
      </w:r>
    </w:p>
    <w:p w14:paraId="2BA22679" w14:textId="77777777" w:rsidR="000C01AA" w:rsidRPr="000C01AA" w:rsidRDefault="000C01AA" w:rsidP="00CF1E7D">
      <w:pPr>
        <w:numPr>
          <w:ilvl w:val="0"/>
          <w:numId w:val="286"/>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ułożenie </w:t>
      </w:r>
      <w:proofErr w:type="spellStart"/>
      <w:r w:rsidRPr="000C01AA">
        <w:rPr>
          <w:rFonts w:cs="Arial"/>
          <w:szCs w:val="20"/>
        </w:rPr>
        <w:t>geokompozytu</w:t>
      </w:r>
      <w:proofErr w:type="spellEnd"/>
      <w:r w:rsidRPr="000C01AA">
        <w:rPr>
          <w:rFonts w:cs="Arial"/>
          <w:szCs w:val="20"/>
        </w:rPr>
        <w:t>.</w:t>
      </w:r>
    </w:p>
    <w:p w14:paraId="06AAB6D8" w14:textId="45D0B8A5" w:rsidR="000C01AA" w:rsidRPr="000C01AA" w:rsidRDefault="000C01AA" w:rsidP="000C01AA">
      <w:pPr>
        <w:spacing w:line="240" w:lineRule="auto"/>
        <w:ind w:firstLine="709"/>
        <w:rPr>
          <w:rFonts w:cs="Arial"/>
          <w:szCs w:val="20"/>
        </w:rPr>
      </w:pPr>
      <w:r w:rsidRPr="000C01AA">
        <w:rPr>
          <w:rFonts w:cs="Arial"/>
          <w:szCs w:val="20"/>
        </w:rPr>
        <w:t xml:space="preserve">Odbiór tych robót powinien być zgodny z wymaganiami </w:t>
      </w:r>
      <w:proofErr w:type="spellStart"/>
      <w:r w:rsidRPr="000C01AA">
        <w:rPr>
          <w:rFonts w:cs="Arial"/>
          <w:szCs w:val="20"/>
        </w:rPr>
        <w:t>pktu</w:t>
      </w:r>
      <w:proofErr w:type="spellEnd"/>
      <w:r w:rsidRPr="000C01AA">
        <w:rPr>
          <w:rFonts w:cs="Arial"/>
          <w:szCs w:val="20"/>
        </w:rPr>
        <w:t xml:space="preserve"> 8.2 </w:t>
      </w:r>
      <w:r w:rsidR="00000364">
        <w:rPr>
          <w:rFonts w:cs="Arial"/>
          <w:szCs w:val="20"/>
        </w:rPr>
        <w:t>S</w:t>
      </w:r>
      <w:r w:rsidRPr="000C01AA">
        <w:rPr>
          <w:rFonts w:cs="Arial"/>
          <w:szCs w:val="20"/>
        </w:rPr>
        <w:t>ST D-M-00.00.00 „Wymagania ogólne” [1] oraz niniejszej OST.</w:t>
      </w:r>
    </w:p>
    <w:p w14:paraId="5E352980" w14:textId="77777777" w:rsidR="000C01AA" w:rsidRPr="000C01AA" w:rsidRDefault="000C01AA" w:rsidP="000C01AA">
      <w:pPr>
        <w:pStyle w:val="Nagwek1"/>
        <w:spacing w:line="240" w:lineRule="auto"/>
        <w:rPr>
          <w:rFonts w:cs="Arial"/>
          <w:szCs w:val="20"/>
        </w:rPr>
      </w:pPr>
      <w:bookmarkStart w:id="1005" w:name="_Toc507909787"/>
      <w:bookmarkStart w:id="1006" w:name="_Toc507909894"/>
      <w:bookmarkStart w:id="1007" w:name="_Toc138042853"/>
      <w:bookmarkStart w:id="1008" w:name="_Toc250368199"/>
      <w:r w:rsidRPr="000C01AA">
        <w:rPr>
          <w:rFonts w:cs="Arial"/>
          <w:szCs w:val="20"/>
        </w:rPr>
        <w:t xml:space="preserve">9. </w:t>
      </w:r>
      <w:bookmarkEnd w:id="1004"/>
      <w:bookmarkEnd w:id="1005"/>
      <w:bookmarkEnd w:id="1006"/>
      <w:bookmarkEnd w:id="1007"/>
      <w:bookmarkEnd w:id="1008"/>
      <w:r w:rsidRPr="000C01AA">
        <w:rPr>
          <w:rFonts w:cs="Arial"/>
          <w:szCs w:val="20"/>
        </w:rPr>
        <w:t>PODSTAWA PŁATNOŚCI</w:t>
      </w:r>
    </w:p>
    <w:p w14:paraId="3885F3B5" w14:textId="77777777" w:rsidR="000C01AA" w:rsidRPr="000C01AA" w:rsidRDefault="000C01AA" w:rsidP="000C01AA">
      <w:pPr>
        <w:pStyle w:val="Nagwek2"/>
        <w:spacing w:line="240" w:lineRule="auto"/>
        <w:rPr>
          <w:rFonts w:cs="Arial"/>
          <w:szCs w:val="20"/>
        </w:rPr>
      </w:pPr>
      <w:r w:rsidRPr="000C01AA">
        <w:rPr>
          <w:rFonts w:cs="Arial"/>
          <w:szCs w:val="20"/>
        </w:rPr>
        <w:t>9.1. Ogólne ustalenia dotyczące podstawy płatności</w:t>
      </w:r>
    </w:p>
    <w:p w14:paraId="05E3494A" w14:textId="7120212B" w:rsidR="000C01AA" w:rsidRPr="000C01AA" w:rsidRDefault="000C01AA" w:rsidP="000C01AA">
      <w:pPr>
        <w:spacing w:line="240" w:lineRule="auto"/>
        <w:rPr>
          <w:rFonts w:cs="Arial"/>
          <w:szCs w:val="20"/>
        </w:rPr>
      </w:pPr>
      <w:r w:rsidRPr="000C01AA">
        <w:rPr>
          <w:rFonts w:cs="Arial"/>
          <w:szCs w:val="20"/>
        </w:rPr>
        <w:tab/>
        <w:t xml:space="preserve">Ogólne ustalenia dotyczące podstawy płatności podano w </w:t>
      </w:r>
      <w:r w:rsidR="00000364">
        <w:rPr>
          <w:rFonts w:cs="Arial"/>
          <w:szCs w:val="20"/>
        </w:rPr>
        <w:t>S</w:t>
      </w:r>
      <w:r w:rsidRPr="000C01AA">
        <w:rPr>
          <w:rFonts w:cs="Arial"/>
          <w:szCs w:val="20"/>
        </w:rPr>
        <w:t>ST D-M-00.00.00 „Wymagania ogólne” [1] pkt 9.</w:t>
      </w:r>
    </w:p>
    <w:p w14:paraId="7B7F49E3" w14:textId="77777777" w:rsidR="000C01AA" w:rsidRPr="000C01AA" w:rsidRDefault="000C01AA" w:rsidP="000C01AA">
      <w:pPr>
        <w:pStyle w:val="Nagwek2"/>
        <w:spacing w:line="240" w:lineRule="auto"/>
        <w:rPr>
          <w:rFonts w:cs="Arial"/>
          <w:szCs w:val="20"/>
        </w:rPr>
      </w:pPr>
      <w:r w:rsidRPr="000C01AA">
        <w:rPr>
          <w:rFonts w:cs="Arial"/>
          <w:szCs w:val="20"/>
        </w:rPr>
        <w:t>9.2. Cena jednostki obmiarowej</w:t>
      </w:r>
    </w:p>
    <w:p w14:paraId="5D427788" w14:textId="77777777" w:rsidR="000C01AA" w:rsidRPr="000C01AA" w:rsidRDefault="000C01AA" w:rsidP="000C01AA">
      <w:pPr>
        <w:spacing w:line="240" w:lineRule="auto"/>
        <w:rPr>
          <w:rFonts w:cs="Arial"/>
          <w:szCs w:val="20"/>
        </w:rPr>
      </w:pPr>
      <w:r w:rsidRPr="000C01AA">
        <w:rPr>
          <w:rFonts w:cs="Arial"/>
          <w:szCs w:val="20"/>
        </w:rPr>
        <w:tab/>
        <w:t xml:space="preserve">Cena wykonania </w:t>
      </w:r>
      <w:smartTag w:uri="urn:schemas-microsoft-com:office:smarttags" w:element="metricconverter">
        <w:smartTagPr>
          <w:attr w:name="ProductID" w:val="1 m2"/>
        </w:smartTagPr>
        <w:r w:rsidRPr="000C01AA">
          <w:rPr>
            <w:rFonts w:cs="Arial"/>
            <w:szCs w:val="20"/>
          </w:rPr>
          <w:t>1 m</w:t>
        </w:r>
        <w:r w:rsidRPr="000C01AA">
          <w:rPr>
            <w:rFonts w:cs="Arial"/>
            <w:szCs w:val="20"/>
            <w:vertAlign w:val="superscript"/>
          </w:rPr>
          <w:t>2</w:t>
        </w:r>
      </w:smartTag>
      <w:r w:rsidRPr="000C01AA">
        <w:rPr>
          <w:rFonts w:cs="Arial"/>
          <w:szCs w:val="20"/>
        </w:rPr>
        <w:t xml:space="preserve"> ułożenia </w:t>
      </w:r>
      <w:proofErr w:type="spellStart"/>
      <w:r w:rsidRPr="000C01AA">
        <w:rPr>
          <w:rFonts w:cs="Arial"/>
          <w:szCs w:val="20"/>
        </w:rPr>
        <w:t>geokompozytu</w:t>
      </w:r>
      <w:proofErr w:type="spellEnd"/>
      <w:r w:rsidRPr="000C01AA">
        <w:rPr>
          <w:rFonts w:cs="Arial"/>
          <w:szCs w:val="20"/>
        </w:rPr>
        <w:t xml:space="preserve"> obejmuje:</w:t>
      </w:r>
    </w:p>
    <w:p w14:paraId="59F0962A"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prace pomiarowe i roboty przygotowawcze,</w:t>
      </w:r>
    </w:p>
    <w:p w14:paraId="7DBDA976"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oznakowanie robót,</w:t>
      </w:r>
    </w:p>
    <w:p w14:paraId="701B1CC2"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dostarczenie materiałów i sprzętu,</w:t>
      </w:r>
    </w:p>
    <w:p w14:paraId="5B2B3948"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przygotowanie podłoża do ułożenia </w:t>
      </w:r>
      <w:proofErr w:type="spellStart"/>
      <w:r w:rsidRPr="000C01AA">
        <w:rPr>
          <w:rFonts w:cs="Arial"/>
          <w:szCs w:val="20"/>
        </w:rPr>
        <w:t>geokompozytu</w:t>
      </w:r>
      <w:proofErr w:type="spellEnd"/>
      <w:r w:rsidRPr="000C01AA">
        <w:rPr>
          <w:rFonts w:cs="Arial"/>
          <w:szCs w:val="20"/>
        </w:rPr>
        <w:t>,</w:t>
      </w:r>
    </w:p>
    <w:p w14:paraId="24417445"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rozebranie istniejącej nawierzchni,</w:t>
      </w:r>
    </w:p>
    <w:p w14:paraId="7E16513B"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skropienie podłoża emulsją asfaltową,</w:t>
      </w:r>
    </w:p>
    <w:p w14:paraId="3937404A"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 xml:space="preserve">ułożenie </w:t>
      </w:r>
      <w:proofErr w:type="spellStart"/>
      <w:r w:rsidRPr="000C01AA">
        <w:rPr>
          <w:rFonts w:cs="Arial"/>
          <w:szCs w:val="20"/>
        </w:rPr>
        <w:t>geokompozytu</w:t>
      </w:r>
      <w:proofErr w:type="spellEnd"/>
      <w:r w:rsidRPr="000C01AA">
        <w:rPr>
          <w:rFonts w:cs="Arial"/>
          <w:szCs w:val="20"/>
        </w:rPr>
        <w:t>,</w:t>
      </w:r>
    </w:p>
    <w:p w14:paraId="17AA3A77"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wykonanie wszystkich robót według wymagań dokumentacji projektowej, ST i specyfikacji technicznej,</w:t>
      </w:r>
    </w:p>
    <w:p w14:paraId="7891AA10"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oczyszczenie miejsca robót i uporządkowanie terenu przyległego,</w:t>
      </w:r>
    </w:p>
    <w:p w14:paraId="073628EB"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przeprowadzenie pomiarów i badań wymaganych w specyfikacji technicznej,</w:t>
      </w:r>
    </w:p>
    <w:p w14:paraId="43CC71A6" w14:textId="77777777" w:rsidR="000C01AA" w:rsidRPr="000C01AA" w:rsidRDefault="000C01AA" w:rsidP="00CF1E7D">
      <w:pPr>
        <w:numPr>
          <w:ilvl w:val="0"/>
          <w:numId w:val="285"/>
        </w:numPr>
        <w:overflowPunct w:val="0"/>
        <w:autoSpaceDE w:val="0"/>
        <w:autoSpaceDN w:val="0"/>
        <w:adjustRightInd w:val="0"/>
        <w:spacing w:line="240" w:lineRule="auto"/>
        <w:jc w:val="both"/>
        <w:textAlignment w:val="baseline"/>
        <w:rPr>
          <w:rFonts w:cs="Arial"/>
          <w:szCs w:val="20"/>
        </w:rPr>
      </w:pPr>
      <w:r w:rsidRPr="000C01AA">
        <w:rPr>
          <w:rFonts w:cs="Arial"/>
          <w:szCs w:val="20"/>
        </w:rPr>
        <w:t>odwiezienie sprzętu.</w:t>
      </w:r>
    </w:p>
    <w:p w14:paraId="1530C293" w14:textId="77777777" w:rsidR="000C01AA" w:rsidRPr="000C01AA" w:rsidRDefault="000C01AA" w:rsidP="000C01AA">
      <w:pPr>
        <w:spacing w:line="240" w:lineRule="auto"/>
        <w:ind w:firstLine="709"/>
        <w:rPr>
          <w:rFonts w:cs="Arial"/>
          <w:szCs w:val="20"/>
        </w:rPr>
      </w:pPr>
      <w:r w:rsidRPr="000C01AA">
        <w:rPr>
          <w:rFonts w:cs="Arial"/>
          <w:szCs w:val="20"/>
        </w:rPr>
        <w:t xml:space="preserve">Cena wykonania </w:t>
      </w:r>
      <w:smartTag w:uri="urn:schemas-microsoft-com:office:smarttags" w:element="metricconverter">
        <w:smartTagPr>
          <w:attr w:name="ProductID" w:val="1 m2"/>
        </w:smartTagPr>
        <w:r w:rsidRPr="000C01AA">
          <w:rPr>
            <w:rFonts w:cs="Arial"/>
            <w:szCs w:val="20"/>
          </w:rPr>
          <w:t>1 m</w:t>
        </w:r>
        <w:r w:rsidRPr="000C01AA">
          <w:rPr>
            <w:rFonts w:cs="Arial"/>
            <w:szCs w:val="20"/>
            <w:vertAlign w:val="superscript"/>
          </w:rPr>
          <w:t>2</w:t>
        </w:r>
      </w:smartTag>
      <w:r w:rsidRPr="000C01AA">
        <w:rPr>
          <w:rFonts w:cs="Arial"/>
          <w:szCs w:val="20"/>
        </w:rPr>
        <w:t xml:space="preserve"> ułożenia </w:t>
      </w:r>
      <w:proofErr w:type="spellStart"/>
      <w:r w:rsidRPr="000C01AA">
        <w:rPr>
          <w:rFonts w:cs="Arial"/>
          <w:szCs w:val="20"/>
        </w:rPr>
        <w:t>geokompozytu</w:t>
      </w:r>
      <w:proofErr w:type="spellEnd"/>
      <w:r w:rsidRPr="000C01AA">
        <w:rPr>
          <w:rFonts w:cs="Arial"/>
          <w:szCs w:val="20"/>
        </w:rPr>
        <w:t xml:space="preserve"> nie obejmuje robót innych, np. wykonania warstw nowej nawierzchni, które powinny być ujęte w innych pozycjach kosztorysowych.</w:t>
      </w:r>
    </w:p>
    <w:p w14:paraId="0AA55001" w14:textId="77777777" w:rsidR="000C01AA" w:rsidRPr="000C01AA" w:rsidRDefault="000C01AA" w:rsidP="000C01AA">
      <w:pPr>
        <w:pStyle w:val="Nagwek2"/>
        <w:spacing w:line="240" w:lineRule="auto"/>
        <w:rPr>
          <w:rFonts w:cs="Arial"/>
          <w:szCs w:val="20"/>
        </w:rPr>
      </w:pPr>
      <w:r w:rsidRPr="000C01AA">
        <w:rPr>
          <w:rFonts w:cs="Arial"/>
          <w:szCs w:val="20"/>
        </w:rPr>
        <w:t>9.3. Sposób rozliczenia robót tymczasowych i prac towarzyszących</w:t>
      </w:r>
    </w:p>
    <w:p w14:paraId="02FAFE99" w14:textId="435A540D" w:rsidR="000C01AA" w:rsidRPr="000C01AA" w:rsidRDefault="000C01AA" w:rsidP="000C01AA">
      <w:pPr>
        <w:spacing w:line="240" w:lineRule="auto"/>
        <w:rPr>
          <w:rFonts w:cs="Arial"/>
          <w:szCs w:val="20"/>
        </w:rPr>
      </w:pPr>
      <w:r w:rsidRPr="000C01AA">
        <w:rPr>
          <w:rFonts w:cs="Arial"/>
          <w:szCs w:val="20"/>
        </w:rPr>
        <w:tab/>
        <w:t xml:space="preserve">Cena wykonania robót określonych niniejszą </w:t>
      </w:r>
      <w:r w:rsidR="00000364">
        <w:rPr>
          <w:rFonts w:cs="Arial"/>
          <w:szCs w:val="20"/>
        </w:rPr>
        <w:t>S</w:t>
      </w:r>
      <w:r w:rsidRPr="000C01AA">
        <w:rPr>
          <w:rFonts w:cs="Arial"/>
          <w:szCs w:val="20"/>
        </w:rPr>
        <w:t>ST obejmuje:</w:t>
      </w:r>
    </w:p>
    <w:p w14:paraId="7205EAF4" w14:textId="77777777" w:rsidR="000C01AA" w:rsidRPr="000C01AA" w:rsidRDefault="000C01AA" w:rsidP="00CF1E7D">
      <w:pPr>
        <w:numPr>
          <w:ilvl w:val="0"/>
          <w:numId w:val="260"/>
        </w:numPr>
        <w:overflowPunct w:val="0"/>
        <w:autoSpaceDE w:val="0"/>
        <w:autoSpaceDN w:val="0"/>
        <w:adjustRightInd w:val="0"/>
        <w:spacing w:line="240" w:lineRule="auto"/>
        <w:jc w:val="both"/>
        <w:textAlignment w:val="baseline"/>
        <w:rPr>
          <w:rFonts w:cs="Arial"/>
          <w:szCs w:val="20"/>
        </w:rPr>
      </w:pPr>
      <w:r w:rsidRPr="000C01AA">
        <w:rPr>
          <w:rFonts w:cs="Arial"/>
          <w:szCs w:val="20"/>
        </w:rPr>
        <w:t>roboty tymczasowe, które są potrzebne do wykonania robót podstawowych, ale nie są przekazywane Zamawiającemu i są usuwane po wykonaniu robót podstawowych,</w:t>
      </w:r>
    </w:p>
    <w:p w14:paraId="68137565" w14:textId="77777777" w:rsidR="000C01AA" w:rsidRPr="000C01AA" w:rsidRDefault="000C01AA" w:rsidP="00CF1E7D">
      <w:pPr>
        <w:numPr>
          <w:ilvl w:val="0"/>
          <w:numId w:val="260"/>
        </w:numPr>
        <w:overflowPunct w:val="0"/>
        <w:autoSpaceDE w:val="0"/>
        <w:autoSpaceDN w:val="0"/>
        <w:adjustRightInd w:val="0"/>
        <w:spacing w:line="240" w:lineRule="auto"/>
        <w:jc w:val="both"/>
        <w:textAlignment w:val="baseline"/>
        <w:rPr>
          <w:rFonts w:cs="Arial"/>
          <w:szCs w:val="20"/>
        </w:rPr>
      </w:pPr>
      <w:r w:rsidRPr="000C01AA">
        <w:rPr>
          <w:rFonts w:cs="Arial"/>
          <w:szCs w:val="20"/>
        </w:rPr>
        <w:t>prace towarzyszące, które są niezbędne do wykonania robót podstawowych, niezaliczane do robót tymczasowych, jak geodezyjne wytyczenie robót itd.</w:t>
      </w:r>
    </w:p>
    <w:p w14:paraId="4D8BA40B" w14:textId="77777777" w:rsidR="000C01AA" w:rsidRPr="000C01AA" w:rsidRDefault="000C01AA" w:rsidP="000C01AA">
      <w:pPr>
        <w:pStyle w:val="Nagwek1"/>
        <w:spacing w:line="240" w:lineRule="auto"/>
        <w:rPr>
          <w:rFonts w:cs="Arial"/>
          <w:szCs w:val="20"/>
        </w:rPr>
      </w:pPr>
      <w:bookmarkStart w:id="1009" w:name="_Toc138042854"/>
      <w:bookmarkStart w:id="1010" w:name="_Toc250368200"/>
      <w:r w:rsidRPr="000C01AA">
        <w:rPr>
          <w:rFonts w:cs="Arial"/>
          <w:szCs w:val="20"/>
        </w:rPr>
        <w:t xml:space="preserve">10. </w:t>
      </w:r>
      <w:bookmarkEnd w:id="1009"/>
      <w:bookmarkEnd w:id="1010"/>
      <w:r w:rsidRPr="000C01AA">
        <w:rPr>
          <w:rFonts w:cs="Arial"/>
          <w:szCs w:val="20"/>
        </w:rPr>
        <w:t>PRZEPISY ZWIĄZANE</w:t>
      </w:r>
    </w:p>
    <w:p w14:paraId="0121199C" w14:textId="692AAE47" w:rsidR="000C01AA" w:rsidRPr="000C01AA" w:rsidRDefault="000C01AA" w:rsidP="000C01AA">
      <w:pPr>
        <w:pStyle w:val="Nagwek2"/>
        <w:spacing w:line="240" w:lineRule="auto"/>
        <w:rPr>
          <w:rFonts w:cs="Arial"/>
          <w:szCs w:val="20"/>
        </w:rPr>
      </w:pPr>
      <w:r w:rsidRPr="000C01AA">
        <w:rPr>
          <w:rFonts w:cs="Arial"/>
          <w:szCs w:val="20"/>
        </w:rPr>
        <w:t>10.1. Ogólne specyfikacje techniczne (</w:t>
      </w:r>
      <w:r w:rsidR="00000364">
        <w:rPr>
          <w:rFonts w:cs="Arial"/>
          <w:szCs w:val="20"/>
        </w:rPr>
        <w:t>S</w:t>
      </w:r>
      <w:r w:rsidRPr="000C01AA">
        <w:rPr>
          <w:rFonts w:cs="Arial"/>
          <w:szCs w:val="20"/>
        </w:rPr>
        <w:t>ST)</w:t>
      </w:r>
    </w:p>
    <w:tbl>
      <w:tblPr>
        <w:tblW w:w="0" w:type="auto"/>
        <w:tblLayout w:type="fixed"/>
        <w:tblCellMar>
          <w:left w:w="70" w:type="dxa"/>
          <w:right w:w="70" w:type="dxa"/>
        </w:tblCellMar>
        <w:tblLook w:val="0000" w:firstRow="0" w:lastRow="0" w:firstColumn="0" w:lastColumn="0" w:noHBand="0" w:noVBand="0"/>
      </w:tblPr>
      <w:tblGrid>
        <w:gridCol w:w="496"/>
        <w:gridCol w:w="1559"/>
        <w:gridCol w:w="5455"/>
      </w:tblGrid>
      <w:tr w:rsidR="000C01AA" w:rsidRPr="000C01AA" w14:paraId="512C0DE8" w14:textId="77777777" w:rsidTr="007B6855">
        <w:tc>
          <w:tcPr>
            <w:tcW w:w="496" w:type="dxa"/>
          </w:tcPr>
          <w:p w14:paraId="6DE02074" w14:textId="77777777" w:rsidR="000C01AA" w:rsidRPr="000C01AA" w:rsidRDefault="000C01AA" w:rsidP="000C01AA">
            <w:pPr>
              <w:spacing w:line="240" w:lineRule="auto"/>
              <w:jc w:val="center"/>
              <w:rPr>
                <w:rFonts w:cs="Arial"/>
                <w:szCs w:val="20"/>
              </w:rPr>
            </w:pPr>
            <w:r w:rsidRPr="000C01AA">
              <w:rPr>
                <w:rFonts w:cs="Arial"/>
                <w:szCs w:val="20"/>
              </w:rPr>
              <w:t>1.</w:t>
            </w:r>
          </w:p>
        </w:tc>
        <w:tc>
          <w:tcPr>
            <w:tcW w:w="1559" w:type="dxa"/>
          </w:tcPr>
          <w:p w14:paraId="4A49F77B" w14:textId="77777777" w:rsidR="000C01AA" w:rsidRPr="000C01AA" w:rsidRDefault="000C01AA" w:rsidP="000C01AA">
            <w:pPr>
              <w:spacing w:line="240" w:lineRule="auto"/>
              <w:rPr>
                <w:rFonts w:cs="Arial"/>
                <w:szCs w:val="20"/>
              </w:rPr>
            </w:pPr>
            <w:r w:rsidRPr="000C01AA">
              <w:rPr>
                <w:rFonts w:cs="Arial"/>
                <w:szCs w:val="20"/>
              </w:rPr>
              <w:t>D-M-00.00.00</w:t>
            </w:r>
          </w:p>
        </w:tc>
        <w:tc>
          <w:tcPr>
            <w:tcW w:w="5455" w:type="dxa"/>
          </w:tcPr>
          <w:p w14:paraId="12A7F9EF" w14:textId="77777777" w:rsidR="000C01AA" w:rsidRPr="000C01AA" w:rsidRDefault="000C01AA" w:rsidP="000C01AA">
            <w:pPr>
              <w:spacing w:line="240" w:lineRule="auto"/>
              <w:rPr>
                <w:rFonts w:cs="Arial"/>
                <w:szCs w:val="20"/>
              </w:rPr>
            </w:pPr>
            <w:r w:rsidRPr="000C01AA">
              <w:rPr>
                <w:rFonts w:cs="Arial"/>
                <w:szCs w:val="20"/>
              </w:rPr>
              <w:t>Wymagania ogólne</w:t>
            </w:r>
          </w:p>
        </w:tc>
      </w:tr>
    </w:tbl>
    <w:p w14:paraId="221E4D15" w14:textId="77777777" w:rsidR="000C01AA" w:rsidRPr="000C01AA" w:rsidRDefault="000C01AA" w:rsidP="000C01AA">
      <w:pPr>
        <w:pStyle w:val="Nagwek2"/>
        <w:spacing w:line="240" w:lineRule="auto"/>
        <w:rPr>
          <w:rFonts w:cs="Arial"/>
          <w:szCs w:val="20"/>
        </w:rPr>
      </w:pPr>
      <w:r w:rsidRPr="000C01AA">
        <w:rPr>
          <w:rFonts w:cs="Arial"/>
          <w:szCs w:val="20"/>
        </w:rPr>
        <w:t>10.2. Normy</w:t>
      </w:r>
    </w:p>
    <w:tbl>
      <w:tblPr>
        <w:tblW w:w="0" w:type="auto"/>
        <w:tblLook w:val="01E0" w:firstRow="1" w:lastRow="1" w:firstColumn="1" w:lastColumn="1" w:noHBand="0" w:noVBand="0"/>
      </w:tblPr>
      <w:tblGrid>
        <w:gridCol w:w="534"/>
        <w:gridCol w:w="1701"/>
        <w:gridCol w:w="5276"/>
      </w:tblGrid>
      <w:tr w:rsidR="000C01AA" w:rsidRPr="000C01AA" w14:paraId="13590C6F" w14:textId="77777777" w:rsidTr="007B6855">
        <w:tc>
          <w:tcPr>
            <w:tcW w:w="534" w:type="dxa"/>
          </w:tcPr>
          <w:p w14:paraId="7F7FE342" w14:textId="77777777" w:rsidR="000C01AA" w:rsidRPr="000C01AA" w:rsidRDefault="000C01AA" w:rsidP="000C01AA">
            <w:pPr>
              <w:spacing w:line="240" w:lineRule="auto"/>
              <w:jc w:val="center"/>
              <w:rPr>
                <w:rFonts w:cs="Arial"/>
                <w:szCs w:val="20"/>
              </w:rPr>
            </w:pPr>
            <w:r w:rsidRPr="000C01AA">
              <w:rPr>
                <w:rFonts w:cs="Arial"/>
                <w:szCs w:val="20"/>
              </w:rPr>
              <w:t>2.</w:t>
            </w:r>
          </w:p>
        </w:tc>
        <w:tc>
          <w:tcPr>
            <w:tcW w:w="1701" w:type="dxa"/>
          </w:tcPr>
          <w:p w14:paraId="683E69DD" w14:textId="77777777" w:rsidR="000C01AA" w:rsidRPr="000C01AA" w:rsidRDefault="000C01AA" w:rsidP="000C01AA">
            <w:pPr>
              <w:spacing w:line="240" w:lineRule="auto"/>
              <w:rPr>
                <w:rFonts w:cs="Arial"/>
                <w:szCs w:val="20"/>
              </w:rPr>
            </w:pPr>
            <w:r w:rsidRPr="000C01AA">
              <w:rPr>
                <w:rFonts w:cs="Arial"/>
                <w:szCs w:val="20"/>
              </w:rPr>
              <w:t>PN-EN 1428</w:t>
            </w:r>
          </w:p>
        </w:tc>
        <w:tc>
          <w:tcPr>
            <w:tcW w:w="5276" w:type="dxa"/>
          </w:tcPr>
          <w:p w14:paraId="3D702C1C" w14:textId="77777777" w:rsidR="000C01AA" w:rsidRPr="000C01AA" w:rsidRDefault="000C01AA" w:rsidP="000C01AA">
            <w:pPr>
              <w:spacing w:line="240" w:lineRule="auto"/>
              <w:rPr>
                <w:rFonts w:cs="Arial"/>
                <w:szCs w:val="20"/>
              </w:rPr>
            </w:pPr>
            <w:r w:rsidRPr="000C01AA">
              <w:rPr>
                <w:rFonts w:cs="Arial"/>
                <w:szCs w:val="20"/>
              </w:rPr>
              <w:t>Asfalty i lepiszcza asfaltowe – Oznaczanie zawartości wody w emulsjach asfaltowych – Metoda destylacji azeotropowej</w:t>
            </w:r>
          </w:p>
        </w:tc>
      </w:tr>
      <w:tr w:rsidR="000C01AA" w:rsidRPr="000C01AA" w14:paraId="0F2EB0EC" w14:textId="77777777" w:rsidTr="007B6855">
        <w:tc>
          <w:tcPr>
            <w:tcW w:w="534" w:type="dxa"/>
          </w:tcPr>
          <w:p w14:paraId="5A3EC521" w14:textId="77777777" w:rsidR="000C01AA" w:rsidRPr="000C01AA" w:rsidRDefault="000C01AA" w:rsidP="000C01AA">
            <w:pPr>
              <w:spacing w:line="240" w:lineRule="auto"/>
              <w:jc w:val="center"/>
              <w:rPr>
                <w:rFonts w:cs="Arial"/>
                <w:szCs w:val="20"/>
              </w:rPr>
            </w:pPr>
            <w:r w:rsidRPr="000C01AA">
              <w:rPr>
                <w:rFonts w:cs="Arial"/>
                <w:szCs w:val="20"/>
              </w:rPr>
              <w:t>3.</w:t>
            </w:r>
          </w:p>
        </w:tc>
        <w:tc>
          <w:tcPr>
            <w:tcW w:w="1701" w:type="dxa"/>
          </w:tcPr>
          <w:p w14:paraId="351D75C8" w14:textId="77777777" w:rsidR="000C01AA" w:rsidRPr="000C01AA" w:rsidRDefault="000C01AA" w:rsidP="000C01AA">
            <w:pPr>
              <w:spacing w:line="240" w:lineRule="auto"/>
              <w:rPr>
                <w:rFonts w:cs="Arial"/>
                <w:szCs w:val="20"/>
              </w:rPr>
            </w:pPr>
            <w:r w:rsidRPr="000C01AA">
              <w:rPr>
                <w:rFonts w:cs="Arial"/>
                <w:szCs w:val="20"/>
              </w:rPr>
              <w:t>PN-EN 1429</w:t>
            </w:r>
          </w:p>
        </w:tc>
        <w:tc>
          <w:tcPr>
            <w:tcW w:w="5276" w:type="dxa"/>
          </w:tcPr>
          <w:p w14:paraId="463C379F" w14:textId="77777777" w:rsidR="000C01AA" w:rsidRPr="000C01AA" w:rsidRDefault="000C01AA" w:rsidP="000C01AA">
            <w:pPr>
              <w:spacing w:line="240" w:lineRule="auto"/>
              <w:rPr>
                <w:rFonts w:cs="Arial"/>
                <w:szCs w:val="20"/>
              </w:rPr>
            </w:pPr>
            <w:r w:rsidRPr="000C01AA">
              <w:rPr>
                <w:rFonts w:cs="Arial"/>
                <w:szCs w:val="20"/>
              </w:rPr>
              <w:t>Asfalty i lepiszcza asfaltowe – Oznaczanie pozostałości na sicie emulsji asfaltowych oraz trwałości podczas magazynowania metodą pozostałości na sicie</w:t>
            </w:r>
          </w:p>
        </w:tc>
      </w:tr>
      <w:tr w:rsidR="000C01AA" w:rsidRPr="000C01AA" w14:paraId="7B3F4C61" w14:textId="77777777" w:rsidTr="007B6855">
        <w:tc>
          <w:tcPr>
            <w:tcW w:w="534" w:type="dxa"/>
          </w:tcPr>
          <w:p w14:paraId="0D45FF44" w14:textId="77777777" w:rsidR="000C01AA" w:rsidRPr="000C01AA" w:rsidRDefault="000C01AA" w:rsidP="000C01AA">
            <w:pPr>
              <w:spacing w:line="240" w:lineRule="auto"/>
              <w:jc w:val="center"/>
              <w:rPr>
                <w:rFonts w:cs="Arial"/>
                <w:szCs w:val="20"/>
              </w:rPr>
            </w:pPr>
            <w:r w:rsidRPr="000C01AA">
              <w:rPr>
                <w:rFonts w:cs="Arial"/>
                <w:szCs w:val="20"/>
              </w:rPr>
              <w:lastRenderedPageBreak/>
              <w:t>4.</w:t>
            </w:r>
          </w:p>
        </w:tc>
        <w:tc>
          <w:tcPr>
            <w:tcW w:w="1701" w:type="dxa"/>
          </w:tcPr>
          <w:p w14:paraId="515E89A7" w14:textId="77777777" w:rsidR="000C01AA" w:rsidRPr="000C01AA" w:rsidRDefault="000C01AA" w:rsidP="000C01AA">
            <w:pPr>
              <w:spacing w:line="240" w:lineRule="auto"/>
              <w:rPr>
                <w:rFonts w:cs="Arial"/>
                <w:szCs w:val="20"/>
              </w:rPr>
            </w:pPr>
            <w:r w:rsidRPr="000C01AA">
              <w:rPr>
                <w:rFonts w:cs="Arial"/>
                <w:szCs w:val="20"/>
              </w:rPr>
              <w:t>PN-EN 12846</w:t>
            </w:r>
          </w:p>
        </w:tc>
        <w:tc>
          <w:tcPr>
            <w:tcW w:w="5276" w:type="dxa"/>
          </w:tcPr>
          <w:p w14:paraId="32D39D1E" w14:textId="77777777" w:rsidR="000C01AA" w:rsidRPr="000C01AA" w:rsidRDefault="000C01AA" w:rsidP="000C01AA">
            <w:pPr>
              <w:spacing w:line="240" w:lineRule="auto"/>
              <w:rPr>
                <w:rFonts w:cs="Arial"/>
                <w:szCs w:val="20"/>
              </w:rPr>
            </w:pPr>
            <w:r w:rsidRPr="000C01AA">
              <w:rPr>
                <w:rFonts w:cs="Arial"/>
                <w:szCs w:val="20"/>
              </w:rPr>
              <w:t>Asfalty i lepiszcza asfaltowe – Oznaczanie czasu wypływu emulsji asfaltowych lepkościomierzem wypływowym</w:t>
            </w:r>
          </w:p>
        </w:tc>
      </w:tr>
      <w:tr w:rsidR="000C01AA" w:rsidRPr="000C01AA" w14:paraId="1ABCCABA" w14:textId="77777777" w:rsidTr="007B6855">
        <w:tc>
          <w:tcPr>
            <w:tcW w:w="534" w:type="dxa"/>
          </w:tcPr>
          <w:p w14:paraId="46622631" w14:textId="77777777" w:rsidR="000C01AA" w:rsidRPr="000C01AA" w:rsidRDefault="000C01AA" w:rsidP="000C01AA">
            <w:pPr>
              <w:spacing w:line="240" w:lineRule="auto"/>
              <w:jc w:val="center"/>
              <w:rPr>
                <w:rFonts w:cs="Arial"/>
                <w:szCs w:val="20"/>
              </w:rPr>
            </w:pPr>
            <w:r w:rsidRPr="000C01AA">
              <w:rPr>
                <w:rFonts w:cs="Arial"/>
                <w:szCs w:val="20"/>
              </w:rPr>
              <w:t>5.</w:t>
            </w:r>
          </w:p>
        </w:tc>
        <w:tc>
          <w:tcPr>
            <w:tcW w:w="1701" w:type="dxa"/>
          </w:tcPr>
          <w:p w14:paraId="3E5FF081" w14:textId="77777777" w:rsidR="000C01AA" w:rsidRPr="000C01AA" w:rsidRDefault="000C01AA" w:rsidP="000C01AA">
            <w:pPr>
              <w:spacing w:line="240" w:lineRule="auto"/>
              <w:rPr>
                <w:rFonts w:cs="Arial"/>
                <w:szCs w:val="20"/>
              </w:rPr>
            </w:pPr>
            <w:r w:rsidRPr="000C01AA">
              <w:rPr>
                <w:rFonts w:cs="Arial"/>
                <w:szCs w:val="20"/>
              </w:rPr>
              <w:t>PN-EN 12847</w:t>
            </w:r>
          </w:p>
        </w:tc>
        <w:tc>
          <w:tcPr>
            <w:tcW w:w="5276" w:type="dxa"/>
          </w:tcPr>
          <w:p w14:paraId="019A6261" w14:textId="77777777" w:rsidR="000C01AA" w:rsidRPr="000C01AA" w:rsidRDefault="000C01AA" w:rsidP="000C01AA">
            <w:pPr>
              <w:spacing w:line="240" w:lineRule="auto"/>
              <w:rPr>
                <w:rFonts w:cs="Arial"/>
                <w:szCs w:val="20"/>
              </w:rPr>
            </w:pPr>
            <w:r w:rsidRPr="000C01AA">
              <w:rPr>
                <w:rFonts w:cs="Arial"/>
                <w:szCs w:val="20"/>
              </w:rPr>
              <w:t>Asfalty i lepiszcza asfaltowe – Oznaczanie sedymentacji emulsji asfaltowych</w:t>
            </w:r>
          </w:p>
        </w:tc>
      </w:tr>
      <w:tr w:rsidR="000C01AA" w:rsidRPr="000C01AA" w14:paraId="43F68E37" w14:textId="77777777" w:rsidTr="007B6855">
        <w:tc>
          <w:tcPr>
            <w:tcW w:w="534" w:type="dxa"/>
          </w:tcPr>
          <w:p w14:paraId="57BA10D8" w14:textId="77777777" w:rsidR="000C01AA" w:rsidRPr="000C01AA" w:rsidRDefault="000C01AA" w:rsidP="000C01AA">
            <w:pPr>
              <w:spacing w:line="240" w:lineRule="auto"/>
              <w:jc w:val="center"/>
              <w:rPr>
                <w:rFonts w:cs="Arial"/>
                <w:szCs w:val="20"/>
              </w:rPr>
            </w:pPr>
            <w:r w:rsidRPr="000C01AA">
              <w:rPr>
                <w:rFonts w:cs="Arial"/>
                <w:szCs w:val="20"/>
              </w:rPr>
              <w:t>6.</w:t>
            </w:r>
          </w:p>
        </w:tc>
        <w:tc>
          <w:tcPr>
            <w:tcW w:w="1701" w:type="dxa"/>
          </w:tcPr>
          <w:p w14:paraId="18251A8E" w14:textId="77777777" w:rsidR="000C01AA" w:rsidRPr="000C01AA" w:rsidRDefault="000C01AA" w:rsidP="000C01AA">
            <w:pPr>
              <w:spacing w:line="240" w:lineRule="auto"/>
              <w:rPr>
                <w:rFonts w:cs="Arial"/>
                <w:szCs w:val="20"/>
              </w:rPr>
            </w:pPr>
            <w:r w:rsidRPr="000C01AA">
              <w:rPr>
                <w:rFonts w:cs="Arial"/>
                <w:szCs w:val="20"/>
              </w:rPr>
              <w:t>PN-EN 13075-1</w:t>
            </w:r>
          </w:p>
        </w:tc>
        <w:tc>
          <w:tcPr>
            <w:tcW w:w="5276" w:type="dxa"/>
          </w:tcPr>
          <w:p w14:paraId="627880EA" w14:textId="77777777" w:rsidR="000C01AA" w:rsidRPr="000C01AA" w:rsidRDefault="000C01AA" w:rsidP="000C01AA">
            <w:pPr>
              <w:spacing w:line="240" w:lineRule="auto"/>
              <w:rPr>
                <w:rFonts w:cs="Arial"/>
                <w:szCs w:val="20"/>
              </w:rPr>
            </w:pPr>
            <w:r w:rsidRPr="000C01AA">
              <w:rPr>
                <w:rFonts w:cs="Arial"/>
                <w:szCs w:val="20"/>
              </w:rPr>
              <w:t>Asfalty i lepiszcza asfaltowe – Badanie rozpadu – Część 1: Oznaczanie indeksu rozpadu kationowych emulsji asfaltowych, metodą z wypełniaczem mineralnym</w:t>
            </w:r>
          </w:p>
        </w:tc>
      </w:tr>
    </w:tbl>
    <w:p w14:paraId="64BA9B76" w14:textId="77777777" w:rsidR="000C01AA" w:rsidRPr="000C01AA" w:rsidRDefault="000C01AA" w:rsidP="000C01AA">
      <w:pPr>
        <w:pStyle w:val="Nagwek2"/>
        <w:spacing w:line="240" w:lineRule="auto"/>
        <w:rPr>
          <w:rFonts w:cs="Arial"/>
          <w:szCs w:val="20"/>
        </w:rPr>
      </w:pPr>
      <w:r w:rsidRPr="000C01AA">
        <w:rPr>
          <w:rFonts w:cs="Arial"/>
          <w:szCs w:val="20"/>
        </w:rPr>
        <w:t>10.3. Wymagania techniczne (rekomendowane przez Ministra Infrastruktury)</w:t>
      </w:r>
    </w:p>
    <w:p w14:paraId="65EAE2A5" w14:textId="77777777" w:rsidR="000C01AA" w:rsidRPr="000C01AA" w:rsidRDefault="000C01AA" w:rsidP="000C01AA">
      <w:pPr>
        <w:spacing w:line="240" w:lineRule="auto"/>
        <w:rPr>
          <w:rFonts w:cs="Arial"/>
          <w:szCs w:val="20"/>
        </w:rPr>
      </w:pPr>
      <w:r w:rsidRPr="000C01AA">
        <w:rPr>
          <w:rFonts w:cs="Arial"/>
          <w:szCs w:val="20"/>
        </w:rPr>
        <w:t xml:space="preserve">  7.    WT-3 Emulsje asfaltowe 2009. Kationowe emulsje asfaltowe na drogach publicznych</w:t>
      </w:r>
    </w:p>
    <w:p w14:paraId="7F05B98A" w14:textId="77777777" w:rsidR="000C01AA" w:rsidRPr="000C01AA" w:rsidRDefault="000C01AA" w:rsidP="000C01AA">
      <w:pPr>
        <w:pStyle w:val="Nagwek2"/>
        <w:spacing w:line="240" w:lineRule="auto"/>
        <w:rPr>
          <w:rFonts w:cs="Arial"/>
          <w:szCs w:val="20"/>
        </w:rPr>
      </w:pPr>
      <w:r w:rsidRPr="000C01AA">
        <w:rPr>
          <w:rFonts w:cs="Arial"/>
          <w:szCs w:val="20"/>
        </w:rPr>
        <w:t>10.4. Inne dokumenty</w:t>
      </w:r>
    </w:p>
    <w:p w14:paraId="19ABEF07" w14:textId="77777777" w:rsidR="000C01AA" w:rsidRPr="000C01AA" w:rsidRDefault="000C01AA" w:rsidP="00CF1E7D">
      <w:pPr>
        <w:numPr>
          <w:ilvl w:val="0"/>
          <w:numId w:val="287"/>
        </w:numPr>
        <w:tabs>
          <w:tab w:val="clear" w:pos="720"/>
          <w:tab w:val="num" w:pos="567"/>
        </w:tabs>
        <w:overflowPunct w:val="0"/>
        <w:autoSpaceDE w:val="0"/>
        <w:autoSpaceDN w:val="0"/>
        <w:adjustRightInd w:val="0"/>
        <w:spacing w:line="240" w:lineRule="auto"/>
        <w:ind w:left="567" w:hanging="425"/>
        <w:jc w:val="both"/>
        <w:textAlignment w:val="baseline"/>
        <w:rPr>
          <w:rFonts w:cs="Arial"/>
          <w:szCs w:val="20"/>
        </w:rPr>
      </w:pPr>
      <w:r w:rsidRPr="000C01AA">
        <w:rPr>
          <w:rFonts w:cs="Arial"/>
          <w:szCs w:val="20"/>
        </w:rPr>
        <w:t xml:space="preserve">Katalog wzmocnień i remontów nawierzchni podatnych i półsztywnych, </w:t>
      </w:r>
      <w:proofErr w:type="spellStart"/>
      <w:r w:rsidRPr="000C01AA">
        <w:rPr>
          <w:rFonts w:cs="Arial"/>
          <w:szCs w:val="20"/>
        </w:rPr>
        <w:t>IBDiM</w:t>
      </w:r>
      <w:proofErr w:type="spellEnd"/>
      <w:r w:rsidRPr="000C01AA">
        <w:rPr>
          <w:rFonts w:cs="Arial"/>
          <w:szCs w:val="20"/>
        </w:rPr>
        <w:t>, Warszawa 2001</w:t>
      </w:r>
    </w:p>
    <w:p w14:paraId="73FD97D0" w14:textId="77777777" w:rsidR="000C01AA" w:rsidRPr="000C01AA" w:rsidRDefault="000C01AA" w:rsidP="00CF1E7D">
      <w:pPr>
        <w:numPr>
          <w:ilvl w:val="0"/>
          <w:numId w:val="287"/>
        </w:numPr>
        <w:tabs>
          <w:tab w:val="clear" w:pos="720"/>
          <w:tab w:val="num" w:pos="567"/>
        </w:tabs>
        <w:overflowPunct w:val="0"/>
        <w:autoSpaceDE w:val="0"/>
        <w:autoSpaceDN w:val="0"/>
        <w:adjustRightInd w:val="0"/>
        <w:spacing w:line="240" w:lineRule="auto"/>
        <w:ind w:left="567" w:hanging="425"/>
        <w:jc w:val="both"/>
        <w:textAlignment w:val="baseline"/>
        <w:rPr>
          <w:rFonts w:cs="Arial"/>
          <w:szCs w:val="20"/>
        </w:rPr>
      </w:pPr>
      <w:r w:rsidRPr="000C01AA">
        <w:rPr>
          <w:rFonts w:cs="Arial"/>
          <w:szCs w:val="20"/>
        </w:rPr>
        <w:t xml:space="preserve">Zalecenia stosowania </w:t>
      </w:r>
      <w:proofErr w:type="spellStart"/>
      <w:r w:rsidRPr="000C01AA">
        <w:rPr>
          <w:rFonts w:cs="Arial"/>
          <w:szCs w:val="20"/>
        </w:rPr>
        <w:t>geowyrobów</w:t>
      </w:r>
      <w:proofErr w:type="spellEnd"/>
      <w:r w:rsidRPr="000C01AA">
        <w:rPr>
          <w:rFonts w:cs="Arial"/>
          <w:szCs w:val="20"/>
        </w:rPr>
        <w:t xml:space="preserve"> w warstwach asfaltowych nawierzchni drogowych. Informacje – instrukcje, zeszyt 66. </w:t>
      </w:r>
      <w:proofErr w:type="spellStart"/>
      <w:r w:rsidRPr="000C01AA">
        <w:rPr>
          <w:rFonts w:cs="Arial"/>
          <w:szCs w:val="20"/>
        </w:rPr>
        <w:t>IBDiM</w:t>
      </w:r>
      <w:proofErr w:type="spellEnd"/>
      <w:r w:rsidRPr="000C01AA">
        <w:rPr>
          <w:rFonts w:cs="Arial"/>
          <w:szCs w:val="20"/>
        </w:rPr>
        <w:t>, Warszawa 2004</w:t>
      </w:r>
    </w:p>
    <w:p w14:paraId="51A549DA" w14:textId="77777777" w:rsidR="008C3873" w:rsidRPr="008C3873" w:rsidRDefault="008C3873" w:rsidP="008C3873"/>
    <w:p w14:paraId="560A96D2" w14:textId="78C46903" w:rsidR="007319F9" w:rsidRPr="006431C4" w:rsidRDefault="008A3B3A" w:rsidP="00D232E1">
      <w:pPr>
        <w:pStyle w:val="Nagwek4"/>
        <w:shd w:val="clear" w:color="auto" w:fill="FFFFFF" w:themeFill="background1"/>
        <w:tabs>
          <w:tab w:val="left" w:pos="142"/>
        </w:tabs>
        <w:spacing w:line="240" w:lineRule="auto"/>
        <w:jc w:val="both"/>
        <w:rPr>
          <w:rFonts w:cs="Arial"/>
          <w:szCs w:val="20"/>
        </w:rPr>
      </w:pPr>
      <w:bookmarkStart w:id="1011" w:name="_Toc111635990"/>
      <w:r w:rsidRPr="006431C4">
        <w:rPr>
          <w:rFonts w:cs="Arial"/>
          <w:szCs w:val="20"/>
        </w:rPr>
        <w:t>D-</w:t>
      </w:r>
      <w:r w:rsidR="007319F9" w:rsidRPr="006431C4">
        <w:rPr>
          <w:rFonts w:cs="Arial"/>
          <w:szCs w:val="20"/>
        </w:rPr>
        <w:t>06.01.01 - UMOCNIENIE  POWIERZCHNIOWE SKARP, ROWÓW  I  ŚCIEKÓW</w:t>
      </w:r>
      <w:bookmarkEnd w:id="971"/>
      <w:bookmarkEnd w:id="1011"/>
    </w:p>
    <w:p w14:paraId="6F48CEA1" w14:textId="77777777" w:rsidR="007319F9" w:rsidRPr="006431C4" w:rsidRDefault="007319F9" w:rsidP="00D232E1">
      <w:pPr>
        <w:pStyle w:val="Nagwek1"/>
        <w:shd w:val="clear" w:color="auto" w:fill="FFFFFF" w:themeFill="background1"/>
        <w:tabs>
          <w:tab w:val="left" w:pos="142"/>
        </w:tabs>
        <w:spacing w:line="240" w:lineRule="auto"/>
        <w:jc w:val="both"/>
        <w:rPr>
          <w:rFonts w:cs="Arial"/>
          <w:szCs w:val="20"/>
        </w:rPr>
      </w:pPr>
      <w:bookmarkStart w:id="1012" w:name="_Toc497107498"/>
      <w:r w:rsidRPr="006431C4">
        <w:rPr>
          <w:rFonts w:cs="Arial"/>
          <w:szCs w:val="20"/>
        </w:rPr>
        <w:t>1. WSTĘP</w:t>
      </w:r>
      <w:bookmarkEnd w:id="1012"/>
    </w:p>
    <w:p w14:paraId="572BD63F"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1.1. Przedmiot</w:t>
      </w:r>
      <w:r w:rsidR="00180A26" w:rsidRPr="006431C4">
        <w:rPr>
          <w:rFonts w:cs="Arial"/>
          <w:szCs w:val="20"/>
        </w:rPr>
        <w:t xml:space="preserve"> SST</w:t>
      </w:r>
    </w:p>
    <w:p w14:paraId="47C70E1F" w14:textId="77777777" w:rsidR="007319F9" w:rsidRPr="006431C4" w:rsidRDefault="007319F9" w:rsidP="00D232E1">
      <w:pPr>
        <w:pStyle w:val="StylIwony"/>
        <w:shd w:val="clear" w:color="auto" w:fill="FFFFFF" w:themeFill="background1"/>
        <w:tabs>
          <w:tab w:val="left" w:pos="142"/>
        </w:tabs>
        <w:spacing w:before="0" w:after="0"/>
        <w:rPr>
          <w:rFonts w:ascii="Arial" w:hAnsi="Arial" w:cs="Arial"/>
          <w:sz w:val="20"/>
        </w:rPr>
      </w:pPr>
      <w:r w:rsidRPr="006431C4">
        <w:rPr>
          <w:rFonts w:ascii="Arial" w:hAnsi="Arial" w:cs="Arial"/>
          <w:sz w:val="20"/>
        </w:rPr>
        <w:tab/>
        <w:t xml:space="preserve">Przedmiotem </w:t>
      </w:r>
      <w:r w:rsidR="00BA62A8" w:rsidRPr="006431C4">
        <w:rPr>
          <w:rFonts w:ascii="Arial" w:hAnsi="Arial" w:cs="Arial"/>
          <w:sz w:val="20"/>
        </w:rPr>
        <w:t xml:space="preserve">niniejszej szczegółowej specyfikacji </w:t>
      </w:r>
      <w:r w:rsidRPr="006431C4">
        <w:rPr>
          <w:rFonts w:ascii="Arial" w:hAnsi="Arial" w:cs="Arial"/>
          <w:sz w:val="20"/>
        </w:rPr>
        <w:t>technicznej</w:t>
      </w:r>
      <w:r w:rsidR="0022441A" w:rsidRPr="006431C4">
        <w:rPr>
          <w:rFonts w:ascii="Arial" w:hAnsi="Arial" w:cs="Arial"/>
          <w:sz w:val="20"/>
        </w:rPr>
        <w:t xml:space="preserve"> (SST) </w:t>
      </w:r>
      <w:r w:rsidRPr="006431C4">
        <w:rPr>
          <w:rFonts w:ascii="Arial" w:hAnsi="Arial" w:cs="Arial"/>
          <w:sz w:val="20"/>
        </w:rPr>
        <w:t>są wymagania dotyczące wykonania i odbioru robót związanych z przeciwerozyjnym umocnieniem powierzchniowym skarp, rowów i ścieków.</w:t>
      </w:r>
    </w:p>
    <w:p w14:paraId="3A758FEE"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1.2. Zakres stosowania</w:t>
      </w:r>
      <w:r w:rsidR="00180A26" w:rsidRPr="006431C4">
        <w:rPr>
          <w:rFonts w:cs="Arial"/>
          <w:szCs w:val="20"/>
        </w:rPr>
        <w:t xml:space="preserve"> SST</w:t>
      </w:r>
    </w:p>
    <w:p w14:paraId="4B1F810A" w14:textId="77777777" w:rsidR="007319F9" w:rsidRPr="006431C4" w:rsidRDefault="006A5A86"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Niniejsza szczegółowa specyfikacja techniczna </w:t>
      </w:r>
      <w:r w:rsidR="007319F9" w:rsidRPr="006431C4">
        <w:rPr>
          <w:rFonts w:cs="Arial"/>
          <w:szCs w:val="20"/>
        </w:rPr>
        <w:t xml:space="preserve">stanowi Dokument Przetargowy i Kontraktowy przy zlecaniu i realizacji robót dla inwestycji </w:t>
      </w:r>
      <w:r w:rsidR="00296959" w:rsidRPr="006431C4">
        <w:rPr>
          <w:rFonts w:cs="Arial"/>
          <w:szCs w:val="20"/>
        </w:rPr>
        <w:t>pn.:</w:t>
      </w:r>
      <w:r w:rsidR="007319F9" w:rsidRPr="006431C4">
        <w:rPr>
          <w:rFonts w:cs="Arial"/>
          <w:szCs w:val="20"/>
        </w:rPr>
        <w:t xml:space="preserve"> </w:t>
      </w:r>
    </w:p>
    <w:sdt>
      <w:sdtPr>
        <w:rPr>
          <w:rFonts w:cs="Arial"/>
          <w:szCs w:val="20"/>
        </w:rPr>
        <w:alias w:val="Temat"/>
        <w:tag w:val=""/>
        <w:id w:val="-335302946"/>
        <w:placeholder>
          <w:docPart w:val="CE4F1FE44AA14529BB383D2CF5A2C28A"/>
        </w:placeholder>
        <w:dataBinding w:prefixMappings="xmlns:ns0='http://purl.org/dc/elements/1.1/' xmlns:ns1='http://schemas.openxmlformats.org/package/2006/metadata/core-properties' " w:xpath="/ns1:coreProperties[1]/ns0:subject[1]" w:storeItemID="{6C3C8BC8-F283-45AE-878A-BAB7291924A1}"/>
        <w:text/>
      </w:sdtPr>
      <w:sdtEndPr/>
      <w:sdtContent>
        <w:p w14:paraId="12A645D6" w14:textId="586C9061" w:rsidR="007319F9" w:rsidRPr="006431C4" w:rsidRDefault="00484E05" w:rsidP="00D232E1">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0FD1D71F"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1.3. Zakres robót objętych</w:t>
      </w:r>
      <w:r w:rsidR="00180A26" w:rsidRPr="006431C4">
        <w:rPr>
          <w:rFonts w:cs="Arial"/>
          <w:szCs w:val="20"/>
        </w:rPr>
        <w:t xml:space="preserve"> SST</w:t>
      </w:r>
    </w:p>
    <w:p w14:paraId="00367278"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Ustalenia zawarte w </w:t>
      </w:r>
      <w:r w:rsidR="00BA62A8" w:rsidRPr="006431C4">
        <w:rPr>
          <w:rFonts w:cs="Arial"/>
          <w:szCs w:val="20"/>
        </w:rPr>
        <w:t xml:space="preserve">niniejszej szczegółowej specyfikacji </w:t>
      </w:r>
      <w:r w:rsidRPr="006431C4">
        <w:rPr>
          <w:rFonts w:cs="Arial"/>
          <w:szCs w:val="20"/>
        </w:rPr>
        <w:t>dotyczą zasad prowadzenia robót związanych z trwałym powierzchniowym umocnieniem skarp, rowów i ścieków następującymi sposobami:</w:t>
      </w:r>
    </w:p>
    <w:p w14:paraId="43D20D88"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b/>
          <w:szCs w:val="20"/>
        </w:rPr>
      </w:pPr>
      <w:r w:rsidRPr="006431C4">
        <w:rPr>
          <w:rFonts w:cs="Arial"/>
          <w:szCs w:val="20"/>
        </w:rPr>
        <w:t>humusowaniem, obsianiem, darniowaniem;</w:t>
      </w:r>
    </w:p>
    <w:p w14:paraId="6C5DED20" w14:textId="77777777" w:rsidR="007319F9" w:rsidRPr="006431C4" w:rsidRDefault="007319F9" w:rsidP="00D232E1">
      <w:pPr>
        <w:shd w:val="clear" w:color="auto" w:fill="FFFFFF" w:themeFill="background1"/>
        <w:tabs>
          <w:tab w:val="left" w:pos="142"/>
        </w:tabs>
        <w:spacing w:line="240" w:lineRule="auto"/>
        <w:jc w:val="both"/>
        <w:rPr>
          <w:rFonts w:cs="Arial"/>
          <w:b/>
          <w:szCs w:val="20"/>
        </w:rPr>
      </w:pPr>
      <w:r w:rsidRPr="006431C4">
        <w:rPr>
          <w:rFonts w:cs="Arial"/>
          <w:b/>
          <w:szCs w:val="20"/>
        </w:rPr>
        <w:tab/>
      </w:r>
      <w:r w:rsidRPr="006431C4">
        <w:rPr>
          <w:rFonts w:cs="Arial"/>
          <w:szCs w:val="20"/>
        </w:rPr>
        <w:t>Ustalenia</w:t>
      </w:r>
      <w:r w:rsidR="00180A26" w:rsidRPr="006431C4">
        <w:rPr>
          <w:rFonts w:cs="Arial"/>
          <w:szCs w:val="20"/>
        </w:rPr>
        <w:t xml:space="preserve"> SST </w:t>
      </w:r>
      <w:r w:rsidRPr="006431C4">
        <w:rPr>
          <w:rFonts w:cs="Arial"/>
          <w:szCs w:val="20"/>
        </w:rPr>
        <w:t>nie dotyczą umocnienia zboczy skalnych (z ochroną przed obwałami kamieni), skarp wymagających zbrojenia lub obudowy oraz skarp okresowo lub trwale omywanych wodą.</w:t>
      </w:r>
    </w:p>
    <w:p w14:paraId="6A5EE13A"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1.4. Określenia podstawowe</w:t>
      </w:r>
    </w:p>
    <w:p w14:paraId="54F370F8"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1.4.1. </w:t>
      </w:r>
      <w:r w:rsidRPr="006431C4">
        <w:rPr>
          <w:rFonts w:cs="Arial"/>
          <w:szCs w:val="20"/>
        </w:rPr>
        <w:t>Rów - otwarty wykop, który zbiera i odprowadza wodę.</w:t>
      </w:r>
    </w:p>
    <w:p w14:paraId="1A41C073"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1.4.2. </w:t>
      </w:r>
      <w:r w:rsidRPr="006431C4">
        <w:rPr>
          <w:rFonts w:cs="Arial"/>
          <w:szCs w:val="20"/>
        </w:rPr>
        <w:t>Darnina - płat lub pasmo wierzchniej warstwy gleby, przerośniętej i związanej korzeniami roślinności trawiastej.</w:t>
      </w:r>
    </w:p>
    <w:p w14:paraId="6780B3E6"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1.4.3. </w:t>
      </w:r>
      <w:r w:rsidRPr="006431C4">
        <w:rPr>
          <w:rFonts w:cs="Arial"/>
          <w:szCs w:val="20"/>
        </w:rPr>
        <w:t>Darniowanie - pokrycie darniną powierzchni korpusu drogowego w taki sposób, aby darnina w sposób trwały związała się z podłożem systemem korzeniowym. Darniowanie kożuchowe wykonuje się na płask, pasami poziomymi, układanymi w rzędach równoległych z przewiązaniem szczelin pomiędzy poszczególnymi płatami. Darniowanie w kratę (krzyżowe) wykonuje się w postaci pasów darniny układanych pod kątem 45</w:t>
      </w:r>
      <w:r w:rsidRPr="006431C4">
        <w:rPr>
          <w:rFonts w:cs="Arial"/>
          <w:szCs w:val="20"/>
          <w:vertAlign w:val="superscript"/>
        </w:rPr>
        <w:t>o</w:t>
      </w:r>
      <w:r w:rsidRPr="006431C4">
        <w:rPr>
          <w:rFonts w:cs="Arial"/>
          <w:szCs w:val="20"/>
        </w:rPr>
        <w:t>, ograniczających powierzchnie skarpy o bokach np. 1,0 x 1,0 m, które wypełnia się ziemią roślinną i zasiewa trawą.</w:t>
      </w:r>
    </w:p>
    <w:p w14:paraId="4F825A44"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1.4.4. </w:t>
      </w:r>
      <w:r w:rsidRPr="006431C4">
        <w:rPr>
          <w:rFonts w:cs="Arial"/>
          <w:szCs w:val="20"/>
        </w:rPr>
        <w:t>Ziemia urodzajna (humus) - ziemia roślinna zawierająca co najmniej 2% części organicznych.</w:t>
      </w:r>
    </w:p>
    <w:p w14:paraId="56CDC921" w14:textId="77777777" w:rsidR="007319F9" w:rsidRPr="006431C4" w:rsidRDefault="007319F9" w:rsidP="00365FBC">
      <w:pPr>
        <w:numPr>
          <w:ilvl w:val="0"/>
          <w:numId w:val="2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Humusowanie - zespół czynności przygotowujących powierzchnię gruntu do obudowy roślinnej, obejmujący dogęszczenie gruntu, rowkowanie, naniesienie ziemi urodzajnej z jej grabieniem (bronowaniem) i dogęszczeniem.</w:t>
      </w:r>
    </w:p>
    <w:p w14:paraId="2FA9DC71" w14:textId="77777777" w:rsidR="007319F9" w:rsidRPr="006431C4" w:rsidRDefault="007319F9" w:rsidP="00365FBC">
      <w:pPr>
        <w:numPr>
          <w:ilvl w:val="0"/>
          <w:numId w:val="25"/>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Moletowanie - proces umożliwiający dogęszczenie ziemi urodzajnej i wytworzenie bruzd, przeprowadzany np. za pomocą walca o odpowiednio ukształtowanej powierzchni.</w:t>
      </w:r>
    </w:p>
    <w:p w14:paraId="227AB2A5" w14:textId="77777777" w:rsidR="007319F9" w:rsidRPr="006431C4" w:rsidRDefault="007319F9" w:rsidP="00365FBC">
      <w:pPr>
        <w:numPr>
          <w:ilvl w:val="0"/>
          <w:numId w:val="25"/>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proofErr w:type="spellStart"/>
      <w:r w:rsidRPr="006431C4">
        <w:rPr>
          <w:rFonts w:cs="Arial"/>
          <w:szCs w:val="20"/>
        </w:rPr>
        <w:t>Hydroobsiew</w:t>
      </w:r>
      <w:proofErr w:type="spellEnd"/>
      <w:r w:rsidRPr="006431C4">
        <w:rPr>
          <w:rFonts w:cs="Arial"/>
          <w:szCs w:val="20"/>
        </w:rPr>
        <w:t xml:space="preserve"> - proces obejmujący nanoszenie hydromechaniczne mieszanek siewnych, środków użyźniających i emulsji przeciwerozyjnych w celu umocnienia biologicznego powierzchni gruntu.</w:t>
      </w:r>
    </w:p>
    <w:p w14:paraId="58242461"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1.4.8. </w:t>
      </w:r>
      <w:r w:rsidRPr="006431C4">
        <w:rPr>
          <w:rFonts w:cs="Arial"/>
          <w:szCs w:val="20"/>
        </w:rPr>
        <w:t>Brukowiec - kamień narzutowy nieobrobiony (otoczak) lub obrobiony w kształcie nieregularnym i zaokrąglonych krawędziach.</w:t>
      </w:r>
    </w:p>
    <w:p w14:paraId="7D947F2B"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1.4.9. </w:t>
      </w:r>
      <w:r w:rsidRPr="006431C4">
        <w:rPr>
          <w:rFonts w:cs="Arial"/>
          <w:szCs w:val="20"/>
        </w:rPr>
        <w:t>Prefabrykat - element wykonany w zakładzie przemysłowym, który po zmontowaniu na budowie stanowi umocnienie rowu lub ścieku.</w:t>
      </w:r>
    </w:p>
    <w:p w14:paraId="44DF7DF8"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1.4.10.</w:t>
      </w:r>
      <w:r w:rsidRPr="006431C4">
        <w:rPr>
          <w:rFonts w:cs="Arial"/>
          <w:szCs w:val="20"/>
        </w:rPr>
        <w:t xml:space="preserve"> </w:t>
      </w:r>
      <w:proofErr w:type="spellStart"/>
      <w:r w:rsidRPr="006431C4">
        <w:rPr>
          <w:rFonts w:cs="Arial"/>
          <w:szCs w:val="20"/>
        </w:rPr>
        <w:t>Biowłóknina</w:t>
      </w:r>
      <w:proofErr w:type="spellEnd"/>
      <w:r w:rsidRPr="006431C4">
        <w:rPr>
          <w:rFonts w:cs="Arial"/>
          <w:szCs w:val="20"/>
        </w:rPr>
        <w:t xml:space="preserve"> - mata z włókna bawełnianego lub bawełnopodobnego, wykonana techniką włókninową z równomiernie rozmieszczonymi w czasie produkcji nasionami traw     i roślin motylkowatych, służąca do umacniania i zadarniania powierzchni.</w:t>
      </w:r>
    </w:p>
    <w:p w14:paraId="4CF07BEB"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1.4.11. </w:t>
      </w:r>
      <w:proofErr w:type="spellStart"/>
      <w:r w:rsidRPr="006431C4">
        <w:rPr>
          <w:rFonts w:cs="Arial"/>
          <w:szCs w:val="20"/>
        </w:rPr>
        <w:t>Geosyntetyki</w:t>
      </w:r>
      <w:proofErr w:type="spellEnd"/>
      <w:r w:rsidRPr="006431C4">
        <w:rPr>
          <w:rFonts w:cs="Arial"/>
          <w:szCs w:val="20"/>
        </w:rPr>
        <w:t xml:space="preserve"> - </w:t>
      </w:r>
      <w:proofErr w:type="spellStart"/>
      <w:r w:rsidRPr="006431C4">
        <w:rPr>
          <w:rFonts w:cs="Arial"/>
          <w:szCs w:val="20"/>
        </w:rPr>
        <w:t>geotekstylia</w:t>
      </w:r>
      <w:proofErr w:type="spellEnd"/>
      <w:r w:rsidRPr="006431C4">
        <w:rPr>
          <w:rFonts w:cs="Arial"/>
          <w:szCs w:val="20"/>
        </w:rPr>
        <w:t xml:space="preserve"> (przepuszczalne, polimerowe materiały, wytworzone techniką tkacką, dziewiarską lub włókninową, w tym geotkaniny i geowłókniny) i pokrewne wyroby jak: </w:t>
      </w:r>
      <w:proofErr w:type="spellStart"/>
      <w:r w:rsidRPr="006431C4">
        <w:rPr>
          <w:rFonts w:cs="Arial"/>
          <w:szCs w:val="20"/>
        </w:rPr>
        <w:t>georuszty</w:t>
      </w:r>
      <w:proofErr w:type="spellEnd"/>
      <w:r w:rsidRPr="006431C4">
        <w:rPr>
          <w:rFonts w:cs="Arial"/>
          <w:szCs w:val="20"/>
        </w:rPr>
        <w:t xml:space="preserve"> (płaskie struktury w postaci regularnej otwartej siatki wewnętrznie połączonych elementów), </w:t>
      </w:r>
      <w:proofErr w:type="spellStart"/>
      <w:r w:rsidRPr="006431C4">
        <w:rPr>
          <w:rFonts w:cs="Arial"/>
          <w:szCs w:val="20"/>
        </w:rPr>
        <w:t>geomembrany</w:t>
      </w:r>
      <w:proofErr w:type="spellEnd"/>
      <w:r w:rsidRPr="006431C4">
        <w:rPr>
          <w:rFonts w:cs="Arial"/>
          <w:szCs w:val="20"/>
        </w:rPr>
        <w:t xml:space="preserve"> (folie z polimerów syntetycznych), </w:t>
      </w:r>
      <w:proofErr w:type="spellStart"/>
      <w:r w:rsidRPr="006431C4">
        <w:rPr>
          <w:rFonts w:cs="Arial"/>
          <w:szCs w:val="20"/>
        </w:rPr>
        <w:t>geokompozyty</w:t>
      </w:r>
      <w:proofErr w:type="spellEnd"/>
      <w:r w:rsidRPr="006431C4">
        <w:rPr>
          <w:rFonts w:cs="Arial"/>
          <w:szCs w:val="20"/>
        </w:rPr>
        <w:t xml:space="preserve"> (materiały złożone z różnych wyrobów </w:t>
      </w:r>
      <w:proofErr w:type="spellStart"/>
      <w:r w:rsidRPr="006431C4">
        <w:rPr>
          <w:rFonts w:cs="Arial"/>
          <w:szCs w:val="20"/>
        </w:rPr>
        <w:t>geotekstylnych</w:t>
      </w:r>
      <w:proofErr w:type="spellEnd"/>
      <w:r w:rsidRPr="006431C4">
        <w:rPr>
          <w:rFonts w:cs="Arial"/>
          <w:szCs w:val="20"/>
        </w:rPr>
        <w:t xml:space="preserve">), </w:t>
      </w:r>
      <w:proofErr w:type="spellStart"/>
      <w:r w:rsidRPr="006431C4">
        <w:rPr>
          <w:rFonts w:cs="Arial"/>
          <w:szCs w:val="20"/>
        </w:rPr>
        <w:t>geokontenery</w:t>
      </w:r>
      <w:proofErr w:type="spellEnd"/>
      <w:r w:rsidRPr="006431C4">
        <w:rPr>
          <w:rFonts w:cs="Arial"/>
          <w:szCs w:val="20"/>
        </w:rPr>
        <w:t xml:space="preserve"> (gabiony z tworzywa sztucznego), </w:t>
      </w:r>
      <w:proofErr w:type="spellStart"/>
      <w:r w:rsidRPr="006431C4">
        <w:rPr>
          <w:rFonts w:cs="Arial"/>
          <w:szCs w:val="20"/>
        </w:rPr>
        <w:t>geosieci</w:t>
      </w:r>
      <w:proofErr w:type="spellEnd"/>
      <w:r w:rsidRPr="006431C4">
        <w:rPr>
          <w:rFonts w:cs="Arial"/>
          <w:szCs w:val="20"/>
        </w:rPr>
        <w:t xml:space="preserve"> (płaskie struktury w postaci siatki z otworami znacznie większymi niż elementy składowe, z oczkami połączonymi węzłami), </w:t>
      </w:r>
      <w:proofErr w:type="spellStart"/>
      <w:r w:rsidRPr="006431C4">
        <w:rPr>
          <w:rFonts w:cs="Arial"/>
          <w:szCs w:val="20"/>
        </w:rPr>
        <w:t>geomaty</w:t>
      </w:r>
      <w:proofErr w:type="spellEnd"/>
      <w:r w:rsidRPr="006431C4">
        <w:rPr>
          <w:rFonts w:cs="Arial"/>
          <w:szCs w:val="20"/>
        </w:rPr>
        <w:t xml:space="preserve"> z siatki (siatki ze strukturą przestrzenną), </w:t>
      </w:r>
      <w:proofErr w:type="spellStart"/>
      <w:r w:rsidRPr="006431C4">
        <w:rPr>
          <w:rFonts w:cs="Arial"/>
          <w:szCs w:val="20"/>
        </w:rPr>
        <w:t>geosiatki</w:t>
      </w:r>
      <w:proofErr w:type="spellEnd"/>
      <w:r w:rsidRPr="006431C4">
        <w:rPr>
          <w:rFonts w:cs="Arial"/>
          <w:szCs w:val="20"/>
        </w:rPr>
        <w:t xml:space="preserve"> komórkowe (z taśm tworzących przestrzenną strukturę zbliżoną do plastra miodu).</w:t>
      </w:r>
    </w:p>
    <w:p w14:paraId="40CEC4A2"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1.4.12. </w:t>
      </w:r>
      <w:r w:rsidRPr="006431C4">
        <w:rPr>
          <w:rFonts w:cs="Arial"/>
          <w:szCs w:val="20"/>
        </w:rPr>
        <w:t xml:space="preserve">Mulczowanie - naniesienie na powierzchnię gruntu ściółki (np. sieczki, </w:t>
      </w:r>
      <w:proofErr w:type="spellStart"/>
      <w:r w:rsidRPr="006431C4">
        <w:rPr>
          <w:rFonts w:cs="Arial"/>
          <w:szCs w:val="20"/>
        </w:rPr>
        <w:t>stróżyn</w:t>
      </w:r>
      <w:proofErr w:type="spellEnd"/>
      <w:r w:rsidRPr="006431C4">
        <w:rPr>
          <w:rFonts w:cs="Arial"/>
          <w:szCs w:val="20"/>
        </w:rPr>
        <w:t>, trocin, torfu) z lepiszczem w celu ochrony przed wysychaniem i erozją.</w:t>
      </w:r>
    </w:p>
    <w:p w14:paraId="575A41A8"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1.4.13. </w:t>
      </w:r>
      <w:proofErr w:type="spellStart"/>
      <w:r w:rsidRPr="006431C4">
        <w:rPr>
          <w:rFonts w:cs="Arial"/>
          <w:szCs w:val="20"/>
        </w:rPr>
        <w:t>Hydromulczowanie</w:t>
      </w:r>
      <w:proofErr w:type="spellEnd"/>
      <w:r w:rsidRPr="006431C4">
        <w:rPr>
          <w:rFonts w:cs="Arial"/>
          <w:szCs w:val="20"/>
        </w:rPr>
        <w:t xml:space="preserve"> - sposób hydromechanicznego nanoszenia mieszaniny                 (o podobnych parametrach jak używanych do </w:t>
      </w:r>
      <w:proofErr w:type="spellStart"/>
      <w:r w:rsidRPr="006431C4">
        <w:rPr>
          <w:rFonts w:cs="Arial"/>
          <w:szCs w:val="20"/>
        </w:rPr>
        <w:t>hydroobsiewu</w:t>
      </w:r>
      <w:proofErr w:type="spellEnd"/>
      <w:r w:rsidRPr="006431C4">
        <w:rPr>
          <w:rFonts w:cs="Arial"/>
          <w:szCs w:val="20"/>
        </w:rPr>
        <w:t>), w składzie której nie ma nasion traw i roślin motylkowatych.</w:t>
      </w:r>
    </w:p>
    <w:p w14:paraId="3C95BCD2"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lastRenderedPageBreak/>
        <w:t xml:space="preserve">1.4.14. </w:t>
      </w:r>
      <w:r w:rsidRPr="006431C4">
        <w:rPr>
          <w:rFonts w:cs="Arial"/>
          <w:szCs w:val="20"/>
        </w:rPr>
        <w:t xml:space="preserve">Tymczasowa warstwa przeciwerozyjna - warstwa na powierzchni skarp, wykonana z płynnych osadów ściekowych, emulsji bitumicznych lub lateksowych, </w:t>
      </w:r>
      <w:proofErr w:type="spellStart"/>
      <w:r w:rsidRPr="006431C4">
        <w:rPr>
          <w:rFonts w:cs="Arial"/>
          <w:szCs w:val="20"/>
        </w:rPr>
        <w:t>biowłókniny</w:t>
      </w:r>
      <w:proofErr w:type="spellEnd"/>
      <w:r w:rsidRPr="006431C4">
        <w:rPr>
          <w:rFonts w:cs="Arial"/>
          <w:szCs w:val="20"/>
        </w:rPr>
        <w:t xml:space="preserve"> i </w:t>
      </w:r>
      <w:proofErr w:type="spellStart"/>
      <w:r w:rsidRPr="006431C4">
        <w:rPr>
          <w:rFonts w:cs="Arial"/>
          <w:szCs w:val="20"/>
        </w:rPr>
        <w:t>geosyntetyków</w:t>
      </w:r>
      <w:proofErr w:type="spellEnd"/>
      <w:r w:rsidRPr="006431C4">
        <w:rPr>
          <w:rFonts w:cs="Arial"/>
          <w:szCs w:val="20"/>
        </w:rPr>
        <w:t>, doraźnie zabezpieczająca przed erozją powierzchniową do czasu przejęcia tej funkcji przez okrywę roślinną.</w:t>
      </w:r>
    </w:p>
    <w:p w14:paraId="5779A89E"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1.4.15. </w:t>
      </w:r>
      <w:r w:rsidRPr="006431C4">
        <w:rPr>
          <w:rFonts w:cs="Arial"/>
          <w:szCs w:val="20"/>
        </w:rPr>
        <w:t>Ramka Webera - ramka o boku 50 cm, podzielona drutem lub żyłką na 100  kwadratów, każdy o powierzchni 25 cm</w:t>
      </w:r>
      <w:r w:rsidRPr="006431C4">
        <w:rPr>
          <w:rFonts w:cs="Arial"/>
          <w:szCs w:val="20"/>
          <w:vertAlign w:val="superscript"/>
        </w:rPr>
        <w:t>2</w:t>
      </w:r>
      <w:r w:rsidRPr="006431C4">
        <w:rPr>
          <w:rFonts w:cs="Arial"/>
          <w:szCs w:val="20"/>
        </w:rPr>
        <w:t>, do określania procentowego udziału gatunków roślin, po obsianiu.</w:t>
      </w:r>
    </w:p>
    <w:p w14:paraId="7146978D"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1.4.16. </w:t>
      </w:r>
      <w:r w:rsidRPr="006431C4">
        <w:rPr>
          <w:rFonts w:cs="Arial"/>
          <w:szCs w:val="20"/>
        </w:rPr>
        <w:t>Pozostałe określenia podstawowe są zgodne z odpowiednimi polskimi normami i z definicjami podanymi w</w:t>
      </w:r>
      <w:r w:rsidR="00180A26" w:rsidRPr="006431C4">
        <w:rPr>
          <w:rFonts w:cs="Arial"/>
          <w:szCs w:val="20"/>
        </w:rPr>
        <w:t xml:space="preserve"> SST </w:t>
      </w:r>
      <w:r w:rsidRPr="006431C4">
        <w:rPr>
          <w:rFonts w:cs="Arial"/>
          <w:szCs w:val="20"/>
        </w:rPr>
        <w:t>D-M-00.00.00 „Wymagania ogólne” pkt 1.4.</w:t>
      </w:r>
    </w:p>
    <w:p w14:paraId="3C30FA7A"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1.5. Ogólne wymagania dotyczące robót</w:t>
      </w:r>
    </w:p>
    <w:p w14:paraId="3E05F6B5"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robót podano w</w:t>
      </w:r>
      <w:r w:rsidR="00180A26" w:rsidRPr="006431C4">
        <w:rPr>
          <w:rFonts w:cs="Arial"/>
          <w:szCs w:val="20"/>
        </w:rPr>
        <w:t xml:space="preserve"> SST </w:t>
      </w:r>
      <w:r w:rsidRPr="006431C4">
        <w:rPr>
          <w:rFonts w:cs="Arial"/>
          <w:szCs w:val="20"/>
        </w:rPr>
        <w:t>D-M-00.00.00 „Wymagania ogólne” pkt 1.5.</w:t>
      </w:r>
    </w:p>
    <w:p w14:paraId="05D6562C" w14:textId="77777777" w:rsidR="007319F9" w:rsidRPr="006431C4" w:rsidRDefault="007319F9" w:rsidP="00D232E1">
      <w:pPr>
        <w:pStyle w:val="Nagwek1"/>
        <w:shd w:val="clear" w:color="auto" w:fill="FFFFFF" w:themeFill="background1"/>
        <w:tabs>
          <w:tab w:val="left" w:pos="142"/>
        </w:tabs>
        <w:spacing w:line="240" w:lineRule="auto"/>
        <w:jc w:val="both"/>
        <w:rPr>
          <w:rFonts w:cs="Arial"/>
          <w:szCs w:val="20"/>
        </w:rPr>
      </w:pPr>
      <w:bookmarkStart w:id="1013" w:name="_Toc428243643"/>
      <w:bookmarkStart w:id="1014" w:name="_Toc497107499"/>
      <w:r w:rsidRPr="006431C4">
        <w:rPr>
          <w:rFonts w:cs="Arial"/>
          <w:szCs w:val="20"/>
        </w:rPr>
        <w:t>2. MATERIAŁY</w:t>
      </w:r>
      <w:bookmarkEnd w:id="1013"/>
      <w:bookmarkEnd w:id="1014"/>
    </w:p>
    <w:p w14:paraId="0AB4965A"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2.1. Ogólne wymagania dotyczące materiałów</w:t>
      </w:r>
    </w:p>
    <w:p w14:paraId="4CF8AF4B"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Ogólne wymagania dotyczące materiałów, ich pozyskiwania i składowania, podano w </w:t>
      </w:r>
      <w:r w:rsidR="00180A26" w:rsidRPr="006431C4">
        <w:rPr>
          <w:rFonts w:cs="Arial"/>
          <w:szCs w:val="20"/>
        </w:rPr>
        <w:t xml:space="preserve"> SST </w:t>
      </w:r>
      <w:r w:rsidRPr="006431C4">
        <w:rPr>
          <w:rFonts w:cs="Arial"/>
          <w:szCs w:val="20"/>
        </w:rPr>
        <w:t>D-M-00.00.00 „Wymagania ogólne” pkt 2.</w:t>
      </w:r>
    </w:p>
    <w:p w14:paraId="7B69BDB7"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2.2. Rodzaje materiałów</w:t>
      </w:r>
    </w:p>
    <w:p w14:paraId="229FFDC8"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Materiałami stosowanymi przy umacnianiu skarp, rowów i ścieków objętymi niniejszą</w:t>
      </w:r>
      <w:r w:rsidR="00180A26" w:rsidRPr="006431C4">
        <w:rPr>
          <w:rFonts w:cs="Arial"/>
          <w:szCs w:val="20"/>
        </w:rPr>
        <w:t xml:space="preserve"> SST </w:t>
      </w:r>
      <w:r w:rsidRPr="006431C4">
        <w:rPr>
          <w:rFonts w:cs="Arial"/>
          <w:szCs w:val="20"/>
        </w:rPr>
        <w:t>są:</w:t>
      </w:r>
    </w:p>
    <w:p w14:paraId="6ED7B580"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darnina,</w:t>
      </w:r>
    </w:p>
    <w:p w14:paraId="645AD327"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ziemia urodzajna,</w:t>
      </w:r>
    </w:p>
    <w:p w14:paraId="0B636F7D"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nasiona traw oraz roślin motylkowatych,</w:t>
      </w:r>
    </w:p>
    <w:p w14:paraId="00B8CC9B"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2.3. Darnina</w:t>
      </w:r>
    </w:p>
    <w:p w14:paraId="4C8E00A5"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Darninę należy wycinać z obszarów położonych najbliżej miejsca wbudowania. Cięcie należy przeprowadzać przy użyciu specjalnych pługów i krojów. Płaty lub pasma wyciętej darniny, w zależności od gruntu na jakim będą układane, powinny mieć szerokość od 25 do 50 cm i grubość od 6 do 10 cm.</w:t>
      </w:r>
    </w:p>
    <w:p w14:paraId="7EBB8577"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Wycięta darnina powinna być w krótkim czasie wbudowana.</w:t>
      </w:r>
    </w:p>
    <w:p w14:paraId="7AFC357D"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Darninę, jeżeli nie jest od razu wbudowana, należy układać warstwami w stosy, stroną porostu do siebie, na wysokość nie większą niż 1 m. Ułożone stosy winny być utrzymywane w stanie wilgotnym w warunkach zabezpieczających darninę przed zanieczyszczeniem, najwyżej przez 30 dni.</w:t>
      </w:r>
    </w:p>
    <w:p w14:paraId="389D0801"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2.4. Ziemia urodzajna (humus)</w:t>
      </w:r>
    </w:p>
    <w:p w14:paraId="7B48D11F"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Ziemia urodzajna powinna zawierać co najmniej 2% części organicznych. Ziemia urodzajna powinna być wilgotna i pozbawiona kamieni większych od 5 cm oraz wolna od zanieczyszczeń obcych.</w:t>
      </w:r>
    </w:p>
    <w:p w14:paraId="338B8C65"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W przypadkach wątpliwych Inżynier może zlecić wykonanie badań w celu stwierdzenia, że ziemia urodzajna odpowiada następującym kryteriom:</w:t>
      </w:r>
    </w:p>
    <w:p w14:paraId="0B95DB88" w14:textId="77777777" w:rsidR="007319F9" w:rsidRPr="006431C4" w:rsidRDefault="007319F9" w:rsidP="00365FBC">
      <w:pPr>
        <w:numPr>
          <w:ilvl w:val="0"/>
          <w:numId w:val="26"/>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optymalny skład granulometryczny:</w:t>
      </w:r>
    </w:p>
    <w:p w14:paraId="0F13A5E9" w14:textId="77777777" w:rsidR="007319F9" w:rsidRPr="006431C4" w:rsidRDefault="007319F9" w:rsidP="00365FBC">
      <w:pPr>
        <w:numPr>
          <w:ilvl w:val="0"/>
          <w:numId w:val="27"/>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frakcja ilasta (d &lt; 0,002 mm) </w:t>
      </w:r>
      <w:r w:rsidRPr="006431C4">
        <w:rPr>
          <w:rFonts w:cs="Arial"/>
          <w:szCs w:val="20"/>
        </w:rPr>
        <w:tab/>
      </w:r>
      <w:r w:rsidRPr="006431C4">
        <w:rPr>
          <w:rFonts w:cs="Arial"/>
          <w:szCs w:val="20"/>
        </w:rPr>
        <w:tab/>
        <w:t>12 - 18%,</w:t>
      </w:r>
    </w:p>
    <w:p w14:paraId="7FD08347" w14:textId="77777777" w:rsidR="007319F9" w:rsidRPr="006431C4" w:rsidRDefault="007319F9" w:rsidP="00365FBC">
      <w:pPr>
        <w:numPr>
          <w:ilvl w:val="0"/>
          <w:numId w:val="27"/>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frakcja pylasta (0,002 do 0,05mm)</w:t>
      </w:r>
      <w:r w:rsidRPr="006431C4">
        <w:rPr>
          <w:rFonts w:cs="Arial"/>
          <w:szCs w:val="20"/>
        </w:rPr>
        <w:tab/>
      </w:r>
      <w:r w:rsidRPr="006431C4">
        <w:rPr>
          <w:rFonts w:cs="Arial"/>
          <w:szCs w:val="20"/>
        </w:rPr>
        <w:tab/>
        <w:t>20 - 30%,</w:t>
      </w:r>
    </w:p>
    <w:p w14:paraId="7D493E5D" w14:textId="77777777" w:rsidR="007319F9" w:rsidRPr="006431C4" w:rsidRDefault="007319F9" w:rsidP="00365FBC">
      <w:pPr>
        <w:numPr>
          <w:ilvl w:val="0"/>
          <w:numId w:val="27"/>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frakcja piaszczysta (0,05 do 2,0 mm)</w:t>
      </w:r>
      <w:r w:rsidRPr="006431C4">
        <w:rPr>
          <w:rFonts w:cs="Arial"/>
          <w:szCs w:val="20"/>
        </w:rPr>
        <w:tab/>
      </w:r>
      <w:r w:rsidRPr="006431C4">
        <w:rPr>
          <w:rFonts w:cs="Arial"/>
          <w:szCs w:val="20"/>
        </w:rPr>
        <w:tab/>
        <w:t>45 - 70%,</w:t>
      </w:r>
    </w:p>
    <w:p w14:paraId="7DEA747C" w14:textId="77777777" w:rsidR="007319F9" w:rsidRPr="006431C4" w:rsidRDefault="007319F9" w:rsidP="00365FBC">
      <w:pPr>
        <w:numPr>
          <w:ilvl w:val="0"/>
          <w:numId w:val="26"/>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zawartość fosforu (P</w:t>
      </w:r>
      <w:r w:rsidRPr="006431C4">
        <w:rPr>
          <w:rFonts w:cs="Arial"/>
          <w:szCs w:val="20"/>
          <w:vertAlign w:val="subscript"/>
        </w:rPr>
        <w:t>2</w:t>
      </w:r>
      <w:r w:rsidRPr="006431C4">
        <w:rPr>
          <w:rFonts w:cs="Arial"/>
          <w:szCs w:val="20"/>
        </w:rPr>
        <w:t>O</w:t>
      </w:r>
      <w:r w:rsidRPr="006431C4">
        <w:rPr>
          <w:rFonts w:cs="Arial"/>
          <w:szCs w:val="20"/>
          <w:vertAlign w:val="subscript"/>
        </w:rPr>
        <w:t>5</w:t>
      </w:r>
      <w:r w:rsidRPr="006431C4">
        <w:rPr>
          <w:rFonts w:cs="Arial"/>
          <w:szCs w:val="20"/>
        </w:rPr>
        <w:t>)</w:t>
      </w:r>
      <w:r w:rsidRPr="006431C4">
        <w:rPr>
          <w:rFonts w:cs="Arial"/>
          <w:szCs w:val="20"/>
        </w:rPr>
        <w:tab/>
        <w:t>&gt; 20 mg/m</w:t>
      </w:r>
      <w:r w:rsidRPr="006431C4">
        <w:rPr>
          <w:rFonts w:cs="Arial"/>
          <w:szCs w:val="20"/>
          <w:vertAlign w:val="superscript"/>
        </w:rPr>
        <w:t>2</w:t>
      </w:r>
      <w:r w:rsidRPr="006431C4">
        <w:rPr>
          <w:rFonts w:cs="Arial"/>
          <w:szCs w:val="20"/>
        </w:rPr>
        <w:t>,</w:t>
      </w:r>
    </w:p>
    <w:p w14:paraId="2683BF3F" w14:textId="77777777" w:rsidR="007319F9" w:rsidRPr="006431C4" w:rsidRDefault="007319F9" w:rsidP="00365FBC">
      <w:pPr>
        <w:numPr>
          <w:ilvl w:val="0"/>
          <w:numId w:val="26"/>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zawartość potasu (K</w:t>
      </w:r>
      <w:r w:rsidRPr="006431C4">
        <w:rPr>
          <w:rFonts w:cs="Arial"/>
          <w:szCs w:val="20"/>
          <w:vertAlign w:val="subscript"/>
        </w:rPr>
        <w:t>2</w:t>
      </w:r>
      <w:r w:rsidRPr="006431C4">
        <w:rPr>
          <w:rFonts w:cs="Arial"/>
          <w:szCs w:val="20"/>
        </w:rPr>
        <w:t>O)</w:t>
      </w:r>
      <w:r w:rsidRPr="006431C4">
        <w:rPr>
          <w:rFonts w:cs="Arial"/>
          <w:szCs w:val="20"/>
        </w:rPr>
        <w:tab/>
        <w:t>&gt; 30 mg/m</w:t>
      </w:r>
      <w:r w:rsidRPr="006431C4">
        <w:rPr>
          <w:rFonts w:cs="Arial"/>
          <w:szCs w:val="20"/>
          <w:vertAlign w:val="superscript"/>
        </w:rPr>
        <w:t>2</w:t>
      </w:r>
      <w:r w:rsidRPr="006431C4">
        <w:rPr>
          <w:rFonts w:cs="Arial"/>
          <w:szCs w:val="20"/>
        </w:rPr>
        <w:t>,</w:t>
      </w:r>
    </w:p>
    <w:p w14:paraId="274C93A7" w14:textId="77777777" w:rsidR="007319F9" w:rsidRPr="006431C4" w:rsidRDefault="007319F9" w:rsidP="00365FBC">
      <w:pPr>
        <w:numPr>
          <w:ilvl w:val="0"/>
          <w:numId w:val="26"/>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kwasowość pH</w:t>
      </w:r>
      <w:r w:rsidRPr="006431C4">
        <w:rPr>
          <w:rFonts w:cs="Arial"/>
          <w:szCs w:val="20"/>
        </w:rPr>
        <w:tab/>
      </w:r>
      <w:r w:rsidRPr="006431C4">
        <w:rPr>
          <w:rFonts w:cs="Arial"/>
          <w:szCs w:val="20"/>
        </w:rPr>
        <w:tab/>
      </w:r>
      <w:r w:rsidRPr="006431C4">
        <w:rPr>
          <w:rFonts w:cs="Arial"/>
          <w:szCs w:val="20"/>
        </w:rPr>
        <w:sym w:font="Symbol" w:char="F0B3"/>
      </w:r>
      <w:r w:rsidRPr="006431C4">
        <w:rPr>
          <w:rFonts w:cs="Arial"/>
          <w:szCs w:val="20"/>
        </w:rPr>
        <w:t xml:space="preserve"> 5,5.</w:t>
      </w:r>
    </w:p>
    <w:p w14:paraId="3FC9373F"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2.5. Nasiona traw</w:t>
      </w:r>
    </w:p>
    <w:p w14:paraId="255953F7"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Wybór gatunków traw należy dostosować do rodzaju gleby i stopnia jej zawilgocenia. Zaleca się stosować mieszanki traw o drobnym, gęstym ukorzenieniu, spełniające wymagania PN-R-65023:1999 [9] i PN-B-12074:1998 [4].</w:t>
      </w:r>
    </w:p>
    <w:p w14:paraId="6EF6E9AB" w14:textId="77777777" w:rsidR="007319F9" w:rsidRPr="006431C4" w:rsidRDefault="007319F9" w:rsidP="00D232E1">
      <w:pPr>
        <w:pStyle w:val="Nagwek1"/>
        <w:numPr>
          <w:ilvl w:val="12"/>
          <w:numId w:val="0"/>
        </w:numPr>
        <w:shd w:val="clear" w:color="auto" w:fill="FFFFFF" w:themeFill="background1"/>
        <w:tabs>
          <w:tab w:val="left" w:pos="142"/>
        </w:tabs>
        <w:spacing w:line="240" w:lineRule="auto"/>
        <w:jc w:val="both"/>
        <w:rPr>
          <w:rFonts w:cs="Arial"/>
          <w:szCs w:val="20"/>
        </w:rPr>
      </w:pPr>
      <w:bookmarkStart w:id="1015" w:name="_Toc428243644"/>
      <w:bookmarkStart w:id="1016" w:name="_Toc497107500"/>
      <w:r w:rsidRPr="006431C4">
        <w:rPr>
          <w:rFonts w:cs="Arial"/>
          <w:szCs w:val="20"/>
        </w:rPr>
        <w:t>3. SPRZĘT</w:t>
      </w:r>
      <w:bookmarkEnd w:id="1015"/>
      <w:bookmarkEnd w:id="1016"/>
    </w:p>
    <w:p w14:paraId="116F3524" w14:textId="77777777" w:rsidR="007319F9" w:rsidRPr="006431C4" w:rsidRDefault="007319F9" w:rsidP="00D232E1">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3.1. Ogólne wymagania dotyczące sprzętu</w:t>
      </w:r>
    </w:p>
    <w:p w14:paraId="72566ED5" w14:textId="77777777" w:rsidR="007319F9" w:rsidRPr="006431C4" w:rsidRDefault="007319F9" w:rsidP="00D232E1">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sprzętu podano w</w:t>
      </w:r>
      <w:r w:rsidR="00180A26" w:rsidRPr="006431C4">
        <w:rPr>
          <w:rFonts w:cs="Arial"/>
          <w:szCs w:val="20"/>
        </w:rPr>
        <w:t xml:space="preserve"> SST </w:t>
      </w:r>
      <w:r w:rsidRPr="006431C4">
        <w:rPr>
          <w:rFonts w:cs="Arial"/>
          <w:szCs w:val="20"/>
        </w:rPr>
        <w:t>D-M-00.00.00 „Wymagania ogólne” pkt 3.</w:t>
      </w:r>
    </w:p>
    <w:p w14:paraId="78E6C987" w14:textId="77777777" w:rsidR="007319F9" w:rsidRPr="006431C4" w:rsidRDefault="007319F9" w:rsidP="00D232E1">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3.2. Sprzęt do wykonania robót</w:t>
      </w:r>
    </w:p>
    <w:p w14:paraId="48CE2C77" w14:textId="77777777" w:rsidR="007319F9" w:rsidRPr="006431C4" w:rsidRDefault="007319F9" w:rsidP="00D232E1">
      <w:pPr>
        <w:numPr>
          <w:ilvl w:val="12"/>
          <w:numId w:val="0"/>
        </w:numPr>
        <w:shd w:val="clear" w:color="auto" w:fill="FFFFFF" w:themeFill="background1"/>
        <w:tabs>
          <w:tab w:val="left" w:pos="142"/>
        </w:tabs>
        <w:spacing w:line="240" w:lineRule="auto"/>
        <w:jc w:val="both"/>
        <w:rPr>
          <w:rFonts w:cs="Arial"/>
          <w:szCs w:val="20"/>
        </w:rPr>
      </w:pPr>
      <w:r w:rsidRPr="006431C4">
        <w:rPr>
          <w:rFonts w:cs="Arial"/>
          <w:b/>
          <w:szCs w:val="20"/>
        </w:rPr>
        <w:tab/>
      </w:r>
      <w:r w:rsidRPr="006431C4">
        <w:rPr>
          <w:rFonts w:cs="Arial"/>
          <w:szCs w:val="20"/>
        </w:rPr>
        <w:t>Wykonawca przystępujący do wykonania umocnienia techniczno-biologicznego powinien wykazać się możliwością korzystania z następującego sprzętu:</w:t>
      </w:r>
    </w:p>
    <w:p w14:paraId="288CA4C7"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równiarek,</w:t>
      </w:r>
    </w:p>
    <w:p w14:paraId="369A2E13"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ew. walców gładkich, żebrowanych lub ryflowanych,</w:t>
      </w:r>
    </w:p>
    <w:p w14:paraId="53E66931"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ubijaków o ręcznym prowadzeniu,</w:t>
      </w:r>
    </w:p>
    <w:p w14:paraId="495E51EB"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cysterny z wodą pod ciśnieniem (do zraszania) oraz węży do podlewania (miejsc niedostępnych).</w:t>
      </w:r>
    </w:p>
    <w:p w14:paraId="42798B66" w14:textId="77777777" w:rsidR="007319F9" w:rsidRPr="006431C4" w:rsidRDefault="007319F9" w:rsidP="00D232E1">
      <w:pPr>
        <w:pStyle w:val="Nagwek1"/>
        <w:shd w:val="clear" w:color="auto" w:fill="FFFFFF" w:themeFill="background1"/>
        <w:tabs>
          <w:tab w:val="left" w:pos="142"/>
        </w:tabs>
        <w:spacing w:line="240" w:lineRule="auto"/>
        <w:jc w:val="both"/>
        <w:rPr>
          <w:rFonts w:cs="Arial"/>
          <w:szCs w:val="20"/>
        </w:rPr>
      </w:pPr>
      <w:bookmarkStart w:id="1017" w:name="_Toc428243645"/>
      <w:bookmarkStart w:id="1018" w:name="_Toc497107501"/>
      <w:r w:rsidRPr="006431C4">
        <w:rPr>
          <w:rFonts w:cs="Arial"/>
          <w:szCs w:val="20"/>
        </w:rPr>
        <w:t>4. TRANSPORT</w:t>
      </w:r>
      <w:bookmarkEnd w:id="1017"/>
      <w:bookmarkEnd w:id="1018"/>
    </w:p>
    <w:p w14:paraId="4BE59887"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4.1. Ogólne wymagania dotyczące transportu</w:t>
      </w:r>
    </w:p>
    <w:p w14:paraId="42195007"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wymagania dotyczące transportu podano w</w:t>
      </w:r>
      <w:r w:rsidR="00180A26" w:rsidRPr="006431C4">
        <w:rPr>
          <w:rFonts w:cs="Arial"/>
          <w:szCs w:val="20"/>
        </w:rPr>
        <w:t xml:space="preserve"> SST </w:t>
      </w:r>
      <w:r w:rsidRPr="006431C4">
        <w:rPr>
          <w:rFonts w:cs="Arial"/>
          <w:szCs w:val="20"/>
        </w:rPr>
        <w:t>D-M-00.00.00 „Wymagania ogólne” pkt 4.</w:t>
      </w:r>
    </w:p>
    <w:p w14:paraId="60200657"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4.2. Transport materiałów</w:t>
      </w:r>
    </w:p>
    <w:p w14:paraId="47A023BA"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4.2.1. </w:t>
      </w:r>
      <w:r w:rsidRPr="006431C4">
        <w:rPr>
          <w:rFonts w:cs="Arial"/>
          <w:szCs w:val="20"/>
        </w:rPr>
        <w:t>Transport darniny</w:t>
      </w:r>
    </w:p>
    <w:p w14:paraId="65877487"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Darninę można przewozić dowolnymi środkami transportu w warunkach zabezpieczających przed obsypaniem się ziemi roślinnej i odkryciem korzonków trawy oraz przed innymi uszkodzeniami.</w:t>
      </w:r>
    </w:p>
    <w:p w14:paraId="188E56B5"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4.2.2. </w:t>
      </w:r>
      <w:r w:rsidRPr="006431C4">
        <w:rPr>
          <w:rFonts w:cs="Arial"/>
          <w:szCs w:val="20"/>
        </w:rPr>
        <w:t>Transport nasion traw</w:t>
      </w:r>
    </w:p>
    <w:p w14:paraId="27A1144E"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Nasiona traw można przewozić dowolnymi środkami transportu w warunkach zabezpieczających je przed zawilgoceniem.</w:t>
      </w:r>
    </w:p>
    <w:p w14:paraId="6994B0CD" w14:textId="77777777" w:rsidR="007319F9" w:rsidRPr="006431C4" w:rsidRDefault="007319F9" w:rsidP="00D232E1">
      <w:pPr>
        <w:pStyle w:val="Nagwek1"/>
        <w:shd w:val="clear" w:color="auto" w:fill="FFFFFF" w:themeFill="background1"/>
        <w:tabs>
          <w:tab w:val="left" w:pos="142"/>
        </w:tabs>
        <w:spacing w:line="240" w:lineRule="auto"/>
        <w:jc w:val="both"/>
        <w:rPr>
          <w:rFonts w:cs="Arial"/>
          <w:szCs w:val="20"/>
        </w:rPr>
      </w:pPr>
      <w:bookmarkStart w:id="1019" w:name="_Toc428243646"/>
      <w:bookmarkStart w:id="1020" w:name="_Toc497107502"/>
      <w:r w:rsidRPr="006431C4">
        <w:rPr>
          <w:rFonts w:cs="Arial"/>
          <w:szCs w:val="20"/>
        </w:rPr>
        <w:t>5. WYKONANIE ROBÓT</w:t>
      </w:r>
      <w:bookmarkEnd w:id="1019"/>
      <w:bookmarkEnd w:id="1020"/>
    </w:p>
    <w:p w14:paraId="084F98B8"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5.1. Ogólne zasady wykonania robót</w:t>
      </w:r>
    </w:p>
    <w:p w14:paraId="70A28210"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zasady wykonania robót podano w</w:t>
      </w:r>
      <w:r w:rsidR="00180A26" w:rsidRPr="006431C4">
        <w:rPr>
          <w:rFonts w:cs="Arial"/>
          <w:szCs w:val="20"/>
        </w:rPr>
        <w:t xml:space="preserve"> SST </w:t>
      </w:r>
      <w:r w:rsidRPr="006431C4">
        <w:rPr>
          <w:rFonts w:cs="Arial"/>
          <w:szCs w:val="20"/>
        </w:rPr>
        <w:t>D-M-00.00.00 „Wymagania ogólne” pkt 5.</w:t>
      </w:r>
    </w:p>
    <w:p w14:paraId="25649AFF"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lastRenderedPageBreak/>
        <w:t>5.2. Humusowanie</w:t>
      </w:r>
    </w:p>
    <w:p w14:paraId="1F9AF3CB"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ab/>
      </w:r>
      <w:r w:rsidRPr="006431C4">
        <w:rPr>
          <w:rFonts w:cs="Arial"/>
          <w:szCs w:val="20"/>
        </w:rPr>
        <w:t>Humusowanie powinno być wykonywane od górnej krawędzi skarpy do jej dolnej krawędzi. Warstwa ziemi urodzajnej powinna sięgać poza górną krawędź skarpy i poza podnóże skarpy nasypu od 15 do 25 cm.</w:t>
      </w:r>
    </w:p>
    <w:p w14:paraId="16876D58"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Grubość pokrycia ziemią urodzajną powinna wynosić od 10 do 15 cm po moletowaniu i zagęszczeniu,  w zależności od gruntu występującego na powierzchni skarpy.</w:t>
      </w:r>
    </w:p>
    <w:p w14:paraId="647A7E17"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W celu lepszego powiązania warstwy ziemi urodzajnej z gruntem, na powierzchni skarpy należy wykonywać rowki poziome lub pod kątem 30</w:t>
      </w:r>
      <w:r w:rsidRPr="006431C4">
        <w:rPr>
          <w:rFonts w:cs="Arial"/>
          <w:szCs w:val="20"/>
          <w:vertAlign w:val="superscript"/>
        </w:rPr>
        <w:t>o</w:t>
      </w:r>
      <w:r w:rsidRPr="006431C4">
        <w:rPr>
          <w:rFonts w:cs="Arial"/>
          <w:szCs w:val="20"/>
        </w:rPr>
        <w:t xml:space="preserve"> do 45</w:t>
      </w:r>
      <w:r w:rsidRPr="006431C4">
        <w:rPr>
          <w:rFonts w:cs="Arial"/>
          <w:szCs w:val="20"/>
          <w:vertAlign w:val="superscript"/>
        </w:rPr>
        <w:t>o</w:t>
      </w:r>
      <w:r w:rsidRPr="006431C4">
        <w:rPr>
          <w:rFonts w:cs="Arial"/>
          <w:szCs w:val="20"/>
        </w:rPr>
        <w:t xml:space="preserve"> o głębokości od 3 do         5 cm, w odstępach co 0,5</w:t>
      </w:r>
      <w:r w:rsidRPr="006431C4">
        <w:rPr>
          <w:rFonts w:cs="Arial"/>
          <w:b/>
          <w:szCs w:val="20"/>
        </w:rPr>
        <w:t xml:space="preserve"> </w:t>
      </w:r>
      <w:r w:rsidRPr="006431C4">
        <w:rPr>
          <w:rFonts w:cs="Arial"/>
          <w:szCs w:val="20"/>
        </w:rPr>
        <w:t>do</w:t>
      </w:r>
      <w:r w:rsidRPr="006431C4">
        <w:rPr>
          <w:rFonts w:cs="Arial"/>
          <w:b/>
          <w:szCs w:val="20"/>
        </w:rPr>
        <w:t xml:space="preserve"> </w:t>
      </w:r>
      <w:r w:rsidRPr="006431C4">
        <w:rPr>
          <w:rFonts w:cs="Arial"/>
          <w:szCs w:val="20"/>
        </w:rPr>
        <w:t>1,0 m. Ułożoną warstwę ziemi urodzajnej należy zagrabić (</w:t>
      </w:r>
      <w:proofErr w:type="spellStart"/>
      <w:r w:rsidRPr="006431C4">
        <w:rPr>
          <w:rFonts w:cs="Arial"/>
          <w:szCs w:val="20"/>
        </w:rPr>
        <w:t>pobronować</w:t>
      </w:r>
      <w:proofErr w:type="spellEnd"/>
      <w:r w:rsidRPr="006431C4">
        <w:rPr>
          <w:rFonts w:cs="Arial"/>
          <w:szCs w:val="20"/>
        </w:rPr>
        <w:t>) i lekko zagęścić przez ubicie ręczne lub mechaniczne.</w:t>
      </w:r>
    </w:p>
    <w:p w14:paraId="4A44303E"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5.3. Umocnienie skarp przez obsianie trawą i roślinami motylkowatymi</w:t>
      </w:r>
    </w:p>
    <w:p w14:paraId="34FB85FA"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Proces umocnienia powierzchni skarp i rowów poprzez obsianie nasionami traw         i roślin motylkowatych polega na:</w:t>
      </w:r>
    </w:p>
    <w:p w14:paraId="304F9E4A" w14:textId="77777777" w:rsidR="007319F9" w:rsidRPr="006431C4" w:rsidRDefault="007319F9" w:rsidP="00365FBC">
      <w:pPr>
        <w:numPr>
          <w:ilvl w:val="0"/>
          <w:numId w:val="28"/>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wytworzeniu na skarpie warstwy ziemi urodzajnej przez:</w:t>
      </w:r>
    </w:p>
    <w:p w14:paraId="797847E2" w14:textId="77777777" w:rsidR="007319F9" w:rsidRPr="006431C4" w:rsidRDefault="007319F9" w:rsidP="00365FBC">
      <w:pPr>
        <w:numPr>
          <w:ilvl w:val="0"/>
          <w:numId w:val="27"/>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humusowanie (patrz pkt 5.2), lub,</w:t>
      </w:r>
    </w:p>
    <w:p w14:paraId="166AA27D" w14:textId="77777777" w:rsidR="007319F9" w:rsidRPr="006431C4" w:rsidRDefault="007319F9" w:rsidP="00365FBC">
      <w:pPr>
        <w:numPr>
          <w:ilvl w:val="0"/>
          <w:numId w:val="27"/>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wymieszanie gruntu skarpy z naniesionymi osadami ściekowymi za pomocą osprzętu </w:t>
      </w:r>
      <w:proofErr w:type="spellStart"/>
      <w:r w:rsidRPr="006431C4">
        <w:rPr>
          <w:rFonts w:cs="Arial"/>
          <w:szCs w:val="20"/>
        </w:rPr>
        <w:t>agrouprawowego</w:t>
      </w:r>
      <w:proofErr w:type="spellEnd"/>
      <w:r w:rsidRPr="006431C4">
        <w:rPr>
          <w:rFonts w:cs="Arial"/>
          <w:szCs w:val="20"/>
        </w:rPr>
        <w:t>, aby uzyskać zawartość części organicznych warstwy co najmniej 1%,</w:t>
      </w:r>
    </w:p>
    <w:p w14:paraId="13E852C8" w14:textId="77777777" w:rsidR="007319F9" w:rsidRPr="006431C4" w:rsidRDefault="007319F9" w:rsidP="00365FBC">
      <w:pPr>
        <w:numPr>
          <w:ilvl w:val="0"/>
          <w:numId w:val="28"/>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obsianiu warstwy ziemi urodzajnej kompozycjami nasion traw, roślin motylkowatych           i bylin w ilości od 18 g/m</w:t>
      </w:r>
      <w:r w:rsidRPr="006431C4">
        <w:rPr>
          <w:rFonts w:cs="Arial"/>
          <w:szCs w:val="20"/>
          <w:vertAlign w:val="superscript"/>
        </w:rPr>
        <w:t>2</w:t>
      </w:r>
      <w:r w:rsidRPr="006431C4">
        <w:rPr>
          <w:rFonts w:cs="Arial"/>
          <w:szCs w:val="20"/>
        </w:rPr>
        <w:t xml:space="preserve"> do 30 g/m</w:t>
      </w:r>
      <w:r w:rsidRPr="006431C4">
        <w:rPr>
          <w:rFonts w:cs="Arial"/>
          <w:szCs w:val="20"/>
          <w:vertAlign w:val="superscript"/>
        </w:rPr>
        <w:t>2</w:t>
      </w:r>
      <w:r w:rsidRPr="006431C4">
        <w:rPr>
          <w:rFonts w:cs="Arial"/>
          <w:szCs w:val="20"/>
        </w:rPr>
        <w:t>, dobranych odpowiednio do warunków siedliskowych (rodzaju podłoża, wystawy oraz pochylenia skarp),</w:t>
      </w:r>
    </w:p>
    <w:p w14:paraId="52BC6D11" w14:textId="77777777" w:rsidR="007319F9" w:rsidRPr="006431C4" w:rsidRDefault="007319F9" w:rsidP="00365FBC">
      <w:pPr>
        <w:numPr>
          <w:ilvl w:val="0"/>
          <w:numId w:val="28"/>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 xml:space="preserve">naniesieniu na obsianą powierzchnię tymczasowej warstwy przeciwerozyjnej (patrz        pkt 5.4) metodą mulczowania lub </w:t>
      </w:r>
      <w:proofErr w:type="spellStart"/>
      <w:r w:rsidRPr="006431C4">
        <w:rPr>
          <w:rFonts w:cs="Arial"/>
          <w:szCs w:val="20"/>
        </w:rPr>
        <w:t>hydromulczowania</w:t>
      </w:r>
      <w:proofErr w:type="spellEnd"/>
      <w:r w:rsidRPr="006431C4">
        <w:rPr>
          <w:rFonts w:cs="Arial"/>
          <w:szCs w:val="20"/>
        </w:rPr>
        <w:t>.</w:t>
      </w:r>
    </w:p>
    <w:p w14:paraId="21B0F7AD"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W okresach posusznych należy systematycznie zraszać wodą obsiane powierzchnie.</w:t>
      </w:r>
    </w:p>
    <w:p w14:paraId="1D1A5ACD"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5.4. Tymczasowa warstwa przeciwerozyjna</w:t>
      </w:r>
    </w:p>
    <w:p w14:paraId="171A31BB"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Tymczasowa warstwa przeciwerozyjna doraźnie zabezpiecza przed erozją powierzchniową do czasu przejęcia tej funkcji przez okrywę roślinną.</w:t>
      </w:r>
    </w:p>
    <w:p w14:paraId="62F2A2CE"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Tymczasowa warstwa przeciwerozyjna może być wykonana z </w:t>
      </w:r>
      <w:proofErr w:type="spellStart"/>
      <w:r w:rsidRPr="006431C4">
        <w:rPr>
          <w:rFonts w:cs="Arial"/>
          <w:szCs w:val="20"/>
        </w:rPr>
        <w:t>biowłókniny</w:t>
      </w:r>
      <w:proofErr w:type="spellEnd"/>
      <w:r w:rsidRPr="006431C4">
        <w:rPr>
          <w:rFonts w:cs="Arial"/>
          <w:szCs w:val="20"/>
        </w:rPr>
        <w:t xml:space="preserve">, </w:t>
      </w:r>
      <w:proofErr w:type="spellStart"/>
      <w:r w:rsidRPr="006431C4">
        <w:rPr>
          <w:rFonts w:cs="Arial"/>
          <w:szCs w:val="20"/>
        </w:rPr>
        <w:t>geosyntetyków</w:t>
      </w:r>
      <w:proofErr w:type="spellEnd"/>
      <w:r w:rsidRPr="006431C4">
        <w:rPr>
          <w:rFonts w:cs="Arial"/>
          <w:szCs w:val="20"/>
        </w:rPr>
        <w:t xml:space="preserve">,  z płynnych osadów ściekowych, emulsji bitumicznych lub lateksowych np. metodą mulczowania lub </w:t>
      </w:r>
      <w:proofErr w:type="spellStart"/>
      <w:r w:rsidRPr="006431C4">
        <w:rPr>
          <w:rFonts w:cs="Arial"/>
          <w:szCs w:val="20"/>
        </w:rPr>
        <w:t>hydromulczowania</w:t>
      </w:r>
      <w:proofErr w:type="spellEnd"/>
      <w:r w:rsidRPr="006431C4">
        <w:rPr>
          <w:rFonts w:cs="Arial"/>
          <w:szCs w:val="20"/>
        </w:rPr>
        <w:t>.</w:t>
      </w:r>
    </w:p>
    <w:p w14:paraId="115CAACE"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Mulczowanie polega na naniesieniu na powierzchnię gruntu ściółki (np. sieczki, </w:t>
      </w:r>
      <w:proofErr w:type="spellStart"/>
      <w:r w:rsidRPr="006431C4">
        <w:rPr>
          <w:rFonts w:cs="Arial"/>
          <w:szCs w:val="20"/>
        </w:rPr>
        <w:t>stróżyn</w:t>
      </w:r>
      <w:proofErr w:type="spellEnd"/>
      <w:r w:rsidRPr="006431C4">
        <w:rPr>
          <w:rFonts w:cs="Arial"/>
          <w:szCs w:val="20"/>
        </w:rPr>
        <w:t>, trocin, substratu torfu) z lepiszczem (np. emulsją asfaltową) w celu ochrony przed wysychaniem i erozją, w ilości od 0,03 do 0,05 kg/m</w:t>
      </w:r>
      <w:r w:rsidRPr="006431C4">
        <w:rPr>
          <w:rFonts w:cs="Arial"/>
          <w:szCs w:val="20"/>
          <w:vertAlign w:val="superscript"/>
        </w:rPr>
        <w:t>2</w:t>
      </w:r>
      <w:r w:rsidRPr="006431C4">
        <w:rPr>
          <w:rFonts w:cs="Arial"/>
          <w:szCs w:val="20"/>
        </w:rPr>
        <w:t>.</w:t>
      </w:r>
    </w:p>
    <w:p w14:paraId="2B115EE1"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Zaleca się wykonanie tymczasowej warstwy przeciwerozyjnej na wyprofilowanych skarpach, które jeszcze w stanie surowym powinny być niezwłocznie zabezpieczone przed erozją. Właściwe umocnienie skarp, przewidziane w dokumentacji projektowej, powinno  być wykonywane w optymalnych terminach agrotechnicznych.</w:t>
      </w:r>
    </w:p>
    <w:p w14:paraId="5471A080"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5.5. Darniowanie</w:t>
      </w:r>
    </w:p>
    <w:p w14:paraId="26272246"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Darniowanie należy wykonywać wczesną wiosną do końca maja oraz we wrześniu, a w razie konieczności w październiku.</w:t>
      </w:r>
    </w:p>
    <w:p w14:paraId="465A8DC1"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Powierzchnia przeznaczona do darniowania powinna być dokładnie wyrównana, a w uzasadnionych przypadkach pokryta warstwą ziemi urodzajnej.</w:t>
      </w:r>
    </w:p>
    <w:p w14:paraId="1AFCF30B"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W okresach suchych powierzchnie darniowane należy polewać wodą w godzinach popołudniowych przez okres od 2 do 3 tygodni. Można stosować inne zabiegi chroniące darń przed wysychaniem, zaakceptowane przez Inżyniera.</w:t>
      </w:r>
    </w:p>
    <w:p w14:paraId="75049CDF"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5.5.1. </w:t>
      </w:r>
      <w:r w:rsidRPr="006431C4">
        <w:rPr>
          <w:rFonts w:cs="Arial"/>
          <w:szCs w:val="20"/>
        </w:rPr>
        <w:t>Darniowanie kożuchowe</w:t>
      </w:r>
    </w:p>
    <w:p w14:paraId="4D0319D6"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Darń układa się pasami poziomymi, rozpoczynając od dołu skarpy. Pas dolny powinien być oparty o element zabezpieczający podstawę skarpy. W przypadku braku zabezpieczenia podstawy skarpy, dolny pas darniny powinien być zagłębiony w dno rowu lub teren na głębokość od 5 do 8 cm. Pasy darniny należy układać tak, aby ściśle przylegały do siebie, ale nie zachodziły na siebie. Powstałe szpary należy wypełnić odpowiednio przyciętymi kawałkami darniny. Ułożoną darninę należy uklepać drewnianym ubijakiem tak, aby darnina od strony korzeni przylegała ściśle do podłoża.</w:t>
      </w:r>
    </w:p>
    <w:p w14:paraId="0B030648"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Wykonując darniowanie pod koniec okresu wegetacji oraz na skarpach o nachyleniu bardzo stromym, płaty darniny należy przybić szpilkami, w ilości nie mniejszej niż 16 szt./m</w:t>
      </w:r>
      <w:r w:rsidRPr="006431C4">
        <w:rPr>
          <w:rFonts w:cs="Arial"/>
          <w:szCs w:val="20"/>
          <w:vertAlign w:val="superscript"/>
        </w:rPr>
        <w:t>3</w:t>
      </w:r>
      <w:r w:rsidRPr="006431C4">
        <w:rPr>
          <w:rFonts w:cs="Arial"/>
          <w:szCs w:val="20"/>
        </w:rPr>
        <w:t xml:space="preserve"> i nie mniej niż 2 szt. na płat.</w:t>
      </w:r>
    </w:p>
    <w:p w14:paraId="0E149BFA"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b/>
          <w:szCs w:val="20"/>
        </w:rPr>
        <w:t xml:space="preserve">5.5.2. </w:t>
      </w:r>
      <w:r w:rsidRPr="006431C4">
        <w:rPr>
          <w:rFonts w:cs="Arial"/>
          <w:szCs w:val="20"/>
        </w:rPr>
        <w:t>Darniowanie w kratę</w:t>
      </w:r>
    </w:p>
    <w:p w14:paraId="47B0728D"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Umocnienie skarp przez darniowanie w kratę wykonuje się na wysokich nasypach (powyżej 3,5 m). Darniowanie w kratę należy wykonywać pasami nachylonymi do podstawy skarpy pod kątem 45</w:t>
      </w:r>
      <w:r w:rsidRPr="006431C4">
        <w:rPr>
          <w:rFonts w:cs="Arial"/>
          <w:szCs w:val="20"/>
          <w:vertAlign w:val="superscript"/>
        </w:rPr>
        <w:t>o</w:t>
      </w:r>
      <w:r w:rsidRPr="006431C4">
        <w:rPr>
          <w:rFonts w:cs="Arial"/>
          <w:szCs w:val="20"/>
        </w:rPr>
        <w:t>, krzyżującymi się w taki sposób, aby tworzyły nie pokryte darniną kwadraty (okienka), o wymiarach zgodnych z dokumentacją projektową. Ułożone w kratę płaty darniny należy uklepać ubijakiem i przybić do podłoża szpilkami.</w:t>
      </w:r>
    </w:p>
    <w:p w14:paraId="572775EB"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Pola okienek powinny być obsiane mieszanką traw spełniającą wymagania PN-R-65023:1999 [9].</w:t>
      </w:r>
    </w:p>
    <w:p w14:paraId="1FE3AB63" w14:textId="77777777" w:rsidR="007319F9" w:rsidRPr="006431C4" w:rsidRDefault="007319F9" w:rsidP="00D232E1">
      <w:pPr>
        <w:pStyle w:val="Nagwek1"/>
        <w:shd w:val="clear" w:color="auto" w:fill="FFFFFF" w:themeFill="background1"/>
        <w:tabs>
          <w:tab w:val="left" w:pos="142"/>
        </w:tabs>
        <w:spacing w:line="240" w:lineRule="auto"/>
        <w:jc w:val="both"/>
        <w:rPr>
          <w:rFonts w:cs="Arial"/>
          <w:szCs w:val="20"/>
        </w:rPr>
      </w:pPr>
      <w:bookmarkStart w:id="1021" w:name="_Toc428243647"/>
      <w:bookmarkStart w:id="1022" w:name="_Toc497107503"/>
      <w:r w:rsidRPr="006431C4">
        <w:rPr>
          <w:rFonts w:cs="Arial"/>
          <w:szCs w:val="20"/>
        </w:rPr>
        <w:t>6. KONTROLA JAKOŚCI ROBÓT</w:t>
      </w:r>
      <w:bookmarkEnd w:id="1021"/>
      <w:bookmarkEnd w:id="1022"/>
    </w:p>
    <w:p w14:paraId="7C32C7D5"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6.1. Ogólne zasady kontroli jakości robót</w:t>
      </w:r>
    </w:p>
    <w:p w14:paraId="43293289"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Ogólne zasady kontroli jakości robót podano w</w:t>
      </w:r>
      <w:r w:rsidR="00180A26" w:rsidRPr="006431C4">
        <w:rPr>
          <w:rFonts w:cs="Arial"/>
          <w:szCs w:val="20"/>
        </w:rPr>
        <w:t xml:space="preserve"> SST </w:t>
      </w:r>
      <w:r w:rsidRPr="006431C4">
        <w:rPr>
          <w:rFonts w:cs="Arial"/>
          <w:szCs w:val="20"/>
        </w:rPr>
        <w:t>D-M-00.00.00 „Wymagania ogólne” pkt 6.</w:t>
      </w:r>
    </w:p>
    <w:p w14:paraId="1E848ADD"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6.2. Kontrola jakości humusowania i obsiania</w:t>
      </w:r>
    </w:p>
    <w:p w14:paraId="5DCFF2A3"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Kontrola polega na ocenie wizualnej jakości wykonanych robót i ich zgodności, oraz na sprawdzeniu daty ważności świadectwa wartości siewnej wysianej mieszanki nasion traw.</w:t>
      </w:r>
    </w:p>
    <w:p w14:paraId="0D9C3374"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 xml:space="preserve">Po wzejściu roślin, łączna powierzchnia nie porośniętych miejsc nie powinna być większa niż 2% powierzchni obsianej skarpy, a maksymalny wymiar pojedynczych nie </w:t>
      </w:r>
      <w:proofErr w:type="spellStart"/>
      <w:r w:rsidRPr="006431C4">
        <w:rPr>
          <w:rFonts w:cs="Arial"/>
          <w:szCs w:val="20"/>
        </w:rPr>
        <w:t>zatrawionych</w:t>
      </w:r>
      <w:proofErr w:type="spellEnd"/>
      <w:r w:rsidRPr="006431C4">
        <w:rPr>
          <w:rFonts w:cs="Arial"/>
          <w:szCs w:val="20"/>
        </w:rPr>
        <w:t xml:space="preserve"> miejsc nie powinien przekraczać 0,2 m</w:t>
      </w:r>
      <w:r w:rsidRPr="006431C4">
        <w:rPr>
          <w:rFonts w:cs="Arial"/>
          <w:szCs w:val="20"/>
          <w:vertAlign w:val="superscript"/>
        </w:rPr>
        <w:t>2</w:t>
      </w:r>
      <w:r w:rsidRPr="006431C4">
        <w:rPr>
          <w:rFonts w:cs="Arial"/>
          <w:szCs w:val="20"/>
        </w:rPr>
        <w:t>. Na zarośniętej powierzchni nie mogą występować wyżłobienia erozyjne ani lokalne zsuwy.</w:t>
      </w:r>
    </w:p>
    <w:p w14:paraId="3C6EB39F"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6.3. Kontrola jakości darniowania</w:t>
      </w:r>
    </w:p>
    <w:p w14:paraId="7DEDA35D"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ab/>
        <w:t>Kontrola polega na sprawdzeniu czy powierzchnia darniowana jest równa i nie ma widocznych szczelin i obsunięć, czy poszczególne płaty darniny nie wyróżniają się barwą charakteryzującą jej nieprzydatność oraz czy szpilki nie wystają ponad powierzchnię.</w:t>
      </w:r>
    </w:p>
    <w:p w14:paraId="20A1275D"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lastRenderedPageBreak/>
        <w:tab/>
        <w:t>Na powierzchni ok. 1 m</w:t>
      </w:r>
      <w:r w:rsidRPr="006431C4">
        <w:rPr>
          <w:rFonts w:cs="Arial"/>
          <w:szCs w:val="20"/>
          <w:vertAlign w:val="superscript"/>
        </w:rPr>
        <w:t>2</w:t>
      </w:r>
      <w:r w:rsidRPr="006431C4">
        <w:rPr>
          <w:rFonts w:cs="Arial"/>
          <w:szCs w:val="20"/>
        </w:rPr>
        <w:t xml:space="preserve">  należy sprawdzić dokładność przylegania poszczególnych płatów darniny do siebie i do powierzchni gruntu.</w:t>
      </w:r>
    </w:p>
    <w:p w14:paraId="616FE8EF" w14:textId="77777777" w:rsidR="007319F9" w:rsidRPr="006431C4" w:rsidRDefault="007319F9" w:rsidP="00D232E1">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7.1. Ogólne zasady obmiaru robót</w:t>
      </w:r>
    </w:p>
    <w:p w14:paraId="1D4803F9" w14:textId="77777777" w:rsidR="007319F9" w:rsidRPr="006431C4" w:rsidRDefault="007319F9" w:rsidP="00D232E1">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ab/>
        <w:t>Ogólne zasady obmiaru robót podano w</w:t>
      </w:r>
      <w:r w:rsidR="00180A26" w:rsidRPr="006431C4">
        <w:rPr>
          <w:rFonts w:cs="Arial"/>
          <w:szCs w:val="20"/>
        </w:rPr>
        <w:t xml:space="preserve"> SST </w:t>
      </w:r>
      <w:r w:rsidRPr="006431C4">
        <w:rPr>
          <w:rFonts w:cs="Arial"/>
          <w:szCs w:val="20"/>
        </w:rPr>
        <w:t>D-M-00.00.00 „Wymagania ogólne” pkt 7.</w:t>
      </w:r>
    </w:p>
    <w:p w14:paraId="6ECD378E" w14:textId="77777777" w:rsidR="007319F9" w:rsidRPr="006431C4" w:rsidRDefault="007319F9" w:rsidP="00D232E1">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7.2. Jednostka obmiarowa</w:t>
      </w:r>
    </w:p>
    <w:p w14:paraId="51D92318" w14:textId="77777777" w:rsidR="007319F9" w:rsidRPr="006431C4" w:rsidRDefault="007319F9" w:rsidP="00D232E1">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ab/>
        <w:t>Jednostką obmiarową jest:</w:t>
      </w:r>
    </w:p>
    <w:p w14:paraId="122427C3"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m</w:t>
      </w:r>
      <w:r w:rsidRPr="006431C4">
        <w:rPr>
          <w:rFonts w:cs="Arial"/>
          <w:szCs w:val="20"/>
          <w:vertAlign w:val="superscript"/>
        </w:rPr>
        <w:t>2</w:t>
      </w:r>
      <w:r w:rsidRPr="006431C4">
        <w:rPr>
          <w:rFonts w:cs="Arial"/>
          <w:szCs w:val="20"/>
        </w:rPr>
        <w:t xml:space="preserve"> (metr kwadratowy) powierzchni skarp i rowów umocnionych przez humusowanie, obsianie, darniowanie, brukowanie, </w:t>
      </w:r>
      <w:proofErr w:type="spellStart"/>
      <w:r w:rsidRPr="006431C4">
        <w:rPr>
          <w:rFonts w:cs="Arial"/>
          <w:szCs w:val="20"/>
        </w:rPr>
        <w:t>hydroobsiew</w:t>
      </w:r>
      <w:proofErr w:type="spellEnd"/>
      <w:r w:rsidRPr="006431C4">
        <w:rPr>
          <w:rFonts w:cs="Arial"/>
          <w:szCs w:val="20"/>
        </w:rPr>
        <w:t xml:space="preserve"> oraz umocnienie </w:t>
      </w:r>
      <w:proofErr w:type="spellStart"/>
      <w:r w:rsidRPr="006431C4">
        <w:rPr>
          <w:rFonts w:cs="Arial"/>
          <w:szCs w:val="20"/>
        </w:rPr>
        <w:t>biowłókniną</w:t>
      </w:r>
      <w:proofErr w:type="spellEnd"/>
      <w:r w:rsidRPr="006431C4">
        <w:rPr>
          <w:rFonts w:cs="Arial"/>
          <w:szCs w:val="20"/>
        </w:rPr>
        <w:t xml:space="preserve">                    i </w:t>
      </w:r>
      <w:proofErr w:type="spellStart"/>
      <w:r w:rsidRPr="006431C4">
        <w:rPr>
          <w:rFonts w:cs="Arial"/>
          <w:szCs w:val="20"/>
        </w:rPr>
        <w:t>geosyntetykami</w:t>
      </w:r>
      <w:proofErr w:type="spellEnd"/>
      <w:r w:rsidRPr="006431C4">
        <w:rPr>
          <w:rFonts w:cs="Arial"/>
          <w:szCs w:val="20"/>
        </w:rPr>
        <w:t>,</w:t>
      </w:r>
    </w:p>
    <w:p w14:paraId="101627BA" w14:textId="77777777" w:rsidR="007319F9" w:rsidRPr="006431C4" w:rsidRDefault="007319F9" w:rsidP="00D232E1">
      <w:pPr>
        <w:pStyle w:val="Nagwek1"/>
        <w:numPr>
          <w:ilvl w:val="12"/>
          <w:numId w:val="0"/>
        </w:numPr>
        <w:shd w:val="clear" w:color="auto" w:fill="FFFFFF" w:themeFill="background1"/>
        <w:tabs>
          <w:tab w:val="left" w:pos="142"/>
        </w:tabs>
        <w:spacing w:line="240" w:lineRule="auto"/>
        <w:jc w:val="both"/>
        <w:rPr>
          <w:rFonts w:cs="Arial"/>
          <w:szCs w:val="20"/>
        </w:rPr>
      </w:pPr>
      <w:bookmarkStart w:id="1023" w:name="_Toc428243649"/>
      <w:bookmarkStart w:id="1024" w:name="_Toc497107505"/>
      <w:r w:rsidRPr="006431C4">
        <w:rPr>
          <w:rFonts w:cs="Arial"/>
          <w:szCs w:val="20"/>
        </w:rPr>
        <w:t>8. ODBIÓR ROBÓT</w:t>
      </w:r>
      <w:bookmarkEnd w:id="1023"/>
      <w:bookmarkEnd w:id="1024"/>
    </w:p>
    <w:p w14:paraId="3CFED3C7" w14:textId="77777777" w:rsidR="007319F9" w:rsidRPr="006431C4" w:rsidRDefault="007319F9" w:rsidP="00D232E1">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ab/>
        <w:t>Ogólne zasady odbioru robót podano w</w:t>
      </w:r>
      <w:r w:rsidR="00180A26" w:rsidRPr="006431C4">
        <w:rPr>
          <w:rFonts w:cs="Arial"/>
          <w:szCs w:val="20"/>
        </w:rPr>
        <w:t xml:space="preserve"> SST </w:t>
      </w:r>
      <w:r w:rsidRPr="006431C4">
        <w:rPr>
          <w:rFonts w:cs="Arial"/>
          <w:szCs w:val="20"/>
        </w:rPr>
        <w:t>D-M-00.00.00 „Wymagania ogólne” pkt 8.</w:t>
      </w:r>
    </w:p>
    <w:p w14:paraId="170F3E88" w14:textId="77777777" w:rsidR="007319F9" w:rsidRPr="006431C4" w:rsidRDefault="007319F9" w:rsidP="00D232E1">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ab/>
        <w:t>Roboty uznaje się za wykonane zgodnie z dokumentacją projektową i wymaganiami Inżyniera, jeżeli wszystkie pomiary i badania z zachowaniem tolerancji wg pktu 6 dały wyniki pozytywne.</w:t>
      </w:r>
    </w:p>
    <w:p w14:paraId="3EDE9497" w14:textId="77777777" w:rsidR="007319F9" w:rsidRPr="006431C4" w:rsidRDefault="007319F9" w:rsidP="00D232E1">
      <w:pPr>
        <w:pStyle w:val="Nagwek1"/>
        <w:numPr>
          <w:ilvl w:val="12"/>
          <w:numId w:val="0"/>
        </w:numPr>
        <w:shd w:val="clear" w:color="auto" w:fill="FFFFFF" w:themeFill="background1"/>
        <w:tabs>
          <w:tab w:val="left" w:pos="142"/>
        </w:tabs>
        <w:spacing w:line="240" w:lineRule="auto"/>
        <w:jc w:val="both"/>
        <w:rPr>
          <w:rFonts w:cs="Arial"/>
          <w:szCs w:val="20"/>
        </w:rPr>
      </w:pPr>
      <w:bookmarkStart w:id="1025" w:name="_Toc428243650"/>
      <w:bookmarkStart w:id="1026" w:name="_Toc497107506"/>
      <w:r w:rsidRPr="006431C4">
        <w:rPr>
          <w:rFonts w:cs="Arial"/>
          <w:szCs w:val="20"/>
        </w:rPr>
        <w:t>9. PODSTAWA PŁATNOŚCI</w:t>
      </w:r>
      <w:bookmarkEnd w:id="1025"/>
      <w:bookmarkEnd w:id="1026"/>
    </w:p>
    <w:p w14:paraId="7BF72CA2" w14:textId="77777777" w:rsidR="007319F9" w:rsidRPr="006431C4" w:rsidRDefault="007319F9" w:rsidP="00D232E1">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9.1. Ogólne ustalenia dotyczące podstawy płatności</w:t>
      </w:r>
    </w:p>
    <w:p w14:paraId="54784381" w14:textId="77777777" w:rsidR="007319F9" w:rsidRPr="006431C4" w:rsidRDefault="007319F9" w:rsidP="00D232E1">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ab/>
        <w:t>Ogólne ustalenia dotyczące podstawy płatności podano w</w:t>
      </w:r>
      <w:r w:rsidR="00180A26" w:rsidRPr="006431C4">
        <w:rPr>
          <w:rFonts w:cs="Arial"/>
          <w:szCs w:val="20"/>
        </w:rPr>
        <w:t xml:space="preserve"> SST </w:t>
      </w:r>
      <w:r w:rsidRPr="006431C4">
        <w:rPr>
          <w:rFonts w:cs="Arial"/>
          <w:szCs w:val="20"/>
        </w:rPr>
        <w:t>D-M-00.00.00 „Wymagania ogólne” pkt 9.</w:t>
      </w:r>
    </w:p>
    <w:p w14:paraId="24C2810F" w14:textId="77777777" w:rsidR="007319F9" w:rsidRPr="006431C4" w:rsidRDefault="007319F9" w:rsidP="00D232E1">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9.2. Cena jednostki obmiarowej</w:t>
      </w:r>
    </w:p>
    <w:p w14:paraId="54DDE414" w14:textId="77777777" w:rsidR="007319F9" w:rsidRPr="006431C4" w:rsidRDefault="007319F9" w:rsidP="00D232E1">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ab/>
        <w:t>Cena wykonania 1m</w:t>
      </w:r>
      <w:r w:rsidRPr="006431C4">
        <w:rPr>
          <w:rFonts w:cs="Arial"/>
          <w:szCs w:val="20"/>
          <w:vertAlign w:val="superscript"/>
        </w:rPr>
        <w:t>2</w:t>
      </w:r>
      <w:r w:rsidRPr="006431C4">
        <w:rPr>
          <w:rFonts w:cs="Arial"/>
          <w:szCs w:val="20"/>
        </w:rPr>
        <w:t xml:space="preserve"> umocnienia skarp i rowów przez humusowanie, obsianie, brukowanie, </w:t>
      </w:r>
      <w:proofErr w:type="spellStart"/>
      <w:r w:rsidRPr="006431C4">
        <w:rPr>
          <w:rFonts w:cs="Arial"/>
          <w:szCs w:val="20"/>
        </w:rPr>
        <w:t>hydroobsiew</w:t>
      </w:r>
      <w:proofErr w:type="spellEnd"/>
      <w:r w:rsidRPr="006431C4">
        <w:rPr>
          <w:rFonts w:cs="Arial"/>
          <w:szCs w:val="20"/>
        </w:rPr>
        <w:t xml:space="preserve"> oraz umocnienie </w:t>
      </w:r>
      <w:proofErr w:type="spellStart"/>
      <w:r w:rsidRPr="006431C4">
        <w:rPr>
          <w:rFonts w:cs="Arial"/>
          <w:szCs w:val="20"/>
        </w:rPr>
        <w:t>biowłókniną</w:t>
      </w:r>
      <w:proofErr w:type="spellEnd"/>
      <w:r w:rsidRPr="006431C4">
        <w:rPr>
          <w:rFonts w:cs="Arial"/>
          <w:szCs w:val="20"/>
        </w:rPr>
        <w:t xml:space="preserve"> i </w:t>
      </w:r>
      <w:proofErr w:type="spellStart"/>
      <w:r w:rsidRPr="006431C4">
        <w:rPr>
          <w:rFonts w:cs="Arial"/>
          <w:szCs w:val="20"/>
        </w:rPr>
        <w:t>geosyntetykami</w:t>
      </w:r>
      <w:proofErr w:type="spellEnd"/>
      <w:r w:rsidRPr="006431C4">
        <w:rPr>
          <w:rFonts w:cs="Arial"/>
          <w:szCs w:val="20"/>
        </w:rPr>
        <w:t xml:space="preserve"> obejmuje:</w:t>
      </w:r>
    </w:p>
    <w:p w14:paraId="5F83C5FB"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roboty pomiarowe i przygotowawcze,</w:t>
      </w:r>
    </w:p>
    <w:p w14:paraId="5D4F0B8B"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dostarczenie i wbudowanie materiałów,</w:t>
      </w:r>
    </w:p>
    <w:p w14:paraId="3C7AB9C6"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uporządkowanie terenu,</w:t>
      </w:r>
    </w:p>
    <w:p w14:paraId="4B35B872" w14:textId="77777777" w:rsidR="007319F9" w:rsidRPr="006431C4" w:rsidRDefault="007319F9" w:rsidP="00D232E1">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przeprowadzenie badań i pomiarów wymaganych w specyfikacji technicznej.</w:t>
      </w:r>
    </w:p>
    <w:p w14:paraId="66F1CD3F" w14:textId="77777777" w:rsidR="007319F9" w:rsidRPr="006431C4" w:rsidRDefault="007319F9" w:rsidP="00D232E1">
      <w:pPr>
        <w:pStyle w:val="Nagwek1"/>
        <w:shd w:val="clear" w:color="auto" w:fill="FFFFFF" w:themeFill="background1"/>
        <w:tabs>
          <w:tab w:val="left" w:pos="142"/>
        </w:tabs>
        <w:spacing w:line="240" w:lineRule="auto"/>
        <w:jc w:val="both"/>
        <w:rPr>
          <w:rFonts w:cs="Arial"/>
          <w:szCs w:val="20"/>
        </w:rPr>
      </w:pPr>
      <w:bookmarkStart w:id="1027" w:name="_Toc428243651"/>
      <w:bookmarkStart w:id="1028" w:name="_Toc497107507"/>
      <w:r w:rsidRPr="006431C4">
        <w:rPr>
          <w:rFonts w:cs="Arial"/>
          <w:szCs w:val="20"/>
        </w:rPr>
        <w:t>10. PRZEPISY ZWIĄZANE</w:t>
      </w:r>
      <w:bookmarkEnd w:id="1027"/>
      <w:bookmarkEnd w:id="1028"/>
    </w:p>
    <w:p w14:paraId="655BCFF0"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10.1. Normy</w:t>
      </w:r>
    </w:p>
    <w:tbl>
      <w:tblPr>
        <w:tblW w:w="0" w:type="auto"/>
        <w:tblLayout w:type="fixed"/>
        <w:tblCellMar>
          <w:left w:w="70" w:type="dxa"/>
          <w:right w:w="70" w:type="dxa"/>
        </w:tblCellMar>
        <w:tblLook w:val="0000" w:firstRow="0" w:lastRow="0" w:firstColumn="0" w:lastColumn="0" w:noHBand="0" w:noVBand="0"/>
      </w:tblPr>
      <w:tblGrid>
        <w:gridCol w:w="2197"/>
        <w:gridCol w:w="6945"/>
      </w:tblGrid>
      <w:tr w:rsidR="007319F9" w:rsidRPr="006431C4" w14:paraId="25C66F49" w14:textId="77777777" w:rsidTr="00B638C7">
        <w:tc>
          <w:tcPr>
            <w:tcW w:w="2197" w:type="dxa"/>
          </w:tcPr>
          <w:p w14:paraId="0E45132A"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  4.   PN-B-12074:1998</w:t>
            </w:r>
          </w:p>
        </w:tc>
        <w:tc>
          <w:tcPr>
            <w:tcW w:w="6945" w:type="dxa"/>
          </w:tcPr>
          <w:p w14:paraId="0AFCF818"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Urządzenia wodno-melioracyjne. Umacnianie i zadarnianie powierzchni </w:t>
            </w:r>
            <w:proofErr w:type="spellStart"/>
            <w:r w:rsidRPr="006431C4">
              <w:rPr>
                <w:rFonts w:cs="Arial"/>
                <w:szCs w:val="20"/>
              </w:rPr>
              <w:t>biowłókniną</w:t>
            </w:r>
            <w:proofErr w:type="spellEnd"/>
            <w:r w:rsidRPr="006431C4">
              <w:rPr>
                <w:rFonts w:cs="Arial"/>
                <w:szCs w:val="20"/>
              </w:rPr>
              <w:t>. Wymagania i badania przy odbiorze</w:t>
            </w:r>
          </w:p>
        </w:tc>
      </w:tr>
      <w:tr w:rsidR="007319F9" w:rsidRPr="006431C4" w14:paraId="66A89E96" w14:textId="77777777" w:rsidTr="00B638C7">
        <w:tc>
          <w:tcPr>
            <w:tcW w:w="2197" w:type="dxa"/>
          </w:tcPr>
          <w:p w14:paraId="48A810B2"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  5.   PN-B-12099:1997</w:t>
            </w:r>
          </w:p>
        </w:tc>
        <w:tc>
          <w:tcPr>
            <w:tcW w:w="6945" w:type="dxa"/>
          </w:tcPr>
          <w:p w14:paraId="729559F2"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Zagospodarowanie pomelioracyjne. Wymagania i metody badań</w:t>
            </w:r>
          </w:p>
        </w:tc>
      </w:tr>
      <w:tr w:rsidR="007319F9" w:rsidRPr="006431C4" w14:paraId="1B948824" w14:textId="77777777" w:rsidTr="00B638C7">
        <w:tc>
          <w:tcPr>
            <w:tcW w:w="2197" w:type="dxa"/>
          </w:tcPr>
          <w:p w14:paraId="6DD8BC21"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 xml:space="preserve">  9.   PN-R-65023:1999</w:t>
            </w:r>
          </w:p>
        </w:tc>
        <w:tc>
          <w:tcPr>
            <w:tcW w:w="6945" w:type="dxa"/>
          </w:tcPr>
          <w:p w14:paraId="2EB61D73" w14:textId="77777777" w:rsidR="007319F9" w:rsidRPr="006431C4" w:rsidRDefault="007319F9" w:rsidP="00D232E1">
            <w:pPr>
              <w:shd w:val="clear" w:color="auto" w:fill="FFFFFF" w:themeFill="background1"/>
              <w:tabs>
                <w:tab w:val="left" w:pos="142"/>
              </w:tabs>
              <w:spacing w:line="240" w:lineRule="auto"/>
              <w:jc w:val="both"/>
              <w:rPr>
                <w:rFonts w:cs="Arial"/>
                <w:szCs w:val="20"/>
              </w:rPr>
            </w:pPr>
            <w:r w:rsidRPr="006431C4">
              <w:rPr>
                <w:rFonts w:cs="Arial"/>
                <w:szCs w:val="20"/>
              </w:rPr>
              <w:t>Materiał siewny. Nasiona roślin rolniczych</w:t>
            </w:r>
          </w:p>
        </w:tc>
      </w:tr>
      <w:tr w:rsidR="007319F9" w:rsidRPr="006431C4" w14:paraId="42CBC7DB" w14:textId="77777777" w:rsidTr="00B638C7">
        <w:tc>
          <w:tcPr>
            <w:tcW w:w="2197" w:type="dxa"/>
          </w:tcPr>
          <w:p w14:paraId="2C378BDF" w14:textId="77777777" w:rsidR="007319F9" w:rsidRPr="006431C4" w:rsidRDefault="007319F9" w:rsidP="00D232E1">
            <w:pPr>
              <w:shd w:val="clear" w:color="auto" w:fill="FFFFFF" w:themeFill="background1"/>
              <w:tabs>
                <w:tab w:val="left" w:pos="142"/>
              </w:tabs>
              <w:spacing w:line="240" w:lineRule="auto"/>
              <w:jc w:val="both"/>
              <w:rPr>
                <w:rFonts w:cs="Arial"/>
                <w:szCs w:val="20"/>
              </w:rPr>
            </w:pPr>
          </w:p>
        </w:tc>
        <w:tc>
          <w:tcPr>
            <w:tcW w:w="6945" w:type="dxa"/>
          </w:tcPr>
          <w:p w14:paraId="69FDA5BA" w14:textId="77777777" w:rsidR="007319F9" w:rsidRPr="006431C4" w:rsidRDefault="007319F9" w:rsidP="00D232E1">
            <w:pPr>
              <w:shd w:val="clear" w:color="auto" w:fill="FFFFFF" w:themeFill="background1"/>
              <w:tabs>
                <w:tab w:val="left" w:pos="142"/>
              </w:tabs>
              <w:spacing w:line="240" w:lineRule="auto"/>
              <w:jc w:val="both"/>
              <w:rPr>
                <w:rFonts w:cs="Arial"/>
                <w:szCs w:val="20"/>
              </w:rPr>
            </w:pPr>
          </w:p>
        </w:tc>
      </w:tr>
    </w:tbl>
    <w:p w14:paraId="1EBEFCFE" w14:textId="77777777" w:rsidR="007319F9" w:rsidRPr="006431C4" w:rsidRDefault="007319F9" w:rsidP="00D232E1">
      <w:pPr>
        <w:pStyle w:val="Nagwek2"/>
        <w:shd w:val="clear" w:color="auto" w:fill="FFFFFF" w:themeFill="background1"/>
        <w:tabs>
          <w:tab w:val="left" w:pos="142"/>
        </w:tabs>
        <w:spacing w:line="240" w:lineRule="auto"/>
        <w:jc w:val="both"/>
        <w:rPr>
          <w:rFonts w:cs="Arial"/>
          <w:szCs w:val="20"/>
        </w:rPr>
      </w:pPr>
      <w:r w:rsidRPr="006431C4">
        <w:rPr>
          <w:rFonts w:cs="Arial"/>
          <w:szCs w:val="20"/>
        </w:rPr>
        <w:t>10.2. Inne materiały</w:t>
      </w:r>
    </w:p>
    <w:p w14:paraId="1FFC6D59" w14:textId="77777777" w:rsidR="007319F9" w:rsidRPr="006431C4" w:rsidRDefault="007319F9" w:rsidP="00365FBC">
      <w:pPr>
        <w:numPr>
          <w:ilvl w:val="0"/>
          <w:numId w:val="29"/>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 xml:space="preserve"> Katalog powtarzalnych elementów drogowych (KPED), Transprojekt-Warszawa, 1979.</w:t>
      </w:r>
    </w:p>
    <w:p w14:paraId="00A6B4B1" w14:textId="3890C2BF" w:rsidR="00792450" w:rsidRDefault="007319F9" w:rsidP="00792450">
      <w:pPr>
        <w:numPr>
          <w:ilvl w:val="0"/>
          <w:numId w:val="29"/>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Warunki techniczne. Drogowe kationowe emulsje asfaltowe EmA-99. Informacje, instrukcje - z</w:t>
      </w:r>
      <w:r w:rsidR="00B5472D">
        <w:rPr>
          <w:rFonts w:cs="Arial"/>
          <w:szCs w:val="20"/>
        </w:rPr>
        <w:t>eszyt 60, IBDiM, Warszawa, 1999</w:t>
      </w:r>
    </w:p>
    <w:p w14:paraId="5F35FC26" w14:textId="428515B0" w:rsidR="006B6869" w:rsidRPr="006431C4" w:rsidRDefault="00083F08" w:rsidP="00270120">
      <w:pPr>
        <w:pStyle w:val="Nagwek4"/>
        <w:shd w:val="clear" w:color="auto" w:fill="FFFFFF" w:themeFill="background1"/>
        <w:tabs>
          <w:tab w:val="left" w:pos="142"/>
        </w:tabs>
        <w:spacing w:before="240" w:line="240" w:lineRule="auto"/>
        <w:jc w:val="both"/>
        <w:rPr>
          <w:rFonts w:cs="Arial"/>
          <w:szCs w:val="20"/>
        </w:rPr>
      </w:pPr>
      <w:bookmarkStart w:id="1029" w:name="_Toc111635991"/>
      <w:bookmarkEnd w:id="972"/>
      <w:r w:rsidRPr="006431C4">
        <w:rPr>
          <w:rFonts w:cs="Arial"/>
          <w:szCs w:val="20"/>
        </w:rPr>
        <w:t>D-</w:t>
      </w:r>
      <w:r w:rsidR="002979B7" w:rsidRPr="006431C4">
        <w:rPr>
          <w:rFonts w:cs="Arial"/>
          <w:szCs w:val="20"/>
        </w:rPr>
        <w:t xml:space="preserve">07.02.01 – OZNAKOWANIE </w:t>
      </w:r>
      <w:r w:rsidR="006B6869" w:rsidRPr="006431C4">
        <w:rPr>
          <w:rFonts w:cs="Arial"/>
          <w:szCs w:val="20"/>
        </w:rPr>
        <w:t>PIONOWE</w:t>
      </w:r>
      <w:bookmarkEnd w:id="1029"/>
    </w:p>
    <w:p w14:paraId="35172A60" w14:textId="77777777" w:rsidR="006B6869" w:rsidRPr="006431C4" w:rsidRDefault="006B6869" w:rsidP="00270120">
      <w:pPr>
        <w:pStyle w:val="Nagwek1"/>
        <w:shd w:val="clear" w:color="auto" w:fill="FFFFFF" w:themeFill="background1"/>
        <w:tabs>
          <w:tab w:val="left" w:pos="142"/>
        </w:tabs>
        <w:spacing w:line="240" w:lineRule="auto"/>
        <w:jc w:val="both"/>
        <w:rPr>
          <w:rFonts w:cs="Arial"/>
          <w:szCs w:val="20"/>
        </w:rPr>
      </w:pPr>
      <w:bookmarkStart w:id="1030" w:name="_Toc425833580"/>
      <w:r w:rsidRPr="006431C4">
        <w:rPr>
          <w:rFonts w:cs="Arial"/>
          <w:szCs w:val="20"/>
        </w:rPr>
        <w:t>1. WSTĘP</w:t>
      </w:r>
      <w:bookmarkEnd w:id="1030"/>
    </w:p>
    <w:p w14:paraId="54C18648"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1.1. Przedmiot</w:t>
      </w:r>
      <w:r w:rsidR="00180A26" w:rsidRPr="006431C4">
        <w:rPr>
          <w:rFonts w:cs="Arial"/>
          <w:szCs w:val="20"/>
        </w:rPr>
        <w:t xml:space="preserve"> SST</w:t>
      </w:r>
    </w:p>
    <w:p w14:paraId="1F495718" w14:textId="77777777" w:rsidR="006B6869" w:rsidRPr="006431C4" w:rsidRDefault="006B6869" w:rsidP="00270120">
      <w:pPr>
        <w:pStyle w:val="Standardowytekst"/>
        <w:shd w:val="clear" w:color="auto" w:fill="FFFFFF" w:themeFill="background1"/>
        <w:tabs>
          <w:tab w:val="left" w:pos="142"/>
        </w:tabs>
        <w:rPr>
          <w:rFonts w:ascii="Arial" w:hAnsi="Arial" w:cs="Arial"/>
        </w:rPr>
      </w:pPr>
      <w:r w:rsidRPr="006431C4">
        <w:rPr>
          <w:rFonts w:ascii="Arial" w:hAnsi="Arial" w:cs="Arial"/>
        </w:rPr>
        <w:t xml:space="preserve">Przedmiotem </w:t>
      </w:r>
      <w:r w:rsidR="00BA62A8" w:rsidRPr="006431C4">
        <w:rPr>
          <w:rFonts w:ascii="Arial" w:hAnsi="Arial" w:cs="Arial"/>
        </w:rPr>
        <w:t xml:space="preserve">niniejszej szczegółowej specyfikacji </w:t>
      </w:r>
      <w:r w:rsidRPr="006431C4">
        <w:rPr>
          <w:rFonts w:ascii="Arial" w:hAnsi="Arial" w:cs="Arial"/>
        </w:rPr>
        <w:t>technicznej są wymagania dotyczące wykonania i odbioru oznakowania pionowego.</w:t>
      </w:r>
    </w:p>
    <w:p w14:paraId="5B9EEC83"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1.2. Zakres stosowania</w:t>
      </w:r>
      <w:r w:rsidR="00180A26" w:rsidRPr="006431C4">
        <w:rPr>
          <w:rFonts w:cs="Arial"/>
          <w:szCs w:val="20"/>
        </w:rPr>
        <w:t xml:space="preserve"> SST</w:t>
      </w:r>
    </w:p>
    <w:p w14:paraId="7AE451A7" w14:textId="77777777" w:rsidR="00293E11" w:rsidRPr="006431C4" w:rsidRDefault="006A5A86"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Niniejsza szczegółowa specyfikacja techniczna </w:t>
      </w:r>
      <w:r w:rsidR="00293E11" w:rsidRPr="006431C4">
        <w:rPr>
          <w:rFonts w:cs="Arial"/>
          <w:szCs w:val="20"/>
        </w:rPr>
        <w:t xml:space="preserve">stanowi Dokument Przetargowy i Kontraktowy przy zlecaniu i realizacji robót dla inwestycji </w:t>
      </w:r>
      <w:r w:rsidR="00296959" w:rsidRPr="006431C4">
        <w:rPr>
          <w:rFonts w:cs="Arial"/>
          <w:szCs w:val="20"/>
        </w:rPr>
        <w:t>pn.:</w:t>
      </w:r>
      <w:r w:rsidR="00293E11" w:rsidRPr="006431C4">
        <w:rPr>
          <w:rFonts w:cs="Arial"/>
          <w:szCs w:val="20"/>
        </w:rPr>
        <w:t xml:space="preserve"> </w:t>
      </w:r>
    </w:p>
    <w:sdt>
      <w:sdtPr>
        <w:rPr>
          <w:rFonts w:cs="Arial"/>
          <w:szCs w:val="20"/>
        </w:rPr>
        <w:alias w:val="Temat"/>
        <w:tag w:val=""/>
        <w:id w:val="1015040708"/>
        <w:placeholder>
          <w:docPart w:val="A33B24ACF40C40068915E399BFAA2B83"/>
        </w:placeholder>
        <w:dataBinding w:prefixMappings="xmlns:ns0='http://purl.org/dc/elements/1.1/' xmlns:ns1='http://schemas.openxmlformats.org/package/2006/metadata/core-properties' " w:xpath="/ns1:coreProperties[1]/ns0:subject[1]" w:storeItemID="{6C3C8BC8-F283-45AE-878A-BAB7291924A1}"/>
        <w:text/>
      </w:sdtPr>
      <w:sdtEndPr/>
      <w:sdtContent>
        <w:p w14:paraId="241D5B5F" w14:textId="7E03649B" w:rsidR="00B044CA" w:rsidRPr="006431C4" w:rsidRDefault="00484E05" w:rsidP="00270120">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15470DFA"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1.3. Zakres robót objętych</w:t>
      </w:r>
      <w:r w:rsidR="00180A26" w:rsidRPr="006431C4">
        <w:rPr>
          <w:rFonts w:cs="Arial"/>
          <w:szCs w:val="20"/>
        </w:rPr>
        <w:t xml:space="preserve"> SST</w:t>
      </w:r>
    </w:p>
    <w:p w14:paraId="61EFE7B7" w14:textId="77777777" w:rsidR="00413F2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Ustalenia zawarte w </w:t>
      </w:r>
      <w:r w:rsidR="00BA62A8" w:rsidRPr="006431C4">
        <w:rPr>
          <w:rFonts w:cs="Arial"/>
          <w:szCs w:val="20"/>
        </w:rPr>
        <w:t>ninie</w:t>
      </w:r>
      <w:r w:rsidR="00413F29" w:rsidRPr="006431C4">
        <w:rPr>
          <w:rFonts w:cs="Arial"/>
          <w:szCs w:val="20"/>
        </w:rPr>
        <w:t>jszej szczegółowej specyfikacji dotyczą zasad prowadzenia robót związanych z wykonywaniem i odbiorem oznakowania pionowego stosowanego na drogach [20], w postaci:</w:t>
      </w:r>
    </w:p>
    <w:p w14:paraId="4B9944A7" w14:textId="77777777" w:rsidR="00413F29" w:rsidRPr="006431C4" w:rsidRDefault="00413F29" w:rsidP="00CF1E7D">
      <w:pPr>
        <w:numPr>
          <w:ilvl w:val="0"/>
          <w:numId w:val="201"/>
        </w:numPr>
        <w:overflowPunct w:val="0"/>
        <w:autoSpaceDE w:val="0"/>
        <w:autoSpaceDN w:val="0"/>
        <w:adjustRightInd w:val="0"/>
        <w:spacing w:line="240" w:lineRule="auto"/>
        <w:jc w:val="both"/>
        <w:textAlignment w:val="baseline"/>
        <w:rPr>
          <w:rFonts w:cs="Arial"/>
          <w:szCs w:val="20"/>
        </w:rPr>
      </w:pPr>
      <w:r w:rsidRPr="006431C4">
        <w:rPr>
          <w:rFonts w:cs="Arial"/>
          <w:szCs w:val="20"/>
        </w:rPr>
        <w:t>znaków ostrzegawczych – kategoria A,</w:t>
      </w:r>
    </w:p>
    <w:p w14:paraId="51EB8718" w14:textId="77777777" w:rsidR="00413F29" w:rsidRPr="006431C4" w:rsidRDefault="00413F29" w:rsidP="00CF1E7D">
      <w:pPr>
        <w:numPr>
          <w:ilvl w:val="0"/>
          <w:numId w:val="201"/>
        </w:numPr>
        <w:overflowPunct w:val="0"/>
        <w:autoSpaceDE w:val="0"/>
        <w:autoSpaceDN w:val="0"/>
        <w:adjustRightInd w:val="0"/>
        <w:spacing w:line="240" w:lineRule="auto"/>
        <w:jc w:val="both"/>
        <w:textAlignment w:val="baseline"/>
        <w:rPr>
          <w:rFonts w:cs="Arial"/>
          <w:szCs w:val="20"/>
        </w:rPr>
      </w:pPr>
      <w:r w:rsidRPr="006431C4">
        <w:rPr>
          <w:rFonts w:cs="Arial"/>
          <w:szCs w:val="20"/>
        </w:rPr>
        <w:t>znaków zakazu i nakazu – kategoria B i C,</w:t>
      </w:r>
    </w:p>
    <w:p w14:paraId="53AA880C" w14:textId="77777777" w:rsidR="00413F29" w:rsidRPr="006431C4" w:rsidRDefault="00413F29" w:rsidP="00CF1E7D">
      <w:pPr>
        <w:numPr>
          <w:ilvl w:val="0"/>
          <w:numId w:val="201"/>
        </w:numPr>
        <w:overflowPunct w:val="0"/>
        <w:autoSpaceDE w:val="0"/>
        <w:autoSpaceDN w:val="0"/>
        <w:adjustRightInd w:val="0"/>
        <w:spacing w:line="240" w:lineRule="auto"/>
        <w:jc w:val="both"/>
        <w:textAlignment w:val="baseline"/>
        <w:rPr>
          <w:rFonts w:cs="Arial"/>
          <w:szCs w:val="20"/>
        </w:rPr>
      </w:pPr>
      <w:r w:rsidRPr="006431C4">
        <w:rPr>
          <w:rFonts w:cs="Arial"/>
          <w:szCs w:val="20"/>
        </w:rPr>
        <w:t>znaków informacyjnych oraz kierunku i miejscowości – kategoria D i E,</w:t>
      </w:r>
    </w:p>
    <w:p w14:paraId="50321684" w14:textId="77777777" w:rsidR="00413F29" w:rsidRPr="006431C4" w:rsidRDefault="00413F29" w:rsidP="00CF1E7D">
      <w:pPr>
        <w:numPr>
          <w:ilvl w:val="0"/>
          <w:numId w:val="201"/>
        </w:numPr>
        <w:overflowPunct w:val="0"/>
        <w:autoSpaceDE w:val="0"/>
        <w:autoSpaceDN w:val="0"/>
        <w:adjustRightInd w:val="0"/>
        <w:spacing w:line="240" w:lineRule="auto"/>
        <w:jc w:val="both"/>
        <w:textAlignment w:val="baseline"/>
        <w:rPr>
          <w:rFonts w:cs="Arial"/>
          <w:szCs w:val="20"/>
        </w:rPr>
      </w:pPr>
      <w:r w:rsidRPr="006431C4">
        <w:rPr>
          <w:rFonts w:cs="Arial"/>
          <w:szCs w:val="20"/>
        </w:rPr>
        <w:t>znaków uzupełniających– kategoria F,</w:t>
      </w:r>
    </w:p>
    <w:p w14:paraId="2C969DD8" w14:textId="77777777" w:rsidR="00413F29" w:rsidRPr="006431C4" w:rsidRDefault="00413F29" w:rsidP="00CF1E7D">
      <w:pPr>
        <w:numPr>
          <w:ilvl w:val="0"/>
          <w:numId w:val="201"/>
        </w:numPr>
        <w:overflowPunct w:val="0"/>
        <w:autoSpaceDE w:val="0"/>
        <w:autoSpaceDN w:val="0"/>
        <w:adjustRightInd w:val="0"/>
        <w:spacing w:line="240" w:lineRule="auto"/>
        <w:jc w:val="both"/>
        <w:textAlignment w:val="baseline"/>
        <w:rPr>
          <w:rFonts w:cs="Arial"/>
          <w:szCs w:val="20"/>
        </w:rPr>
      </w:pPr>
      <w:r w:rsidRPr="006431C4">
        <w:rPr>
          <w:rFonts w:cs="Arial"/>
          <w:szCs w:val="20"/>
        </w:rPr>
        <w:t>dodatkowych znaków przed przejazdami kolejowymi – kategoria G,</w:t>
      </w:r>
    </w:p>
    <w:p w14:paraId="293243C8" w14:textId="77777777" w:rsidR="00413F29" w:rsidRPr="006431C4" w:rsidRDefault="00413F29" w:rsidP="00CF1E7D">
      <w:pPr>
        <w:numPr>
          <w:ilvl w:val="0"/>
          <w:numId w:val="201"/>
        </w:numPr>
        <w:overflowPunct w:val="0"/>
        <w:autoSpaceDE w:val="0"/>
        <w:autoSpaceDN w:val="0"/>
        <w:adjustRightInd w:val="0"/>
        <w:spacing w:line="240" w:lineRule="auto"/>
        <w:jc w:val="both"/>
        <w:textAlignment w:val="baseline"/>
        <w:rPr>
          <w:rFonts w:cs="Arial"/>
          <w:szCs w:val="20"/>
        </w:rPr>
      </w:pPr>
      <w:r w:rsidRPr="006431C4">
        <w:rPr>
          <w:rFonts w:cs="Arial"/>
          <w:szCs w:val="20"/>
        </w:rPr>
        <w:t>dodatkowych znaków szlaków rowerowych – kategoria R,</w:t>
      </w:r>
    </w:p>
    <w:p w14:paraId="085F211B" w14:textId="77777777" w:rsidR="00413F29" w:rsidRPr="006431C4" w:rsidRDefault="00413F29" w:rsidP="00CF1E7D">
      <w:pPr>
        <w:numPr>
          <w:ilvl w:val="0"/>
          <w:numId w:val="201"/>
        </w:numPr>
        <w:overflowPunct w:val="0"/>
        <w:autoSpaceDE w:val="0"/>
        <w:autoSpaceDN w:val="0"/>
        <w:adjustRightInd w:val="0"/>
        <w:spacing w:line="240" w:lineRule="auto"/>
        <w:jc w:val="both"/>
        <w:textAlignment w:val="baseline"/>
        <w:rPr>
          <w:rFonts w:cs="Arial"/>
          <w:szCs w:val="20"/>
        </w:rPr>
      </w:pPr>
      <w:r w:rsidRPr="006431C4">
        <w:rPr>
          <w:rFonts w:cs="Arial"/>
          <w:szCs w:val="20"/>
        </w:rPr>
        <w:t>tabliczek do znaków drogowych – kategoria T,</w:t>
      </w:r>
    </w:p>
    <w:p w14:paraId="4485CD4B" w14:textId="77777777" w:rsidR="00413F29" w:rsidRPr="006431C4" w:rsidRDefault="00413F29" w:rsidP="00CF1E7D">
      <w:pPr>
        <w:numPr>
          <w:ilvl w:val="0"/>
          <w:numId w:val="201"/>
        </w:numPr>
        <w:overflowPunct w:val="0"/>
        <w:autoSpaceDE w:val="0"/>
        <w:autoSpaceDN w:val="0"/>
        <w:adjustRightInd w:val="0"/>
        <w:spacing w:line="240" w:lineRule="auto"/>
        <w:jc w:val="both"/>
        <w:textAlignment w:val="baseline"/>
        <w:rPr>
          <w:rFonts w:cs="Arial"/>
          <w:szCs w:val="20"/>
        </w:rPr>
      </w:pPr>
      <w:r w:rsidRPr="006431C4">
        <w:rPr>
          <w:rFonts w:cs="Arial"/>
          <w:szCs w:val="20"/>
        </w:rPr>
        <w:t>dodatkowych znaków dla kierujących tramwajami – kategoria AT,</w:t>
      </w:r>
    </w:p>
    <w:p w14:paraId="5C2190D5" w14:textId="77777777" w:rsidR="00413F29" w:rsidRPr="006431C4" w:rsidRDefault="00413F29" w:rsidP="00CF1E7D">
      <w:pPr>
        <w:numPr>
          <w:ilvl w:val="0"/>
          <w:numId w:val="201"/>
        </w:numPr>
        <w:overflowPunct w:val="0"/>
        <w:autoSpaceDE w:val="0"/>
        <w:autoSpaceDN w:val="0"/>
        <w:adjustRightInd w:val="0"/>
        <w:spacing w:line="240" w:lineRule="auto"/>
        <w:jc w:val="both"/>
        <w:textAlignment w:val="baseline"/>
        <w:rPr>
          <w:rFonts w:cs="Arial"/>
          <w:szCs w:val="20"/>
        </w:rPr>
      </w:pPr>
      <w:r w:rsidRPr="006431C4">
        <w:rPr>
          <w:rFonts w:cs="Arial"/>
          <w:szCs w:val="20"/>
        </w:rPr>
        <w:t>dodatkowych znaków dla kierujących pojazdami wojskowymi – kategoria W.</w:t>
      </w:r>
    </w:p>
    <w:p w14:paraId="0EBE2C60"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 niniejszej specyfikacji występują grupy znaków pionowych o następującej wielkości:</w:t>
      </w:r>
    </w:p>
    <w:p w14:paraId="30B90F0E" w14:textId="77777777" w:rsidR="00413F29" w:rsidRPr="006431C4" w:rsidRDefault="00413F29" w:rsidP="00CF1E7D">
      <w:pPr>
        <w:numPr>
          <w:ilvl w:val="0"/>
          <w:numId w:val="202"/>
        </w:numPr>
        <w:overflowPunct w:val="0"/>
        <w:autoSpaceDE w:val="0"/>
        <w:autoSpaceDN w:val="0"/>
        <w:adjustRightInd w:val="0"/>
        <w:spacing w:line="240" w:lineRule="auto"/>
        <w:jc w:val="both"/>
        <w:textAlignment w:val="baseline"/>
        <w:rPr>
          <w:rFonts w:cs="Arial"/>
          <w:szCs w:val="20"/>
        </w:rPr>
      </w:pPr>
      <w:r w:rsidRPr="006431C4">
        <w:rPr>
          <w:rFonts w:cs="Arial"/>
          <w:szCs w:val="20"/>
        </w:rPr>
        <w:t>znaki wielkie (W),</w:t>
      </w:r>
    </w:p>
    <w:p w14:paraId="46835E0F" w14:textId="77777777" w:rsidR="00413F29" w:rsidRPr="006431C4" w:rsidRDefault="00413F29" w:rsidP="00CF1E7D">
      <w:pPr>
        <w:numPr>
          <w:ilvl w:val="0"/>
          <w:numId w:val="202"/>
        </w:numPr>
        <w:overflowPunct w:val="0"/>
        <w:autoSpaceDE w:val="0"/>
        <w:autoSpaceDN w:val="0"/>
        <w:adjustRightInd w:val="0"/>
        <w:spacing w:line="240" w:lineRule="auto"/>
        <w:jc w:val="both"/>
        <w:textAlignment w:val="baseline"/>
        <w:rPr>
          <w:rFonts w:cs="Arial"/>
          <w:szCs w:val="20"/>
        </w:rPr>
      </w:pPr>
      <w:r w:rsidRPr="006431C4">
        <w:rPr>
          <w:rFonts w:cs="Arial"/>
          <w:szCs w:val="20"/>
        </w:rPr>
        <w:t>znaki duże (D),</w:t>
      </w:r>
    </w:p>
    <w:p w14:paraId="38BC3459" w14:textId="77777777" w:rsidR="00413F29" w:rsidRPr="006431C4" w:rsidRDefault="00413F29" w:rsidP="00CF1E7D">
      <w:pPr>
        <w:numPr>
          <w:ilvl w:val="0"/>
          <w:numId w:val="202"/>
        </w:numPr>
        <w:overflowPunct w:val="0"/>
        <w:autoSpaceDE w:val="0"/>
        <w:autoSpaceDN w:val="0"/>
        <w:adjustRightInd w:val="0"/>
        <w:spacing w:line="240" w:lineRule="auto"/>
        <w:jc w:val="both"/>
        <w:textAlignment w:val="baseline"/>
        <w:rPr>
          <w:rFonts w:cs="Arial"/>
          <w:szCs w:val="20"/>
        </w:rPr>
      </w:pPr>
      <w:r w:rsidRPr="006431C4">
        <w:rPr>
          <w:rFonts w:cs="Arial"/>
          <w:szCs w:val="20"/>
        </w:rPr>
        <w:t>znaki średnie (Ś),</w:t>
      </w:r>
    </w:p>
    <w:p w14:paraId="27311E70" w14:textId="77777777" w:rsidR="00413F29" w:rsidRPr="006431C4" w:rsidRDefault="00413F29" w:rsidP="00CF1E7D">
      <w:pPr>
        <w:numPr>
          <w:ilvl w:val="0"/>
          <w:numId w:val="202"/>
        </w:numPr>
        <w:overflowPunct w:val="0"/>
        <w:autoSpaceDE w:val="0"/>
        <w:autoSpaceDN w:val="0"/>
        <w:adjustRightInd w:val="0"/>
        <w:spacing w:line="240" w:lineRule="auto"/>
        <w:jc w:val="both"/>
        <w:textAlignment w:val="baseline"/>
        <w:rPr>
          <w:rFonts w:cs="Arial"/>
          <w:szCs w:val="20"/>
        </w:rPr>
      </w:pPr>
      <w:r w:rsidRPr="006431C4">
        <w:rPr>
          <w:rFonts w:cs="Arial"/>
          <w:szCs w:val="20"/>
        </w:rPr>
        <w:t>znaki małe (M),</w:t>
      </w:r>
    </w:p>
    <w:p w14:paraId="22697BF1" w14:textId="77777777" w:rsidR="00413F29" w:rsidRPr="006431C4" w:rsidRDefault="00413F29" w:rsidP="00CF1E7D">
      <w:pPr>
        <w:numPr>
          <w:ilvl w:val="0"/>
          <w:numId w:val="202"/>
        </w:numPr>
        <w:overflowPunct w:val="0"/>
        <w:autoSpaceDE w:val="0"/>
        <w:autoSpaceDN w:val="0"/>
        <w:adjustRightInd w:val="0"/>
        <w:spacing w:line="240" w:lineRule="auto"/>
        <w:jc w:val="both"/>
        <w:textAlignment w:val="baseline"/>
        <w:rPr>
          <w:rFonts w:cs="Arial"/>
          <w:szCs w:val="20"/>
        </w:rPr>
      </w:pPr>
      <w:r w:rsidRPr="006431C4">
        <w:rPr>
          <w:rFonts w:cs="Arial"/>
          <w:szCs w:val="20"/>
        </w:rPr>
        <w:t>znaki mini (MI).</w:t>
      </w:r>
    </w:p>
    <w:p w14:paraId="43C48A71"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ab/>
        <w:t>Zaleca się zrezygnować z projektowania i ustawiania znaków wielkich.</w:t>
      </w:r>
    </w:p>
    <w:p w14:paraId="65FFEC3D"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1.4. Określenia podstawowe</w:t>
      </w:r>
    </w:p>
    <w:p w14:paraId="2616BC2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 </w:t>
      </w:r>
      <w:r w:rsidRPr="006431C4">
        <w:rPr>
          <w:rFonts w:cs="Arial"/>
          <w:szCs w:val="20"/>
        </w:rPr>
        <w:t>Znak drogowy pionowy – element wyposażenia drogi zamocowany na stałe lub przenośny, służący do ostrzegania, prowadzenia i informowania użytkowników drogi. Znak drogowy pionowy składa się z lica umieszczonego na tarczy. Zestaw znaku drogowego obejmuje znak drogowy pionowy umieszczony na konstrukcji wsporczej [1].</w:t>
      </w:r>
    </w:p>
    <w:p w14:paraId="513DBFEC"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1.4.2. </w:t>
      </w:r>
      <w:r w:rsidRPr="006431C4">
        <w:rPr>
          <w:rFonts w:cs="Arial"/>
          <w:szCs w:val="20"/>
        </w:rPr>
        <w:t>Tarcza znaku – to płaskie podłoże bez lub z elementami wzmacniającymi (profil montażowy) i z krawędzią usztywnioną profilem lub podwójnie zagiętą, na którym w sposób trwały jest umieszczone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48F895B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1.4.3. </w:t>
      </w:r>
      <w:r w:rsidRPr="006431C4">
        <w:rPr>
          <w:rFonts w:cs="Arial"/>
          <w:szCs w:val="20"/>
        </w:rPr>
        <w:t>Lico znaku - to przednia część znaku, wykonana z samoprzylepnej folii odblaskowej lub nieodblaskowej z naniesioną treścią: wykonaną techniką druku sitowego, druku cyfrowego, wyklejaną z transparentnych folii ploterowych lub z folii odblaskowych lub nieodblaskowych.</w:t>
      </w:r>
    </w:p>
    <w:p w14:paraId="0393F37C"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1.4.4. </w:t>
      </w:r>
      <w:r w:rsidRPr="006431C4">
        <w:rPr>
          <w:rFonts w:cs="Arial"/>
          <w:szCs w:val="20"/>
        </w:rPr>
        <w:t>Uchwyt mocujący - element stalowy, aluminiowy lub z tworzywa sztucznego zabezpieczony przed korozją, służący do zamocowania w sposób rozłączny tarczy znaku do konstrukcji wsporczej.</w:t>
      </w:r>
    </w:p>
    <w:p w14:paraId="5DF08E66"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1.4.5. </w:t>
      </w:r>
      <w:r w:rsidRPr="006431C4">
        <w:rPr>
          <w:rFonts w:cs="Arial"/>
          <w:szCs w:val="20"/>
        </w:rPr>
        <w:t xml:space="preserve">Znak drogowy odblaskowy - znak, którego lico wykazuje właściwości odblaskowe (wykonane jest z materiału o odbiciu powrotnym - </w:t>
      </w:r>
      <w:proofErr w:type="spellStart"/>
      <w:r w:rsidRPr="006431C4">
        <w:rPr>
          <w:rFonts w:cs="Arial"/>
          <w:szCs w:val="20"/>
        </w:rPr>
        <w:t>współdrożnym</w:t>
      </w:r>
      <w:proofErr w:type="spellEnd"/>
      <w:r w:rsidRPr="006431C4">
        <w:rPr>
          <w:rFonts w:cs="Arial"/>
          <w:szCs w:val="20"/>
        </w:rPr>
        <w:t>).</w:t>
      </w:r>
    </w:p>
    <w:p w14:paraId="7093BB4A"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1.4.6. </w:t>
      </w:r>
      <w:r w:rsidRPr="006431C4">
        <w:rPr>
          <w:rFonts w:cs="Arial"/>
          <w:szCs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6E84F6B9"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1.4.7. </w:t>
      </w:r>
      <w:r w:rsidRPr="006431C4">
        <w:rPr>
          <w:rFonts w:cs="Arial"/>
          <w:color w:val="252525"/>
          <w:szCs w:val="20"/>
          <w:shd w:val="clear" w:color="auto" w:fill="FFFFFF"/>
        </w:rPr>
        <w:t>Bezpieczna konstrukcja wsporcza</w:t>
      </w:r>
      <w:r w:rsidRPr="006431C4">
        <w:rPr>
          <w:rFonts w:cs="Arial"/>
          <w:i/>
          <w:color w:val="252525"/>
          <w:szCs w:val="20"/>
          <w:shd w:val="clear" w:color="auto" w:fill="FFFFFF"/>
        </w:rPr>
        <w:t xml:space="preserve"> – </w:t>
      </w:r>
      <w:r w:rsidRPr="006431C4">
        <w:rPr>
          <w:rFonts w:cs="Arial"/>
          <w:color w:val="252525"/>
          <w:szCs w:val="20"/>
          <w:shd w:val="clear" w:color="auto" w:fill="FFFFFF"/>
        </w:rPr>
        <w:t>konstrukcja wsporcza znaku, spełniająca wymagania PN-EN 12767:2008 [2] w określonych kategoriach pochłaniania energii zderzenia oraz poziomach bezpieczeństwa kierujących i pasażerów pojazdu – większych od zera.</w:t>
      </w:r>
    </w:p>
    <w:p w14:paraId="7DFA0652"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1.4.8. </w:t>
      </w:r>
      <w:r w:rsidRPr="006431C4">
        <w:rPr>
          <w:rFonts w:cs="Arial"/>
          <w:szCs w:val="20"/>
        </w:rPr>
        <w:t xml:space="preserve">Znak drogowy pionowy podświetlany - znak, wykonany w formie szczelnej obudowy, z umieszczonym w jej wnętrzu źródłem światła. Lico znaku stanowi </w:t>
      </w:r>
      <w:proofErr w:type="spellStart"/>
      <w:r w:rsidRPr="006431C4">
        <w:rPr>
          <w:rFonts w:cs="Arial"/>
          <w:szCs w:val="20"/>
        </w:rPr>
        <w:t>transluminentna</w:t>
      </w:r>
      <w:proofErr w:type="spellEnd"/>
      <w:r w:rsidRPr="006431C4">
        <w:rPr>
          <w:rFonts w:cs="Arial"/>
          <w:szCs w:val="20"/>
        </w:rPr>
        <w:t xml:space="preserve"> powłoka, na którą naniesiony jest symbol znaku.</w:t>
      </w:r>
    </w:p>
    <w:p w14:paraId="7BD18660"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1.4.9. </w:t>
      </w:r>
      <w:r w:rsidRPr="006431C4">
        <w:rPr>
          <w:rFonts w:cs="Arial"/>
          <w:szCs w:val="20"/>
        </w:rPr>
        <w:t>Znak drogowy pionowy oświetlany - znak, którego odblaskowe lico jest oświetlane źródłem światła umieszczonym na zewnątrz znaku.</w:t>
      </w:r>
    </w:p>
    <w:p w14:paraId="301D0431"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trike/>
          <w:szCs w:val="20"/>
        </w:rPr>
      </w:pPr>
      <w:r w:rsidRPr="006431C4">
        <w:rPr>
          <w:rFonts w:cs="Arial"/>
          <w:b/>
          <w:szCs w:val="20"/>
        </w:rPr>
        <w:t xml:space="preserve">1.4.10. </w:t>
      </w:r>
      <w:r w:rsidRPr="006431C4">
        <w:rPr>
          <w:rFonts w:cs="Arial"/>
          <w:szCs w:val="20"/>
        </w:rPr>
        <w:t>Znak drogowy pionowy aktywny</w:t>
      </w:r>
      <w:r w:rsidRPr="006431C4">
        <w:rPr>
          <w:rFonts w:cs="Arial"/>
          <w:i/>
          <w:szCs w:val="20"/>
        </w:rPr>
        <w:t xml:space="preserve"> – </w:t>
      </w:r>
      <w:r w:rsidRPr="006431C4">
        <w:rPr>
          <w:rFonts w:cs="Arial"/>
          <w:szCs w:val="20"/>
        </w:rPr>
        <w:t>odblaskowy znak drogowy o niezmiennej treści, wyposażony w pulsujące punktowe źródła światła zasilane prądem elektrycznym.</w:t>
      </w:r>
    </w:p>
    <w:p w14:paraId="64369441"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1.4.11. </w:t>
      </w:r>
      <w:r w:rsidRPr="006431C4">
        <w:rPr>
          <w:rFonts w:cs="Arial"/>
          <w:szCs w:val="20"/>
        </w:rPr>
        <w:t>Znak nowy - znak użytkowany (ustawiony na drodze) lub magazynowany w okresie do 3 miesięcy od daty produkcji.</w:t>
      </w:r>
    </w:p>
    <w:p w14:paraId="1CE27442"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1.4.12. </w:t>
      </w:r>
      <w:r w:rsidRPr="006431C4">
        <w:rPr>
          <w:rFonts w:cs="Arial"/>
          <w:szCs w:val="20"/>
        </w:rPr>
        <w:t xml:space="preserve">Pozostałe określenia podstawowe są zgodne z odpowiednimi specyfikacjami technicznymi i z definicjami podanymi w SST D-M-00.00.00 „Wymagania ogólne” pkt 1.4. </w:t>
      </w:r>
    </w:p>
    <w:p w14:paraId="3692B802"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1.5. Ogólne wymagania dotyczące robót</w:t>
      </w:r>
    </w:p>
    <w:p w14:paraId="35A9E8C3"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Ogólne wymagania dotyczące robót podano w SST D-M-00.00.00 „Wymagania ogólne” pkt 1.5. </w:t>
      </w:r>
    </w:p>
    <w:p w14:paraId="525357FB" w14:textId="77777777" w:rsidR="00413F29" w:rsidRPr="006431C4" w:rsidRDefault="00413F29"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31" w:name="_Toc505581985"/>
      <w:r w:rsidRPr="006431C4">
        <w:rPr>
          <w:rFonts w:cs="Arial"/>
          <w:b/>
          <w:caps/>
          <w:kern w:val="28"/>
          <w:szCs w:val="20"/>
        </w:rPr>
        <w:t>2. Materiały</w:t>
      </w:r>
      <w:bookmarkEnd w:id="1031"/>
    </w:p>
    <w:p w14:paraId="62631B89"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2.1. Ogólne wymagania dotyczące materiałów</w:t>
      </w:r>
    </w:p>
    <w:p w14:paraId="0F24516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materiałów, ich pozyskiwania i składowania, podano w SST D-M-00.00.00 „Wymagania ogólne” pkt 2.</w:t>
      </w:r>
    </w:p>
    <w:p w14:paraId="7F54A9B2"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2.2. Wprowadzenie wyrobu do obrotu</w:t>
      </w:r>
    </w:p>
    <w:p w14:paraId="6DFF0F77"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Jeśli wyrób budowlany, w tym materiał do pionowego oznakowania dróg, objęty jest normą zharmonizowaną lub jest zgodny z wydaną dla niego europejską oceną techniczną, producent może sporządzić deklarację właściwości użytkowych, oznakować wyrób znakiem CE i wprowadzić wyrób do obrotu [21, 24]. Norma zharmonizowana [1] dotyczy znaków drogowych, zestawów znaków drogowych, konstrukcji wsporczych, lic znaków wykonanych z folii odblaskowych kulkowych.</w:t>
      </w:r>
    </w:p>
    <w:p w14:paraId="6D014788"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Wyroby, których nie obejmuje norma zharmonizowana, np. folie odblaskowe pryzmatyczne mogą uzyskać europejską ocenę techniczną np. na podstawie wytycznych dla wcześniejszej europejskiej aprobaty technicznej [23] lub krajową ocenę techniczną [31].</w:t>
      </w:r>
    </w:p>
    <w:p w14:paraId="65221D9F" w14:textId="77777777" w:rsidR="00413F29" w:rsidRPr="006431C4" w:rsidRDefault="00413F29" w:rsidP="00270120">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Jeśli wyrób budowlany jest zgodny z wydaną dla niego krajową oceną techniczną, producent może sporządzić krajową deklarację właściwości użytkowych, oznakować wyrób znakiem budowlanym i wprowadzić wyrób do obrotu [22, 24]. Krajowa deklaracja właściwości użytkowych może być wydana przez producenta, który uzyskał krajowy certyfikat stałości właściwości użytkowych [22] wydany przez jednostkę notyfikowaną [25]. Aprobaty techniczne IBDiM wydane przed 1 stycznia 2017 r. mogą być wykorzystywane jako krajowe oceny techniczne do końca okresu ważności tych aprobat [24].</w:t>
      </w:r>
    </w:p>
    <w:p w14:paraId="68D74848" w14:textId="77777777" w:rsidR="00413F29" w:rsidRPr="006431C4" w:rsidRDefault="00413F29" w:rsidP="00270120">
      <w:pPr>
        <w:overflowPunct w:val="0"/>
        <w:autoSpaceDE w:val="0"/>
        <w:autoSpaceDN w:val="0"/>
        <w:adjustRightInd w:val="0"/>
        <w:spacing w:line="240" w:lineRule="auto"/>
        <w:jc w:val="both"/>
        <w:textAlignment w:val="baseline"/>
        <w:rPr>
          <w:rFonts w:cs="Arial"/>
          <w:b/>
          <w:szCs w:val="20"/>
        </w:rPr>
      </w:pPr>
      <w:r w:rsidRPr="006431C4">
        <w:rPr>
          <w:rFonts w:cs="Arial"/>
          <w:b/>
          <w:szCs w:val="20"/>
        </w:rPr>
        <w:t>2.3. Obowiązujący system oceny i weryfikacji stałości właściwości użytkowych</w:t>
      </w:r>
    </w:p>
    <w:p w14:paraId="25FCE519"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Zgodnie z ustawą o systemach oceny zgodności i nadzoru rynku z 13 kwietnia 2016 r. (Dz. U. poz. 542 i 1228) [25] i rozporządzeniem Ministra Infrastruktury z dnia 17 listopada 2016 r. w sprawie sposobu deklarowania właściwości użytkowych wyrobów budowlanych oraz sposobu znakowania ich znakiem budowlanym [22] znaki drogowe zostały zakwalifikowane do Systemu 1 krajowego systemu oceny i weryfikacji stałości właściwości użytkowych.</w:t>
      </w:r>
    </w:p>
    <w:p w14:paraId="71EDBBFB"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b/>
          <w:szCs w:val="20"/>
        </w:rPr>
      </w:pPr>
      <w:r w:rsidRPr="006431C4">
        <w:rPr>
          <w:rFonts w:cs="Arial"/>
          <w:b/>
          <w:szCs w:val="20"/>
        </w:rPr>
        <w:t>2.4. Materiały stosowane do fundamentów znaków</w:t>
      </w:r>
    </w:p>
    <w:p w14:paraId="48518C76"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Fundamenty dla zamocowania konstrukcji wsporczych znaków mogą być wykonywane:</w:t>
      </w:r>
    </w:p>
    <w:p w14:paraId="7B866381" w14:textId="77777777" w:rsidR="00413F29" w:rsidRPr="006431C4" w:rsidRDefault="00413F29" w:rsidP="00CF1E7D">
      <w:pPr>
        <w:numPr>
          <w:ilvl w:val="0"/>
          <w:numId w:val="203"/>
        </w:numPr>
        <w:overflowPunct w:val="0"/>
        <w:autoSpaceDE w:val="0"/>
        <w:autoSpaceDN w:val="0"/>
        <w:adjustRightInd w:val="0"/>
        <w:spacing w:line="240" w:lineRule="auto"/>
        <w:jc w:val="both"/>
        <w:textAlignment w:val="baseline"/>
        <w:rPr>
          <w:rFonts w:cs="Arial"/>
          <w:szCs w:val="20"/>
        </w:rPr>
      </w:pPr>
      <w:r w:rsidRPr="006431C4">
        <w:rPr>
          <w:rFonts w:cs="Arial"/>
          <w:szCs w:val="20"/>
        </w:rPr>
        <w:t>jako prefabrykaty betonowe,</w:t>
      </w:r>
    </w:p>
    <w:p w14:paraId="6DA4477E" w14:textId="77777777" w:rsidR="00413F29" w:rsidRPr="006431C4" w:rsidRDefault="00413F29" w:rsidP="00CF1E7D">
      <w:pPr>
        <w:numPr>
          <w:ilvl w:val="0"/>
          <w:numId w:val="203"/>
        </w:numPr>
        <w:overflowPunct w:val="0"/>
        <w:autoSpaceDE w:val="0"/>
        <w:autoSpaceDN w:val="0"/>
        <w:adjustRightInd w:val="0"/>
        <w:spacing w:line="240" w:lineRule="auto"/>
        <w:jc w:val="both"/>
        <w:textAlignment w:val="baseline"/>
        <w:rPr>
          <w:rFonts w:cs="Arial"/>
          <w:szCs w:val="20"/>
        </w:rPr>
      </w:pPr>
      <w:r w:rsidRPr="006431C4">
        <w:rPr>
          <w:rFonts w:cs="Arial"/>
          <w:szCs w:val="20"/>
        </w:rPr>
        <w:t>w przygotowanym wcześniej fundamencie (tzw. stopa fundamentowa),</w:t>
      </w:r>
    </w:p>
    <w:p w14:paraId="5257A1E3" w14:textId="77777777" w:rsidR="00413F29" w:rsidRPr="006431C4" w:rsidRDefault="00413F29" w:rsidP="00CF1E7D">
      <w:pPr>
        <w:numPr>
          <w:ilvl w:val="0"/>
          <w:numId w:val="203"/>
        </w:numPr>
        <w:overflowPunct w:val="0"/>
        <w:autoSpaceDE w:val="0"/>
        <w:autoSpaceDN w:val="0"/>
        <w:adjustRightInd w:val="0"/>
        <w:spacing w:line="240" w:lineRule="auto"/>
        <w:jc w:val="both"/>
        <w:textAlignment w:val="baseline"/>
        <w:rPr>
          <w:rFonts w:cs="Arial"/>
          <w:szCs w:val="20"/>
        </w:rPr>
      </w:pPr>
      <w:r w:rsidRPr="006431C4">
        <w:rPr>
          <w:rFonts w:cs="Arial"/>
          <w:szCs w:val="20"/>
        </w:rPr>
        <w:t>z betonu wykonywanego „na mokro”, bezpośrednio w gruncie,</w:t>
      </w:r>
    </w:p>
    <w:p w14:paraId="06EA57B6" w14:textId="77777777" w:rsidR="00413F29" w:rsidRPr="006431C4" w:rsidRDefault="00413F29" w:rsidP="00CF1E7D">
      <w:pPr>
        <w:numPr>
          <w:ilvl w:val="0"/>
          <w:numId w:val="203"/>
        </w:num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z betonu zbrojonego,</w:t>
      </w:r>
    </w:p>
    <w:p w14:paraId="67339737"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Inne rozwiązania wymagają akceptacji przez Inżyniera.</w:t>
      </w:r>
    </w:p>
    <w:p w14:paraId="413CF85D" w14:textId="77777777" w:rsidR="00413F29" w:rsidRPr="006431C4" w:rsidRDefault="00413F29" w:rsidP="00270120">
      <w:pPr>
        <w:widowControl w:val="0"/>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Dla fundamentów należy opracować dokumentację techniczną zgodną z obowiązującymi przepisami. </w:t>
      </w:r>
      <w:r w:rsidRPr="006431C4">
        <w:rPr>
          <w:rFonts w:cs="Arial"/>
          <w:bCs/>
          <w:szCs w:val="20"/>
        </w:rPr>
        <w:t>Zaprojektowane fundamenty powinny odpowiadać wymaganiom normy PN-EN-1992-1-1:2008 [3]</w:t>
      </w:r>
      <w:r w:rsidRPr="006431C4">
        <w:rPr>
          <w:rFonts w:cs="Arial"/>
          <w:szCs w:val="20"/>
        </w:rPr>
        <w:t>. Zaleca się wykonać fundamenty pod konstrukcje wsporcze oznakowania kierunkowego z betonu lub betonu zbrojonego klasy co najmniej C16/20 wg PN-EN 206+A1:2016-12 [4]. Wykonanie i osadzenie kotew fundamentowych należy wykonać  zgodnie z PN-EN 1993-1-8:2006 [5]. Posadowienie fundamentów należy wykonać na głębokość poniżej przemarzania gruntu</w:t>
      </w:r>
      <w:r w:rsidRPr="006431C4">
        <w:rPr>
          <w:rFonts w:cs="Arial"/>
          <w:bCs/>
          <w:szCs w:val="20"/>
        </w:rPr>
        <w:t>.</w:t>
      </w:r>
    </w:p>
    <w:p w14:paraId="5B10EA64"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2.5. Konstrukcje wsporcze</w:t>
      </w:r>
    </w:p>
    <w:p w14:paraId="32FCD9AB"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2.5.1. </w:t>
      </w:r>
      <w:r w:rsidRPr="006431C4">
        <w:rPr>
          <w:rFonts w:cs="Arial"/>
          <w:szCs w:val="20"/>
        </w:rPr>
        <w:t>Ogólna charakterystyka konstrukcji wsporczych</w:t>
      </w:r>
    </w:p>
    <w:p w14:paraId="293738B5"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Konstrukcje wsporcze znaków pionowych należy zaprojektować i wykonać w sposób</w:t>
      </w:r>
      <w:r w:rsidRPr="006431C4">
        <w:rPr>
          <w:rFonts w:cs="Arial"/>
          <w:b/>
          <w:szCs w:val="20"/>
        </w:rPr>
        <w:t xml:space="preserve"> </w:t>
      </w:r>
      <w:r w:rsidRPr="006431C4">
        <w:rPr>
          <w:rFonts w:cs="Arial"/>
          <w:szCs w:val="20"/>
        </w:rPr>
        <w:t>gwarantujący stabilne</w:t>
      </w:r>
      <w:r w:rsidRPr="006431C4">
        <w:rPr>
          <w:rFonts w:cs="Arial"/>
          <w:b/>
          <w:szCs w:val="20"/>
        </w:rPr>
        <w:t xml:space="preserve"> </w:t>
      </w:r>
      <w:r w:rsidRPr="006431C4">
        <w:rPr>
          <w:rFonts w:cs="Arial"/>
          <w:szCs w:val="20"/>
        </w:rPr>
        <w:t>i</w:t>
      </w:r>
      <w:r w:rsidRPr="006431C4">
        <w:rPr>
          <w:rFonts w:cs="Arial"/>
          <w:b/>
          <w:szCs w:val="20"/>
        </w:rPr>
        <w:t xml:space="preserve"> </w:t>
      </w:r>
      <w:r w:rsidRPr="006431C4">
        <w:rPr>
          <w:rFonts w:cs="Arial"/>
          <w:szCs w:val="20"/>
        </w:rPr>
        <w:t>prawidłowe ustawienie w pasie drogowym, zgodnie z dokumentacją projektową uwzględniającą wymagania postawione w PN-EN 12899-1:2010 [1] i SST, a w przypadku braku wystarczających ustaleń, zgodnie z propozycją Wykonawcy zaakceptowaną przez Inżyniera. Konstrukcję wsporczą stanowi każdy rodzaj konstrukcji wymieniony w pkt 1.4.6.</w:t>
      </w:r>
    </w:p>
    <w:p w14:paraId="46874B73"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W zależności od szerokości znaku lub tablicy, konstrukcja wsporcza może posiadać jedną dwie lub trzy podpory.</w:t>
      </w:r>
    </w:p>
    <w:p w14:paraId="4F66507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Zaleca się następujący sposób doboru konstrukcji do powierzchni tablic:</w:t>
      </w:r>
    </w:p>
    <w:p w14:paraId="232AEA2F" w14:textId="77777777" w:rsidR="00413F29" w:rsidRPr="006431C4" w:rsidRDefault="00413F29" w:rsidP="00CF1E7D">
      <w:pPr>
        <w:numPr>
          <w:ilvl w:val="0"/>
          <w:numId w:val="204"/>
        </w:numPr>
        <w:tabs>
          <w:tab w:val="num" w:pos="426"/>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do powierzchni A </w:t>
      </w:r>
      <w:r w:rsidRPr="006431C4">
        <w:rPr>
          <w:rFonts w:cs="Arial"/>
          <w:szCs w:val="20"/>
        </w:rPr>
        <w:sym w:font="Symbol" w:char="F0A3"/>
      </w:r>
      <w:r w:rsidRPr="006431C4">
        <w:rPr>
          <w:rFonts w:cs="Arial"/>
          <w:szCs w:val="20"/>
        </w:rPr>
        <w:t xml:space="preserve"> 1,5 m</w:t>
      </w:r>
      <w:r w:rsidRPr="006431C4">
        <w:rPr>
          <w:rFonts w:cs="Arial"/>
          <w:szCs w:val="20"/>
          <w:vertAlign w:val="superscript"/>
        </w:rPr>
        <w:t>2</w:t>
      </w:r>
      <w:r w:rsidRPr="006431C4">
        <w:rPr>
          <w:rFonts w:cs="Arial"/>
          <w:szCs w:val="20"/>
        </w:rPr>
        <w:t xml:space="preserve"> i długości l </w:t>
      </w:r>
      <w:r w:rsidRPr="006431C4">
        <w:rPr>
          <w:rFonts w:cs="Arial"/>
          <w:szCs w:val="20"/>
        </w:rPr>
        <w:sym w:font="Symbol" w:char="F0A3"/>
      </w:r>
      <w:r w:rsidRPr="006431C4">
        <w:rPr>
          <w:rFonts w:cs="Arial"/>
          <w:szCs w:val="20"/>
        </w:rPr>
        <w:t xml:space="preserve"> 1 m – 1 słupek,</w:t>
      </w:r>
    </w:p>
    <w:p w14:paraId="4066E2F1" w14:textId="77777777" w:rsidR="00413F29" w:rsidRPr="006431C4" w:rsidRDefault="00413F29" w:rsidP="00CF1E7D">
      <w:pPr>
        <w:numPr>
          <w:ilvl w:val="0"/>
          <w:numId w:val="204"/>
        </w:numPr>
        <w:tabs>
          <w:tab w:val="num" w:pos="426"/>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do powierzchni A </w:t>
      </w:r>
      <w:r w:rsidRPr="006431C4">
        <w:rPr>
          <w:rFonts w:cs="Arial"/>
          <w:szCs w:val="20"/>
        </w:rPr>
        <w:sym w:font="Symbol" w:char="F0A3"/>
      </w:r>
      <w:r w:rsidRPr="006431C4">
        <w:rPr>
          <w:rFonts w:cs="Arial"/>
          <w:szCs w:val="20"/>
        </w:rPr>
        <w:t xml:space="preserve"> 1,5 m</w:t>
      </w:r>
      <w:r w:rsidRPr="006431C4">
        <w:rPr>
          <w:rFonts w:cs="Arial"/>
          <w:szCs w:val="20"/>
          <w:vertAlign w:val="superscript"/>
        </w:rPr>
        <w:t>2</w:t>
      </w:r>
      <w:r w:rsidRPr="006431C4">
        <w:rPr>
          <w:rFonts w:cs="Arial"/>
          <w:szCs w:val="20"/>
        </w:rPr>
        <w:t xml:space="preserve"> i długości l &gt; 1 m – 2 słupki,</w:t>
      </w:r>
    </w:p>
    <w:p w14:paraId="461D1789" w14:textId="77777777" w:rsidR="00413F29" w:rsidRPr="006431C4" w:rsidRDefault="00413F29" w:rsidP="00CF1E7D">
      <w:pPr>
        <w:numPr>
          <w:ilvl w:val="0"/>
          <w:numId w:val="204"/>
        </w:numPr>
        <w:tabs>
          <w:tab w:val="num" w:pos="426"/>
        </w:tabs>
        <w:overflowPunct w:val="0"/>
        <w:autoSpaceDE w:val="0"/>
        <w:autoSpaceDN w:val="0"/>
        <w:adjustRightInd w:val="0"/>
        <w:spacing w:line="240" w:lineRule="auto"/>
        <w:jc w:val="both"/>
        <w:textAlignment w:val="baseline"/>
        <w:rPr>
          <w:rFonts w:cs="Arial"/>
          <w:szCs w:val="20"/>
        </w:rPr>
      </w:pPr>
      <w:r w:rsidRPr="006431C4">
        <w:rPr>
          <w:rFonts w:cs="Arial"/>
          <w:szCs w:val="20"/>
        </w:rPr>
        <w:t>do powierzchni 1,5 m</w:t>
      </w:r>
      <w:r w:rsidRPr="006431C4">
        <w:rPr>
          <w:rFonts w:cs="Arial"/>
          <w:szCs w:val="20"/>
          <w:vertAlign w:val="superscript"/>
        </w:rPr>
        <w:t>2</w:t>
      </w:r>
      <w:r w:rsidRPr="006431C4">
        <w:rPr>
          <w:rFonts w:cs="Arial"/>
          <w:szCs w:val="20"/>
        </w:rPr>
        <w:t xml:space="preserve"> </w:t>
      </w:r>
      <w:r w:rsidRPr="006431C4">
        <w:rPr>
          <w:rFonts w:cs="Arial"/>
          <w:szCs w:val="20"/>
        </w:rPr>
        <w:sym w:font="Symbol" w:char="F0A3"/>
      </w:r>
      <w:r w:rsidRPr="006431C4">
        <w:rPr>
          <w:rFonts w:cs="Arial"/>
          <w:szCs w:val="20"/>
        </w:rPr>
        <w:t xml:space="preserve"> A &lt; 2,5 m</w:t>
      </w:r>
      <w:r w:rsidRPr="006431C4">
        <w:rPr>
          <w:rFonts w:cs="Arial"/>
          <w:szCs w:val="20"/>
          <w:vertAlign w:val="superscript"/>
        </w:rPr>
        <w:t>2</w:t>
      </w:r>
      <w:r w:rsidRPr="006431C4">
        <w:rPr>
          <w:rFonts w:cs="Arial"/>
          <w:szCs w:val="20"/>
        </w:rPr>
        <w:t xml:space="preserve"> – 2 słupki z podporami,</w:t>
      </w:r>
    </w:p>
    <w:p w14:paraId="651CB065" w14:textId="77777777" w:rsidR="00413F29" w:rsidRPr="006431C4" w:rsidRDefault="00413F29" w:rsidP="00CF1E7D">
      <w:pPr>
        <w:numPr>
          <w:ilvl w:val="0"/>
          <w:numId w:val="204"/>
        </w:numPr>
        <w:tabs>
          <w:tab w:val="num" w:pos="426"/>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do powierzchni A </w:t>
      </w:r>
      <w:r w:rsidRPr="006431C4">
        <w:rPr>
          <w:rFonts w:cs="Arial"/>
          <w:szCs w:val="20"/>
        </w:rPr>
        <w:sym w:font="Symbol" w:char="F0A3"/>
      </w:r>
      <w:r w:rsidRPr="006431C4">
        <w:rPr>
          <w:rFonts w:cs="Arial"/>
          <w:szCs w:val="20"/>
        </w:rPr>
        <w:t xml:space="preserve"> 1,5 m</w:t>
      </w:r>
      <w:r w:rsidRPr="006431C4">
        <w:rPr>
          <w:rFonts w:cs="Arial"/>
          <w:szCs w:val="20"/>
          <w:vertAlign w:val="superscript"/>
        </w:rPr>
        <w:t>2</w:t>
      </w:r>
      <w:r w:rsidRPr="006431C4">
        <w:rPr>
          <w:rFonts w:cs="Arial"/>
          <w:szCs w:val="20"/>
        </w:rPr>
        <w:t xml:space="preserve"> i długości l &gt; 2,5 m – 2 słupki  </w:t>
      </w:r>
      <w:r w:rsidRPr="006431C4">
        <w:rPr>
          <w:rFonts w:cs="Arial"/>
          <w:szCs w:val="20"/>
        </w:rPr>
        <w:sym w:font="Symbol" w:char="F06A"/>
      </w:r>
      <w:r w:rsidRPr="006431C4">
        <w:rPr>
          <w:rFonts w:cs="Arial"/>
          <w:szCs w:val="20"/>
        </w:rPr>
        <w:t xml:space="preserve"> 76,1 × 3,2 mm,</w:t>
      </w:r>
    </w:p>
    <w:p w14:paraId="18A7F36D" w14:textId="77777777" w:rsidR="00413F29" w:rsidRPr="006431C4" w:rsidRDefault="00413F29" w:rsidP="00CF1E7D">
      <w:pPr>
        <w:numPr>
          <w:ilvl w:val="0"/>
          <w:numId w:val="204"/>
        </w:numPr>
        <w:tabs>
          <w:tab w:val="num" w:pos="426"/>
        </w:tabs>
        <w:overflowPunct w:val="0"/>
        <w:autoSpaceDE w:val="0"/>
        <w:autoSpaceDN w:val="0"/>
        <w:adjustRightInd w:val="0"/>
        <w:spacing w:line="240" w:lineRule="auto"/>
        <w:ind w:left="426" w:hanging="426"/>
        <w:jc w:val="both"/>
        <w:textAlignment w:val="baseline"/>
        <w:rPr>
          <w:rFonts w:cs="Arial"/>
          <w:szCs w:val="20"/>
        </w:rPr>
      </w:pPr>
      <w:r w:rsidRPr="006431C4">
        <w:rPr>
          <w:rFonts w:cs="Arial"/>
          <w:szCs w:val="20"/>
        </w:rPr>
        <w:t>do powierzchni 2,5 m</w:t>
      </w:r>
      <w:r w:rsidRPr="006431C4">
        <w:rPr>
          <w:rFonts w:cs="Arial"/>
          <w:szCs w:val="20"/>
          <w:vertAlign w:val="superscript"/>
        </w:rPr>
        <w:t>2</w:t>
      </w:r>
      <w:r w:rsidRPr="006431C4">
        <w:rPr>
          <w:rFonts w:cs="Arial"/>
          <w:szCs w:val="20"/>
        </w:rPr>
        <w:t xml:space="preserve"> </w:t>
      </w:r>
      <w:r w:rsidRPr="006431C4">
        <w:rPr>
          <w:rFonts w:cs="Arial"/>
          <w:szCs w:val="20"/>
        </w:rPr>
        <w:sym w:font="Symbol" w:char="F0A3"/>
      </w:r>
      <w:r w:rsidRPr="006431C4">
        <w:rPr>
          <w:rFonts w:cs="Arial"/>
          <w:szCs w:val="20"/>
        </w:rPr>
        <w:t xml:space="preserve"> A &lt; 4,5 m</w:t>
      </w:r>
      <w:r w:rsidRPr="006431C4">
        <w:rPr>
          <w:rFonts w:cs="Arial"/>
          <w:szCs w:val="20"/>
          <w:vertAlign w:val="superscript"/>
        </w:rPr>
        <w:t>2</w:t>
      </w:r>
      <w:r w:rsidRPr="006431C4">
        <w:rPr>
          <w:rFonts w:cs="Arial"/>
          <w:szCs w:val="20"/>
        </w:rPr>
        <w:t xml:space="preserve"> i długości l </w:t>
      </w:r>
      <w:r w:rsidRPr="006431C4">
        <w:rPr>
          <w:rFonts w:cs="Arial"/>
          <w:szCs w:val="20"/>
        </w:rPr>
        <w:sym w:font="Symbol" w:char="F0B3"/>
      </w:r>
      <w:r w:rsidRPr="006431C4">
        <w:rPr>
          <w:rFonts w:cs="Arial"/>
          <w:szCs w:val="20"/>
        </w:rPr>
        <w:t xml:space="preserve"> 3 m – 3 konstrukcje kratowe z rur </w:t>
      </w:r>
      <w:r w:rsidRPr="006431C4">
        <w:rPr>
          <w:rFonts w:cs="Arial"/>
          <w:szCs w:val="20"/>
        </w:rPr>
        <w:sym w:font="Symbol" w:char="F06A"/>
      </w:r>
      <w:r w:rsidRPr="006431C4">
        <w:rPr>
          <w:rFonts w:cs="Arial"/>
          <w:szCs w:val="20"/>
        </w:rPr>
        <w:t xml:space="preserve"> 60,3 × 3,2 mm z prętem </w:t>
      </w:r>
      <w:r w:rsidRPr="006431C4">
        <w:rPr>
          <w:rFonts w:cs="Arial"/>
          <w:szCs w:val="20"/>
        </w:rPr>
        <w:sym w:font="Symbol" w:char="F06A"/>
      </w:r>
      <w:r w:rsidRPr="006431C4">
        <w:rPr>
          <w:rFonts w:cs="Arial"/>
          <w:szCs w:val="20"/>
        </w:rPr>
        <w:t xml:space="preserve"> 10 - 14 mm,</w:t>
      </w:r>
    </w:p>
    <w:p w14:paraId="7E32632D" w14:textId="77777777" w:rsidR="00413F29" w:rsidRPr="006431C4" w:rsidRDefault="00413F29" w:rsidP="00CF1E7D">
      <w:pPr>
        <w:numPr>
          <w:ilvl w:val="0"/>
          <w:numId w:val="204"/>
        </w:numPr>
        <w:tabs>
          <w:tab w:val="num" w:pos="426"/>
        </w:tabs>
        <w:overflowPunct w:val="0"/>
        <w:autoSpaceDE w:val="0"/>
        <w:autoSpaceDN w:val="0"/>
        <w:adjustRightInd w:val="0"/>
        <w:spacing w:line="240" w:lineRule="auto"/>
        <w:ind w:left="426" w:hanging="426"/>
        <w:jc w:val="both"/>
        <w:textAlignment w:val="baseline"/>
        <w:rPr>
          <w:rFonts w:cs="Arial"/>
          <w:szCs w:val="20"/>
        </w:rPr>
      </w:pPr>
      <w:r w:rsidRPr="006431C4">
        <w:rPr>
          <w:rFonts w:cs="Arial"/>
          <w:szCs w:val="20"/>
        </w:rPr>
        <w:t>do powierzchni A ≥ 4,5 m</w:t>
      </w:r>
      <w:r w:rsidRPr="006431C4">
        <w:rPr>
          <w:rFonts w:cs="Arial"/>
          <w:szCs w:val="20"/>
          <w:vertAlign w:val="superscript"/>
        </w:rPr>
        <w:t>2</w:t>
      </w:r>
      <w:r w:rsidRPr="006431C4">
        <w:rPr>
          <w:rFonts w:cs="Arial"/>
          <w:szCs w:val="20"/>
        </w:rPr>
        <w:t xml:space="preserve"> i długości l </w:t>
      </w:r>
      <w:r w:rsidRPr="006431C4">
        <w:rPr>
          <w:rFonts w:cs="Arial"/>
          <w:szCs w:val="20"/>
        </w:rPr>
        <w:sym w:font="Symbol" w:char="F0B3"/>
      </w:r>
      <w:r w:rsidRPr="006431C4">
        <w:rPr>
          <w:rFonts w:cs="Arial"/>
          <w:szCs w:val="20"/>
        </w:rPr>
        <w:t xml:space="preserve"> 4 m – 4 konstrukcje kratowe z rur </w:t>
      </w:r>
      <w:r w:rsidRPr="006431C4">
        <w:rPr>
          <w:rFonts w:cs="Arial"/>
          <w:szCs w:val="20"/>
        </w:rPr>
        <w:sym w:font="Symbol" w:char="F06A"/>
      </w:r>
      <w:r w:rsidRPr="006431C4">
        <w:rPr>
          <w:rFonts w:cs="Arial"/>
          <w:szCs w:val="20"/>
        </w:rPr>
        <w:t xml:space="preserve"> 60,3 × 3,2 mm z prętem </w:t>
      </w:r>
      <w:r w:rsidRPr="006431C4">
        <w:rPr>
          <w:rFonts w:cs="Arial"/>
          <w:szCs w:val="20"/>
        </w:rPr>
        <w:sym w:font="Symbol" w:char="F06A"/>
      </w:r>
      <w:r w:rsidRPr="006431C4">
        <w:rPr>
          <w:rFonts w:cs="Arial"/>
          <w:szCs w:val="20"/>
        </w:rPr>
        <w:t xml:space="preserve"> 14 mm,</w:t>
      </w:r>
    </w:p>
    <w:p w14:paraId="6E13B998" w14:textId="77777777" w:rsidR="00413F29" w:rsidRPr="006431C4" w:rsidRDefault="00413F29" w:rsidP="00CF1E7D">
      <w:pPr>
        <w:numPr>
          <w:ilvl w:val="0"/>
          <w:numId w:val="204"/>
        </w:numPr>
        <w:tabs>
          <w:tab w:val="num" w:pos="426"/>
        </w:tabs>
        <w:overflowPunct w:val="0"/>
        <w:autoSpaceDE w:val="0"/>
        <w:autoSpaceDN w:val="0"/>
        <w:adjustRightInd w:val="0"/>
        <w:spacing w:line="240" w:lineRule="auto"/>
        <w:ind w:left="426" w:hanging="426"/>
        <w:jc w:val="both"/>
        <w:textAlignment w:val="baseline"/>
        <w:rPr>
          <w:rFonts w:cs="Arial"/>
          <w:szCs w:val="20"/>
        </w:rPr>
      </w:pPr>
      <w:r w:rsidRPr="006431C4">
        <w:rPr>
          <w:rFonts w:cs="Arial"/>
          <w:szCs w:val="20"/>
        </w:rPr>
        <w:t xml:space="preserve">dla konstrukcji </w:t>
      </w:r>
      <w:proofErr w:type="spellStart"/>
      <w:r w:rsidRPr="006431C4">
        <w:rPr>
          <w:rFonts w:cs="Arial"/>
          <w:szCs w:val="20"/>
        </w:rPr>
        <w:t>bramownicowych</w:t>
      </w:r>
      <w:proofErr w:type="spellEnd"/>
      <w:r w:rsidRPr="006431C4">
        <w:rPr>
          <w:rFonts w:cs="Arial"/>
          <w:szCs w:val="20"/>
        </w:rPr>
        <w:t xml:space="preserve"> i wysięgników należy wykonać projekt konstrukcyjny.</w:t>
      </w:r>
    </w:p>
    <w:p w14:paraId="05C3ECFD" w14:textId="77777777" w:rsidR="00413F29" w:rsidRPr="006431C4" w:rsidRDefault="00413F29" w:rsidP="00270120">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zakres dokumentacji powinien wchodzić: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4867679F" w14:textId="77777777" w:rsidR="00413F29" w:rsidRPr="006431C4" w:rsidRDefault="00413F29" w:rsidP="00270120">
      <w:pPr>
        <w:numPr>
          <w:ilvl w:val="12"/>
          <w:numId w:val="0"/>
        </w:num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miejscach wskazanych przez projektanta inżynierii ruchu, gdzie występuje szczególne niebezpieczeństwo bezpośredniej kolizji z konstrukcją wsporczą, np. wloty dróg, rozgałęzienia dróg łącznikowych, na zewnętrznych stronach łuków dróg itp., usytuowanie i jej dobór wymagają oddzielnych rozwiązań projektowych spełniających warunek biernego bezpieczeństwa dla użytkowników dróg. W projekcie należy określić wymaganą dla danego rozwiązania kategorię biernego bezpieczeństwa zgodnie z PN-EN 12676:2008 [2]. Przykładowo (100, NE, 3 lub 70, NE, 3).</w:t>
      </w:r>
    </w:p>
    <w:p w14:paraId="41FF2411" w14:textId="77777777" w:rsidR="00413F29" w:rsidRPr="006431C4" w:rsidRDefault="00413F29" w:rsidP="00270120">
      <w:pPr>
        <w:overflowPunct w:val="0"/>
        <w:autoSpaceDE w:val="0"/>
        <w:autoSpaceDN w:val="0"/>
        <w:adjustRightInd w:val="0"/>
        <w:spacing w:line="240" w:lineRule="auto"/>
        <w:jc w:val="both"/>
        <w:textAlignment w:val="baseline"/>
        <w:rPr>
          <w:rFonts w:cs="Arial"/>
          <w:color w:val="000000"/>
          <w:szCs w:val="20"/>
        </w:rPr>
      </w:pPr>
      <w:r w:rsidRPr="006431C4">
        <w:rPr>
          <w:rFonts w:cs="Arial"/>
          <w:szCs w:val="20"/>
        </w:rPr>
        <w:tab/>
        <w:t>Wyr</w:t>
      </w:r>
      <w:r w:rsidRPr="006431C4">
        <w:rPr>
          <w:rFonts w:cs="Arial"/>
          <w:color w:val="000000"/>
          <w:szCs w:val="20"/>
        </w:rPr>
        <w:t>óżnia się trzy kategorie biernego bezpieczeństwa dla konstrukcji wsporczych:</w:t>
      </w:r>
    </w:p>
    <w:p w14:paraId="741769D4" w14:textId="77777777" w:rsidR="00413F29" w:rsidRPr="006431C4" w:rsidRDefault="00413F29" w:rsidP="00CF1E7D">
      <w:pPr>
        <w:numPr>
          <w:ilvl w:val="0"/>
          <w:numId w:val="205"/>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pochłaniająca energię w wysokim stopniu (HE),</w:t>
      </w:r>
    </w:p>
    <w:p w14:paraId="4143D90F" w14:textId="77777777" w:rsidR="00413F29" w:rsidRPr="006431C4" w:rsidRDefault="00413F29" w:rsidP="00CF1E7D">
      <w:pPr>
        <w:numPr>
          <w:ilvl w:val="0"/>
          <w:numId w:val="205"/>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pochłaniająca energię w niskim stopniu (LE),</w:t>
      </w:r>
    </w:p>
    <w:p w14:paraId="62EAF5C7" w14:textId="77777777" w:rsidR="00413F29" w:rsidRPr="006431C4" w:rsidRDefault="00413F29" w:rsidP="00CF1E7D">
      <w:pPr>
        <w:numPr>
          <w:ilvl w:val="0"/>
          <w:numId w:val="205"/>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nie pochłaniająca energii (NE).</w:t>
      </w:r>
    </w:p>
    <w:p w14:paraId="6AE3D19F"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2.5.2. </w:t>
      </w:r>
      <w:r w:rsidRPr="006431C4">
        <w:rPr>
          <w:rFonts w:cs="Arial"/>
          <w:szCs w:val="20"/>
        </w:rPr>
        <w:t>Materiały do konstrukcji wsporczych</w:t>
      </w:r>
    </w:p>
    <w:p w14:paraId="40EDA40B"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Do konstrukcji wsporczych zaleca się stosować następujące materiały:</w:t>
      </w:r>
    </w:p>
    <w:p w14:paraId="77BB0765" w14:textId="77777777" w:rsidR="00413F29" w:rsidRPr="006431C4" w:rsidRDefault="00413F29" w:rsidP="00CF1E7D">
      <w:pPr>
        <w:numPr>
          <w:ilvl w:val="0"/>
          <w:numId w:val="206"/>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rury ocynkowane ze szwem lub bez, gładkie o średnicy </w:t>
      </w:r>
      <w:r w:rsidRPr="006431C4">
        <w:rPr>
          <w:rFonts w:cs="Arial"/>
          <w:color w:val="000000"/>
          <w:szCs w:val="20"/>
        </w:rPr>
        <w:sym w:font="Symbol" w:char="F06A"/>
      </w:r>
      <w:r w:rsidRPr="006431C4">
        <w:rPr>
          <w:rFonts w:cs="Arial"/>
          <w:color w:val="000000"/>
          <w:szCs w:val="20"/>
        </w:rPr>
        <w:t xml:space="preserve"> 60,3 × 2,4; 2,9 i 3,2 mm i </w:t>
      </w:r>
      <w:r w:rsidRPr="006431C4">
        <w:rPr>
          <w:rFonts w:cs="Arial"/>
          <w:color w:val="000000"/>
          <w:szCs w:val="20"/>
        </w:rPr>
        <w:sym w:font="Symbol" w:char="F06A"/>
      </w:r>
      <w:r w:rsidRPr="006431C4">
        <w:rPr>
          <w:rFonts w:cs="Arial"/>
          <w:color w:val="000000"/>
          <w:szCs w:val="20"/>
        </w:rPr>
        <w:t> 76,1 × 2,9; 3,2 mm, 88,9 × 3,2mm,</w:t>
      </w:r>
    </w:p>
    <w:p w14:paraId="5D179FE1" w14:textId="77777777" w:rsidR="00413F29" w:rsidRPr="006431C4" w:rsidRDefault="00413F29" w:rsidP="00CF1E7D">
      <w:pPr>
        <w:numPr>
          <w:ilvl w:val="0"/>
          <w:numId w:val="206"/>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słupki „</w:t>
      </w:r>
      <w:proofErr w:type="spellStart"/>
      <w:r w:rsidRPr="006431C4">
        <w:rPr>
          <w:rFonts w:cs="Arial"/>
          <w:color w:val="000000"/>
          <w:szCs w:val="20"/>
        </w:rPr>
        <w:t>Prolife</w:t>
      </w:r>
      <w:proofErr w:type="spellEnd"/>
      <w:r w:rsidRPr="006431C4">
        <w:rPr>
          <w:rFonts w:cs="Arial"/>
          <w:color w:val="000000"/>
          <w:szCs w:val="20"/>
        </w:rPr>
        <w:t>” , pojedyncze i wielokrotne,</w:t>
      </w:r>
    </w:p>
    <w:p w14:paraId="6E5D740B" w14:textId="77777777" w:rsidR="00413F29" w:rsidRPr="006431C4" w:rsidRDefault="00413F29" w:rsidP="00CF1E7D">
      <w:pPr>
        <w:numPr>
          <w:ilvl w:val="0"/>
          <w:numId w:val="206"/>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pręty stalowe o średnicy </w:t>
      </w:r>
      <w:r w:rsidRPr="006431C4">
        <w:rPr>
          <w:rFonts w:cs="Arial"/>
          <w:color w:val="000000"/>
          <w:szCs w:val="20"/>
        </w:rPr>
        <w:sym w:font="Symbol" w:char="F06A"/>
      </w:r>
      <w:r w:rsidRPr="006431C4">
        <w:rPr>
          <w:rFonts w:cs="Arial"/>
          <w:color w:val="000000"/>
          <w:szCs w:val="20"/>
        </w:rPr>
        <w:t xml:space="preserve"> 14 – 20 mm,</w:t>
      </w:r>
    </w:p>
    <w:p w14:paraId="1239CD20" w14:textId="77777777" w:rsidR="00413F29" w:rsidRPr="006431C4" w:rsidRDefault="00413F29" w:rsidP="00CF1E7D">
      <w:pPr>
        <w:numPr>
          <w:ilvl w:val="0"/>
          <w:numId w:val="206"/>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inne materiały, których zastosowanie zostało zawarte w projektach konstrukcyjnych,</w:t>
      </w:r>
    </w:p>
    <w:p w14:paraId="4E7EF34E" w14:textId="77777777" w:rsidR="00413F29" w:rsidRPr="006431C4" w:rsidRDefault="00413F29" w:rsidP="00CF1E7D">
      <w:pPr>
        <w:numPr>
          <w:ilvl w:val="0"/>
          <w:numId w:val="206"/>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słupki kompozytowe do tarcz z materiałów kompozytowych.</w:t>
      </w:r>
    </w:p>
    <w:p w14:paraId="7748D76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lang w:val="fr-FR"/>
        </w:rPr>
      </w:pPr>
      <w:r w:rsidRPr="006431C4">
        <w:rPr>
          <w:rFonts w:cs="Arial"/>
          <w:szCs w:val="20"/>
        </w:rPr>
        <w:tab/>
        <w:t xml:space="preserve">Słupki do znaków drogowych powinny być wykonane ze stali ocynkowanej ogniowo i spełniać wymagania zawarte w PN-EN 10255+A1:2009 [6]. Grubość powłoki cynku na słupku powinna wynosić minimum 60 </w:t>
      </w:r>
      <w:proofErr w:type="spellStart"/>
      <w:r w:rsidRPr="006431C4">
        <w:rPr>
          <w:rFonts w:cs="Arial"/>
          <w:szCs w:val="20"/>
        </w:rPr>
        <w:t>μm</w:t>
      </w:r>
      <w:proofErr w:type="spellEnd"/>
      <w:r w:rsidRPr="006431C4">
        <w:rPr>
          <w:rFonts w:cs="Arial"/>
          <w:szCs w:val="20"/>
        </w:rPr>
        <w:t>.</w:t>
      </w:r>
      <w:r w:rsidRPr="006431C4">
        <w:rPr>
          <w:rFonts w:cs="Arial"/>
          <w:szCs w:val="20"/>
          <w:lang w:val="fr-FR"/>
        </w:rPr>
        <w:t xml:space="preserve"> </w:t>
      </w:r>
      <w:r w:rsidRPr="006431C4">
        <w:rPr>
          <w:rFonts w:cs="Arial"/>
          <w:szCs w:val="20"/>
        </w:rPr>
        <w:t xml:space="preserve">Tarczę znaku o powierzchni </w:t>
      </w:r>
      <w:r w:rsidRPr="006431C4">
        <w:rPr>
          <w:rFonts w:cs="Arial"/>
          <w:szCs w:val="20"/>
        </w:rPr>
        <w:sym w:font="Symbol" w:char="F0B3"/>
      </w:r>
      <w:r w:rsidRPr="006431C4">
        <w:rPr>
          <w:rFonts w:cs="Arial"/>
          <w:szCs w:val="20"/>
        </w:rPr>
        <w:t xml:space="preserve"> 0,8 m</w:t>
      </w:r>
      <w:r w:rsidRPr="006431C4">
        <w:rPr>
          <w:rFonts w:cs="Arial"/>
          <w:szCs w:val="20"/>
          <w:vertAlign w:val="superscript"/>
        </w:rPr>
        <w:t>2</w:t>
      </w:r>
      <w:r w:rsidRPr="006431C4">
        <w:rPr>
          <w:rFonts w:cs="Arial"/>
          <w:szCs w:val="20"/>
        </w:rPr>
        <w:t xml:space="preserve"> zaleca się instalować na słupkach rurowych o wymiarach co najmniej 76,1/3,2 mm.</w:t>
      </w:r>
    </w:p>
    <w:p w14:paraId="407C1249"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72D65734"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Pożądane jest, aby rury były dostarczane o długościach:</w:t>
      </w:r>
    </w:p>
    <w:p w14:paraId="23DC5A2E" w14:textId="77777777" w:rsidR="00413F29" w:rsidRPr="006431C4" w:rsidRDefault="00413F29" w:rsidP="00CF1E7D">
      <w:pPr>
        <w:numPr>
          <w:ilvl w:val="0"/>
          <w:numId w:val="207"/>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dokładnych, zgodnych z zamówieniem; z dopuszczalną odchyłką </w:t>
      </w:r>
      <w:r w:rsidRPr="006431C4">
        <w:rPr>
          <w:rFonts w:cs="Arial"/>
          <w:color w:val="000000"/>
          <w:szCs w:val="20"/>
        </w:rPr>
        <w:sym w:font="Symbol" w:char="F0B1"/>
      </w:r>
      <w:r w:rsidRPr="006431C4">
        <w:rPr>
          <w:rFonts w:cs="Arial"/>
          <w:color w:val="000000"/>
          <w:szCs w:val="20"/>
        </w:rPr>
        <w:t xml:space="preserve"> </w:t>
      </w:r>
      <w:smartTag w:uri="urn:schemas-microsoft-com:office:smarttags" w:element="metricconverter">
        <w:smartTagPr>
          <w:attr w:name="ProductID" w:val="10 mm"/>
        </w:smartTagPr>
        <w:r w:rsidRPr="006431C4">
          <w:rPr>
            <w:rFonts w:cs="Arial"/>
            <w:color w:val="000000"/>
            <w:szCs w:val="20"/>
          </w:rPr>
          <w:t>10 mm</w:t>
        </w:r>
      </w:smartTag>
      <w:r w:rsidRPr="006431C4">
        <w:rPr>
          <w:rFonts w:cs="Arial"/>
          <w:color w:val="000000"/>
          <w:szCs w:val="20"/>
        </w:rPr>
        <w:t>,</w:t>
      </w:r>
    </w:p>
    <w:p w14:paraId="577C6CF4" w14:textId="77777777" w:rsidR="00413F29" w:rsidRPr="006431C4" w:rsidRDefault="00413F29" w:rsidP="00CF1E7D">
      <w:pPr>
        <w:numPr>
          <w:ilvl w:val="0"/>
          <w:numId w:val="207"/>
        </w:numPr>
        <w:overflowPunct w:val="0"/>
        <w:autoSpaceDE w:val="0"/>
        <w:autoSpaceDN w:val="0"/>
        <w:adjustRightInd w:val="0"/>
        <w:spacing w:line="240" w:lineRule="auto"/>
        <w:jc w:val="both"/>
        <w:textAlignment w:val="baseline"/>
        <w:rPr>
          <w:rFonts w:cs="Arial"/>
          <w:szCs w:val="20"/>
        </w:rPr>
      </w:pPr>
      <w:r w:rsidRPr="006431C4">
        <w:rPr>
          <w:rFonts w:cs="Arial"/>
          <w:color w:val="000000"/>
          <w:szCs w:val="20"/>
        </w:rPr>
        <w:t xml:space="preserve">wielokrotnych w stosunku do zamówionych długości dokładnych poniżej </w:t>
      </w:r>
      <w:smartTag w:uri="urn:schemas-microsoft-com:office:smarttags" w:element="metricconverter">
        <w:smartTagPr>
          <w:attr w:name="ProductID" w:val="3 m"/>
        </w:smartTagPr>
        <w:r w:rsidRPr="006431C4">
          <w:rPr>
            <w:rFonts w:cs="Arial"/>
            <w:color w:val="000000"/>
            <w:szCs w:val="20"/>
          </w:rPr>
          <w:t>3 m</w:t>
        </w:r>
      </w:smartTag>
      <w:r w:rsidRPr="006431C4">
        <w:rPr>
          <w:rFonts w:cs="Arial"/>
          <w:color w:val="000000"/>
          <w:szCs w:val="20"/>
        </w:rPr>
        <w:t xml:space="preserve"> z naddatkiem </w:t>
      </w:r>
      <w:smartTag w:uri="urn:schemas-microsoft-com:office:smarttags" w:element="metricconverter">
        <w:smartTagPr>
          <w:attr w:name="ProductID" w:val="5 mm"/>
        </w:smartTagPr>
        <w:r w:rsidRPr="006431C4">
          <w:rPr>
            <w:rFonts w:cs="Arial"/>
            <w:color w:val="000000"/>
            <w:szCs w:val="20"/>
          </w:rPr>
          <w:t>5 mm</w:t>
        </w:r>
      </w:smartTag>
      <w:r w:rsidRPr="006431C4">
        <w:rPr>
          <w:rFonts w:cs="Arial"/>
          <w:color w:val="000000"/>
          <w:szCs w:val="20"/>
        </w:rPr>
        <w:t xml:space="preserve"> na każde cięcie i z dopuszczalną odchyłką dla całej długości wielokrotnej</w:t>
      </w:r>
      <w:r w:rsidRPr="006431C4">
        <w:rPr>
          <w:rFonts w:cs="Arial"/>
          <w:szCs w:val="20"/>
        </w:rPr>
        <w:t>, jak dla długości dokładnych.</w:t>
      </w:r>
    </w:p>
    <w:p w14:paraId="5B6CA91A"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Rury powinny być proste. Dopuszczalna miejscowa krzywizna nie powinna przekraczać </w:t>
      </w:r>
      <w:smartTag w:uri="urn:schemas-microsoft-com:office:smarttags" w:element="metricconverter">
        <w:smartTagPr>
          <w:attr w:name="ProductID" w:val="1,5 mm"/>
        </w:smartTagPr>
        <w:r w:rsidRPr="006431C4">
          <w:rPr>
            <w:rFonts w:cs="Arial"/>
            <w:szCs w:val="20"/>
          </w:rPr>
          <w:t>1,5 mm</w:t>
        </w:r>
      </w:smartTag>
      <w:r w:rsidRPr="006431C4">
        <w:rPr>
          <w:rFonts w:cs="Arial"/>
          <w:szCs w:val="20"/>
        </w:rPr>
        <w:t xml:space="preserve"> na </w:t>
      </w:r>
      <w:smartTag w:uri="urn:schemas-microsoft-com:office:smarttags" w:element="metricconverter">
        <w:smartTagPr>
          <w:attr w:name="ProductID" w:val="1 m"/>
        </w:smartTagPr>
        <w:r w:rsidRPr="006431C4">
          <w:rPr>
            <w:rFonts w:cs="Arial"/>
            <w:szCs w:val="20"/>
          </w:rPr>
          <w:t>1 m</w:t>
        </w:r>
      </w:smartTag>
      <w:r w:rsidRPr="006431C4">
        <w:rPr>
          <w:rFonts w:cs="Arial"/>
          <w:szCs w:val="20"/>
        </w:rPr>
        <w:t xml:space="preserve"> długości rury.</w:t>
      </w:r>
    </w:p>
    <w:p w14:paraId="72A029D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Rury powinny być wykonane ze stali spełniającej wymaganie odporności na zginanie zapewniające wytrzymałość znaku na chwilowe odkształcenie zginające ≤ 25 mm/m [1].</w:t>
      </w:r>
    </w:p>
    <w:p w14:paraId="05718CA0"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Długości słupków, na których montowane są znaki przyjmowane są w oparciu o wymagania techniczne dla znaków drogowych [19] przy zagłębieniu w gruncie do 80 cm. W części dolnej słupka powinna być kotwa, która po zabetonowaniu uniemożliwia obracanie lub wyciągnięcie słupka. Na każdym słupku należy zamontować zaślepkę zapobiegającą gromadzeniu się wody wewnątrz profilu.</w:t>
      </w:r>
    </w:p>
    <w:p w14:paraId="702C8B19"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2.5.3. </w:t>
      </w:r>
      <w:r w:rsidRPr="006431C4">
        <w:rPr>
          <w:rFonts w:cs="Arial"/>
          <w:szCs w:val="20"/>
        </w:rPr>
        <w:t>Kształtowniki</w:t>
      </w:r>
    </w:p>
    <w:p w14:paraId="77E12807"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ab/>
        <w:t>Do zamocowania tarczy znaku do konstrukcji wsporczej stosowane są dwie metody:</w:t>
      </w:r>
    </w:p>
    <w:p w14:paraId="13C98EC1" w14:textId="77777777" w:rsidR="00413F29" w:rsidRPr="006431C4" w:rsidRDefault="00413F29" w:rsidP="00CF1E7D">
      <w:pPr>
        <w:numPr>
          <w:ilvl w:val="0"/>
          <w:numId w:val="208"/>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bezpośrednia i</w:t>
      </w:r>
    </w:p>
    <w:p w14:paraId="36763F7B" w14:textId="77777777" w:rsidR="00413F29" w:rsidRPr="006431C4" w:rsidRDefault="00413F29" w:rsidP="00CF1E7D">
      <w:pPr>
        <w:numPr>
          <w:ilvl w:val="0"/>
          <w:numId w:val="208"/>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pośrednia.</w:t>
      </w:r>
    </w:p>
    <w:p w14:paraId="716E227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Elementem bezpośrednio zamontowanym do słupka konstrukcji wsporczej jest uchwyt mocujący tarczę znaku drogowego. W metodzie bezpośredniej uchwyt mocujący jest zaczepiony do górnego i dolnego zagięcia obwodowego tarczy znaku. </w:t>
      </w:r>
    </w:p>
    <w:p w14:paraId="292CB500"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W metodzie pośredniej konieczne jest zamocowanie do tylnej części tarczy znaku profilu montażowego, jednego lub kilku w zależności od wielkości powierzchni tarczy. Umożliwia to zaczepienie uchwytu mocującego do profilu montażowego tarczy znaku. </w:t>
      </w:r>
      <w:r w:rsidRPr="006431C4">
        <w:rPr>
          <w:rFonts w:cs="Arial"/>
          <w:szCs w:val="20"/>
        </w:rPr>
        <w:tab/>
        <w:t>Uchwyty mocujące tarczę znaku do konstrukcji wsporczej powinny wykazywać odporność tarczy na obrócenie co najmniej 0,29° m</w:t>
      </w:r>
      <w:r w:rsidRPr="006431C4">
        <w:rPr>
          <w:rFonts w:cs="Arial"/>
          <w:szCs w:val="20"/>
          <w:vertAlign w:val="superscript"/>
        </w:rPr>
        <w:t>-1</w:t>
      </w:r>
      <w:r w:rsidRPr="006431C4">
        <w:rPr>
          <w:rFonts w:cs="Arial"/>
          <w:szCs w:val="20"/>
        </w:rPr>
        <w:t xml:space="preserve"> – klasa TDT4 oraz odporność na obciążenie skupione 0,3 kN – klasa PL2 [1]. </w:t>
      </w:r>
    </w:p>
    <w:p w14:paraId="33289A6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2.5.4. </w:t>
      </w:r>
      <w:r w:rsidRPr="006431C4">
        <w:rPr>
          <w:rFonts w:cs="Arial"/>
          <w:szCs w:val="20"/>
        </w:rPr>
        <w:t>Gwarancja producenta lub dostawcy na konstrukcję wsporczą</w:t>
      </w:r>
    </w:p>
    <w:p w14:paraId="37B7BC8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1EC95F57"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2E5B5896"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2.6. Tarcza znaku</w:t>
      </w:r>
    </w:p>
    <w:p w14:paraId="01622D0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2.6.1. </w:t>
      </w:r>
      <w:r w:rsidRPr="006431C4">
        <w:rPr>
          <w:rFonts w:cs="Arial"/>
          <w:szCs w:val="20"/>
        </w:rPr>
        <w:t>Materiały na tarcze znaków drogowych</w:t>
      </w:r>
    </w:p>
    <w:p w14:paraId="2E65A09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Tarcze znaków drogowych pionowych o powierzchni ≤ 1 m</w:t>
      </w:r>
      <w:r w:rsidRPr="006431C4">
        <w:rPr>
          <w:rFonts w:cs="Arial"/>
          <w:szCs w:val="20"/>
          <w:vertAlign w:val="superscript"/>
        </w:rPr>
        <w:t>2</w:t>
      </w:r>
      <w:r w:rsidRPr="006431C4">
        <w:rPr>
          <w:rFonts w:cs="Arial"/>
          <w:szCs w:val="20"/>
        </w:rPr>
        <w:t xml:space="preserve"> powinny być wykonane:</w:t>
      </w:r>
    </w:p>
    <w:p w14:paraId="0BCF5652" w14:textId="77777777" w:rsidR="00413F29" w:rsidRPr="006431C4" w:rsidRDefault="00413F29" w:rsidP="00CF1E7D">
      <w:pPr>
        <w:numPr>
          <w:ilvl w:val="0"/>
          <w:numId w:val="209"/>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 xml:space="preserve">z blachy stalowej ocynkowanej ogniowo o grubości co najmniej 1,25 mm wg PN-EN 10346:2011 [7], gatunek stali co najmniej DX52D z powłoką cynkową co najmniej Z275, </w:t>
      </w:r>
    </w:p>
    <w:p w14:paraId="2C2F3802" w14:textId="77777777" w:rsidR="00413F29" w:rsidRPr="006431C4" w:rsidRDefault="00413F29" w:rsidP="00CF1E7D">
      <w:pPr>
        <w:numPr>
          <w:ilvl w:val="0"/>
          <w:numId w:val="209"/>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z blachy aluminiowej o grubości co najmniej 1,5 mm wg PN-EN 485-1 i PN-EN 485-4 [8],</w:t>
      </w:r>
    </w:p>
    <w:p w14:paraId="2A846701" w14:textId="77777777" w:rsidR="00413F29" w:rsidRPr="006431C4" w:rsidRDefault="00413F29" w:rsidP="00CF1E7D">
      <w:pPr>
        <w:numPr>
          <w:ilvl w:val="0"/>
          <w:numId w:val="209"/>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z materiału warstwowego blacha-polimer-blacha,</w:t>
      </w:r>
    </w:p>
    <w:p w14:paraId="34704B06" w14:textId="77777777" w:rsidR="00413F29" w:rsidRPr="006431C4" w:rsidRDefault="00413F29" w:rsidP="00CF1E7D">
      <w:pPr>
        <w:numPr>
          <w:ilvl w:val="0"/>
          <w:numId w:val="209"/>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z materiału kompozytowego profilowanego.</w:t>
      </w:r>
    </w:p>
    <w:p w14:paraId="52FAE31B" w14:textId="77777777" w:rsidR="00413F29" w:rsidRPr="006431C4" w:rsidRDefault="00413F29" w:rsidP="00CF1E7D">
      <w:pPr>
        <w:numPr>
          <w:ilvl w:val="0"/>
          <w:numId w:val="209"/>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tarcza znaku o powierzchni &gt; 1 m</w:t>
      </w:r>
      <w:r w:rsidRPr="006431C4">
        <w:rPr>
          <w:rFonts w:cs="Arial"/>
          <w:color w:val="000000"/>
          <w:szCs w:val="20"/>
          <w:vertAlign w:val="superscript"/>
        </w:rPr>
        <w:t>2</w:t>
      </w:r>
      <w:r w:rsidRPr="006431C4">
        <w:rPr>
          <w:rFonts w:cs="Arial"/>
          <w:color w:val="000000"/>
          <w:szCs w:val="20"/>
        </w:rPr>
        <w:t xml:space="preserve"> powinna być wykonana:</w:t>
      </w:r>
    </w:p>
    <w:p w14:paraId="7DE774A9" w14:textId="77777777" w:rsidR="00413F29" w:rsidRPr="006431C4" w:rsidRDefault="00413F29" w:rsidP="00CF1E7D">
      <w:pPr>
        <w:numPr>
          <w:ilvl w:val="0"/>
          <w:numId w:val="209"/>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z blachy stalowej ocynkowanej ogniowo o grubości co najmniej 1,5 mm wg PN-EN 10346:2011 [7], gatunek stali co najmniej DX52D z powłoką cynkową co najmniej Z275,</w:t>
      </w:r>
    </w:p>
    <w:p w14:paraId="3373647E" w14:textId="77777777" w:rsidR="00413F29" w:rsidRPr="006431C4" w:rsidRDefault="00413F29" w:rsidP="00CF1E7D">
      <w:pPr>
        <w:numPr>
          <w:ilvl w:val="0"/>
          <w:numId w:val="209"/>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z blachy aluminiowej o grubości co najmniej 2 mm wg PN-EN 485-1 i PN-EN 485-4 [8],</w:t>
      </w:r>
    </w:p>
    <w:p w14:paraId="6CE2FB3B" w14:textId="77777777" w:rsidR="00413F29" w:rsidRPr="006431C4" w:rsidRDefault="00413F29" w:rsidP="00CF1E7D">
      <w:pPr>
        <w:numPr>
          <w:ilvl w:val="0"/>
          <w:numId w:val="209"/>
        </w:numPr>
        <w:overflowPunct w:val="0"/>
        <w:autoSpaceDE w:val="0"/>
        <w:autoSpaceDN w:val="0"/>
        <w:adjustRightInd w:val="0"/>
        <w:spacing w:line="240" w:lineRule="auto"/>
        <w:jc w:val="both"/>
        <w:textAlignment w:val="baseline"/>
        <w:rPr>
          <w:rFonts w:cs="Arial"/>
          <w:color w:val="000000"/>
          <w:szCs w:val="20"/>
        </w:rPr>
      </w:pPr>
      <w:r w:rsidRPr="006431C4">
        <w:rPr>
          <w:rFonts w:cs="Arial"/>
          <w:color w:val="000000"/>
          <w:szCs w:val="20"/>
        </w:rPr>
        <w:t>z materiału warstwowego blacha-polimer-blacha.</w:t>
      </w:r>
    </w:p>
    <w:p w14:paraId="5ACCEEE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color w:val="000000"/>
          <w:szCs w:val="20"/>
        </w:rPr>
        <w:tab/>
        <w:t>Do oznakowania tymczasowego dopuszcza się stosowanie materiałów z tworzyw</w:t>
      </w:r>
      <w:r w:rsidRPr="006431C4">
        <w:rPr>
          <w:rFonts w:cs="Arial"/>
          <w:szCs w:val="20"/>
        </w:rPr>
        <w:t xml:space="preserve"> sztucznych, w tym znaków miękkich zwijanych.</w:t>
      </w:r>
    </w:p>
    <w:p w14:paraId="02F53609"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Tarcze znaków, niezależnie od wielkości powierzchni, mogą być wykonane z płyty o konstrukcji warstwowej zbudowanej z dwóch płaskich blach stalowych o grubości min. 0,5 mm, z powłoką cynkową, co najmniej 225 g/m</w:t>
      </w:r>
      <w:r w:rsidRPr="006431C4">
        <w:rPr>
          <w:rFonts w:cs="Arial"/>
          <w:szCs w:val="20"/>
          <w:vertAlign w:val="superscript"/>
        </w:rPr>
        <w:t>2</w:t>
      </w:r>
      <w:r w:rsidRPr="006431C4">
        <w:rPr>
          <w:rFonts w:cs="Arial"/>
          <w:szCs w:val="20"/>
        </w:rPr>
        <w:t>, pokrytych od strony zewnętrznej ochronną powłoka lakierniczą o grubości min. 25 µm oraz z płyty styropianowej w gatunku min. EPS 150 o grubości min. 22 mm, połączonych ze sobą trwale warstwami kleju. Krawędzie boczne tarcz warstwowych powinny być zabezpieczone profilem PCV. Na tylnej powierzchni tarcz montuje się uchwyty mocujące, tj. stalowe ocynkowane profile ceowe lub profile aluminiowe do wcześniej przypawanych (zgrzanych) do rewersu blachy metodą kondensatorową bolców gwintowanych.</w:t>
      </w:r>
    </w:p>
    <w:p w14:paraId="1426BA4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Inne niż wyżej wymienione materiały mogą być stosowane jeśli spełniają wymagania bezpieczeństwa, wytrzymałości i trwałości po uzyskaniu certyfikatu jednostki notyfikowanej. W przypadku zastosowania powłoki metalizacyjnej cynkowej na konstrukcjach stalowych, powinna ona spełniać wymagania PN EN ISO 1461:2011 [9] i PN-EN 10240:2001 [10]. Grubość warstwy powłoki cynkowej na blasze stalowej ocynkowanej ogniowo nie może być mniejsza niż 18 </w:t>
      </w:r>
      <w:r w:rsidRPr="006431C4">
        <w:rPr>
          <w:rFonts w:cs="Arial"/>
          <w:szCs w:val="20"/>
        </w:rPr>
        <w:sym w:font="Symbol" w:char="F06D"/>
      </w:r>
      <w:r w:rsidRPr="006431C4">
        <w:rPr>
          <w:rFonts w:cs="Arial"/>
          <w:szCs w:val="20"/>
        </w:rPr>
        <w:t>m (275 g Zn/m</w:t>
      </w:r>
      <w:r w:rsidRPr="006431C4">
        <w:rPr>
          <w:rFonts w:cs="Arial"/>
          <w:szCs w:val="20"/>
          <w:vertAlign w:val="superscript"/>
        </w:rPr>
        <w:t>2</w:t>
      </w:r>
      <w:r w:rsidRPr="006431C4">
        <w:rPr>
          <w:rFonts w:cs="Arial"/>
          <w:szCs w:val="20"/>
        </w:rPr>
        <w:t>) po jednej stronie blachy.</w:t>
      </w:r>
    </w:p>
    <w:p w14:paraId="2CC4384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Powierzchnia powłoki powinna być ciągła i jednorodna pod względem ziarnistości. Nie może ona wykazywać widocznych wad jak rysy, pęknięcia, pęcherze lub odstawanie powłoki od podłoża.</w:t>
      </w:r>
    </w:p>
    <w:p w14:paraId="7EB05635" w14:textId="77777777" w:rsidR="00413F29" w:rsidRPr="006431C4" w:rsidRDefault="00413F29" w:rsidP="00270120">
      <w:pPr>
        <w:tabs>
          <w:tab w:val="left" w:pos="0"/>
        </w:tabs>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Znaki i tablice powinny spełniać następujące wymagania podane w tablicy 1.</w:t>
      </w:r>
    </w:p>
    <w:p w14:paraId="4DE81B9A" w14:textId="77777777" w:rsidR="00413F29" w:rsidRPr="006431C4" w:rsidRDefault="00413F29" w:rsidP="00270120">
      <w:pPr>
        <w:tabs>
          <w:tab w:val="left" w:pos="0"/>
        </w:tabs>
        <w:overflowPunct w:val="0"/>
        <w:autoSpaceDE w:val="0"/>
        <w:autoSpaceDN w:val="0"/>
        <w:adjustRightInd w:val="0"/>
        <w:spacing w:line="240" w:lineRule="auto"/>
        <w:ind w:firstLine="709"/>
        <w:jc w:val="both"/>
        <w:textAlignment w:val="baseline"/>
        <w:rPr>
          <w:rFonts w:cs="Arial"/>
          <w:szCs w:val="20"/>
        </w:rPr>
      </w:pPr>
    </w:p>
    <w:p w14:paraId="5C77AF9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Tablica 1.Wymagania dla znaków i tarcz znaków drogowych</w:t>
      </w:r>
    </w:p>
    <w:tbl>
      <w:tblPr>
        <w:tblW w:w="1087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536"/>
        <w:gridCol w:w="1275"/>
        <w:gridCol w:w="4253"/>
        <w:gridCol w:w="1811"/>
      </w:tblGrid>
      <w:tr w:rsidR="00413F29" w:rsidRPr="006431C4" w14:paraId="225CFCE5" w14:textId="77777777" w:rsidTr="005F616C">
        <w:trPr>
          <w:tblHeader/>
          <w:jc w:val="center"/>
        </w:trPr>
        <w:tc>
          <w:tcPr>
            <w:tcW w:w="3536" w:type="dxa"/>
            <w:tcBorders>
              <w:top w:val="single" w:sz="6" w:space="0" w:color="auto"/>
              <w:left w:val="single" w:sz="6" w:space="0" w:color="auto"/>
              <w:bottom w:val="double" w:sz="4" w:space="0" w:color="auto"/>
              <w:right w:val="single" w:sz="6" w:space="0" w:color="auto"/>
            </w:tcBorders>
            <w:vAlign w:val="center"/>
          </w:tcPr>
          <w:p w14:paraId="76985373"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4CC65EEF"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Jednostka</w:t>
            </w:r>
          </w:p>
        </w:tc>
        <w:tc>
          <w:tcPr>
            <w:tcW w:w="4253" w:type="dxa"/>
            <w:tcBorders>
              <w:top w:val="single" w:sz="6" w:space="0" w:color="auto"/>
              <w:left w:val="single" w:sz="6" w:space="0" w:color="auto"/>
              <w:bottom w:val="double" w:sz="4" w:space="0" w:color="auto"/>
              <w:right w:val="single" w:sz="6" w:space="0" w:color="auto"/>
            </w:tcBorders>
            <w:vAlign w:val="center"/>
          </w:tcPr>
          <w:p w14:paraId="7134CFE9"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12191CBA" w14:textId="77777777" w:rsidR="00413F29" w:rsidRPr="006431C4" w:rsidRDefault="00413F29" w:rsidP="00270120">
            <w:pPr>
              <w:overflowPunct w:val="0"/>
              <w:autoSpaceDE w:val="0"/>
              <w:autoSpaceDN w:val="0"/>
              <w:adjustRightInd w:val="0"/>
              <w:spacing w:line="240" w:lineRule="auto"/>
              <w:ind w:left="-385" w:firstLine="385"/>
              <w:jc w:val="center"/>
              <w:textAlignment w:val="baseline"/>
              <w:rPr>
                <w:rFonts w:cs="Arial"/>
                <w:bCs/>
                <w:szCs w:val="20"/>
              </w:rPr>
            </w:pPr>
            <w:r w:rsidRPr="006431C4">
              <w:rPr>
                <w:rFonts w:cs="Arial"/>
                <w:bCs/>
                <w:szCs w:val="20"/>
              </w:rPr>
              <w:t>Klasa wg</w:t>
            </w:r>
          </w:p>
          <w:p w14:paraId="686FC171"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PN-EN 12899-1: 2010 [1]</w:t>
            </w:r>
          </w:p>
        </w:tc>
      </w:tr>
      <w:tr w:rsidR="00413F29" w:rsidRPr="006431C4" w14:paraId="5DCA755C" w14:textId="77777777" w:rsidTr="005F616C">
        <w:trPr>
          <w:jc w:val="center"/>
        </w:trPr>
        <w:tc>
          <w:tcPr>
            <w:tcW w:w="3536" w:type="dxa"/>
            <w:tcBorders>
              <w:top w:val="double" w:sz="4" w:space="0" w:color="auto"/>
              <w:left w:val="single" w:sz="6" w:space="0" w:color="auto"/>
              <w:bottom w:val="single" w:sz="6" w:space="0" w:color="auto"/>
              <w:right w:val="single" w:sz="6" w:space="0" w:color="auto"/>
            </w:tcBorders>
          </w:tcPr>
          <w:p w14:paraId="645EA5CC"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Wytrzymałość na obciąże-nie siłą naporu wiatru</w:t>
            </w:r>
          </w:p>
        </w:tc>
        <w:tc>
          <w:tcPr>
            <w:tcW w:w="1275" w:type="dxa"/>
            <w:tcBorders>
              <w:top w:val="double" w:sz="4" w:space="0" w:color="auto"/>
              <w:left w:val="single" w:sz="6" w:space="0" w:color="auto"/>
              <w:bottom w:val="single" w:sz="6" w:space="0" w:color="auto"/>
              <w:right w:val="single" w:sz="6" w:space="0" w:color="auto"/>
            </w:tcBorders>
          </w:tcPr>
          <w:p w14:paraId="1E0B5D5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kN m</w:t>
            </w:r>
            <w:r w:rsidRPr="006431C4">
              <w:rPr>
                <w:rFonts w:cs="Arial"/>
                <w:szCs w:val="20"/>
                <w:vertAlign w:val="superscript"/>
                <w:lang w:val="en-US"/>
              </w:rPr>
              <w:t>-2</w:t>
            </w:r>
          </w:p>
        </w:tc>
        <w:tc>
          <w:tcPr>
            <w:tcW w:w="4253" w:type="dxa"/>
            <w:tcBorders>
              <w:top w:val="double" w:sz="4" w:space="0" w:color="auto"/>
              <w:left w:val="single" w:sz="6" w:space="0" w:color="auto"/>
              <w:bottom w:val="single" w:sz="6" w:space="0" w:color="auto"/>
              <w:right w:val="single" w:sz="6" w:space="0" w:color="auto"/>
            </w:tcBorders>
          </w:tcPr>
          <w:p w14:paraId="3508074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sym w:font="Symbol" w:char="F0B3"/>
            </w:r>
            <w:r w:rsidRPr="006431C4">
              <w:rPr>
                <w:rFonts w:cs="Arial"/>
                <w:szCs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100D002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WL2</w:t>
            </w:r>
          </w:p>
        </w:tc>
      </w:tr>
      <w:tr w:rsidR="00413F29" w:rsidRPr="006431C4" w14:paraId="20E8BE3D" w14:textId="77777777" w:rsidTr="005F616C">
        <w:trPr>
          <w:jc w:val="center"/>
        </w:trPr>
        <w:tc>
          <w:tcPr>
            <w:tcW w:w="3536" w:type="dxa"/>
            <w:tcBorders>
              <w:top w:val="single" w:sz="6" w:space="0" w:color="auto"/>
              <w:left w:val="single" w:sz="6" w:space="0" w:color="auto"/>
              <w:bottom w:val="single" w:sz="6" w:space="0" w:color="auto"/>
              <w:right w:val="single" w:sz="6" w:space="0" w:color="auto"/>
            </w:tcBorders>
          </w:tcPr>
          <w:p w14:paraId="3B052AEE"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504CC48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kN</w:t>
            </w:r>
          </w:p>
        </w:tc>
        <w:tc>
          <w:tcPr>
            <w:tcW w:w="4253" w:type="dxa"/>
            <w:tcBorders>
              <w:top w:val="single" w:sz="6" w:space="0" w:color="auto"/>
              <w:left w:val="single" w:sz="6" w:space="0" w:color="auto"/>
              <w:bottom w:val="single" w:sz="6" w:space="0" w:color="auto"/>
              <w:right w:val="single" w:sz="6" w:space="0" w:color="auto"/>
            </w:tcBorders>
          </w:tcPr>
          <w:p w14:paraId="2C1B4CC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lang w:val="en-US"/>
              </w:rPr>
              <w:sym w:font="Symbol" w:char="F0B3"/>
            </w:r>
            <w:r w:rsidRPr="006431C4">
              <w:rPr>
                <w:rFonts w:cs="Arial"/>
                <w:szCs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2E5C2AF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PL2</w:t>
            </w:r>
          </w:p>
        </w:tc>
      </w:tr>
      <w:tr w:rsidR="00413F29" w:rsidRPr="006431C4" w14:paraId="30B3E7B4" w14:textId="77777777" w:rsidTr="005F616C">
        <w:trPr>
          <w:jc w:val="center"/>
        </w:trPr>
        <w:tc>
          <w:tcPr>
            <w:tcW w:w="3536" w:type="dxa"/>
            <w:tcBorders>
              <w:top w:val="single" w:sz="6" w:space="0" w:color="auto"/>
              <w:left w:val="single" w:sz="6" w:space="0" w:color="auto"/>
              <w:bottom w:val="single" w:sz="6" w:space="0" w:color="auto"/>
              <w:right w:val="single" w:sz="6" w:space="0" w:color="auto"/>
            </w:tcBorders>
          </w:tcPr>
          <w:p w14:paraId="1BD6FDB5"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21CFD08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mm/m</w:t>
            </w:r>
          </w:p>
        </w:tc>
        <w:tc>
          <w:tcPr>
            <w:tcW w:w="4253" w:type="dxa"/>
            <w:tcBorders>
              <w:top w:val="single" w:sz="6" w:space="0" w:color="auto"/>
              <w:left w:val="single" w:sz="6" w:space="0" w:color="auto"/>
              <w:bottom w:val="single" w:sz="6" w:space="0" w:color="auto"/>
              <w:right w:val="single" w:sz="6" w:space="0" w:color="auto"/>
            </w:tcBorders>
          </w:tcPr>
          <w:p w14:paraId="3C7FF20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sym w:font="Symbol" w:char="F0A3"/>
            </w:r>
            <w:r w:rsidRPr="006431C4">
              <w:rPr>
                <w:rFonts w:cs="Arial"/>
                <w:szCs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1375FE9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TDB4</w:t>
            </w:r>
          </w:p>
        </w:tc>
      </w:tr>
      <w:tr w:rsidR="00413F29" w:rsidRPr="006431C4" w14:paraId="6186155F" w14:textId="77777777" w:rsidTr="005F616C">
        <w:trPr>
          <w:jc w:val="center"/>
        </w:trPr>
        <w:tc>
          <w:tcPr>
            <w:tcW w:w="3536" w:type="dxa"/>
            <w:tcBorders>
              <w:top w:val="single" w:sz="6" w:space="0" w:color="auto"/>
              <w:left w:val="single" w:sz="6" w:space="0" w:color="auto"/>
              <w:bottom w:val="single" w:sz="6" w:space="0" w:color="auto"/>
              <w:right w:val="single" w:sz="6" w:space="0" w:color="auto"/>
            </w:tcBorders>
          </w:tcPr>
          <w:p w14:paraId="00CCB4DE"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Chwilowe odkształcenie skrętne*</w:t>
            </w:r>
          </w:p>
        </w:tc>
        <w:tc>
          <w:tcPr>
            <w:tcW w:w="1275" w:type="dxa"/>
            <w:tcBorders>
              <w:top w:val="single" w:sz="6" w:space="0" w:color="auto"/>
              <w:left w:val="single" w:sz="6" w:space="0" w:color="auto"/>
              <w:bottom w:val="single" w:sz="6" w:space="0" w:color="auto"/>
              <w:right w:val="single" w:sz="6" w:space="0" w:color="auto"/>
            </w:tcBorders>
          </w:tcPr>
          <w:p w14:paraId="48435F45"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vertAlign w:val="superscript"/>
              </w:rPr>
            </w:pPr>
            <w:r w:rsidRPr="006431C4">
              <w:rPr>
                <w:rFonts w:cs="Arial"/>
                <w:szCs w:val="20"/>
              </w:rPr>
              <w:t xml:space="preserve">stopień </w:t>
            </w:r>
            <w:r w:rsidRPr="006431C4">
              <w:rPr>
                <w:rFonts w:cs="Arial"/>
                <w:szCs w:val="20"/>
              </w:rPr>
              <w:sym w:font="Symbol" w:char="F0D7"/>
            </w:r>
            <w:r w:rsidRPr="006431C4">
              <w:rPr>
                <w:rFonts w:cs="Arial"/>
                <w:szCs w:val="20"/>
              </w:rPr>
              <w:t xml:space="preserve"> m</w:t>
            </w:r>
          </w:p>
        </w:tc>
        <w:tc>
          <w:tcPr>
            <w:tcW w:w="4253" w:type="dxa"/>
            <w:tcBorders>
              <w:top w:val="single" w:sz="6" w:space="0" w:color="auto"/>
              <w:left w:val="single" w:sz="6" w:space="0" w:color="auto"/>
              <w:bottom w:val="single" w:sz="6" w:space="0" w:color="auto"/>
              <w:right w:val="single" w:sz="6" w:space="0" w:color="auto"/>
            </w:tcBorders>
          </w:tcPr>
          <w:p w14:paraId="5BAAC3D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lang w:val="en-US"/>
              </w:rPr>
              <w:sym w:font="Symbol" w:char="F0A3"/>
            </w:r>
            <w:r w:rsidRPr="006431C4">
              <w:rPr>
                <w:rFonts w:cs="Arial"/>
                <w:szCs w:val="20"/>
              </w:rPr>
              <w:t xml:space="preserve"> 0,02</w:t>
            </w:r>
          </w:p>
          <w:p w14:paraId="4128ECD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lang w:val="en-US"/>
              </w:rPr>
              <w:lastRenderedPageBreak/>
              <w:sym w:font="Symbol" w:char="F0A3"/>
            </w:r>
            <w:r w:rsidRPr="006431C4">
              <w:rPr>
                <w:rFonts w:cs="Arial"/>
                <w:szCs w:val="20"/>
              </w:rPr>
              <w:t xml:space="preserve"> 0,11</w:t>
            </w:r>
          </w:p>
          <w:p w14:paraId="5A13FCF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lang w:val="en-US"/>
              </w:rPr>
              <w:sym w:font="Symbol" w:char="F0A3"/>
            </w:r>
            <w:r w:rsidRPr="006431C4">
              <w:rPr>
                <w:rFonts w:cs="Arial"/>
                <w:szCs w:val="20"/>
              </w:rPr>
              <w:t xml:space="preserve"> 0,57</w:t>
            </w:r>
          </w:p>
          <w:p w14:paraId="4BDC039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lang w:val="en-US"/>
              </w:rPr>
              <w:sym w:font="Symbol" w:char="F0A3"/>
            </w:r>
            <w:r w:rsidRPr="006431C4">
              <w:rPr>
                <w:rFonts w:cs="Arial"/>
                <w:szCs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5282A7B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TDT1</w:t>
            </w:r>
          </w:p>
          <w:p w14:paraId="7969455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TDT3</w:t>
            </w:r>
          </w:p>
          <w:p w14:paraId="5694F77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TDT5</w:t>
            </w:r>
          </w:p>
          <w:p w14:paraId="2BE73FC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TDT6</w:t>
            </w:r>
          </w:p>
        </w:tc>
      </w:tr>
      <w:tr w:rsidR="00413F29" w:rsidRPr="006431C4" w14:paraId="5208BCAA" w14:textId="77777777" w:rsidTr="005F616C">
        <w:trPr>
          <w:jc w:val="center"/>
        </w:trPr>
        <w:tc>
          <w:tcPr>
            <w:tcW w:w="3536" w:type="dxa"/>
            <w:tcBorders>
              <w:top w:val="single" w:sz="6" w:space="0" w:color="auto"/>
              <w:left w:val="single" w:sz="6" w:space="0" w:color="auto"/>
              <w:bottom w:val="single" w:sz="6" w:space="0" w:color="auto"/>
              <w:right w:val="single" w:sz="6" w:space="0" w:color="auto"/>
            </w:tcBorders>
          </w:tcPr>
          <w:p w14:paraId="6FEECF2D"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lastRenderedPageBreak/>
              <w:t>Odkształcenie trwałe</w:t>
            </w:r>
          </w:p>
        </w:tc>
        <w:tc>
          <w:tcPr>
            <w:tcW w:w="1275" w:type="dxa"/>
            <w:tcBorders>
              <w:top w:val="single" w:sz="6" w:space="0" w:color="auto"/>
              <w:left w:val="single" w:sz="6" w:space="0" w:color="auto"/>
              <w:bottom w:val="single" w:sz="6" w:space="0" w:color="auto"/>
              <w:right w:val="single" w:sz="6" w:space="0" w:color="auto"/>
            </w:tcBorders>
          </w:tcPr>
          <w:p w14:paraId="378EE03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mm/m  lub stopień </w:t>
            </w:r>
            <w:r w:rsidRPr="006431C4">
              <w:rPr>
                <w:rFonts w:cs="Arial"/>
                <w:szCs w:val="20"/>
              </w:rPr>
              <w:sym w:font="Symbol" w:char="F0D7"/>
            </w:r>
            <w:r w:rsidRPr="006431C4">
              <w:rPr>
                <w:rFonts w:cs="Arial"/>
                <w:szCs w:val="20"/>
              </w:rPr>
              <w:t xml:space="preserve"> m</w:t>
            </w:r>
          </w:p>
        </w:tc>
        <w:tc>
          <w:tcPr>
            <w:tcW w:w="4253" w:type="dxa"/>
            <w:tcBorders>
              <w:top w:val="single" w:sz="6" w:space="0" w:color="auto"/>
              <w:left w:val="single" w:sz="6" w:space="0" w:color="auto"/>
              <w:bottom w:val="single" w:sz="6" w:space="0" w:color="auto"/>
              <w:right w:val="single" w:sz="6" w:space="0" w:color="auto"/>
            </w:tcBorders>
          </w:tcPr>
          <w:p w14:paraId="7F3D7DC4"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750EC0D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413F29" w:rsidRPr="006431C4" w14:paraId="235EA7FC" w14:textId="77777777" w:rsidTr="005F616C">
        <w:trPr>
          <w:jc w:val="center"/>
        </w:trPr>
        <w:tc>
          <w:tcPr>
            <w:tcW w:w="3536" w:type="dxa"/>
            <w:tcBorders>
              <w:top w:val="single" w:sz="6" w:space="0" w:color="auto"/>
              <w:left w:val="single" w:sz="6" w:space="0" w:color="auto"/>
              <w:bottom w:val="single" w:sz="6" w:space="0" w:color="auto"/>
              <w:right w:val="single" w:sz="6" w:space="0" w:color="auto"/>
            </w:tcBorders>
          </w:tcPr>
          <w:p w14:paraId="343AA764"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493474C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4253" w:type="dxa"/>
            <w:tcBorders>
              <w:top w:val="single" w:sz="6" w:space="0" w:color="auto"/>
              <w:left w:val="single" w:sz="6" w:space="0" w:color="auto"/>
              <w:bottom w:val="single" w:sz="6" w:space="0" w:color="auto"/>
              <w:right w:val="single" w:sz="6" w:space="0" w:color="auto"/>
            </w:tcBorders>
          </w:tcPr>
          <w:p w14:paraId="7C71D5A1"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361D76A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E2</w:t>
            </w:r>
          </w:p>
        </w:tc>
      </w:tr>
      <w:tr w:rsidR="00413F29" w:rsidRPr="006431C4" w14:paraId="2FD6F80A" w14:textId="77777777" w:rsidTr="005F616C">
        <w:trPr>
          <w:jc w:val="center"/>
        </w:trPr>
        <w:tc>
          <w:tcPr>
            <w:tcW w:w="3536" w:type="dxa"/>
            <w:tcBorders>
              <w:top w:val="single" w:sz="6" w:space="0" w:color="auto"/>
              <w:left w:val="single" w:sz="6" w:space="0" w:color="auto"/>
              <w:bottom w:val="single" w:sz="6" w:space="0" w:color="auto"/>
              <w:right w:val="single" w:sz="6" w:space="0" w:color="auto"/>
            </w:tcBorders>
          </w:tcPr>
          <w:p w14:paraId="015F3FEC"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Przewiercanie tarczy i lica znaku</w:t>
            </w:r>
          </w:p>
        </w:tc>
        <w:tc>
          <w:tcPr>
            <w:tcW w:w="1275" w:type="dxa"/>
            <w:tcBorders>
              <w:top w:val="single" w:sz="6" w:space="0" w:color="auto"/>
              <w:left w:val="single" w:sz="6" w:space="0" w:color="auto"/>
              <w:bottom w:val="single" w:sz="6" w:space="0" w:color="auto"/>
              <w:right w:val="single" w:sz="6" w:space="0" w:color="auto"/>
            </w:tcBorders>
          </w:tcPr>
          <w:p w14:paraId="3E23FE4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4253" w:type="dxa"/>
            <w:tcBorders>
              <w:top w:val="single" w:sz="6" w:space="0" w:color="auto"/>
              <w:left w:val="single" w:sz="6" w:space="0" w:color="auto"/>
              <w:bottom w:val="single" w:sz="6" w:space="0" w:color="auto"/>
              <w:right w:val="single" w:sz="6" w:space="0" w:color="auto"/>
            </w:tcBorders>
          </w:tcPr>
          <w:p w14:paraId="05DDBBF7"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2680A21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P3</w:t>
            </w:r>
          </w:p>
        </w:tc>
      </w:tr>
      <w:tr w:rsidR="00413F29" w:rsidRPr="006431C4" w14:paraId="426D0668" w14:textId="77777777" w:rsidTr="005F616C">
        <w:trPr>
          <w:jc w:val="center"/>
        </w:trPr>
        <w:tc>
          <w:tcPr>
            <w:tcW w:w="3536" w:type="dxa"/>
            <w:tcBorders>
              <w:top w:val="single" w:sz="6" w:space="0" w:color="auto"/>
              <w:left w:val="single" w:sz="6" w:space="0" w:color="auto"/>
              <w:bottom w:val="single" w:sz="6" w:space="0" w:color="auto"/>
              <w:right w:val="single" w:sz="6" w:space="0" w:color="auto"/>
            </w:tcBorders>
          </w:tcPr>
          <w:p w14:paraId="64F66D80"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 xml:space="preserve">Odporność na uderzenie kuli o masie 450 g i promieniu kontaktu 50 mm, upuszczonej </w:t>
            </w:r>
          </w:p>
          <w:p w14:paraId="5CD3A77B"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z wysokości 220 mm</w:t>
            </w:r>
          </w:p>
        </w:tc>
        <w:tc>
          <w:tcPr>
            <w:tcW w:w="1275" w:type="dxa"/>
            <w:tcBorders>
              <w:top w:val="single" w:sz="6" w:space="0" w:color="auto"/>
              <w:left w:val="single" w:sz="6" w:space="0" w:color="auto"/>
              <w:bottom w:val="single" w:sz="6" w:space="0" w:color="auto"/>
              <w:right w:val="single" w:sz="6" w:space="0" w:color="auto"/>
            </w:tcBorders>
          </w:tcPr>
          <w:p w14:paraId="3ECD0DA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4253" w:type="dxa"/>
            <w:tcBorders>
              <w:top w:val="single" w:sz="6" w:space="0" w:color="auto"/>
              <w:left w:val="single" w:sz="6" w:space="0" w:color="auto"/>
              <w:bottom w:val="single" w:sz="6" w:space="0" w:color="auto"/>
              <w:right w:val="single" w:sz="6" w:space="0" w:color="auto"/>
            </w:tcBorders>
          </w:tcPr>
          <w:p w14:paraId="5B926037"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Uderzenie nie powinno spowodować pęknięć lub delaminacji folii od pod-łoża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19820AE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p>
          <w:p w14:paraId="2CEA03F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p>
          <w:p w14:paraId="28A7A4E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spełnia</w:t>
            </w:r>
          </w:p>
        </w:tc>
      </w:tr>
      <w:tr w:rsidR="00413F29" w:rsidRPr="006431C4" w14:paraId="7A491D82" w14:textId="77777777" w:rsidTr="005F616C">
        <w:trPr>
          <w:jc w:val="center"/>
        </w:trPr>
        <w:tc>
          <w:tcPr>
            <w:tcW w:w="3536" w:type="dxa"/>
            <w:tcBorders>
              <w:top w:val="single" w:sz="6" w:space="0" w:color="auto"/>
              <w:left w:val="single" w:sz="6" w:space="0" w:color="auto"/>
              <w:bottom w:val="single" w:sz="6" w:space="0" w:color="auto"/>
              <w:right w:val="single" w:sz="6" w:space="0" w:color="auto"/>
            </w:tcBorders>
          </w:tcPr>
          <w:p w14:paraId="6B9BA63C"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4D453F9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4253" w:type="dxa"/>
            <w:tcBorders>
              <w:top w:val="single" w:sz="6" w:space="0" w:color="auto"/>
              <w:left w:val="single" w:sz="6" w:space="0" w:color="auto"/>
              <w:bottom w:val="single" w:sz="6" w:space="0" w:color="auto"/>
              <w:right w:val="single" w:sz="6" w:space="0" w:color="auto"/>
            </w:tcBorders>
          </w:tcPr>
          <w:p w14:paraId="74A44336"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6431C4">
              <w:rPr>
                <w:rFonts w:cs="Arial"/>
                <w:szCs w:val="20"/>
              </w:rPr>
              <w:sym w:font="Symbol" w:char="0061"/>
            </w:r>
            <w:r w:rsidRPr="006431C4">
              <w:rPr>
                <w:rFonts w:cs="Arial"/>
                <w:szCs w:val="20"/>
              </w:rPr>
              <w:t xml:space="preserve"> = 20’ dla kątów oświetlenia </w:t>
            </w:r>
            <w:r w:rsidRPr="006431C4">
              <w:rPr>
                <w:rFonts w:cs="Arial"/>
                <w:szCs w:val="20"/>
              </w:rPr>
              <w:sym w:font="Symbol" w:char="0062"/>
            </w:r>
            <w:r w:rsidRPr="006431C4">
              <w:rPr>
                <w:rFonts w:cs="Arial"/>
                <w:szCs w:val="20"/>
                <w:vertAlign w:val="subscript"/>
              </w:rPr>
              <w:t>1</w:t>
            </w:r>
            <w:r w:rsidRPr="006431C4">
              <w:rPr>
                <w:rFonts w:cs="Arial"/>
                <w:szCs w:val="20"/>
              </w:rPr>
              <w:t xml:space="preserve"> = 5</w:t>
            </w:r>
            <w:r w:rsidRPr="006431C4">
              <w:rPr>
                <w:rFonts w:cs="Arial"/>
                <w:szCs w:val="20"/>
                <w:vertAlign w:val="superscript"/>
              </w:rPr>
              <w:t>o</w:t>
            </w:r>
            <w:r w:rsidRPr="006431C4">
              <w:rPr>
                <w:rFonts w:cs="Arial"/>
                <w:szCs w:val="20"/>
              </w:rPr>
              <w:t xml:space="preserve"> i 30</w:t>
            </w:r>
            <w:r w:rsidRPr="006431C4">
              <w:rPr>
                <w:rFonts w:cs="Arial"/>
                <w:szCs w:val="20"/>
                <w:vertAlign w:val="superscript"/>
              </w:rPr>
              <w:t>o</w:t>
            </w:r>
            <w:r w:rsidRPr="006431C4">
              <w:rPr>
                <w:rFonts w:cs="Arial"/>
                <w:szCs w:val="20"/>
              </w:rPr>
              <w:t xml:space="preserve"> oraz </w:t>
            </w:r>
            <w:r w:rsidRPr="006431C4">
              <w:rPr>
                <w:rFonts w:cs="Arial"/>
                <w:szCs w:val="20"/>
              </w:rPr>
              <w:sym w:font="Symbol" w:char="0062"/>
            </w:r>
            <w:r w:rsidRPr="006431C4">
              <w:rPr>
                <w:rFonts w:cs="Arial"/>
                <w:szCs w:val="20"/>
                <w:vertAlign w:val="subscript"/>
              </w:rPr>
              <w:t>2</w:t>
            </w:r>
            <w:r w:rsidRPr="006431C4">
              <w:rPr>
                <w:rFonts w:cs="Arial"/>
                <w:szCs w:val="20"/>
              </w:rPr>
              <w:t xml:space="preserve"> = 0</w:t>
            </w:r>
            <w:r w:rsidRPr="006431C4">
              <w:rPr>
                <w:rFonts w:cs="Arial"/>
                <w:szCs w:val="20"/>
                <w:vertAlign w:val="superscript"/>
              </w:rPr>
              <w:t xml:space="preserve">o </w:t>
            </w:r>
            <w:r w:rsidRPr="006431C4">
              <w:rPr>
                <w:rFonts w:cs="Arial"/>
                <w:szCs w:val="20"/>
              </w:rPr>
              <w:t>, powinien być nie mniej-</w:t>
            </w:r>
            <w:proofErr w:type="spellStart"/>
            <w:r w:rsidRPr="006431C4">
              <w:rPr>
                <w:rFonts w:cs="Arial"/>
                <w:szCs w:val="20"/>
              </w:rPr>
              <w:t>szy</w:t>
            </w:r>
            <w:proofErr w:type="spellEnd"/>
            <w:r w:rsidRPr="006431C4">
              <w:rPr>
                <w:rFonts w:cs="Arial"/>
                <w:szCs w:val="20"/>
              </w:rPr>
              <w:t xml:space="preserve"> niż 80 % wartości podanych odpowiednio w [16] i w tab.2, 3, 4 i 5.</w:t>
            </w:r>
          </w:p>
        </w:tc>
        <w:tc>
          <w:tcPr>
            <w:tcW w:w="1811" w:type="dxa"/>
            <w:tcBorders>
              <w:top w:val="single" w:sz="6" w:space="0" w:color="auto"/>
              <w:left w:val="single" w:sz="6" w:space="0" w:color="auto"/>
              <w:bottom w:val="single" w:sz="6" w:space="0" w:color="auto"/>
              <w:right w:val="single" w:sz="6" w:space="0" w:color="auto"/>
            </w:tcBorders>
          </w:tcPr>
          <w:p w14:paraId="5CB36EE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p>
          <w:p w14:paraId="6AB21FD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p>
          <w:p w14:paraId="4E7C03A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p>
          <w:p w14:paraId="06A4C5E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spełnia</w:t>
            </w:r>
          </w:p>
        </w:tc>
      </w:tr>
      <w:tr w:rsidR="00413F29" w:rsidRPr="006431C4" w14:paraId="69923AFB" w14:textId="77777777" w:rsidTr="005F616C">
        <w:trPr>
          <w:jc w:val="center"/>
        </w:trPr>
        <w:tc>
          <w:tcPr>
            <w:tcW w:w="10875" w:type="dxa"/>
            <w:gridSpan w:val="4"/>
            <w:tcBorders>
              <w:top w:val="single" w:sz="6" w:space="0" w:color="auto"/>
              <w:left w:val="single" w:sz="6" w:space="0" w:color="auto"/>
              <w:bottom w:val="single" w:sz="6" w:space="0" w:color="auto"/>
              <w:right w:val="single" w:sz="6" w:space="0" w:color="auto"/>
            </w:tcBorders>
          </w:tcPr>
          <w:p w14:paraId="61FE0853" w14:textId="77777777" w:rsidR="00413F29" w:rsidRPr="006431C4" w:rsidRDefault="00413F29" w:rsidP="00270120">
            <w:pPr>
              <w:overflowPunct w:val="0"/>
              <w:autoSpaceDE w:val="0"/>
              <w:autoSpaceDN w:val="0"/>
              <w:adjustRightInd w:val="0"/>
              <w:spacing w:line="240" w:lineRule="auto"/>
              <w:ind w:left="132" w:hanging="132"/>
              <w:jc w:val="both"/>
              <w:textAlignment w:val="baseline"/>
              <w:rPr>
                <w:rFonts w:cs="Arial"/>
                <w:szCs w:val="20"/>
              </w:rPr>
            </w:pPr>
            <w:r w:rsidRPr="006431C4">
              <w:rPr>
                <w:rFonts w:cs="Arial"/>
                <w:szCs w:val="20"/>
              </w:rPr>
              <w:t>*</w:t>
            </w:r>
            <w:r w:rsidRPr="006431C4">
              <w:rPr>
                <w:rFonts w:cs="Arial"/>
                <w:szCs w:val="20"/>
              </w:rPr>
              <w:tab/>
              <w:t>klasę TDT1 stosuje się dla tablic na konstrukcjach bramowych, klasę TDT3 dla tablic na 2 lub więcej podporach, klasę TDT 5 dla tablic na jednej podporze, klasę TDT6 dla tablic na konstrukcjach wysięgnikowych</w:t>
            </w:r>
          </w:p>
        </w:tc>
      </w:tr>
    </w:tbl>
    <w:p w14:paraId="29ED9F6E"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W przypadku strefy wiatrowej I przeważającej na obszarze kraju do obliczeń konstrukcyjnych należy przyjmować klasę wytrzymałości na obciążenie siłą naporu wiatru WL2 wg [1], co odpowiada obciążeniu siłą naporu wiatru </w:t>
      </w:r>
      <w:r w:rsidRPr="006431C4">
        <w:rPr>
          <w:rFonts w:cs="Arial"/>
          <w:szCs w:val="20"/>
          <w:lang w:val="en-US"/>
        </w:rPr>
        <w:sym w:font="Symbol" w:char="00B3"/>
      </w:r>
      <w:r w:rsidRPr="006431C4">
        <w:rPr>
          <w:rFonts w:cs="Arial"/>
          <w:szCs w:val="20"/>
        </w:rPr>
        <w:t xml:space="preserve"> 0,60 kN m</w:t>
      </w:r>
      <w:r w:rsidRPr="006431C4">
        <w:rPr>
          <w:rFonts w:cs="Arial"/>
          <w:szCs w:val="20"/>
          <w:vertAlign w:val="superscript"/>
        </w:rPr>
        <w:t xml:space="preserve">-2 </w:t>
      </w:r>
      <w:r w:rsidRPr="006431C4">
        <w:rPr>
          <w:rFonts w:cs="Arial"/>
          <w:szCs w:val="20"/>
        </w:rPr>
        <w:t>. Do badań laboratoryjnych ugięcia znaku zaleca się przyjmować odpowiadające tej klasie po uwzględnieniu współczynników korygujących, obciążenie 68 kg/m</w:t>
      </w:r>
      <w:r w:rsidRPr="006431C4">
        <w:rPr>
          <w:rFonts w:cs="Arial"/>
          <w:szCs w:val="20"/>
          <w:vertAlign w:val="superscript"/>
        </w:rPr>
        <w:t>2</w:t>
      </w:r>
      <w:r w:rsidRPr="006431C4">
        <w:rPr>
          <w:rFonts w:cs="Arial"/>
          <w:szCs w:val="20"/>
        </w:rPr>
        <w:t>. Jako wymaganie przyjęto, że chwilowe odkształcenie zginające, zarówno znak, jak i samą tarczę znaku nie może być większe niż 25 mm/m (klasa TDB4).</w:t>
      </w:r>
    </w:p>
    <w:p w14:paraId="1C09F630"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2.6.2. </w:t>
      </w:r>
      <w:r w:rsidRPr="006431C4">
        <w:rPr>
          <w:rFonts w:cs="Arial"/>
          <w:szCs w:val="20"/>
        </w:rPr>
        <w:t>Warunki wykonania tarczy znaku</w:t>
      </w:r>
    </w:p>
    <w:p w14:paraId="45363DE5"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Tarcze znaków powinny spełniać także następujące wymagania:</w:t>
      </w:r>
    </w:p>
    <w:p w14:paraId="4CF14558" w14:textId="77777777" w:rsidR="00413F29" w:rsidRPr="006431C4" w:rsidRDefault="00413F29" w:rsidP="00CF1E7D">
      <w:pPr>
        <w:numPr>
          <w:ilvl w:val="0"/>
          <w:numId w:val="179"/>
        </w:numPr>
        <w:tabs>
          <w:tab w:val="left" w:pos="0"/>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6431C4">
          <w:rPr>
            <w:rFonts w:cs="Arial"/>
            <w:szCs w:val="20"/>
          </w:rPr>
          <w:t>10 mm</w:t>
        </w:r>
      </w:smartTag>
      <w:r w:rsidRPr="006431C4">
        <w:rPr>
          <w:rFonts w:cs="Arial"/>
          <w:szCs w:val="20"/>
        </w:rPr>
        <w:t xml:space="preserve"> włącznie z narożnikami lub przez zamocowanie odpowiedniego profilu na całym obwodzie znaku, </w:t>
      </w:r>
    </w:p>
    <w:p w14:paraId="5EFE21ED" w14:textId="77777777" w:rsidR="00413F29" w:rsidRPr="006431C4" w:rsidRDefault="00413F29" w:rsidP="00CF1E7D">
      <w:pPr>
        <w:numPr>
          <w:ilvl w:val="0"/>
          <w:numId w:val="179"/>
        </w:numPr>
        <w:tabs>
          <w:tab w:val="left" w:pos="0"/>
        </w:tabs>
        <w:overflowPunct w:val="0"/>
        <w:autoSpaceDE w:val="0"/>
        <w:autoSpaceDN w:val="0"/>
        <w:adjustRightInd w:val="0"/>
        <w:spacing w:line="240" w:lineRule="auto"/>
        <w:jc w:val="both"/>
        <w:textAlignment w:val="baseline"/>
        <w:rPr>
          <w:rFonts w:cs="Arial"/>
          <w:szCs w:val="20"/>
        </w:rPr>
      </w:pPr>
      <w:r w:rsidRPr="006431C4">
        <w:rPr>
          <w:rFonts w:cs="Arial"/>
          <w:szCs w:val="20"/>
        </w:rPr>
        <w:t>powierzchnia czołowa tarczy znaku powinna być równa – bez wgięć, pofałdowań i otworów montażowych. Dopuszczalna nierówność wynosi 1 mm/m,</w:t>
      </w:r>
    </w:p>
    <w:p w14:paraId="56685C96" w14:textId="77777777" w:rsidR="00413F29" w:rsidRPr="006431C4" w:rsidRDefault="00413F29" w:rsidP="00CF1E7D">
      <w:pPr>
        <w:numPr>
          <w:ilvl w:val="0"/>
          <w:numId w:val="179"/>
        </w:numPr>
        <w:tabs>
          <w:tab w:val="left" w:pos="0"/>
        </w:tabs>
        <w:overflowPunct w:val="0"/>
        <w:autoSpaceDE w:val="0"/>
        <w:autoSpaceDN w:val="0"/>
        <w:adjustRightInd w:val="0"/>
        <w:spacing w:line="240" w:lineRule="auto"/>
        <w:jc w:val="both"/>
        <w:textAlignment w:val="baseline"/>
        <w:rPr>
          <w:rFonts w:cs="Arial"/>
          <w:szCs w:val="20"/>
        </w:rPr>
      </w:pPr>
      <w:r w:rsidRPr="006431C4">
        <w:rPr>
          <w:rFonts w:cs="Arial"/>
          <w:szCs w:val="20"/>
        </w:rPr>
        <w:t>podwójna gięta krawędź i/lub przymocowane do tylnej powierzchni profile montażowe powinny usztywnić tarczę znaku w taki sposób, aby wymagania podane w tablicy 1 były spełnione a zarazem stanowiły element konstrukcyjny do montażu do konstrukcji wsporczej,</w:t>
      </w:r>
    </w:p>
    <w:p w14:paraId="7CB4B803" w14:textId="77777777" w:rsidR="00413F29" w:rsidRPr="006431C4" w:rsidRDefault="00413F29" w:rsidP="00CF1E7D">
      <w:pPr>
        <w:numPr>
          <w:ilvl w:val="0"/>
          <w:numId w:val="179"/>
        </w:numPr>
        <w:tabs>
          <w:tab w:val="left" w:pos="0"/>
        </w:tabs>
        <w:overflowPunct w:val="0"/>
        <w:autoSpaceDE w:val="0"/>
        <w:autoSpaceDN w:val="0"/>
        <w:adjustRightInd w:val="0"/>
        <w:spacing w:line="240" w:lineRule="auto"/>
        <w:jc w:val="both"/>
        <w:textAlignment w:val="baseline"/>
        <w:rPr>
          <w:rFonts w:cs="Arial"/>
          <w:szCs w:val="20"/>
        </w:rPr>
      </w:pPr>
      <w:r w:rsidRPr="006431C4">
        <w:rPr>
          <w:rFonts w:cs="Arial"/>
          <w:szCs w:val="20"/>
        </w:rPr>
        <w:t>tylna powierzchnia tarczy powinna być zabezpieczona przed procesami korozji ochronnymi powłokami chemicznymi oraz powłoką lakierniczą o grubości min. 60 µm z proszkowych farb poliestrowych ciemnoszarych matowych lub półmatowych w kolorze zbliżonym do RAL 7037 [26]; badania w zakresie odporności na działanie mgły solnej oraz wody należy wykonywać zgodnie z PN-ISO 7253:2000 [11],</w:t>
      </w:r>
    </w:p>
    <w:p w14:paraId="3C043CE8" w14:textId="77777777" w:rsidR="00413F29" w:rsidRPr="006431C4" w:rsidRDefault="00413F29" w:rsidP="00CF1E7D">
      <w:pPr>
        <w:numPr>
          <w:ilvl w:val="0"/>
          <w:numId w:val="179"/>
        </w:numPr>
        <w:tabs>
          <w:tab w:val="left" w:pos="0"/>
        </w:tabs>
        <w:overflowPunct w:val="0"/>
        <w:autoSpaceDE w:val="0"/>
        <w:autoSpaceDN w:val="0"/>
        <w:adjustRightInd w:val="0"/>
        <w:spacing w:line="240" w:lineRule="auto"/>
        <w:jc w:val="both"/>
        <w:textAlignment w:val="baseline"/>
        <w:rPr>
          <w:rFonts w:cs="Arial"/>
          <w:szCs w:val="20"/>
        </w:rPr>
      </w:pPr>
      <w:r w:rsidRPr="006431C4">
        <w:rPr>
          <w:rFonts w:cs="Arial"/>
          <w:szCs w:val="20"/>
        </w:rPr>
        <w:t>odwrotną stronę tarczy, jeżeli jest wykorzystywana do umieszczenia znaku dla jadących z przeciwnego kierunku, także należy zabezpieczyć powłoką lakierniczą w kolorze szarym zbliżonym do RAL 7037.</w:t>
      </w:r>
    </w:p>
    <w:p w14:paraId="09A166D4"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Tarcze znaków i tablic o powierzchni &gt; </w:t>
      </w:r>
      <w:smartTag w:uri="urn:schemas-microsoft-com:office:smarttags" w:element="metricconverter">
        <w:smartTagPr>
          <w:attr w:name="ProductID" w:val="1 m2"/>
        </w:smartTagPr>
        <w:r w:rsidRPr="006431C4">
          <w:rPr>
            <w:rFonts w:cs="Arial"/>
            <w:szCs w:val="20"/>
          </w:rPr>
          <w:t>1 m</w:t>
        </w:r>
        <w:r w:rsidRPr="006431C4">
          <w:rPr>
            <w:rFonts w:cs="Arial"/>
            <w:szCs w:val="20"/>
            <w:vertAlign w:val="superscript"/>
          </w:rPr>
          <w:t>2</w:t>
        </w:r>
      </w:smartTag>
      <w:r w:rsidRPr="006431C4">
        <w:rPr>
          <w:rFonts w:cs="Arial"/>
          <w:szCs w:val="20"/>
          <w:vertAlign w:val="superscript"/>
        </w:rPr>
        <w:t xml:space="preserve"> </w:t>
      </w:r>
      <w:r w:rsidRPr="006431C4">
        <w:rPr>
          <w:rFonts w:cs="Arial"/>
          <w:szCs w:val="20"/>
        </w:rPr>
        <w:t>powinny spełniać dodatkowo następujące wymagania:</w:t>
      </w:r>
    </w:p>
    <w:p w14:paraId="0FF27EA1" w14:textId="77777777" w:rsidR="00413F29" w:rsidRPr="006431C4" w:rsidRDefault="00413F29" w:rsidP="00CF1E7D">
      <w:pPr>
        <w:numPr>
          <w:ilvl w:val="0"/>
          <w:numId w:val="180"/>
        </w:numPr>
        <w:tabs>
          <w:tab w:val="left" w:pos="0"/>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narożniki znaku i tablicy powinny być zaokrąglone, o promieniu zgodnym z wymaganiami określonymi w załączniku nr 1 do rozporządzenia Ministra Infrastruktury z dnia 3 lipca 2003 r. [19] nie mniejszym jednak niż </w:t>
      </w:r>
      <w:smartTag w:uri="urn:schemas-microsoft-com:office:smarttags" w:element="metricconverter">
        <w:smartTagPr>
          <w:attr w:name="ProductID" w:val="30 mm"/>
        </w:smartTagPr>
        <w:r w:rsidRPr="006431C4">
          <w:rPr>
            <w:rFonts w:cs="Arial"/>
            <w:szCs w:val="20"/>
          </w:rPr>
          <w:t>30 mm</w:t>
        </w:r>
      </w:smartTag>
      <w:r w:rsidRPr="006431C4">
        <w:rPr>
          <w:rFonts w:cs="Arial"/>
          <w:szCs w:val="20"/>
        </w:rPr>
        <w:t>, gdy wielkości tego promienia nie wskazano,</w:t>
      </w:r>
    </w:p>
    <w:p w14:paraId="64F08F06" w14:textId="77777777" w:rsidR="00413F29" w:rsidRPr="006431C4" w:rsidRDefault="00413F29" w:rsidP="00CF1E7D">
      <w:pPr>
        <w:numPr>
          <w:ilvl w:val="0"/>
          <w:numId w:val="180"/>
        </w:numPr>
        <w:tabs>
          <w:tab w:val="left" w:pos="0"/>
        </w:tabs>
        <w:overflowPunct w:val="0"/>
        <w:autoSpaceDE w:val="0"/>
        <w:autoSpaceDN w:val="0"/>
        <w:adjustRightInd w:val="0"/>
        <w:spacing w:line="240" w:lineRule="auto"/>
        <w:jc w:val="both"/>
        <w:textAlignment w:val="baseline"/>
        <w:rPr>
          <w:rFonts w:cs="Arial"/>
          <w:szCs w:val="20"/>
        </w:rPr>
      </w:pPr>
      <w:r w:rsidRPr="006431C4">
        <w:rPr>
          <w:rFonts w:cs="Arial"/>
          <w:szCs w:val="20"/>
        </w:rPr>
        <w:t>łączenie poszczególnych segmentów tarczy (dla znaków wielkopowierzchniowych) wzdłuż poziomej lub pionowej krawędzi  powinno być wykonane w taki sposób, aby nie występowały przesunięcia i prześwity w miejscach ich łączenia.</w:t>
      </w:r>
    </w:p>
    <w:p w14:paraId="7BABBD48"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
          <w:bCs/>
          <w:szCs w:val="20"/>
        </w:rPr>
        <w:t xml:space="preserve">2.6.3  </w:t>
      </w:r>
      <w:r w:rsidRPr="006431C4">
        <w:rPr>
          <w:rFonts w:cs="Arial"/>
          <w:bCs/>
          <w:szCs w:val="20"/>
        </w:rPr>
        <w:t>Tolerancje wymiarowe znaków drogowych</w:t>
      </w:r>
    </w:p>
    <w:p w14:paraId="068966C6" w14:textId="77777777" w:rsidR="00413F29" w:rsidRPr="006431C4" w:rsidRDefault="00413F29" w:rsidP="00270120">
      <w:pPr>
        <w:overflowPunct w:val="0"/>
        <w:autoSpaceDE w:val="0"/>
        <w:autoSpaceDN w:val="0"/>
        <w:adjustRightInd w:val="0"/>
        <w:spacing w:line="240" w:lineRule="auto"/>
        <w:jc w:val="both"/>
        <w:textAlignment w:val="baseline"/>
        <w:rPr>
          <w:rFonts w:cs="Arial"/>
          <w:b/>
          <w:bCs/>
          <w:szCs w:val="20"/>
        </w:rPr>
      </w:pPr>
      <w:r w:rsidRPr="006431C4">
        <w:rPr>
          <w:rFonts w:cs="Arial"/>
          <w:bCs/>
          <w:szCs w:val="20"/>
        </w:rPr>
        <w:t>2.6.3.1.</w:t>
      </w:r>
      <w:r w:rsidRPr="006431C4">
        <w:rPr>
          <w:rFonts w:cs="Arial"/>
          <w:b/>
          <w:bCs/>
          <w:szCs w:val="20"/>
        </w:rPr>
        <w:t xml:space="preserve">  </w:t>
      </w:r>
      <w:r w:rsidRPr="006431C4">
        <w:rPr>
          <w:rFonts w:cs="Arial"/>
          <w:bCs/>
          <w:szCs w:val="20"/>
        </w:rPr>
        <w:t>Tolerancje wymiarowe dla grubości blach</w:t>
      </w:r>
    </w:p>
    <w:p w14:paraId="603877E5"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bCs/>
          <w:szCs w:val="20"/>
        </w:rPr>
      </w:pPr>
      <w:r w:rsidRPr="006431C4">
        <w:rPr>
          <w:rFonts w:cs="Arial"/>
          <w:bCs/>
          <w:szCs w:val="20"/>
        </w:rPr>
        <w:t>Sprawdzenie śrubą mikrometryczną:</w:t>
      </w:r>
    </w:p>
    <w:p w14:paraId="715C6E58" w14:textId="77777777" w:rsidR="00413F29" w:rsidRPr="006431C4" w:rsidRDefault="00413F29" w:rsidP="00CF1E7D">
      <w:pPr>
        <w:numPr>
          <w:ilvl w:val="0"/>
          <w:numId w:val="181"/>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dla blachy stalowej ocynkowanej ogniowo o gr. 1,25 - </w:t>
      </w:r>
      <w:smartTag w:uri="urn:schemas-microsoft-com:office:smarttags" w:element="metricconverter">
        <w:smartTagPr>
          <w:attr w:name="ProductID" w:val="1,5 mm"/>
        </w:smartTagPr>
        <w:r w:rsidRPr="006431C4">
          <w:rPr>
            <w:rFonts w:cs="Arial"/>
            <w:szCs w:val="20"/>
          </w:rPr>
          <w:t>1,5 mm</w:t>
        </w:r>
      </w:smartTag>
      <w:r w:rsidRPr="006431C4">
        <w:rPr>
          <w:rFonts w:cs="Arial"/>
          <w:szCs w:val="20"/>
        </w:rPr>
        <w:t xml:space="preserve"> tolerancja ± </w:t>
      </w:r>
      <w:smartTag w:uri="urn:schemas-microsoft-com:office:smarttags" w:element="metricconverter">
        <w:smartTagPr>
          <w:attr w:name="ProductID" w:val="0,14 mm"/>
        </w:smartTagPr>
        <w:r w:rsidRPr="006431C4">
          <w:rPr>
            <w:rFonts w:cs="Arial"/>
            <w:szCs w:val="20"/>
          </w:rPr>
          <w:t>0,14 mm</w:t>
        </w:r>
      </w:smartTag>
      <w:r w:rsidRPr="006431C4">
        <w:rPr>
          <w:rFonts w:cs="Arial"/>
          <w:szCs w:val="20"/>
        </w:rPr>
        <w:t>,</w:t>
      </w:r>
    </w:p>
    <w:p w14:paraId="0202243A" w14:textId="77777777" w:rsidR="00413F29" w:rsidRPr="006431C4" w:rsidRDefault="00413F29" w:rsidP="00CF1E7D">
      <w:pPr>
        <w:numPr>
          <w:ilvl w:val="0"/>
          <w:numId w:val="181"/>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dla blach aluminiowych o gr. 1,5 - </w:t>
      </w:r>
      <w:smartTag w:uri="urn:schemas-microsoft-com:office:smarttags" w:element="metricconverter">
        <w:smartTagPr>
          <w:attr w:name="ProductID" w:val="2,0 mm"/>
        </w:smartTagPr>
        <w:r w:rsidRPr="006431C4">
          <w:rPr>
            <w:rFonts w:cs="Arial"/>
            <w:szCs w:val="20"/>
          </w:rPr>
          <w:t>2,0 mm</w:t>
        </w:r>
      </w:smartTag>
      <w:r w:rsidRPr="006431C4">
        <w:rPr>
          <w:rFonts w:cs="Arial"/>
          <w:szCs w:val="20"/>
        </w:rPr>
        <w:t xml:space="preserve"> tolerancja ± </w:t>
      </w:r>
      <w:smartTag w:uri="urn:schemas-microsoft-com:office:smarttags" w:element="metricconverter">
        <w:smartTagPr>
          <w:attr w:name="ProductID" w:val="0,10 mm"/>
        </w:smartTagPr>
        <w:r w:rsidRPr="006431C4">
          <w:rPr>
            <w:rFonts w:cs="Arial"/>
            <w:szCs w:val="20"/>
          </w:rPr>
          <w:t>0,10 mm</w:t>
        </w:r>
      </w:smartTag>
      <w:r w:rsidRPr="006431C4">
        <w:rPr>
          <w:rFonts w:cs="Arial"/>
          <w:szCs w:val="20"/>
        </w:rPr>
        <w:t>.</w:t>
      </w:r>
    </w:p>
    <w:p w14:paraId="27347B18" w14:textId="77777777" w:rsidR="00413F29" w:rsidRPr="006431C4" w:rsidRDefault="00413F29" w:rsidP="00270120">
      <w:pPr>
        <w:overflowPunct w:val="0"/>
        <w:autoSpaceDE w:val="0"/>
        <w:autoSpaceDN w:val="0"/>
        <w:adjustRightInd w:val="0"/>
        <w:spacing w:line="240" w:lineRule="auto"/>
        <w:jc w:val="both"/>
        <w:textAlignment w:val="baseline"/>
        <w:rPr>
          <w:rFonts w:cs="Arial"/>
          <w:b/>
          <w:bCs/>
          <w:szCs w:val="20"/>
        </w:rPr>
      </w:pPr>
      <w:r w:rsidRPr="006431C4">
        <w:rPr>
          <w:rFonts w:cs="Arial"/>
          <w:bCs/>
          <w:szCs w:val="20"/>
        </w:rPr>
        <w:lastRenderedPageBreak/>
        <w:t>2.6.3.2.</w:t>
      </w:r>
      <w:r w:rsidRPr="006431C4">
        <w:rPr>
          <w:rFonts w:cs="Arial"/>
          <w:b/>
          <w:bCs/>
          <w:szCs w:val="20"/>
        </w:rPr>
        <w:t xml:space="preserve"> </w:t>
      </w:r>
      <w:r w:rsidRPr="006431C4">
        <w:rPr>
          <w:rFonts w:cs="Arial"/>
          <w:bCs/>
          <w:szCs w:val="20"/>
        </w:rPr>
        <w:t>Tolerancje wymiarowe dla grubości powłok malarskich</w:t>
      </w:r>
      <w:r w:rsidRPr="006431C4">
        <w:rPr>
          <w:rFonts w:cs="Arial"/>
          <w:b/>
          <w:bCs/>
          <w:szCs w:val="20"/>
        </w:rPr>
        <w:t xml:space="preserve"> </w:t>
      </w:r>
    </w:p>
    <w:p w14:paraId="23632023"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bCs/>
          <w:szCs w:val="20"/>
        </w:rPr>
      </w:pPr>
      <w:r w:rsidRPr="006431C4">
        <w:rPr>
          <w:rFonts w:cs="Arial"/>
          <w:szCs w:val="20"/>
        </w:rPr>
        <w:t xml:space="preserve">Dla powłoki lakierniczej na tylnej powierzchni tarczy znaku dopuszczalna tolerancja powinna wynosić od 40 µm do 80 µm. </w:t>
      </w:r>
      <w:r w:rsidRPr="006431C4">
        <w:rPr>
          <w:rFonts w:cs="Arial"/>
          <w:bCs/>
          <w:szCs w:val="20"/>
        </w:rPr>
        <w:t>Sprawdzenie wg PN-EN ISO 2808 [12].</w:t>
      </w:r>
    </w:p>
    <w:p w14:paraId="2CD4B615"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bCs/>
          <w:szCs w:val="20"/>
        </w:rPr>
      </w:pPr>
    </w:p>
    <w:p w14:paraId="775A1586" w14:textId="77777777" w:rsidR="00413F29" w:rsidRPr="006431C4" w:rsidRDefault="00413F29" w:rsidP="00270120">
      <w:pPr>
        <w:overflowPunct w:val="0"/>
        <w:autoSpaceDE w:val="0"/>
        <w:autoSpaceDN w:val="0"/>
        <w:adjustRightInd w:val="0"/>
        <w:spacing w:line="240" w:lineRule="auto"/>
        <w:jc w:val="both"/>
        <w:textAlignment w:val="baseline"/>
        <w:rPr>
          <w:rFonts w:cs="Arial"/>
          <w:b/>
          <w:bCs/>
          <w:szCs w:val="20"/>
        </w:rPr>
      </w:pPr>
      <w:r w:rsidRPr="006431C4">
        <w:rPr>
          <w:rFonts w:cs="Arial"/>
          <w:bCs/>
          <w:szCs w:val="20"/>
        </w:rPr>
        <w:t>2.6.3.3.</w:t>
      </w:r>
      <w:r w:rsidRPr="006431C4">
        <w:rPr>
          <w:rFonts w:cs="Arial"/>
          <w:b/>
          <w:bCs/>
          <w:szCs w:val="20"/>
        </w:rPr>
        <w:t xml:space="preserve"> </w:t>
      </w:r>
      <w:r w:rsidRPr="006431C4">
        <w:rPr>
          <w:rFonts w:cs="Arial"/>
          <w:bCs/>
          <w:szCs w:val="20"/>
        </w:rPr>
        <w:t>Tolerancje wymiarowe dla płaskości powierzchni</w:t>
      </w:r>
    </w:p>
    <w:p w14:paraId="55F8A3F9"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 xml:space="preserve">Odchylenia od </w:t>
      </w:r>
      <w:r w:rsidRPr="006431C4">
        <w:rPr>
          <w:rFonts w:cs="Arial"/>
          <w:bCs/>
          <w:szCs w:val="20"/>
        </w:rPr>
        <w:t xml:space="preserve">płaskości </w:t>
      </w:r>
      <w:r w:rsidRPr="006431C4">
        <w:rPr>
          <w:rFonts w:cs="Arial"/>
          <w:szCs w:val="20"/>
        </w:rPr>
        <w:t>nie mogą wynieść więcej niż 0,5%. Sprawdzenie można wykonać z użyciem poziomnicy i szczelinomierza.</w:t>
      </w:r>
    </w:p>
    <w:p w14:paraId="3EB76FAF" w14:textId="77777777" w:rsidR="00413F29" w:rsidRPr="006431C4" w:rsidRDefault="00413F29" w:rsidP="00270120">
      <w:pPr>
        <w:overflowPunct w:val="0"/>
        <w:autoSpaceDE w:val="0"/>
        <w:autoSpaceDN w:val="0"/>
        <w:adjustRightInd w:val="0"/>
        <w:spacing w:line="240" w:lineRule="auto"/>
        <w:jc w:val="both"/>
        <w:textAlignment w:val="baseline"/>
        <w:rPr>
          <w:rFonts w:cs="Arial"/>
          <w:b/>
          <w:bCs/>
          <w:szCs w:val="20"/>
        </w:rPr>
      </w:pPr>
      <w:r w:rsidRPr="006431C4">
        <w:rPr>
          <w:rFonts w:cs="Arial"/>
          <w:bCs/>
          <w:szCs w:val="20"/>
        </w:rPr>
        <w:t>2.6.3.4.</w:t>
      </w:r>
      <w:r w:rsidRPr="006431C4">
        <w:rPr>
          <w:rFonts w:cs="Arial"/>
          <w:b/>
          <w:bCs/>
          <w:szCs w:val="20"/>
        </w:rPr>
        <w:t xml:space="preserve"> </w:t>
      </w:r>
      <w:r w:rsidRPr="006431C4">
        <w:rPr>
          <w:rFonts w:cs="Arial"/>
          <w:bCs/>
          <w:szCs w:val="20"/>
        </w:rPr>
        <w:t>Tolerancje wymiarowe dla tarcz znaków</w:t>
      </w:r>
    </w:p>
    <w:p w14:paraId="1E445974"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bCs/>
          <w:szCs w:val="20"/>
        </w:rPr>
      </w:pPr>
      <w:r w:rsidRPr="006431C4">
        <w:rPr>
          <w:rFonts w:cs="Arial"/>
          <w:bCs/>
          <w:szCs w:val="20"/>
        </w:rPr>
        <w:t>Sprawdzenie przymiarem liniowym:</w:t>
      </w:r>
    </w:p>
    <w:p w14:paraId="3F28788E" w14:textId="77777777" w:rsidR="00413F29" w:rsidRPr="006431C4" w:rsidRDefault="00413F29" w:rsidP="00CF1E7D">
      <w:pPr>
        <w:numPr>
          <w:ilvl w:val="0"/>
          <w:numId w:val="182"/>
        </w:numPr>
        <w:overflowPunct w:val="0"/>
        <w:autoSpaceDE w:val="0"/>
        <w:autoSpaceDN w:val="0"/>
        <w:adjustRightInd w:val="0"/>
        <w:spacing w:line="240" w:lineRule="auto"/>
        <w:jc w:val="both"/>
        <w:textAlignment w:val="baseline"/>
        <w:rPr>
          <w:rFonts w:cs="Arial"/>
          <w:szCs w:val="20"/>
        </w:rPr>
      </w:pPr>
      <w:r w:rsidRPr="006431C4">
        <w:rPr>
          <w:rFonts w:cs="Arial"/>
          <w:szCs w:val="20"/>
        </w:rPr>
        <w:t>wymiary dla tarcz znaków o powierzchni &lt; 1 m</w:t>
      </w:r>
      <w:r w:rsidRPr="006431C4">
        <w:rPr>
          <w:rFonts w:cs="Arial"/>
          <w:szCs w:val="20"/>
          <w:vertAlign w:val="superscript"/>
        </w:rPr>
        <w:t>2</w:t>
      </w:r>
      <w:r w:rsidRPr="006431C4">
        <w:rPr>
          <w:rFonts w:cs="Arial"/>
          <w:szCs w:val="20"/>
        </w:rPr>
        <w:t xml:space="preserve"> podane w opisach szczegółowych załącznika nr 1 [19] należy powiększyć o </w:t>
      </w:r>
      <w:smartTag w:uri="urn:schemas-microsoft-com:office:smarttags" w:element="metricconverter">
        <w:smartTagPr>
          <w:attr w:name="ProductID" w:val="10 mm"/>
        </w:smartTagPr>
        <w:r w:rsidRPr="006431C4">
          <w:rPr>
            <w:rFonts w:cs="Arial"/>
            <w:szCs w:val="20"/>
          </w:rPr>
          <w:t>10 mm</w:t>
        </w:r>
      </w:smartTag>
      <w:r w:rsidRPr="006431C4">
        <w:rPr>
          <w:rFonts w:cs="Arial"/>
          <w:szCs w:val="20"/>
        </w:rPr>
        <w:t xml:space="preserve"> i wykonać w tolerancji wymiarowej </w:t>
      </w:r>
      <w:r w:rsidRPr="006431C4">
        <w:rPr>
          <w:rFonts w:cs="Arial"/>
          <w:szCs w:val="20"/>
        </w:rPr>
        <w:sym w:font="Symbol" w:char="F0B1"/>
      </w:r>
      <w:r w:rsidRPr="006431C4">
        <w:rPr>
          <w:rFonts w:cs="Arial"/>
          <w:szCs w:val="20"/>
        </w:rPr>
        <w:t> </w:t>
      </w:r>
      <w:smartTag w:uri="urn:schemas-microsoft-com:office:smarttags" w:element="metricconverter">
        <w:smartTagPr>
          <w:attr w:name="ProductID" w:val="5 mm"/>
        </w:smartTagPr>
        <w:r w:rsidRPr="006431C4">
          <w:rPr>
            <w:rFonts w:cs="Arial"/>
            <w:szCs w:val="20"/>
          </w:rPr>
          <w:t>5 mm</w:t>
        </w:r>
      </w:smartTag>
      <w:r w:rsidRPr="006431C4">
        <w:rPr>
          <w:rFonts w:cs="Arial"/>
          <w:szCs w:val="20"/>
        </w:rPr>
        <w:t>,</w:t>
      </w:r>
    </w:p>
    <w:p w14:paraId="0EA5A905" w14:textId="77777777" w:rsidR="00413F29" w:rsidRPr="006431C4" w:rsidRDefault="00413F29" w:rsidP="00CF1E7D">
      <w:pPr>
        <w:numPr>
          <w:ilvl w:val="0"/>
          <w:numId w:val="182"/>
        </w:numPr>
        <w:overflowPunct w:val="0"/>
        <w:autoSpaceDE w:val="0"/>
        <w:autoSpaceDN w:val="0"/>
        <w:adjustRightInd w:val="0"/>
        <w:spacing w:line="240" w:lineRule="auto"/>
        <w:jc w:val="both"/>
        <w:textAlignment w:val="baseline"/>
        <w:rPr>
          <w:rFonts w:cs="Arial"/>
          <w:szCs w:val="20"/>
        </w:rPr>
      </w:pPr>
      <w:r w:rsidRPr="006431C4">
        <w:rPr>
          <w:rFonts w:cs="Arial"/>
          <w:szCs w:val="20"/>
        </w:rPr>
        <w:t>wymiary dla tarcz znaków i tablic o powierzchni &gt; 1 m</w:t>
      </w:r>
      <w:r w:rsidRPr="006431C4">
        <w:rPr>
          <w:rFonts w:cs="Arial"/>
          <w:szCs w:val="20"/>
          <w:vertAlign w:val="superscript"/>
        </w:rPr>
        <w:t>2</w:t>
      </w:r>
      <w:r w:rsidRPr="006431C4">
        <w:rPr>
          <w:rFonts w:cs="Arial"/>
          <w:szCs w:val="20"/>
        </w:rPr>
        <w:t xml:space="preserve"> podane w opisach szczegółowych załącznika nr 1 [19] oraz  wymiary wynikowe dla tablic grupy E należy powiększyć o </w:t>
      </w:r>
      <w:smartTag w:uri="urn:schemas-microsoft-com:office:smarttags" w:element="metricconverter">
        <w:smartTagPr>
          <w:attr w:name="ProductID" w:val="15 mm"/>
        </w:smartTagPr>
        <w:r w:rsidRPr="006431C4">
          <w:rPr>
            <w:rFonts w:cs="Arial"/>
            <w:szCs w:val="20"/>
          </w:rPr>
          <w:t>15 mm</w:t>
        </w:r>
      </w:smartTag>
      <w:r w:rsidRPr="006431C4">
        <w:rPr>
          <w:rFonts w:cs="Arial"/>
          <w:szCs w:val="20"/>
        </w:rPr>
        <w:t xml:space="preserve"> i wykonać w tolerancji wymiarowej  </w:t>
      </w:r>
      <w:r w:rsidRPr="006431C4">
        <w:rPr>
          <w:rFonts w:cs="Arial"/>
          <w:szCs w:val="20"/>
        </w:rPr>
        <w:sym w:font="Symbol" w:char="F0B1"/>
      </w:r>
      <w:r w:rsidRPr="006431C4">
        <w:rPr>
          <w:rFonts w:cs="Arial"/>
          <w:szCs w:val="20"/>
        </w:rPr>
        <w:t xml:space="preserve"> </w:t>
      </w:r>
      <w:smartTag w:uri="urn:schemas-microsoft-com:office:smarttags" w:element="metricconverter">
        <w:smartTagPr>
          <w:attr w:name="ProductID" w:val="10 mm"/>
        </w:smartTagPr>
        <w:r w:rsidRPr="006431C4">
          <w:rPr>
            <w:rFonts w:cs="Arial"/>
            <w:szCs w:val="20"/>
          </w:rPr>
          <w:t>10 mm</w:t>
        </w:r>
      </w:smartTag>
      <w:r w:rsidRPr="006431C4">
        <w:rPr>
          <w:rFonts w:cs="Arial"/>
          <w:szCs w:val="20"/>
        </w:rPr>
        <w:t>.</w:t>
      </w:r>
    </w:p>
    <w:p w14:paraId="0451D899"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2.7. Znaki odblaskowe</w:t>
      </w:r>
    </w:p>
    <w:p w14:paraId="52EF0666"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2.7.1. </w:t>
      </w:r>
      <w:r w:rsidRPr="006431C4">
        <w:rPr>
          <w:rFonts w:cs="Arial"/>
          <w:szCs w:val="20"/>
        </w:rPr>
        <w:t>Wymagania dotyczące powierzchni odblaskowej</w:t>
      </w:r>
    </w:p>
    <w:p w14:paraId="36D56653"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Znaki drogowe odblaskowe wykonuje się przez naklejenie na tarczę znaku lica wykonanego z samoprzylepnej, aktywowanej przez docisk, folii odblaskowej. Znaki drogowe klasy A, B, C, D, E, F, G, T i urządzenia bezpieczeństwa ruchu drogowego klasy U nieodblaskowe, nie są dopuszczone do stosowania na drogach publicznych.</w:t>
      </w:r>
    </w:p>
    <w:p w14:paraId="33C34DE1"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Folia odblaskowa (odbijająca powrotnie) powinna spełniać wymagania określone w niniejszej SST .</w:t>
      </w:r>
    </w:p>
    <w:p w14:paraId="668F6E67"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Lico znaku należy wykonać z samoprzylepnej folii odblaskowej (kulkowej) typu 1, typu 2 lub z folii mikropryzmatycznej typu 1P, 2P i 3P, o jakości potwierdzonej uzyskanymi certyfikatami dla każdego typu i koloru folii. Do wykonywania piktogramów i znaków alfanumerycznych na licach znaków wszystkich kategorii dopuszcza się stosowanie folii nieodblaskowej czarnej.</w:t>
      </w:r>
    </w:p>
    <w:p w14:paraId="278B5211"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Do nanoszenia na lico znaku barw innych niż biała, mogą być stosowane: </w:t>
      </w:r>
    </w:p>
    <w:p w14:paraId="26D81831" w14:textId="77777777" w:rsidR="00413F29" w:rsidRPr="006431C4" w:rsidRDefault="00413F29" w:rsidP="00CF1E7D">
      <w:pPr>
        <w:numPr>
          <w:ilvl w:val="0"/>
          <w:numId w:val="183"/>
        </w:numPr>
        <w:overflowPunct w:val="0"/>
        <w:autoSpaceDE w:val="0"/>
        <w:autoSpaceDN w:val="0"/>
        <w:adjustRightInd w:val="0"/>
        <w:spacing w:line="240" w:lineRule="auto"/>
        <w:jc w:val="both"/>
        <w:textAlignment w:val="baseline"/>
        <w:rPr>
          <w:rFonts w:cs="Arial"/>
          <w:szCs w:val="20"/>
        </w:rPr>
      </w:pPr>
      <w:r w:rsidRPr="006431C4">
        <w:rPr>
          <w:rFonts w:cs="Arial"/>
          <w:szCs w:val="20"/>
        </w:rPr>
        <w:t>odblaskowa folia kulkowa,</w:t>
      </w:r>
    </w:p>
    <w:p w14:paraId="4B24C440" w14:textId="77777777" w:rsidR="00413F29" w:rsidRPr="006431C4" w:rsidRDefault="00413F29" w:rsidP="00CF1E7D">
      <w:pPr>
        <w:numPr>
          <w:ilvl w:val="0"/>
          <w:numId w:val="183"/>
        </w:numPr>
        <w:overflowPunct w:val="0"/>
        <w:autoSpaceDE w:val="0"/>
        <w:autoSpaceDN w:val="0"/>
        <w:adjustRightInd w:val="0"/>
        <w:spacing w:line="240" w:lineRule="auto"/>
        <w:jc w:val="both"/>
        <w:textAlignment w:val="baseline"/>
        <w:rPr>
          <w:rFonts w:cs="Arial"/>
          <w:szCs w:val="20"/>
        </w:rPr>
      </w:pPr>
      <w:r w:rsidRPr="006431C4">
        <w:rPr>
          <w:rFonts w:cs="Arial"/>
          <w:szCs w:val="20"/>
        </w:rPr>
        <w:t>transparentna folia ploterowa ECF,</w:t>
      </w:r>
    </w:p>
    <w:p w14:paraId="5C89AAC8" w14:textId="77777777" w:rsidR="00413F29" w:rsidRPr="006431C4" w:rsidRDefault="00413F29" w:rsidP="00CF1E7D">
      <w:pPr>
        <w:numPr>
          <w:ilvl w:val="0"/>
          <w:numId w:val="183"/>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nieodblaskowa folia barwy czarnej, </w:t>
      </w:r>
    </w:p>
    <w:p w14:paraId="2869AB33" w14:textId="77777777" w:rsidR="00413F29" w:rsidRPr="006431C4" w:rsidRDefault="00413F29" w:rsidP="00CF1E7D">
      <w:pPr>
        <w:numPr>
          <w:ilvl w:val="0"/>
          <w:numId w:val="183"/>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transparentny druk sitowy, </w:t>
      </w:r>
    </w:p>
    <w:p w14:paraId="78D9969F" w14:textId="77777777" w:rsidR="00413F29" w:rsidRPr="006431C4" w:rsidRDefault="00413F29" w:rsidP="00CF1E7D">
      <w:pPr>
        <w:numPr>
          <w:ilvl w:val="0"/>
          <w:numId w:val="183"/>
        </w:numPr>
        <w:overflowPunct w:val="0"/>
        <w:autoSpaceDE w:val="0"/>
        <w:autoSpaceDN w:val="0"/>
        <w:adjustRightInd w:val="0"/>
        <w:spacing w:line="240" w:lineRule="auto"/>
        <w:jc w:val="both"/>
        <w:textAlignment w:val="baseline"/>
        <w:rPr>
          <w:rFonts w:cs="Arial"/>
          <w:szCs w:val="20"/>
        </w:rPr>
      </w:pPr>
      <w:r w:rsidRPr="006431C4">
        <w:rPr>
          <w:rFonts w:cs="Arial"/>
          <w:szCs w:val="20"/>
        </w:rPr>
        <w:t>transparentny druk cyfrowy.</w:t>
      </w:r>
    </w:p>
    <w:p w14:paraId="4E743C76"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Widoczność w dzień i w nocy znaków drogowych zależy od właściwości kolorymetrycznych i fotometrycznych folii zastosowanej na lico znaku. Stosowane są w tym celu folie odblaskowe wykonane w technologii kulkowej i pryzmatycznej oraz nieodblaskowa folia barwy czarnej.</w:t>
      </w:r>
    </w:p>
    <w:p w14:paraId="5C40478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Folia typu 1 oznacza folię kulkową spełniającą współczynnik luminancji β i współrzędne chromatyczności określone w klasie CR1 lub CR2 oraz współczynnik odblaskowości w klasie RA1 wg [1].</w:t>
      </w:r>
    </w:p>
    <w:p w14:paraId="29048C30"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Folia typu 2 oznacza folię kulkową spełniającą współczynnik luminancji β i współrzędne chromatyczności określone w klasie CR1 lub CR2 oraz współczynnik odblaskowości w klasie RA2[1].</w:t>
      </w:r>
    </w:p>
    <w:p w14:paraId="2E82E33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Folia typu 1P oznacza folię pryzmatyczną spełniającą współczynnik luminancji β i współrzędne chromatyczności określone w klasie CR1 lub CR2 oraz współczynnik odblaskowości wg tablicy 5.</w:t>
      </w:r>
    </w:p>
    <w:p w14:paraId="6E54277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Folia typu 2P oznacza folię pryzmatyczną spełniającą współczynnik luminancji β i współrzędne chromatyczności określone w klasie CR1 lub CR2 oraz współczynnik odblaskowości wg tablicy 2.</w:t>
      </w:r>
    </w:p>
    <w:p w14:paraId="2D7A3887"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Folia typu 3P oznacza folię pryzmatyczną spełniającą współczynnik luminancji β i współrzędne chromatyczności określone w klasie CR1 lub CR2 oraz współczynnik odblaskowości wg tablicy 3.</w:t>
      </w:r>
    </w:p>
    <w:p w14:paraId="44D74D1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Folia typu 3FP oznacza folię pryzmatyczną fluorescencyjną spełniającą współczynnik luminancji β i współrzędne chromatyczności określone w klasie CR1 lub CR2 oraz współczynnik odblaskowości wg tablicy 4.</w:t>
      </w:r>
    </w:p>
    <w:p w14:paraId="12B6229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 tablicach 2, 3 i 4 zawarto minimalne wartości współczynnika odblasku R</w:t>
      </w:r>
      <w:r w:rsidRPr="006431C4">
        <w:rPr>
          <w:rFonts w:cs="Arial"/>
          <w:szCs w:val="20"/>
          <w:vertAlign w:val="subscript"/>
        </w:rPr>
        <w:t>A</w:t>
      </w:r>
      <w:r w:rsidRPr="006431C4">
        <w:rPr>
          <w:rFonts w:cs="Arial"/>
          <w:szCs w:val="20"/>
        </w:rPr>
        <w:t xml:space="preserve"> , które powinny spełniać folie pryzmatyczne typu 2P, 3P i 3PF.</w:t>
      </w:r>
    </w:p>
    <w:p w14:paraId="705A82A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Tablica 2. Minimalne wartości współczynnika odblasku R</w:t>
      </w:r>
      <w:r w:rsidRPr="006431C4">
        <w:rPr>
          <w:rFonts w:cs="Arial"/>
          <w:szCs w:val="20"/>
          <w:vertAlign w:val="subscript"/>
        </w:rPr>
        <w:t>A</w:t>
      </w:r>
      <w:r w:rsidRPr="006431C4">
        <w:rPr>
          <w:rFonts w:cs="Arial"/>
          <w:szCs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1360"/>
        <w:gridCol w:w="1417"/>
        <w:gridCol w:w="993"/>
        <w:gridCol w:w="850"/>
        <w:gridCol w:w="992"/>
        <w:gridCol w:w="1134"/>
        <w:gridCol w:w="993"/>
        <w:gridCol w:w="992"/>
      </w:tblGrid>
      <w:tr w:rsidR="00413F29" w:rsidRPr="006431C4" w14:paraId="46FEE9E6" w14:textId="77777777" w:rsidTr="005F616C">
        <w:tc>
          <w:tcPr>
            <w:tcW w:w="2777" w:type="dxa"/>
            <w:gridSpan w:val="2"/>
            <w:tcBorders>
              <w:top w:val="single" w:sz="8" w:space="0" w:color="auto"/>
              <w:left w:val="single" w:sz="8" w:space="0" w:color="auto"/>
              <w:bottom w:val="double" w:sz="4" w:space="0" w:color="auto"/>
              <w:right w:val="single" w:sz="4" w:space="0" w:color="auto"/>
            </w:tcBorders>
            <w:vAlign w:val="center"/>
            <w:hideMark/>
          </w:tcPr>
          <w:p w14:paraId="5B54160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Geometria pomiarów</w:t>
            </w:r>
          </w:p>
        </w:tc>
        <w:tc>
          <w:tcPr>
            <w:tcW w:w="5954" w:type="dxa"/>
            <w:gridSpan w:val="6"/>
            <w:tcBorders>
              <w:top w:val="single" w:sz="8" w:space="0" w:color="auto"/>
              <w:left w:val="single" w:sz="4" w:space="0" w:color="auto"/>
              <w:bottom w:val="double" w:sz="4" w:space="0" w:color="auto"/>
              <w:right w:val="single" w:sz="8" w:space="0" w:color="auto"/>
            </w:tcBorders>
            <w:vAlign w:val="center"/>
            <w:hideMark/>
          </w:tcPr>
          <w:p w14:paraId="43DE6CC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Współczynnik odblasku R</w:t>
            </w:r>
            <w:r w:rsidRPr="006431C4">
              <w:rPr>
                <w:rFonts w:cs="Arial"/>
                <w:szCs w:val="20"/>
                <w:vertAlign w:val="subscript"/>
              </w:rPr>
              <w:t>A</w:t>
            </w:r>
            <w:r w:rsidRPr="006431C4">
              <w:rPr>
                <w:rFonts w:cs="Arial"/>
                <w:szCs w:val="20"/>
              </w:rPr>
              <w:t xml:space="preserve"> [cd lx</w:t>
            </w:r>
            <w:r w:rsidRPr="006431C4">
              <w:rPr>
                <w:rFonts w:cs="Arial"/>
                <w:szCs w:val="20"/>
                <w:vertAlign w:val="superscript"/>
              </w:rPr>
              <w:t>-1</w:t>
            </w:r>
            <w:r w:rsidRPr="006431C4">
              <w:rPr>
                <w:rFonts w:cs="Arial"/>
                <w:szCs w:val="20"/>
              </w:rPr>
              <w:t xml:space="preserve"> m</w:t>
            </w:r>
            <w:r w:rsidRPr="006431C4">
              <w:rPr>
                <w:rFonts w:cs="Arial"/>
                <w:szCs w:val="20"/>
                <w:vertAlign w:val="superscript"/>
              </w:rPr>
              <w:t>-2</w:t>
            </w:r>
            <w:r w:rsidRPr="006431C4">
              <w:rPr>
                <w:rFonts w:cs="Arial"/>
                <w:szCs w:val="20"/>
              </w:rPr>
              <w:t>]</w:t>
            </w:r>
          </w:p>
        </w:tc>
      </w:tr>
      <w:tr w:rsidR="00413F29" w:rsidRPr="006431C4" w14:paraId="21750327" w14:textId="77777777" w:rsidTr="005F616C">
        <w:tc>
          <w:tcPr>
            <w:tcW w:w="1360" w:type="dxa"/>
            <w:tcBorders>
              <w:top w:val="double" w:sz="4" w:space="0" w:color="auto"/>
              <w:left w:val="single" w:sz="8" w:space="0" w:color="auto"/>
              <w:bottom w:val="single" w:sz="4" w:space="0" w:color="auto"/>
              <w:right w:val="nil"/>
            </w:tcBorders>
            <w:vAlign w:val="center"/>
            <w:hideMark/>
          </w:tcPr>
          <w:p w14:paraId="3C6008D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Kąt obserwacji</w:t>
            </w:r>
          </w:p>
          <w:p w14:paraId="4B3F728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α</w:t>
            </w:r>
            <w:r w:rsidRPr="006431C4">
              <w:rPr>
                <w:rFonts w:cs="Arial"/>
                <w:szCs w:val="20"/>
                <w:lang w:val="en-US"/>
              </w:rPr>
              <w:t>[</w:t>
            </w:r>
            <w:r w:rsidRPr="006431C4">
              <w:rPr>
                <w:rFonts w:cs="Arial"/>
                <w:szCs w:val="20"/>
                <w:vertAlign w:val="superscript"/>
                <w:lang w:val="en-US"/>
              </w:rPr>
              <w:t>o</w:t>
            </w:r>
            <w:r w:rsidRPr="006431C4">
              <w:rPr>
                <w:rFonts w:cs="Arial"/>
                <w:szCs w:val="20"/>
                <w:lang w:val="en-US"/>
              </w:rPr>
              <w:t>]</w:t>
            </w:r>
          </w:p>
        </w:tc>
        <w:tc>
          <w:tcPr>
            <w:tcW w:w="1417" w:type="dxa"/>
            <w:tcBorders>
              <w:top w:val="double" w:sz="4" w:space="0" w:color="auto"/>
              <w:left w:val="single" w:sz="4" w:space="0" w:color="000000"/>
              <w:bottom w:val="single" w:sz="4" w:space="0" w:color="auto"/>
              <w:right w:val="single" w:sz="4" w:space="0" w:color="auto"/>
            </w:tcBorders>
            <w:vAlign w:val="center"/>
            <w:hideMark/>
          </w:tcPr>
          <w:p w14:paraId="5C1A544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Kąt oświetlenia</w:t>
            </w:r>
          </w:p>
          <w:p w14:paraId="7920057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β1[</w:t>
            </w:r>
            <w:r w:rsidRPr="006431C4">
              <w:rPr>
                <w:rFonts w:cs="Arial"/>
                <w:szCs w:val="20"/>
                <w:vertAlign w:val="superscript"/>
              </w:rPr>
              <w:t>o</w:t>
            </w:r>
            <w:r w:rsidRPr="006431C4">
              <w:rPr>
                <w:rFonts w:cs="Arial"/>
                <w:szCs w:val="20"/>
              </w:rPr>
              <w:t>]</w:t>
            </w:r>
          </w:p>
          <w:p w14:paraId="5C7E0EE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(β2=0</w:t>
            </w:r>
            <w:r w:rsidRPr="006431C4">
              <w:rPr>
                <w:rFonts w:cs="Arial"/>
                <w:szCs w:val="20"/>
                <w:vertAlign w:val="superscript"/>
              </w:rPr>
              <w:t>°</w:t>
            </w:r>
            <w:r w:rsidRPr="006431C4">
              <w:rPr>
                <w:rFonts w:cs="Arial"/>
                <w:szCs w:val="20"/>
              </w:rPr>
              <w:t>)</w:t>
            </w:r>
          </w:p>
        </w:tc>
        <w:tc>
          <w:tcPr>
            <w:tcW w:w="993" w:type="dxa"/>
            <w:tcBorders>
              <w:top w:val="double" w:sz="4" w:space="0" w:color="auto"/>
              <w:left w:val="single" w:sz="4" w:space="0" w:color="auto"/>
              <w:bottom w:val="single" w:sz="4" w:space="0" w:color="auto"/>
              <w:right w:val="nil"/>
            </w:tcBorders>
            <w:vAlign w:val="center"/>
            <w:hideMark/>
          </w:tcPr>
          <w:p w14:paraId="6B0F879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Folia biała</w:t>
            </w:r>
          </w:p>
        </w:tc>
        <w:tc>
          <w:tcPr>
            <w:tcW w:w="850" w:type="dxa"/>
            <w:tcBorders>
              <w:top w:val="double" w:sz="4" w:space="0" w:color="auto"/>
              <w:left w:val="single" w:sz="4" w:space="0" w:color="000000"/>
              <w:bottom w:val="single" w:sz="4" w:space="0" w:color="auto"/>
              <w:right w:val="nil"/>
            </w:tcBorders>
            <w:vAlign w:val="center"/>
            <w:hideMark/>
          </w:tcPr>
          <w:p w14:paraId="4DD0ADF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Folia żółta</w:t>
            </w:r>
          </w:p>
        </w:tc>
        <w:tc>
          <w:tcPr>
            <w:tcW w:w="992" w:type="dxa"/>
            <w:tcBorders>
              <w:top w:val="double" w:sz="4" w:space="0" w:color="auto"/>
              <w:left w:val="single" w:sz="4" w:space="0" w:color="000000"/>
              <w:bottom w:val="single" w:sz="4" w:space="0" w:color="auto"/>
              <w:right w:val="nil"/>
            </w:tcBorders>
            <w:vAlign w:val="center"/>
            <w:hideMark/>
          </w:tcPr>
          <w:p w14:paraId="59AF23A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Folia </w:t>
            </w:r>
            <w:proofErr w:type="spellStart"/>
            <w:r w:rsidRPr="006431C4">
              <w:rPr>
                <w:rFonts w:cs="Arial"/>
                <w:szCs w:val="20"/>
              </w:rPr>
              <w:t>czerwo</w:t>
            </w:r>
            <w:proofErr w:type="spellEnd"/>
            <w:r w:rsidRPr="006431C4">
              <w:rPr>
                <w:rFonts w:cs="Arial"/>
                <w:szCs w:val="20"/>
              </w:rPr>
              <w:t>-na</w:t>
            </w:r>
          </w:p>
        </w:tc>
        <w:tc>
          <w:tcPr>
            <w:tcW w:w="1134" w:type="dxa"/>
            <w:tcBorders>
              <w:top w:val="double" w:sz="4" w:space="0" w:color="auto"/>
              <w:left w:val="single" w:sz="4" w:space="0" w:color="000000"/>
              <w:bottom w:val="single" w:sz="4" w:space="0" w:color="auto"/>
              <w:right w:val="nil"/>
            </w:tcBorders>
            <w:vAlign w:val="center"/>
            <w:hideMark/>
          </w:tcPr>
          <w:p w14:paraId="2EF8146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Folia </w:t>
            </w:r>
            <w:proofErr w:type="spellStart"/>
            <w:r w:rsidRPr="006431C4">
              <w:rPr>
                <w:rFonts w:cs="Arial"/>
                <w:szCs w:val="20"/>
              </w:rPr>
              <w:t>pomarań-czowa</w:t>
            </w:r>
            <w:proofErr w:type="spellEnd"/>
          </w:p>
        </w:tc>
        <w:tc>
          <w:tcPr>
            <w:tcW w:w="993" w:type="dxa"/>
            <w:tcBorders>
              <w:top w:val="double" w:sz="4" w:space="0" w:color="auto"/>
              <w:left w:val="single" w:sz="4" w:space="0" w:color="000000"/>
              <w:bottom w:val="single" w:sz="4" w:space="0" w:color="auto"/>
              <w:right w:val="nil"/>
            </w:tcBorders>
            <w:vAlign w:val="center"/>
            <w:hideMark/>
          </w:tcPr>
          <w:p w14:paraId="7E33F04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Folia </w:t>
            </w:r>
            <w:proofErr w:type="spellStart"/>
            <w:r w:rsidRPr="006431C4">
              <w:rPr>
                <w:rFonts w:cs="Arial"/>
                <w:szCs w:val="20"/>
              </w:rPr>
              <w:t>niebies</w:t>
            </w:r>
            <w:proofErr w:type="spellEnd"/>
            <w:r w:rsidRPr="006431C4">
              <w:rPr>
                <w:rFonts w:cs="Arial"/>
                <w:szCs w:val="20"/>
              </w:rPr>
              <w:t>-ka</w:t>
            </w:r>
          </w:p>
        </w:tc>
        <w:tc>
          <w:tcPr>
            <w:tcW w:w="992" w:type="dxa"/>
            <w:tcBorders>
              <w:top w:val="double" w:sz="4" w:space="0" w:color="auto"/>
              <w:left w:val="single" w:sz="4" w:space="0" w:color="000000"/>
              <w:bottom w:val="single" w:sz="4" w:space="0" w:color="auto"/>
              <w:right w:val="single" w:sz="8" w:space="0" w:color="auto"/>
            </w:tcBorders>
            <w:vAlign w:val="center"/>
            <w:hideMark/>
          </w:tcPr>
          <w:p w14:paraId="299703A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Folia zielona</w:t>
            </w:r>
          </w:p>
        </w:tc>
      </w:tr>
      <w:tr w:rsidR="00413F29" w:rsidRPr="006431C4" w14:paraId="74ED2360" w14:textId="77777777" w:rsidTr="005F616C">
        <w:tc>
          <w:tcPr>
            <w:tcW w:w="1360" w:type="dxa"/>
            <w:tcBorders>
              <w:top w:val="single" w:sz="4" w:space="0" w:color="auto"/>
              <w:left w:val="single" w:sz="8" w:space="0" w:color="auto"/>
              <w:bottom w:val="single" w:sz="4" w:space="0" w:color="000000"/>
              <w:right w:val="nil"/>
            </w:tcBorders>
            <w:vAlign w:val="center"/>
            <w:hideMark/>
          </w:tcPr>
          <w:p w14:paraId="2106B9F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0,33</w:t>
            </w:r>
          </w:p>
        </w:tc>
        <w:tc>
          <w:tcPr>
            <w:tcW w:w="1417" w:type="dxa"/>
            <w:tcBorders>
              <w:top w:val="single" w:sz="4" w:space="0" w:color="auto"/>
              <w:left w:val="single" w:sz="4" w:space="0" w:color="000000"/>
              <w:bottom w:val="single" w:sz="4" w:space="0" w:color="000000"/>
              <w:right w:val="single" w:sz="4" w:space="0" w:color="auto"/>
            </w:tcBorders>
            <w:vAlign w:val="center"/>
            <w:hideMark/>
          </w:tcPr>
          <w:p w14:paraId="1A185D6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p w14:paraId="33C3B56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p w14:paraId="7613BFE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p w14:paraId="6EB51E2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993" w:type="dxa"/>
            <w:tcBorders>
              <w:top w:val="single" w:sz="4" w:space="0" w:color="auto"/>
              <w:left w:val="single" w:sz="4" w:space="0" w:color="auto"/>
              <w:bottom w:val="single" w:sz="4" w:space="0" w:color="000000"/>
              <w:right w:val="nil"/>
            </w:tcBorders>
            <w:vAlign w:val="center"/>
            <w:hideMark/>
          </w:tcPr>
          <w:p w14:paraId="3552FBD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300</w:t>
            </w:r>
          </w:p>
          <w:p w14:paraId="4B932A3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240</w:t>
            </w:r>
          </w:p>
          <w:p w14:paraId="67C736A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165</w:t>
            </w:r>
          </w:p>
          <w:p w14:paraId="60897B9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850" w:type="dxa"/>
            <w:tcBorders>
              <w:top w:val="single" w:sz="4" w:space="0" w:color="auto"/>
              <w:left w:val="single" w:sz="4" w:space="0" w:color="000000"/>
              <w:bottom w:val="single" w:sz="4" w:space="0" w:color="000000"/>
              <w:right w:val="nil"/>
            </w:tcBorders>
            <w:vAlign w:val="center"/>
            <w:hideMark/>
          </w:tcPr>
          <w:p w14:paraId="15581E0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195</w:t>
            </w:r>
          </w:p>
          <w:p w14:paraId="70851D9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155</w:t>
            </w:r>
          </w:p>
          <w:p w14:paraId="3DCD911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110</w:t>
            </w:r>
          </w:p>
          <w:p w14:paraId="1243C17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tc>
        <w:tc>
          <w:tcPr>
            <w:tcW w:w="992" w:type="dxa"/>
            <w:tcBorders>
              <w:top w:val="single" w:sz="4" w:space="0" w:color="auto"/>
              <w:left w:val="single" w:sz="4" w:space="0" w:color="000000"/>
              <w:bottom w:val="single" w:sz="4" w:space="0" w:color="000000"/>
              <w:right w:val="nil"/>
            </w:tcBorders>
            <w:vAlign w:val="center"/>
            <w:hideMark/>
          </w:tcPr>
          <w:p w14:paraId="4C61250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60</w:t>
            </w:r>
          </w:p>
          <w:p w14:paraId="45D7607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48</w:t>
            </w:r>
          </w:p>
          <w:p w14:paraId="729D12B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33</w:t>
            </w:r>
          </w:p>
          <w:p w14:paraId="0EE3F3F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tc>
        <w:tc>
          <w:tcPr>
            <w:tcW w:w="1134" w:type="dxa"/>
            <w:tcBorders>
              <w:top w:val="single" w:sz="4" w:space="0" w:color="auto"/>
              <w:left w:val="single" w:sz="4" w:space="0" w:color="000000"/>
              <w:bottom w:val="single" w:sz="4" w:space="0" w:color="000000"/>
              <w:right w:val="nil"/>
            </w:tcBorders>
            <w:vAlign w:val="center"/>
            <w:hideMark/>
          </w:tcPr>
          <w:p w14:paraId="5A13EDF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150</w:t>
            </w:r>
          </w:p>
          <w:p w14:paraId="499D6B1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120</w:t>
            </w:r>
          </w:p>
          <w:p w14:paraId="3721E79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83</w:t>
            </w:r>
          </w:p>
          <w:p w14:paraId="2ABF237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993" w:type="dxa"/>
            <w:tcBorders>
              <w:top w:val="single" w:sz="4" w:space="0" w:color="auto"/>
              <w:left w:val="single" w:sz="4" w:space="0" w:color="000000"/>
              <w:bottom w:val="single" w:sz="4" w:space="0" w:color="000000"/>
              <w:right w:val="nil"/>
            </w:tcBorders>
            <w:vAlign w:val="center"/>
            <w:hideMark/>
          </w:tcPr>
          <w:p w14:paraId="01C147C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19</w:t>
            </w:r>
          </w:p>
          <w:p w14:paraId="6EEA8CA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p w14:paraId="3723D9B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11</w:t>
            </w:r>
          </w:p>
          <w:p w14:paraId="756303A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992" w:type="dxa"/>
            <w:tcBorders>
              <w:top w:val="single" w:sz="4" w:space="0" w:color="auto"/>
              <w:left w:val="single" w:sz="4" w:space="0" w:color="000000"/>
              <w:bottom w:val="single" w:sz="4" w:space="0" w:color="000000"/>
              <w:right w:val="single" w:sz="8" w:space="0" w:color="auto"/>
            </w:tcBorders>
            <w:vAlign w:val="center"/>
            <w:hideMark/>
          </w:tcPr>
          <w:p w14:paraId="72914D1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p w14:paraId="4B47DA7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24</w:t>
            </w:r>
          </w:p>
          <w:p w14:paraId="1E945F4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17</w:t>
            </w:r>
          </w:p>
          <w:p w14:paraId="3D18A13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tc>
      </w:tr>
      <w:tr w:rsidR="00413F29" w:rsidRPr="006431C4" w14:paraId="7D130D4E" w14:textId="77777777" w:rsidTr="005F616C">
        <w:tc>
          <w:tcPr>
            <w:tcW w:w="1360" w:type="dxa"/>
            <w:tcBorders>
              <w:top w:val="single" w:sz="4" w:space="0" w:color="000000"/>
              <w:left w:val="single" w:sz="8" w:space="0" w:color="auto"/>
              <w:bottom w:val="single" w:sz="4" w:space="0" w:color="000000"/>
              <w:right w:val="nil"/>
            </w:tcBorders>
            <w:vAlign w:val="center"/>
            <w:hideMark/>
          </w:tcPr>
          <w:p w14:paraId="487311C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1417" w:type="dxa"/>
            <w:tcBorders>
              <w:top w:val="single" w:sz="4" w:space="0" w:color="000000"/>
              <w:left w:val="single" w:sz="4" w:space="0" w:color="000000"/>
              <w:bottom w:val="single" w:sz="4" w:space="0" w:color="000000"/>
              <w:right w:val="single" w:sz="4" w:space="0" w:color="auto"/>
            </w:tcBorders>
            <w:vAlign w:val="center"/>
            <w:hideMark/>
          </w:tcPr>
          <w:p w14:paraId="017D314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p w14:paraId="3AD8E0B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p w14:paraId="2D31977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p w14:paraId="628D4E8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993" w:type="dxa"/>
            <w:tcBorders>
              <w:top w:val="single" w:sz="4" w:space="0" w:color="000000"/>
              <w:left w:val="single" w:sz="4" w:space="0" w:color="auto"/>
              <w:bottom w:val="single" w:sz="4" w:space="0" w:color="000000"/>
              <w:right w:val="nil"/>
            </w:tcBorders>
            <w:vAlign w:val="center"/>
            <w:hideMark/>
          </w:tcPr>
          <w:p w14:paraId="620A931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35</w:t>
            </w:r>
          </w:p>
          <w:p w14:paraId="4ABACC5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p w14:paraId="7B3D719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p w14:paraId="7F3C1EE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3,5</w:t>
            </w:r>
          </w:p>
        </w:tc>
        <w:tc>
          <w:tcPr>
            <w:tcW w:w="850" w:type="dxa"/>
            <w:tcBorders>
              <w:top w:val="single" w:sz="4" w:space="0" w:color="000000"/>
              <w:left w:val="single" w:sz="4" w:space="0" w:color="000000"/>
              <w:bottom w:val="single" w:sz="4" w:space="0" w:color="000000"/>
              <w:right w:val="nil"/>
            </w:tcBorders>
            <w:vAlign w:val="center"/>
            <w:hideMark/>
          </w:tcPr>
          <w:p w14:paraId="407A446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23</w:t>
            </w:r>
          </w:p>
          <w:p w14:paraId="2DA018F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20</w:t>
            </w:r>
          </w:p>
          <w:p w14:paraId="71E9750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13</w:t>
            </w:r>
          </w:p>
          <w:p w14:paraId="243B25B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992" w:type="dxa"/>
            <w:tcBorders>
              <w:top w:val="single" w:sz="4" w:space="0" w:color="000000"/>
              <w:left w:val="single" w:sz="4" w:space="0" w:color="000000"/>
              <w:bottom w:val="single" w:sz="4" w:space="0" w:color="000000"/>
              <w:right w:val="nil"/>
            </w:tcBorders>
            <w:vAlign w:val="center"/>
            <w:hideMark/>
          </w:tcPr>
          <w:p w14:paraId="0C23DDA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7</w:t>
            </w:r>
          </w:p>
          <w:p w14:paraId="56FA9A7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p w14:paraId="6704C8C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w:t>
            </w:r>
          </w:p>
          <w:p w14:paraId="3D977CA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1134" w:type="dxa"/>
            <w:tcBorders>
              <w:top w:val="single" w:sz="4" w:space="0" w:color="000000"/>
              <w:left w:val="single" w:sz="4" w:space="0" w:color="000000"/>
              <w:bottom w:val="single" w:sz="4" w:space="0" w:color="000000"/>
              <w:right w:val="nil"/>
            </w:tcBorders>
            <w:vAlign w:val="center"/>
            <w:hideMark/>
          </w:tcPr>
          <w:p w14:paraId="7796880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18</w:t>
            </w:r>
          </w:p>
          <w:p w14:paraId="64EE7C6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p w14:paraId="2C27EE1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p w14:paraId="12E68ED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993" w:type="dxa"/>
            <w:tcBorders>
              <w:top w:val="single" w:sz="4" w:space="0" w:color="000000"/>
              <w:left w:val="single" w:sz="4" w:space="0" w:color="000000"/>
              <w:bottom w:val="single" w:sz="4" w:space="0" w:color="000000"/>
              <w:right w:val="nil"/>
            </w:tcBorders>
            <w:vAlign w:val="center"/>
            <w:hideMark/>
          </w:tcPr>
          <w:p w14:paraId="320208A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2,5</w:t>
            </w:r>
          </w:p>
          <w:p w14:paraId="1312938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p w14:paraId="4AB2B05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p w14:paraId="4423843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992" w:type="dxa"/>
            <w:tcBorders>
              <w:top w:val="single" w:sz="4" w:space="0" w:color="000000"/>
              <w:left w:val="single" w:sz="4" w:space="0" w:color="000000"/>
              <w:bottom w:val="single" w:sz="4" w:space="0" w:color="000000"/>
              <w:right w:val="single" w:sz="8" w:space="0" w:color="auto"/>
            </w:tcBorders>
            <w:vAlign w:val="center"/>
            <w:hideMark/>
          </w:tcPr>
          <w:p w14:paraId="219536C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3,5</w:t>
            </w:r>
          </w:p>
          <w:p w14:paraId="746384F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w:t>
            </w:r>
          </w:p>
          <w:p w14:paraId="28F0468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p w14:paraId="24CD8FD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413F29" w:rsidRPr="006431C4" w14:paraId="7C981421" w14:textId="77777777" w:rsidTr="005F616C">
        <w:tc>
          <w:tcPr>
            <w:tcW w:w="1360" w:type="dxa"/>
            <w:tcBorders>
              <w:top w:val="single" w:sz="4" w:space="0" w:color="000000"/>
              <w:left w:val="single" w:sz="8" w:space="0" w:color="auto"/>
              <w:bottom w:val="single" w:sz="4" w:space="0" w:color="auto"/>
              <w:right w:val="nil"/>
            </w:tcBorders>
            <w:vAlign w:val="center"/>
            <w:hideMark/>
          </w:tcPr>
          <w:p w14:paraId="5EF2550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1417" w:type="dxa"/>
            <w:tcBorders>
              <w:top w:val="single" w:sz="4" w:space="0" w:color="000000"/>
              <w:left w:val="single" w:sz="4" w:space="0" w:color="000000"/>
              <w:bottom w:val="single" w:sz="4" w:space="0" w:color="auto"/>
              <w:right w:val="single" w:sz="4" w:space="0" w:color="auto"/>
            </w:tcBorders>
            <w:vAlign w:val="center"/>
            <w:hideMark/>
          </w:tcPr>
          <w:p w14:paraId="11B4085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p w14:paraId="42AFD60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+20</w:t>
            </w:r>
          </w:p>
          <w:p w14:paraId="6EB3ADA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p w14:paraId="7E18CB7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993" w:type="dxa"/>
            <w:tcBorders>
              <w:top w:val="single" w:sz="4" w:space="0" w:color="000000"/>
              <w:left w:val="single" w:sz="4" w:space="0" w:color="auto"/>
              <w:bottom w:val="single" w:sz="4" w:space="0" w:color="auto"/>
              <w:right w:val="nil"/>
            </w:tcBorders>
            <w:vAlign w:val="center"/>
            <w:hideMark/>
          </w:tcPr>
          <w:p w14:paraId="18423CE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15</w:t>
            </w:r>
          </w:p>
          <w:p w14:paraId="4027CF2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13</w:t>
            </w:r>
          </w:p>
          <w:p w14:paraId="5241CA9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p w14:paraId="410656D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1,5</w:t>
            </w:r>
          </w:p>
        </w:tc>
        <w:tc>
          <w:tcPr>
            <w:tcW w:w="850" w:type="dxa"/>
            <w:tcBorders>
              <w:top w:val="single" w:sz="4" w:space="0" w:color="000000"/>
              <w:left w:val="single" w:sz="4" w:space="0" w:color="000000"/>
              <w:bottom w:val="single" w:sz="4" w:space="0" w:color="auto"/>
              <w:right w:val="nil"/>
            </w:tcBorders>
            <w:vAlign w:val="center"/>
            <w:hideMark/>
          </w:tcPr>
          <w:p w14:paraId="2B3DD78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10</w:t>
            </w:r>
          </w:p>
          <w:p w14:paraId="7E82786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8</w:t>
            </w:r>
          </w:p>
          <w:p w14:paraId="6E52459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6</w:t>
            </w:r>
          </w:p>
          <w:p w14:paraId="654465A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992" w:type="dxa"/>
            <w:tcBorders>
              <w:top w:val="single" w:sz="4" w:space="0" w:color="000000"/>
              <w:left w:val="single" w:sz="4" w:space="0" w:color="000000"/>
              <w:bottom w:val="single" w:sz="4" w:space="0" w:color="auto"/>
              <w:right w:val="nil"/>
            </w:tcBorders>
            <w:vAlign w:val="center"/>
            <w:hideMark/>
          </w:tcPr>
          <w:p w14:paraId="0BFBBF1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3</w:t>
            </w:r>
          </w:p>
          <w:p w14:paraId="53DF650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2,5</w:t>
            </w:r>
          </w:p>
          <w:p w14:paraId="3C3448F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p w14:paraId="3CDFE9C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1134" w:type="dxa"/>
            <w:tcBorders>
              <w:top w:val="single" w:sz="4" w:space="0" w:color="000000"/>
              <w:left w:val="single" w:sz="4" w:space="0" w:color="000000"/>
              <w:bottom w:val="single" w:sz="4" w:space="0" w:color="auto"/>
              <w:right w:val="nil"/>
            </w:tcBorders>
            <w:vAlign w:val="center"/>
            <w:hideMark/>
          </w:tcPr>
          <w:p w14:paraId="751813B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7,5</w:t>
            </w:r>
          </w:p>
          <w:p w14:paraId="37B8411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6,5</w:t>
            </w:r>
          </w:p>
          <w:p w14:paraId="32A52C6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4,5</w:t>
            </w:r>
          </w:p>
          <w:p w14:paraId="05A43AB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993" w:type="dxa"/>
            <w:tcBorders>
              <w:top w:val="single" w:sz="4" w:space="0" w:color="000000"/>
              <w:left w:val="single" w:sz="4" w:space="0" w:color="000000"/>
              <w:bottom w:val="single" w:sz="4" w:space="0" w:color="auto"/>
              <w:right w:val="nil"/>
            </w:tcBorders>
            <w:vAlign w:val="center"/>
            <w:hideMark/>
          </w:tcPr>
          <w:p w14:paraId="086E32A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1</w:t>
            </w:r>
          </w:p>
          <w:p w14:paraId="069A5A9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w:t>
            </w:r>
          </w:p>
          <w:p w14:paraId="6A92C4A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p w14:paraId="1B8EF41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c>
          <w:tcPr>
            <w:tcW w:w="992" w:type="dxa"/>
            <w:tcBorders>
              <w:top w:val="single" w:sz="4" w:space="0" w:color="000000"/>
              <w:left w:val="single" w:sz="4" w:space="0" w:color="000000"/>
              <w:bottom w:val="single" w:sz="4" w:space="0" w:color="auto"/>
              <w:right w:val="single" w:sz="8" w:space="0" w:color="auto"/>
            </w:tcBorders>
            <w:vAlign w:val="center"/>
            <w:hideMark/>
          </w:tcPr>
          <w:p w14:paraId="5635E8E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1,5</w:t>
            </w:r>
          </w:p>
          <w:p w14:paraId="6D34864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lastRenderedPageBreak/>
              <w:t>#</w:t>
            </w:r>
          </w:p>
          <w:p w14:paraId="13108A5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t>
            </w:r>
          </w:p>
        </w:tc>
      </w:tr>
      <w:tr w:rsidR="00413F29" w:rsidRPr="006431C4" w14:paraId="1D2D101B" w14:textId="77777777" w:rsidTr="005F616C">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71491EB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 oznacza wartość większą niż zero, ale nieistotną lub nie mającą zastosowania.</w:t>
            </w:r>
          </w:p>
        </w:tc>
      </w:tr>
    </w:tbl>
    <w:p w14:paraId="64CF8E6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Tablica 3. Minimalne wartości współczynnika odblasku R</w:t>
      </w:r>
      <w:r w:rsidRPr="006431C4">
        <w:rPr>
          <w:rFonts w:cs="Arial"/>
          <w:szCs w:val="20"/>
          <w:vertAlign w:val="subscript"/>
        </w:rPr>
        <w:t>A</w:t>
      </w:r>
      <w:r w:rsidRPr="006431C4">
        <w:rPr>
          <w:rFonts w:cs="Arial"/>
          <w:szCs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13F29" w:rsidRPr="006431C4" w14:paraId="53C34D98" w14:textId="77777777" w:rsidTr="005F616C">
        <w:trPr>
          <w:tblHeader/>
        </w:trPr>
        <w:tc>
          <w:tcPr>
            <w:tcW w:w="2835" w:type="dxa"/>
            <w:gridSpan w:val="2"/>
            <w:tcBorders>
              <w:top w:val="single" w:sz="8" w:space="0" w:color="auto"/>
              <w:left w:val="single" w:sz="8" w:space="0" w:color="auto"/>
              <w:right w:val="single" w:sz="4" w:space="0" w:color="auto"/>
            </w:tcBorders>
            <w:vAlign w:val="center"/>
          </w:tcPr>
          <w:p w14:paraId="099636B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Geometria pomiarów</w:t>
            </w:r>
          </w:p>
        </w:tc>
        <w:tc>
          <w:tcPr>
            <w:tcW w:w="5949" w:type="dxa"/>
            <w:gridSpan w:val="6"/>
            <w:tcBorders>
              <w:top w:val="single" w:sz="8" w:space="0" w:color="auto"/>
              <w:left w:val="single" w:sz="4" w:space="0" w:color="auto"/>
              <w:right w:val="single" w:sz="8" w:space="0" w:color="auto"/>
            </w:tcBorders>
            <w:vAlign w:val="center"/>
          </w:tcPr>
          <w:p w14:paraId="62BEFB8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Współczynnik odblasku R</w:t>
            </w:r>
            <w:r w:rsidRPr="006431C4">
              <w:rPr>
                <w:rFonts w:cs="Arial"/>
                <w:szCs w:val="20"/>
                <w:vertAlign w:val="subscript"/>
              </w:rPr>
              <w:t>A</w:t>
            </w:r>
            <w:r w:rsidRPr="006431C4">
              <w:rPr>
                <w:rFonts w:cs="Arial"/>
                <w:szCs w:val="20"/>
              </w:rPr>
              <w:t xml:space="preserve"> [cd lx</w:t>
            </w:r>
            <w:r w:rsidRPr="006431C4">
              <w:rPr>
                <w:rFonts w:cs="Arial"/>
                <w:szCs w:val="20"/>
                <w:vertAlign w:val="superscript"/>
              </w:rPr>
              <w:t>-1</w:t>
            </w:r>
            <w:r w:rsidRPr="006431C4">
              <w:rPr>
                <w:rFonts w:cs="Arial"/>
                <w:szCs w:val="20"/>
              </w:rPr>
              <w:t xml:space="preserve"> m</w:t>
            </w:r>
            <w:r w:rsidRPr="006431C4">
              <w:rPr>
                <w:rFonts w:cs="Arial"/>
                <w:szCs w:val="20"/>
                <w:vertAlign w:val="superscript"/>
              </w:rPr>
              <w:t>-2</w:t>
            </w:r>
            <w:r w:rsidRPr="006431C4">
              <w:rPr>
                <w:rFonts w:cs="Arial"/>
                <w:szCs w:val="20"/>
              </w:rPr>
              <w:t>]</w:t>
            </w:r>
          </w:p>
        </w:tc>
      </w:tr>
      <w:tr w:rsidR="00413F29" w:rsidRPr="006431C4" w14:paraId="273A4995" w14:textId="77777777" w:rsidTr="005F616C">
        <w:tc>
          <w:tcPr>
            <w:tcW w:w="1418" w:type="dxa"/>
            <w:tcBorders>
              <w:left w:val="single" w:sz="8" w:space="0" w:color="auto"/>
              <w:bottom w:val="double" w:sz="4" w:space="0" w:color="auto"/>
            </w:tcBorders>
            <w:vAlign w:val="center"/>
          </w:tcPr>
          <w:p w14:paraId="06848FD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Kąt obserwacji</w:t>
            </w:r>
          </w:p>
          <w:p w14:paraId="269014B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lang w:val="en-US"/>
              </w:rPr>
              <w:sym w:font="Symbol" w:char="F061"/>
            </w:r>
            <w:r w:rsidRPr="006431C4">
              <w:rPr>
                <w:rFonts w:cs="Arial"/>
                <w:szCs w:val="20"/>
                <w:lang w:val="en-US"/>
              </w:rPr>
              <w:t>[</w:t>
            </w:r>
            <w:r w:rsidRPr="006431C4">
              <w:rPr>
                <w:rFonts w:cs="Arial"/>
                <w:szCs w:val="20"/>
                <w:vertAlign w:val="superscript"/>
                <w:lang w:val="en-US"/>
              </w:rPr>
              <w:t>o</w:t>
            </w:r>
            <w:r w:rsidRPr="006431C4">
              <w:rPr>
                <w:rFonts w:cs="Arial"/>
                <w:szCs w:val="20"/>
                <w:lang w:val="en-US"/>
              </w:rPr>
              <w:t>]</w:t>
            </w:r>
          </w:p>
        </w:tc>
        <w:tc>
          <w:tcPr>
            <w:tcW w:w="1417" w:type="dxa"/>
            <w:tcBorders>
              <w:bottom w:val="double" w:sz="4" w:space="0" w:color="auto"/>
              <w:right w:val="single" w:sz="4" w:space="0" w:color="auto"/>
            </w:tcBorders>
            <w:vAlign w:val="center"/>
          </w:tcPr>
          <w:p w14:paraId="0077548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Kąt oświetlenia</w:t>
            </w:r>
          </w:p>
          <w:p w14:paraId="7CF25A5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lang w:val="en-US"/>
              </w:rPr>
              <w:t>β</w:t>
            </w:r>
            <w:r w:rsidRPr="006431C4">
              <w:rPr>
                <w:rFonts w:cs="Arial"/>
                <w:szCs w:val="20"/>
              </w:rPr>
              <w:t xml:space="preserve"> [°]</w:t>
            </w:r>
          </w:p>
        </w:tc>
        <w:tc>
          <w:tcPr>
            <w:tcW w:w="992" w:type="dxa"/>
            <w:tcBorders>
              <w:left w:val="single" w:sz="4" w:space="0" w:color="auto"/>
              <w:bottom w:val="double" w:sz="4" w:space="0" w:color="auto"/>
            </w:tcBorders>
            <w:vAlign w:val="center"/>
          </w:tcPr>
          <w:p w14:paraId="787FB3C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Folia</w:t>
            </w:r>
          </w:p>
          <w:p w14:paraId="5620193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biała</w:t>
            </w:r>
          </w:p>
        </w:tc>
        <w:tc>
          <w:tcPr>
            <w:tcW w:w="851" w:type="dxa"/>
            <w:tcBorders>
              <w:bottom w:val="double" w:sz="4" w:space="0" w:color="auto"/>
            </w:tcBorders>
            <w:vAlign w:val="center"/>
          </w:tcPr>
          <w:p w14:paraId="2874BAB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Folia</w:t>
            </w:r>
          </w:p>
          <w:p w14:paraId="212C910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żółta</w:t>
            </w:r>
          </w:p>
        </w:tc>
        <w:tc>
          <w:tcPr>
            <w:tcW w:w="992" w:type="dxa"/>
            <w:tcBorders>
              <w:bottom w:val="double" w:sz="4" w:space="0" w:color="auto"/>
            </w:tcBorders>
            <w:vAlign w:val="center"/>
          </w:tcPr>
          <w:p w14:paraId="45C434A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Folia </w:t>
            </w:r>
            <w:proofErr w:type="spellStart"/>
            <w:r w:rsidRPr="006431C4">
              <w:rPr>
                <w:rFonts w:cs="Arial"/>
                <w:szCs w:val="20"/>
              </w:rPr>
              <w:t>czerwo</w:t>
            </w:r>
            <w:proofErr w:type="spellEnd"/>
            <w:r w:rsidRPr="006431C4">
              <w:rPr>
                <w:rFonts w:cs="Arial"/>
                <w:szCs w:val="20"/>
              </w:rPr>
              <w:t>-na</w:t>
            </w:r>
          </w:p>
        </w:tc>
        <w:tc>
          <w:tcPr>
            <w:tcW w:w="1134" w:type="dxa"/>
            <w:tcBorders>
              <w:bottom w:val="double" w:sz="4" w:space="0" w:color="auto"/>
            </w:tcBorders>
            <w:vAlign w:val="center"/>
          </w:tcPr>
          <w:p w14:paraId="13258BB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Folia pomarańczowa</w:t>
            </w:r>
          </w:p>
        </w:tc>
        <w:tc>
          <w:tcPr>
            <w:tcW w:w="992" w:type="dxa"/>
            <w:tcBorders>
              <w:bottom w:val="double" w:sz="4" w:space="0" w:color="auto"/>
            </w:tcBorders>
            <w:vAlign w:val="center"/>
          </w:tcPr>
          <w:p w14:paraId="226EC90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Folia</w:t>
            </w:r>
          </w:p>
          <w:p w14:paraId="0F22AC3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proofErr w:type="spellStart"/>
            <w:r w:rsidRPr="006431C4">
              <w:rPr>
                <w:rFonts w:cs="Arial"/>
                <w:szCs w:val="20"/>
              </w:rPr>
              <w:t>niebies</w:t>
            </w:r>
            <w:proofErr w:type="spellEnd"/>
            <w:r w:rsidRPr="006431C4">
              <w:rPr>
                <w:rFonts w:cs="Arial"/>
                <w:szCs w:val="20"/>
              </w:rPr>
              <w:t>-ka</w:t>
            </w:r>
          </w:p>
        </w:tc>
        <w:tc>
          <w:tcPr>
            <w:tcW w:w="988" w:type="dxa"/>
            <w:tcBorders>
              <w:bottom w:val="double" w:sz="4" w:space="0" w:color="auto"/>
              <w:right w:val="single" w:sz="8" w:space="0" w:color="auto"/>
            </w:tcBorders>
            <w:vAlign w:val="center"/>
          </w:tcPr>
          <w:p w14:paraId="4035AD4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Folia</w:t>
            </w:r>
          </w:p>
          <w:p w14:paraId="664604F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proofErr w:type="spellStart"/>
            <w:r w:rsidRPr="006431C4">
              <w:rPr>
                <w:rFonts w:cs="Arial"/>
                <w:szCs w:val="20"/>
              </w:rPr>
              <w:t>zielo</w:t>
            </w:r>
            <w:proofErr w:type="spellEnd"/>
            <w:r w:rsidRPr="006431C4">
              <w:rPr>
                <w:rFonts w:cs="Arial"/>
                <w:szCs w:val="20"/>
              </w:rPr>
              <w:t>-na</w:t>
            </w:r>
          </w:p>
        </w:tc>
      </w:tr>
      <w:tr w:rsidR="00413F29" w:rsidRPr="006431C4" w14:paraId="4D4625C2" w14:textId="77777777" w:rsidTr="005F616C">
        <w:tc>
          <w:tcPr>
            <w:tcW w:w="1418" w:type="dxa"/>
            <w:tcBorders>
              <w:top w:val="double" w:sz="4" w:space="0" w:color="auto"/>
              <w:left w:val="single" w:sz="8" w:space="0" w:color="auto"/>
              <w:bottom w:val="single" w:sz="6" w:space="0" w:color="auto"/>
            </w:tcBorders>
            <w:vAlign w:val="center"/>
          </w:tcPr>
          <w:p w14:paraId="0225B3A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0,1</w:t>
            </w:r>
          </w:p>
        </w:tc>
        <w:tc>
          <w:tcPr>
            <w:tcW w:w="1417" w:type="dxa"/>
            <w:tcBorders>
              <w:top w:val="double" w:sz="4" w:space="0" w:color="auto"/>
              <w:bottom w:val="single" w:sz="6" w:space="0" w:color="auto"/>
              <w:right w:val="single" w:sz="4" w:space="0" w:color="auto"/>
            </w:tcBorders>
            <w:vAlign w:val="center"/>
          </w:tcPr>
          <w:p w14:paraId="7B69849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992" w:type="dxa"/>
            <w:tcBorders>
              <w:top w:val="double" w:sz="4" w:space="0" w:color="auto"/>
              <w:left w:val="single" w:sz="4" w:space="0" w:color="auto"/>
              <w:bottom w:val="single" w:sz="6" w:space="0" w:color="auto"/>
            </w:tcBorders>
            <w:vAlign w:val="center"/>
          </w:tcPr>
          <w:p w14:paraId="1A10E29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850</w:t>
            </w:r>
          </w:p>
        </w:tc>
        <w:tc>
          <w:tcPr>
            <w:tcW w:w="851" w:type="dxa"/>
            <w:tcBorders>
              <w:top w:val="double" w:sz="4" w:space="0" w:color="auto"/>
              <w:bottom w:val="single" w:sz="6" w:space="0" w:color="auto"/>
            </w:tcBorders>
            <w:vAlign w:val="center"/>
          </w:tcPr>
          <w:p w14:paraId="14D2635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550</w:t>
            </w:r>
          </w:p>
        </w:tc>
        <w:tc>
          <w:tcPr>
            <w:tcW w:w="992" w:type="dxa"/>
            <w:tcBorders>
              <w:top w:val="double" w:sz="4" w:space="0" w:color="auto"/>
              <w:bottom w:val="single" w:sz="6" w:space="0" w:color="auto"/>
            </w:tcBorders>
            <w:vAlign w:val="center"/>
          </w:tcPr>
          <w:p w14:paraId="663A1DA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170</w:t>
            </w:r>
          </w:p>
        </w:tc>
        <w:tc>
          <w:tcPr>
            <w:tcW w:w="1134" w:type="dxa"/>
            <w:tcBorders>
              <w:top w:val="double" w:sz="4" w:space="0" w:color="auto"/>
              <w:bottom w:val="single" w:sz="6" w:space="0" w:color="auto"/>
            </w:tcBorders>
            <w:vAlign w:val="center"/>
          </w:tcPr>
          <w:p w14:paraId="5E90851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425</w:t>
            </w:r>
          </w:p>
        </w:tc>
        <w:tc>
          <w:tcPr>
            <w:tcW w:w="992" w:type="dxa"/>
            <w:tcBorders>
              <w:top w:val="double" w:sz="4" w:space="0" w:color="auto"/>
              <w:bottom w:val="single" w:sz="6" w:space="0" w:color="auto"/>
            </w:tcBorders>
            <w:vAlign w:val="center"/>
          </w:tcPr>
          <w:p w14:paraId="694E424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55</w:t>
            </w:r>
          </w:p>
        </w:tc>
        <w:tc>
          <w:tcPr>
            <w:tcW w:w="988" w:type="dxa"/>
            <w:tcBorders>
              <w:top w:val="double" w:sz="4" w:space="0" w:color="auto"/>
              <w:bottom w:val="single" w:sz="6" w:space="0" w:color="auto"/>
              <w:right w:val="single" w:sz="8" w:space="0" w:color="auto"/>
            </w:tcBorders>
            <w:vAlign w:val="center"/>
          </w:tcPr>
          <w:p w14:paraId="7A5295B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85</w:t>
            </w:r>
          </w:p>
        </w:tc>
      </w:tr>
      <w:tr w:rsidR="00413F29" w:rsidRPr="006431C4" w14:paraId="569993BB" w14:textId="77777777" w:rsidTr="005F616C">
        <w:tc>
          <w:tcPr>
            <w:tcW w:w="1418" w:type="dxa"/>
            <w:tcBorders>
              <w:top w:val="single" w:sz="6" w:space="0" w:color="auto"/>
              <w:left w:val="single" w:sz="8" w:space="0" w:color="auto"/>
            </w:tcBorders>
            <w:vAlign w:val="center"/>
          </w:tcPr>
          <w:p w14:paraId="172357A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0,2</w:t>
            </w:r>
          </w:p>
        </w:tc>
        <w:tc>
          <w:tcPr>
            <w:tcW w:w="1417" w:type="dxa"/>
            <w:tcBorders>
              <w:top w:val="single" w:sz="6" w:space="0" w:color="auto"/>
              <w:right w:val="single" w:sz="4" w:space="0" w:color="auto"/>
            </w:tcBorders>
            <w:vAlign w:val="center"/>
          </w:tcPr>
          <w:p w14:paraId="41E547E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5</w:t>
            </w:r>
          </w:p>
        </w:tc>
        <w:tc>
          <w:tcPr>
            <w:tcW w:w="992" w:type="dxa"/>
            <w:tcBorders>
              <w:top w:val="single" w:sz="6" w:space="0" w:color="auto"/>
              <w:left w:val="single" w:sz="4" w:space="0" w:color="auto"/>
            </w:tcBorders>
            <w:vAlign w:val="center"/>
          </w:tcPr>
          <w:p w14:paraId="14052EC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625</w:t>
            </w:r>
          </w:p>
        </w:tc>
        <w:tc>
          <w:tcPr>
            <w:tcW w:w="851" w:type="dxa"/>
            <w:tcBorders>
              <w:top w:val="single" w:sz="6" w:space="0" w:color="auto"/>
            </w:tcBorders>
            <w:vAlign w:val="center"/>
          </w:tcPr>
          <w:p w14:paraId="25E086C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400</w:t>
            </w:r>
          </w:p>
        </w:tc>
        <w:tc>
          <w:tcPr>
            <w:tcW w:w="992" w:type="dxa"/>
            <w:tcBorders>
              <w:top w:val="single" w:sz="6" w:space="0" w:color="auto"/>
            </w:tcBorders>
            <w:vAlign w:val="center"/>
          </w:tcPr>
          <w:p w14:paraId="319F24C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125</w:t>
            </w:r>
          </w:p>
        </w:tc>
        <w:tc>
          <w:tcPr>
            <w:tcW w:w="1134" w:type="dxa"/>
            <w:tcBorders>
              <w:top w:val="single" w:sz="6" w:space="0" w:color="auto"/>
            </w:tcBorders>
            <w:vAlign w:val="center"/>
          </w:tcPr>
          <w:p w14:paraId="4152F81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310</w:t>
            </w:r>
          </w:p>
        </w:tc>
        <w:tc>
          <w:tcPr>
            <w:tcW w:w="992" w:type="dxa"/>
            <w:tcBorders>
              <w:top w:val="single" w:sz="6" w:space="0" w:color="auto"/>
            </w:tcBorders>
            <w:vAlign w:val="center"/>
          </w:tcPr>
          <w:p w14:paraId="2704E96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40</w:t>
            </w:r>
          </w:p>
        </w:tc>
        <w:tc>
          <w:tcPr>
            <w:tcW w:w="988" w:type="dxa"/>
            <w:tcBorders>
              <w:top w:val="single" w:sz="6" w:space="0" w:color="auto"/>
              <w:right w:val="single" w:sz="8" w:space="0" w:color="auto"/>
            </w:tcBorders>
            <w:vAlign w:val="center"/>
          </w:tcPr>
          <w:p w14:paraId="027B7DE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60</w:t>
            </w:r>
          </w:p>
        </w:tc>
      </w:tr>
      <w:tr w:rsidR="00413F29" w:rsidRPr="006431C4" w14:paraId="45B58A13" w14:textId="77777777" w:rsidTr="005F616C">
        <w:tc>
          <w:tcPr>
            <w:tcW w:w="1418" w:type="dxa"/>
            <w:tcBorders>
              <w:left w:val="single" w:sz="8" w:space="0" w:color="auto"/>
            </w:tcBorders>
            <w:vAlign w:val="center"/>
          </w:tcPr>
          <w:p w14:paraId="5CC5491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0,33</w:t>
            </w:r>
          </w:p>
        </w:tc>
        <w:tc>
          <w:tcPr>
            <w:tcW w:w="1417" w:type="dxa"/>
            <w:tcBorders>
              <w:right w:val="single" w:sz="4" w:space="0" w:color="auto"/>
            </w:tcBorders>
            <w:vAlign w:val="center"/>
          </w:tcPr>
          <w:p w14:paraId="17921E9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5</w:t>
            </w:r>
          </w:p>
        </w:tc>
        <w:tc>
          <w:tcPr>
            <w:tcW w:w="992" w:type="dxa"/>
            <w:tcBorders>
              <w:left w:val="single" w:sz="4" w:space="0" w:color="auto"/>
            </w:tcBorders>
            <w:vAlign w:val="center"/>
          </w:tcPr>
          <w:p w14:paraId="5BAC973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425</w:t>
            </w:r>
          </w:p>
        </w:tc>
        <w:tc>
          <w:tcPr>
            <w:tcW w:w="851" w:type="dxa"/>
            <w:vAlign w:val="center"/>
          </w:tcPr>
          <w:p w14:paraId="0733003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275</w:t>
            </w:r>
          </w:p>
        </w:tc>
        <w:tc>
          <w:tcPr>
            <w:tcW w:w="992" w:type="dxa"/>
            <w:vAlign w:val="center"/>
          </w:tcPr>
          <w:p w14:paraId="4A9B030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85</w:t>
            </w:r>
          </w:p>
        </w:tc>
        <w:tc>
          <w:tcPr>
            <w:tcW w:w="1134" w:type="dxa"/>
            <w:vAlign w:val="center"/>
          </w:tcPr>
          <w:p w14:paraId="37D042B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210</w:t>
            </w:r>
          </w:p>
        </w:tc>
        <w:tc>
          <w:tcPr>
            <w:tcW w:w="992" w:type="dxa"/>
            <w:vAlign w:val="center"/>
          </w:tcPr>
          <w:p w14:paraId="4B9B52A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28</w:t>
            </w:r>
          </w:p>
        </w:tc>
        <w:tc>
          <w:tcPr>
            <w:tcW w:w="988" w:type="dxa"/>
            <w:tcBorders>
              <w:right w:val="single" w:sz="8" w:space="0" w:color="auto"/>
            </w:tcBorders>
            <w:vAlign w:val="center"/>
          </w:tcPr>
          <w:p w14:paraId="20BE75A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40</w:t>
            </w:r>
          </w:p>
        </w:tc>
      </w:tr>
      <w:tr w:rsidR="00413F29" w:rsidRPr="006431C4" w14:paraId="11B780F1" w14:textId="77777777" w:rsidTr="005F616C">
        <w:tc>
          <w:tcPr>
            <w:tcW w:w="1418" w:type="dxa"/>
            <w:tcBorders>
              <w:left w:val="single" w:sz="8" w:space="0" w:color="auto"/>
            </w:tcBorders>
            <w:vAlign w:val="center"/>
          </w:tcPr>
          <w:p w14:paraId="607ECA0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0,1</w:t>
            </w:r>
          </w:p>
        </w:tc>
        <w:tc>
          <w:tcPr>
            <w:tcW w:w="1417" w:type="dxa"/>
            <w:tcBorders>
              <w:right w:val="single" w:sz="4" w:space="0" w:color="auto"/>
            </w:tcBorders>
            <w:vAlign w:val="center"/>
          </w:tcPr>
          <w:p w14:paraId="7B19413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15</w:t>
            </w:r>
          </w:p>
        </w:tc>
        <w:tc>
          <w:tcPr>
            <w:tcW w:w="992" w:type="dxa"/>
            <w:tcBorders>
              <w:left w:val="single" w:sz="4" w:space="0" w:color="auto"/>
            </w:tcBorders>
            <w:vAlign w:val="center"/>
          </w:tcPr>
          <w:p w14:paraId="12E6B5B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600</w:t>
            </w:r>
          </w:p>
        </w:tc>
        <w:tc>
          <w:tcPr>
            <w:tcW w:w="851" w:type="dxa"/>
            <w:vAlign w:val="center"/>
          </w:tcPr>
          <w:p w14:paraId="37D5067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390</w:t>
            </w:r>
          </w:p>
        </w:tc>
        <w:tc>
          <w:tcPr>
            <w:tcW w:w="992" w:type="dxa"/>
            <w:vAlign w:val="center"/>
          </w:tcPr>
          <w:p w14:paraId="0265E1C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120</w:t>
            </w:r>
          </w:p>
        </w:tc>
        <w:tc>
          <w:tcPr>
            <w:tcW w:w="1134" w:type="dxa"/>
            <w:vAlign w:val="center"/>
          </w:tcPr>
          <w:p w14:paraId="1993E51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300</w:t>
            </w:r>
          </w:p>
        </w:tc>
        <w:tc>
          <w:tcPr>
            <w:tcW w:w="992" w:type="dxa"/>
            <w:vAlign w:val="center"/>
          </w:tcPr>
          <w:p w14:paraId="59C7791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40</w:t>
            </w:r>
          </w:p>
        </w:tc>
        <w:tc>
          <w:tcPr>
            <w:tcW w:w="988" w:type="dxa"/>
            <w:tcBorders>
              <w:right w:val="single" w:sz="8" w:space="0" w:color="auto"/>
            </w:tcBorders>
            <w:vAlign w:val="center"/>
          </w:tcPr>
          <w:p w14:paraId="547E70B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60</w:t>
            </w:r>
          </w:p>
        </w:tc>
      </w:tr>
      <w:tr w:rsidR="00413F29" w:rsidRPr="006431C4" w14:paraId="2E1EF24D" w14:textId="77777777" w:rsidTr="005F616C">
        <w:tc>
          <w:tcPr>
            <w:tcW w:w="1418" w:type="dxa"/>
            <w:tcBorders>
              <w:left w:val="single" w:sz="8" w:space="0" w:color="auto"/>
              <w:bottom w:val="single" w:sz="6" w:space="0" w:color="auto"/>
            </w:tcBorders>
            <w:vAlign w:val="center"/>
          </w:tcPr>
          <w:p w14:paraId="47DA4A3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0,2</w:t>
            </w:r>
          </w:p>
        </w:tc>
        <w:tc>
          <w:tcPr>
            <w:tcW w:w="1417" w:type="dxa"/>
            <w:tcBorders>
              <w:bottom w:val="single" w:sz="6" w:space="0" w:color="auto"/>
              <w:right w:val="single" w:sz="4" w:space="0" w:color="auto"/>
            </w:tcBorders>
            <w:vAlign w:val="center"/>
          </w:tcPr>
          <w:p w14:paraId="1C5DB6F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15</w:t>
            </w:r>
          </w:p>
        </w:tc>
        <w:tc>
          <w:tcPr>
            <w:tcW w:w="992" w:type="dxa"/>
            <w:tcBorders>
              <w:left w:val="single" w:sz="4" w:space="0" w:color="auto"/>
              <w:bottom w:val="single" w:sz="6" w:space="0" w:color="auto"/>
            </w:tcBorders>
            <w:vAlign w:val="center"/>
          </w:tcPr>
          <w:p w14:paraId="5241B25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450</w:t>
            </w:r>
          </w:p>
        </w:tc>
        <w:tc>
          <w:tcPr>
            <w:tcW w:w="851" w:type="dxa"/>
            <w:tcBorders>
              <w:bottom w:val="single" w:sz="6" w:space="0" w:color="auto"/>
            </w:tcBorders>
            <w:vAlign w:val="center"/>
          </w:tcPr>
          <w:p w14:paraId="3D62C64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290</w:t>
            </w:r>
          </w:p>
        </w:tc>
        <w:tc>
          <w:tcPr>
            <w:tcW w:w="992" w:type="dxa"/>
            <w:tcBorders>
              <w:bottom w:val="single" w:sz="6" w:space="0" w:color="auto"/>
            </w:tcBorders>
            <w:vAlign w:val="center"/>
          </w:tcPr>
          <w:p w14:paraId="115DB7D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90</w:t>
            </w:r>
          </w:p>
        </w:tc>
        <w:tc>
          <w:tcPr>
            <w:tcW w:w="1134" w:type="dxa"/>
            <w:tcBorders>
              <w:bottom w:val="single" w:sz="6" w:space="0" w:color="auto"/>
            </w:tcBorders>
            <w:vAlign w:val="center"/>
          </w:tcPr>
          <w:p w14:paraId="5362540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225</w:t>
            </w:r>
          </w:p>
        </w:tc>
        <w:tc>
          <w:tcPr>
            <w:tcW w:w="992" w:type="dxa"/>
            <w:tcBorders>
              <w:bottom w:val="single" w:sz="6" w:space="0" w:color="auto"/>
            </w:tcBorders>
            <w:vAlign w:val="center"/>
          </w:tcPr>
          <w:p w14:paraId="7E3D53D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30</w:t>
            </w:r>
          </w:p>
        </w:tc>
        <w:tc>
          <w:tcPr>
            <w:tcW w:w="988" w:type="dxa"/>
            <w:tcBorders>
              <w:bottom w:val="single" w:sz="6" w:space="0" w:color="auto"/>
              <w:right w:val="single" w:sz="8" w:space="0" w:color="auto"/>
            </w:tcBorders>
            <w:vAlign w:val="center"/>
          </w:tcPr>
          <w:p w14:paraId="11C783F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45</w:t>
            </w:r>
          </w:p>
        </w:tc>
      </w:tr>
      <w:tr w:rsidR="00413F29" w:rsidRPr="006431C4" w14:paraId="3FC4F5DC" w14:textId="77777777" w:rsidTr="005F616C">
        <w:tc>
          <w:tcPr>
            <w:tcW w:w="1418" w:type="dxa"/>
            <w:tcBorders>
              <w:top w:val="single" w:sz="6" w:space="0" w:color="auto"/>
              <w:left w:val="single" w:sz="8" w:space="0" w:color="auto"/>
              <w:bottom w:val="single" w:sz="4" w:space="0" w:color="auto"/>
            </w:tcBorders>
            <w:vAlign w:val="center"/>
          </w:tcPr>
          <w:p w14:paraId="74423DB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0,33</w:t>
            </w:r>
          </w:p>
        </w:tc>
        <w:tc>
          <w:tcPr>
            <w:tcW w:w="1417" w:type="dxa"/>
            <w:tcBorders>
              <w:top w:val="single" w:sz="6" w:space="0" w:color="auto"/>
              <w:bottom w:val="single" w:sz="4" w:space="0" w:color="auto"/>
              <w:right w:val="single" w:sz="4" w:space="0" w:color="auto"/>
            </w:tcBorders>
            <w:vAlign w:val="center"/>
          </w:tcPr>
          <w:p w14:paraId="2C45F20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15</w:t>
            </w:r>
          </w:p>
        </w:tc>
        <w:tc>
          <w:tcPr>
            <w:tcW w:w="992" w:type="dxa"/>
            <w:tcBorders>
              <w:top w:val="single" w:sz="6" w:space="0" w:color="auto"/>
              <w:left w:val="single" w:sz="4" w:space="0" w:color="auto"/>
              <w:bottom w:val="single" w:sz="4" w:space="0" w:color="auto"/>
            </w:tcBorders>
            <w:vAlign w:val="center"/>
          </w:tcPr>
          <w:p w14:paraId="126346C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300</w:t>
            </w:r>
          </w:p>
        </w:tc>
        <w:tc>
          <w:tcPr>
            <w:tcW w:w="851" w:type="dxa"/>
            <w:tcBorders>
              <w:top w:val="single" w:sz="6" w:space="0" w:color="auto"/>
              <w:bottom w:val="single" w:sz="4" w:space="0" w:color="auto"/>
            </w:tcBorders>
            <w:vAlign w:val="center"/>
          </w:tcPr>
          <w:p w14:paraId="059EC4F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195</w:t>
            </w:r>
          </w:p>
        </w:tc>
        <w:tc>
          <w:tcPr>
            <w:tcW w:w="992" w:type="dxa"/>
            <w:tcBorders>
              <w:top w:val="single" w:sz="6" w:space="0" w:color="auto"/>
              <w:bottom w:val="single" w:sz="4" w:space="0" w:color="auto"/>
            </w:tcBorders>
            <w:vAlign w:val="center"/>
          </w:tcPr>
          <w:p w14:paraId="36F60F1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60</w:t>
            </w:r>
          </w:p>
        </w:tc>
        <w:tc>
          <w:tcPr>
            <w:tcW w:w="1134" w:type="dxa"/>
            <w:tcBorders>
              <w:top w:val="single" w:sz="6" w:space="0" w:color="auto"/>
              <w:bottom w:val="single" w:sz="4" w:space="0" w:color="auto"/>
            </w:tcBorders>
            <w:vAlign w:val="center"/>
          </w:tcPr>
          <w:p w14:paraId="18ACDDE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150</w:t>
            </w:r>
          </w:p>
        </w:tc>
        <w:tc>
          <w:tcPr>
            <w:tcW w:w="992" w:type="dxa"/>
            <w:tcBorders>
              <w:top w:val="single" w:sz="6" w:space="0" w:color="auto"/>
              <w:bottom w:val="single" w:sz="4" w:space="0" w:color="auto"/>
            </w:tcBorders>
            <w:vAlign w:val="center"/>
          </w:tcPr>
          <w:p w14:paraId="3AC917B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20</w:t>
            </w:r>
          </w:p>
        </w:tc>
        <w:tc>
          <w:tcPr>
            <w:tcW w:w="988" w:type="dxa"/>
            <w:tcBorders>
              <w:top w:val="single" w:sz="6" w:space="0" w:color="auto"/>
              <w:bottom w:val="single" w:sz="4" w:space="0" w:color="auto"/>
              <w:right w:val="single" w:sz="8" w:space="0" w:color="auto"/>
            </w:tcBorders>
            <w:vAlign w:val="center"/>
          </w:tcPr>
          <w:p w14:paraId="4F9FC7E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30</w:t>
            </w:r>
          </w:p>
        </w:tc>
      </w:tr>
      <w:tr w:rsidR="00413F29" w:rsidRPr="006431C4" w14:paraId="088F7A77" w14:textId="77777777" w:rsidTr="005F616C">
        <w:tc>
          <w:tcPr>
            <w:tcW w:w="1418" w:type="dxa"/>
            <w:tcBorders>
              <w:top w:val="single" w:sz="4" w:space="0" w:color="auto"/>
              <w:left w:val="single" w:sz="8" w:space="0" w:color="auto"/>
            </w:tcBorders>
            <w:vAlign w:val="center"/>
          </w:tcPr>
          <w:p w14:paraId="0218C5F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0,1</w:t>
            </w:r>
          </w:p>
        </w:tc>
        <w:tc>
          <w:tcPr>
            <w:tcW w:w="1417" w:type="dxa"/>
            <w:tcBorders>
              <w:top w:val="single" w:sz="4" w:space="0" w:color="auto"/>
              <w:bottom w:val="single" w:sz="6" w:space="0" w:color="auto"/>
              <w:right w:val="single" w:sz="4" w:space="0" w:color="auto"/>
            </w:tcBorders>
            <w:vAlign w:val="center"/>
          </w:tcPr>
          <w:p w14:paraId="0B6ECAA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30</w:t>
            </w:r>
          </w:p>
        </w:tc>
        <w:tc>
          <w:tcPr>
            <w:tcW w:w="992" w:type="dxa"/>
            <w:tcBorders>
              <w:top w:val="single" w:sz="4" w:space="0" w:color="auto"/>
              <w:left w:val="single" w:sz="4" w:space="0" w:color="auto"/>
            </w:tcBorders>
            <w:vAlign w:val="center"/>
          </w:tcPr>
          <w:p w14:paraId="346043A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425</w:t>
            </w:r>
          </w:p>
        </w:tc>
        <w:tc>
          <w:tcPr>
            <w:tcW w:w="851" w:type="dxa"/>
            <w:tcBorders>
              <w:top w:val="single" w:sz="4" w:space="0" w:color="auto"/>
            </w:tcBorders>
            <w:vAlign w:val="center"/>
          </w:tcPr>
          <w:p w14:paraId="6C1135B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275</w:t>
            </w:r>
          </w:p>
        </w:tc>
        <w:tc>
          <w:tcPr>
            <w:tcW w:w="992" w:type="dxa"/>
            <w:tcBorders>
              <w:top w:val="single" w:sz="4" w:space="0" w:color="auto"/>
            </w:tcBorders>
            <w:vAlign w:val="center"/>
          </w:tcPr>
          <w:p w14:paraId="6B47151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85</w:t>
            </w:r>
          </w:p>
        </w:tc>
        <w:tc>
          <w:tcPr>
            <w:tcW w:w="1134" w:type="dxa"/>
            <w:tcBorders>
              <w:top w:val="single" w:sz="4" w:space="0" w:color="auto"/>
            </w:tcBorders>
            <w:vAlign w:val="center"/>
          </w:tcPr>
          <w:p w14:paraId="210221C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210</w:t>
            </w:r>
          </w:p>
        </w:tc>
        <w:tc>
          <w:tcPr>
            <w:tcW w:w="992" w:type="dxa"/>
            <w:tcBorders>
              <w:top w:val="single" w:sz="4" w:space="0" w:color="auto"/>
            </w:tcBorders>
            <w:vAlign w:val="center"/>
          </w:tcPr>
          <w:p w14:paraId="69D5945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28</w:t>
            </w:r>
          </w:p>
        </w:tc>
        <w:tc>
          <w:tcPr>
            <w:tcW w:w="988" w:type="dxa"/>
            <w:tcBorders>
              <w:top w:val="single" w:sz="4" w:space="0" w:color="auto"/>
              <w:right w:val="single" w:sz="8" w:space="0" w:color="auto"/>
            </w:tcBorders>
            <w:vAlign w:val="center"/>
          </w:tcPr>
          <w:p w14:paraId="41A8ECC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40</w:t>
            </w:r>
          </w:p>
        </w:tc>
      </w:tr>
      <w:tr w:rsidR="00413F29" w:rsidRPr="006431C4" w14:paraId="6FF9C946" w14:textId="77777777" w:rsidTr="005F616C">
        <w:tc>
          <w:tcPr>
            <w:tcW w:w="1418" w:type="dxa"/>
            <w:tcBorders>
              <w:left w:val="single" w:sz="8" w:space="0" w:color="auto"/>
            </w:tcBorders>
            <w:vAlign w:val="center"/>
          </w:tcPr>
          <w:p w14:paraId="0359CC4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0,2</w:t>
            </w:r>
          </w:p>
        </w:tc>
        <w:tc>
          <w:tcPr>
            <w:tcW w:w="1417" w:type="dxa"/>
            <w:tcBorders>
              <w:top w:val="single" w:sz="6" w:space="0" w:color="auto"/>
              <w:bottom w:val="single" w:sz="6" w:space="0" w:color="auto"/>
              <w:right w:val="single" w:sz="4" w:space="0" w:color="auto"/>
            </w:tcBorders>
            <w:vAlign w:val="center"/>
          </w:tcPr>
          <w:p w14:paraId="26FD5C6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30</w:t>
            </w:r>
          </w:p>
        </w:tc>
        <w:tc>
          <w:tcPr>
            <w:tcW w:w="992" w:type="dxa"/>
            <w:tcBorders>
              <w:left w:val="single" w:sz="4" w:space="0" w:color="auto"/>
            </w:tcBorders>
            <w:vAlign w:val="center"/>
          </w:tcPr>
          <w:p w14:paraId="60CE111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325</w:t>
            </w:r>
          </w:p>
        </w:tc>
        <w:tc>
          <w:tcPr>
            <w:tcW w:w="851" w:type="dxa"/>
            <w:vAlign w:val="center"/>
          </w:tcPr>
          <w:p w14:paraId="5C72720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210</w:t>
            </w:r>
          </w:p>
        </w:tc>
        <w:tc>
          <w:tcPr>
            <w:tcW w:w="992" w:type="dxa"/>
            <w:vAlign w:val="center"/>
          </w:tcPr>
          <w:p w14:paraId="2D8C514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65</w:t>
            </w:r>
          </w:p>
        </w:tc>
        <w:tc>
          <w:tcPr>
            <w:tcW w:w="1134" w:type="dxa"/>
            <w:vAlign w:val="center"/>
          </w:tcPr>
          <w:p w14:paraId="7B15E9A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160</w:t>
            </w:r>
          </w:p>
        </w:tc>
        <w:tc>
          <w:tcPr>
            <w:tcW w:w="992" w:type="dxa"/>
            <w:vAlign w:val="center"/>
          </w:tcPr>
          <w:p w14:paraId="12B0961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20</w:t>
            </w:r>
          </w:p>
        </w:tc>
        <w:tc>
          <w:tcPr>
            <w:tcW w:w="988" w:type="dxa"/>
            <w:tcBorders>
              <w:right w:val="single" w:sz="8" w:space="0" w:color="auto"/>
            </w:tcBorders>
            <w:vAlign w:val="center"/>
          </w:tcPr>
          <w:p w14:paraId="1B7B9B1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30</w:t>
            </w:r>
          </w:p>
        </w:tc>
      </w:tr>
      <w:tr w:rsidR="00413F29" w:rsidRPr="006431C4" w14:paraId="7053ADD2" w14:textId="77777777" w:rsidTr="005F616C">
        <w:tc>
          <w:tcPr>
            <w:tcW w:w="1418" w:type="dxa"/>
            <w:tcBorders>
              <w:left w:val="single" w:sz="8" w:space="0" w:color="auto"/>
            </w:tcBorders>
            <w:vAlign w:val="center"/>
          </w:tcPr>
          <w:p w14:paraId="5CAB6F4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0,33</w:t>
            </w:r>
          </w:p>
        </w:tc>
        <w:tc>
          <w:tcPr>
            <w:tcW w:w="1417" w:type="dxa"/>
            <w:tcBorders>
              <w:top w:val="single" w:sz="6" w:space="0" w:color="auto"/>
              <w:bottom w:val="single" w:sz="6" w:space="0" w:color="auto"/>
              <w:right w:val="single" w:sz="4" w:space="0" w:color="auto"/>
            </w:tcBorders>
            <w:vAlign w:val="center"/>
          </w:tcPr>
          <w:p w14:paraId="37D9B3F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30</w:t>
            </w:r>
          </w:p>
        </w:tc>
        <w:tc>
          <w:tcPr>
            <w:tcW w:w="992" w:type="dxa"/>
            <w:tcBorders>
              <w:left w:val="single" w:sz="4" w:space="0" w:color="auto"/>
            </w:tcBorders>
            <w:vAlign w:val="center"/>
          </w:tcPr>
          <w:p w14:paraId="35D9E02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225</w:t>
            </w:r>
          </w:p>
        </w:tc>
        <w:tc>
          <w:tcPr>
            <w:tcW w:w="851" w:type="dxa"/>
            <w:vAlign w:val="center"/>
          </w:tcPr>
          <w:p w14:paraId="0278EE5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145</w:t>
            </w:r>
          </w:p>
        </w:tc>
        <w:tc>
          <w:tcPr>
            <w:tcW w:w="992" w:type="dxa"/>
            <w:vAlign w:val="center"/>
          </w:tcPr>
          <w:p w14:paraId="745C65F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45</w:t>
            </w:r>
          </w:p>
        </w:tc>
        <w:tc>
          <w:tcPr>
            <w:tcW w:w="1134" w:type="dxa"/>
            <w:vAlign w:val="center"/>
          </w:tcPr>
          <w:p w14:paraId="17C0467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110</w:t>
            </w:r>
          </w:p>
        </w:tc>
        <w:tc>
          <w:tcPr>
            <w:tcW w:w="992" w:type="dxa"/>
            <w:vAlign w:val="center"/>
          </w:tcPr>
          <w:p w14:paraId="465D1C2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15</w:t>
            </w:r>
          </w:p>
        </w:tc>
        <w:tc>
          <w:tcPr>
            <w:tcW w:w="988" w:type="dxa"/>
            <w:tcBorders>
              <w:right w:val="single" w:sz="8" w:space="0" w:color="auto"/>
            </w:tcBorders>
            <w:vAlign w:val="center"/>
          </w:tcPr>
          <w:p w14:paraId="7D0CD4F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20</w:t>
            </w:r>
          </w:p>
        </w:tc>
      </w:tr>
      <w:tr w:rsidR="00413F29" w:rsidRPr="006431C4" w14:paraId="573B13A7" w14:textId="77777777" w:rsidTr="005F616C">
        <w:tc>
          <w:tcPr>
            <w:tcW w:w="1418" w:type="dxa"/>
            <w:tcBorders>
              <w:left w:val="single" w:sz="8" w:space="0" w:color="auto"/>
            </w:tcBorders>
            <w:vAlign w:val="center"/>
          </w:tcPr>
          <w:p w14:paraId="55404F3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0,1</w:t>
            </w:r>
          </w:p>
        </w:tc>
        <w:tc>
          <w:tcPr>
            <w:tcW w:w="1417" w:type="dxa"/>
            <w:tcBorders>
              <w:top w:val="single" w:sz="6" w:space="0" w:color="auto"/>
              <w:bottom w:val="single" w:sz="6" w:space="0" w:color="auto"/>
              <w:right w:val="single" w:sz="4" w:space="0" w:color="auto"/>
            </w:tcBorders>
            <w:vAlign w:val="center"/>
          </w:tcPr>
          <w:p w14:paraId="1F2CE46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40</w:t>
            </w:r>
          </w:p>
        </w:tc>
        <w:tc>
          <w:tcPr>
            <w:tcW w:w="992" w:type="dxa"/>
            <w:tcBorders>
              <w:left w:val="single" w:sz="4" w:space="0" w:color="auto"/>
            </w:tcBorders>
            <w:vAlign w:val="center"/>
          </w:tcPr>
          <w:p w14:paraId="184305F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275</w:t>
            </w:r>
          </w:p>
        </w:tc>
        <w:tc>
          <w:tcPr>
            <w:tcW w:w="851" w:type="dxa"/>
            <w:vAlign w:val="center"/>
          </w:tcPr>
          <w:p w14:paraId="5E4846D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175</w:t>
            </w:r>
          </w:p>
        </w:tc>
        <w:tc>
          <w:tcPr>
            <w:tcW w:w="992" w:type="dxa"/>
            <w:vAlign w:val="center"/>
          </w:tcPr>
          <w:p w14:paraId="15D39BB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55</w:t>
            </w:r>
          </w:p>
        </w:tc>
        <w:tc>
          <w:tcPr>
            <w:tcW w:w="1134" w:type="dxa"/>
            <w:vAlign w:val="center"/>
          </w:tcPr>
          <w:p w14:paraId="7208EED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135</w:t>
            </w:r>
          </w:p>
        </w:tc>
        <w:tc>
          <w:tcPr>
            <w:tcW w:w="992" w:type="dxa"/>
            <w:vAlign w:val="center"/>
          </w:tcPr>
          <w:p w14:paraId="5BBF1BD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18</w:t>
            </w:r>
          </w:p>
        </w:tc>
        <w:tc>
          <w:tcPr>
            <w:tcW w:w="988" w:type="dxa"/>
            <w:tcBorders>
              <w:right w:val="single" w:sz="8" w:space="0" w:color="auto"/>
            </w:tcBorders>
            <w:vAlign w:val="center"/>
          </w:tcPr>
          <w:p w14:paraId="4D9B3B3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25</w:t>
            </w:r>
          </w:p>
        </w:tc>
      </w:tr>
      <w:tr w:rsidR="00413F29" w:rsidRPr="006431C4" w14:paraId="016782B7" w14:textId="77777777" w:rsidTr="005F616C">
        <w:tc>
          <w:tcPr>
            <w:tcW w:w="1418" w:type="dxa"/>
            <w:tcBorders>
              <w:left w:val="single" w:sz="8" w:space="0" w:color="auto"/>
            </w:tcBorders>
            <w:vAlign w:val="center"/>
          </w:tcPr>
          <w:p w14:paraId="106DDEB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0,2</w:t>
            </w:r>
          </w:p>
        </w:tc>
        <w:tc>
          <w:tcPr>
            <w:tcW w:w="1417" w:type="dxa"/>
            <w:tcBorders>
              <w:top w:val="single" w:sz="6" w:space="0" w:color="auto"/>
              <w:bottom w:val="single" w:sz="6" w:space="0" w:color="auto"/>
              <w:right w:val="single" w:sz="4" w:space="0" w:color="auto"/>
            </w:tcBorders>
            <w:vAlign w:val="center"/>
          </w:tcPr>
          <w:p w14:paraId="6206AFC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40</w:t>
            </w:r>
          </w:p>
        </w:tc>
        <w:tc>
          <w:tcPr>
            <w:tcW w:w="992" w:type="dxa"/>
            <w:tcBorders>
              <w:left w:val="single" w:sz="4" w:space="0" w:color="auto"/>
            </w:tcBorders>
            <w:vAlign w:val="center"/>
          </w:tcPr>
          <w:p w14:paraId="3593660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200</w:t>
            </w:r>
          </w:p>
        </w:tc>
        <w:tc>
          <w:tcPr>
            <w:tcW w:w="851" w:type="dxa"/>
            <w:vAlign w:val="center"/>
          </w:tcPr>
          <w:p w14:paraId="72BECFF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130</w:t>
            </w:r>
          </w:p>
        </w:tc>
        <w:tc>
          <w:tcPr>
            <w:tcW w:w="992" w:type="dxa"/>
            <w:vAlign w:val="center"/>
          </w:tcPr>
          <w:p w14:paraId="1D3E4A3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40</w:t>
            </w:r>
          </w:p>
        </w:tc>
        <w:tc>
          <w:tcPr>
            <w:tcW w:w="1134" w:type="dxa"/>
            <w:vAlign w:val="center"/>
          </w:tcPr>
          <w:p w14:paraId="79B2256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100</w:t>
            </w:r>
          </w:p>
        </w:tc>
        <w:tc>
          <w:tcPr>
            <w:tcW w:w="992" w:type="dxa"/>
            <w:vAlign w:val="center"/>
          </w:tcPr>
          <w:p w14:paraId="4252B3B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13</w:t>
            </w:r>
          </w:p>
        </w:tc>
        <w:tc>
          <w:tcPr>
            <w:tcW w:w="988" w:type="dxa"/>
            <w:tcBorders>
              <w:right w:val="single" w:sz="8" w:space="0" w:color="auto"/>
            </w:tcBorders>
            <w:vAlign w:val="center"/>
          </w:tcPr>
          <w:p w14:paraId="79C4791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20</w:t>
            </w:r>
          </w:p>
        </w:tc>
      </w:tr>
      <w:tr w:rsidR="00413F29" w:rsidRPr="006431C4" w14:paraId="032503F1" w14:textId="77777777" w:rsidTr="005F616C">
        <w:tc>
          <w:tcPr>
            <w:tcW w:w="1418" w:type="dxa"/>
            <w:tcBorders>
              <w:left w:val="single" w:sz="8" w:space="0" w:color="auto"/>
              <w:bottom w:val="single" w:sz="8" w:space="0" w:color="auto"/>
            </w:tcBorders>
            <w:vAlign w:val="center"/>
          </w:tcPr>
          <w:p w14:paraId="7B0E620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0,33</w:t>
            </w:r>
          </w:p>
        </w:tc>
        <w:tc>
          <w:tcPr>
            <w:tcW w:w="1417" w:type="dxa"/>
            <w:tcBorders>
              <w:top w:val="single" w:sz="6" w:space="0" w:color="auto"/>
              <w:bottom w:val="single" w:sz="8" w:space="0" w:color="auto"/>
              <w:right w:val="single" w:sz="4" w:space="0" w:color="auto"/>
            </w:tcBorders>
            <w:vAlign w:val="center"/>
          </w:tcPr>
          <w:p w14:paraId="71D44FB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40</w:t>
            </w:r>
          </w:p>
        </w:tc>
        <w:tc>
          <w:tcPr>
            <w:tcW w:w="992" w:type="dxa"/>
            <w:tcBorders>
              <w:left w:val="single" w:sz="4" w:space="0" w:color="auto"/>
              <w:bottom w:val="single" w:sz="8" w:space="0" w:color="auto"/>
            </w:tcBorders>
            <w:vAlign w:val="center"/>
          </w:tcPr>
          <w:p w14:paraId="7902C6F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150</w:t>
            </w:r>
          </w:p>
        </w:tc>
        <w:tc>
          <w:tcPr>
            <w:tcW w:w="851" w:type="dxa"/>
            <w:tcBorders>
              <w:bottom w:val="single" w:sz="8" w:space="0" w:color="auto"/>
            </w:tcBorders>
            <w:vAlign w:val="center"/>
          </w:tcPr>
          <w:p w14:paraId="7A97E77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95</w:t>
            </w:r>
          </w:p>
        </w:tc>
        <w:tc>
          <w:tcPr>
            <w:tcW w:w="992" w:type="dxa"/>
            <w:tcBorders>
              <w:bottom w:val="single" w:sz="8" w:space="0" w:color="auto"/>
            </w:tcBorders>
            <w:vAlign w:val="center"/>
          </w:tcPr>
          <w:p w14:paraId="3096C1A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30</w:t>
            </w:r>
          </w:p>
        </w:tc>
        <w:tc>
          <w:tcPr>
            <w:tcW w:w="1134" w:type="dxa"/>
            <w:tcBorders>
              <w:bottom w:val="single" w:sz="8" w:space="0" w:color="auto"/>
            </w:tcBorders>
            <w:vAlign w:val="center"/>
          </w:tcPr>
          <w:p w14:paraId="2290EBC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75</w:t>
            </w:r>
          </w:p>
        </w:tc>
        <w:tc>
          <w:tcPr>
            <w:tcW w:w="992" w:type="dxa"/>
            <w:tcBorders>
              <w:bottom w:val="single" w:sz="8" w:space="0" w:color="auto"/>
            </w:tcBorders>
            <w:vAlign w:val="center"/>
          </w:tcPr>
          <w:p w14:paraId="2CB21AA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10</w:t>
            </w:r>
          </w:p>
        </w:tc>
        <w:tc>
          <w:tcPr>
            <w:tcW w:w="988" w:type="dxa"/>
            <w:tcBorders>
              <w:bottom w:val="single" w:sz="8" w:space="0" w:color="auto"/>
              <w:right w:val="single" w:sz="8" w:space="0" w:color="auto"/>
            </w:tcBorders>
            <w:vAlign w:val="center"/>
          </w:tcPr>
          <w:p w14:paraId="47B4EE4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lang w:val="en-US"/>
              </w:rPr>
            </w:pPr>
            <w:r w:rsidRPr="006431C4">
              <w:rPr>
                <w:rFonts w:cs="Arial"/>
                <w:szCs w:val="20"/>
                <w:lang w:val="en-US"/>
              </w:rPr>
              <w:t>15</w:t>
            </w:r>
          </w:p>
        </w:tc>
      </w:tr>
    </w:tbl>
    <w:p w14:paraId="3E14DD3D" w14:textId="77777777" w:rsidR="00413F29" w:rsidRPr="006431C4" w:rsidRDefault="00413F29" w:rsidP="00270120">
      <w:pPr>
        <w:tabs>
          <w:tab w:val="left" w:pos="1134"/>
        </w:tabs>
        <w:overflowPunct w:val="0"/>
        <w:autoSpaceDE w:val="0"/>
        <w:autoSpaceDN w:val="0"/>
        <w:adjustRightInd w:val="0"/>
        <w:spacing w:line="240" w:lineRule="auto"/>
        <w:ind w:left="1134" w:hanging="1134"/>
        <w:jc w:val="both"/>
        <w:textAlignment w:val="baseline"/>
        <w:rPr>
          <w:rFonts w:cs="Arial"/>
          <w:szCs w:val="20"/>
        </w:rPr>
      </w:pPr>
      <w:r w:rsidRPr="006431C4">
        <w:rPr>
          <w:rFonts w:cs="Arial"/>
          <w:szCs w:val="20"/>
        </w:rPr>
        <w:t>Tablica 4.</w:t>
      </w:r>
      <w:r w:rsidRPr="006431C4">
        <w:rPr>
          <w:rFonts w:cs="Arial"/>
          <w:szCs w:val="20"/>
        </w:rPr>
        <w:tab/>
        <w:t>Minimalne wartości współczynnika odblasku R</w:t>
      </w:r>
      <w:r w:rsidRPr="006431C4">
        <w:rPr>
          <w:rFonts w:cs="Arial"/>
          <w:szCs w:val="20"/>
          <w:vertAlign w:val="subscript"/>
        </w:rPr>
        <w:t>A</w:t>
      </w:r>
      <w:r w:rsidRPr="006431C4">
        <w:rPr>
          <w:rFonts w:cs="Arial"/>
          <w:szCs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13F29" w:rsidRPr="006431C4" w14:paraId="21925655" w14:textId="77777777" w:rsidTr="005F616C">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417838D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Kąt obserwacji</w:t>
            </w:r>
          </w:p>
          <w:p w14:paraId="3C296C1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1C2596D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Kąt oświetlenia</w:t>
            </w:r>
          </w:p>
          <w:p w14:paraId="691864B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β</w:t>
            </w:r>
            <w:r w:rsidRPr="006431C4">
              <w:rPr>
                <w:rFonts w:cs="Arial"/>
                <w:szCs w:val="20"/>
                <w:vertAlign w:val="subscript"/>
              </w:rPr>
              <w:t>1</w:t>
            </w:r>
            <w:r w:rsidRPr="006431C4">
              <w:rPr>
                <w:rFonts w:cs="Arial"/>
                <w:szCs w:val="20"/>
              </w:rPr>
              <w:t>[°]</w:t>
            </w:r>
          </w:p>
          <w:p w14:paraId="67DC7334"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(β</w:t>
            </w:r>
            <w:r w:rsidRPr="006431C4">
              <w:rPr>
                <w:rFonts w:cs="Arial"/>
                <w:szCs w:val="20"/>
                <w:vertAlign w:val="subscript"/>
              </w:rPr>
              <w:t>2</w:t>
            </w:r>
            <w:r w:rsidRPr="006431C4">
              <w:rPr>
                <w:rFonts w:cs="Arial"/>
                <w:szCs w:val="20"/>
              </w:rPr>
              <w:t>=0</w:t>
            </w:r>
            <w:r w:rsidRPr="006431C4">
              <w:rPr>
                <w:rFonts w:cs="Arial"/>
                <w:szCs w:val="20"/>
                <w:vertAlign w:val="superscript"/>
              </w:rPr>
              <w:t>°</w:t>
            </w:r>
            <w:r w:rsidRPr="006431C4">
              <w:rPr>
                <w:rFonts w:cs="Arial"/>
                <w:szCs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0F3C90F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Barwa lica znaku</w:t>
            </w:r>
          </w:p>
        </w:tc>
      </w:tr>
      <w:tr w:rsidR="00413F29" w:rsidRPr="006431C4" w14:paraId="1A0AE9A1" w14:textId="77777777" w:rsidTr="005F616C">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0606C55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p>
        </w:tc>
        <w:tc>
          <w:tcPr>
            <w:tcW w:w="0" w:type="auto"/>
            <w:vMerge/>
            <w:tcBorders>
              <w:top w:val="double" w:sz="4" w:space="0" w:color="auto"/>
              <w:left w:val="nil"/>
              <w:bottom w:val="double" w:sz="4" w:space="0" w:color="auto"/>
              <w:right w:val="single" w:sz="8" w:space="0" w:color="auto"/>
            </w:tcBorders>
            <w:vAlign w:val="center"/>
            <w:hideMark/>
          </w:tcPr>
          <w:p w14:paraId="4CCE230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1B229DC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fluorescencyjna żółto-zielona</w:t>
            </w:r>
          </w:p>
        </w:tc>
      </w:tr>
      <w:tr w:rsidR="00413F29" w:rsidRPr="006431C4" w14:paraId="2C96EF44" w14:textId="77777777" w:rsidTr="005F616C">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FB18A4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49126F8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634D6E8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375</w:t>
            </w:r>
          </w:p>
        </w:tc>
      </w:tr>
      <w:tr w:rsidR="00413F29" w:rsidRPr="006431C4" w14:paraId="4D785BE7" w14:textId="77777777" w:rsidTr="005F616C">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3565C79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1CA6B51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27CEC0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270</w:t>
            </w:r>
          </w:p>
        </w:tc>
      </w:tr>
      <w:tr w:rsidR="00413F29" w:rsidRPr="006431C4" w14:paraId="4A385457" w14:textId="77777777" w:rsidTr="005F616C">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1D6A9B1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1DCB8F1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253DAD9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70</w:t>
            </w:r>
          </w:p>
        </w:tc>
      </w:tr>
      <w:tr w:rsidR="00413F29" w:rsidRPr="006431C4" w14:paraId="0BDE075B" w14:textId="77777777" w:rsidTr="005F616C">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6E085E1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520E024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E793B1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200</w:t>
            </w:r>
          </w:p>
        </w:tc>
      </w:tr>
      <w:tr w:rsidR="00413F29" w:rsidRPr="006431C4" w14:paraId="154BAB47" w14:textId="77777777" w:rsidTr="005F616C">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5FCCE18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51F5167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26AC67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140</w:t>
            </w:r>
          </w:p>
        </w:tc>
      </w:tr>
      <w:tr w:rsidR="00413F29" w:rsidRPr="006431C4" w14:paraId="24D7F4A5" w14:textId="77777777" w:rsidTr="005F616C">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12F68E8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17C75CD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56415EA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43</w:t>
            </w:r>
          </w:p>
        </w:tc>
      </w:tr>
      <w:tr w:rsidR="00413F29" w:rsidRPr="006431C4" w14:paraId="25FE073A" w14:textId="77777777" w:rsidTr="005F616C">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0BD1339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73B4CC9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7A18D70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36</w:t>
            </w:r>
          </w:p>
        </w:tc>
      </w:tr>
      <w:tr w:rsidR="00413F29" w:rsidRPr="006431C4" w14:paraId="6CCFCCB0" w14:textId="77777777" w:rsidTr="005F616C">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1D68144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3CDE202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084AC3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24</w:t>
            </w:r>
          </w:p>
        </w:tc>
      </w:tr>
      <w:tr w:rsidR="00413F29" w:rsidRPr="006431C4" w14:paraId="22AD4DF9" w14:textId="77777777" w:rsidTr="005F616C">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AEC6EC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5B6399D8"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1711D88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9</w:t>
            </w:r>
          </w:p>
        </w:tc>
      </w:tr>
    </w:tbl>
    <w:p w14:paraId="6D951E80"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r w:rsidRPr="006431C4">
        <w:rPr>
          <w:rFonts w:cs="Arial"/>
          <w:szCs w:val="20"/>
        </w:rPr>
        <w:tab/>
        <w:t>Biorąc pod uwagę dane zawarte w tablicach 2, 3 i.4 klasyfikacja folii odblaskowych przybierze postać podaną w tablicy 5.</w:t>
      </w:r>
    </w:p>
    <w:p w14:paraId="0CBFF490"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bookmarkStart w:id="1032" w:name="_Toc421265225"/>
      <w:bookmarkStart w:id="1033" w:name="_Toc421265488"/>
      <w:r w:rsidRPr="006431C4">
        <w:rPr>
          <w:rFonts w:cs="Arial"/>
          <w:szCs w:val="20"/>
        </w:rPr>
        <w:t>Tablica 5. Klasyfikacja folii odblaskowych</w:t>
      </w:r>
      <w:bookmarkEnd w:id="1032"/>
      <w:bookmarkEnd w:id="1033"/>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413F29" w:rsidRPr="006431C4" w14:paraId="0C565416" w14:textId="77777777" w:rsidTr="005F616C">
        <w:trPr>
          <w:tblHeader/>
        </w:trPr>
        <w:tc>
          <w:tcPr>
            <w:tcW w:w="709" w:type="dxa"/>
            <w:tcBorders>
              <w:top w:val="single" w:sz="4" w:space="0" w:color="auto"/>
              <w:left w:val="single" w:sz="4" w:space="0" w:color="auto"/>
              <w:bottom w:val="double" w:sz="4" w:space="0" w:color="auto"/>
            </w:tcBorders>
            <w:vAlign w:val="center"/>
          </w:tcPr>
          <w:p w14:paraId="3B15E6B2"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r w:rsidRPr="006431C4">
              <w:rPr>
                <w:rFonts w:cs="Arial"/>
                <w:szCs w:val="20"/>
              </w:rPr>
              <w:t>Typ folii</w:t>
            </w:r>
          </w:p>
        </w:tc>
        <w:tc>
          <w:tcPr>
            <w:tcW w:w="2212" w:type="dxa"/>
            <w:tcBorders>
              <w:top w:val="single" w:sz="4" w:space="0" w:color="auto"/>
              <w:bottom w:val="double" w:sz="4" w:space="0" w:color="auto"/>
              <w:right w:val="single" w:sz="4" w:space="0" w:color="auto"/>
            </w:tcBorders>
            <w:vAlign w:val="center"/>
          </w:tcPr>
          <w:p w14:paraId="523FFED9"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Rodzaj folii</w:t>
            </w:r>
          </w:p>
        </w:tc>
        <w:tc>
          <w:tcPr>
            <w:tcW w:w="3004" w:type="dxa"/>
            <w:tcBorders>
              <w:top w:val="single" w:sz="4" w:space="0" w:color="auto"/>
              <w:left w:val="single" w:sz="4" w:space="0" w:color="auto"/>
              <w:bottom w:val="double" w:sz="4" w:space="0" w:color="auto"/>
            </w:tcBorders>
          </w:tcPr>
          <w:p w14:paraId="7C20AFE8"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Współczynnik odblasku, gdy α=20’; β</w:t>
            </w:r>
            <w:r w:rsidRPr="006431C4">
              <w:rPr>
                <w:rFonts w:cs="Arial"/>
                <w:szCs w:val="20"/>
                <w:vertAlign w:val="subscript"/>
              </w:rPr>
              <w:t>1</w:t>
            </w:r>
            <w:r w:rsidRPr="006431C4">
              <w:rPr>
                <w:rFonts w:cs="Arial"/>
                <w:szCs w:val="20"/>
              </w:rPr>
              <w:t>=+5</w:t>
            </w:r>
            <w:r w:rsidRPr="006431C4">
              <w:rPr>
                <w:rFonts w:cs="Arial"/>
                <w:szCs w:val="20"/>
                <w:vertAlign w:val="superscript"/>
              </w:rPr>
              <w:t>o</w:t>
            </w:r>
            <w:r w:rsidRPr="006431C4">
              <w:rPr>
                <w:rFonts w:cs="Arial"/>
                <w:szCs w:val="20"/>
              </w:rPr>
              <w:t xml:space="preserve"> β</w:t>
            </w:r>
            <w:r w:rsidRPr="006431C4">
              <w:rPr>
                <w:rFonts w:cs="Arial"/>
                <w:szCs w:val="20"/>
                <w:vertAlign w:val="subscript"/>
              </w:rPr>
              <w:t>2</w:t>
            </w:r>
            <w:r w:rsidRPr="006431C4">
              <w:rPr>
                <w:rFonts w:cs="Arial"/>
                <w:szCs w:val="20"/>
              </w:rPr>
              <w:t>=0</w:t>
            </w:r>
            <w:r w:rsidRPr="006431C4">
              <w:rPr>
                <w:rFonts w:cs="Arial"/>
                <w:szCs w:val="20"/>
                <w:vertAlign w:val="superscript"/>
              </w:rPr>
              <w:t>o</w:t>
            </w:r>
          </w:p>
          <w:p w14:paraId="0D0958C3"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folii białej</w:t>
            </w:r>
          </w:p>
          <w:p w14:paraId="3A9EDF85"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[cd lx</w:t>
            </w:r>
            <w:r w:rsidRPr="006431C4">
              <w:rPr>
                <w:rFonts w:cs="Arial"/>
                <w:szCs w:val="20"/>
                <w:vertAlign w:val="superscript"/>
              </w:rPr>
              <w:t>-1</w:t>
            </w:r>
            <w:r w:rsidRPr="006431C4">
              <w:rPr>
                <w:rFonts w:cs="Arial"/>
                <w:szCs w:val="20"/>
              </w:rPr>
              <w:t xml:space="preserve"> m</w:t>
            </w:r>
            <w:r w:rsidRPr="006431C4">
              <w:rPr>
                <w:rFonts w:cs="Arial"/>
                <w:szCs w:val="20"/>
                <w:vertAlign w:val="superscript"/>
              </w:rPr>
              <w:t>-2</w:t>
            </w:r>
            <w:r w:rsidRPr="006431C4">
              <w:rPr>
                <w:rFonts w:cs="Arial"/>
                <w:szCs w:val="20"/>
              </w:rPr>
              <w:t>]</w:t>
            </w:r>
          </w:p>
        </w:tc>
        <w:tc>
          <w:tcPr>
            <w:tcW w:w="2864" w:type="dxa"/>
            <w:tcBorders>
              <w:top w:val="single" w:sz="4" w:space="0" w:color="auto"/>
              <w:bottom w:val="double" w:sz="4" w:space="0" w:color="auto"/>
              <w:right w:val="single" w:sz="4" w:space="0" w:color="auto"/>
            </w:tcBorders>
          </w:tcPr>
          <w:p w14:paraId="7BF1D15F"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Współczynnik odblasku, gdy α=20’; β</w:t>
            </w:r>
            <w:r w:rsidRPr="006431C4">
              <w:rPr>
                <w:rFonts w:cs="Arial"/>
                <w:szCs w:val="20"/>
                <w:vertAlign w:val="subscript"/>
              </w:rPr>
              <w:t>1</w:t>
            </w:r>
            <w:r w:rsidRPr="006431C4">
              <w:rPr>
                <w:rFonts w:cs="Arial"/>
                <w:szCs w:val="20"/>
              </w:rPr>
              <w:t>=+30</w:t>
            </w:r>
            <w:r w:rsidRPr="006431C4">
              <w:rPr>
                <w:rFonts w:cs="Arial"/>
                <w:szCs w:val="20"/>
                <w:vertAlign w:val="superscript"/>
              </w:rPr>
              <w:t>o</w:t>
            </w:r>
            <w:r w:rsidRPr="006431C4">
              <w:rPr>
                <w:rFonts w:cs="Arial"/>
                <w:szCs w:val="20"/>
              </w:rPr>
              <w:t xml:space="preserve"> β</w:t>
            </w:r>
            <w:r w:rsidRPr="006431C4">
              <w:rPr>
                <w:rFonts w:cs="Arial"/>
                <w:szCs w:val="20"/>
                <w:vertAlign w:val="subscript"/>
              </w:rPr>
              <w:t>2</w:t>
            </w:r>
            <w:r w:rsidRPr="006431C4">
              <w:rPr>
                <w:rFonts w:cs="Arial"/>
                <w:szCs w:val="20"/>
              </w:rPr>
              <w:t>=0</w:t>
            </w:r>
            <w:r w:rsidRPr="006431C4">
              <w:rPr>
                <w:rFonts w:cs="Arial"/>
                <w:szCs w:val="20"/>
                <w:vertAlign w:val="superscript"/>
              </w:rPr>
              <w:t>o</w:t>
            </w:r>
          </w:p>
          <w:p w14:paraId="06FA2479"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folii białej</w:t>
            </w:r>
          </w:p>
          <w:p w14:paraId="4555EC48"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[cd lx</w:t>
            </w:r>
            <w:r w:rsidRPr="006431C4">
              <w:rPr>
                <w:rFonts w:cs="Arial"/>
                <w:szCs w:val="20"/>
                <w:vertAlign w:val="superscript"/>
              </w:rPr>
              <w:t>-1</w:t>
            </w:r>
            <w:r w:rsidRPr="006431C4">
              <w:rPr>
                <w:rFonts w:cs="Arial"/>
                <w:szCs w:val="20"/>
              </w:rPr>
              <w:t xml:space="preserve"> m</w:t>
            </w:r>
            <w:r w:rsidRPr="006431C4">
              <w:rPr>
                <w:rFonts w:cs="Arial"/>
                <w:szCs w:val="20"/>
                <w:vertAlign w:val="superscript"/>
              </w:rPr>
              <w:t>-2</w:t>
            </w:r>
            <w:r w:rsidRPr="006431C4">
              <w:rPr>
                <w:rFonts w:cs="Arial"/>
                <w:szCs w:val="20"/>
              </w:rPr>
              <w:t>]</w:t>
            </w:r>
          </w:p>
        </w:tc>
      </w:tr>
      <w:tr w:rsidR="00413F29" w:rsidRPr="006431C4" w14:paraId="3EA089F5" w14:textId="77777777" w:rsidTr="005F616C">
        <w:tc>
          <w:tcPr>
            <w:tcW w:w="709" w:type="dxa"/>
            <w:tcBorders>
              <w:top w:val="double" w:sz="4" w:space="0" w:color="auto"/>
              <w:left w:val="single" w:sz="4" w:space="0" w:color="auto"/>
              <w:bottom w:val="single" w:sz="6" w:space="0" w:color="auto"/>
            </w:tcBorders>
            <w:vAlign w:val="center"/>
          </w:tcPr>
          <w:p w14:paraId="66E47FDF"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2212" w:type="dxa"/>
            <w:tcBorders>
              <w:top w:val="double" w:sz="4" w:space="0" w:color="auto"/>
              <w:bottom w:val="single" w:sz="6" w:space="0" w:color="auto"/>
              <w:right w:val="single" w:sz="4" w:space="0" w:color="auto"/>
            </w:tcBorders>
            <w:vAlign w:val="center"/>
          </w:tcPr>
          <w:p w14:paraId="670A6A79"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r w:rsidRPr="006431C4">
              <w:rPr>
                <w:rFonts w:cs="Arial"/>
                <w:szCs w:val="20"/>
              </w:rPr>
              <w:t>kulkowa</w:t>
            </w:r>
          </w:p>
        </w:tc>
        <w:tc>
          <w:tcPr>
            <w:tcW w:w="3004" w:type="dxa"/>
            <w:tcBorders>
              <w:top w:val="double" w:sz="4" w:space="0" w:color="auto"/>
              <w:left w:val="single" w:sz="4" w:space="0" w:color="auto"/>
              <w:bottom w:val="single" w:sz="6" w:space="0" w:color="auto"/>
            </w:tcBorders>
            <w:vAlign w:val="center"/>
          </w:tcPr>
          <w:p w14:paraId="15A38358"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50</w:t>
            </w:r>
          </w:p>
        </w:tc>
        <w:tc>
          <w:tcPr>
            <w:tcW w:w="2864" w:type="dxa"/>
            <w:tcBorders>
              <w:top w:val="double" w:sz="4" w:space="0" w:color="auto"/>
              <w:bottom w:val="single" w:sz="6" w:space="0" w:color="auto"/>
              <w:right w:val="single" w:sz="4" w:space="0" w:color="auto"/>
            </w:tcBorders>
            <w:vAlign w:val="center"/>
          </w:tcPr>
          <w:p w14:paraId="3CF28336"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24</w:t>
            </w:r>
          </w:p>
        </w:tc>
      </w:tr>
      <w:tr w:rsidR="00413F29" w:rsidRPr="006431C4" w14:paraId="58B36F73" w14:textId="77777777" w:rsidTr="005F616C">
        <w:tc>
          <w:tcPr>
            <w:tcW w:w="709" w:type="dxa"/>
            <w:tcBorders>
              <w:top w:val="single" w:sz="6" w:space="0" w:color="auto"/>
              <w:left w:val="single" w:sz="4" w:space="0" w:color="auto"/>
            </w:tcBorders>
            <w:vAlign w:val="center"/>
          </w:tcPr>
          <w:p w14:paraId="2FD93F97"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1P</w:t>
            </w:r>
          </w:p>
        </w:tc>
        <w:tc>
          <w:tcPr>
            <w:tcW w:w="2212" w:type="dxa"/>
            <w:tcBorders>
              <w:top w:val="single" w:sz="6" w:space="0" w:color="auto"/>
              <w:right w:val="single" w:sz="4" w:space="0" w:color="auto"/>
            </w:tcBorders>
            <w:vAlign w:val="center"/>
          </w:tcPr>
          <w:p w14:paraId="3C69578D"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r w:rsidRPr="006431C4">
              <w:rPr>
                <w:rFonts w:cs="Arial"/>
                <w:szCs w:val="20"/>
              </w:rPr>
              <w:t>pryzmatyczna</w:t>
            </w:r>
          </w:p>
        </w:tc>
        <w:tc>
          <w:tcPr>
            <w:tcW w:w="3004" w:type="dxa"/>
            <w:tcBorders>
              <w:top w:val="single" w:sz="6" w:space="0" w:color="auto"/>
              <w:left w:val="single" w:sz="4" w:space="0" w:color="auto"/>
            </w:tcBorders>
            <w:vAlign w:val="center"/>
          </w:tcPr>
          <w:p w14:paraId="305091F1"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100</w:t>
            </w:r>
          </w:p>
        </w:tc>
        <w:tc>
          <w:tcPr>
            <w:tcW w:w="2864" w:type="dxa"/>
            <w:tcBorders>
              <w:top w:val="single" w:sz="6" w:space="0" w:color="auto"/>
              <w:right w:val="single" w:sz="4" w:space="0" w:color="auto"/>
            </w:tcBorders>
            <w:vAlign w:val="center"/>
          </w:tcPr>
          <w:p w14:paraId="1DFB9C9A"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48</w:t>
            </w:r>
          </w:p>
        </w:tc>
      </w:tr>
      <w:tr w:rsidR="00413F29" w:rsidRPr="006431C4" w14:paraId="267D45F3" w14:textId="77777777" w:rsidTr="005F616C">
        <w:tc>
          <w:tcPr>
            <w:tcW w:w="709" w:type="dxa"/>
            <w:tcBorders>
              <w:left w:val="single" w:sz="4" w:space="0" w:color="auto"/>
            </w:tcBorders>
            <w:vAlign w:val="center"/>
          </w:tcPr>
          <w:p w14:paraId="76C76EC2"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2212" w:type="dxa"/>
            <w:tcBorders>
              <w:right w:val="single" w:sz="4" w:space="0" w:color="auto"/>
            </w:tcBorders>
            <w:vAlign w:val="center"/>
          </w:tcPr>
          <w:p w14:paraId="5BF0FC77"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r w:rsidRPr="006431C4">
              <w:rPr>
                <w:rFonts w:cs="Arial"/>
                <w:szCs w:val="20"/>
              </w:rPr>
              <w:t>kulkowa</w:t>
            </w:r>
          </w:p>
        </w:tc>
        <w:tc>
          <w:tcPr>
            <w:tcW w:w="3004" w:type="dxa"/>
            <w:tcBorders>
              <w:left w:val="single" w:sz="4" w:space="0" w:color="auto"/>
            </w:tcBorders>
            <w:vAlign w:val="center"/>
          </w:tcPr>
          <w:p w14:paraId="471241F6"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180</w:t>
            </w:r>
          </w:p>
        </w:tc>
        <w:tc>
          <w:tcPr>
            <w:tcW w:w="2864" w:type="dxa"/>
            <w:tcBorders>
              <w:right w:val="single" w:sz="4" w:space="0" w:color="auto"/>
            </w:tcBorders>
            <w:vAlign w:val="center"/>
          </w:tcPr>
          <w:p w14:paraId="22796751"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100</w:t>
            </w:r>
          </w:p>
        </w:tc>
      </w:tr>
      <w:tr w:rsidR="00413F29" w:rsidRPr="006431C4" w14:paraId="3351788D" w14:textId="77777777" w:rsidTr="005F616C">
        <w:tc>
          <w:tcPr>
            <w:tcW w:w="709" w:type="dxa"/>
            <w:tcBorders>
              <w:left w:val="single" w:sz="4" w:space="0" w:color="auto"/>
            </w:tcBorders>
            <w:vAlign w:val="center"/>
          </w:tcPr>
          <w:p w14:paraId="2EF1459C"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2P</w:t>
            </w:r>
          </w:p>
        </w:tc>
        <w:tc>
          <w:tcPr>
            <w:tcW w:w="2212" w:type="dxa"/>
            <w:tcBorders>
              <w:right w:val="single" w:sz="4" w:space="0" w:color="auto"/>
            </w:tcBorders>
            <w:vAlign w:val="center"/>
          </w:tcPr>
          <w:p w14:paraId="79082C56"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r w:rsidRPr="006431C4">
              <w:rPr>
                <w:rFonts w:cs="Arial"/>
                <w:szCs w:val="20"/>
              </w:rPr>
              <w:t>pryzmatyczna</w:t>
            </w:r>
          </w:p>
        </w:tc>
        <w:tc>
          <w:tcPr>
            <w:tcW w:w="3004" w:type="dxa"/>
            <w:tcBorders>
              <w:left w:val="single" w:sz="4" w:space="0" w:color="auto"/>
            </w:tcBorders>
            <w:vAlign w:val="center"/>
          </w:tcPr>
          <w:p w14:paraId="4999E810"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300</w:t>
            </w:r>
          </w:p>
        </w:tc>
        <w:tc>
          <w:tcPr>
            <w:tcW w:w="2864" w:type="dxa"/>
            <w:tcBorders>
              <w:right w:val="single" w:sz="4" w:space="0" w:color="auto"/>
            </w:tcBorders>
            <w:vAlign w:val="center"/>
          </w:tcPr>
          <w:p w14:paraId="30687B5D"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165</w:t>
            </w:r>
          </w:p>
        </w:tc>
      </w:tr>
      <w:tr w:rsidR="00413F29" w:rsidRPr="006431C4" w14:paraId="08BABE19" w14:textId="77777777" w:rsidTr="005F616C">
        <w:tc>
          <w:tcPr>
            <w:tcW w:w="709" w:type="dxa"/>
            <w:tcBorders>
              <w:left w:val="single" w:sz="4" w:space="0" w:color="auto"/>
            </w:tcBorders>
            <w:vAlign w:val="center"/>
          </w:tcPr>
          <w:p w14:paraId="578A83ED"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3P</w:t>
            </w:r>
          </w:p>
        </w:tc>
        <w:tc>
          <w:tcPr>
            <w:tcW w:w="2212" w:type="dxa"/>
            <w:tcBorders>
              <w:right w:val="single" w:sz="4" w:space="0" w:color="auto"/>
            </w:tcBorders>
            <w:vAlign w:val="center"/>
          </w:tcPr>
          <w:p w14:paraId="77F3F89B"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r w:rsidRPr="006431C4">
              <w:rPr>
                <w:rFonts w:cs="Arial"/>
                <w:szCs w:val="20"/>
              </w:rPr>
              <w:t>pryzmatyczna</w:t>
            </w:r>
          </w:p>
        </w:tc>
        <w:tc>
          <w:tcPr>
            <w:tcW w:w="3004" w:type="dxa"/>
            <w:tcBorders>
              <w:left w:val="single" w:sz="4" w:space="0" w:color="auto"/>
            </w:tcBorders>
            <w:vAlign w:val="center"/>
          </w:tcPr>
          <w:p w14:paraId="65954685"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425</w:t>
            </w:r>
          </w:p>
        </w:tc>
        <w:tc>
          <w:tcPr>
            <w:tcW w:w="2864" w:type="dxa"/>
            <w:tcBorders>
              <w:right w:val="single" w:sz="4" w:space="0" w:color="auto"/>
            </w:tcBorders>
            <w:vAlign w:val="center"/>
          </w:tcPr>
          <w:p w14:paraId="2ABF5208"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225</w:t>
            </w:r>
          </w:p>
        </w:tc>
      </w:tr>
      <w:tr w:rsidR="00413F29" w:rsidRPr="006431C4" w14:paraId="116F0B9D" w14:textId="77777777" w:rsidTr="005F616C">
        <w:tc>
          <w:tcPr>
            <w:tcW w:w="709" w:type="dxa"/>
            <w:tcBorders>
              <w:left w:val="single" w:sz="4" w:space="0" w:color="auto"/>
            </w:tcBorders>
            <w:vAlign w:val="center"/>
          </w:tcPr>
          <w:p w14:paraId="7F1B799A"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p>
        </w:tc>
        <w:tc>
          <w:tcPr>
            <w:tcW w:w="2212" w:type="dxa"/>
            <w:tcBorders>
              <w:right w:val="single" w:sz="4" w:space="0" w:color="auto"/>
            </w:tcBorders>
            <w:vAlign w:val="center"/>
          </w:tcPr>
          <w:p w14:paraId="5C1515CF"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p>
        </w:tc>
        <w:tc>
          <w:tcPr>
            <w:tcW w:w="3004" w:type="dxa"/>
            <w:tcBorders>
              <w:left w:val="single" w:sz="4" w:space="0" w:color="auto"/>
            </w:tcBorders>
            <w:vAlign w:val="center"/>
          </w:tcPr>
          <w:p w14:paraId="2FF2929F"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Współczynnik odblasku folii żółtozielonej [cd lx</w:t>
            </w:r>
            <w:r w:rsidRPr="006431C4">
              <w:rPr>
                <w:rFonts w:cs="Arial"/>
                <w:szCs w:val="20"/>
                <w:vertAlign w:val="superscript"/>
              </w:rPr>
              <w:t>-1</w:t>
            </w:r>
            <w:r w:rsidRPr="006431C4">
              <w:rPr>
                <w:rFonts w:cs="Arial"/>
                <w:szCs w:val="20"/>
              </w:rPr>
              <w:t xml:space="preserve"> m</w:t>
            </w:r>
            <w:r w:rsidRPr="006431C4">
              <w:rPr>
                <w:rFonts w:cs="Arial"/>
                <w:szCs w:val="20"/>
                <w:vertAlign w:val="superscript"/>
              </w:rPr>
              <w:t>-2</w:t>
            </w:r>
            <w:r w:rsidRPr="006431C4">
              <w:rPr>
                <w:rFonts w:cs="Arial"/>
                <w:szCs w:val="20"/>
              </w:rPr>
              <w:t>]</w:t>
            </w:r>
          </w:p>
        </w:tc>
        <w:tc>
          <w:tcPr>
            <w:tcW w:w="2864" w:type="dxa"/>
            <w:tcBorders>
              <w:right w:val="single" w:sz="4" w:space="0" w:color="auto"/>
            </w:tcBorders>
            <w:vAlign w:val="center"/>
          </w:tcPr>
          <w:p w14:paraId="07EFB13C"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Współczynnik odblasku folii żółtozielonej [cd lx</w:t>
            </w:r>
            <w:r w:rsidRPr="006431C4">
              <w:rPr>
                <w:rFonts w:cs="Arial"/>
                <w:szCs w:val="20"/>
                <w:vertAlign w:val="superscript"/>
              </w:rPr>
              <w:t>-1</w:t>
            </w:r>
            <w:r w:rsidRPr="006431C4">
              <w:rPr>
                <w:rFonts w:cs="Arial"/>
                <w:szCs w:val="20"/>
              </w:rPr>
              <w:t xml:space="preserve"> m</w:t>
            </w:r>
            <w:r w:rsidRPr="006431C4">
              <w:rPr>
                <w:rFonts w:cs="Arial"/>
                <w:szCs w:val="20"/>
                <w:vertAlign w:val="superscript"/>
              </w:rPr>
              <w:t>-2</w:t>
            </w:r>
            <w:r w:rsidRPr="006431C4">
              <w:rPr>
                <w:rFonts w:cs="Arial"/>
                <w:szCs w:val="20"/>
              </w:rPr>
              <w:t>]</w:t>
            </w:r>
          </w:p>
        </w:tc>
      </w:tr>
      <w:tr w:rsidR="00413F29" w:rsidRPr="006431C4" w14:paraId="62CDB30B" w14:textId="77777777" w:rsidTr="005F616C">
        <w:tc>
          <w:tcPr>
            <w:tcW w:w="709" w:type="dxa"/>
            <w:tcBorders>
              <w:left w:val="single" w:sz="4" w:space="0" w:color="auto"/>
              <w:bottom w:val="single" w:sz="4" w:space="0" w:color="auto"/>
            </w:tcBorders>
            <w:vAlign w:val="center"/>
          </w:tcPr>
          <w:p w14:paraId="6C1D3E14"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3PF</w:t>
            </w:r>
          </w:p>
        </w:tc>
        <w:tc>
          <w:tcPr>
            <w:tcW w:w="2212" w:type="dxa"/>
            <w:tcBorders>
              <w:bottom w:val="single" w:sz="4" w:space="0" w:color="auto"/>
              <w:right w:val="single" w:sz="4" w:space="0" w:color="auto"/>
            </w:tcBorders>
            <w:vAlign w:val="center"/>
          </w:tcPr>
          <w:p w14:paraId="38E38060"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r w:rsidRPr="006431C4">
              <w:rPr>
                <w:rFonts w:cs="Arial"/>
                <w:szCs w:val="20"/>
              </w:rPr>
              <w:t>pryzmatyczna fluorescencyjna</w:t>
            </w:r>
          </w:p>
        </w:tc>
        <w:tc>
          <w:tcPr>
            <w:tcW w:w="3004" w:type="dxa"/>
            <w:tcBorders>
              <w:left w:val="single" w:sz="4" w:space="0" w:color="auto"/>
              <w:bottom w:val="single" w:sz="4" w:space="0" w:color="auto"/>
            </w:tcBorders>
            <w:vAlign w:val="center"/>
          </w:tcPr>
          <w:p w14:paraId="0AC0A723"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270</w:t>
            </w:r>
          </w:p>
        </w:tc>
        <w:tc>
          <w:tcPr>
            <w:tcW w:w="2864" w:type="dxa"/>
            <w:tcBorders>
              <w:bottom w:val="single" w:sz="4" w:space="0" w:color="auto"/>
              <w:right w:val="single" w:sz="4" w:space="0" w:color="auto"/>
            </w:tcBorders>
            <w:vAlign w:val="center"/>
          </w:tcPr>
          <w:p w14:paraId="1BD8AF67" w14:textId="77777777" w:rsidR="00413F29" w:rsidRPr="006431C4" w:rsidRDefault="00413F29" w:rsidP="00270120">
            <w:pPr>
              <w:widowControl w:val="0"/>
              <w:overflowPunct w:val="0"/>
              <w:autoSpaceDE w:val="0"/>
              <w:autoSpaceDN w:val="0"/>
              <w:adjustRightInd w:val="0"/>
              <w:spacing w:line="240" w:lineRule="auto"/>
              <w:jc w:val="center"/>
              <w:textAlignment w:val="baseline"/>
              <w:rPr>
                <w:rFonts w:cs="Arial"/>
                <w:szCs w:val="20"/>
              </w:rPr>
            </w:pPr>
            <w:r w:rsidRPr="006431C4">
              <w:rPr>
                <w:rFonts w:cs="Arial"/>
                <w:szCs w:val="20"/>
              </w:rPr>
              <w:t>≥ 140</w:t>
            </w:r>
          </w:p>
        </w:tc>
      </w:tr>
    </w:tbl>
    <w:p w14:paraId="085AA8C8" w14:textId="77777777" w:rsidR="00413F29" w:rsidRPr="006431C4" w:rsidRDefault="00413F29" w:rsidP="00270120">
      <w:pPr>
        <w:widowControl w:val="0"/>
        <w:overflowPunct w:val="0"/>
        <w:autoSpaceDE w:val="0"/>
        <w:autoSpaceDN w:val="0"/>
        <w:adjustRightInd w:val="0"/>
        <w:spacing w:line="240" w:lineRule="auto"/>
        <w:jc w:val="both"/>
        <w:textAlignment w:val="baseline"/>
        <w:rPr>
          <w:rFonts w:cs="Arial"/>
          <w:szCs w:val="20"/>
        </w:rPr>
      </w:pPr>
    </w:p>
    <w:p w14:paraId="1909B6D5" w14:textId="77777777" w:rsidR="00413F29" w:rsidRPr="006431C4" w:rsidRDefault="00413F29" w:rsidP="00270120">
      <w:pPr>
        <w:widowControl w:val="0"/>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Ponadto należy wziąć pod uwagę następujące zalecenia:</w:t>
      </w:r>
    </w:p>
    <w:p w14:paraId="24B7C95F" w14:textId="77777777" w:rsidR="00413F29" w:rsidRPr="006431C4" w:rsidRDefault="00413F29" w:rsidP="00CF1E7D">
      <w:pPr>
        <w:widowControl w:val="0"/>
        <w:numPr>
          <w:ilvl w:val="0"/>
          <w:numId w:val="184"/>
        </w:numPr>
        <w:overflowPunct w:val="0"/>
        <w:autoSpaceDE w:val="0"/>
        <w:autoSpaceDN w:val="0"/>
        <w:adjustRightInd w:val="0"/>
        <w:spacing w:line="240" w:lineRule="auto"/>
        <w:jc w:val="both"/>
        <w:textAlignment w:val="baseline"/>
        <w:rPr>
          <w:rFonts w:cs="Arial"/>
          <w:szCs w:val="20"/>
        </w:rPr>
      </w:pPr>
      <w:r w:rsidRPr="006431C4">
        <w:rPr>
          <w:rFonts w:cs="Arial"/>
          <w:szCs w:val="20"/>
        </w:rPr>
        <w:t>dopuszcza się wycinanie kształtów z folii typu 2 i pryzmatycznej pod warunkiem zabezpieczenia ich krawędzi lakierem zalecanym przez producenta folii,</w:t>
      </w:r>
    </w:p>
    <w:p w14:paraId="39B4F9A2" w14:textId="77777777" w:rsidR="00413F29" w:rsidRPr="006431C4" w:rsidRDefault="00413F29" w:rsidP="00CF1E7D">
      <w:pPr>
        <w:numPr>
          <w:ilvl w:val="0"/>
          <w:numId w:val="184"/>
        </w:numPr>
        <w:overflowPunct w:val="0"/>
        <w:autoSpaceDE w:val="0"/>
        <w:autoSpaceDN w:val="0"/>
        <w:adjustRightInd w:val="0"/>
        <w:spacing w:line="240" w:lineRule="auto"/>
        <w:jc w:val="both"/>
        <w:textAlignment w:val="baseline"/>
        <w:rPr>
          <w:rFonts w:cs="Arial"/>
          <w:szCs w:val="20"/>
        </w:rPr>
      </w:pPr>
      <w:r w:rsidRPr="006431C4">
        <w:rPr>
          <w:rFonts w:cs="Arial"/>
          <w:szCs w:val="20"/>
        </w:rPr>
        <w:t>nie dopuszcza się stosowania folii o okresie trwałości poniżej 7 lat do znaków stałych,</w:t>
      </w:r>
    </w:p>
    <w:p w14:paraId="6ED99790" w14:textId="77777777" w:rsidR="00413F29" w:rsidRPr="006431C4" w:rsidRDefault="00413F29" w:rsidP="00CF1E7D">
      <w:pPr>
        <w:numPr>
          <w:ilvl w:val="0"/>
          <w:numId w:val="184"/>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folie o 2-letnim i 3-letnim okresie trwałości mogą być wykorzystywane do znaków tymczasowych stosowanych do oznakowania robót drogowych, pod warunkiem posiadania </w:t>
      </w:r>
      <w:r w:rsidRPr="006431C4">
        <w:rPr>
          <w:rFonts w:cs="Arial"/>
          <w:szCs w:val="20"/>
        </w:rPr>
        <w:lastRenderedPageBreak/>
        <w:t>aprobaty technicznej lub krajowej oceny technicznej i zachowania zgodności z załącznikiem nr 1 do rozporządzenia [19].</w:t>
      </w:r>
    </w:p>
    <w:p w14:paraId="2C9855BE"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Minimalna początkowa wartość współczynnika odblasku R</w:t>
      </w:r>
      <w:r w:rsidRPr="006431C4">
        <w:rPr>
          <w:rFonts w:cs="Arial"/>
          <w:szCs w:val="20"/>
          <w:vertAlign w:val="subscript"/>
        </w:rPr>
        <w:t>A</w:t>
      </w:r>
      <w:r w:rsidRPr="006431C4">
        <w:rPr>
          <w:rFonts w:cs="Arial"/>
          <w:szCs w:val="20"/>
        </w:rPr>
        <w:t xml:space="preserve"> (cd·lx</w:t>
      </w:r>
      <w:r w:rsidRPr="006431C4">
        <w:rPr>
          <w:rFonts w:cs="Arial"/>
          <w:szCs w:val="20"/>
          <w:vertAlign w:val="superscript"/>
        </w:rPr>
        <w:t>-1</w:t>
      </w:r>
      <w:r w:rsidRPr="006431C4">
        <w:rPr>
          <w:rFonts w:cs="Arial"/>
          <w:szCs w:val="20"/>
        </w:rPr>
        <w:t>m</w:t>
      </w:r>
      <w:r w:rsidRPr="006431C4">
        <w:rPr>
          <w:rFonts w:cs="Arial"/>
          <w:szCs w:val="20"/>
          <w:vertAlign w:val="superscript"/>
        </w:rPr>
        <w:t xml:space="preserve">-2 </w:t>
      </w:r>
      <w:r w:rsidRPr="006431C4">
        <w:rPr>
          <w:rFonts w:cs="Arial"/>
          <w:szCs w:val="20"/>
        </w:rPr>
        <w:t>) znaków odblaskowych, zmierzona zgodnie z procedurą zawartą w CIE No.54.2 [27], używając standardowego iluminanta A, powinna spełniać odpowiednio wymagania podane w tablicy 5.</w:t>
      </w:r>
    </w:p>
    <w:p w14:paraId="6B1E1930"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Współczynnik odblasku R</w:t>
      </w:r>
      <w:r w:rsidRPr="006431C4">
        <w:rPr>
          <w:rFonts w:cs="Arial"/>
          <w:szCs w:val="20"/>
          <w:vertAlign w:val="subscript"/>
        </w:rPr>
        <w:t>A</w:t>
      </w:r>
      <w:r w:rsidRPr="006431C4">
        <w:rPr>
          <w:rFonts w:cs="Arial"/>
          <w:szCs w:val="20"/>
        </w:rPr>
        <w:t xml:space="preserve"> dla wszystkich kolorów drukowanych, z wyjątkiem białego, nie powinien być mniejszy niż 70% wartości podanych w tablicy 5 dla znaków z folią typu 1 lub typu 2.</w:t>
      </w:r>
    </w:p>
    <w:p w14:paraId="7CB924F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2.7.2. </w:t>
      </w:r>
      <w:r w:rsidRPr="006431C4">
        <w:rPr>
          <w:rFonts w:cs="Arial"/>
          <w:szCs w:val="20"/>
        </w:rPr>
        <w:t xml:space="preserve">Wymagania jakościowe </w:t>
      </w:r>
    </w:p>
    <w:p w14:paraId="65CD2D77" w14:textId="77777777" w:rsidR="00413F29" w:rsidRPr="006431C4" w:rsidRDefault="00413F29" w:rsidP="00270120">
      <w:pPr>
        <w:widowControl w:val="0"/>
        <w:spacing w:line="240" w:lineRule="auto"/>
        <w:jc w:val="both"/>
        <w:rPr>
          <w:rFonts w:cs="Arial"/>
          <w:szCs w:val="20"/>
        </w:rPr>
      </w:pPr>
      <w:r w:rsidRPr="006431C4">
        <w:rPr>
          <w:rFonts w:cs="Arial"/>
          <w:szCs w:val="20"/>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6431C4">
          <w:rPr>
            <w:rFonts w:cs="Arial"/>
            <w:szCs w:val="20"/>
          </w:rPr>
          <w:t>1 mm</w:t>
        </w:r>
      </w:smartTag>
      <w:r w:rsidRPr="006431C4">
        <w:rPr>
          <w:rFonts w:cs="Arial"/>
          <w:szCs w:val="20"/>
        </w:rPr>
        <w:t>. Dopuszcza się występowanie płytkich rys i wżerów do głębokości maksymalnie 0,1 mm.</w:t>
      </w:r>
    </w:p>
    <w:p w14:paraId="0B561E8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Sposób połączenia folii z powierzchnią tarczy znaku powinien uniemożliwiać jej odłączenie od tarczy bez jej zniszczenia.</w:t>
      </w:r>
    </w:p>
    <w:p w14:paraId="01DEC56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Dokładność rysunku znaku powinna być taka, aby wady konturów znaku, które mogą powstać przy nanoszeniu farby na odblaskową powierzchnię znaku, nie były większe niż podane w p. 2.7.3.</w:t>
      </w:r>
    </w:p>
    <w:p w14:paraId="5A484434" w14:textId="77777777" w:rsidR="00413F29" w:rsidRPr="006431C4" w:rsidRDefault="00413F29" w:rsidP="00270120">
      <w:pPr>
        <w:widowControl w:val="0"/>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Lica znaków wykonane drukiem sitowym powinny być wolne od smug i cieni.</w:t>
      </w:r>
    </w:p>
    <w:p w14:paraId="216D70C9" w14:textId="77777777" w:rsidR="00413F29" w:rsidRPr="006431C4" w:rsidRDefault="00413F29" w:rsidP="00270120">
      <w:pPr>
        <w:tabs>
          <w:tab w:val="left" w:pos="708"/>
          <w:tab w:val="center" w:pos="4536"/>
          <w:tab w:val="right" w:pos="9072"/>
        </w:tabs>
        <w:overflowPunct w:val="0"/>
        <w:autoSpaceDE w:val="0"/>
        <w:autoSpaceDN w:val="0"/>
        <w:adjustRightInd w:val="0"/>
        <w:spacing w:line="240" w:lineRule="auto"/>
        <w:jc w:val="both"/>
        <w:textAlignment w:val="baseline"/>
        <w:rPr>
          <w:rFonts w:cs="Arial"/>
          <w:szCs w:val="20"/>
        </w:rPr>
      </w:pPr>
      <w:r w:rsidRPr="006431C4">
        <w:rPr>
          <w:rFonts w:cs="Arial"/>
          <w:szCs w:val="20"/>
        </w:rPr>
        <w:tab/>
        <w:t>Krawędzie lica znaku z folii typu 2 i folii pryzmatycznej powinny być odpowiednio zabezpieczone np. przez lakierowanie lub ramą z profilu ceowego.</w:t>
      </w:r>
    </w:p>
    <w:p w14:paraId="7E8C9D17" w14:textId="77777777" w:rsidR="00413F29" w:rsidRPr="006431C4" w:rsidRDefault="00413F29" w:rsidP="00270120">
      <w:pPr>
        <w:widowControl w:val="0"/>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Powłoka lakiernicza w kolorze RAL 7037 na tylnej stronie znaku powinna być równa, gładka bez smug i zacieków. Sprawdzenie barwy polega na ocenie wizualnej przez porównanie ze wzorcem [26].</w:t>
      </w:r>
    </w:p>
    <w:p w14:paraId="737385E5" w14:textId="77777777" w:rsidR="00413F29" w:rsidRPr="006431C4" w:rsidRDefault="00413F29" w:rsidP="00270120">
      <w:pPr>
        <w:overflowPunct w:val="0"/>
        <w:autoSpaceDE w:val="0"/>
        <w:autoSpaceDN w:val="0"/>
        <w:adjustRightInd w:val="0"/>
        <w:spacing w:line="240" w:lineRule="auto"/>
        <w:jc w:val="both"/>
        <w:textAlignment w:val="baseline"/>
        <w:rPr>
          <w:rFonts w:cs="Arial"/>
          <w:b/>
          <w:bCs/>
          <w:szCs w:val="20"/>
        </w:rPr>
      </w:pPr>
      <w:r w:rsidRPr="006431C4">
        <w:rPr>
          <w:rFonts w:cs="Arial"/>
          <w:b/>
          <w:bCs/>
          <w:szCs w:val="20"/>
        </w:rPr>
        <w:t xml:space="preserve">2.7.3. </w:t>
      </w:r>
      <w:r w:rsidRPr="006431C4">
        <w:rPr>
          <w:rFonts w:cs="Arial"/>
          <w:bCs/>
          <w:szCs w:val="20"/>
        </w:rPr>
        <w:t>Tolerancje wymiarowe dla lica znaku</w:t>
      </w:r>
      <w:r w:rsidRPr="006431C4">
        <w:rPr>
          <w:rFonts w:cs="Arial"/>
          <w:b/>
          <w:bCs/>
          <w:szCs w:val="20"/>
        </w:rPr>
        <w:t xml:space="preserve"> </w:t>
      </w:r>
    </w:p>
    <w:p w14:paraId="31E49CDA"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bCs/>
          <w:szCs w:val="20"/>
        </w:rPr>
      </w:pPr>
      <w:r w:rsidRPr="006431C4">
        <w:rPr>
          <w:rFonts w:cs="Arial"/>
          <w:bCs/>
          <w:szCs w:val="20"/>
        </w:rPr>
        <w:t>Sprawdzone przymiarem liniowym:</w:t>
      </w:r>
    </w:p>
    <w:p w14:paraId="2A621803" w14:textId="77777777" w:rsidR="00413F29" w:rsidRPr="006431C4" w:rsidRDefault="00413F29" w:rsidP="00CF1E7D">
      <w:pPr>
        <w:numPr>
          <w:ilvl w:val="0"/>
          <w:numId w:val="185"/>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tolerancje wymiarowe rysunku lica  wykonanego drukiem sitowym wynoszą  </w:t>
      </w:r>
      <w:r w:rsidRPr="006431C4">
        <w:rPr>
          <w:rFonts w:cs="Arial"/>
          <w:szCs w:val="20"/>
        </w:rPr>
        <w:sym w:font="Symbol" w:char="F0B1"/>
      </w:r>
      <w:r w:rsidRPr="006431C4">
        <w:rPr>
          <w:rFonts w:cs="Arial"/>
          <w:szCs w:val="20"/>
        </w:rPr>
        <w:t xml:space="preserve"> </w:t>
      </w:r>
      <w:smartTag w:uri="urn:schemas-microsoft-com:office:smarttags" w:element="metricconverter">
        <w:smartTagPr>
          <w:attr w:name="ProductID" w:val="1,5 mm"/>
        </w:smartTagPr>
        <w:r w:rsidRPr="006431C4">
          <w:rPr>
            <w:rFonts w:cs="Arial"/>
            <w:szCs w:val="20"/>
          </w:rPr>
          <w:t>1,5 mm</w:t>
        </w:r>
      </w:smartTag>
      <w:r w:rsidRPr="006431C4">
        <w:rPr>
          <w:rFonts w:cs="Arial"/>
          <w:szCs w:val="20"/>
        </w:rPr>
        <w:t>,</w:t>
      </w:r>
    </w:p>
    <w:p w14:paraId="103FE324" w14:textId="77777777" w:rsidR="00413F29" w:rsidRPr="006431C4" w:rsidRDefault="00413F29" w:rsidP="00CF1E7D">
      <w:pPr>
        <w:numPr>
          <w:ilvl w:val="0"/>
          <w:numId w:val="185"/>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tolerancje wymiarowe rysunku lica wykonanego metodą wyklejania wynoszą  </w:t>
      </w:r>
      <w:r w:rsidRPr="006431C4">
        <w:rPr>
          <w:rFonts w:cs="Arial"/>
          <w:szCs w:val="20"/>
        </w:rPr>
        <w:sym w:font="Symbol" w:char="F0B1"/>
      </w:r>
      <w:r w:rsidRPr="006431C4">
        <w:rPr>
          <w:rFonts w:cs="Arial"/>
          <w:szCs w:val="20"/>
        </w:rPr>
        <w:t xml:space="preserve"> </w:t>
      </w:r>
      <w:smartTag w:uri="urn:schemas-microsoft-com:office:smarttags" w:element="metricconverter">
        <w:smartTagPr>
          <w:attr w:name="ProductID" w:val="2 mm"/>
        </w:smartTagPr>
        <w:r w:rsidRPr="006431C4">
          <w:rPr>
            <w:rFonts w:cs="Arial"/>
            <w:szCs w:val="20"/>
          </w:rPr>
          <w:t>2 mm</w:t>
        </w:r>
      </w:smartTag>
      <w:r w:rsidRPr="006431C4">
        <w:rPr>
          <w:rFonts w:cs="Arial"/>
          <w:szCs w:val="20"/>
        </w:rPr>
        <w:t>,</w:t>
      </w:r>
    </w:p>
    <w:p w14:paraId="7DF98A75" w14:textId="77777777" w:rsidR="00413F29" w:rsidRPr="006431C4" w:rsidRDefault="00413F29" w:rsidP="00CF1E7D">
      <w:pPr>
        <w:numPr>
          <w:ilvl w:val="0"/>
          <w:numId w:val="185"/>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6431C4">
          <w:rPr>
            <w:rFonts w:cs="Arial"/>
            <w:szCs w:val="20"/>
          </w:rPr>
          <w:t>1,0 mm</w:t>
        </w:r>
      </w:smartTag>
      <w:r w:rsidRPr="006431C4">
        <w:rPr>
          <w:rFonts w:cs="Arial"/>
          <w:szCs w:val="20"/>
        </w:rPr>
        <w:t>.</w:t>
      </w:r>
    </w:p>
    <w:p w14:paraId="6941950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 znakach nowych na każdym z fragmentów powierzchni znaku o wymiarach 4 </w:t>
      </w:r>
      <w:r w:rsidRPr="006431C4">
        <w:rPr>
          <w:rFonts w:cs="Arial"/>
          <w:color w:val="000000"/>
          <w:szCs w:val="20"/>
        </w:rPr>
        <w:t>×</w:t>
      </w:r>
      <w:r w:rsidRPr="006431C4">
        <w:rPr>
          <w:rFonts w:cs="Arial"/>
          <w:szCs w:val="20"/>
        </w:rPr>
        <w:t> </w:t>
      </w:r>
      <w:smartTag w:uri="urn:schemas-microsoft-com:office:smarttags" w:element="metricconverter">
        <w:smartTagPr>
          <w:attr w:name="ProductID" w:val="4 cm"/>
        </w:smartTagPr>
        <w:r w:rsidRPr="006431C4">
          <w:rPr>
            <w:rFonts w:cs="Arial"/>
            <w:szCs w:val="20"/>
          </w:rPr>
          <w:t>4 cm</w:t>
        </w:r>
      </w:smartTag>
      <w:r w:rsidRPr="006431C4">
        <w:rPr>
          <w:rFonts w:cs="Arial"/>
          <w:szCs w:val="20"/>
        </w:rPr>
        <w:t xml:space="preserve"> nie może występować więcej niż 1 lokalna usterka (załamania, pęcherzyki) o wymiarach nie większych niż </w:t>
      </w:r>
      <w:smartTag w:uri="urn:schemas-microsoft-com:office:smarttags" w:element="metricconverter">
        <w:smartTagPr>
          <w:attr w:name="ProductID" w:val="1 mm"/>
        </w:smartTagPr>
        <w:r w:rsidRPr="006431C4">
          <w:rPr>
            <w:rFonts w:cs="Arial"/>
            <w:szCs w:val="20"/>
          </w:rPr>
          <w:t>1 mm</w:t>
        </w:r>
      </w:smartTag>
      <w:r w:rsidRPr="006431C4">
        <w:rPr>
          <w:rFonts w:cs="Arial"/>
          <w:szCs w:val="20"/>
        </w:rPr>
        <w:t xml:space="preserve"> w każdym kierunku. Niedopuszczalne jest występowanie jakichkolwiek zarysowań powierzchni znaku.</w:t>
      </w:r>
    </w:p>
    <w:p w14:paraId="13FFF8F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Na znakach w okresie gwarancji, na każdym z fragmentów powierzchni znaku o wymiarach 4 </w:t>
      </w:r>
      <w:r w:rsidRPr="006431C4">
        <w:rPr>
          <w:rFonts w:cs="Arial"/>
          <w:color w:val="000000"/>
          <w:szCs w:val="20"/>
        </w:rPr>
        <w:t>×</w:t>
      </w:r>
      <w:r w:rsidRPr="006431C4">
        <w:rPr>
          <w:rFonts w:cs="Arial"/>
          <w:szCs w:val="20"/>
        </w:rPr>
        <w:t xml:space="preserve"> </w:t>
      </w:r>
      <w:smartTag w:uri="urn:schemas-microsoft-com:office:smarttags" w:element="metricconverter">
        <w:smartTagPr>
          <w:attr w:name="ProductID" w:val="4 cm"/>
        </w:smartTagPr>
        <w:r w:rsidRPr="006431C4">
          <w:rPr>
            <w:rFonts w:cs="Arial"/>
            <w:szCs w:val="20"/>
          </w:rPr>
          <w:t>4 cm</w:t>
        </w:r>
      </w:smartTag>
      <w:r w:rsidRPr="006431C4">
        <w:rPr>
          <w:rFonts w:cs="Arial"/>
          <w:szCs w:val="20"/>
        </w:rPr>
        <w:t xml:space="preserve"> dopuszcza się do 2 usterek jak wyżej, o wymiarach nie większych niż </w:t>
      </w:r>
      <w:smartTag w:uri="urn:schemas-microsoft-com:office:smarttags" w:element="metricconverter">
        <w:smartTagPr>
          <w:attr w:name="ProductID" w:val="1 mm"/>
        </w:smartTagPr>
        <w:r w:rsidRPr="006431C4">
          <w:rPr>
            <w:rFonts w:cs="Arial"/>
            <w:szCs w:val="20"/>
          </w:rPr>
          <w:t>1 mm</w:t>
        </w:r>
      </w:smartTag>
      <w:r w:rsidRPr="006431C4">
        <w:rPr>
          <w:rFonts w:cs="Arial"/>
          <w:szCs w:val="20"/>
        </w:rPr>
        <w:t xml:space="preserve"> w każdym kierunku. Na powierzchni tej dopuszcza się do 3 zarysowań o szerokości nie większej niż </w:t>
      </w:r>
      <w:smartTag w:uri="urn:schemas-microsoft-com:office:smarttags" w:element="metricconverter">
        <w:smartTagPr>
          <w:attr w:name="ProductID" w:val="0,8 mm"/>
        </w:smartTagPr>
        <w:r w:rsidRPr="006431C4">
          <w:rPr>
            <w:rFonts w:cs="Arial"/>
            <w:szCs w:val="20"/>
          </w:rPr>
          <w:t>0,8 mm</w:t>
        </w:r>
      </w:smartTag>
      <w:r w:rsidRPr="006431C4">
        <w:rPr>
          <w:rFonts w:cs="Arial"/>
          <w:szCs w:val="20"/>
        </w:rPr>
        <w:t xml:space="preserve"> i całkowitej długości nie większej niż </w:t>
      </w:r>
      <w:smartTag w:uri="urn:schemas-microsoft-com:office:smarttags" w:element="metricconverter">
        <w:smartTagPr>
          <w:attr w:name="ProductID" w:val="10 cm"/>
        </w:smartTagPr>
        <w:r w:rsidRPr="006431C4">
          <w:rPr>
            <w:rFonts w:cs="Arial"/>
            <w:szCs w:val="20"/>
          </w:rPr>
          <w:t>10 cm</w:t>
        </w:r>
      </w:smartTag>
      <w:r w:rsidRPr="006431C4">
        <w:rPr>
          <w:rFonts w:cs="Arial"/>
          <w:szCs w:val="20"/>
        </w:rPr>
        <w:t xml:space="preserve">. Na całkowitej długości znaku dopuszcza się nie więcej niż 5 rys szerokości nie większej niż </w:t>
      </w:r>
      <w:smartTag w:uri="urn:schemas-microsoft-com:office:smarttags" w:element="metricconverter">
        <w:smartTagPr>
          <w:attr w:name="ProductID" w:val="0,8 mm"/>
        </w:smartTagPr>
        <w:r w:rsidRPr="006431C4">
          <w:rPr>
            <w:rFonts w:cs="Arial"/>
            <w:szCs w:val="20"/>
          </w:rPr>
          <w:t>0,8 mm</w:t>
        </w:r>
      </w:smartTag>
      <w:r w:rsidRPr="006431C4">
        <w:rPr>
          <w:rFonts w:cs="Arial"/>
          <w:szCs w:val="20"/>
        </w:rPr>
        <w:t xml:space="preserve"> i długości przekraczającej </w:t>
      </w:r>
      <w:smartTag w:uri="urn:schemas-microsoft-com:office:smarttags" w:element="metricconverter">
        <w:smartTagPr>
          <w:attr w:name="ProductID" w:val="10 cm"/>
        </w:smartTagPr>
        <w:r w:rsidRPr="006431C4">
          <w:rPr>
            <w:rFonts w:cs="Arial"/>
            <w:szCs w:val="20"/>
          </w:rPr>
          <w:t>10 cm</w:t>
        </w:r>
      </w:smartTag>
      <w:r w:rsidRPr="006431C4">
        <w:rPr>
          <w:rFonts w:cs="Arial"/>
          <w:szCs w:val="20"/>
        </w:rPr>
        <w:t xml:space="preserve"> - pod warunkiem, że zarysowania te nie zniekształcają treści znaku.</w:t>
      </w:r>
    </w:p>
    <w:p w14:paraId="5DFE6B53"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Na znakach w okresie gwarancji dopuszcza się również lokalne uszkodzenie folii o powierzchni nie przekraczającej 6 mm</w:t>
      </w:r>
      <w:r w:rsidRPr="006431C4">
        <w:rPr>
          <w:rFonts w:cs="Arial"/>
          <w:szCs w:val="20"/>
          <w:vertAlign w:val="superscript"/>
        </w:rPr>
        <w:t>2</w:t>
      </w:r>
      <w:r w:rsidRPr="006431C4">
        <w:rPr>
          <w:rFonts w:cs="Arial"/>
          <w:szCs w:val="20"/>
        </w:rPr>
        <w:t xml:space="preserve"> każde - w liczbie nie większej niż pięć na powierzchni znaku małego lub średniego, oraz o powierzchni nie przekraczającej 8 mm</w:t>
      </w:r>
      <w:r w:rsidRPr="006431C4">
        <w:rPr>
          <w:rFonts w:cs="Arial"/>
          <w:szCs w:val="20"/>
          <w:vertAlign w:val="superscript"/>
        </w:rPr>
        <w:t>2</w:t>
      </w:r>
      <w:r w:rsidRPr="006431C4">
        <w:rPr>
          <w:rFonts w:cs="Arial"/>
          <w:szCs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6431C4">
          <w:rPr>
            <w:rFonts w:cs="Arial"/>
            <w:szCs w:val="20"/>
          </w:rPr>
          <w:t>1200 mm</w:t>
        </w:r>
      </w:smartTag>
      <w:r w:rsidRPr="006431C4">
        <w:rPr>
          <w:rFonts w:cs="Arial"/>
          <w:szCs w:val="20"/>
        </w:rPr>
        <w:t>.</w:t>
      </w:r>
    </w:p>
    <w:p w14:paraId="0468425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Uszkodzenia folii nie mogą zniekształcać treści znaku - w przypadku występowania takiego zniekształcenia znak musi być bezzwłocznie wymieniony.</w:t>
      </w:r>
    </w:p>
    <w:p w14:paraId="2EC4FE3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565A1159"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6431C4">
          <w:rPr>
            <w:rFonts w:cs="Arial"/>
            <w:szCs w:val="20"/>
          </w:rPr>
          <w:t>2,0 mm</w:t>
        </w:r>
      </w:smartTag>
      <w:r w:rsidRPr="006431C4">
        <w:rPr>
          <w:rFonts w:cs="Arial"/>
          <w:szCs w:val="20"/>
        </w:rPr>
        <w:t xml:space="preserve"> w każdym kierunku na powierzchni każdego z fragmentów znaku o wymiarach 4 × </w:t>
      </w:r>
      <w:smartTag w:uri="urn:schemas-microsoft-com:office:smarttags" w:element="metricconverter">
        <w:smartTagPr>
          <w:attr w:name="ProductID" w:val="4 cm"/>
        </w:smartTagPr>
        <w:r w:rsidRPr="006431C4">
          <w:rPr>
            <w:rFonts w:cs="Arial"/>
            <w:szCs w:val="20"/>
          </w:rPr>
          <w:t>4 cm</w:t>
        </w:r>
      </w:smartTag>
      <w:r w:rsidRPr="006431C4">
        <w:rPr>
          <w:rFonts w:cs="Arial"/>
          <w:szCs w:val="20"/>
        </w:rPr>
        <w:t>. W znakach nowych oraz w znakach znajdujących się w okresie wymaganej gwarancji żadna korozja tarczy znaku nie może występować.</w:t>
      </w:r>
    </w:p>
    <w:p w14:paraId="58585D1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Wymagana jest taka wytrzymałość połączenia folii odblaskowej z tarczą znaku, by po zgięciu tarczy o 90° przy promieniu łuku zgięcia do </w:t>
      </w:r>
      <w:smartTag w:uri="urn:schemas-microsoft-com:office:smarttags" w:element="metricconverter">
        <w:smartTagPr>
          <w:attr w:name="ProductID" w:val="10 mm"/>
        </w:smartTagPr>
        <w:r w:rsidRPr="006431C4">
          <w:rPr>
            <w:rFonts w:cs="Arial"/>
            <w:szCs w:val="20"/>
          </w:rPr>
          <w:t>10 mm</w:t>
        </w:r>
      </w:smartTag>
      <w:r w:rsidRPr="006431C4">
        <w:rPr>
          <w:rFonts w:cs="Arial"/>
          <w:szCs w:val="20"/>
        </w:rPr>
        <w:t xml:space="preserve"> w żadnym miejscu nie uległo ono zniszczeniu.</w:t>
      </w:r>
    </w:p>
    <w:p w14:paraId="50F852C9"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2.7.4.</w:t>
      </w:r>
      <w:r w:rsidRPr="006431C4">
        <w:rPr>
          <w:rFonts w:cs="Arial"/>
          <w:szCs w:val="20"/>
        </w:rPr>
        <w:t xml:space="preserve"> Zasady doboru typu folii na lica znaków </w:t>
      </w:r>
    </w:p>
    <w:p w14:paraId="618CC687"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zależności od usytuowania znaku drogowego i rodzaju drogi zaleca się stosowanie odpowiedniego rodzaju folii odblaskowej zapewniającej dobrą widoczność znaku w nocy zgodnie z tablicą 6.</w:t>
      </w:r>
    </w:p>
    <w:p w14:paraId="70A91D41" w14:textId="77777777" w:rsidR="00413F29" w:rsidRPr="006431C4" w:rsidRDefault="00413F29" w:rsidP="00270120">
      <w:pPr>
        <w:tabs>
          <w:tab w:val="left" w:pos="993"/>
        </w:tabs>
        <w:overflowPunct w:val="0"/>
        <w:autoSpaceDE w:val="0"/>
        <w:autoSpaceDN w:val="0"/>
        <w:adjustRightInd w:val="0"/>
        <w:spacing w:line="240" w:lineRule="auto"/>
        <w:ind w:left="992" w:hanging="992"/>
        <w:jc w:val="both"/>
        <w:textAlignment w:val="baseline"/>
        <w:rPr>
          <w:rFonts w:cs="Arial"/>
          <w:szCs w:val="20"/>
        </w:rPr>
      </w:pPr>
      <w:r w:rsidRPr="006431C4">
        <w:rPr>
          <w:rFonts w:cs="Arial"/>
          <w:szCs w:val="20"/>
        </w:rPr>
        <w:t>Tablica 6.</w:t>
      </w:r>
      <w:r w:rsidRPr="006431C4">
        <w:rPr>
          <w:rFonts w:cs="Arial"/>
          <w:szCs w:val="20"/>
        </w:rPr>
        <w:tab/>
        <w:t>Typy foli odblaskowych stosowane na drogach publicznych w zależności od rodzaju i usytuowania znaku drogowego</w:t>
      </w:r>
    </w:p>
    <w:tbl>
      <w:tblPr>
        <w:tblW w:w="10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2127"/>
        <w:gridCol w:w="1417"/>
        <w:gridCol w:w="1134"/>
        <w:gridCol w:w="992"/>
        <w:gridCol w:w="851"/>
        <w:gridCol w:w="992"/>
        <w:gridCol w:w="724"/>
      </w:tblGrid>
      <w:tr w:rsidR="00413F29" w:rsidRPr="006431C4" w14:paraId="116D8CE0" w14:textId="77777777" w:rsidTr="005F616C">
        <w:trPr>
          <w:trHeight w:val="361"/>
          <w:jc w:val="center"/>
        </w:trPr>
        <w:tc>
          <w:tcPr>
            <w:tcW w:w="2263" w:type="dxa"/>
            <w:vMerge w:val="restart"/>
            <w:vAlign w:val="center"/>
          </w:tcPr>
          <w:p w14:paraId="22D43C41"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Rodzaj znaku*</w:t>
            </w:r>
          </w:p>
        </w:tc>
        <w:tc>
          <w:tcPr>
            <w:tcW w:w="2127" w:type="dxa"/>
            <w:vMerge w:val="restart"/>
            <w:vAlign w:val="center"/>
          </w:tcPr>
          <w:p w14:paraId="431843FC"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Usytuowanie znaku</w:t>
            </w:r>
          </w:p>
        </w:tc>
        <w:tc>
          <w:tcPr>
            <w:tcW w:w="6110" w:type="dxa"/>
            <w:gridSpan w:val="6"/>
            <w:vAlign w:val="center"/>
          </w:tcPr>
          <w:p w14:paraId="14F4E122"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Warunki otoczenia znaku</w:t>
            </w:r>
          </w:p>
        </w:tc>
      </w:tr>
      <w:tr w:rsidR="00413F29" w:rsidRPr="006431C4" w14:paraId="09E96E39" w14:textId="77777777" w:rsidTr="005F616C">
        <w:trPr>
          <w:jc w:val="center"/>
        </w:trPr>
        <w:tc>
          <w:tcPr>
            <w:tcW w:w="2263" w:type="dxa"/>
            <w:vMerge/>
            <w:vAlign w:val="center"/>
          </w:tcPr>
          <w:p w14:paraId="32C237B4"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p>
        </w:tc>
        <w:tc>
          <w:tcPr>
            <w:tcW w:w="2127" w:type="dxa"/>
            <w:vMerge/>
            <w:vAlign w:val="center"/>
          </w:tcPr>
          <w:p w14:paraId="5FDFD56C"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p>
        </w:tc>
        <w:tc>
          <w:tcPr>
            <w:tcW w:w="3543" w:type="dxa"/>
            <w:gridSpan w:val="3"/>
            <w:vAlign w:val="center"/>
          </w:tcPr>
          <w:p w14:paraId="290B72B1"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Otoczenie oświetlone typowo</w:t>
            </w:r>
          </w:p>
        </w:tc>
        <w:tc>
          <w:tcPr>
            <w:tcW w:w="2567" w:type="dxa"/>
            <w:gridSpan w:val="3"/>
            <w:vAlign w:val="center"/>
          </w:tcPr>
          <w:p w14:paraId="373BBDB4"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Otoczenie jasno oświetlone</w:t>
            </w:r>
          </w:p>
        </w:tc>
      </w:tr>
      <w:tr w:rsidR="00413F29" w:rsidRPr="006431C4" w14:paraId="1E6FB89B" w14:textId="77777777" w:rsidTr="005F616C">
        <w:trPr>
          <w:trHeight w:val="921"/>
          <w:jc w:val="center"/>
        </w:trPr>
        <w:tc>
          <w:tcPr>
            <w:tcW w:w="2263" w:type="dxa"/>
            <w:vMerge/>
            <w:vAlign w:val="center"/>
          </w:tcPr>
          <w:p w14:paraId="5B362D4A"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p>
        </w:tc>
        <w:tc>
          <w:tcPr>
            <w:tcW w:w="2127" w:type="dxa"/>
            <w:vMerge/>
            <w:vAlign w:val="center"/>
          </w:tcPr>
          <w:p w14:paraId="48744CA5"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p>
        </w:tc>
        <w:tc>
          <w:tcPr>
            <w:tcW w:w="1417" w:type="dxa"/>
            <w:vAlign w:val="center"/>
          </w:tcPr>
          <w:p w14:paraId="30AD2AD6"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autostrady i drogi dwu-jezdniowe</w:t>
            </w:r>
          </w:p>
        </w:tc>
        <w:tc>
          <w:tcPr>
            <w:tcW w:w="1134" w:type="dxa"/>
            <w:vAlign w:val="center"/>
          </w:tcPr>
          <w:p w14:paraId="7E5125DC"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 xml:space="preserve">drogi </w:t>
            </w:r>
            <w:proofErr w:type="spellStart"/>
            <w:r w:rsidRPr="006431C4">
              <w:rPr>
                <w:rFonts w:cs="Arial"/>
                <w:bCs/>
                <w:szCs w:val="20"/>
              </w:rPr>
              <w:t>pozamiej-skie</w:t>
            </w:r>
            <w:proofErr w:type="spellEnd"/>
          </w:p>
        </w:tc>
        <w:tc>
          <w:tcPr>
            <w:tcW w:w="992" w:type="dxa"/>
            <w:vAlign w:val="center"/>
          </w:tcPr>
          <w:p w14:paraId="0A266C20"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drogi miejskie</w:t>
            </w:r>
          </w:p>
        </w:tc>
        <w:tc>
          <w:tcPr>
            <w:tcW w:w="851" w:type="dxa"/>
            <w:vAlign w:val="center"/>
          </w:tcPr>
          <w:p w14:paraId="7F0EBD32"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auto-</w:t>
            </w:r>
            <w:proofErr w:type="spellStart"/>
            <w:r w:rsidRPr="006431C4">
              <w:rPr>
                <w:rFonts w:cs="Arial"/>
                <w:bCs/>
                <w:szCs w:val="20"/>
              </w:rPr>
              <w:t>strady</w:t>
            </w:r>
            <w:proofErr w:type="spellEnd"/>
          </w:p>
        </w:tc>
        <w:tc>
          <w:tcPr>
            <w:tcW w:w="992" w:type="dxa"/>
            <w:vAlign w:val="center"/>
          </w:tcPr>
          <w:p w14:paraId="737D227E"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drogi poza-miejskie</w:t>
            </w:r>
          </w:p>
        </w:tc>
        <w:tc>
          <w:tcPr>
            <w:tcW w:w="724" w:type="dxa"/>
            <w:vAlign w:val="center"/>
          </w:tcPr>
          <w:p w14:paraId="22A13B61"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drogi miej-</w:t>
            </w:r>
            <w:proofErr w:type="spellStart"/>
            <w:r w:rsidRPr="006431C4">
              <w:rPr>
                <w:rFonts w:cs="Arial"/>
                <w:bCs/>
                <w:szCs w:val="20"/>
              </w:rPr>
              <w:t>skie</w:t>
            </w:r>
            <w:proofErr w:type="spellEnd"/>
          </w:p>
        </w:tc>
      </w:tr>
      <w:tr w:rsidR="00413F29" w:rsidRPr="006431C4" w14:paraId="3CFD7DDC" w14:textId="77777777" w:rsidTr="005F616C">
        <w:trPr>
          <w:trHeight w:val="558"/>
          <w:jc w:val="center"/>
        </w:trPr>
        <w:tc>
          <w:tcPr>
            <w:tcW w:w="2263" w:type="dxa"/>
            <w:vMerge w:val="restart"/>
          </w:tcPr>
          <w:p w14:paraId="3F09C6E9"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Cs/>
                <w:szCs w:val="20"/>
              </w:rPr>
              <w:t>Wszystkie znaki z wyjątkiem n.w.</w:t>
            </w:r>
          </w:p>
        </w:tc>
        <w:tc>
          <w:tcPr>
            <w:tcW w:w="2127" w:type="dxa"/>
          </w:tcPr>
          <w:p w14:paraId="75209FC0" w14:textId="77777777" w:rsidR="00413F29" w:rsidRPr="006431C4" w:rsidRDefault="00413F29" w:rsidP="00270120">
            <w:pPr>
              <w:overflowPunct w:val="0"/>
              <w:autoSpaceDE w:val="0"/>
              <w:autoSpaceDN w:val="0"/>
              <w:adjustRightInd w:val="0"/>
              <w:spacing w:line="240" w:lineRule="auto"/>
              <w:textAlignment w:val="baseline"/>
              <w:rPr>
                <w:rFonts w:cs="Arial"/>
                <w:bCs/>
                <w:szCs w:val="20"/>
              </w:rPr>
            </w:pPr>
            <w:r w:rsidRPr="006431C4">
              <w:rPr>
                <w:rFonts w:cs="Arial"/>
                <w:bCs/>
                <w:szCs w:val="20"/>
              </w:rPr>
              <w:t>Z boku jezdni</w:t>
            </w:r>
          </w:p>
        </w:tc>
        <w:tc>
          <w:tcPr>
            <w:tcW w:w="1417" w:type="dxa"/>
          </w:tcPr>
          <w:p w14:paraId="7F9D710C"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 2P</w:t>
            </w:r>
          </w:p>
        </w:tc>
        <w:tc>
          <w:tcPr>
            <w:tcW w:w="1134" w:type="dxa"/>
          </w:tcPr>
          <w:p w14:paraId="5606D391"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1, 2</w:t>
            </w:r>
          </w:p>
        </w:tc>
        <w:tc>
          <w:tcPr>
            <w:tcW w:w="992" w:type="dxa"/>
          </w:tcPr>
          <w:p w14:paraId="5EEF4567"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 2, 2P</w:t>
            </w:r>
          </w:p>
        </w:tc>
        <w:tc>
          <w:tcPr>
            <w:tcW w:w="851" w:type="dxa"/>
          </w:tcPr>
          <w:p w14:paraId="1C46778E"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2P</w:t>
            </w:r>
          </w:p>
        </w:tc>
        <w:tc>
          <w:tcPr>
            <w:tcW w:w="992" w:type="dxa"/>
          </w:tcPr>
          <w:p w14:paraId="56655515"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w:t>
            </w:r>
          </w:p>
        </w:tc>
        <w:tc>
          <w:tcPr>
            <w:tcW w:w="724" w:type="dxa"/>
          </w:tcPr>
          <w:p w14:paraId="087DDFF2"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2P,</w:t>
            </w:r>
          </w:p>
          <w:p w14:paraId="60050E2B"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3P</w:t>
            </w:r>
          </w:p>
        </w:tc>
      </w:tr>
      <w:tr w:rsidR="00413F29" w:rsidRPr="006431C4" w14:paraId="0CAEB37A" w14:textId="77777777" w:rsidTr="005F616C">
        <w:trPr>
          <w:jc w:val="center"/>
        </w:trPr>
        <w:tc>
          <w:tcPr>
            <w:tcW w:w="2263" w:type="dxa"/>
            <w:vMerge/>
          </w:tcPr>
          <w:p w14:paraId="63D22C86"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p>
        </w:tc>
        <w:tc>
          <w:tcPr>
            <w:tcW w:w="2127" w:type="dxa"/>
          </w:tcPr>
          <w:p w14:paraId="1102F516" w14:textId="77777777" w:rsidR="00413F29" w:rsidRPr="006431C4" w:rsidRDefault="00413F29" w:rsidP="00270120">
            <w:pPr>
              <w:overflowPunct w:val="0"/>
              <w:autoSpaceDE w:val="0"/>
              <w:autoSpaceDN w:val="0"/>
              <w:adjustRightInd w:val="0"/>
              <w:spacing w:line="240" w:lineRule="auto"/>
              <w:textAlignment w:val="baseline"/>
              <w:rPr>
                <w:rFonts w:cs="Arial"/>
                <w:bCs/>
                <w:szCs w:val="20"/>
              </w:rPr>
            </w:pPr>
            <w:r w:rsidRPr="006431C4">
              <w:rPr>
                <w:rFonts w:cs="Arial"/>
                <w:bCs/>
                <w:szCs w:val="20"/>
              </w:rPr>
              <w:t>Nad jezdnią</w:t>
            </w:r>
          </w:p>
        </w:tc>
        <w:tc>
          <w:tcPr>
            <w:tcW w:w="1417" w:type="dxa"/>
          </w:tcPr>
          <w:p w14:paraId="39810FC1"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3P</w:t>
            </w:r>
          </w:p>
        </w:tc>
        <w:tc>
          <w:tcPr>
            <w:tcW w:w="1134" w:type="dxa"/>
          </w:tcPr>
          <w:p w14:paraId="274632E3"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3P</w:t>
            </w:r>
          </w:p>
        </w:tc>
        <w:tc>
          <w:tcPr>
            <w:tcW w:w="992" w:type="dxa"/>
          </w:tcPr>
          <w:p w14:paraId="4B1AE4CA"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3P</w:t>
            </w:r>
          </w:p>
        </w:tc>
        <w:tc>
          <w:tcPr>
            <w:tcW w:w="851" w:type="dxa"/>
          </w:tcPr>
          <w:p w14:paraId="61C7E74E"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3P</w:t>
            </w:r>
          </w:p>
        </w:tc>
        <w:tc>
          <w:tcPr>
            <w:tcW w:w="992" w:type="dxa"/>
          </w:tcPr>
          <w:p w14:paraId="4D0197F1"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3P</w:t>
            </w:r>
          </w:p>
        </w:tc>
        <w:tc>
          <w:tcPr>
            <w:tcW w:w="724" w:type="dxa"/>
          </w:tcPr>
          <w:p w14:paraId="512ED503"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3P</w:t>
            </w:r>
          </w:p>
        </w:tc>
      </w:tr>
      <w:tr w:rsidR="00413F29" w:rsidRPr="006431C4" w14:paraId="4C3AF6D4" w14:textId="77777777" w:rsidTr="005F616C">
        <w:trPr>
          <w:trHeight w:val="537"/>
          <w:jc w:val="center"/>
        </w:trPr>
        <w:tc>
          <w:tcPr>
            <w:tcW w:w="2263" w:type="dxa"/>
          </w:tcPr>
          <w:p w14:paraId="25280B91"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Cs/>
                <w:szCs w:val="20"/>
              </w:rPr>
              <w:lastRenderedPageBreak/>
              <w:t>A-7, A-17,</w:t>
            </w:r>
            <w:r w:rsidRPr="006431C4">
              <w:rPr>
                <w:rFonts w:cs="Arial"/>
                <w:bCs/>
                <w:szCs w:val="20"/>
              </w:rPr>
              <w:br/>
              <w:t>B-2, B-20</w:t>
            </w:r>
          </w:p>
        </w:tc>
        <w:tc>
          <w:tcPr>
            <w:tcW w:w="2127" w:type="dxa"/>
          </w:tcPr>
          <w:p w14:paraId="0C506EA7" w14:textId="77777777" w:rsidR="00413F29" w:rsidRPr="006431C4" w:rsidRDefault="00413F29" w:rsidP="00270120">
            <w:pPr>
              <w:overflowPunct w:val="0"/>
              <w:autoSpaceDE w:val="0"/>
              <w:autoSpaceDN w:val="0"/>
              <w:adjustRightInd w:val="0"/>
              <w:spacing w:line="240" w:lineRule="auto"/>
              <w:textAlignment w:val="baseline"/>
              <w:rPr>
                <w:rFonts w:cs="Arial"/>
                <w:bCs/>
                <w:szCs w:val="20"/>
              </w:rPr>
            </w:pPr>
            <w:r w:rsidRPr="006431C4">
              <w:rPr>
                <w:rFonts w:cs="Arial"/>
                <w:bCs/>
                <w:szCs w:val="20"/>
              </w:rPr>
              <w:t>Z boku jezdni</w:t>
            </w:r>
          </w:p>
        </w:tc>
        <w:tc>
          <w:tcPr>
            <w:tcW w:w="1417" w:type="dxa"/>
          </w:tcPr>
          <w:p w14:paraId="04B1C042"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w:t>
            </w:r>
          </w:p>
        </w:tc>
        <w:tc>
          <w:tcPr>
            <w:tcW w:w="1134" w:type="dxa"/>
          </w:tcPr>
          <w:p w14:paraId="3229514F"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w:t>
            </w:r>
          </w:p>
        </w:tc>
        <w:tc>
          <w:tcPr>
            <w:tcW w:w="992" w:type="dxa"/>
          </w:tcPr>
          <w:p w14:paraId="7621196A"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 2P</w:t>
            </w:r>
          </w:p>
        </w:tc>
        <w:tc>
          <w:tcPr>
            <w:tcW w:w="851" w:type="dxa"/>
          </w:tcPr>
          <w:p w14:paraId="6ED8EFEA"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w:t>
            </w:r>
          </w:p>
        </w:tc>
        <w:tc>
          <w:tcPr>
            <w:tcW w:w="992" w:type="dxa"/>
          </w:tcPr>
          <w:p w14:paraId="1378E051"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w:t>
            </w:r>
          </w:p>
        </w:tc>
        <w:tc>
          <w:tcPr>
            <w:tcW w:w="724" w:type="dxa"/>
          </w:tcPr>
          <w:p w14:paraId="1F424417"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2P</w:t>
            </w:r>
          </w:p>
        </w:tc>
      </w:tr>
      <w:tr w:rsidR="00413F29" w:rsidRPr="006431C4" w14:paraId="365E45AA" w14:textId="77777777" w:rsidTr="005F616C">
        <w:trPr>
          <w:trHeight w:val="542"/>
          <w:jc w:val="center"/>
        </w:trPr>
        <w:tc>
          <w:tcPr>
            <w:tcW w:w="2263" w:type="dxa"/>
          </w:tcPr>
          <w:p w14:paraId="0D1C0001"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Cs/>
                <w:szCs w:val="20"/>
              </w:rPr>
              <w:t>Znaki nakazu</w:t>
            </w:r>
          </w:p>
        </w:tc>
        <w:tc>
          <w:tcPr>
            <w:tcW w:w="2127" w:type="dxa"/>
          </w:tcPr>
          <w:p w14:paraId="0638E9CD" w14:textId="77777777" w:rsidR="00413F29" w:rsidRPr="006431C4" w:rsidRDefault="00413F29" w:rsidP="00270120">
            <w:pPr>
              <w:overflowPunct w:val="0"/>
              <w:autoSpaceDE w:val="0"/>
              <w:autoSpaceDN w:val="0"/>
              <w:adjustRightInd w:val="0"/>
              <w:spacing w:line="240" w:lineRule="auto"/>
              <w:textAlignment w:val="baseline"/>
              <w:rPr>
                <w:rFonts w:cs="Arial"/>
                <w:bCs/>
                <w:szCs w:val="20"/>
              </w:rPr>
            </w:pPr>
            <w:r w:rsidRPr="006431C4">
              <w:rPr>
                <w:rFonts w:cs="Arial"/>
                <w:bCs/>
                <w:szCs w:val="20"/>
              </w:rPr>
              <w:t>Z boku jezdni</w:t>
            </w:r>
          </w:p>
        </w:tc>
        <w:tc>
          <w:tcPr>
            <w:tcW w:w="1417" w:type="dxa"/>
          </w:tcPr>
          <w:p w14:paraId="506E233B"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w:t>
            </w:r>
          </w:p>
        </w:tc>
        <w:tc>
          <w:tcPr>
            <w:tcW w:w="1134" w:type="dxa"/>
          </w:tcPr>
          <w:p w14:paraId="2C4A6C65"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w:t>
            </w:r>
          </w:p>
        </w:tc>
        <w:tc>
          <w:tcPr>
            <w:tcW w:w="992" w:type="dxa"/>
          </w:tcPr>
          <w:p w14:paraId="3E2D2FFD"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w:t>
            </w:r>
          </w:p>
        </w:tc>
        <w:tc>
          <w:tcPr>
            <w:tcW w:w="851" w:type="dxa"/>
          </w:tcPr>
          <w:p w14:paraId="6696D9D2"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2P, 3P</w:t>
            </w:r>
          </w:p>
        </w:tc>
        <w:tc>
          <w:tcPr>
            <w:tcW w:w="992" w:type="dxa"/>
          </w:tcPr>
          <w:p w14:paraId="442F301F"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2P</w:t>
            </w:r>
          </w:p>
        </w:tc>
        <w:tc>
          <w:tcPr>
            <w:tcW w:w="724" w:type="dxa"/>
          </w:tcPr>
          <w:p w14:paraId="6155DF24"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2P,3P</w:t>
            </w:r>
          </w:p>
        </w:tc>
      </w:tr>
      <w:tr w:rsidR="00413F29" w:rsidRPr="006431C4" w14:paraId="61F9E227" w14:textId="77777777" w:rsidTr="005F616C">
        <w:trPr>
          <w:trHeight w:val="525"/>
          <w:jc w:val="center"/>
        </w:trPr>
        <w:tc>
          <w:tcPr>
            <w:tcW w:w="2263" w:type="dxa"/>
          </w:tcPr>
          <w:p w14:paraId="59A35F93"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Cs/>
                <w:szCs w:val="20"/>
              </w:rPr>
              <w:t>Roboty na drodze</w:t>
            </w:r>
          </w:p>
        </w:tc>
        <w:tc>
          <w:tcPr>
            <w:tcW w:w="2127" w:type="dxa"/>
          </w:tcPr>
          <w:p w14:paraId="6B967BEB" w14:textId="77777777" w:rsidR="00413F29" w:rsidRPr="006431C4" w:rsidRDefault="00413F29" w:rsidP="00270120">
            <w:pPr>
              <w:overflowPunct w:val="0"/>
              <w:autoSpaceDE w:val="0"/>
              <w:autoSpaceDN w:val="0"/>
              <w:adjustRightInd w:val="0"/>
              <w:spacing w:line="240" w:lineRule="auto"/>
              <w:textAlignment w:val="baseline"/>
              <w:rPr>
                <w:rFonts w:cs="Arial"/>
                <w:bCs/>
                <w:szCs w:val="20"/>
              </w:rPr>
            </w:pPr>
            <w:r w:rsidRPr="006431C4">
              <w:rPr>
                <w:rFonts w:cs="Arial"/>
                <w:bCs/>
                <w:szCs w:val="20"/>
              </w:rPr>
              <w:t>Z boku jezdni</w:t>
            </w:r>
          </w:p>
        </w:tc>
        <w:tc>
          <w:tcPr>
            <w:tcW w:w="1417" w:type="dxa"/>
          </w:tcPr>
          <w:p w14:paraId="071CC755"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 2P</w:t>
            </w:r>
          </w:p>
        </w:tc>
        <w:tc>
          <w:tcPr>
            <w:tcW w:w="1134" w:type="dxa"/>
          </w:tcPr>
          <w:p w14:paraId="7617BD26"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w:t>
            </w:r>
          </w:p>
        </w:tc>
        <w:tc>
          <w:tcPr>
            <w:tcW w:w="992" w:type="dxa"/>
          </w:tcPr>
          <w:p w14:paraId="07C060A1"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 2P</w:t>
            </w:r>
          </w:p>
        </w:tc>
        <w:tc>
          <w:tcPr>
            <w:tcW w:w="851" w:type="dxa"/>
          </w:tcPr>
          <w:p w14:paraId="7A47C3D8"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2P</w:t>
            </w:r>
          </w:p>
        </w:tc>
        <w:tc>
          <w:tcPr>
            <w:tcW w:w="992" w:type="dxa"/>
          </w:tcPr>
          <w:p w14:paraId="2E3140FD"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2P</w:t>
            </w:r>
          </w:p>
        </w:tc>
        <w:tc>
          <w:tcPr>
            <w:tcW w:w="724" w:type="dxa"/>
          </w:tcPr>
          <w:p w14:paraId="3296E5C7"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2P</w:t>
            </w:r>
          </w:p>
        </w:tc>
      </w:tr>
      <w:tr w:rsidR="00413F29" w:rsidRPr="006431C4" w14:paraId="2EEAE200" w14:textId="77777777" w:rsidTr="005F616C">
        <w:trPr>
          <w:trHeight w:val="505"/>
          <w:jc w:val="center"/>
        </w:trPr>
        <w:tc>
          <w:tcPr>
            <w:tcW w:w="2263" w:type="dxa"/>
          </w:tcPr>
          <w:p w14:paraId="4A65CA5C"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Cs/>
                <w:szCs w:val="20"/>
              </w:rPr>
              <w:t>Strefy powol-nego ruchu</w:t>
            </w:r>
          </w:p>
        </w:tc>
        <w:tc>
          <w:tcPr>
            <w:tcW w:w="2127" w:type="dxa"/>
          </w:tcPr>
          <w:p w14:paraId="3E10FD3E" w14:textId="77777777" w:rsidR="00413F29" w:rsidRPr="006431C4" w:rsidRDefault="00413F29" w:rsidP="00270120">
            <w:pPr>
              <w:overflowPunct w:val="0"/>
              <w:autoSpaceDE w:val="0"/>
              <w:autoSpaceDN w:val="0"/>
              <w:adjustRightInd w:val="0"/>
              <w:spacing w:line="240" w:lineRule="auto"/>
              <w:textAlignment w:val="baseline"/>
              <w:rPr>
                <w:rFonts w:cs="Arial"/>
                <w:bCs/>
                <w:szCs w:val="20"/>
              </w:rPr>
            </w:pPr>
            <w:r w:rsidRPr="006431C4">
              <w:rPr>
                <w:rFonts w:cs="Arial"/>
                <w:bCs/>
                <w:szCs w:val="20"/>
              </w:rPr>
              <w:t>Z boku jezdni</w:t>
            </w:r>
          </w:p>
        </w:tc>
        <w:tc>
          <w:tcPr>
            <w:tcW w:w="1417" w:type="dxa"/>
          </w:tcPr>
          <w:p w14:paraId="2CD01ADA"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w:t>
            </w:r>
          </w:p>
        </w:tc>
        <w:tc>
          <w:tcPr>
            <w:tcW w:w="1134" w:type="dxa"/>
          </w:tcPr>
          <w:p w14:paraId="46A2E32E"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w:t>
            </w:r>
          </w:p>
        </w:tc>
        <w:tc>
          <w:tcPr>
            <w:tcW w:w="992" w:type="dxa"/>
          </w:tcPr>
          <w:p w14:paraId="71F22836"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w:t>
            </w:r>
          </w:p>
        </w:tc>
        <w:tc>
          <w:tcPr>
            <w:tcW w:w="851" w:type="dxa"/>
          </w:tcPr>
          <w:p w14:paraId="71FD8AE9"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w:t>
            </w:r>
          </w:p>
        </w:tc>
        <w:tc>
          <w:tcPr>
            <w:tcW w:w="992" w:type="dxa"/>
          </w:tcPr>
          <w:p w14:paraId="26C7110B"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w:t>
            </w:r>
          </w:p>
        </w:tc>
        <w:tc>
          <w:tcPr>
            <w:tcW w:w="724" w:type="dxa"/>
          </w:tcPr>
          <w:p w14:paraId="3DE5AB56"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w:t>
            </w:r>
          </w:p>
        </w:tc>
      </w:tr>
    </w:tbl>
    <w:p w14:paraId="03ECF917" w14:textId="77777777" w:rsidR="00413F29" w:rsidRPr="006431C4" w:rsidRDefault="00413F29" w:rsidP="00270120">
      <w:pPr>
        <w:overflowPunct w:val="0"/>
        <w:autoSpaceDE w:val="0"/>
        <w:autoSpaceDN w:val="0"/>
        <w:adjustRightInd w:val="0"/>
        <w:spacing w:line="240" w:lineRule="auto"/>
        <w:ind w:left="142" w:hanging="142"/>
        <w:jc w:val="both"/>
        <w:textAlignment w:val="baseline"/>
        <w:rPr>
          <w:rFonts w:cs="Arial"/>
          <w:szCs w:val="20"/>
        </w:rPr>
      </w:pPr>
      <w:r w:rsidRPr="006431C4">
        <w:rPr>
          <w:rFonts w:cs="Arial"/>
          <w:szCs w:val="20"/>
        </w:rPr>
        <w:t>*</w:t>
      </w:r>
      <w:r w:rsidRPr="006431C4">
        <w:rPr>
          <w:rFonts w:cs="Arial"/>
          <w:szCs w:val="20"/>
        </w:rPr>
        <w:tab/>
        <w:t>Zaleca się oznakowanie szlaków rowerowych z użyciem folii nieodblaskowych oraz w przypadku pojazdów wojskowych dopuszcza się stosowanie folii odblaskowych typu 1.</w:t>
      </w:r>
    </w:p>
    <w:p w14:paraId="351C87BA"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Dopuszcza się, w miejscach podwyższonego niebezpieczeństwa, wykonywania lic znaków D-6, D-6a, D-6b, D-6c, tabliczki T-27, tablicy U-3a i U-3b na tle folii pryzmatycznej odblaskowo – fluorescencyjnej żółto-zielonej typu 3PF.</w:t>
      </w:r>
    </w:p>
    <w:p w14:paraId="228FB008" w14:textId="77777777" w:rsidR="00413F29" w:rsidRPr="006431C4" w:rsidRDefault="00413F29" w:rsidP="00270120">
      <w:pPr>
        <w:keepNext/>
        <w:overflowPunct w:val="0"/>
        <w:autoSpaceDE w:val="0"/>
        <w:autoSpaceDN w:val="0"/>
        <w:adjustRightInd w:val="0"/>
        <w:spacing w:line="240" w:lineRule="auto"/>
        <w:jc w:val="both"/>
        <w:textAlignment w:val="baseline"/>
        <w:outlineLvl w:val="2"/>
        <w:rPr>
          <w:rFonts w:cs="Arial"/>
          <w:szCs w:val="20"/>
        </w:rPr>
      </w:pPr>
      <w:r w:rsidRPr="006431C4">
        <w:rPr>
          <w:rFonts w:cs="Arial"/>
          <w:b/>
          <w:szCs w:val="20"/>
        </w:rPr>
        <w:t>2.7.5</w:t>
      </w:r>
      <w:r w:rsidRPr="006431C4">
        <w:rPr>
          <w:rFonts w:cs="Arial"/>
          <w:szCs w:val="20"/>
        </w:rPr>
        <w:t>. Oznakowanie znaku</w:t>
      </w:r>
    </w:p>
    <w:p w14:paraId="7D60E4FD" w14:textId="77777777" w:rsidR="00413F29" w:rsidRPr="006431C4" w:rsidRDefault="00413F29" w:rsidP="00270120">
      <w:pPr>
        <w:tabs>
          <w:tab w:val="left" w:pos="708"/>
          <w:tab w:val="center" w:pos="4536"/>
          <w:tab w:val="right" w:pos="9072"/>
        </w:tabs>
        <w:overflowPunct w:val="0"/>
        <w:autoSpaceDE w:val="0"/>
        <w:autoSpaceDN w:val="0"/>
        <w:adjustRightInd w:val="0"/>
        <w:spacing w:line="240" w:lineRule="auto"/>
        <w:jc w:val="both"/>
        <w:textAlignment w:val="baseline"/>
        <w:rPr>
          <w:rFonts w:cs="Arial"/>
          <w:szCs w:val="20"/>
        </w:rPr>
      </w:pPr>
      <w:r w:rsidRPr="006431C4">
        <w:rPr>
          <w:rFonts w:cs="Arial"/>
          <w:szCs w:val="20"/>
        </w:rPr>
        <w:tab/>
        <w:t>Każdy wykonany znak drogowy musi mieć naklejoną na rewersie naklejkę zawierającą następujące informacje:</w:t>
      </w:r>
    </w:p>
    <w:p w14:paraId="093DC60F" w14:textId="77777777" w:rsidR="00413F29" w:rsidRPr="006431C4" w:rsidRDefault="00413F29" w:rsidP="00CF1E7D">
      <w:pPr>
        <w:widowControl w:val="0"/>
        <w:numPr>
          <w:ilvl w:val="0"/>
          <w:numId w:val="197"/>
        </w:numPr>
        <w:overflowPunct w:val="0"/>
        <w:autoSpaceDE w:val="0"/>
        <w:autoSpaceDN w:val="0"/>
        <w:adjustRightInd w:val="0"/>
        <w:spacing w:line="240" w:lineRule="auto"/>
        <w:jc w:val="both"/>
        <w:textAlignment w:val="baseline"/>
        <w:rPr>
          <w:rFonts w:cs="Arial"/>
          <w:szCs w:val="20"/>
        </w:rPr>
      </w:pPr>
      <w:r w:rsidRPr="006431C4">
        <w:rPr>
          <w:rFonts w:cs="Arial"/>
          <w:szCs w:val="20"/>
        </w:rPr>
        <w:t>numer i datę normy tj. PN-EN 12899-1:2010 [1],</w:t>
      </w:r>
    </w:p>
    <w:p w14:paraId="21E3E293" w14:textId="77777777" w:rsidR="00413F29" w:rsidRPr="006431C4" w:rsidRDefault="00413F29" w:rsidP="00CF1E7D">
      <w:pPr>
        <w:widowControl w:val="0"/>
        <w:numPr>
          <w:ilvl w:val="0"/>
          <w:numId w:val="197"/>
        </w:numPr>
        <w:overflowPunct w:val="0"/>
        <w:autoSpaceDE w:val="0"/>
        <w:autoSpaceDN w:val="0"/>
        <w:adjustRightInd w:val="0"/>
        <w:spacing w:line="240" w:lineRule="auto"/>
        <w:jc w:val="both"/>
        <w:textAlignment w:val="baseline"/>
        <w:rPr>
          <w:rFonts w:cs="Arial"/>
          <w:szCs w:val="20"/>
        </w:rPr>
      </w:pPr>
      <w:r w:rsidRPr="006431C4">
        <w:rPr>
          <w:rFonts w:cs="Arial"/>
          <w:szCs w:val="20"/>
        </w:rPr>
        <w:t>klasy istotnych właściwości wyrobu,</w:t>
      </w:r>
    </w:p>
    <w:p w14:paraId="3E77F2ED" w14:textId="77777777" w:rsidR="00413F29" w:rsidRPr="006431C4" w:rsidRDefault="00413F29" w:rsidP="00CF1E7D">
      <w:pPr>
        <w:widowControl w:val="0"/>
        <w:numPr>
          <w:ilvl w:val="0"/>
          <w:numId w:val="197"/>
        </w:numPr>
        <w:overflowPunct w:val="0"/>
        <w:autoSpaceDE w:val="0"/>
        <w:autoSpaceDN w:val="0"/>
        <w:adjustRightInd w:val="0"/>
        <w:spacing w:line="240" w:lineRule="auto"/>
        <w:jc w:val="both"/>
        <w:textAlignment w:val="baseline"/>
        <w:rPr>
          <w:rFonts w:cs="Arial"/>
          <w:szCs w:val="20"/>
        </w:rPr>
      </w:pPr>
      <w:r w:rsidRPr="006431C4">
        <w:rPr>
          <w:rFonts w:cs="Arial"/>
          <w:szCs w:val="20"/>
        </w:rPr>
        <w:t>miesiąc i dwie ostatnie cyfry roku produkcji</w:t>
      </w:r>
    </w:p>
    <w:p w14:paraId="1AAF398E" w14:textId="77777777" w:rsidR="00413F29" w:rsidRPr="006431C4" w:rsidRDefault="00413F29" w:rsidP="00CF1E7D">
      <w:pPr>
        <w:widowControl w:val="0"/>
        <w:numPr>
          <w:ilvl w:val="0"/>
          <w:numId w:val="197"/>
        </w:numPr>
        <w:overflowPunct w:val="0"/>
        <w:autoSpaceDE w:val="0"/>
        <w:autoSpaceDN w:val="0"/>
        <w:adjustRightInd w:val="0"/>
        <w:spacing w:line="240" w:lineRule="auto"/>
        <w:jc w:val="both"/>
        <w:textAlignment w:val="baseline"/>
        <w:rPr>
          <w:rFonts w:cs="Arial"/>
          <w:szCs w:val="20"/>
        </w:rPr>
      </w:pPr>
      <w:r w:rsidRPr="006431C4">
        <w:rPr>
          <w:rFonts w:cs="Arial"/>
          <w:szCs w:val="20"/>
        </w:rPr>
        <w:t>nazwę, znak handlowy i inne oznaczenia identyfikujące producenta lub dostawcę jeśli nie jest producentem,</w:t>
      </w:r>
    </w:p>
    <w:p w14:paraId="4F3FACB0" w14:textId="77777777" w:rsidR="00413F29" w:rsidRPr="006431C4" w:rsidRDefault="00413F29" w:rsidP="00CF1E7D">
      <w:pPr>
        <w:widowControl w:val="0"/>
        <w:numPr>
          <w:ilvl w:val="0"/>
          <w:numId w:val="197"/>
        </w:numPr>
        <w:overflowPunct w:val="0"/>
        <w:autoSpaceDE w:val="0"/>
        <w:autoSpaceDN w:val="0"/>
        <w:adjustRightInd w:val="0"/>
        <w:spacing w:line="240" w:lineRule="auto"/>
        <w:jc w:val="both"/>
        <w:textAlignment w:val="baseline"/>
        <w:rPr>
          <w:rFonts w:cs="Arial"/>
          <w:szCs w:val="20"/>
        </w:rPr>
      </w:pPr>
      <w:r w:rsidRPr="006431C4">
        <w:rPr>
          <w:rFonts w:cs="Arial"/>
          <w:szCs w:val="20"/>
        </w:rPr>
        <w:t>znak budowlany lub znak CE,</w:t>
      </w:r>
    </w:p>
    <w:p w14:paraId="58D0CD4E" w14:textId="77777777" w:rsidR="00413F29" w:rsidRPr="006431C4" w:rsidRDefault="00413F29" w:rsidP="00CF1E7D">
      <w:pPr>
        <w:widowControl w:val="0"/>
        <w:numPr>
          <w:ilvl w:val="0"/>
          <w:numId w:val="197"/>
        </w:numPr>
        <w:overflowPunct w:val="0"/>
        <w:autoSpaceDE w:val="0"/>
        <w:autoSpaceDN w:val="0"/>
        <w:adjustRightInd w:val="0"/>
        <w:spacing w:line="240" w:lineRule="auto"/>
        <w:jc w:val="both"/>
        <w:textAlignment w:val="baseline"/>
        <w:rPr>
          <w:rFonts w:cs="Arial"/>
          <w:szCs w:val="20"/>
        </w:rPr>
      </w:pPr>
      <w:r w:rsidRPr="006431C4">
        <w:rPr>
          <w:rFonts w:cs="Arial"/>
          <w:szCs w:val="20"/>
        </w:rPr>
        <w:t>numer certyfikatu zgodności lub certyfikatu stałości właściwości użytkowych i numer jednostki certyfikującej.</w:t>
      </w:r>
    </w:p>
    <w:p w14:paraId="5D60FC5B" w14:textId="77777777" w:rsidR="00413F29" w:rsidRPr="006431C4" w:rsidRDefault="00413F29" w:rsidP="00270120">
      <w:pPr>
        <w:widowControl w:val="0"/>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Oznakowanie znaku powinno być wykonane w sposób trwały i wyraźny, czytelny z normalnej odległości widzenia, a całkowita powierzchnia naklejki nie była większa niż 30 cm</w:t>
      </w:r>
      <w:r w:rsidRPr="006431C4">
        <w:rPr>
          <w:rFonts w:cs="Arial"/>
          <w:szCs w:val="20"/>
          <w:vertAlign w:val="superscript"/>
        </w:rPr>
        <w:t>2</w:t>
      </w:r>
      <w:r w:rsidRPr="006431C4">
        <w:rPr>
          <w:rFonts w:cs="Arial"/>
          <w:szCs w:val="20"/>
        </w:rPr>
        <w:t xml:space="preserve"> . Czytelność i trwałość cechy na tylnej stronie tarczy znaku nie powinna być niższa od wymaganej trwałości znaku. Naklejkę należy wykonać z folii nieodblaskowej.</w:t>
      </w:r>
    </w:p>
    <w:p w14:paraId="6CBE12C9"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2.8. Znaki podświetlane</w:t>
      </w:r>
    </w:p>
    <w:p w14:paraId="52E3A02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2.8.1. </w:t>
      </w:r>
      <w:r w:rsidRPr="006431C4">
        <w:rPr>
          <w:rFonts w:cs="Arial"/>
          <w:szCs w:val="20"/>
        </w:rPr>
        <w:t>Wymagania ogólne dotyczące znaków podświetlanych</w:t>
      </w:r>
    </w:p>
    <w:p w14:paraId="0183F12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Znaki podświetlane są wykonywane w formie szczelnej obudowy, z umieszczonym w jej wnętrzu źródłem światła. Lico znaku stanowi transparentna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60598-2-2:2012 [13]. Znaki podświetlane wykonuje się jako znaki odblaskowe. Znaki podświetlane mogą być wykonane jako nieodblaskowe, ustawiane wyłącznie w obszarze zabudowanym, z ulicznym oświetleniem.</w:t>
      </w:r>
    </w:p>
    <w:p w14:paraId="3DC83299" w14:textId="77777777" w:rsidR="00413F29" w:rsidRPr="006431C4" w:rsidRDefault="00413F29" w:rsidP="00270120">
      <w:pPr>
        <w:spacing w:line="240" w:lineRule="auto"/>
        <w:jc w:val="both"/>
        <w:rPr>
          <w:rFonts w:cs="Arial"/>
          <w:color w:val="000000"/>
          <w:szCs w:val="20"/>
        </w:rPr>
      </w:pPr>
      <w:r w:rsidRPr="006431C4">
        <w:rPr>
          <w:rFonts w:cs="Arial"/>
          <w:bCs/>
          <w:color w:val="000000"/>
          <w:szCs w:val="20"/>
        </w:rPr>
        <w:tab/>
        <w:t>Znaki podświetlane charakteryzują następujące parametry:</w:t>
      </w:r>
    </w:p>
    <w:p w14:paraId="4449FCF6" w14:textId="77777777" w:rsidR="00413F29" w:rsidRPr="006431C4" w:rsidRDefault="00413F29" w:rsidP="00CF1E7D">
      <w:pPr>
        <w:numPr>
          <w:ilvl w:val="0"/>
          <w:numId w:val="186"/>
        </w:numPr>
        <w:overflowPunct w:val="0"/>
        <w:autoSpaceDE w:val="0"/>
        <w:autoSpaceDN w:val="0"/>
        <w:adjustRightInd w:val="0"/>
        <w:spacing w:line="240" w:lineRule="auto"/>
        <w:jc w:val="both"/>
        <w:textAlignment w:val="baseline"/>
        <w:rPr>
          <w:rFonts w:cs="Arial"/>
          <w:color w:val="000000"/>
          <w:szCs w:val="20"/>
        </w:rPr>
      </w:pPr>
      <w:r w:rsidRPr="006431C4">
        <w:rPr>
          <w:rFonts w:cs="Arial"/>
          <w:bCs/>
          <w:color w:val="000000"/>
          <w:szCs w:val="20"/>
        </w:rPr>
        <w:t>chromatyczność i współczynnik luminancji,</w:t>
      </w:r>
    </w:p>
    <w:p w14:paraId="657A4574" w14:textId="77777777" w:rsidR="00413F29" w:rsidRPr="006431C4" w:rsidRDefault="00413F29" w:rsidP="00CF1E7D">
      <w:pPr>
        <w:numPr>
          <w:ilvl w:val="0"/>
          <w:numId w:val="186"/>
        </w:numPr>
        <w:overflowPunct w:val="0"/>
        <w:autoSpaceDE w:val="0"/>
        <w:autoSpaceDN w:val="0"/>
        <w:adjustRightInd w:val="0"/>
        <w:spacing w:line="240" w:lineRule="auto"/>
        <w:jc w:val="both"/>
        <w:textAlignment w:val="baseline"/>
        <w:rPr>
          <w:rFonts w:cs="Arial"/>
          <w:color w:val="000000"/>
          <w:szCs w:val="20"/>
        </w:rPr>
      </w:pPr>
      <w:r w:rsidRPr="006431C4">
        <w:rPr>
          <w:rFonts w:cs="Arial"/>
          <w:bCs/>
          <w:color w:val="000000"/>
          <w:szCs w:val="20"/>
        </w:rPr>
        <w:t>średnia luminacja,</w:t>
      </w:r>
    </w:p>
    <w:p w14:paraId="1EC7560C" w14:textId="77777777" w:rsidR="00413F29" w:rsidRPr="006431C4" w:rsidRDefault="00413F29" w:rsidP="00CF1E7D">
      <w:pPr>
        <w:numPr>
          <w:ilvl w:val="0"/>
          <w:numId w:val="186"/>
        </w:numPr>
        <w:overflowPunct w:val="0"/>
        <w:autoSpaceDE w:val="0"/>
        <w:autoSpaceDN w:val="0"/>
        <w:adjustRightInd w:val="0"/>
        <w:spacing w:line="240" w:lineRule="auto"/>
        <w:jc w:val="both"/>
        <w:textAlignment w:val="baseline"/>
        <w:rPr>
          <w:rFonts w:cs="Arial"/>
          <w:color w:val="000000"/>
          <w:szCs w:val="20"/>
        </w:rPr>
      </w:pPr>
      <w:r w:rsidRPr="006431C4">
        <w:rPr>
          <w:rFonts w:cs="Arial"/>
          <w:bCs/>
          <w:color w:val="000000"/>
          <w:szCs w:val="20"/>
        </w:rPr>
        <w:t>kontrast luminancji,</w:t>
      </w:r>
    </w:p>
    <w:p w14:paraId="603CDB35" w14:textId="77777777" w:rsidR="00413F29" w:rsidRPr="006431C4" w:rsidRDefault="00413F29" w:rsidP="00CF1E7D">
      <w:pPr>
        <w:numPr>
          <w:ilvl w:val="0"/>
          <w:numId w:val="186"/>
        </w:numPr>
        <w:overflowPunct w:val="0"/>
        <w:autoSpaceDE w:val="0"/>
        <w:autoSpaceDN w:val="0"/>
        <w:adjustRightInd w:val="0"/>
        <w:spacing w:line="240" w:lineRule="auto"/>
        <w:jc w:val="both"/>
        <w:textAlignment w:val="baseline"/>
        <w:rPr>
          <w:rFonts w:cs="Arial"/>
          <w:color w:val="000000"/>
          <w:szCs w:val="20"/>
        </w:rPr>
      </w:pPr>
      <w:r w:rsidRPr="006431C4">
        <w:rPr>
          <w:rFonts w:cs="Arial"/>
          <w:bCs/>
          <w:color w:val="000000"/>
          <w:szCs w:val="20"/>
        </w:rPr>
        <w:t xml:space="preserve">równomierność luminancji. </w:t>
      </w:r>
    </w:p>
    <w:p w14:paraId="19B259B9"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Cs/>
          <w:szCs w:val="20"/>
        </w:rPr>
        <w:tab/>
        <w:t xml:space="preserve">Chromatyczność (współrzędne chromatyczności) oraz współczynnik luminancji </w:t>
      </w:r>
      <w:r w:rsidRPr="006431C4">
        <w:rPr>
          <w:rFonts w:cs="Arial"/>
          <w:bCs/>
          <w:i/>
          <w:iCs/>
          <w:szCs w:val="20"/>
        </w:rPr>
        <w:t>β</w:t>
      </w:r>
      <w:r w:rsidRPr="006431C4">
        <w:rPr>
          <w:rFonts w:cs="Arial"/>
          <w:bCs/>
          <w:szCs w:val="20"/>
        </w:rPr>
        <w:t xml:space="preserve"> powinny być zgodne z wartościami podanymi w tabeli 18 normy [1].</w:t>
      </w:r>
    </w:p>
    <w:p w14:paraId="6A28BD09"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znaków podświetlanych należy przeprowadzać zgodnie z PN-EN 12899-1:2010 [1]. Wartości średniej luminancji powinny być zgodne z wartościami podanymi w tablicy 7.</w:t>
      </w:r>
    </w:p>
    <w:p w14:paraId="37E8F044"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Cs/>
          <w:szCs w:val="20"/>
        </w:rPr>
        <w:t xml:space="preserve">Tablica 7. Średnia luminancja </w:t>
      </w:r>
      <w:r w:rsidRPr="006431C4">
        <w:rPr>
          <w:rFonts w:cs="Arial"/>
          <w:bCs/>
          <w:i/>
          <w:iCs/>
          <w:szCs w:val="20"/>
        </w:rPr>
        <w:t>L</w:t>
      </w:r>
      <w:r w:rsidRPr="006431C4">
        <w:rPr>
          <w:rFonts w:cs="Arial"/>
          <w:bCs/>
          <w:szCs w:val="20"/>
        </w:rPr>
        <w:t xml:space="preserve"> [</w:t>
      </w:r>
      <w:r w:rsidRPr="006431C4">
        <w:rPr>
          <w:rFonts w:cs="Arial"/>
          <w:szCs w:val="20"/>
        </w:rPr>
        <w:t>cd m</w:t>
      </w:r>
      <w:r w:rsidRPr="006431C4">
        <w:rPr>
          <w:rFonts w:cs="Arial"/>
          <w:szCs w:val="20"/>
          <w:vertAlign w:val="superscript"/>
        </w:rPr>
        <w:t>-2</w:t>
      </w:r>
      <w:r w:rsidRPr="006431C4">
        <w:rPr>
          <w:rFonts w:cs="Arial"/>
          <w:szCs w:val="20"/>
        </w:rPr>
        <w:t xml:space="preserve">] </w:t>
      </w:r>
      <w:r w:rsidRPr="006431C4">
        <w:rPr>
          <w:rFonts w:cs="Arial"/>
          <w:bCs/>
          <w:szCs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413F29" w:rsidRPr="006431C4" w14:paraId="5A59D0EF" w14:textId="77777777" w:rsidTr="005F616C">
        <w:trPr>
          <w:tblHeader/>
          <w:jc w:val="center"/>
        </w:trPr>
        <w:tc>
          <w:tcPr>
            <w:tcW w:w="1523" w:type="dxa"/>
            <w:vAlign w:val="center"/>
          </w:tcPr>
          <w:p w14:paraId="7E562D0D"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Barwa</w:t>
            </w:r>
          </w:p>
        </w:tc>
        <w:tc>
          <w:tcPr>
            <w:tcW w:w="1842" w:type="dxa"/>
            <w:vAlign w:val="center"/>
          </w:tcPr>
          <w:p w14:paraId="4B0B4F72"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L1</w:t>
            </w:r>
          </w:p>
        </w:tc>
        <w:tc>
          <w:tcPr>
            <w:tcW w:w="1842" w:type="dxa"/>
            <w:vAlign w:val="center"/>
          </w:tcPr>
          <w:p w14:paraId="0BF3AED8"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L2</w:t>
            </w:r>
          </w:p>
        </w:tc>
        <w:tc>
          <w:tcPr>
            <w:tcW w:w="1842" w:type="dxa"/>
            <w:vAlign w:val="center"/>
          </w:tcPr>
          <w:p w14:paraId="1E875390"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L3</w:t>
            </w:r>
          </w:p>
        </w:tc>
        <w:tc>
          <w:tcPr>
            <w:tcW w:w="1843" w:type="dxa"/>
            <w:vAlign w:val="center"/>
          </w:tcPr>
          <w:p w14:paraId="489D6C8A"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LS</w:t>
            </w:r>
          </w:p>
        </w:tc>
      </w:tr>
      <w:tr w:rsidR="00413F29" w:rsidRPr="006431C4" w14:paraId="57345648" w14:textId="77777777" w:rsidTr="005F616C">
        <w:trPr>
          <w:jc w:val="center"/>
        </w:trPr>
        <w:tc>
          <w:tcPr>
            <w:tcW w:w="1523" w:type="dxa"/>
            <w:vAlign w:val="center"/>
          </w:tcPr>
          <w:p w14:paraId="42B142C1"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Biała</w:t>
            </w:r>
          </w:p>
        </w:tc>
        <w:tc>
          <w:tcPr>
            <w:tcW w:w="1842" w:type="dxa"/>
            <w:vAlign w:val="center"/>
          </w:tcPr>
          <w:p w14:paraId="255ACF7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40 ≤ </w:t>
            </w:r>
            <w:r w:rsidRPr="006431C4">
              <w:rPr>
                <w:rFonts w:cs="Arial"/>
                <w:i/>
                <w:iCs/>
                <w:szCs w:val="20"/>
              </w:rPr>
              <w:t>L</w:t>
            </w:r>
            <w:r w:rsidRPr="006431C4">
              <w:rPr>
                <w:rFonts w:cs="Arial"/>
                <w:szCs w:val="20"/>
              </w:rPr>
              <w:t xml:space="preserve"> &lt; 150</w:t>
            </w:r>
          </w:p>
        </w:tc>
        <w:tc>
          <w:tcPr>
            <w:tcW w:w="1842" w:type="dxa"/>
            <w:vAlign w:val="center"/>
          </w:tcPr>
          <w:p w14:paraId="27D5CA8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150 ≤ </w:t>
            </w:r>
            <w:r w:rsidRPr="006431C4">
              <w:rPr>
                <w:rFonts w:cs="Arial"/>
                <w:i/>
                <w:iCs/>
                <w:szCs w:val="20"/>
              </w:rPr>
              <w:t>L</w:t>
            </w:r>
            <w:r w:rsidRPr="006431C4">
              <w:rPr>
                <w:rFonts w:cs="Arial"/>
                <w:szCs w:val="20"/>
              </w:rPr>
              <w:t xml:space="preserve"> &lt; 300</w:t>
            </w:r>
          </w:p>
        </w:tc>
        <w:tc>
          <w:tcPr>
            <w:tcW w:w="1842" w:type="dxa"/>
            <w:vAlign w:val="center"/>
          </w:tcPr>
          <w:p w14:paraId="4FC806D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300 ≤ </w:t>
            </w:r>
            <w:r w:rsidRPr="006431C4">
              <w:rPr>
                <w:rFonts w:cs="Arial"/>
                <w:i/>
                <w:iCs/>
                <w:szCs w:val="20"/>
              </w:rPr>
              <w:t>L</w:t>
            </w:r>
            <w:r w:rsidRPr="006431C4">
              <w:rPr>
                <w:rFonts w:cs="Arial"/>
                <w:szCs w:val="20"/>
              </w:rPr>
              <w:t xml:space="preserve"> &lt; 900</w:t>
            </w:r>
          </w:p>
        </w:tc>
        <w:tc>
          <w:tcPr>
            <w:tcW w:w="1843" w:type="dxa"/>
            <w:vAlign w:val="center"/>
          </w:tcPr>
          <w:p w14:paraId="47BA755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10 ≤ </w:t>
            </w:r>
            <w:r w:rsidRPr="006431C4">
              <w:rPr>
                <w:rFonts w:cs="Arial"/>
                <w:i/>
                <w:iCs/>
                <w:szCs w:val="20"/>
              </w:rPr>
              <w:t>L</w:t>
            </w:r>
            <w:r w:rsidRPr="006431C4">
              <w:rPr>
                <w:rFonts w:cs="Arial"/>
                <w:szCs w:val="20"/>
              </w:rPr>
              <w:t xml:space="preserve"> &lt; 40</w:t>
            </w:r>
          </w:p>
        </w:tc>
      </w:tr>
      <w:tr w:rsidR="00413F29" w:rsidRPr="006431C4" w14:paraId="6A759A42" w14:textId="77777777" w:rsidTr="005F616C">
        <w:trPr>
          <w:jc w:val="center"/>
        </w:trPr>
        <w:tc>
          <w:tcPr>
            <w:tcW w:w="1523" w:type="dxa"/>
            <w:vAlign w:val="center"/>
          </w:tcPr>
          <w:p w14:paraId="0DDEF38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Żółta</w:t>
            </w:r>
          </w:p>
        </w:tc>
        <w:tc>
          <w:tcPr>
            <w:tcW w:w="1842" w:type="dxa"/>
            <w:vAlign w:val="center"/>
          </w:tcPr>
          <w:p w14:paraId="3D31670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30 ≤ </w:t>
            </w:r>
            <w:r w:rsidRPr="006431C4">
              <w:rPr>
                <w:rFonts w:cs="Arial"/>
                <w:i/>
                <w:iCs/>
                <w:szCs w:val="20"/>
              </w:rPr>
              <w:t>L</w:t>
            </w:r>
            <w:r w:rsidRPr="006431C4">
              <w:rPr>
                <w:rFonts w:cs="Arial"/>
                <w:szCs w:val="20"/>
              </w:rPr>
              <w:t xml:space="preserve"> &lt; 100</w:t>
            </w:r>
          </w:p>
        </w:tc>
        <w:tc>
          <w:tcPr>
            <w:tcW w:w="1842" w:type="dxa"/>
            <w:vAlign w:val="center"/>
          </w:tcPr>
          <w:p w14:paraId="2B4B0B8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100 ≤ </w:t>
            </w:r>
            <w:r w:rsidRPr="006431C4">
              <w:rPr>
                <w:rFonts w:cs="Arial"/>
                <w:i/>
                <w:iCs/>
                <w:szCs w:val="20"/>
              </w:rPr>
              <w:t xml:space="preserve">L </w:t>
            </w:r>
            <w:r w:rsidRPr="006431C4">
              <w:rPr>
                <w:rFonts w:cs="Arial"/>
                <w:szCs w:val="20"/>
              </w:rPr>
              <w:t>&lt; 300</w:t>
            </w:r>
          </w:p>
        </w:tc>
        <w:tc>
          <w:tcPr>
            <w:tcW w:w="1842" w:type="dxa"/>
            <w:vAlign w:val="center"/>
          </w:tcPr>
          <w:p w14:paraId="79052D0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300 ≤ </w:t>
            </w:r>
            <w:r w:rsidRPr="006431C4">
              <w:rPr>
                <w:rFonts w:cs="Arial"/>
                <w:i/>
                <w:iCs/>
                <w:szCs w:val="20"/>
              </w:rPr>
              <w:t>L</w:t>
            </w:r>
            <w:r w:rsidRPr="006431C4">
              <w:rPr>
                <w:rFonts w:cs="Arial"/>
                <w:szCs w:val="20"/>
              </w:rPr>
              <w:t xml:space="preserve"> &lt; 900</w:t>
            </w:r>
          </w:p>
        </w:tc>
        <w:tc>
          <w:tcPr>
            <w:tcW w:w="1843" w:type="dxa"/>
            <w:vAlign w:val="center"/>
          </w:tcPr>
          <w:p w14:paraId="569D453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7.5 ≤ </w:t>
            </w:r>
            <w:r w:rsidRPr="006431C4">
              <w:rPr>
                <w:rFonts w:cs="Arial"/>
                <w:i/>
                <w:iCs/>
                <w:szCs w:val="20"/>
              </w:rPr>
              <w:t>L</w:t>
            </w:r>
            <w:r w:rsidRPr="006431C4">
              <w:rPr>
                <w:rFonts w:cs="Arial"/>
                <w:szCs w:val="20"/>
              </w:rPr>
              <w:t>&lt;30</w:t>
            </w:r>
          </w:p>
        </w:tc>
      </w:tr>
      <w:tr w:rsidR="00413F29" w:rsidRPr="006431C4" w14:paraId="3843EE79" w14:textId="77777777" w:rsidTr="005F616C">
        <w:trPr>
          <w:jc w:val="center"/>
        </w:trPr>
        <w:tc>
          <w:tcPr>
            <w:tcW w:w="1523" w:type="dxa"/>
            <w:vAlign w:val="center"/>
          </w:tcPr>
          <w:p w14:paraId="3CABCE29"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Czerwona</w:t>
            </w:r>
          </w:p>
        </w:tc>
        <w:tc>
          <w:tcPr>
            <w:tcW w:w="1842" w:type="dxa"/>
            <w:vAlign w:val="center"/>
          </w:tcPr>
          <w:p w14:paraId="2610E23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6 ≤ </w:t>
            </w:r>
            <w:r w:rsidRPr="006431C4">
              <w:rPr>
                <w:rFonts w:cs="Arial"/>
                <w:i/>
                <w:iCs/>
                <w:szCs w:val="20"/>
              </w:rPr>
              <w:t>L</w:t>
            </w:r>
            <w:r w:rsidRPr="006431C4">
              <w:rPr>
                <w:rFonts w:cs="Arial"/>
                <w:szCs w:val="20"/>
              </w:rPr>
              <w:t xml:space="preserve"> &lt; 20</w:t>
            </w:r>
          </w:p>
        </w:tc>
        <w:tc>
          <w:tcPr>
            <w:tcW w:w="1842" w:type="dxa"/>
            <w:vAlign w:val="center"/>
          </w:tcPr>
          <w:p w14:paraId="70C36AB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20 ≤ </w:t>
            </w:r>
            <w:r w:rsidRPr="006431C4">
              <w:rPr>
                <w:rFonts w:cs="Arial"/>
                <w:i/>
                <w:iCs/>
                <w:szCs w:val="20"/>
              </w:rPr>
              <w:t>L</w:t>
            </w:r>
            <w:r w:rsidRPr="006431C4">
              <w:rPr>
                <w:rFonts w:cs="Arial"/>
                <w:szCs w:val="20"/>
              </w:rPr>
              <w:t xml:space="preserve"> &lt; 50</w:t>
            </w:r>
          </w:p>
        </w:tc>
        <w:tc>
          <w:tcPr>
            <w:tcW w:w="1842" w:type="dxa"/>
            <w:vAlign w:val="center"/>
          </w:tcPr>
          <w:p w14:paraId="13E0D4C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50 ≤ </w:t>
            </w:r>
            <w:r w:rsidRPr="006431C4">
              <w:rPr>
                <w:rFonts w:cs="Arial"/>
                <w:i/>
                <w:iCs/>
                <w:szCs w:val="20"/>
              </w:rPr>
              <w:t>L</w:t>
            </w:r>
            <w:r w:rsidRPr="006431C4">
              <w:rPr>
                <w:rFonts w:cs="Arial"/>
                <w:szCs w:val="20"/>
              </w:rPr>
              <w:t xml:space="preserve"> &lt; 110</w:t>
            </w:r>
          </w:p>
        </w:tc>
        <w:tc>
          <w:tcPr>
            <w:tcW w:w="1843" w:type="dxa"/>
            <w:vAlign w:val="center"/>
          </w:tcPr>
          <w:p w14:paraId="3350A7D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1.5 ≤ </w:t>
            </w:r>
            <w:r w:rsidRPr="006431C4">
              <w:rPr>
                <w:rFonts w:cs="Arial"/>
                <w:i/>
                <w:iCs/>
                <w:szCs w:val="20"/>
              </w:rPr>
              <w:t>L</w:t>
            </w:r>
            <w:r w:rsidRPr="006431C4">
              <w:rPr>
                <w:rFonts w:cs="Arial"/>
                <w:szCs w:val="20"/>
              </w:rPr>
              <w:t xml:space="preserve"> &lt; 6</w:t>
            </w:r>
          </w:p>
        </w:tc>
      </w:tr>
      <w:tr w:rsidR="00413F29" w:rsidRPr="006431C4" w14:paraId="708C8BBC" w14:textId="77777777" w:rsidTr="005F616C">
        <w:trPr>
          <w:jc w:val="center"/>
        </w:trPr>
        <w:tc>
          <w:tcPr>
            <w:tcW w:w="1523" w:type="dxa"/>
            <w:vAlign w:val="center"/>
          </w:tcPr>
          <w:p w14:paraId="21206C1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Niebieska</w:t>
            </w:r>
          </w:p>
        </w:tc>
        <w:tc>
          <w:tcPr>
            <w:tcW w:w="1842" w:type="dxa"/>
            <w:vAlign w:val="center"/>
          </w:tcPr>
          <w:p w14:paraId="73DFFA9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4 ≤ </w:t>
            </w:r>
            <w:r w:rsidRPr="006431C4">
              <w:rPr>
                <w:rFonts w:cs="Arial"/>
                <w:i/>
                <w:iCs/>
                <w:szCs w:val="20"/>
              </w:rPr>
              <w:t>L</w:t>
            </w:r>
            <w:r w:rsidRPr="006431C4">
              <w:rPr>
                <w:rFonts w:cs="Arial"/>
                <w:szCs w:val="20"/>
              </w:rPr>
              <w:t xml:space="preserve"> &lt; 10</w:t>
            </w:r>
          </w:p>
        </w:tc>
        <w:tc>
          <w:tcPr>
            <w:tcW w:w="1842" w:type="dxa"/>
            <w:vAlign w:val="center"/>
          </w:tcPr>
          <w:p w14:paraId="729E125A"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10 ≤ </w:t>
            </w:r>
            <w:r w:rsidRPr="006431C4">
              <w:rPr>
                <w:rFonts w:cs="Arial"/>
                <w:i/>
                <w:iCs/>
                <w:szCs w:val="20"/>
              </w:rPr>
              <w:t xml:space="preserve">L </w:t>
            </w:r>
            <w:r w:rsidRPr="006431C4">
              <w:rPr>
                <w:rFonts w:cs="Arial"/>
                <w:szCs w:val="20"/>
              </w:rPr>
              <w:t>&lt; 40</w:t>
            </w:r>
          </w:p>
        </w:tc>
        <w:tc>
          <w:tcPr>
            <w:tcW w:w="1842" w:type="dxa"/>
            <w:vAlign w:val="center"/>
          </w:tcPr>
          <w:p w14:paraId="3533054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40 ≤ </w:t>
            </w:r>
            <w:r w:rsidRPr="006431C4">
              <w:rPr>
                <w:rFonts w:cs="Arial"/>
                <w:i/>
                <w:iCs/>
                <w:szCs w:val="20"/>
              </w:rPr>
              <w:t>L</w:t>
            </w:r>
            <w:r w:rsidRPr="006431C4">
              <w:rPr>
                <w:rFonts w:cs="Arial"/>
                <w:szCs w:val="20"/>
              </w:rPr>
              <w:t xml:space="preserve"> &lt; 80</w:t>
            </w:r>
          </w:p>
        </w:tc>
        <w:tc>
          <w:tcPr>
            <w:tcW w:w="1843" w:type="dxa"/>
            <w:vAlign w:val="center"/>
          </w:tcPr>
          <w:p w14:paraId="015D3A2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1 ≤ </w:t>
            </w:r>
            <w:r w:rsidRPr="006431C4">
              <w:rPr>
                <w:rFonts w:cs="Arial"/>
                <w:i/>
                <w:iCs/>
                <w:szCs w:val="20"/>
              </w:rPr>
              <w:t>L</w:t>
            </w:r>
            <w:r w:rsidRPr="006431C4">
              <w:rPr>
                <w:rFonts w:cs="Arial"/>
                <w:szCs w:val="20"/>
              </w:rPr>
              <w:t xml:space="preserve"> &lt; 4</w:t>
            </w:r>
          </w:p>
        </w:tc>
      </w:tr>
      <w:tr w:rsidR="00413F29" w:rsidRPr="006431C4" w14:paraId="67635E82" w14:textId="77777777" w:rsidTr="005F616C">
        <w:trPr>
          <w:jc w:val="center"/>
        </w:trPr>
        <w:tc>
          <w:tcPr>
            <w:tcW w:w="1523" w:type="dxa"/>
            <w:vAlign w:val="center"/>
          </w:tcPr>
          <w:p w14:paraId="5AD99386"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Zielona</w:t>
            </w:r>
          </w:p>
        </w:tc>
        <w:tc>
          <w:tcPr>
            <w:tcW w:w="1842" w:type="dxa"/>
            <w:vAlign w:val="center"/>
          </w:tcPr>
          <w:p w14:paraId="67FD542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8 ≤ </w:t>
            </w:r>
            <w:r w:rsidRPr="006431C4">
              <w:rPr>
                <w:rFonts w:cs="Arial"/>
                <w:i/>
                <w:iCs/>
                <w:szCs w:val="20"/>
              </w:rPr>
              <w:t>L</w:t>
            </w:r>
            <w:r w:rsidRPr="006431C4">
              <w:rPr>
                <w:rFonts w:cs="Arial"/>
                <w:szCs w:val="20"/>
              </w:rPr>
              <w:t xml:space="preserve"> &lt; 20</w:t>
            </w:r>
          </w:p>
        </w:tc>
        <w:tc>
          <w:tcPr>
            <w:tcW w:w="1842" w:type="dxa"/>
            <w:vAlign w:val="center"/>
          </w:tcPr>
          <w:p w14:paraId="7C92E35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20 ≤ </w:t>
            </w:r>
            <w:r w:rsidRPr="006431C4">
              <w:rPr>
                <w:rFonts w:cs="Arial"/>
                <w:i/>
                <w:iCs/>
                <w:szCs w:val="20"/>
              </w:rPr>
              <w:t>L</w:t>
            </w:r>
            <w:r w:rsidRPr="006431C4">
              <w:rPr>
                <w:rFonts w:cs="Arial"/>
                <w:szCs w:val="20"/>
              </w:rPr>
              <w:t xml:space="preserve"> &lt; 70</w:t>
            </w:r>
          </w:p>
        </w:tc>
        <w:tc>
          <w:tcPr>
            <w:tcW w:w="1842" w:type="dxa"/>
            <w:vAlign w:val="center"/>
          </w:tcPr>
          <w:p w14:paraId="2A27714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70 ≤ </w:t>
            </w:r>
            <w:r w:rsidRPr="006431C4">
              <w:rPr>
                <w:rFonts w:cs="Arial"/>
                <w:i/>
                <w:iCs/>
                <w:szCs w:val="20"/>
              </w:rPr>
              <w:t>L</w:t>
            </w:r>
            <w:r w:rsidRPr="006431C4">
              <w:rPr>
                <w:rFonts w:cs="Arial"/>
                <w:szCs w:val="20"/>
              </w:rPr>
              <w:t xml:space="preserve"> &lt; 180</w:t>
            </w:r>
          </w:p>
        </w:tc>
        <w:tc>
          <w:tcPr>
            <w:tcW w:w="1843" w:type="dxa"/>
            <w:vAlign w:val="center"/>
          </w:tcPr>
          <w:p w14:paraId="46312B9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2 ≤ </w:t>
            </w:r>
            <w:r w:rsidRPr="006431C4">
              <w:rPr>
                <w:rFonts w:cs="Arial"/>
                <w:i/>
                <w:iCs/>
                <w:szCs w:val="20"/>
              </w:rPr>
              <w:t>L</w:t>
            </w:r>
            <w:r w:rsidRPr="006431C4">
              <w:rPr>
                <w:rFonts w:cs="Arial"/>
                <w:szCs w:val="20"/>
              </w:rPr>
              <w:t xml:space="preserve"> &lt; 8</w:t>
            </w:r>
          </w:p>
        </w:tc>
      </w:tr>
      <w:tr w:rsidR="00413F29" w:rsidRPr="006431C4" w14:paraId="4D6A723D" w14:textId="77777777" w:rsidTr="005F616C">
        <w:trPr>
          <w:jc w:val="center"/>
        </w:trPr>
        <w:tc>
          <w:tcPr>
            <w:tcW w:w="1523" w:type="dxa"/>
            <w:vAlign w:val="center"/>
          </w:tcPr>
          <w:p w14:paraId="6A2D82B5"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proofErr w:type="spellStart"/>
            <w:r w:rsidRPr="006431C4">
              <w:rPr>
                <w:rFonts w:cs="Arial"/>
                <w:szCs w:val="20"/>
              </w:rPr>
              <w:t>Ciemnozielo</w:t>
            </w:r>
            <w:proofErr w:type="spellEnd"/>
            <w:r w:rsidRPr="006431C4">
              <w:rPr>
                <w:rFonts w:cs="Arial"/>
                <w:szCs w:val="20"/>
              </w:rPr>
              <w:t>-na</w:t>
            </w:r>
          </w:p>
        </w:tc>
        <w:tc>
          <w:tcPr>
            <w:tcW w:w="1842" w:type="dxa"/>
            <w:vAlign w:val="center"/>
          </w:tcPr>
          <w:p w14:paraId="6EFC3FA7"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4 ≤ </w:t>
            </w:r>
            <w:r w:rsidRPr="006431C4">
              <w:rPr>
                <w:rFonts w:cs="Arial"/>
                <w:i/>
                <w:iCs/>
                <w:szCs w:val="20"/>
              </w:rPr>
              <w:t>L</w:t>
            </w:r>
            <w:r w:rsidRPr="006431C4">
              <w:rPr>
                <w:rFonts w:cs="Arial"/>
                <w:szCs w:val="20"/>
              </w:rPr>
              <w:t xml:space="preserve"> &lt; 10</w:t>
            </w:r>
          </w:p>
        </w:tc>
        <w:tc>
          <w:tcPr>
            <w:tcW w:w="1842" w:type="dxa"/>
            <w:vAlign w:val="center"/>
          </w:tcPr>
          <w:p w14:paraId="5E22EB11"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10 ≤ </w:t>
            </w:r>
            <w:r w:rsidRPr="006431C4">
              <w:rPr>
                <w:rFonts w:cs="Arial"/>
                <w:i/>
                <w:iCs/>
                <w:szCs w:val="20"/>
              </w:rPr>
              <w:t>L</w:t>
            </w:r>
            <w:r w:rsidRPr="006431C4">
              <w:rPr>
                <w:rFonts w:cs="Arial"/>
                <w:szCs w:val="20"/>
              </w:rPr>
              <w:t xml:space="preserve"> &lt; 40</w:t>
            </w:r>
          </w:p>
        </w:tc>
        <w:tc>
          <w:tcPr>
            <w:tcW w:w="1842" w:type="dxa"/>
            <w:vAlign w:val="center"/>
          </w:tcPr>
          <w:p w14:paraId="7CA0DFB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40 ≤ </w:t>
            </w:r>
            <w:r w:rsidRPr="006431C4">
              <w:rPr>
                <w:rFonts w:cs="Arial"/>
                <w:i/>
                <w:iCs/>
                <w:szCs w:val="20"/>
              </w:rPr>
              <w:t>L</w:t>
            </w:r>
            <w:r w:rsidRPr="006431C4">
              <w:rPr>
                <w:rFonts w:cs="Arial"/>
                <w:szCs w:val="20"/>
              </w:rPr>
              <w:t xml:space="preserve"> &lt; 80</w:t>
            </w:r>
          </w:p>
        </w:tc>
        <w:tc>
          <w:tcPr>
            <w:tcW w:w="1843" w:type="dxa"/>
            <w:vAlign w:val="center"/>
          </w:tcPr>
          <w:p w14:paraId="42B24E16"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 ≤</w:t>
            </w:r>
            <w:r w:rsidRPr="006431C4">
              <w:rPr>
                <w:rFonts w:cs="Arial"/>
                <w:i/>
                <w:iCs/>
                <w:szCs w:val="20"/>
              </w:rPr>
              <w:t xml:space="preserve"> L</w:t>
            </w:r>
            <w:r w:rsidRPr="006431C4">
              <w:rPr>
                <w:rFonts w:cs="Arial"/>
                <w:szCs w:val="20"/>
              </w:rPr>
              <w:t xml:space="preserve"> &lt; 4</w:t>
            </w:r>
          </w:p>
        </w:tc>
      </w:tr>
      <w:tr w:rsidR="00413F29" w:rsidRPr="006431C4" w14:paraId="4721FC25" w14:textId="77777777" w:rsidTr="005F616C">
        <w:trPr>
          <w:jc w:val="center"/>
        </w:trPr>
        <w:tc>
          <w:tcPr>
            <w:tcW w:w="1523" w:type="dxa"/>
            <w:vAlign w:val="center"/>
          </w:tcPr>
          <w:p w14:paraId="07AD7C9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Brązowa</w:t>
            </w:r>
          </w:p>
        </w:tc>
        <w:tc>
          <w:tcPr>
            <w:tcW w:w="1842" w:type="dxa"/>
            <w:vAlign w:val="center"/>
          </w:tcPr>
          <w:p w14:paraId="2592161C"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4 ≤ </w:t>
            </w:r>
            <w:r w:rsidRPr="006431C4">
              <w:rPr>
                <w:rFonts w:cs="Arial"/>
                <w:i/>
                <w:iCs/>
                <w:szCs w:val="20"/>
              </w:rPr>
              <w:t>L</w:t>
            </w:r>
            <w:r w:rsidRPr="006431C4">
              <w:rPr>
                <w:rFonts w:cs="Arial"/>
                <w:szCs w:val="20"/>
              </w:rPr>
              <w:t xml:space="preserve"> &lt; 10</w:t>
            </w:r>
          </w:p>
        </w:tc>
        <w:tc>
          <w:tcPr>
            <w:tcW w:w="1842" w:type="dxa"/>
            <w:vAlign w:val="center"/>
          </w:tcPr>
          <w:p w14:paraId="7066F4CE"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10 ≤ </w:t>
            </w:r>
            <w:r w:rsidRPr="006431C4">
              <w:rPr>
                <w:rFonts w:cs="Arial"/>
                <w:i/>
                <w:iCs/>
                <w:szCs w:val="20"/>
              </w:rPr>
              <w:t>L</w:t>
            </w:r>
            <w:r w:rsidRPr="006431C4">
              <w:rPr>
                <w:rFonts w:cs="Arial"/>
                <w:szCs w:val="20"/>
              </w:rPr>
              <w:t xml:space="preserve"> &lt; 40</w:t>
            </w:r>
          </w:p>
        </w:tc>
        <w:tc>
          <w:tcPr>
            <w:tcW w:w="1842" w:type="dxa"/>
            <w:vAlign w:val="center"/>
          </w:tcPr>
          <w:p w14:paraId="38CA6B5D"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40 ≤ </w:t>
            </w:r>
            <w:r w:rsidRPr="006431C4">
              <w:rPr>
                <w:rFonts w:cs="Arial"/>
                <w:i/>
                <w:iCs/>
                <w:szCs w:val="20"/>
              </w:rPr>
              <w:t>L</w:t>
            </w:r>
            <w:r w:rsidRPr="006431C4">
              <w:rPr>
                <w:rFonts w:cs="Arial"/>
                <w:szCs w:val="20"/>
              </w:rPr>
              <w:t xml:space="preserve"> &lt; 80</w:t>
            </w:r>
          </w:p>
        </w:tc>
        <w:tc>
          <w:tcPr>
            <w:tcW w:w="1843" w:type="dxa"/>
            <w:vAlign w:val="center"/>
          </w:tcPr>
          <w:p w14:paraId="4885913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 xml:space="preserve">1 ≤ </w:t>
            </w:r>
            <w:r w:rsidRPr="006431C4">
              <w:rPr>
                <w:rFonts w:cs="Arial"/>
                <w:i/>
                <w:iCs/>
                <w:szCs w:val="20"/>
              </w:rPr>
              <w:t>L</w:t>
            </w:r>
            <w:r w:rsidRPr="006431C4">
              <w:rPr>
                <w:rFonts w:cs="Arial"/>
                <w:szCs w:val="20"/>
              </w:rPr>
              <w:t xml:space="preserve"> &lt; 4</w:t>
            </w:r>
          </w:p>
        </w:tc>
      </w:tr>
    </w:tbl>
    <w:p w14:paraId="7DD3049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Klasa LS może być używana jeśli zastosowano materiał elektroluminescencyjny i jest zalecana jedynie wtedy, gdy materiał powierzchni czołowej znaku jest odblaskowy i półprzezroczysty.</w:t>
      </w:r>
    </w:p>
    <w:p w14:paraId="2364C777"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Kontrast luminancji znaków podświetlanych „K”, wyznaczony przez stosunek luminancji barwy kontrastowej do luminancji barwy, powinien spełniać wymaganie: 5 ≤ </w:t>
      </w:r>
      <w:r w:rsidRPr="006431C4">
        <w:rPr>
          <w:rFonts w:cs="Arial"/>
          <w:i/>
          <w:iCs/>
          <w:szCs w:val="20"/>
        </w:rPr>
        <w:t>K</w:t>
      </w:r>
      <w:r w:rsidRPr="006431C4">
        <w:rPr>
          <w:rFonts w:cs="Arial"/>
          <w:szCs w:val="20"/>
        </w:rPr>
        <w:t> ≤ 15.</w:t>
      </w:r>
    </w:p>
    <w:p w14:paraId="6C44DE3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Równomierność luminancji, będąca wynikiem stosunku najniższego poziomu do najwyższego poziomu zmierzonego na dowolnej części barwy tła znaku, powinna być zgodna z wymaganiami tablicy 8. Należy spełnić wymaganie co najmniej klasy U2.</w:t>
      </w:r>
    </w:p>
    <w:p w14:paraId="290D0652" w14:textId="77777777" w:rsidR="00413F29" w:rsidRPr="006431C4" w:rsidRDefault="00413F29" w:rsidP="00270120">
      <w:pPr>
        <w:overflowPunct w:val="0"/>
        <w:autoSpaceDE w:val="0"/>
        <w:autoSpaceDN w:val="0"/>
        <w:adjustRightInd w:val="0"/>
        <w:spacing w:line="240" w:lineRule="auto"/>
        <w:textAlignment w:val="baseline"/>
        <w:rPr>
          <w:rFonts w:cs="Arial"/>
          <w:bCs/>
          <w:szCs w:val="20"/>
        </w:rPr>
      </w:pPr>
      <w:r w:rsidRPr="006431C4">
        <w:rPr>
          <w:rFonts w:cs="Arial"/>
          <w:bCs/>
          <w:szCs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413F29" w:rsidRPr="006431C4" w14:paraId="7B55940E" w14:textId="77777777" w:rsidTr="005F616C">
        <w:tc>
          <w:tcPr>
            <w:tcW w:w="1770" w:type="dxa"/>
            <w:vAlign w:val="center"/>
          </w:tcPr>
          <w:p w14:paraId="73B84FD4"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lastRenderedPageBreak/>
              <w:t>Klasa</w:t>
            </w:r>
          </w:p>
        </w:tc>
        <w:tc>
          <w:tcPr>
            <w:tcW w:w="2199" w:type="dxa"/>
            <w:vAlign w:val="center"/>
          </w:tcPr>
          <w:p w14:paraId="00DB6245"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Maksymalny stosunek</w:t>
            </w:r>
          </w:p>
        </w:tc>
      </w:tr>
      <w:tr w:rsidR="00413F29" w:rsidRPr="006431C4" w14:paraId="761CC9CA" w14:textId="77777777" w:rsidTr="005F616C">
        <w:tc>
          <w:tcPr>
            <w:tcW w:w="1770" w:type="dxa"/>
          </w:tcPr>
          <w:p w14:paraId="1D1DD6A0"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U1</w:t>
            </w:r>
          </w:p>
        </w:tc>
        <w:tc>
          <w:tcPr>
            <w:tcW w:w="2199" w:type="dxa"/>
          </w:tcPr>
          <w:p w14:paraId="1CBF689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1/10</w:t>
            </w:r>
          </w:p>
        </w:tc>
      </w:tr>
      <w:tr w:rsidR="00413F29" w:rsidRPr="006431C4" w14:paraId="44075689" w14:textId="77777777" w:rsidTr="005F616C">
        <w:tc>
          <w:tcPr>
            <w:tcW w:w="1770" w:type="dxa"/>
          </w:tcPr>
          <w:p w14:paraId="49762F29"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U2</w:t>
            </w:r>
          </w:p>
        </w:tc>
        <w:tc>
          <w:tcPr>
            <w:tcW w:w="2199" w:type="dxa"/>
          </w:tcPr>
          <w:p w14:paraId="55FC1D92"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1/6</w:t>
            </w:r>
          </w:p>
        </w:tc>
      </w:tr>
      <w:tr w:rsidR="00413F29" w:rsidRPr="006431C4" w14:paraId="0B06597D" w14:textId="77777777" w:rsidTr="005F616C">
        <w:tc>
          <w:tcPr>
            <w:tcW w:w="1770" w:type="dxa"/>
          </w:tcPr>
          <w:p w14:paraId="688FA035"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U3</w:t>
            </w:r>
          </w:p>
        </w:tc>
        <w:tc>
          <w:tcPr>
            <w:tcW w:w="2199" w:type="dxa"/>
          </w:tcPr>
          <w:p w14:paraId="6901F44F"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1/3</w:t>
            </w:r>
          </w:p>
        </w:tc>
      </w:tr>
    </w:tbl>
    <w:p w14:paraId="0DA3BB46"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5D541C0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Znak drogowy podświetlany musi mieć umieszczone w sposób trwały oznaczenia przewidziane na naklejce według punktu 5.5 a ponadto oznaczenie oprawy:</w:t>
      </w:r>
    </w:p>
    <w:p w14:paraId="7EC35FA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 napięcia znamionowego zasilania, b) rodzaju prądu, c) liczby typu i mocy znamionowej źródeł światła, d) symbolu klasy ochronności elektrycznej oprawy wbudowanej w znak, e) symbolu IP stopnia ochrony odporności na wnikanie wilgoci i ciał obcych.</w:t>
      </w:r>
    </w:p>
    <w:p w14:paraId="283A5FB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2.8.2. </w:t>
      </w:r>
      <w:r w:rsidRPr="006431C4">
        <w:rPr>
          <w:rFonts w:cs="Arial"/>
          <w:szCs w:val="20"/>
        </w:rPr>
        <w:t>Lico znaku podświetlanego</w:t>
      </w:r>
    </w:p>
    <w:p w14:paraId="6276D0A9"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Lico znaku powinno być tak wykonane, aby nie występowały niedokładności w postaci pęcherzy, pęknięć itp. Niedopuszczalne są lokalne nierówności oraz cząstki mechaniczne zatopione w warstwie podświetlanej.</w:t>
      </w:r>
    </w:p>
    <w:p w14:paraId="032FD3CA"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2.9. Znaki oświetlane</w:t>
      </w:r>
    </w:p>
    <w:p w14:paraId="5CDCB18A" w14:textId="77777777" w:rsidR="00413F29" w:rsidRPr="006431C4" w:rsidRDefault="00413F29" w:rsidP="00270120">
      <w:pPr>
        <w:keepNext/>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2.9.1. </w:t>
      </w:r>
      <w:r w:rsidRPr="006431C4">
        <w:rPr>
          <w:rFonts w:cs="Arial"/>
          <w:szCs w:val="20"/>
        </w:rPr>
        <w:t>Wymagania ogólne dotyczące znaków oświetlanych</w:t>
      </w:r>
    </w:p>
    <w:p w14:paraId="1993EE1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Znaki oświetlone światłem zewnętrznym są odblaskowymi lub </w:t>
      </w:r>
      <w:proofErr w:type="spellStart"/>
      <w:r w:rsidRPr="006431C4">
        <w:rPr>
          <w:rFonts w:cs="Arial"/>
          <w:szCs w:val="20"/>
        </w:rPr>
        <w:t>nieodblaskowymi</w:t>
      </w:r>
      <w:proofErr w:type="spellEnd"/>
      <w:r w:rsidRPr="006431C4">
        <w:rPr>
          <w:rFonts w:cs="Arial"/>
          <w:szCs w:val="20"/>
        </w:rPr>
        <w:t xml:space="preserve"> pionowymi znakami drogowymi z dodatkową lampą oświetleniową zamocowaną na konstrukcji wsporczej oświetlającą tarczę znaku w nocy. Przy umieszczaniu na konstrukcji wsporczej znaku drogowego jakichkolwiek urządzeń elektrycznych obowiązują zasady oznaczania i zabezpieczania tych urządzeń, określone w odpowiednich przepisach i zaleceniach dotyczących urządzeń elektroenergetycznych. Zastosowane lampy powinny spełniać wymagania elektryczne PN-EN 60598-2-2:2012 [13] oraz wymagania dotyczące szczelności PN-EN 60529 [14].</w:t>
      </w:r>
    </w:p>
    <w:p w14:paraId="5B2131C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Cs/>
          <w:szCs w:val="20"/>
        </w:rPr>
        <w:tab/>
        <w:t>Znaki oświetlane zewnętrznie nieodblaskowe powinny spełniać wymagania znaków podświetlanych.</w:t>
      </w:r>
    </w:p>
    <w:p w14:paraId="2380A30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Cs/>
          <w:szCs w:val="20"/>
        </w:rPr>
        <w:tab/>
        <w:t>Znaki oświetlane zewnętrznie odblaskowe charakteryzują następujące parametry:</w:t>
      </w:r>
    </w:p>
    <w:p w14:paraId="18FBDCD4" w14:textId="77777777" w:rsidR="00413F29" w:rsidRPr="006431C4" w:rsidRDefault="00413F29" w:rsidP="00CF1E7D">
      <w:pPr>
        <w:numPr>
          <w:ilvl w:val="0"/>
          <w:numId w:val="187"/>
        </w:numPr>
        <w:overflowPunct w:val="0"/>
        <w:autoSpaceDE w:val="0"/>
        <w:autoSpaceDN w:val="0"/>
        <w:adjustRightInd w:val="0"/>
        <w:spacing w:line="240" w:lineRule="auto"/>
        <w:jc w:val="both"/>
        <w:textAlignment w:val="baseline"/>
        <w:rPr>
          <w:rFonts w:cs="Arial"/>
          <w:szCs w:val="20"/>
        </w:rPr>
      </w:pPr>
      <w:r w:rsidRPr="006431C4">
        <w:rPr>
          <w:rFonts w:cs="Arial"/>
          <w:bCs/>
          <w:szCs w:val="20"/>
        </w:rPr>
        <w:t>chromatyczność i współczynnik luminancji wg tabeli 18 normy [1],</w:t>
      </w:r>
    </w:p>
    <w:p w14:paraId="11535FD9" w14:textId="77777777" w:rsidR="00413F29" w:rsidRPr="006431C4" w:rsidRDefault="00413F29" w:rsidP="00CF1E7D">
      <w:pPr>
        <w:numPr>
          <w:ilvl w:val="0"/>
          <w:numId w:val="187"/>
        </w:numPr>
        <w:overflowPunct w:val="0"/>
        <w:autoSpaceDE w:val="0"/>
        <w:autoSpaceDN w:val="0"/>
        <w:adjustRightInd w:val="0"/>
        <w:spacing w:line="240" w:lineRule="auto"/>
        <w:jc w:val="both"/>
        <w:textAlignment w:val="baseline"/>
        <w:rPr>
          <w:rFonts w:cs="Arial"/>
          <w:szCs w:val="20"/>
        </w:rPr>
      </w:pPr>
      <w:r w:rsidRPr="006431C4">
        <w:rPr>
          <w:rFonts w:cs="Arial"/>
          <w:bCs/>
          <w:szCs w:val="20"/>
        </w:rPr>
        <w:t>powierzchniowy współczynnik odblasku wg tabel 3 i 4 normy [1],</w:t>
      </w:r>
    </w:p>
    <w:p w14:paraId="4690CF77" w14:textId="77777777" w:rsidR="00413F29" w:rsidRPr="006431C4" w:rsidRDefault="00413F29" w:rsidP="00CF1E7D">
      <w:pPr>
        <w:numPr>
          <w:ilvl w:val="0"/>
          <w:numId w:val="187"/>
        </w:numPr>
        <w:overflowPunct w:val="0"/>
        <w:autoSpaceDE w:val="0"/>
        <w:autoSpaceDN w:val="0"/>
        <w:adjustRightInd w:val="0"/>
        <w:spacing w:line="240" w:lineRule="auto"/>
        <w:jc w:val="both"/>
        <w:textAlignment w:val="baseline"/>
        <w:rPr>
          <w:rFonts w:cs="Arial"/>
          <w:szCs w:val="20"/>
        </w:rPr>
      </w:pPr>
      <w:r w:rsidRPr="006431C4">
        <w:rPr>
          <w:rFonts w:cs="Arial"/>
          <w:bCs/>
          <w:szCs w:val="20"/>
        </w:rPr>
        <w:t>średnie natężenie oświetlenia wg tablicy 8,</w:t>
      </w:r>
    </w:p>
    <w:p w14:paraId="3C73D495" w14:textId="77777777" w:rsidR="00413F29" w:rsidRPr="006431C4" w:rsidRDefault="00413F29" w:rsidP="00CF1E7D">
      <w:pPr>
        <w:numPr>
          <w:ilvl w:val="0"/>
          <w:numId w:val="187"/>
        </w:numPr>
        <w:overflowPunct w:val="0"/>
        <w:autoSpaceDE w:val="0"/>
        <w:autoSpaceDN w:val="0"/>
        <w:adjustRightInd w:val="0"/>
        <w:spacing w:line="240" w:lineRule="auto"/>
        <w:jc w:val="both"/>
        <w:textAlignment w:val="baseline"/>
        <w:rPr>
          <w:rFonts w:cs="Arial"/>
          <w:szCs w:val="20"/>
        </w:rPr>
      </w:pPr>
      <w:r w:rsidRPr="006431C4">
        <w:rPr>
          <w:rFonts w:cs="Arial"/>
          <w:bCs/>
          <w:szCs w:val="20"/>
        </w:rPr>
        <w:t>równomierność natężenia oświetlenia wg tablicy 9.</w:t>
      </w:r>
    </w:p>
    <w:p w14:paraId="42AF357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Badania znaków oświetlanych zewnętrznie należy przeprowadzać zgodnie z PN-EN 12899-1:2010 [1]. Wartości średniego natężenia oświetlenia powinny być zgodne z wartościami podanymi w tablicy 8.</w:t>
      </w:r>
    </w:p>
    <w:p w14:paraId="56A3E2B0"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Cs/>
          <w:szCs w:val="20"/>
        </w:rPr>
        <w:t xml:space="preserve">Tablica 8. Średnie natężenie oświetlenia </w:t>
      </w:r>
      <w:r w:rsidRPr="006431C4">
        <w:rPr>
          <w:rFonts w:cs="Arial"/>
          <w:bCs/>
          <w:i/>
          <w:iCs/>
          <w:szCs w:val="20"/>
        </w:rPr>
        <w:t xml:space="preserve">E </w:t>
      </w:r>
      <w:r w:rsidRPr="006431C4">
        <w:rPr>
          <w:rFonts w:cs="Arial"/>
          <w:bCs/>
          <w:szCs w:val="20"/>
        </w:rPr>
        <w:t>(lx)</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413F29" w:rsidRPr="006431C4" w14:paraId="3B286211" w14:textId="77777777" w:rsidTr="005F616C">
        <w:tc>
          <w:tcPr>
            <w:tcW w:w="1560" w:type="dxa"/>
          </w:tcPr>
          <w:p w14:paraId="683C5174"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E1</w:t>
            </w:r>
          </w:p>
        </w:tc>
        <w:tc>
          <w:tcPr>
            <w:tcW w:w="1701" w:type="dxa"/>
          </w:tcPr>
          <w:p w14:paraId="6D0DAEF9"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E2*</w:t>
            </w:r>
          </w:p>
        </w:tc>
        <w:tc>
          <w:tcPr>
            <w:tcW w:w="1701" w:type="dxa"/>
          </w:tcPr>
          <w:p w14:paraId="40FE6C82"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E3</w:t>
            </w:r>
          </w:p>
        </w:tc>
        <w:tc>
          <w:tcPr>
            <w:tcW w:w="1984" w:type="dxa"/>
          </w:tcPr>
          <w:p w14:paraId="7B95A059"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E4</w:t>
            </w:r>
          </w:p>
        </w:tc>
        <w:tc>
          <w:tcPr>
            <w:tcW w:w="1843" w:type="dxa"/>
          </w:tcPr>
          <w:p w14:paraId="36357077"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E5</w:t>
            </w:r>
          </w:p>
        </w:tc>
      </w:tr>
      <w:tr w:rsidR="00413F29" w:rsidRPr="006431C4" w14:paraId="379AF72F" w14:textId="77777777" w:rsidTr="005F616C">
        <w:tc>
          <w:tcPr>
            <w:tcW w:w="1560" w:type="dxa"/>
          </w:tcPr>
          <w:p w14:paraId="1747020A"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40 ≤ E &lt; 100</w:t>
            </w:r>
          </w:p>
        </w:tc>
        <w:tc>
          <w:tcPr>
            <w:tcW w:w="1701" w:type="dxa"/>
          </w:tcPr>
          <w:p w14:paraId="1A2607A3"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100 ≤ E &lt; 400</w:t>
            </w:r>
          </w:p>
        </w:tc>
        <w:tc>
          <w:tcPr>
            <w:tcW w:w="1701" w:type="dxa"/>
          </w:tcPr>
          <w:p w14:paraId="3FFFAF10"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400 ≤ E &lt; 1500</w:t>
            </w:r>
          </w:p>
        </w:tc>
        <w:tc>
          <w:tcPr>
            <w:tcW w:w="1984" w:type="dxa"/>
          </w:tcPr>
          <w:p w14:paraId="4EEBD127"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1500 ≤ E &lt; 3000</w:t>
            </w:r>
          </w:p>
        </w:tc>
        <w:tc>
          <w:tcPr>
            <w:tcW w:w="1843" w:type="dxa"/>
          </w:tcPr>
          <w:p w14:paraId="47C3A4ED"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3000 ≤ E &lt; 9000</w:t>
            </w:r>
          </w:p>
        </w:tc>
      </w:tr>
    </w:tbl>
    <w:p w14:paraId="4F098CCE" w14:textId="77777777" w:rsidR="00413F29" w:rsidRPr="006431C4" w:rsidRDefault="00413F29" w:rsidP="00270120">
      <w:pPr>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rPr>
        <w:t>*</w:t>
      </w:r>
      <w:r w:rsidRPr="006431C4">
        <w:rPr>
          <w:rFonts w:cs="Arial"/>
          <w:szCs w:val="20"/>
        </w:rPr>
        <w:tab/>
        <w:t>Klasy E2, E3, E4 oraz E5 są porównywalne odpowiednio do klas L1, L2, L3 oraz L4 znaków podświetlanych.</w:t>
      </w:r>
    </w:p>
    <w:p w14:paraId="3C6BA6A9" w14:textId="77777777" w:rsidR="00413F29" w:rsidRPr="006431C4" w:rsidRDefault="00413F29" w:rsidP="00270120">
      <w:pPr>
        <w:overflowPunct w:val="0"/>
        <w:autoSpaceDE w:val="0"/>
        <w:autoSpaceDN w:val="0"/>
        <w:adjustRightInd w:val="0"/>
        <w:spacing w:line="240" w:lineRule="auto"/>
        <w:jc w:val="both"/>
        <w:textAlignment w:val="baseline"/>
        <w:rPr>
          <w:rFonts w:cs="Arial"/>
          <w:bCs/>
          <w:szCs w:val="20"/>
        </w:rPr>
      </w:pPr>
      <w:r w:rsidRPr="006431C4">
        <w:rPr>
          <w:rFonts w:cs="Arial"/>
          <w:bCs/>
          <w:szCs w:val="20"/>
        </w:rPr>
        <w:tab/>
        <w:t>Równomierność natężenia oświetlenia, określana jest jako stosunek zmierzonej najniższej wartości do najwyższej wartości natężenia oświetlenia w dowolnej części znaku, powinna odpowiadać wartościom podanym w tablicy 9.</w:t>
      </w:r>
    </w:p>
    <w:p w14:paraId="08E5637C" w14:textId="77777777" w:rsidR="00413F29" w:rsidRPr="006431C4" w:rsidRDefault="00413F29" w:rsidP="00270120">
      <w:pPr>
        <w:overflowPunct w:val="0"/>
        <w:autoSpaceDE w:val="0"/>
        <w:autoSpaceDN w:val="0"/>
        <w:adjustRightInd w:val="0"/>
        <w:spacing w:line="240" w:lineRule="auto"/>
        <w:ind w:left="1021" w:hanging="1021"/>
        <w:jc w:val="both"/>
        <w:textAlignment w:val="baseline"/>
        <w:rPr>
          <w:rFonts w:cs="Arial"/>
          <w:bCs/>
          <w:szCs w:val="20"/>
        </w:rPr>
      </w:pPr>
      <w:r w:rsidRPr="006431C4">
        <w:rPr>
          <w:rFonts w:cs="Arial"/>
          <w:bCs/>
          <w:szCs w:val="20"/>
        </w:rPr>
        <w:t>Tablica 9.</w:t>
      </w:r>
      <w:r w:rsidRPr="006431C4">
        <w:rPr>
          <w:rFonts w:cs="Arial"/>
          <w:bCs/>
          <w:szCs w:val="20"/>
        </w:rPr>
        <w:tab/>
        <w:t>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413F29" w:rsidRPr="006431C4" w14:paraId="28985EB6" w14:textId="77777777" w:rsidTr="005F616C">
        <w:tc>
          <w:tcPr>
            <w:tcW w:w="3072" w:type="dxa"/>
          </w:tcPr>
          <w:p w14:paraId="63264777"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UE1*</w:t>
            </w:r>
          </w:p>
        </w:tc>
        <w:tc>
          <w:tcPr>
            <w:tcW w:w="3073" w:type="dxa"/>
          </w:tcPr>
          <w:p w14:paraId="4E907BA4"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UE2</w:t>
            </w:r>
          </w:p>
        </w:tc>
        <w:tc>
          <w:tcPr>
            <w:tcW w:w="2699" w:type="dxa"/>
          </w:tcPr>
          <w:p w14:paraId="17E4337F"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Klasa UE3</w:t>
            </w:r>
          </w:p>
        </w:tc>
      </w:tr>
      <w:tr w:rsidR="00413F29" w:rsidRPr="006431C4" w14:paraId="172B5753" w14:textId="77777777" w:rsidTr="005F616C">
        <w:tc>
          <w:tcPr>
            <w:tcW w:w="3072" w:type="dxa"/>
          </w:tcPr>
          <w:p w14:paraId="78764235"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UE ≥ 1/10</w:t>
            </w:r>
          </w:p>
        </w:tc>
        <w:tc>
          <w:tcPr>
            <w:tcW w:w="3073" w:type="dxa"/>
          </w:tcPr>
          <w:p w14:paraId="6BD6E024"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UE ≥ 1/6</w:t>
            </w:r>
          </w:p>
        </w:tc>
        <w:tc>
          <w:tcPr>
            <w:tcW w:w="2699" w:type="dxa"/>
          </w:tcPr>
          <w:p w14:paraId="2D61ACB5"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UE ≥ 1/3</w:t>
            </w:r>
          </w:p>
        </w:tc>
      </w:tr>
    </w:tbl>
    <w:p w14:paraId="74C1CE23" w14:textId="77777777" w:rsidR="00413F29" w:rsidRPr="006431C4" w:rsidRDefault="00413F29" w:rsidP="00270120">
      <w:pPr>
        <w:overflowPunct w:val="0"/>
        <w:autoSpaceDE w:val="0"/>
        <w:autoSpaceDN w:val="0"/>
        <w:adjustRightInd w:val="0"/>
        <w:spacing w:line="240" w:lineRule="auto"/>
        <w:ind w:left="284" w:hanging="284"/>
        <w:jc w:val="both"/>
        <w:textAlignment w:val="baseline"/>
        <w:rPr>
          <w:rFonts w:cs="Arial"/>
          <w:szCs w:val="20"/>
        </w:rPr>
      </w:pPr>
      <w:r w:rsidRPr="006431C4">
        <w:rPr>
          <w:rFonts w:cs="Arial"/>
          <w:szCs w:val="20"/>
        </w:rPr>
        <w:t xml:space="preserve">* </w:t>
      </w:r>
      <w:r w:rsidRPr="006431C4">
        <w:rPr>
          <w:rFonts w:cs="Arial"/>
          <w:szCs w:val="20"/>
        </w:rPr>
        <w:tab/>
        <w:t>Klasy UE1, UE2 oraz UE3 są porównywalne odpowiednio do klas U1, U2 oraz U3 dla znaków podświetlanych.</w:t>
      </w:r>
    </w:p>
    <w:p w14:paraId="4A0DFD6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Tarcze znaków oświetlonych zewnętrznie i znaki drogowe powinny spełniać wymagania podane w tablicy 1.</w:t>
      </w:r>
    </w:p>
    <w:p w14:paraId="15BEB5B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Oznaczenia na naklejce oprawy muszą spełniać wymagania określone w punkcie 2.8.1.</w:t>
      </w:r>
    </w:p>
    <w:p w14:paraId="504E7696"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Zewnętrzne oprawy oświetleniowe powinny być zgodne z PN-EN 60598-1:2015-04 [15]. Minimalnym poziomem zabezpieczenia konstrukcji wsporczych znaków, skrzynek elektrycznych zawierających urządzenia elektryczne, obudów znaków podświetlanych, opraw oświetleniowych i ich obudów przed przenikaniem kurzu i wody, określonym w PN-EN 60529:2003 [14], powinien być poziom 2 dla cząstek stałych i poziom 3 dla wody. Podstawą do określenia tych poziomów minimalnych powinien być poziom IP podany w wymaganiach klienta lub nabywcy. Zaleca się, aby oprawa była zbudowana jako zamknięta, o stopniu ochrony IP-65 dla komory lampowej i co najmniej IP-23 dla komory statecznika wg [14].</w:t>
      </w:r>
    </w:p>
    <w:p w14:paraId="6D284669"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Projekt strukturalny powinien zawierać całą konstrukcję obejmującą obudowę, słupek i zamocowania. Lampy powinny być zabezpieczone obudową osłaniającą od deszczu, wiatru i innych niesprzyjających warunków zewnętrznych. Obudowy lamp i panele oświetleniowe powinny być zgodne z PN-EN 12899-1:2010 [1].</w:t>
      </w:r>
    </w:p>
    <w:p w14:paraId="3D2215E4"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Oprawa oświetleniowa powinna spełniać ponadto następujące wymagania :</w:t>
      </w:r>
    </w:p>
    <w:p w14:paraId="5FAEAD75" w14:textId="77777777" w:rsidR="00413F29" w:rsidRPr="006431C4" w:rsidRDefault="00413F29" w:rsidP="00CF1E7D">
      <w:pPr>
        <w:numPr>
          <w:ilvl w:val="0"/>
          <w:numId w:val="188"/>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dla opraw zawieszanych na wysokości poniżej </w:t>
      </w:r>
      <w:smartTag w:uri="urn:schemas-microsoft-com:office:smarttags" w:element="metricconverter">
        <w:smartTagPr>
          <w:attr w:name="ProductID" w:val="2,5 m"/>
        </w:smartTagPr>
        <w:r w:rsidRPr="006431C4">
          <w:rPr>
            <w:rFonts w:cs="Arial"/>
            <w:szCs w:val="20"/>
          </w:rPr>
          <w:t>2,5 m</w:t>
        </w:r>
      </w:smartTag>
      <w:r w:rsidRPr="006431C4">
        <w:rPr>
          <w:rFonts w:cs="Arial"/>
          <w:szCs w:val="20"/>
        </w:rPr>
        <w:t xml:space="preserve"> klosz oprawy powinien być wykonany z materiałów odpornych na uszkodzenia mechaniczne,</w:t>
      </w:r>
    </w:p>
    <w:p w14:paraId="4B415558" w14:textId="77777777" w:rsidR="00413F29" w:rsidRPr="006431C4" w:rsidRDefault="00413F29" w:rsidP="00CF1E7D">
      <w:pPr>
        <w:numPr>
          <w:ilvl w:val="0"/>
          <w:numId w:val="188"/>
        </w:num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w oznaczeniu oprawy musi być podany rok produkcji.</w:t>
      </w:r>
    </w:p>
    <w:p w14:paraId="2473E3C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0CF5A50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2.9.2. </w:t>
      </w:r>
      <w:r w:rsidRPr="006431C4">
        <w:rPr>
          <w:rFonts w:cs="Arial"/>
          <w:szCs w:val="20"/>
        </w:rPr>
        <w:t>Lico znaku oświetlonego</w:t>
      </w:r>
    </w:p>
    <w:p w14:paraId="46C8DAA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Wymagania dotyczące lica znaku oświetlanego ustala się jak dla znaku podświetlanego (pkt 2.8.1).</w:t>
      </w:r>
    </w:p>
    <w:p w14:paraId="227A1696"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2.10. Aktywne pionowe znaki drogowe</w:t>
      </w:r>
    </w:p>
    <w:p w14:paraId="40C1360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Aktywne znaki drogowe pionowe mogą występować w grupie wielkości znaków: D, S i M określonych w odrębnych przepisach [19]. W Zaleceniach I-80 IBDiM [28] ograniczono zakres stosowania znaków aktywnych do: A-30, B-20, B-33, C-9, C-10, T-18 oraz do tablic i słupków U-3, U-5c, U-6a, U-6b, U-9a, U-9b i U-9c.</w:t>
      </w:r>
    </w:p>
    <w:p w14:paraId="4F41C96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Aktywny znak drogowy składa się z lica, tarczy z umieszczonymi pulsującymi punktowymi źródłami światła, uchwytu montażowego, konstrukcji wsporczej oraz oddzielnego układu elektrycznego sterującego znakiem.</w:t>
      </w:r>
    </w:p>
    <w:p w14:paraId="29D997F1"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r>
      <w:r w:rsidRPr="006431C4">
        <w:rPr>
          <w:rFonts w:cs="Arial"/>
          <w:bCs/>
          <w:szCs w:val="20"/>
        </w:rPr>
        <w:t>Układ elektryczny</w:t>
      </w:r>
      <w:r w:rsidRPr="006431C4">
        <w:rPr>
          <w:rFonts w:cs="Arial"/>
          <w:b/>
          <w:bCs/>
          <w:szCs w:val="20"/>
        </w:rPr>
        <w:t xml:space="preserve"> </w:t>
      </w:r>
      <w:r w:rsidRPr="006431C4">
        <w:rPr>
          <w:rFonts w:cs="Arial"/>
          <w:szCs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prądowym zgodnie z PN-HD 60364-1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1BA6D29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Warunki stosowania aktywnych znaków drogowych są takie same jak dla pionowych stałych odblaskowych znaków drogowych oraz urządzeń bezpieczeństwa ruchu drogowego, które zostały określone w Załącznikach nr 1 i 4 do rozporządzenia Ministra Infrastruktury [19].</w:t>
      </w:r>
    </w:p>
    <w:p w14:paraId="69EAB79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6C92CF0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Wszystkie aktywne znaki drogowe powinny być zasilane napięciem bezpiecznym tj. :</w:t>
      </w:r>
    </w:p>
    <w:p w14:paraId="571E6829" w14:textId="77777777" w:rsidR="00413F29" w:rsidRPr="006431C4" w:rsidRDefault="00413F29" w:rsidP="00CF1E7D">
      <w:pPr>
        <w:numPr>
          <w:ilvl w:val="0"/>
          <w:numId w:val="189"/>
        </w:numPr>
        <w:overflowPunct w:val="0"/>
        <w:autoSpaceDE w:val="0"/>
        <w:autoSpaceDN w:val="0"/>
        <w:adjustRightInd w:val="0"/>
        <w:spacing w:line="240" w:lineRule="auto"/>
        <w:jc w:val="both"/>
        <w:textAlignment w:val="baseline"/>
        <w:rPr>
          <w:rFonts w:cs="Arial"/>
          <w:szCs w:val="20"/>
        </w:rPr>
      </w:pPr>
      <w:r w:rsidRPr="006431C4">
        <w:rPr>
          <w:rFonts w:cs="Arial"/>
          <w:szCs w:val="20"/>
        </w:rPr>
        <w:t>dla prądu przemiennego nie większym niż 25 V,</w:t>
      </w:r>
    </w:p>
    <w:p w14:paraId="448ED485" w14:textId="77777777" w:rsidR="00413F29" w:rsidRPr="006431C4" w:rsidRDefault="00413F29" w:rsidP="00CF1E7D">
      <w:pPr>
        <w:numPr>
          <w:ilvl w:val="0"/>
          <w:numId w:val="189"/>
        </w:numPr>
        <w:overflowPunct w:val="0"/>
        <w:autoSpaceDE w:val="0"/>
        <w:autoSpaceDN w:val="0"/>
        <w:adjustRightInd w:val="0"/>
        <w:spacing w:line="240" w:lineRule="auto"/>
        <w:jc w:val="both"/>
        <w:textAlignment w:val="baseline"/>
        <w:rPr>
          <w:rFonts w:cs="Arial"/>
          <w:szCs w:val="20"/>
        </w:rPr>
      </w:pPr>
      <w:r w:rsidRPr="006431C4">
        <w:rPr>
          <w:rFonts w:cs="Arial"/>
          <w:szCs w:val="20"/>
        </w:rPr>
        <w:t>dla prądu stałego nie większym niż 60 V.</w:t>
      </w:r>
    </w:p>
    <w:p w14:paraId="367BD42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Alternatywnym źródłem prądu mogą być :</w:t>
      </w:r>
    </w:p>
    <w:p w14:paraId="47877E5D" w14:textId="77777777" w:rsidR="00413F29" w:rsidRPr="006431C4" w:rsidRDefault="00413F29" w:rsidP="00CF1E7D">
      <w:pPr>
        <w:numPr>
          <w:ilvl w:val="0"/>
          <w:numId w:val="190"/>
        </w:numPr>
        <w:overflowPunct w:val="0"/>
        <w:autoSpaceDE w:val="0"/>
        <w:autoSpaceDN w:val="0"/>
        <w:adjustRightInd w:val="0"/>
        <w:spacing w:line="240" w:lineRule="auto"/>
        <w:jc w:val="both"/>
        <w:textAlignment w:val="baseline"/>
        <w:rPr>
          <w:rFonts w:cs="Arial"/>
          <w:szCs w:val="20"/>
        </w:rPr>
      </w:pPr>
      <w:r w:rsidRPr="006431C4">
        <w:rPr>
          <w:rFonts w:cs="Arial"/>
          <w:szCs w:val="20"/>
        </w:rPr>
        <w:t>wymienne baterie akumulatorów,</w:t>
      </w:r>
    </w:p>
    <w:p w14:paraId="3407A295" w14:textId="77777777" w:rsidR="00413F29" w:rsidRPr="006431C4" w:rsidRDefault="00413F29" w:rsidP="00CF1E7D">
      <w:pPr>
        <w:numPr>
          <w:ilvl w:val="0"/>
          <w:numId w:val="190"/>
        </w:numPr>
        <w:overflowPunct w:val="0"/>
        <w:autoSpaceDE w:val="0"/>
        <w:autoSpaceDN w:val="0"/>
        <w:adjustRightInd w:val="0"/>
        <w:spacing w:line="240" w:lineRule="auto"/>
        <w:jc w:val="both"/>
        <w:textAlignment w:val="baseline"/>
        <w:rPr>
          <w:rFonts w:cs="Arial"/>
          <w:szCs w:val="20"/>
        </w:rPr>
      </w:pPr>
      <w:r w:rsidRPr="006431C4">
        <w:rPr>
          <w:rFonts w:cs="Arial"/>
          <w:szCs w:val="20"/>
        </w:rPr>
        <w:t>panele fotowoltaiczne,</w:t>
      </w:r>
    </w:p>
    <w:p w14:paraId="23F4FE14" w14:textId="77777777" w:rsidR="00413F29" w:rsidRPr="006431C4" w:rsidRDefault="00413F29" w:rsidP="00CF1E7D">
      <w:pPr>
        <w:numPr>
          <w:ilvl w:val="0"/>
          <w:numId w:val="191"/>
        </w:numPr>
        <w:overflowPunct w:val="0"/>
        <w:autoSpaceDE w:val="0"/>
        <w:autoSpaceDN w:val="0"/>
        <w:adjustRightInd w:val="0"/>
        <w:spacing w:line="240" w:lineRule="auto"/>
        <w:jc w:val="both"/>
        <w:textAlignment w:val="baseline"/>
        <w:rPr>
          <w:rFonts w:cs="Arial"/>
          <w:szCs w:val="20"/>
        </w:rPr>
      </w:pPr>
      <w:r w:rsidRPr="006431C4">
        <w:rPr>
          <w:rFonts w:cs="Arial"/>
          <w:szCs w:val="20"/>
        </w:rPr>
        <w:t>generatory / turbiny wiatrowe,</w:t>
      </w:r>
    </w:p>
    <w:p w14:paraId="08C417D7" w14:textId="77777777" w:rsidR="00413F29" w:rsidRPr="006431C4" w:rsidRDefault="00413F29" w:rsidP="00CF1E7D">
      <w:pPr>
        <w:numPr>
          <w:ilvl w:val="0"/>
          <w:numId w:val="191"/>
        </w:numPr>
        <w:overflowPunct w:val="0"/>
        <w:autoSpaceDE w:val="0"/>
        <w:autoSpaceDN w:val="0"/>
        <w:adjustRightInd w:val="0"/>
        <w:spacing w:line="240" w:lineRule="auto"/>
        <w:jc w:val="both"/>
        <w:textAlignment w:val="baseline"/>
        <w:rPr>
          <w:rFonts w:cs="Arial"/>
          <w:szCs w:val="20"/>
        </w:rPr>
      </w:pPr>
      <w:r w:rsidRPr="006431C4">
        <w:rPr>
          <w:rFonts w:cs="Arial"/>
          <w:szCs w:val="20"/>
        </w:rPr>
        <w:t>układy hybrydowe (połączenie generatorów/turbin wiatrowych i paneli fotowoltaicznych).</w:t>
      </w:r>
    </w:p>
    <w:p w14:paraId="65D34D06"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Możliwe jest łączenie alternatywnych źródeł prądu tworząc w ten sposób układy hybrydowe (np. połączenie turbiny wiatrowej i panela fotowoltaicznego.</w:t>
      </w:r>
    </w:p>
    <w:p w14:paraId="763EC8A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Układ elektroniczny powinien mieć możliwość</w:t>
      </w:r>
      <w:r w:rsidRPr="006431C4">
        <w:rPr>
          <w:rFonts w:cs="Arial"/>
          <w:iCs/>
          <w:szCs w:val="20"/>
        </w:rPr>
        <w:t xml:space="preserve"> </w:t>
      </w:r>
      <w:r w:rsidRPr="006431C4">
        <w:rPr>
          <w:rFonts w:cs="Arial"/>
          <w:szCs w:val="20"/>
        </w:rPr>
        <w:t>regulacji częstotliwości pulsowania znaku od 0,25 Hz do 1Hz.</w:t>
      </w:r>
      <w:r w:rsidRPr="006431C4">
        <w:rPr>
          <w:rFonts w:cs="Arial"/>
          <w:bCs/>
          <w:szCs w:val="20"/>
        </w:rPr>
        <w:t xml:space="preserve"> Czas świecenia diod powinien zawierać się w przedziale od 25% do 50%</w:t>
      </w:r>
      <w:r w:rsidRPr="006431C4">
        <w:rPr>
          <w:rFonts w:cs="Arial"/>
          <w:szCs w:val="20"/>
        </w:rPr>
        <w:t xml:space="preserve">. </w:t>
      </w:r>
    </w:p>
    <w:p w14:paraId="61A58B75"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Punktowym źródłem światła może być dioda świecąca (LED) lub inny emiter światła barwy białej, żółtej lub czerwonej o średnicy nie większej niż 6 mm.</w:t>
      </w:r>
    </w:p>
    <w:p w14:paraId="26E3F606"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12621AF3"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Wiązka światła emitowana powinna być tak ukierunkowana, aby jej strumień był skierowany w kierunku nadjeżdżającego pojazdu. </w:t>
      </w:r>
    </w:p>
    <w:p w14:paraId="58B09CCA"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Punktowe źródło światła powinno charakteryzować się:</w:t>
      </w:r>
    </w:p>
    <w:p w14:paraId="0A7BDA49" w14:textId="77777777" w:rsidR="00413F29" w:rsidRPr="006431C4" w:rsidRDefault="00413F29" w:rsidP="00CF1E7D">
      <w:pPr>
        <w:numPr>
          <w:ilvl w:val="0"/>
          <w:numId w:val="192"/>
        </w:numPr>
        <w:tabs>
          <w:tab w:val="num" w:pos="1425"/>
        </w:tabs>
        <w:overflowPunct w:val="0"/>
        <w:autoSpaceDE w:val="0"/>
        <w:autoSpaceDN w:val="0"/>
        <w:adjustRightInd w:val="0"/>
        <w:spacing w:line="240" w:lineRule="auto"/>
        <w:jc w:val="both"/>
        <w:textAlignment w:val="baseline"/>
        <w:rPr>
          <w:rFonts w:cs="Arial"/>
          <w:szCs w:val="20"/>
        </w:rPr>
      </w:pPr>
      <w:r w:rsidRPr="006431C4">
        <w:rPr>
          <w:rFonts w:cs="Arial"/>
          <w:szCs w:val="20"/>
        </w:rPr>
        <w:t>poziomym kątem rozsyłu strumienia świetlnego: od 10</w:t>
      </w:r>
      <w:r w:rsidRPr="006431C4">
        <w:rPr>
          <w:rFonts w:cs="Arial"/>
          <w:szCs w:val="20"/>
          <w:vertAlign w:val="superscript"/>
        </w:rPr>
        <w:t>o</w:t>
      </w:r>
      <w:r w:rsidRPr="006431C4">
        <w:rPr>
          <w:rFonts w:cs="Arial"/>
          <w:szCs w:val="20"/>
        </w:rPr>
        <w:t xml:space="preserve"> do 30</w:t>
      </w:r>
      <w:r w:rsidRPr="006431C4">
        <w:rPr>
          <w:rFonts w:cs="Arial"/>
          <w:szCs w:val="20"/>
          <w:vertAlign w:val="superscript"/>
        </w:rPr>
        <w:t>o</w:t>
      </w:r>
      <w:r w:rsidRPr="006431C4">
        <w:rPr>
          <w:rFonts w:cs="Arial"/>
          <w:b/>
          <w:bCs/>
          <w:szCs w:val="20"/>
        </w:rPr>
        <w:t xml:space="preserve"> ,</w:t>
      </w:r>
    </w:p>
    <w:p w14:paraId="4C71E162" w14:textId="77777777" w:rsidR="00413F29" w:rsidRPr="006431C4" w:rsidRDefault="00413F29" w:rsidP="00CF1E7D">
      <w:pPr>
        <w:numPr>
          <w:ilvl w:val="0"/>
          <w:numId w:val="192"/>
        </w:numPr>
        <w:tabs>
          <w:tab w:val="num" w:pos="1425"/>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światłością: </w:t>
      </w:r>
      <w:r w:rsidRPr="006431C4">
        <w:rPr>
          <w:rFonts w:cs="Arial"/>
          <w:bCs/>
          <w:szCs w:val="20"/>
        </w:rPr>
        <w:t>powyżej 2000 m</w:t>
      </w:r>
      <w:r w:rsidRPr="006431C4">
        <w:rPr>
          <w:rFonts w:cs="Arial"/>
          <w:szCs w:val="20"/>
        </w:rPr>
        <w:t>cd i nie większą niż 8000 mcd,</w:t>
      </w:r>
    </w:p>
    <w:p w14:paraId="47E055A7" w14:textId="77777777" w:rsidR="00413F29" w:rsidRPr="006431C4" w:rsidRDefault="00413F29" w:rsidP="00CF1E7D">
      <w:pPr>
        <w:numPr>
          <w:ilvl w:val="0"/>
          <w:numId w:val="192"/>
        </w:numPr>
        <w:tabs>
          <w:tab w:val="num" w:pos="1425"/>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określoną długością fali wysyłanego światła: </w:t>
      </w:r>
    </w:p>
    <w:p w14:paraId="0442B479" w14:textId="77777777" w:rsidR="00413F29" w:rsidRPr="006431C4" w:rsidRDefault="00413F29" w:rsidP="00270120">
      <w:pPr>
        <w:overflowPunct w:val="0"/>
        <w:autoSpaceDE w:val="0"/>
        <w:autoSpaceDN w:val="0"/>
        <w:adjustRightInd w:val="0"/>
        <w:spacing w:line="240" w:lineRule="auto"/>
        <w:ind w:left="709"/>
        <w:jc w:val="both"/>
        <w:textAlignment w:val="baseline"/>
        <w:rPr>
          <w:rFonts w:cs="Arial"/>
          <w:szCs w:val="20"/>
        </w:rPr>
      </w:pPr>
      <w:r w:rsidRPr="006431C4">
        <w:rPr>
          <w:rFonts w:cs="Arial"/>
          <w:szCs w:val="20"/>
        </w:rPr>
        <w:t xml:space="preserve">barwa żółta – (590 ± 5) nm, </w:t>
      </w:r>
    </w:p>
    <w:p w14:paraId="0E124068" w14:textId="77777777" w:rsidR="00413F29" w:rsidRPr="006431C4" w:rsidRDefault="00413F29" w:rsidP="00270120">
      <w:pPr>
        <w:overflowPunct w:val="0"/>
        <w:autoSpaceDE w:val="0"/>
        <w:autoSpaceDN w:val="0"/>
        <w:adjustRightInd w:val="0"/>
        <w:spacing w:line="240" w:lineRule="auto"/>
        <w:ind w:left="709"/>
        <w:jc w:val="both"/>
        <w:textAlignment w:val="baseline"/>
        <w:rPr>
          <w:rFonts w:cs="Arial"/>
          <w:szCs w:val="20"/>
        </w:rPr>
      </w:pPr>
      <w:r w:rsidRPr="006431C4">
        <w:rPr>
          <w:rFonts w:cs="Arial"/>
          <w:szCs w:val="20"/>
        </w:rPr>
        <w:t xml:space="preserve">barwa czerwona (625 ± 5) nm, </w:t>
      </w:r>
    </w:p>
    <w:p w14:paraId="6D3D7CF7" w14:textId="77777777" w:rsidR="00413F29" w:rsidRPr="006431C4" w:rsidRDefault="00413F29" w:rsidP="00270120">
      <w:pPr>
        <w:overflowPunct w:val="0"/>
        <w:autoSpaceDE w:val="0"/>
        <w:autoSpaceDN w:val="0"/>
        <w:adjustRightInd w:val="0"/>
        <w:spacing w:line="240" w:lineRule="auto"/>
        <w:ind w:left="709"/>
        <w:jc w:val="both"/>
        <w:textAlignment w:val="baseline"/>
        <w:rPr>
          <w:rFonts w:cs="Arial"/>
          <w:szCs w:val="20"/>
        </w:rPr>
      </w:pPr>
      <w:r w:rsidRPr="006431C4">
        <w:rPr>
          <w:rFonts w:cs="Arial"/>
          <w:szCs w:val="20"/>
        </w:rPr>
        <w:t>barwa biała – rozkład zbliżony do V(λ).</w:t>
      </w:r>
    </w:p>
    <w:p w14:paraId="6AF00FDB" w14:textId="77777777" w:rsidR="00413F29" w:rsidRPr="006431C4" w:rsidRDefault="00413F29" w:rsidP="00270120">
      <w:pPr>
        <w:overflowPunct w:val="0"/>
        <w:autoSpaceDE w:val="0"/>
        <w:autoSpaceDN w:val="0"/>
        <w:adjustRightInd w:val="0"/>
        <w:spacing w:line="240" w:lineRule="auto"/>
        <w:ind w:left="709"/>
        <w:jc w:val="both"/>
        <w:textAlignment w:val="baseline"/>
        <w:rPr>
          <w:rFonts w:cs="Arial"/>
          <w:szCs w:val="20"/>
        </w:rPr>
      </w:pPr>
      <w:r w:rsidRPr="006431C4">
        <w:rPr>
          <w:rFonts w:cs="Arial"/>
          <w:szCs w:val="20"/>
        </w:rPr>
        <w:t>Znak powinien charakteryzować się:</w:t>
      </w:r>
    </w:p>
    <w:p w14:paraId="169D35C7" w14:textId="77777777" w:rsidR="00413F29" w:rsidRPr="006431C4" w:rsidRDefault="00413F29" w:rsidP="00CF1E7D">
      <w:pPr>
        <w:numPr>
          <w:ilvl w:val="0"/>
          <w:numId w:val="193"/>
        </w:numPr>
        <w:overflowPunct w:val="0"/>
        <w:autoSpaceDE w:val="0"/>
        <w:autoSpaceDN w:val="0"/>
        <w:adjustRightInd w:val="0"/>
        <w:spacing w:line="240" w:lineRule="auto"/>
        <w:jc w:val="both"/>
        <w:textAlignment w:val="baseline"/>
        <w:rPr>
          <w:rFonts w:cs="Arial"/>
          <w:szCs w:val="20"/>
        </w:rPr>
      </w:pPr>
      <w:r w:rsidRPr="006431C4">
        <w:rPr>
          <w:rFonts w:cs="Arial"/>
          <w:szCs w:val="20"/>
        </w:rPr>
        <w:t>sterowaniem prądowym: prąd nie większy niż 50% prądu znamionowego,</w:t>
      </w:r>
    </w:p>
    <w:p w14:paraId="2824D874" w14:textId="77777777" w:rsidR="00413F29" w:rsidRPr="006431C4" w:rsidRDefault="00413F29" w:rsidP="00CF1E7D">
      <w:pPr>
        <w:numPr>
          <w:ilvl w:val="0"/>
          <w:numId w:val="193"/>
        </w:numPr>
        <w:overflowPunct w:val="0"/>
        <w:autoSpaceDE w:val="0"/>
        <w:autoSpaceDN w:val="0"/>
        <w:adjustRightInd w:val="0"/>
        <w:spacing w:line="240" w:lineRule="auto"/>
        <w:jc w:val="both"/>
        <w:textAlignment w:val="baseline"/>
        <w:rPr>
          <w:rFonts w:cs="Arial"/>
          <w:szCs w:val="20"/>
        </w:rPr>
      </w:pPr>
      <w:r w:rsidRPr="006431C4">
        <w:rPr>
          <w:rFonts w:cs="Arial"/>
          <w:szCs w:val="20"/>
        </w:rPr>
        <w:t>światłością znaku od 200 cd do 1000 cd [28].</w:t>
      </w:r>
    </w:p>
    <w:p w14:paraId="2890A6B8"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2.11. Materiały do montażu znaków</w:t>
      </w:r>
    </w:p>
    <w:p w14:paraId="5058ACB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Wszystkie uchwyty montażowe (np. uchwyty uniwersalne, obejmy do mocowania za krawędź) przewidywane do mocowania między sobą elementów konstrukcji wsporczych znaków także śruby, listwy, nakrętki itp. powinny być ocynkowane ogniowo lub wykonane z materiałów odpornych na korozję w czasie nie krótszym niż tarcza znaku </w:t>
      </w:r>
      <w:r w:rsidRPr="006431C4">
        <w:rPr>
          <w:rFonts w:cs="Arial"/>
          <w:szCs w:val="20"/>
        </w:rPr>
        <w:lastRenderedPageBreak/>
        <w:t>i konstrukcja wsporcza. Dopuszcza się także stosowanie certyfikowanych uchwytów plastikowych i taśm montażowych wykonanych ze stali nierdzewnych.</w:t>
      </w:r>
    </w:p>
    <w:p w14:paraId="74E7F54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 przypadku stosowania uchwytu uniwersalnego należy wyposażyć się w dodatkowe podkładki w kształcie miseczki, utrudniające demontaż znaku przez osoby niepowołane oraz specjalny klucz służący do przykręcania lub odkręcania nakrętek. Uchwyt uniwersalny umożliwia montaż na słupkach o średnicy od 50 cm do 76 cm. Jest on przykręcany śrubami do profilu montażowego umieszczonego na rewersie tarczy lub do zagiętej krawędzi znaku z otworami. Uchwyt stalowy mocujący za krawędź znaku dzięki dodatkowej stalowej belce umożliwia montaż bez konieczności robienia otworu w krawędzi znaku.</w:t>
      </w:r>
    </w:p>
    <w:p w14:paraId="01BA639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System mocowania przy użyciu taśmy stalowej np. </w:t>
      </w:r>
      <w:proofErr w:type="spellStart"/>
      <w:r w:rsidRPr="006431C4">
        <w:rPr>
          <w:rFonts w:cs="Arial"/>
          <w:szCs w:val="20"/>
        </w:rPr>
        <w:t>Bandimex</w:t>
      </w:r>
      <w:proofErr w:type="spellEnd"/>
      <w:r w:rsidRPr="006431C4">
        <w:rPr>
          <w:rFonts w:cs="Arial"/>
          <w:szCs w:val="20"/>
        </w:rPr>
        <w:t>, umożliwia mocowanie znaków na słupkach o dowolnej średnicy i konstrukcjach różnych rozmiarów z zastosowaniem przyrządu do napinania taśmy i zapinki łączącej końce taśmy.</w:t>
      </w:r>
    </w:p>
    <w:p w14:paraId="668C5360"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2.12. Przechowywanie i składowanie materiałów</w:t>
      </w:r>
    </w:p>
    <w:p w14:paraId="306785C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6431C4">
          <w:rPr>
            <w:rFonts w:cs="Arial"/>
            <w:szCs w:val="20"/>
          </w:rPr>
          <w:t>10 cm</w:t>
        </w:r>
      </w:smartTag>
      <w:r w:rsidRPr="006431C4">
        <w:rPr>
          <w:rFonts w:cs="Arial"/>
          <w:szCs w:val="20"/>
        </w:rPr>
        <w:t xml:space="preserve"> między podłożem a prefabrykatem.</w:t>
      </w:r>
    </w:p>
    <w:p w14:paraId="0E853151"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Znaki powinny być przechowywane na regałach w pomieszczeniach suchych, z dala od materiałów działających korodująco i w warunkach zabezpieczających przed uszkodzeniami.</w:t>
      </w:r>
    </w:p>
    <w:p w14:paraId="26C19F1C" w14:textId="77777777" w:rsidR="00413F29" w:rsidRPr="006431C4" w:rsidRDefault="00413F29"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34" w:name="_Toc505581986"/>
      <w:r w:rsidRPr="006431C4">
        <w:rPr>
          <w:rFonts w:cs="Arial"/>
          <w:b/>
          <w:caps/>
          <w:kern w:val="28"/>
          <w:szCs w:val="20"/>
        </w:rPr>
        <w:t>3. Sprzęt</w:t>
      </w:r>
      <w:bookmarkEnd w:id="1034"/>
    </w:p>
    <w:p w14:paraId="6D01AEDD"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3.1. Ogólne wymagania dotyczące sprzętu</w:t>
      </w:r>
    </w:p>
    <w:p w14:paraId="749E4F3D"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sprzętu podano w SST  D-M-00.00.00 „Wymagania ogólne” pkt 3.</w:t>
      </w:r>
    </w:p>
    <w:p w14:paraId="7852DA35"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3.2. Sprzęt do wykonania oznakowania pionowego</w:t>
      </w:r>
    </w:p>
    <w:p w14:paraId="1D8A179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Wykonawca przystępujący do wykonania oznakowania pionowego powinien wykazać się możliwością korzystania z następującego sprzętu:</w:t>
      </w:r>
    </w:p>
    <w:p w14:paraId="55B8E5AF"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wiertnicy do wykonywania dołów pod słupki w gruncie spoistym,</w:t>
      </w:r>
    </w:p>
    <w:p w14:paraId="315049E2"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młota pneumatycznego,</w:t>
      </w:r>
    </w:p>
    <w:p w14:paraId="702F3EBC"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betoniarek przewoźnych do wykonywania fundamentów betonowych „na mokro”,</w:t>
      </w:r>
    </w:p>
    <w:p w14:paraId="5F86B81E"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środków transportowych do przewozu materiałów,</w:t>
      </w:r>
    </w:p>
    <w:p w14:paraId="4E52409F"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przewoźnych zbiorników na wodę,</w:t>
      </w:r>
    </w:p>
    <w:p w14:paraId="4485F8EA"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sprzętu spawalniczego, itp.</w:t>
      </w:r>
    </w:p>
    <w:p w14:paraId="62AB0B16"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sprzętu pomocniczego, jak np. drabiny, łopaty, poziomnice,</w:t>
      </w:r>
    </w:p>
    <w:p w14:paraId="56D54247"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zagęszczarki do gruntu,</w:t>
      </w:r>
    </w:p>
    <w:p w14:paraId="4E5C7E3A"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urządzeń bezpieczeństwa ruchu do oznakowania i zabezpieczenia robót,</w:t>
      </w:r>
    </w:p>
    <w:p w14:paraId="4D634824"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niwelatora, jeśli jest potrzebny,</w:t>
      </w:r>
    </w:p>
    <w:p w14:paraId="74D37B72"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sprzętu dodatkowego zaleconego przez ST.</w:t>
      </w:r>
    </w:p>
    <w:p w14:paraId="7033B39B"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W przypadku wykonywania znaków wielkopowierzchniowych Wykonawca powinien dysponować:</w:t>
      </w:r>
    </w:p>
    <w:p w14:paraId="0A7E306E"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koparką kołową, np. </w:t>
      </w:r>
      <w:smartTag w:uri="urn:schemas-microsoft-com:office:smarttags" w:element="metricconverter">
        <w:smartTagPr>
          <w:attr w:name="ProductID" w:val="0,15 m3"/>
        </w:smartTagPr>
        <w:r w:rsidRPr="006431C4">
          <w:rPr>
            <w:rFonts w:cs="Arial"/>
            <w:szCs w:val="20"/>
          </w:rPr>
          <w:t>0,15 m</w:t>
        </w:r>
        <w:r w:rsidRPr="006431C4">
          <w:rPr>
            <w:rFonts w:cs="Arial"/>
            <w:szCs w:val="20"/>
            <w:vertAlign w:val="superscript"/>
          </w:rPr>
          <w:t>3</w:t>
        </w:r>
      </w:smartTag>
      <w:r w:rsidRPr="006431C4">
        <w:rPr>
          <w:rFonts w:cs="Arial"/>
          <w:szCs w:val="20"/>
        </w:rPr>
        <w:t xml:space="preserve"> lub koparką gąsienicową, np. 0,25 m</w:t>
      </w:r>
      <w:r w:rsidRPr="006431C4">
        <w:rPr>
          <w:rFonts w:cs="Arial"/>
          <w:szCs w:val="20"/>
          <w:vertAlign w:val="superscript"/>
        </w:rPr>
        <w:t xml:space="preserve">3 </w:t>
      </w:r>
      <w:r w:rsidRPr="006431C4">
        <w:rPr>
          <w:rFonts w:cs="Arial"/>
          <w:szCs w:val="20"/>
        </w:rPr>
        <w:t>,</w:t>
      </w:r>
    </w:p>
    <w:p w14:paraId="2614ADD3" w14:textId="77777777" w:rsidR="00413F29" w:rsidRPr="006431C4" w:rsidRDefault="00413F29" w:rsidP="00CF1E7D">
      <w:pPr>
        <w:numPr>
          <w:ilvl w:val="0"/>
          <w:numId w:val="194"/>
        </w:numPr>
        <w:overflowPunct w:val="0"/>
        <w:autoSpaceDE w:val="0"/>
        <w:autoSpaceDN w:val="0"/>
        <w:adjustRightInd w:val="0"/>
        <w:spacing w:line="240" w:lineRule="auto"/>
        <w:jc w:val="both"/>
        <w:textAlignment w:val="baseline"/>
        <w:rPr>
          <w:rFonts w:cs="Arial"/>
          <w:szCs w:val="20"/>
        </w:rPr>
      </w:pPr>
      <w:r w:rsidRPr="006431C4">
        <w:rPr>
          <w:rFonts w:cs="Arial"/>
          <w:szCs w:val="20"/>
        </w:rPr>
        <w:t>podnośnikiem montażowym samochodowym.</w:t>
      </w:r>
    </w:p>
    <w:p w14:paraId="025D448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Wykonawca musi wskazać osoby, które będą uczestniczyć w wykonywaniu zamówienia, legitymujące się kwalifikacjami zawodowymi, doświadczeniem odpowiednim do funkcji jakie im zostaną powierzone: zgodnie z zapisami Rozdziału 2 ustawy Prawo budowlane [29].</w:t>
      </w:r>
    </w:p>
    <w:p w14:paraId="4F1AD6D1" w14:textId="77777777" w:rsidR="00413F29" w:rsidRPr="006431C4" w:rsidRDefault="00413F29"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35" w:name="_Toc505581987"/>
      <w:r w:rsidRPr="006431C4">
        <w:rPr>
          <w:rFonts w:cs="Arial"/>
          <w:b/>
          <w:caps/>
          <w:kern w:val="28"/>
          <w:szCs w:val="20"/>
        </w:rPr>
        <w:t>4. Transport</w:t>
      </w:r>
      <w:bookmarkEnd w:id="1035"/>
    </w:p>
    <w:p w14:paraId="53AFFFB8"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4.1. Ogólne wymagania dotyczące transportu</w:t>
      </w:r>
    </w:p>
    <w:p w14:paraId="21F226FD"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wymagania dotyczące transportu podano w SST D-M-00.00.00 „Wymagania ogólne” pkt 4.</w:t>
      </w:r>
    </w:p>
    <w:p w14:paraId="61CE7606"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4.2. Transport znaków do pionowego oznakowania dróg</w:t>
      </w:r>
    </w:p>
    <w:p w14:paraId="4892B446" w14:textId="77777777" w:rsidR="00413F29" w:rsidRPr="006431C4" w:rsidRDefault="00413F29" w:rsidP="00270120">
      <w:pPr>
        <w:widowControl w:val="0"/>
        <w:autoSpaceDN w:val="0"/>
        <w:spacing w:line="240" w:lineRule="auto"/>
        <w:ind w:firstLine="709"/>
        <w:jc w:val="both"/>
        <w:textAlignment w:val="baseline"/>
        <w:rPr>
          <w:rFonts w:cs="Arial"/>
          <w:szCs w:val="20"/>
        </w:rPr>
      </w:pPr>
      <w:r w:rsidRPr="006431C4">
        <w:rPr>
          <w:rFonts w:cs="Arial"/>
          <w:szCs w:val="20"/>
        </w:rPr>
        <w:t xml:space="preserve">Zestawy znaków drogowych i poszczególne ich części należy na okres transportu odpowiednio zabezpieczyć, chroniąc przed uszkodzeniem mechanicznym, tak aby nie ulegały przemieszczaniu i w sposób nie uszkodzony dotarły do odbiorcy. Szczególnie starannie należy zabezpieczyć powierzchnie lic tarcz znaków przed uszkodzeniem. </w:t>
      </w:r>
    </w:p>
    <w:p w14:paraId="3F1AB114" w14:textId="77777777" w:rsidR="00413F29" w:rsidRPr="006431C4" w:rsidRDefault="00413F29"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36" w:name="_Toc505581988"/>
      <w:r w:rsidRPr="006431C4">
        <w:rPr>
          <w:rFonts w:cs="Arial"/>
          <w:b/>
          <w:caps/>
          <w:kern w:val="28"/>
          <w:szCs w:val="20"/>
        </w:rPr>
        <w:t>5. Wykonanie robót</w:t>
      </w:r>
      <w:bookmarkEnd w:id="1036"/>
    </w:p>
    <w:p w14:paraId="7E082953"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5.1. Ogólne zasady wykonania robót</w:t>
      </w:r>
    </w:p>
    <w:p w14:paraId="1A2645EC"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wykonania robót podano w SST D-M-00.00.00 „Wymagania ogólne” pkt 5.</w:t>
      </w:r>
    </w:p>
    <w:p w14:paraId="49553072"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5.2. Roboty przygotowawcze</w:t>
      </w:r>
    </w:p>
    <w:p w14:paraId="64306AB7"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Przed przystąpieniem do robót po przejęciu placu budowy należy:</w:t>
      </w:r>
    </w:p>
    <w:p w14:paraId="307ADE80" w14:textId="77777777" w:rsidR="00413F29" w:rsidRPr="006431C4" w:rsidRDefault="00413F29" w:rsidP="00CF1E7D">
      <w:pPr>
        <w:numPr>
          <w:ilvl w:val="0"/>
          <w:numId w:val="195"/>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wyznaczyć lokalizację znaku, tj. jego </w:t>
      </w:r>
      <w:proofErr w:type="spellStart"/>
      <w:r w:rsidRPr="006431C4">
        <w:rPr>
          <w:rFonts w:cs="Arial"/>
          <w:szCs w:val="20"/>
        </w:rPr>
        <w:t>pikietaż</w:t>
      </w:r>
      <w:proofErr w:type="spellEnd"/>
      <w:r w:rsidRPr="006431C4">
        <w:rPr>
          <w:rFonts w:cs="Arial"/>
          <w:szCs w:val="20"/>
        </w:rPr>
        <w:t xml:space="preserve"> oraz odległość od krawędzi jezdni, krawędzi pobocza umocnionego lub pasa awaryjnego postoju,</w:t>
      </w:r>
    </w:p>
    <w:p w14:paraId="74B69D2D" w14:textId="77777777" w:rsidR="00413F29" w:rsidRPr="006431C4" w:rsidRDefault="00413F29" w:rsidP="00CF1E7D">
      <w:pPr>
        <w:numPr>
          <w:ilvl w:val="0"/>
          <w:numId w:val="195"/>
        </w:numPr>
        <w:overflowPunct w:val="0"/>
        <w:autoSpaceDE w:val="0"/>
        <w:autoSpaceDN w:val="0"/>
        <w:adjustRightInd w:val="0"/>
        <w:spacing w:line="240" w:lineRule="auto"/>
        <w:jc w:val="both"/>
        <w:textAlignment w:val="baseline"/>
        <w:rPr>
          <w:rFonts w:cs="Arial"/>
          <w:szCs w:val="20"/>
        </w:rPr>
      </w:pPr>
      <w:r w:rsidRPr="006431C4">
        <w:rPr>
          <w:rFonts w:cs="Arial"/>
          <w:szCs w:val="20"/>
        </w:rPr>
        <w:t>miejsce wykonywania prac oznakować zgodnie z projektem organizacji ruchu, w celu zabezpieczenia pracowników i kierujących pojazdami na drodze.</w:t>
      </w:r>
    </w:p>
    <w:p w14:paraId="1CB8CEE5"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Punkty stabilizujące miejsca ustawienia znaków należy zabezpieczyć w taki sposób, aby w czasie trwania i odbioru robót istniała możliwość sprawdzenia lokalizacji znaków.</w:t>
      </w:r>
    </w:p>
    <w:p w14:paraId="78E5F14B"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Lokalizacja i wysokość zamocowania tarczy znaku powinny być zgodne z dokumentacją projektową.</w:t>
      </w:r>
    </w:p>
    <w:p w14:paraId="2866BCBD"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5.3. Wykonanie wykopów i fundamentów dla konstrukcji wsporczych znaków</w:t>
      </w:r>
    </w:p>
    <w:p w14:paraId="0863671F"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5.3.1.</w:t>
      </w:r>
      <w:r w:rsidRPr="006431C4">
        <w:rPr>
          <w:rFonts w:cs="Arial"/>
          <w:szCs w:val="20"/>
        </w:rPr>
        <w:t xml:space="preserve"> Wykopy</w:t>
      </w:r>
    </w:p>
    <w:p w14:paraId="6877B62C"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Sposób wykonania wykopu pod fundament znaku pionowego powinien być dostosowany do głębokości wykopu, rodzaju gruntu i posiadanego sprzętu. Wymiary wykopu powinny być zgodne z dokumentacją projektową lub wskazaniami Inżyniera.</w:t>
      </w:r>
    </w:p>
    <w:p w14:paraId="5394B2BD"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ab/>
        <w:t>Wykopy fundamentowe powinny być wykonane w takim okresie, aby po ich zakończeniu można było przystąpić natychmiast do wykonania w nich robót fundamentowych.</w:t>
      </w:r>
    </w:p>
    <w:p w14:paraId="0A99E710"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5.3.2. </w:t>
      </w:r>
      <w:r w:rsidRPr="006431C4">
        <w:rPr>
          <w:rFonts w:cs="Arial"/>
          <w:szCs w:val="20"/>
        </w:rPr>
        <w:t>Wykonanie fundamentów</w:t>
      </w:r>
    </w:p>
    <w:p w14:paraId="4D420197"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5.3.2.1. Prefabrykaty betonowe: dno wykopu przed ułożeniem prefabrykatu należy wyrównać i zagęścić. Wolne przestrzenie między ścianami gruntu i prefabrykatem należy wypełnić materiałem kamiennym, np. klińcem i dokładnie zagęścić ubijakami ręcznymi.</w:t>
      </w:r>
    </w:p>
    <w:p w14:paraId="7843E135"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6431C4">
          <w:rPr>
            <w:rFonts w:cs="Arial"/>
            <w:szCs w:val="20"/>
          </w:rPr>
          <w:t>0,03 m</w:t>
        </w:r>
      </w:smartTag>
      <w:r w:rsidRPr="006431C4">
        <w:rPr>
          <w:rFonts w:cs="Arial"/>
          <w:szCs w:val="20"/>
        </w:rPr>
        <w:t>.</w:t>
      </w:r>
    </w:p>
    <w:p w14:paraId="5F23A8E9"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5.3.2.2. Fundamenty z betonu i betonu zbrojonego: wykopy pod fundamenty konstrukcji wsporczych dla zamocowania znaków wielkopowierzchniowych (znaki kierunku i miejscowości), wykonywane z betonu „na mokro” lub z betonu zbrojonego należy wykonać zgodnie z PN-S-02205:1998 [17]. </w:t>
      </w:r>
      <w:r w:rsidRPr="006431C4">
        <w:rPr>
          <w:rFonts w:cs="Arial"/>
          <w:szCs w:val="20"/>
        </w:rPr>
        <w:tab/>
        <w:t xml:space="preserve">Posadowienie fundamentów w wykopach otwartych bądź rozpartych należy wykonywać zgodnie z dokumentacją projektową, SST lub wskazaniami Inżyniera. Wykopy należy zabezpieczyć przed napływem wód opadowych przez wyprofilowanie terenu ze spadkiem umożliwiającym łatwy odpływ wody poza teren przylegający do wykopu. Dno wykopu powinno być wyrównane z dokładnością </w:t>
      </w:r>
      <w:r w:rsidRPr="006431C4">
        <w:rPr>
          <w:rFonts w:cs="Arial"/>
          <w:szCs w:val="20"/>
        </w:rPr>
        <w:sym w:font="Symbol" w:char="F0B1"/>
      </w:r>
      <w:r w:rsidRPr="006431C4">
        <w:rPr>
          <w:rFonts w:cs="Arial"/>
          <w:szCs w:val="20"/>
        </w:rPr>
        <w:t xml:space="preserve"> </w:t>
      </w:r>
      <w:smartTag w:uri="urn:schemas-microsoft-com:office:smarttags" w:element="metricconverter">
        <w:smartTagPr>
          <w:attr w:name="ProductID" w:val="2 cm"/>
        </w:smartTagPr>
        <w:r w:rsidRPr="006431C4">
          <w:rPr>
            <w:rFonts w:cs="Arial"/>
            <w:szCs w:val="20"/>
          </w:rPr>
          <w:t>2 cm</w:t>
        </w:r>
      </w:smartTag>
      <w:r w:rsidRPr="006431C4">
        <w:rPr>
          <w:rFonts w:cs="Arial"/>
          <w:szCs w:val="20"/>
        </w:rPr>
        <w:t>.</w:t>
      </w:r>
    </w:p>
    <w:p w14:paraId="7613D9D1"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Przy naruszonej strukturze gruntu rodzimego, grunt należy usunąć i miejsce wypełnić do spodu fundamentu betonem. Płaszczyzny boczne fundamentów stykające się z gruntem należy zaizolować np. emulsją asfaltową. Po wykonaniu fundamentu wykop należy zasypać warstwami grubości po </w:t>
      </w:r>
      <w:smartTag w:uri="urn:schemas-microsoft-com:office:smarttags" w:element="metricconverter">
        <w:smartTagPr>
          <w:attr w:name="ProductID" w:val="20 cm"/>
        </w:smartTagPr>
        <w:r w:rsidRPr="006431C4">
          <w:rPr>
            <w:rFonts w:cs="Arial"/>
            <w:szCs w:val="20"/>
          </w:rPr>
          <w:t>20 cm</w:t>
        </w:r>
      </w:smartTag>
      <w:r w:rsidRPr="006431C4">
        <w:rPr>
          <w:rFonts w:cs="Arial"/>
          <w:szCs w:val="20"/>
        </w:rPr>
        <w:t xml:space="preserve"> z dokładnym zagęszczeniem gruntu.</w:t>
      </w:r>
    </w:p>
    <w:p w14:paraId="72982BB2"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5.3.2.3. Poziom górnej powierzchni fundamentu: 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6431C4">
          <w:rPr>
            <w:rFonts w:cs="Arial"/>
            <w:szCs w:val="20"/>
          </w:rPr>
          <w:t>0,03 m</w:t>
        </w:r>
      </w:smartTag>
      <w:r w:rsidRPr="006431C4">
        <w:rPr>
          <w:rFonts w:cs="Arial"/>
          <w:szCs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6431C4">
          <w:rPr>
            <w:rFonts w:cs="Arial"/>
            <w:szCs w:val="20"/>
          </w:rPr>
          <w:t>0,15 m</w:t>
        </w:r>
      </w:smartTag>
      <w:r w:rsidRPr="006431C4">
        <w:rPr>
          <w:rFonts w:cs="Arial"/>
          <w:szCs w:val="20"/>
        </w:rPr>
        <w:t>.</w:t>
      </w:r>
    </w:p>
    <w:p w14:paraId="52D146C5"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szCs w:val="20"/>
        </w:rPr>
      </w:pPr>
      <w:r w:rsidRPr="006431C4">
        <w:rPr>
          <w:rFonts w:cs="Arial"/>
          <w:b/>
          <w:szCs w:val="20"/>
        </w:rPr>
        <w:t>5.4. Konstrukcje wsporcze</w:t>
      </w:r>
    </w:p>
    <w:p w14:paraId="4194DE31" w14:textId="77777777" w:rsidR="00413F29" w:rsidRPr="006431C4" w:rsidRDefault="00413F29" w:rsidP="00270120">
      <w:pPr>
        <w:overflowPunct w:val="0"/>
        <w:autoSpaceDE w:val="0"/>
        <w:autoSpaceDN w:val="0"/>
        <w:adjustRightInd w:val="0"/>
        <w:spacing w:line="240" w:lineRule="auto"/>
        <w:jc w:val="both"/>
        <w:textAlignment w:val="baseline"/>
        <w:rPr>
          <w:rFonts w:cs="Arial"/>
          <w:b/>
          <w:szCs w:val="20"/>
        </w:rPr>
      </w:pPr>
      <w:r w:rsidRPr="006431C4">
        <w:rPr>
          <w:rFonts w:cs="Arial"/>
          <w:b/>
          <w:szCs w:val="20"/>
        </w:rPr>
        <w:t>5.4.1.</w:t>
      </w:r>
      <w:r w:rsidRPr="006431C4">
        <w:rPr>
          <w:rFonts w:cs="Arial"/>
          <w:szCs w:val="20"/>
        </w:rPr>
        <w:t xml:space="preserve"> Tolerancje ustawienia znaku pionowego</w:t>
      </w:r>
    </w:p>
    <w:p w14:paraId="071CC37D"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Konstrukcje wsporcze znaków - słupki, słupy, wysięgniki, konstrukcje dla tablic wielkopowierzchniowych, powinny być wykonane zgodnie z dokumentacją i ST.</w:t>
      </w:r>
    </w:p>
    <w:p w14:paraId="75844309"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Dopuszczalne tolerancje ustawienia znaku:</w:t>
      </w:r>
    </w:p>
    <w:p w14:paraId="6E0CAC0C" w14:textId="77777777" w:rsidR="00413F29" w:rsidRPr="006431C4" w:rsidRDefault="00413F29" w:rsidP="00CF1E7D">
      <w:pPr>
        <w:numPr>
          <w:ilvl w:val="0"/>
          <w:numId w:val="196"/>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odchylenie od pionu, nie więcej niż </w:t>
      </w:r>
      <w:r w:rsidRPr="006431C4">
        <w:rPr>
          <w:rFonts w:cs="Arial"/>
          <w:szCs w:val="20"/>
        </w:rPr>
        <w:sym w:font="Symbol" w:char="F0B1"/>
      </w:r>
      <w:r w:rsidRPr="006431C4">
        <w:rPr>
          <w:rFonts w:cs="Arial"/>
          <w:szCs w:val="20"/>
        </w:rPr>
        <w:t xml:space="preserve"> 1%,</w:t>
      </w:r>
    </w:p>
    <w:p w14:paraId="77314B42" w14:textId="77777777" w:rsidR="00413F29" w:rsidRPr="006431C4" w:rsidRDefault="00413F29" w:rsidP="00CF1E7D">
      <w:pPr>
        <w:numPr>
          <w:ilvl w:val="0"/>
          <w:numId w:val="196"/>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odchylenie w wysokości umieszczenia znaku, nie więcej niż </w:t>
      </w:r>
      <w:r w:rsidRPr="006431C4">
        <w:rPr>
          <w:rFonts w:cs="Arial"/>
          <w:szCs w:val="20"/>
        </w:rPr>
        <w:sym w:font="Symbol" w:char="F0B1"/>
      </w:r>
      <w:r w:rsidRPr="006431C4">
        <w:rPr>
          <w:rFonts w:cs="Arial"/>
          <w:szCs w:val="20"/>
        </w:rPr>
        <w:t xml:space="preserve"> </w:t>
      </w:r>
      <w:smartTag w:uri="urn:schemas-microsoft-com:office:smarttags" w:element="metricconverter">
        <w:smartTagPr>
          <w:attr w:name="ProductID" w:val="2 cm"/>
        </w:smartTagPr>
        <w:r w:rsidRPr="006431C4">
          <w:rPr>
            <w:rFonts w:cs="Arial"/>
            <w:szCs w:val="20"/>
          </w:rPr>
          <w:t>2 cm</w:t>
        </w:r>
      </w:smartTag>
      <w:r w:rsidRPr="006431C4">
        <w:rPr>
          <w:rFonts w:cs="Arial"/>
          <w:szCs w:val="20"/>
        </w:rPr>
        <w:t>,</w:t>
      </w:r>
    </w:p>
    <w:p w14:paraId="39210967" w14:textId="77777777" w:rsidR="00413F29" w:rsidRPr="006431C4" w:rsidRDefault="00413F29" w:rsidP="00CF1E7D">
      <w:pPr>
        <w:numPr>
          <w:ilvl w:val="0"/>
          <w:numId w:val="196"/>
        </w:num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odchylenie w odległości ustawienia znaku od krawędzi jezdni utwardzonego pobocza lub pasa awaryjnego postoju, nie więcej niż </w:t>
      </w:r>
      <w:r w:rsidRPr="006431C4">
        <w:rPr>
          <w:rFonts w:cs="Arial"/>
          <w:szCs w:val="20"/>
        </w:rPr>
        <w:sym w:font="Symbol" w:char="F0B1"/>
      </w:r>
      <w:r w:rsidRPr="006431C4">
        <w:rPr>
          <w:rFonts w:cs="Arial"/>
          <w:szCs w:val="20"/>
        </w:rPr>
        <w:t xml:space="preserve"> </w:t>
      </w:r>
      <w:smartTag w:uri="urn:schemas-microsoft-com:office:smarttags" w:element="metricconverter">
        <w:smartTagPr>
          <w:attr w:name="ProductID" w:val="5 cm"/>
        </w:smartTagPr>
        <w:r w:rsidRPr="006431C4">
          <w:rPr>
            <w:rFonts w:cs="Arial"/>
            <w:szCs w:val="20"/>
          </w:rPr>
          <w:t>5 cm</w:t>
        </w:r>
      </w:smartTag>
      <w:r w:rsidRPr="006431C4">
        <w:rPr>
          <w:rFonts w:cs="Arial"/>
          <w:szCs w:val="20"/>
        </w:rPr>
        <w:t>, przy zachowaniu minimalnej odległości umieszczenia znaku zgodnie z załącznikiem nr 1 do rozporządzenia Ministra Infrastruktury z dnia 3 lipca 2003 r. [19],</w:t>
      </w:r>
    </w:p>
    <w:p w14:paraId="437299F2" w14:textId="77777777" w:rsidR="00413F29" w:rsidRPr="006431C4" w:rsidRDefault="00413F29" w:rsidP="00CF1E7D">
      <w:pPr>
        <w:numPr>
          <w:ilvl w:val="0"/>
          <w:numId w:val="196"/>
        </w:numPr>
        <w:overflowPunct w:val="0"/>
        <w:autoSpaceDE w:val="0"/>
        <w:autoSpaceDN w:val="0"/>
        <w:adjustRightInd w:val="0"/>
        <w:spacing w:line="240" w:lineRule="auto"/>
        <w:jc w:val="both"/>
        <w:textAlignment w:val="baseline"/>
        <w:rPr>
          <w:rFonts w:cs="Arial"/>
          <w:szCs w:val="20"/>
        </w:rPr>
      </w:pPr>
      <w:r w:rsidRPr="006431C4">
        <w:rPr>
          <w:rFonts w:cs="Arial"/>
          <w:szCs w:val="20"/>
        </w:rPr>
        <w:t>odchylenie poziome tarczy znaku na odcinku prostym drogi 5</w:t>
      </w:r>
      <w:r w:rsidRPr="006431C4">
        <w:rPr>
          <w:rFonts w:cs="Arial"/>
          <w:szCs w:val="20"/>
          <w:vertAlign w:val="superscript"/>
        </w:rPr>
        <w:t>o</w:t>
      </w:r>
      <w:r w:rsidRPr="006431C4">
        <w:rPr>
          <w:rFonts w:cs="Arial"/>
          <w:szCs w:val="20"/>
        </w:rPr>
        <w:t xml:space="preserve"> w kierunku jezdni,</w:t>
      </w:r>
    </w:p>
    <w:p w14:paraId="1E88B77A" w14:textId="77777777" w:rsidR="00413F29" w:rsidRPr="006431C4" w:rsidRDefault="00413F29" w:rsidP="00CF1E7D">
      <w:pPr>
        <w:numPr>
          <w:ilvl w:val="0"/>
          <w:numId w:val="196"/>
        </w:numPr>
        <w:overflowPunct w:val="0"/>
        <w:autoSpaceDE w:val="0"/>
        <w:autoSpaceDN w:val="0"/>
        <w:adjustRightInd w:val="0"/>
        <w:spacing w:line="240" w:lineRule="auto"/>
        <w:jc w:val="both"/>
        <w:textAlignment w:val="baseline"/>
        <w:rPr>
          <w:rFonts w:cs="Arial"/>
          <w:szCs w:val="20"/>
        </w:rPr>
      </w:pPr>
      <w:r w:rsidRPr="006431C4">
        <w:rPr>
          <w:rFonts w:cs="Arial"/>
          <w:szCs w:val="20"/>
        </w:rPr>
        <w:t>odchylenie poziome tarczy znaku na łuku poziomym drogi w prawo 0-5</w:t>
      </w:r>
      <w:r w:rsidRPr="006431C4">
        <w:rPr>
          <w:rFonts w:cs="Arial"/>
          <w:szCs w:val="20"/>
          <w:vertAlign w:val="superscript"/>
        </w:rPr>
        <w:t>o</w:t>
      </w:r>
      <w:r w:rsidRPr="006431C4">
        <w:rPr>
          <w:rFonts w:cs="Arial"/>
          <w:szCs w:val="20"/>
        </w:rPr>
        <w:t xml:space="preserve"> w kierunku jezdni,</w:t>
      </w:r>
    </w:p>
    <w:p w14:paraId="7DF37FA2" w14:textId="77777777" w:rsidR="00413F29" w:rsidRPr="006431C4" w:rsidRDefault="00413F29" w:rsidP="00CF1E7D">
      <w:pPr>
        <w:numPr>
          <w:ilvl w:val="0"/>
          <w:numId w:val="196"/>
        </w:numPr>
        <w:overflowPunct w:val="0"/>
        <w:autoSpaceDE w:val="0"/>
        <w:autoSpaceDN w:val="0"/>
        <w:adjustRightInd w:val="0"/>
        <w:spacing w:line="240" w:lineRule="auto"/>
        <w:jc w:val="both"/>
        <w:textAlignment w:val="baseline"/>
        <w:rPr>
          <w:rFonts w:cs="Arial"/>
          <w:szCs w:val="20"/>
        </w:rPr>
      </w:pPr>
      <w:r w:rsidRPr="006431C4">
        <w:rPr>
          <w:rFonts w:cs="Arial"/>
          <w:szCs w:val="20"/>
        </w:rPr>
        <w:t>odchylenie poziome tarczy znaku na łuku poziomym drogi w lewo 5</w:t>
      </w:r>
      <w:r w:rsidRPr="006431C4">
        <w:rPr>
          <w:rFonts w:cs="Arial"/>
          <w:szCs w:val="20"/>
          <w:vertAlign w:val="superscript"/>
        </w:rPr>
        <w:t>o</w:t>
      </w:r>
      <w:r w:rsidRPr="006431C4">
        <w:rPr>
          <w:rFonts w:cs="Arial"/>
          <w:szCs w:val="20"/>
        </w:rPr>
        <w:t xml:space="preserve"> – 10</w:t>
      </w:r>
      <w:r w:rsidRPr="006431C4">
        <w:rPr>
          <w:rFonts w:cs="Arial"/>
          <w:szCs w:val="20"/>
          <w:vertAlign w:val="superscript"/>
        </w:rPr>
        <w:t>o</w:t>
      </w:r>
      <w:r w:rsidRPr="006431C4">
        <w:rPr>
          <w:rFonts w:cs="Arial"/>
          <w:szCs w:val="20"/>
        </w:rPr>
        <w:t xml:space="preserve"> w kierunku jezdni,</w:t>
      </w:r>
    </w:p>
    <w:p w14:paraId="01747286" w14:textId="77777777" w:rsidR="00413F29" w:rsidRPr="006431C4" w:rsidRDefault="00413F29" w:rsidP="00CF1E7D">
      <w:pPr>
        <w:numPr>
          <w:ilvl w:val="0"/>
          <w:numId w:val="196"/>
        </w:numPr>
        <w:overflowPunct w:val="0"/>
        <w:autoSpaceDE w:val="0"/>
        <w:autoSpaceDN w:val="0"/>
        <w:adjustRightInd w:val="0"/>
        <w:spacing w:line="240" w:lineRule="auto"/>
        <w:jc w:val="both"/>
        <w:textAlignment w:val="baseline"/>
        <w:rPr>
          <w:rFonts w:cs="Arial"/>
          <w:szCs w:val="20"/>
        </w:rPr>
      </w:pPr>
      <w:r w:rsidRPr="006431C4">
        <w:rPr>
          <w:rFonts w:cs="Arial"/>
          <w:szCs w:val="20"/>
        </w:rPr>
        <w:t>odchylenie poziome od dopuszczalnego kąta pomiędzy powierzchnią tarczy znaku a osią jezdni, nie więcej niż 1</w:t>
      </w:r>
      <w:r w:rsidRPr="006431C4">
        <w:rPr>
          <w:rFonts w:cs="Arial"/>
          <w:szCs w:val="20"/>
          <w:vertAlign w:val="superscript"/>
        </w:rPr>
        <w:t>o</w:t>
      </w:r>
      <w:r w:rsidRPr="006431C4">
        <w:rPr>
          <w:rFonts w:cs="Arial"/>
          <w:szCs w:val="20"/>
        </w:rPr>
        <w:t>.</w:t>
      </w:r>
    </w:p>
    <w:p w14:paraId="6B5A3E24"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5.4.2. </w:t>
      </w:r>
      <w:r w:rsidRPr="006431C4">
        <w:rPr>
          <w:rFonts w:cs="Arial"/>
          <w:szCs w:val="20"/>
        </w:rPr>
        <w:t>Zabezpieczenie konstrukcji wsporczej przed najechaniem</w:t>
      </w:r>
    </w:p>
    <w:p w14:paraId="000EE584"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Konstrukcje wsporcze znaków drogowych bramowych lub wysięgnikowych jedno lub dwustronnych, jak również konstrukcje wsporcze znaków tablicowych bocznych o powierzchni większej od </w:t>
      </w:r>
      <w:smartTag w:uri="urn:schemas-microsoft-com:office:smarttags" w:element="metricconverter">
        <w:smartTagPr>
          <w:attr w:name="ProductID" w:val="4,5 m2"/>
        </w:smartTagPr>
        <w:r w:rsidRPr="006431C4">
          <w:rPr>
            <w:rFonts w:cs="Arial"/>
            <w:szCs w:val="20"/>
          </w:rPr>
          <w:t>4,5 m</w:t>
        </w:r>
        <w:r w:rsidRPr="006431C4">
          <w:rPr>
            <w:rFonts w:cs="Arial"/>
            <w:szCs w:val="20"/>
            <w:vertAlign w:val="superscript"/>
          </w:rPr>
          <w:t>2</w:t>
        </w:r>
      </w:smartTag>
      <w:r w:rsidRPr="006431C4">
        <w:rPr>
          <w:rFonts w:cs="Arial"/>
          <w:szCs w:val="20"/>
        </w:rPr>
        <w:t>, gdy występuje możliwość bezpośredniego najechania na nie przez pojazd - muszą być zabezpieczone odpowiednio umieszczonymi barierami ochronnymi lub konstrukcją wsporczą bezpieczną, zgodnie z dokumentacją projektową, SST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SST lub Inżynier.</w:t>
      </w:r>
    </w:p>
    <w:p w14:paraId="5687B053" w14:textId="77777777" w:rsidR="00413F29" w:rsidRPr="006431C4" w:rsidRDefault="00413F29" w:rsidP="00270120">
      <w:pPr>
        <w:numPr>
          <w:ilvl w:val="12"/>
          <w:numId w:val="0"/>
        </w:numPr>
        <w:overflowPunct w:val="0"/>
        <w:autoSpaceDE w:val="0"/>
        <w:autoSpaceDN w:val="0"/>
        <w:adjustRightInd w:val="0"/>
        <w:spacing w:line="240" w:lineRule="auto"/>
        <w:ind w:left="709" w:hanging="709"/>
        <w:jc w:val="both"/>
        <w:textAlignment w:val="baseline"/>
        <w:rPr>
          <w:rFonts w:cs="Arial"/>
          <w:szCs w:val="20"/>
        </w:rPr>
      </w:pPr>
      <w:r w:rsidRPr="006431C4">
        <w:rPr>
          <w:rFonts w:cs="Arial"/>
          <w:b/>
          <w:szCs w:val="20"/>
        </w:rPr>
        <w:t>5.4.3.</w:t>
      </w:r>
      <w:r w:rsidRPr="006431C4">
        <w:rPr>
          <w:rFonts w:cs="Arial"/>
          <w:szCs w:val="20"/>
        </w:rPr>
        <w:t xml:space="preserve"> </w:t>
      </w:r>
      <w:r w:rsidRPr="006431C4">
        <w:rPr>
          <w:rFonts w:cs="Arial"/>
          <w:szCs w:val="20"/>
        </w:rPr>
        <w:tab/>
        <w:t>Zapobieganie zagrożeniu użytkowników drogi i terenu przyległego - przez konstrukcję wsporczą</w:t>
      </w:r>
    </w:p>
    <w:p w14:paraId="2E8442E9"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innym rodzaju uszkodzenia znaku.</w:t>
      </w:r>
    </w:p>
    <w:p w14:paraId="2307B532"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5.4.4. </w:t>
      </w:r>
      <w:r w:rsidRPr="006431C4">
        <w:rPr>
          <w:rFonts w:cs="Arial"/>
          <w:szCs w:val="20"/>
        </w:rPr>
        <w:t>Tablicowe znaki drogowe na dwóch słupach lub podporach</w:t>
      </w:r>
    </w:p>
    <w:p w14:paraId="79BEFCC0"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Przy stosowaniu tablicowych znaków drogowych (drogowskazów tablicowych, tablic </w:t>
      </w:r>
      <w:proofErr w:type="spellStart"/>
      <w:r w:rsidRPr="006431C4">
        <w:rPr>
          <w:rFonts w:cs="Arial"/>
          <w:szCs w:val="20"/>
        </w:rPr>
        <w:t>przeddrogowskazowych</w:t>
      </w:r>
      <w:proofErr w:type="spellEnd"/>
      <w:r w:rsidRPr="006431C4">
        <w:rPr>
          <w:rFonts w:cs="Arial"/>
          <w:szCs w:val="20"/>
        </w:rPr>
        <w:t xml:space="preserve">,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6431C4">
          <w:rPr>
            <w:rFonts w:cs="Arial"/>
            <w:szCs w:val="20"/>
          </w:rPr>
          <w:t>1,75 m</w:t>
        </w:r>
      </w:smartTag>
      <w:r w:rsidRPr="006431C4">
        <w:rPr>
          <w:rFonts w:cs="Arial"/>
          <w:szCs w:val="20"/>
        </w:rPr>
        <w:t>. Przy stosowaniu większej liczby słupów niż dwa - odległość między nimi może być mniejsza.</w:t>
      </w:r>
    </w:p>
    <w:p w14:paraId="2EF35DCB"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b/>
          <w:szCs w:val="20"/>
        </w:rPr>
        <w:t>5.4.5.</w:t>
      </w:r>
      <w:r w:rsidRPr="006431C4">
        <w:rPr>
          <w:rFonts w:cs="Arial"/>
          <w:szCs w:val="20"/>
        </w:rPr>
        <w:t xml:space="preserve"> Barwa konstrukcji wsporczej</w:t>
      </w:r>
    </w:p>
    <w:p w14:paraId="4961FAF4"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4EE5440C" w14:textId="77777777" w:rsidR="00413F29" w:rsidRPr="006431C4" w:rsidRDefault="00413F29" w:rsidP="00270120">
      <w:pPr>
        <w:overflowPunct w:val="0"/>
        <w:autoSpaceDE w:val="0"/>
        <w:autoSpaceDN w:val="0"/>
        <w:adjustRightInd w:val="0"/>
        <w:spacing w:line="240" w:lineRule="auto"/>
        <w:jc w:val="both"/>
        <w:textAlignment w:val="baseline"/>
        <w:rPr>
          <w:rFonts w:cs="Arial"/>
          <w:b/>
          <w:szCs w:val="20"/>
        </w:rPr>
      </w:pPr>
      <w:r w:rsidRPr="006431C4">
        <w:rPr>
          <w:rFonts w:cs="Arial"/>
          <w:b/>
          <w:szCs w:val="20"/>
        </w:rPr>
        <w:t>5.4.6.</w:t>
      </w:r>
      <w:r w:rsidRPr="006431C4">
        <w:rPr>
          <w:rFonts w:cs="Arial"/>
          <w:szCs w:val="20"/>
        </w:rPr>
        <w:t xml:space="preserve"> Połączenie tarczy znaku z konstrukcją wsporczą</w:t>
      </w:r>
    </w:p>
    <w:p w14:paraId="4C705F4B"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Tarcza znaku musi być zamocowana do konstrukcji wsporczej w sposób uniemożliwiający jej przesunięcie lub obrót. Sposób wykonania połączenia tarczy znaku z konstrukcją wsporczą musi umożliwiać, przy użyciu odpowiednich narzędzi, odłączenie tarczy znaku od tej konstrukcji przez cały okres użytkowania znaku.</w:t>
      </w:r>
    </w:p>
    <w:p w14:paraId="0E049F69"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Na drogach i obszarach, na których występują częste przypadki dewastacji znaków, zaleca się stosowanie elementów złącznych o konstrukcji uniemożliwiającej lub znacznie utrudniającej ich rozłączenie przez osoby niepowołane.</w:t>
      </w:r>
    </w:p>
    <w:p w14:paraId="6264267B"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ab/>
        <w:t>Nie dopuszcza się zamocowania znaku do konstrukcji wsporczej w sposób wymagający bezpośredniego przeprowadzenia śrub mocujących przez lico znaku.</w:t>
      </w:r>
    </w:p>
    <w:p w14:paraId="37252463" w14:textId="77777777" w:rsidR="00413F29" w:rsidRPr="006431C4" w:rsidRDefault="00413F29" w:rsidP="00270120">
      <w:pPr>
        <w:overflowPunct w:val="0"/>
        <w:autoSpaceDE w:val="0"/>
        <w:autoSpaceDN w:val="0"/>
        <w:adjustRightInd w:val="0"/>
        <w:spacing w:line="240" w:lineRule="auto"/>
        <w:jc w:val="both"/>
        <w:textAlignment w:val="baseline"/>
        <w:rPr>
          <w:rFonts w:cs="Arial"/>
          <w:b/>
          <w:szCs w:val="20"/>
        </w:rPr>
      </w:pPr>
      <w:r w:rsidRPr="006431C4">
        <w:rPr>
          <w:rFonts w:cs="Arial"/>
          <w:b/>
          <w:szCs w:val="20"/>
        </w:rPr>
        <w:t>5.4.7.</w:t>
      </w:r>
      <w:r w:rsidRPr="006431C4">
        <w:rPr>
          <w:rFonts w:cs="Arial"/>
          <w:szCs w:val="20"/>
        </w:rPr>
        <w:t xml:space="preserve"> Urządzenia elektryczne na konstrukcji wsporczej</w:t>
      </w:r>
    </w:p>
    <w:p w14:paraId="26F1AC6E"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2070AFDC" w14:textId="77777777" w:rsidR="00413F29" w:rsidRPr="006431C4" w:rsidRDefault="00413F29" w:rsidP="00270120">
      <w:pPr>
        <w:spacing w:line="240" w:lineRule="auto"/>
        <w:jc w:val="both"/>
        <w:rPr>
          <w:rFonts w:cs="Arial"/>
          <w:szCs w:val="20"/>
        </w:rPr>
      </w:pPr>
      <w:r w:rsidRPr="006431C4">
        <w:rPr>
          <w:rFonts w:cs="Arial"/>
          <w:szCs w:val="20"/>
        </w:rPr>
        <w:tab/>
        <w:t>Aparaturę elektryczną należy montować na pojedynczym słupie. Na słupie powinna być zamocowana skrzynka elektryczna zgodnie z PN-EN 40-5:2004 [18]. Każda skrzynka elektryczna powinna być zabezpieczona zamkiem natomiast poziomem zabezpieczenia przed przenikaniem kurzu i wody, określonym w EN 60529:2003 [14], powinien być poziom 2 dla cząstek stałych i poziom 3 dla wody.</w:t>
      </w:r>
    </w:p>
    <w:p w14:paraId="1E1751BB" w14:textId="77777777" w:rsidR="00413F29" w:rsidRPr="006431C4" w:rsidRDefault="00413F29"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37" w:name="_Toc505581989"/>
      <w:r w:rsidRPr="006431C4">
        <w:rPr>
          <w:rFonts w:cs="Arial"/>
          <w:b/>
          <w:caps/>
          <w:kern w:val="28"/>
          <w:szCs w:val="20"/>
        </w:rPr>
        <w:t>6. Kontrola jakości robót</w:t>
      </w:r>
      <w:bookmarkEnd w:id="1037"/>
    </w:p>
    <w:p w14:paraId="7FA73F5B"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6.1. Ogólne zasady kontroli jakości robót</w:t>
      </w:r>
    </w:p>
    <w:p w14:paraId="4E3690C0"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kontroli jakości robót podano w SST D-M-00.00.00 „Wymagania ogólne” pkt 6.</w:t>
      </w:r>
    </w:p>
    <w:p w14:paraId="1E5BF7FC"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6.2. Badania przed przystąpieniem do robót</w:t>
      </w:r>
    </w:p>
    <w:p w14:paraId="4945370B"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Przed przystąpieniem do robót Wykonawca powinien:</w:t>
      </w:r>
    </w:p>
    <w:p w14:paraId="7F5D792F" w14:textId="77777777" w:rsidR="00413F29" w:rsidRPr="006431C4" w:rsidRDefault="00413F29" w:rsidP="00CF1E7D">
      <w:pPr>
        <w:numPr>
          <w:ilvl w:val="0"/>
          <w:numId w:val="210"/>
        </w:numPr>
        <w:overflowPunct w:val="0"/>
        <w:autoSpaceDE w:val="0"/>
        <w:autoSpaceDN w:val="0"/>
        <w:adjustRightInd w:val="0"/>
        <w:spacing w:line="240" w:lineRule="auto"/>
        <w:jc w:val="both"/>
        <w:textAlignment w:val="baseline"/>
        <w:rPr>
          <w:rFonts w:cs="Arial"/>
          <w:szCs w:val="20"/>
        </w:rPr>
      </w:pPr>
      <w:r w:rsidRPr="006431C4">
        <w:rPr>
          <w:rFonts w:cs="Arial"/>
          <w:szCs w:val="20"/>
        </w:rPr>
        <w:t>uzyskać wymagane dokumenty dopuszczające wyroby budowlane do obrotu i powszechnego stosowania (np. stwierdzenie o oznakowaniu materiału znakiem CE lub znakiem budowlanym, krajową deklarację właściwości użytkowych, krajową deklarację zgodności, krajową ocenę techniczną, aprobatę techniczną [24] ew. badania materiałów wykonane przez dostawców, itp.)</w:t>
      </w:r>
    </w:p>
    <w:p w14:paraId="3FFEF842" w14:textId="77777777" w:rsidR="00413F29" w:rsidRPr="006431C4" w:rsidRDefault="00413F29" w:rsidP="00CF1E7D">
      <w:pPr>
        <w:numPr>
          <w:ilvl w:val="0"/>
          <w:numId w:val="210"/>
        </w:numPr>
        <w:overflowPunct w:val="0"/>
        <w:autoSpaceDE w:val="0"/>
        <w:autoSpaceDN w:val="0"/>
        <w:adjustRightInd w:val="0"/>
        <w:spacing w:line="240" w:lineRule="auto"/>
        <w:jc w:val="both"/>
        <w:textAlignment w:val="baseline"/>
        <w:rPr>
          <w:rFonts w:cs="Arial"/>
          <w:szCs w:val="20"/>
        </w:rPr>
      </w:pPr>
      <w:r w:rsidRPr="006431C4">
        <w:rPr>
          <w:rFonts w:cs="Arial"/>
          <w:szCs w:val="20"/>
        </w:rPr>
        <w:t>ew. wykonać własne badania właściwości materiałów przeznaczonych do wykonania robót, określone przez Inżyniera.</w:t>
      </w:r>
    </w:p>
    <w:p w14:paraId="3386E34E"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Wszystkie dokumenty oraz wyniki badań Wykonawca przedstawia Inżynierowi do akceptacji pod względem spełnienia wymogów formalnych oraz technicznych wynikających z dokumentacji projektowej i ST.</w:t>
      </w:r>
    </w:p>
    <w:p w14:paraId="58CAED51"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6.3. Badania w czasie wykonywania robót</w:t>
      </w:r>
    </w:p>
    <w:p w14:paraId="7BFF2F4A" w14:textId="77777777" w:rsidR="00413F29" w:rsidRPr="006431C4" w:rsidRDefault="00413F29" w:rsidP="00270120">
      <w:pPr>
        <w:overflowPunct w:val="0"/>
        <w:autoSpaceDE w:val="0"/>
        <w:autoSpaceDN w:val="0"/>
        <w:adjustRightInd w:val="0"/>
        <w:spacing w:line="240" w:lineRule="auto"/>
        <w:jc w:val="both"/>
        <w:textAlignment w:val="baseline"/>
        <w:rPr>
          <w:rFonts w:cs="Arial"/>
          <w:b/>
          <w:szCs w:val="20"/>
        </w:rPr>
      </w:pPr>
      <w:r w:rsidRPr="006431C4">
        <w:rPr>
          <w:rFonts w:cs="Arial"/>
          <w:b/>
          <w:szCs w:val="20"/>
        </w:rPr>
        <w:t>6.3.1.</w:t>
      </w:r>
      <w:r w:rsidRPr="006431C4">
        <w:rPr>
          <w:rFonts w:cs="Arial"/>
          <w:szCs w:val="20"/>
        </w:rPr>
        <w:t xml:space="preserve"> Badania materiałów do wykonania fundamentów betonowych</w:t>
      </w:r>
    </w:p>
    <w:p w14:paraId="07C6152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552763B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6.3.2. </w:t>
      </w:r>
      <w:r w:rsidRPr="006431C4">
        <w:rPr>
          <w:rFonts w:cs="Arial"/>
          <w:szCs w:val="20"/>
        </w:rPr>
        <w:t>Badania materiałów w czasie wykonywania robót</w:t>
      </w:r>
    </w:p>
    <w:p w14:paraId="632A6EA7"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Wszystkie materiały dostarczone na budowę powinny być sprawdzone w zakresie powierzchni wyrobu i jego wymiarów. Szczególnie należy zwrócić uwagę na rodzaj zastosowanej folii odblaskowej i grubość blachy.</w:t>
      </w:r>
    </w:p>
    <w:p w14:paraId="6DE3D575"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Częstotliwość badań i ocena ich wyników powinna być zgodna z ustaleniami zawartymi w tablicy 7.</w:t>
      </w:r>
    </w:p>
    <w:p w14:paraId="5880CCB5" w14:textId="77777777" w:rsidR="00413F29" w:rsidRPr="006431C4" w:rsidRDefault="00413F29" w:rsidP="00270120">
      <w:pPr>
        <w:keepNext/>
        <w:tabs>
          <w:tab w:val="left" w:pos="1134"/>
        </w:tabs>
        <w:overflowPunct w:val="0"/>
        <w:autoSpaceDE w:val="0"/>
        <w:autoSpaceDN w:val="0"/>
        <w:adjustRightInd w:val="0"/>
        <w:spacing w:line="240" w:lineRule="auto"/>
        <w:ind w:left="1134" w:hanging="992"/>
        <w:textAlignment w:val="baseline"/>
        <w:rPr>
          <w:rFonts w:cs="Arial"/>
          <w:bCs/>
          <w:szCs w:val="20"/>
        </w:rPr>
      </w:pPr>
      <w:r w:rsidRPr="006431C4">
        <w:rPr>
          <w:rFonts w:cs="Arial"/>
          <w:bCs/>
          <w:szCs w:val="20"/>
        </w:rPr>
        <w:t>Tablica 7.</w:t>
      </w:r>
      <w:r w:rsidRPr="006431C4">
        <w:rPr>
          <w:rFonts w:cs="Arial"/>
          <w:bCs/>
          <w:szCs w:val="20"/>
        </w:rPr>
        <w:tab/>
        <w:t>Częstotliwość badań przy sprawdzeniu powierzchni i wymiarów wyrobów dostarczonych przez producentów</w:t>
      </w:r>
    </w:p>
    <w:tbl>
      <w:tblPr>
        <w:tblW w:w="110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2193"/>
        <w:gridCol w:w="1735"/>
        <w:gridCol w:w="5136"/>
        <w:gridCol w:w="1417"/>
      </w:tblGrid>
      <w:tr w:rsidR="00413F29" w:rsidRPr="006431C4" w14:paraId="24F76F26" w14:textId="77777777" w:rsidTr="005F616C">
        <w:tc>
          <w:tcPr>
            <w:tcW w:w="567" w:type="dxa"/>
            <w:tcBorders>
              <w:bottom w:val="double" w:sz="4" w:space="0" w:color="auto"/>
            </w:tcBorders>
          </w:tcPr>
          <w:p w14:paraId="603A2879"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Lp.</w:t>
            </w:r>
          </w:p>
        </w:tc>
        <w:tc>
          <w:tcPr>
            <w:tcW w:w="2193" w:type="dxa"/>
            <w:tcBorders>
              <w:bottom w:val="double" w:sz="4" w:space="0" w:color="auto"/>
            </w:tcBorders>
          </w:tcPr>
          <w:p w14:paraId="322F994D"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Rodzaj badania</w:t>
            </w:r>
          </w:p>
        </w:tc>
        <w:tc>
          <w:tcPr>
            <w:tcW w:w="1735" w:type="dxa"/>
            <w:tcBorders>
              <w:bottom w:val="double" w:sz="4" w:space="0" w:color="auto"/>
            </w:tcBorders>
          </w:tcPr>
          <w:p w14:paraId="6718F5AA"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Liczba badań</w:t>
            </w:r>
          </w:p>
        </w:tc>
        <w:tc>
          <w:tcPr>
            <w:tcW w:w="5136" w:type="dxa"/>
            <w:tcBorders>
              <w:bottom w:val="double" w:sz="4" w:space="0" w:color="auto"/>
            </w:tcBorders>
          </w:tcPr>
          <w:p w14:paraId="43955AAB"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Opis badań</w:t>
            </w:r>
          </w:p>
        </w:tc>
        <w:tc>
          <w:tcPr>
            <w:tcW w:w="1417" w:type="dxa"/>
            <w:tcBorders>
              <w:bottom w:val="double" w:sz="4" w:space="0" w:color="auto"/>
            </w:tcBorders>
          </w:tcPr>
          <w:p w14:paraId="53C418C7" w14:textId="77777777" w:rsidR="00413F29" w:rsidRPr="006431C4" w:rsidRDefault="00413F29" w:rsidP="00270120">
            <w:pPr>
              <w:overflowPunct w:val="0"/>
              <w:autoSpaceDE w:val="0"/>
              <w:autoSpaceDN w:val="0"/>
              <w:adjustRightInd w:val="0"/>
              <w:spacing w:line="240" w:lineRule="auto"/>
              <w:jc w:val="center"/>
              <w:textAlignment w:val="baseline"/>
              <w:rPr>
                <w:rFonts w:cs="Arial"/>
                <w:bCs/>
                <w:szCs w:val="20"/>
              </w:rPr>
            </w:pPr>
            <w:r w:rsidRPr="006431C4">
              <w:rPr>
                <w:rFonts w:cs="Arial"/>
                <w:bCs/>
                <w:szCs w:val="20"/>
              </w:rPr>
              <w:t>Ocena wyników badań</w:t>
            </w:r>
          </w:p>
        </w:tc>
      </w:tr>
      <w:tr w:rsidR="00413F29" w:rsidRPr="006431C4" w14:paraId="57250DC3" w14:textId="77777777" w:rsidTr="005F616C">
        <w:trPr>
          <w:cantSplit/>
        </w:trPr>
        <w:tc>
          <w:tcPr>
            <w:tcW w:w="567" w:type="dxa"/>
            <w:tcBorders>
              <w:top w:val="double" w:sz="4" w:space="0" w:color="auto"/>
            </w:tcBorders>
          </w:tcPr>
          <w:p w14:paraId="436FCB03"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1</w:t>
            </w:r>
          </w:p>
        </w:tc>
        <w:tc>
          <w:tcPr>
            <w:tcW w:w="2193" w:type="dxa"/>
            <w:tcBorders>
              <w:top w:val="double" w:sz="4" w:space="0" w:color="auto"/>
            </w:tcBorders>
          </w:tcPr>
          <w:p w14:paraId="32CC137F"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Sprawdzenie powierzchni i rodzaju materiału</w:t>
            </w:r>
          </w:p>
        </w:tc>
        <w:tc>
          <w:tcPr>
            <w:tcW w:w="1735" w:type="dxa"/>
            <w:vMerge w:val="restart"/>
            <w:tcBorders>
              <w:top w:val="double" w:sz="4" w:space="0" w:color="auto"/>
            </w:tcBorders>
          </w:tcPr>
          <w:p w14:paraId="5A14CE12"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 xml:space="preserve">Od 1% do 2% wyrobów wybranych losowo z każdej dostarczonej partii wyrobów </w:t>
            </w:r>
          </w:p>
        </w:tc>
        <w:tc>
          <w:tcPr>
            <w:tcW w:w="5136" w:type="dxa"/>
            <w:tcBorders>
              <w:top w:val="double" w:sz="4" w:space="0" w:color="auto"/>
            </w:tcBorders>
          </w:tcPr>
          <w:p w14:paraId="6B3267B2"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 xml:space="preserve">Powierzchnię zbadać </w:t>
            </w:r>
            <w:proofErr w:type="spellStart"/>
            <w:r w:rsidRPr="006431C4">
              <w:rPr>
                <w:rFonts w:cs="Arial"/>
                <w:szCs w:val="20"/>
              </w:rPr>
              <w:t>organoleptycz</w:t>
            </w:r>
            <w:proofErr w:type="spellEnd"/>
            <w:r w:rsidRPr="006431C4">
              <w:rPr>
                <w:rFonts w:cs="Arial"/>
                <w:szCs w:val="20"/>
              </w:rPr>
              <w:t>-nie i stosując dostępne narzędzia (np. liniały, suwmiarki, mikrometry, grubościomierze itp.</w:t>
            </w:r>
          </w:p>
        </w:tc>
        <w:tc>
          <w:tcPr>
            <w:tcW w:w="1417" w:type="dxa"/>
            <w:vMerge w:val="restart"/>
            <w:tcBorders>
              <w:top w:val="double" w:sz="4" w:space="0" w:color="auto"/>
            </w:tcBorders>
          </w:tcPr>
          <w:p w14:paraId="07C10BB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p>
          <w:p w14:paraId="13EBC659"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Wyniki badań powinny być zgodne z wymagania-mi punktu 2</w:t>
            </w:r>
          </w:p>
        </w:tc>
      </w:tr>
      <w:tr w:rsidR="00413F29" w:rsidRPr="006431C4" w14:paraId="491258B7" w14:textId="77777777" w:rsidTr="005F616C">
        <w:trPr>
          <w:cantSplit/>
        </w:trPr>
        <w:tc>
          <w:tcPr>
            <w:tcW w:w="567" w:type="dxa"/>
          </w:tcPr>
          <w:p w14:paraId="438DCBFB" w14:textId="77777777" w:rsidR="00413F29" w:rsidRPr="006431C4" w:rsidRDefault="00413F29" w:rsidP="00270120">
            <w:pPr>
              <w:overflowPunct w:val="0"/>
              <w:autoSpaceDE w:val="0"/>
              <w:autoSpaceDN w:val="0"/>
              <w:adjustRightInd w:val="0"/>
              <w:spacing w:line="240" w:lineRule="auto"/>
              <w:jc w:val="center"/>
              <w:textAlignment w:val="baseline"/>
              <w:rPr>
                <w:rFonts w:cs="Arial"/>
                <w:szCs w:val="20"/>
              </w:rPr>
            </w:pPr>
            <w:r w:rsidRPr="006431C4">
              <w:rPr>
                <w:rFonts w:cs="Arial"/>
                <w:szCs w:val="20"/>
              </w:rPr>
              <w:t>2</w:t>
            </w:r>
          </w:p>
        </w:tc>
        <w:tc>
          <w:tcPr>
            <w:tcW w:w="2193" w:type="dxa"/>
          </w:tcPr>
          <w:p w14:paraId="31D7235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Sprawdzenie wymiarów i wybranych właściwości</w:t>
            </w:r>
          </w:p>
        </w:tc>
        <w:tc>
          <w:tcPr>
            <w:tcW w:w="1735" w:type="dxa"/>
            <w:vMerge/>
          </w:tcPr>
          <w:p w14:paraId="2574960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p>
        </w:tc>
        <w:tc>
          <w:tcPr>
            <w:tcW w:w="5136" w:type="dxa"/>
          </w:tcPr>
          <w:p w14:paraId="04AD66D0"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Przeprowadzić sprawdzianami lub przyrządami pomiarowymi (np. liniałami, przymiarami, reflektometrem, kolorymetrem, itp.)</w:t>
            </w:r>
          </w:p>
        </w:tc>
        <w:tc>
          <w:tcPr>
            <w:tcW w:w="1417" w:type="dxa"/>
            <w:vMerge/>
          </w:tcPr>
          <w:p w14:paraId="0B4DF73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p>
        </w:tc>
      </w:tr>
    </w:tbl>
    <w:p w14:paraId="5FE24CDB"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Sprawdzenie własności odblaskowych i kolorymetrycznych (współczynnika luminancji i współrzędnych chromatyczności) zaleca się przeprowadzić na licach tarcz znaków przed zamontowaniem na konstrukcjach wsporczych.</w:t>
      </w:r>
    </w:p>
    <w:p w14:paraId="07AB4860"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W przypadkach budzących wątpliwości należy zlecić uprawnionej jednostce zbadanie właściwości dostarczonych wyrobów i materiałów w zakresie wymagań podanych w punkcie 2. Przykładowy zestaw badań kontrolnych może obejmować sprawdzenie:</w:t>
      </w:r>
    </w:p>
    <w:p w14:paraId="5104440B" w14:textId="77777777" w:rsidR="00413F29" w:rsidRPr="006431C4" w:rsidRDefault="00413F29" w:rsidP="00CF1E7D">
      <w:pPr>
        <w:widowControl w:val="0"/>
        <w:numPr>
          <w:ilvl w:val="0"/>
          <w:numId w:val="178"/>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surowców:</w:t>
      </w:r>
    </w:p>
    <w:p w14:paraId="2BB34A8A" w14:textId="77777777" w:rsidR="00413F29" w:rsidRPr="006431C4" w:rsidRDefault="00413F29" w:rsidP="00CF1E7D">
      <w:pPr>
        <w:widowControl w:val="0"/>
        <w:numPr>
          <w:ilvl w:val="0"/>
          <w:numId w:val="211"/>
        </w:numPr>
        <w:tabs>
          <w:tab w:val="left" w:pos="-2977"/>
        </w:tabs>
        <w:overflowPunct w:val="0"/>
        <w:autoSpaceDE w:val="0"/>
        <w:autoSpaceDN w:val="0"/>
        <w:adjustRightInd w:val="0"/>
        <w:spacing w:line="240" w:lineRule="auto"/>
        <w:ind w:left="709" w:hanging="218"/>
        <w:jc w:val="both"/>
        <w:textAlignment w:val="baseline"/>
        <w:rPr>
          <w:rFonts w:cs="Arial"/>
          <w:szCs w:val="20"/>
        </w:rPr>
      </w:pPr>
      <w:r w:rsidRPr="006431C4">
        <w:rPr>
          <w:rFonts w:cs="Arial"/>
          <w:szCs w:val="20"/>
        </w:rPr>
        <w:t>grubości blachy i grubości ścianki słupka,</w:t>
      </w:r>
    </w:p>
    <w:p w14:paraId="183F633B" w14:textId="77777777" w:rsidR="00413F29" w:rsidRPr="006431C4" w:rsidRDefault="00413F29" w:rsidP="00CF1E7D">
      <w:pPr>
        <w:widowControl w:val="0"/>
        <w:numPr>
          <w:ilvl w:val="0"/>
          <w:numId w:val="211"/>
        </w:numPr>
        <w:tabs>
          <w:tab w:val="left" w:pos="-2977"/>
        </w:tabs>
        <w:overflowPunct w:val="0"/>
        <w:autoSpaceDE w:val="0"/>
        <w:autoSpaceDN w:val="0"/>
        <w:adjustRightInd w:val="0"/>
        <w:spacing w:line="240" w:lineRule="auto"/>
        <w:ind w:left="709" w:hanging="218"/>
        <w:jc w:val="both"/>
        <w:textAlignment w:val="baseline"/>
        <w:rPr>
          <w:rFonts w:cs="Arial"/>
          <w:szCs w:val="20"/>
        </w:rPr>
      </w:pPr>
      <w:r w:rsidRPr="006431C4">
        <w:rPr>
          <w:rFonts w:cs="Arial"/>
          <w:szCs w:val="20"/>
        </w:rPr>
        <w:t>wytrzymałości folii na oderwanie,</w:t>
      </w:r>
    </w:p>
    <w:p w14:paraId="52CE92C4" w14:textId="77777777" w:rsidR="00413F29" w:rsidRPr="006431C4" w:rsidRDefault="00413F29" w:rsidP="00CF1E7D">
      <w:pPr>
        <w:widowControl w:val="0"/>
        <w:numPr>
          <w:ilvl w:val="0"/>
          <w:numId w:val="178"/>
        </w:numPr>
        <w:overflowPunct w:val="0"/>
        <w:autoSpaceDE w:val="0"/>
        <w:autoSpaceDN w:val="0"/>
        <w:adjustRightInd w:val="0"/>
        <w:spacing w:line="240" w:lineRule="auto"/>
        <w:ind w:left="426"/>
        <w:jc w:val="both"/>
        <w:textAlignment w:val="baseline"/>
        <w:rPr>
          <w:rFonts w:cs="Arial"/>
          <w:szCs w:val="20"/>
        </w:rPr>
      </w:pPr>
      <w:r w:rsidRPr="006431C4">
        <w:rPr>
          <w:rFonts w:cs="Arial"/>
          <w:szCs w:val="20"/>
        </w:rPr>
        <w:t>półproduktów lub gotowej tarczy znaku:</w:t>
      </w:r>
    </w:p>
    <w:p w14:paraId="59E15C37" w14:textId="77777777" w:rsidR="00413F29" w:rsidRPr="006431C4" w:rsidRDefault="00413F29" w:rsidP="00CF1E7D">
      <w:pPr>
        <w:widowControl w:val="0"/>
        <w:numPr>
          <w:ilvl w:val="0"/>
          <w:numId w:val="211"/>
        </w:numPr>
        <w:tabs>
          <w:tab w:val="left" w:pos="-2977"/>
        </w:tabs>
        <w:overflowPunct w:val="0"/>
        <w:autoSpaceDE w:val="0"/>
        <w:autoSpaceDN w:val="0"/>
        <w:adjustRightInd w:val="0"/>
        <w:spacing w:line="240" w:lineRule="auto"/>
        <w:ind w:left="709" w:hanging="218"/>
        <w:jc w:val="both"/>
        <w:textAlignment w:val="baseline"/>
        <w:rPr>
          <w:rFonts w:cs="Arial"/>
          <w:szCs w:val="20"/>
        </w:rPr>
      </w:pPr>
      <w:r w:rsidRPr="006431C4">
        <w:rPr>
          <w:rFonts w:cs="Arial"/>
          <w:szCs w:val="20"/>
        </w:rPr>
        <w:t>grubości powłoki lakierniczej,</w:t>
      </w:r>
    </w:p>
    <w:p w14:paraId="359BA337" w14:textId="77777777" w:rsidR="00413F29" w:rsidRPr="006431C4" w:rsidRDefault="00413F29" w:rsidP="00CF1E7D">
      <w:pPr>
        <w:widowControl w:val="0"/>
        <w:numPr>
          <w:ilvl w:val="0"/>
          <w:numId w:val="211"/>
        </w:numPr>
        <w:tabs>
          <w:tab w:val="left" w:pos="-2977"/>
        </w:tabs>
        <w:overflowPunct w:val="0"/>
        <w:autoSpaceDE w:val="0"/>
        <w:autoSpaceDN w:val="0"/>
        <w:adjustRightInd w:val="0"/>
        <w:spacing w:line="240" w:lineRule="auto"/>
        <w:ind w:left="709" w:hanging="218"/>
        <w:jc w:val="both"/>
        <w:textAlignment w:val="baseline"/>
        <w:rPr>
          <w:rFonts w:cs="Arial"/>
          <w:szCs w:val="20"/>
        </w:rPr>
      </w:pPr>
      <w:r w:rsidRPr="006431C4">
        <w:rPr>
          <w:rFonts w:cs="Arial"/>
          <w:szCs w:val="20"/>
        </w:rPr>
        <w:t>płaskości powierzchni znaku.</w:t>
      </w:r>
    </w:p>
    <w:p w14:paraId="2ED14AC6" w14:textId="77777777" w:rsidR="00413F29" w:rsidRPr="006431C4" w:rsidRDefault="00413F29" w:rsidP="00CF1E7D">
      <w:pPr>
        <w:widowControl w:val="0"/>
        <w:numPr>
          <w:ilvl w:val="0"/>
          <w:numId w:val="211"/>
        </w:numPr>
        <w:tabs>
          <w:tab w:val="left" w:pos="-2977"/>
        </w:tabs>
        <w:overflowPunct w:val="0"/>
        <w:autoSpaceDE w:val="0"/>
        <w:autoSpaceDN w:val="0"/>
        <w:adjustRightInd w:val="0"/>
        <w:spacing w:line="240" w:lineRule="auto"/>
        <w:ind w:left="709" w:hanging="218"/>
        <w:jc w:val="both"/>
        <w:textAlignment w:val="baseline"/>
        <w:rPr>
          <w:rFonts w:cs="Arial"/>
          <w:szCs w:val="20"/>
        </w:rPr>
      </w:pPr>
      <w:r w:rsidRPr="006431C4">
        <w:rPr>
          <w:rFonts w:cs="Arial"/>
          <w:szCs w:val="20"/>
        </w:rPr>
        <w:t>wymiarów tarczy, lica znaku i rysunków na nim zawartych,</w:t>
      </w:r>
    </w:p>
    <w:p w14:paraId="2E2E66F2" w14:textId="77777777" w:rsidR="00413F29" w:rsidRPr="006431C4" w:rsidRDefault="00413F29" w:rsidP="00CF1E7D">
      <w:pPr>
        <w:widowControl w:val="0"/>
        <w:numPr>
          <w:ilvl w:val="0"/>
          <w:numId w:val="211"/>
        </w:numPr>
        <w:tabs>
          <w:tab w:val="left" w:pos="-2977"/>
        </w:tabs>
        <w:overflowPunct w:val="0"/>
        <w:autoSpaceDE w:val="0"/>
        <w:autoSpaceDN w:val="0"/>
        <w:adjustRightInd w:val="0"/>
        <w:spacing w:line="240" w:lineRule="auto"/>
        <w:ind w:left="709" w:hanging="218"/>
        <w:jc w:val="both"/>
        <w:textAlignment w:val="baseline"/>
        <w:rPr>
          <w:rFonts w:cs="Arial"/>
          <w:szCs w:val="20"/>
        </w:rPr>
      </w:pPr>
      <w:r w:rsidRPr="006431C4">
        <w:rPr>
          <w:rFonts w:cs="Arial"/>
          <w:szCs w:val="20"/>
        </w:rPr>
        <w:t>wartości współczynnika odblasku folii na licu znaku,</w:t>
      </w:r>
    </w:p>
    <w:p w14:paraId="453023A9" w14:textId="77777777" w:rsidR="00413F29" w:rsidRPr="006431C4" w:rsidRDefault="00413F29" w:rsidP="00CF1E7D">
      <w:pPr>
        <w:widowControl w:val="0"/>
        <w:numPr>
          <w:ilvl w:val="0"/>
          <w:numId w:val="211"/>
        </w:numPr>
        <w:tabs>
          <w:tab w:val="left" w:pos="-2977"/>
        </w:tabs>
        <w:overflowPunct w:val="0"/>
        <w:autoSpaceDE w:val="0"/>
        <w:autoSpaceDN w:val="0"/>
        <w:adjustRightInd w:val="0"/>
        <w:spacing w:line="240" w:lineRule="auto"/>
        <w:ind w:left="709" w:hanging="218"/>
        <w:jc w:val="both"/>
        <w:textAlignment w:val="baseline"/>
        <w:rPr>
          <w:rFonts w:cs="Arial"/>
          <w:szCs w:val="20"/>
        </w:rPr>
      </w:pPr>
      <w:r w:rsidRPr="006431C4">
        <w:rPr>
          <w:rFonts w:cs="Arial"/>
          <w:szCs w:val="20"/>
        </w:rPr>
        <w:t>wartości współrzędnych chromatyczności i współczynnika luminancji na licu i rewersie znaku,</w:t>
      </w:r>
    </w:p>
    <w:p w14:paraId="62D4EAC0" w14:textId="77777777" w:rsidR="00413F29" w:rsidRPr="006431C4" w:rsidRDefault="00413F29" w:rsidP="00CF1E7D">
      <w:pPr>
        <w:widowControl w:val="0"/>
        <w:numPr>
          <w:ilvl w:val="0"/>
          <w:numId w:val="211"/>
        </w:numPr>
        <w:tabs>
          <w:tab w:val="left" w:pos="-2977"/>
        </w:tabs>
        <w:overflowPunct w:val="0"/>
        <w:autoSpaceDE w:val="0"/>
        <w:autoSpaceDN w:val="0"/>
        <w:adjustRightInd w:val="0"/>
        <w:spacing w:line="240" w:lineRule="auto"/>
        <w:ind w:left="709" w:hanging="218"/>
        <w:jc w:val="both"/>
        <w:textAlignment w:val="baseline"/>
        <w:rPr>
          <w:rFonts w:cs="Arial"/>
          <w:szCs w:val="20"/>
        </w:rPr>
      </w:pPr>
      <w:r w:rsidRPr="006431C4">
        <w:rPr>
          <w:rFonts w:cs="Arial"/>
          <w:szCs w:val="20"/>
        </w:rPr>
        <w:t>chwilowego i trwałego odkształcenia zginającego tarczę znaku i słupek,</w:t>
      </w:r>
    </w:p>
    <w:p w14:paraId="1D3EB838" w14:textId="77777777" w:rsidR="00413F29" w:rsidRPr="006431C4" w:rsidRDefault="00413F29" w:rsidP="00CF1E7D">
      <w:pPr>
        <w:widowControl w:val="0"/>
        <w:numPr>
          <w:ilvl w:val="0"/>
          <w:numId w:val="211"/>
        </w:numPr>
        <w:tabs>
          <w:tab w:val="left" w:pos="-2977"/>
        </w:tabs>
        <w:overflowPunct w:val="0"/>
        <w:autoSpaceDE w:val="0"/>
        <w:autoSpaceDN w:val="0"/>
        <w:adjustRightInd w:val="0"/>
        <w:spacing w:line="240" w:lineRule="auto"/>
        <w:ind w:left="709" w:hanging="218"/>
        <w:jc w:val="both"/>
        <w:textAlignment w:val="baseline"/>
        <w:rPr>
          <w:rFonts w:cs="Arial"/>
          <w:szCs w:val="20"/>
        </w:rPr>
      </w:pPr>
      <w:r w:rsidRPr="006431C4">
        <w:rPr>
          <w:rFonts w:cs="Arial"/>
          <w:szCs w:val="20"/>
        </w:rPr>
        <w:t>odporności na uderzenie kulą.</w:t>
      </w:r>
    </w:p>
    <w:p w14:paraId="0A2E0879"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6.3.3. </w:t>
      </w:r>
      <w:r w:rsidRPr="006431C4">
        <w:rPr>
          <w:rFonts w:cs="Arial"/>
          <w:szCs w:val="20"/>
        </w:rPr>
        <w:t>Kontrola w czasie wykonywania robót</w:t>
      </w:r>
    </w:p>
    <w:p w14:paraId="2307D26A"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W czasie wykonywania robót należy sprawdzać:</w:t>
      </w:r>
    </w:p>
    <w:p w14:paraId="7E1FF8C8" w14:textId="77777777" w:rsidR="00413F29" w:rsidRPr="006431C4" w:rsidRDefault="00413F29" w:rsidP="00CF1E7D">
      <w:pPr>
        <w:numPr>
          <w:ilvl w:val="0"/>
          <w:numId w:val="198"/>
        </w:numPr>
        <w:overflowPunct w:val="0"/>
        <w:autoSpaceDE w:val="0"/>
        <w:autoSpaceDN w:val="0"/>
        <w:adjustRightInd w:val="0"/>
        <w:spacing w:line="240" w:lineRule="auto"/>
        <w:jc w:val="both"/>
        <w:textAlignment w:val="baseline"/>
        <w:rPr>
          <w:rFonts w:cs="Arial"/>
          <w:szCs w:val="20"/>
        </w:rPr>
      </w:pPr>
      <w:r w:rsidRPr="006431C4">
        <w:rPr>
          <w:rFonts w:cs="Arial"/>
          <w:szCs w:val="20"/>
        </w:rPr>
        <w:t>zgodność wykonania znaków pionowych z dokumentacją projektową (lokalizacja, wymiary znaków, wysokość zamocowania znaków),</w:t>
      </w:r>
    </w:p>
    <w:p w14:paraId="2B980D6A" w14:textId="77777777" w:rsidR="00413F29" w:rsidRPr="006431C4" w:rsidRDefault="00413F29" w:rsidP="00CF1E7D">
      <w:pPr>
        <w:numPr>
          <w:ilvl w:val="0"/>
          <w:numId w:val="198"/>
        </w:num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zachowanie dopuszczalnych odchyłek wymiarów, zgodnie z punktem 2 i 5,</w:t>
      </w:r>
    </w:p>
    <w:p w14:paraId="03475F9F" w14:textId="77777777" w:rsidR="00413F29" w:rsidRPr="006431C4" w:rsidRDefault="00413F29" w:rsidP="00CF1E7D">
      <w:pPr>
        <w:numPr>
          <w:ilvl w:val="0"/>
          <w:numId w:val="198"/>
        </w:numPr>
        <w:overflowPunct w:val="0"/>
        <w:autoSpaceDE w:val="0"/>
        <w:autoSpaceDN w:val="0"/>
        <w:adjustRightInd w:val="0"/>
        <w:spacing w:line="240" w:lineRule="auto"/>
        <w:jc w:val="both"/>
        <w:textAlignment w:val="baseline"/>
        <w:rPr>
          <w:rFonts w:cs="Arial"/>
          <w:szCs w:val="20"/>
        </w:rPr>
      </w:pPr>
      <w:r w:rsidRPr="006431C4">
        <w:rPr>
          <w:rFonts w:cs="Arial"/>
          <w:szCs w:val="20"/>
        </w:rPr>
        <w:t>prawidłowość wykonania wykopów pod konstrukcje wsporcze, zgodnie z punktem 5.3,</w:t>
      </w:r>
    </w:p>
    <w:p w14:paraId="642C0E82" w14:textId="77777777" w:rsidR="00413F29" w:rsidRPr="006431C4" w:rsidRDefault="00413F29" w:rsidP="00CF1E7D">
      <w:pPr>
        <w:numPr>
          <w:ilvl w:val="0"/>
          <w:numId w:val="198"/>
        </w:numPr>
        <w:overflowPunct w:val="0"/>
        <w:autoSpaceDE w:val="0"/>
        <w:autoSpaceDN w:val="0"/>
        <w:adjustRightInd w:val="0"/>
        <w:spacing w:line="240" w:lineRule="auto"/>
        <w:jc w:val="both"/>
        <w:textAlignment w:val="baseline"/>
        <w:rPr>
          <w:rFonts w:cs="Arial"/>
          <w:szCs w:val="20"/>
        </w:rPr>
      </w:pPr>
      <w:r w:rsidRPr="006431C4">
        <w:rPr>
          <w:rFonts w:cs="Arial"/>
          <w:szCs w:val="20"/>
        </w:rPr>
        <w:t>poprawność wykonania fundamentów pod słupki zgodnie z punktem 5.3,</w:t>
      </w:r>
    </w:p>
    <w:p w14:paraId="09357077" w14:textId="77777777" w:rsidR="00413F29" w:rsidRPr="006431C4" w:rsidRDefault="00413F29" w:rsidP="00CF1E7D">
      <w:pPr>
        <w:numPr>
          <w:ilvl w:val="0"/>
          <w:numId w:val="198"/>
        </w:numPr>
        <w:overflowPunct w:val="0"/>
        <w:autoSpaceDE w:val="0"/>
        <w:autoSpaceDN w:val="0"/>
        <w:adjustRightInd w:val="0"/>
        <w:spacing w:line="240" w:lineRule="auto"/>
        <w:jc w:val="both"/>
        <w:textAlignment w:val="baseline"/>
        <w:rPr>
          <w:rFonts w:cs="Arial"/>
          <w:szCs w:val="20"/>
        </w:rPr>
      </w:pPr>
      <w:r w:rsidRPr="006431C4">
        <w:rPr>
          <w:rFonts w:cs="Arial"/>
          <w:szCs w:val="20"/>
        </w:rPr>
        <w:t>poprawność ustawienia słupków i konstrukcji wsporczych, zgodnie z punktem 5.4,</w:t>
      </w:r>
    </w:p>
    <w:p w14:paraId="62284A8A" w14:textId="77777777" w:rsidR="00413F29" w:rsidRPr="006431C4" w:rsidRDefault="00413F29" w:rsidP="00CF1E7D">
      <w:pPr>
        <w:numPr>
          <w:ilvl w:val="0"/>
          <w:numId w:val="198"/>
        </w:numPr>
        <w:overflowPunct w:val="0"/>
        <w:autoSpaceDE w:val="0"/>
        <w:autoSpaceDN w:val="0"/>
        <w:adjustRightInd w:val="0"/>
        <w:spacing w:line="240" w:lineRule="auto"/>
        <w:jc w:val="both"/>
        <w:textAlignment w:val="baseline"/>
        <w:rPr>
          <w:rFonts w:cs="Arial"/>
          <w:szCs w:val="20"/>
        </w:rPr>
      </w:pPr>
      <w:r w:rsidRPr="006431C4">
        <w:rPr>
          <w:rFonts w:cs="Arial"/>
          <w:szCs w:val="20"/>
        </w:rPr>
        <w:t>zgodność rodzaju i grubości blachy ze specyfikacją,</w:t>
      </w:r>
    </w:p>
    <w:p w14:paraId="3EC06AA6" w14:textId="77777777" w:rsidR="00413F29" w:rsidRPr="006431C4" w:rsidRDefault="00413F29" w:rsidP="00CF1E7D">
      <w:pPr>
        <w:numPr>
          <w:ilvl w:val="0"/>
          <w:numId w:val="198"/>
        </w:numPr>
        <w:overflowPunct w:val="0"/>
        <w:autoSpaceDE w:val="0"/>
        <w:autoSpaceDN w:val="0"/>
        <w:adjustRightInd w:val="0"/>
        <w:spacing w:line="240" w:lineRule="auto"/>
        <w:jc w:val="both"/>
        <w:textAlignment w:val="baseline"/>
        <w:rPr>
          <w:rFonts w:cs="Arial"/>
          <w:szCs w:val="20"/>
        </w:rPr>
      </w:pPr>
      <w:r w:rsidRPr="006431C4">
        <w:rPr>
          <w:rFonts w:cs="Arial"/>
          <w:szCs w:val="20"/>
        </w:rPr>
        <w:t>grubość warstwy cynku na słupkach i blasze stalowej,</w:t>
      </w:r>
    </w:p>
    <w:p w14:paraId="76C825F6" w14:textId="77777777" w:rsidR="00413F29" w:rsidRPr="006431C4" w:rsidRDefault="00413F29" w:rsidP="00CF1E7D">
      <w:pPr>
        <w:numPr>
          <w:ilvl w:val="0"/>
          <w:numId w:val="198"/>
        </w:numPr>
        <w:overflowPunct w:val="0"/>
        <w:autoSpaceDE w:val="0"/>
        <w:autoSpaceDN w:val="0"/>
        <w:adjustRightInd w:val="0"/>
        <w:spacing w:line="240" w:lineRule="auto"/>
        <w:jc w:val="both"/>
        <w:textAlignment w:val="baseline"/>
        <w:rPr>
          <w:rFonts w:cs="Arial"/>
          <w:szCs w:val="20"/>
        </w:rPr>
      </w:pPr>
      <w:r w:rsidRPr="006431C4">
        <w:rPr>
          <w:rFonts w:cs="Arial"/>
          <w:szCs w:val="20"/>
        </w:rPr>
        <w:t>grubość warstwy lakieru na rewersie tarczy znaku.</w:t>
      </w:r>
    </w:p>
    <w:p w14:paraId="77654F6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6.3.4. </w:t>
      </w:r>
      <w:r w:rsidRPr="006431C4">
        <w:rPr>
          <w:rFonts w:cs="Arial"/>
          <w:szCs w:val="20"/>
        </w:rPr>
        <w:t>Kontrola przed odbiorem końcowym</w:t>
      </w:r>
    </w:p>
    <w:p w14:paraId="04A3A771"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Do odbioru końcowego robót należy:</w:t>
      </w:r>
    </w:p>
    <w:p w14:paraId="155B5420" w14:textId="77777777" w:rsidR="00413F29" w:rsidRPr="006431C4" w:rsidRDefault="00413F29" w:rsidP="00CF1E7D">
      <w:pPr>
        <w:numPr>
          <w:ilvl w:val="0"/>
          <w:numId w:val="199"/>
        </w:numPr>
        <w:overflowPunct w:val="0"/>
        <w:autoSpaceDE w:val="0"/>
        <w:autoSpaceDN w:val="0"/>
        <w:adjustRightInd w:val="0"/>
        <w:spacing w:line="240" w:lineRule="auto"/>
        <w:jc w:val="both"/>
        <w:textAlignment w:val="baseline"/>
        <w:rPr>
          <w:rFonts w:cs="Arial"/>
          <w:szCs w:val="20"/>
        </w:rPr>
      </w:pPr>
      <w:r w:rsidRPr="006431C4">
        <w:rPr>
          <w:rFonts w:cs="Arial"/>
          <w:szCs w:val="20"/>
        </w:rPr>
        <w:t>sprawdzić zgodność wykonania zlecenia z podpisaną umową i ST,</w:t>
      </w:r>
    </w:p>
    <w:p w14:paraId="6BB6FA55" w14:textId="77777777" w:rsidR="00413F29" w:rsidRPr="006431C4" w:rsidRDefault="00413F29" w:rsidP="00CF1E7D">
      <w:pPr>
        <w:numPr>
          <w:ilvl w:val="0"/>
          <w:numId w:val="199"/>
        </w:numPr>
        <w:overflowPunct w:val="0"/>
        <w:autoSpaceDE w:val="0"/>
        <w:autoSpaceDN w:val="0"/>
        <w:adjustRightInd w:val="0"/>
        <w:spacing w:line="240" w:lineRule="auto"/>
        <w:jc w:val="both"/>
        <w:textAlignment w:val="baseline"/>
        <w:rPr>
          <w:rFonts w:cs="Arial"/>
          <w:szCs w:val="20"/>
        </w:rPr>
      </w:pPr>
      <w:r w:rsidRPr="006431C4">
        <w:rPr>
          <w:rFonts w:cs="Arial"/>
          <w:szCs w:val="20"/>
        </w:rPr>
        <w:t>dokonać objazdu nocnego i ocenić odblaskowość wykonanego oznakowania,</w:t>
      </w:r>
    </w:p>
    <w:p w14:paraId="65AE7D3F" w14:textId="77777777" w:rsidR="00413F29" w:rsidRPr="006431C4" w:rsidRDefault="00413F29" w:rsidP="00CF1E7D">
      <w:pPr>
        <w:numPr>
          <w:ilvl w:val="0"/>
          <w:numId w:val="199"/>
        </w:numPr>
        <w:overflowPunct w:val="0"/>
        <w:autoSpaceDE w:val="0"/>
        <w:autoSpaceDN w:val="0"/>
        <w:adjustRightInd w:val="0"/>
        <w:spacing w:line="240" w:lineRule="auto"/>
        <w:jc w:val="both"/>
        <w:textAlignment w:val="baseline"/>
        <w:rPr>
          <w:rFonts w:cs="Arial"/>
          <w:szCs w:val="20"/>
        </w:rPr>
      </w:pPr>
      <w:r w:rsidRPr="006431C4">
        <w:rPr>
          <w:rFonts w:cs="Arial"/>
          <w:szCs w:val="20"/>
        </w:rPr>
        <w:t>jeśli są wątpliwości wykonać własnym sprzętem lub zlecić wykonanie badań odblaskowości.</w:t>
      </w:r>
    </w:p>
    <w:p w14:paraId="7207C927" w14:textId="77777777" w:rsidR="00413F29" w:rsidRPr="006431C4" w:rsidRDefault="00413F29"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38" w:name="_Toc505581990"/>
      <w:r w:rsidRPr="006431C4">
        <w:rPr>
          <w:rFonts w:cs="Arial"/>
          <w:b/>
          <w:caps/>
          <w:kern w:val="28"/>
          <w:szCs w:val="20"/>
        </w:rPr>
        <w:t>7. Obmiar robót</w:t>
      </w:r>
      <w:bookmarkEnd w:id="1038"/>
    </w:p>
    <w:p w14:paraId="2FBCD342"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7.1. Ogólne zasady obmiaru robót</w:t>
      </w:r>
    </w:p>
    <w:p w14:paraId="7A0148A4"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obmiaru robót podano w SST  D-M-00.00.00 „Wymagania ogólne” pkt 7.</w:t>
      </w:r>
    </w:p>
    <w:p w14:paraId="1E4CA83A"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p>
    <w:p w14:paraId="7DDE7B3B"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7.2. Jednostka obmiarowa</w:t>
      </w:r>
    </w:p>
    <w:p w14:paraId="5B2A6F2F"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Jednostkami obmiarowymi są:</w:t>
      </w:r>
    </w:p>
    <w:p w14:paraId="05F83585" w14:textId="77777777" w:rsidR="00413F29" w:rsidRPr="006431C4" w:rsidRDefault="00413F29" w:rsidP="00270120">
      <w:pPr>
        <w:numPr>
          <w:ilvl w:val="0"/>
          <w:numId w:val="30"/>
        </w:numPr>
        <w:overflowPunct w:val="0"/>
        <w:autoSpaceDE w:val="0"/>
        <w:autoSpaceDN w:val="0"/>
        <w:adjustRightInd w:val="0"/>
        <w:spacing w:line="240" w:lineRule="auto"/>
        <w:jc w:val="both"/>
        <w:textAlignment w:val="baseline"/>
        <w:rPr>
          <w:rFonts w:cs="Arial"/>
          <w:szCs w:val="20"/>
        </w:rPr>
      </w:pPr>
      <w:r w:rsidRPr="006431C4">
        <w:rPr>
          <w:rFonts w:cs="Arial"/>
          <w:szCs w:val="20"/>
        </w:rPr>
        <w:t>szt. (sztuka), dla znaków drogowych konwencjonalnych oraz konstrukcji wsporczych,</w:t>
      </w:r>
    </w:p>
    <w:p w14:paraId="1E29E1D2" w14:textId="77777777" w:rsidR="00413F29" w:rsidRPr="006431C4" w:rsidRDefault="00413F29" w:rsidP="00270120">
      <w:pPr>
        <w:numPr>
          <w:ilvl w:val="0"/>
          <w:numId w:val="30"/>
        </w:numPr>
        <w:overflowPunct w:val="0"/>
        <w:autoSpaceDE w:val="0"/>
        <w:autoSpaceDN w:val="0"/>
        <w:adjustRightInd w:val="0"/>
        <w:spacing w:line="240" w:lineRule="auto"/>
        <w:jc w:val="both"/>
        <w:textAlignment w:val="baseline"/>
        <w:rPr>
          <w:rFonts w:cs="Arial"/>
          <w:szCs w:val="20"/>
        </w:rPr>
      </w:pPr>
      <w:r w:rsidRPr="006431C4">
        <w:rPr>
          <w:rFonts w:cs="Arial"/>
          <w:szCs w:val="20"/>
        </w:rPr>
        <w:t>m</w:t>
      </w:r>
      <w:r w:rsidRPr="006431C4">
        <w:rPr>
          <w:rFonts w:cs="Arial"/>
          <w:szCs w:val="20"/>
          <w:vertAlign w:val="superscript"/>
        </w:rPr>
        <w:t>2</w:t>
      </w:r>
      <w:r w:rsidRPr="006431C4">
        <w:rPr>
          <w:rFonts w:cs="Arial"/>
          <w:szCs w:val="20"/>
        </w:rPr>
        <w:t xml:space="preserve"> (metr kwadratowy) powierzchni tablic dla znaków pozostałych.</w:t>
      </w:r>
    </w:p>
    <w:p w14:paraId="47C8F919" w14:textId="77777777" w:rsidR="00413F29" w:rsidRPr="006431C4" w:rsidRDefault="00413F29"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39" w:name="_Toc505581991"/>
      <w:r w:rsidRPr="006431C4">
        <w:rPr>
          <w:rFonts w:cs="Arial"/>
          <w:b/>
          <w:caps/>
          <w:kern w:val="28"/>
          <w:szCs w:val="20"/>
        </w:rPr>
        <w:t>8. Odbiór robót</w:t>
      </w:r>
      <w:bookmarkEnd w:id="1039"/>
    </w:p>
    <w:p w14:paraId="04091CB0"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8.1. Ogólne zasady odbioru robót</w:t>
      </w:r>
    </w:p>
    <w:p w14:paraId="6C9E2EED"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Ogólne zasady odbioru robót podano w SST  D-M-00.00.00 „Wymagania ogólne” pkt 8.</w:t>
      </w:r>
    </w:p>
    <w:p w14:paraId="0B7B33A3"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Roboty uznaje się za wykonane zgodnie z dokumentacją projektową, SST i wymaganiami Inżyniera, jeżeli przeprowadzone badania i pomiary z zachowaniem tolerancji według pktu 6 dały wyniki pozytywne.</w:t>
      </w:r>
    </w:p>
    <w:p w14:paraId="1078994F"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8.2. Odbiór ostateczny</w:t>
      </w:r>
    </w:p>
    <w:p w14:paraId="7D9E1BC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Odbiór robót oznakowania pionowego dokonywany jest na zasadzie odbioru ostatecznego. Odbiór ostateczny polega na finalnej ocenie rzeczywistego wykonania robót w odniesieniu do ich ilości, jakości i wartości [30]. Całkowite zakończenie robót oraz gotowość do odbioru ostatecznego będzie potwierdzona przez Wykonawcę wpisem do dziennika budowy z bezzwłocznym powiadomieniem na piśmie Inspektora Nadzoru. </w:t>
      </w:r>
      <w:r w:rsidRPr="006431C4">
        <w:rPr>
          <w:rFonts w:cs="Arial"/>
          <w:szCs w:val="20"/>
        </w:rPr>
        <w:tab/>
        <w:t>Odbioru ostatecznego robót dokonuje komisja wyznaczona przez Zamawiającego w obecności Inspektora Nadzoru i Wykonawcy. Komisja odbierająca roboty dokonuje ich oceny jakościowej na podstawie oceny wizualnej, przedłożonych dokumentów, wyników badań i pomiarów oraz zgodności wykonania oznakowania z dokumentacja projektową i ST.</w:t>
      </w:r>
    </w:p>
    <w:p w14:paraId="359D78D7"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8.3. Odbiór pogwarancyjny</w:t>
      </w:r>
    </w:p>
    <w:p w14:paraId="7531A333"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Przed upływem okresu gwarancyjnego jakości należy wykonać przegląd znaków i wybraną grupę poddać badaniom fotometrycznym lica. Pozytywne wyniki przeglądu i badań mogą być podstawą odbioru pogwarancyjnego.</w:t>
      </w:r>
    </w:p>
    <w:p w14:paraId="0C4EC63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Odbiór pogwarancyjny polega na ocenie wykonanych robót związanych z usunięciem wad stwierdzonych w trakcie odbioru ostatecznego i zaistniałych w okresie gwarancyjnym.</w:t>
      </w:r>
    </w:p>
    <w:p w14:paraId="45176BB9" w14:textId="77777777" w:rsidR="00413F29" w:rsidRPr="006431C4" w:rsidRDefault="00413F29" w:rsidP="00270120">
      <w:pPr>
        <w:overflowPunct w:val="0"/>
        <w:autoSpaceDE w:val="0"/>
        <w:autoSpaceDN w:val="0"/>
        <w:adjustRightInd w:val="0"/>
        <w:spacing w:line="240" w:lineRule="auto"/>
        <w:ind w:firstLine="709"/>
        <w:jc w:val="both"/>
        <w:textAlignment w:val="baseline"/>
        <w:rPr>
          <w:rFonts w:cs="Arial"/>
          <w:szCs w:val="20"/>
        </w:rPr>
      </w:pPr>
      <w:r w:rsidRPr="006431C4">
        <w:rPr>
          <w:rFonts w:cs="Arial"/>
          <w:szCs w:val="20"/>
        </w:rPr>
        <w:t>Odbiór pogwarancyjny zaleca się przeprowadzić w ciągu 1 miesiąca po upływie okresu gwarancyjnego, ustalonego w ST.</w:t>
      </w:r>
    </w:p>
    <w:p w14:paraId="2E8C6B14" w14:textId="77777777" w:rsidR="00413F29" w:rsidRPr="006431C4" w:rsidRDefault="00413F29"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40" w:name="_Toc505581992"/>
      <w:r w:rsidRPr="006431C4">
        <w:rPr>
          <w:rFonts w:cs="Arial"/>
          <w:b/>
          <w:caps/>
          <w:kern w:val="28"/>
          <w:szCs w:val="20"/>
        </w:rPr>
        <w:t>9. Podstawa płatności</w:t>
      </w:r>
      <w:bookmarkEnd w:id="1040"/>
    </w:p>
    <w:p w14:paraId="5BF4B40F" w14:textId="77777777" w:rsidR="00413F29" w:rsidRPr="006431C4" w:rsidRDefault="00413F29"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9.1. Ogólne ustalenia dotyczące podstawy płatności</w:t>
      </w:r>
    </w:p>
    <w:p w14:paraId="55AC7C77" w14:textId="77777777" w:rsidR="00413F29" w:rsidRPr="006431C4" w:rsidRDefault="00413F29" w:rsidP="00270120">
      <w:pPr>
        <w:numPr>
          <w:ilvl w:val="12"/>
          <w:numId w:val="0"/>
        </w:numPr>
        <w:overflowPunct w:val="0"/>
        <w:autoSpaceDE w:val="0"/>
        <w:autoSpaceDN w:val="0"/>
        <w:adjustRightInd w:val="0"/>
        <w:spacing w:line="240" w:lineRule="auto"/>
        <w:jc w:val="both"/>
        <w:textAlignment w:val="baseline"/>
        <w:rPr>
          <w:rFonts w:cs="Arial"/>
          <w:szCs w:val="20"/>
        </w:rPr>
      </w:pPr>
      <w:r w:rsidRPr="006431C4">
        <w:rPr>
          <w:rFonts w:cs="Arial"/>
          <w:szCs w:val="20"/>
        </w:rPr>
        <w:tab/>
        <w:t xml:space="preserve">Ogólne ustalenia dotyczące podstawy płatności podano w SST D-M-00.00.00 „Wymagania ogólne” pkt 9. </w:t>
      </w:r>
    </w:p>
    <w:p w14:paraId="552FB2FA"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9.2. Cena jednostki obmiarowej</w:t>
      </w:r>
    </w:p>
    <w:p w14:paraId="21F2012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b/>
        <w:t>Cena wykonania jednostki obmiarowej oznakowania pionowego obejmuje:</w:t>
      </w:r>
    </w:p>
    <w:p w14:paraId="5C240BD0" w14:textId="77777777" w:rsidR="00413F29" w:rsidRPr="006431C4" w:rsidRDefault="00413F29" w:rsidP="00CF1E7D">
      <w:pPr>
        <w:numPr>
          <w:ilvl w:val="0"/>
          <w:numId w:val="200"/>
        </w:numPr>
        <w:overflowPunct w:val="0"/>
        <w:autoSpaceDE w:val="0"/>
        <w:autoSpaceDN w:val="0"/>
        <w:adjustRightInd w:val="0"/>
        <w:spacing w:line="240" w:lineRule="auto"/>
        <w:jc w:val="both"/>
        <w:textAlignment w:val="baseline"/>
        <w:rPr>
          <w:rFonts w:cs="Arial"/>
          <w:szCs w:val="20"/>
        </w:rPr>
      </w:pPr>
      <w:r w:rsidRPr="006431C4">
        <w:rPr>
          <w:rFonts w:cs="Arial"/>
          <w:szCs w:val="20"/>
        </w:rPr>
        <w:t>prace pomiarowe i roboty przygotowawcze,</w:t>
      </w:r>
    </w:p>
    <w:p w14:paraId="6DE61D0D" w14:textId="77777777" w:rsidR="00413F29" w:rsidRPr="006431C4" w:rsidRDefault="00413F29" w:rsidP="00CF1E7D">
      <w:pPr>
        <w:numPr>
          <w:ilvl w:val="0"/>
          <w:numId w:val="200"/>
        </w:numPr>
        <w:overflowPunct w:val="0"/>
        <w:autoSpaceDE w:val="0"/>
        <w:autoSpaceDN w:val="0"/>
        <w:adjustRightInd w:val="0"/>
        <w:spacing w:line="240" w:lineRule="auto"/>
        <w:jc w:val="both"/>
        <w:textAlignment w:val="baseline"/>
        <w:rPr>
          <w:rFonts w:cs="Arial"/>
          <w:szCs w:val="20"/>
        </w:rPr>
      </w:pPr>
      <w:r w:rsidRPr="006431C4">
        <w:rPr>
          <w:rFonts w:cs="Arial"/>
          <w:szCs w:val="20"/>
        </w:rPr>
        <w:t>wykonanie fundamentów,</w:t>
      </w:r>
    </w:p>
    <w:p w14:paraId="2FF56A8B" w14:textId="77777777" w:rsidR="00413F29" w:rsidRPr="006431C4" w:rsidRDefault="00413F29" w:rsidP="00CF1E7D">
      <w:pPr>
        <w:numPr>
          <w:ilvl w:val="0"/>
          <w:numId w:val="200"/>
        </w:numPr>
        <w:overflowPunct w:val="0"/>
        <w:autoSpaceDE w:val="0"/>
        <w:autoSpaceDN w:val="0"/>
        <w:adjustRightInd w:val="0"/>
        <w:spacing w:line="240" w:lineRule="auto"/>
        <w:jc w:val="both"/>
        <w:textAlignment w:val="baseline"/>
        <w:rPr>
          <w:rFonts w:cs="Arial"/>
          <w:szCs w:val="20"/>
        </w:rPr>
      </w:pPr>
      <w:r w:rsidRPr="006431C4">
        <w:rPr>
          <w:rFonts w:cs="Arial"/>
          <w:szCs w:val="20"/>
        </w:rPr>
        <w:t>dostarczenie i ustawienie konstrukcji wsporczych,</w:t>
      </w:r>
    </w:p>
    <w:p w14:paraId="750522D8" w14:textId="77777777" w:rsidR="00413F29" w:rsidRPr="006431C4" w:rsidRDefault="00413F29" w:rsidP="00CF1E7D">
      <w:pPr>
        <w:numPr>
          <w:ilvl w:val="0"/>
          <w:numId w:val="200"/>
        </w:numPr>
        <w:overflowPunct w:val="0"/>
        <w:autoSpaceDE w:val="0"/>
        <w:autoSpaceDN w:val="0"/>
        <w:adjustRightInd w:val="0"/>
        <w:spacing w:line="240" w:lineRule="auto"/>
        <w:jc w:val="both"/>
        <w:textAlignment w:val="baseline"/>
        <w:rPr>
          <w:rFonts w:cs="Arial"/>
          <w:szCs w:val="20"/>
        </w:rPr>
      </w:pPr>
      <w:r w:rsidRPr="006431C4">
        <w:rPr>
          <w:rFonts w:cs="Arial"/>
          <w:szCs w:val="20"/>
        </w:rPr>
        <w:t>zamocowanie tarcz znaków drogowych,</w:t>
      </w:r>
    </w:p>
    <w:p w14:paraId="6116BC31" w14:textId="77777777" w:rsidR="00413F29" w:rsidRPr="006431C4" w:rsidRDefault="00413F29" w:rsidP="00CF1E7D">
      <w:pPr>
        <w:numPr>
          <w:ilvl w:val="0"/>
          <w:numId w:val="200"/>
        </w:numPr>
        <w:overflowPunct w:val="0"/>
        <w:autoSpaceDE w:val="0"/>
        <w:autoSpaceDN w:val="0"/>
        <w:adjustRightInd w:val="0"/>
        <w:spacing w:line="240" w:lineRule="auto"/>
        <w:jc w:val="both"/>
        <w:textAlignment w:val="baseline"/>
        <w:rPr>
          <w:rFonts w:cs="Arial"/>
          <w:szCs w:val="20"/>
        </w:rPr>
      </w:pPr>
      <w:r w:rsidRPr="006431C4">
        <w:rPr>
          <w:rFonts w:cs="Arial"/>
          <w:szCs w:val="20"/>
        </w:rPr>
        <w:t>przeprowadzenie pomiarów i badań wymaganych w ST.</w:t>
      </w:r>
    </w:p>
    <w:p w14:paraId="403E8A3A" w14:textId="77777777" w:rsidR="00413F29" w:rsidRPr="006431C4" w:rsidRDefault="00413F29"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41" w:name="_Toc505581993"/>
      <w:r w:rsidRPr="006431C4">
        <w:rPr>
          <w:rFonts w:cs="Arial"/>
          <w:b/>
          <w:caps/>
          <w:kern w:val="28"/>
          <w:szCs w:val="20"/>
        </w:rPr>
        <w:t>10. Przepisy związane</w:t>
      </w:r>
      <w:bookmarkEnd w:id="1041"/>
    </w:p>
    <w:p w14:paraId="3A49B886" w14:textId="77777777" w:rsidR="00413F29" w:rsidRPr="006431C4" w:rsidRDefault="00413F29" w:rsidP="00270120">
      <w:pPr>
        <w:keepNext/>
        <w:overflowPunct w:val="0"/>
        <w:autoSpaceDE w:val="0"/>
        <w:autoSpaceDN w:val="0"/>
        <w:adjustRightInd w:val="0"/>
        <w:spacing w:line="240" w:lineRule="auto"/>
        <w:jc w:val="both"/>
        <w:textAlignment w:val="baseline"/>
        <w:outlineLvl w:val="1"/>
        <w:rPr>
          <w:rFonts w:cs="Arial"/>
          <w:b/>
          <w:szCs w:val="20"/>
        </w:rPr>
      </w:pPr>
      <w:r w:rsidRPr="006431C4">
        <w:rPr>
          <w:rFonts w:cs="Arial"/>
          <w:b/>
          <w:szCs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8009"/>
      </w:tblGrid>
      <w:tr w:rsidR="00413F29" w:rsidRPr="006431C4" w14:paraId="480E9E1D" w14:textId="77777777" w:rsidTr="005F616C">
        <w:tc>
          <w:tcPr>
            <w:tcW w:w="496" w:type="dxa"/>
            <w:tcBorders>
              <w:top w:val="nil"/>
              <w:left w:val="nil"/>
              <w:bottom w:val="nil"/>
              <w:right w:val="nil"/>
            </w:tcBorders>
          </w:tcPr>
          <w:p w14:paraId="3938C446"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1.</w:t>
            </w:r>
          </w:p>
        </w:tc>
        <w:tc>
          <w:tcPr>
            <w:tcW w:w="2268" w:type="dxa"/>
            <w:tcBorders>
              <w:top w:val="nil"/>
              <w:left w:val="nil"/>
              <w:bottom w:val="nil"/>
              <w:right w:val="nil"/>
            </w:tcBorders>
          </w:tcPr>
          <w:p w14:paraId="51CE71D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PN-EN 12899-1:2010 </w:t>
            </w:r>
          </w:p>
        </w:tc>
        <w:tc>
          <w:tcPr>
            <w:tcW w:w="8009" w:type="dxa"/>
            <w:tcBorders>
              <w:top w:val="nil"/>
              <w:left w:val="nil"/>
              <w:bottom w:val="nil"/>
              <w:right w:val="nil"/>
            </w:tcBorders>
          </w:tcPr>
          <w:p w14:paraId="77F33394" w14:textId="77777777" w:rsidR="00413F29" w:rsidRPr="006431C4" w:rsidRDefault="00413F29" w:rsidP="00270120">
            <w:pPr>
              <w:overflowPunct w:val="0"/>
              <w:autoSpaceDE w:val="0"/>
              <w:autoSpaceDN w:val="0"/>
              <w:adjustRightInd w:val="0"/>
              <w:spacing w:line="240" w:lineRule="auto"/>
              <w:jc w:val="both"/>
              <w:rPr>
                <w:rFonts w:cs="Arial"/>
                <w:strike/>
                <w:szCs w:val="20"/>
              </w:rPr>
            </w:pPr>
            <w:r w:rsidRPr="006431C4">
              <w:rPr>
                <w:rFonts w:cs="Arial"/>
                <w:szCs w:val="20"/>
              </w:rPr>
              <w:t>Stałe, pionowe znaki drogowe - Część 1: Znaki stałe</w:t>
            </w:r>
          </w:p>
        </w:tc>
      </w:tr>
      <w:tr w:rsidR="00413F29" w:rsidRPr="006431C4" w14:paraId="5B239DC5" w14:textId="77777777" w:rsidTr="005F616C">
        <w:tc>
          <w:tcPr>
            <w:tcW w:w="496" w:type="dxa"/>
            <w:tcBorders>
              <w:top w:val="nil"/>
              <w:left w:val="nil"/>
              <w:bottom w:val="nil"/>
              <w:right w:val="nil"/>
            </w:tcBorders>
          </w:tcPr>
          <w:p w14:paraId="73D4A75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2.</w:t>
            </w:r>
          </w:p>
        </w:tc>
        <w:tc>
          <w:tcPr>
            <w:tcW w:w="2268" w:type="dxa"/>
            <w:tcBorders>
              <w:top w:val="nil"/>
              <w:left w:val="nil"/>
              <w:bottom w:val="nil"/>
              <w:right w:val="nil"/>
            </w:tcBorders>
          </w:tcPr>
          <w:p w14:paraId="402552A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PN-EN 12767:2008</w:t>
            </w:r>
          </w:p>
        </w:tc>
        <w:tc>
          <w:tcPr>
            <w:tcW w:w="8009" w:type="dxa"/>
            <w:tcBorders>
              <w:top w:val="nil"/>
              <w:left w:val="nil"/>
              <w:bottom w:val="nil"/>
              <w:right w:val="nil"/>
            </w:tcBorders>
          </w:tcPr>
          <w:p w14:paraId="72E1CA87" w14:textId="77777777" w:rsidR="00413F29" w:rsidRPr="006431C4" w:rsidRDefault="00413F29" w:rsidP="00270120">
            <w:pPr>
              <w:spacing w:line="240" w:lineRule="auto"/>
              <w:jc w:val="both"/>
              <w:rPr>
                <w:rFonts w:cs="Arial"/>
                <w:szCs w:val="20"/>
              </w:rPr>
            </w:pPr>
            <w:r w:rsidRPr="006431C4">
              <w:rPr>
                <w:rFonts w:cs="Arial"/>
                <w:szCs w:val="20"/>
              </w:rPr>
              <w:t>Bierne bezpieczeństwo konstrukcji wsporczych dla urządzeń drogowych - Wymagania i metody badań</w:t>
            </w:r>
          </w:p>
        </w:tc>
      </w:tr>
      <w:tr w:rsidR="00413F29" w:rsidRPr="006431C4" w14:paraId="410A9A82" w14:textId="77777777" w:rsidTr="005F616C">
        <w:tc>
          <w:tcPr>
            <w:tcW w:w="496" w:type="dxa"/>
            <w:tcBorders>
              <w:top w:val="nil"/>
              <w:left w:val="nil"/>
              <w:bottom w:val="nil"/>
              <w:right w:val="nil"/>
            </w:tcBorders>
          </w:tcPr>
          <w:p w14:paraId="00686AC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3.</w:t>
            </w:r>
          </w:p>
        </w:tc>
        <w:tc>
          <w:tcPr>
            <w:tcW w:w="2268" w:type="dxa"/>
            <w:tcBorders>
              <w:top w:val="nil"/>
              <w:left w:val="nil"/>
              <w:bottom w:val="nil"/>
              <w:right w:val="nil"/>
            </w:tcBorders>
          </w:tcPr>
          <w:p w14:paraId="40D62B51" w14:textId="77777777" w:rsidR="00413F29" w:rsidRPr="006431C4" w:rsidRDefault="00413F29" w:rsidP="00270120">
            <w:pPr>
              <w:overflowPunct w:val="0"/>
              <w:autoSpaceDE w:val="0"/>
              <w:autoSpaceDN w:val="0"/>
              <w:adjustRightInd w:val="0"/>
              <w:spacing w:line="240" w:lineRule="auto"/>
              <w:textAlignment w:val="baseline"/>
              <w:rPr>
                <w:rFonts w:cs="Arial"/>
                <w:strike/>
                <w:szCs w:val="20"/>
              </w:rPr>
            </w:pPr>
            <w:r w:rsidRPr="006431C4">
              <w:rPr>
                <w:rFonts w:cs="Arial"/>
                <w:szCs w:val="20"/>
              </w:rPr>
              <w:t xml:space="preserve">PN-EN 1992-1-1: 2008/NA:2016-11 </w:t>
            </w:r>
          </w:p>
        </w:tc>
        <w:tc>
          <w:tcPr>
            <w:tcW w:w="8009" w:type="dxa"/>
            <w:tcBorders>
              <w:top w:val="nil"/>
              <w:left w:val="nil"/>
              <w:bottom w:val="nil"/>
              <w:right w:val="nil"/>
            </w:tcBorders>
          </w:tcPr>
          <w:p w14:paraId="73488B08" w14:textId="77777777" w:rsidR="00413F29" w:rsidRPr="006431C4" w:rsidRDefault="00413F29" w:rsidP="00270120">
            <w:pPr>
              <w:overflowPunct w:val="0"/>
              <w:autoSpaceDE w:val="0"/>
              <w:autoSpaceDN w:val="0"/>
              <w:adjustRightInd w:val="0"/>
              <w:spacing w:line="240" w:lineRule="auto"/>
              <w:jc w:val="both"/>
              <w:textAlignment w:val="baseline"/>
              <w:rPr>
                <w:rFonts w:cs="Arial"/>
                <w:strike/>
                <w:szCs w:val="20"/>
              </w:rPr>
            </w:pPr>
            <w:r w:rsidRPr="006431C4">
              <w:rPr>
                <w:rFonts w:cs="Arial"/>
                <w:szCs w:val="20"/>
              </w:rPr>
              <w:t xml:space="preserve">Eurokod 2: Projektowanie konstrukcji z betonu – Część 1-1: Reguły ogólne i reguły dla budynków </w:t>
            </w:r>
          </w:p>
        </w:tc>
      </w:tr>
      <w:tr w:rsidR="00413F29" w:rsidRPr="006431C4" w14:paraId="514FFA53" w14:textId="77777777" w:rsidTr="005F616C">
        <w:tc>
          <w:tcPr>
            <w:tcW w:w="496" w:type="dxa"/>
            <w:tcBorders>
              <w:top w:val="nil"/>
              <w:left w:val="nil"/>
              <w:bottom w:val="nil"/>
              <w:right w:val="nil"/>
            </w:tcBorders>
          </w:tcPr>
          <w:p w14:paraId="4ED63695"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4. </w:t>
            </w:r>
          </w:p>
        </w:tc>
        <w:tc>
          <w:tcPr>
            <w:tcW w:w="2268" w:type="dxa"/>
            <w:tcBorders>
              <w:top w:val="nil"/>
              <w:left w:val="nil"/>
              <w:bottom w:val="nil"/>
              <w:right w:val="nil"/>
            </w:tcBorders>
          </w:tcPr>
          <w:p w14:paraId="0AF8C54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PN-EN 206+A1:2016-12</w:t>
            </w:r>
          </w:p>
        </w:tc>
        <w:tc>
          <w:tcPr>
            <w:tcW w:w="8009" w:type="dxa"/>
            <w:tcBorders>
              <w:top w:val="nil"/>
              <w:left w:val="nil"/>
              <w:bottom w:val="nil"/>
              <w:right w:val="nil"/>
            </w:tcBorders>
          </w:tcPr>
          <w:p w14:paraId="04B5E64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Beton - Wymagania, właściwości, produkcja i zgodność</w:t>
            </w:r>
          </w:p>
        </w:tc>
      </w:tr>
      <w:tr w:rsidR="00413F29" w:rsidRPr="006431C4" w14:paraId="3179A5B8" w14:textId="77777777" w:rsidTr="005F616C">
        <w:tc>
          <w:tcPr>
            <w:tcW w:w="496" w:type="dxa"/>
            <w:tcBorders>
              <w:top w:val="nil"/>
              <w:left w:val="nil"/>
              <w:bottom w:val="nil"/>
              <w:right w:val="nil"/>
            </w:tcBorders>
          </w:tcPr>
          <w:p w14:paraId="04431567"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5.</w:t>
            </w:r>
          </w:p>
        </w:tc>
        <w:tc>
          <w:tcPr>
            <w:tcW w:w="2268" w:type="dxa"/>
            <w:tcBorders>
              <w:top w:val="nil"/>
              <w:left w:val="nil"/>
              <w:bottom w:val="nil"/>
              <w:right w:val="nil"/>
            </w:tcBorders>
          </w:tcPr>
          <w:p w14:paraId="1C98BC54"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 xml:space="preserve">PN-EN 1993-1-8: 2006/NA:2011 </w:t>
            </w:r>
          </w:p>
        </w:tc>
        <w:tc>
          <w:tcPr>
            <w:tcW w:w="8009" w:type="dxa"/>
            <w:tcBorders>
              <w:top w:val="nil"/>
              <w:left w:val="nil"/>
              <w:bottom w:val="nil"/>
              <w:right w:val="nil"/>
            </w:tcBorders>
          </w:tcPr>
          <w:p w14:paraId="2A7DA6E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Eurokod 3: Projektowanie konstrukcji stalowych – Część 1-8: Projektowanie węzłów</w:t>
            </w:r>
          </w:p>
        </w:tc>
      </w:tr>
      <w:tr w:rsidR="00413F29" w:rsidRPr="006431C4" w14:paraId="48B16A02" w14:textId="77777777" w:rsidTr="005F616C">
        <w:tc>
          <w:tcPr>
            <w:tcW w:w="496" w:type="dxa"/>
            <w:tcBorders>
              <w:top w:val="nil"/>
              <w:left w:val="nil"/>
              <w:bottom w:val="nil"/>
              <w:right w:val="nil"/>
            </w:tcBorders>
          </w:tcPr>
          <w:p w14:paraId="22D7529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6.</w:t>
            </w:r>
          </w:p>
        </w:tc>
        <w:tc>
          <w:tcPr>
            <w:tcW w:w="2268" w:type="dxa"/>
            <w:tcBorders>
              <w:top w:val="nil"/>
              <w:left w:val="nil"/>
              <w:bottom w:val="nil"/>
              <w:right w:val="nil"/>
            </w:tcBorders>
          </w:tcPr>
          <w:p w14:paraId="39886763"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PN-EN 10255+A1:2009</w:t>
            </w:r>
          </w:p>
        </w:tc>
        <w:tc>
          <w:tcPr>
            <w:tcW w:w="8009" w:type="dxa"/>
            <w:tcBorders>
              <w:top w:val="nil"/>
              <w:left w:val="nil"/>
              <w:bottom w:val="nil"/>
              <w:right w:val="nil"/>
            </w:tcBorders>
          </w:tcPr>
          <w:p w14:paraId="40F31675"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Rury ze stali niskostopowych do spawania i gwintowana – Warunki techniczne dostawy</w:t>
            </w:r>
          </w:p>
        </w:tc>
      </w:tr>
      <w:tr w:rsidR="00413F29" w:rsidRPr="006431C4" w14:paraId="24F3E525" w14:textId="77777777" w:rsidTr="005F616C">
        <w:tc>
          <w:tcPr>
            <w:tcW w:w="496" w:type="dxa"/>
            <w:tcBorders>
              <w:top w:val="nil"/>
              <w:left w:val="nil"/>
              <w:bottom w:val="nil"/>
              <w:right w:val="nil"/>
            </w:tcBorders>
          </w:tcPr>
          <w:p w14:paraId="593CB0F5"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7</w:t>
            </w:r>
          </w:p>
        </w:tc>
        <w:tc>
          <w:tcPr>
            <w:tcW w:w="2268" w:type="dxa"/>
            <w:tcBorders>
              <w:top w:val="nil"/>
              <w:left w:val="nil"/>
              <w:bottom w:val="nil"/>
              <w:right w:val="nil"/>
            </w:tcBorders>
          </w:tcPr>
          <w:p w14:paraId="085D85D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lang w:val="de-DE"/>
              </w:rPr>
            </w:pPr>
            <w:r w:rsidRPr="006431C4">
              <w:rPr>
                <w:rFonts w:cs="Arial"/>
                <w:szCs w:val="20"/>
                <w:lang w:val="de-DE"/>
              </w:rPr>
              <w:t>PN-EN 10346:2009</w:t>
            </w:r>
          </w:p>
        </w:tc>
        <w:tc>
          <w:tcPr>
            <w:tcW w:w="8009" w:type="dxa"/>
            <w:tcBorders>
              <w:top w:val="nil"/>
              <w:left w:val="nil"/>
              <w:bottom w:val="nil"/>
              <w:right w:val="nil"/>
            </w:tcBorders>
          </w:tcPr>
          <w:p w14:paraId="06E5477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Wyroby płaskie stalowe powlekane ogniowo w sposób ciągły - Warunki techniczne </w:t>
            </w:r>
            <w:r w:rsidRPr="006431C4">
              <w:rPr>
                <w:rFonts w:cs="Arial"/>
                <w:szCs w:val="20"/>
              </w:rPr>
              <w:lastRenderedPageBreak/>
              <w:t>dostawy</w:t>
            </w:r>
          </w:p>
        </w:tc>
      </w:tr>
      <w:tr w:rsidR="00413F29" w:rsidRPr="006431C4" w14:paraId="0D78A8FA" w14:textId="77777777" w:rsidTr="005F616C">
        <w:tc>
          <w:tcPr>
            <w:tcW w:w="496" w:type="dxa"/>
            <w:tcBorders>
              <w:top w:val="nil"/>
              <w:left w:val="nil"/>
              <w:bottom w:val="nil"/>
              <w:right w:val="nil"/>
            </w:tcBorders>
          </w:tcPr>
          <w:p w14:paraId="3BAA7D6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lastRenderedPageBreak/>
              <w:t xml:space="preserve">  8.</w:t>
            </w:r>
          </w:p>
        </w:tc>
        <w:tc>
          <w:tcPr>
            <w:tcW w:w="2268" w:type="dxa"/>
            <w:tcBorders>
              <w:top w:val="nil"/>
              <w:left w:val="nil"/>
              <w:bottom w:val="nil"/>
              <w:right w:val="nil"/>
            </w:tcBorders>
          </w:tcPr>
          <w:p w14:paraId="1699C4C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PN-EN 485-4:1997</w:t>
            </w:r>
          </w:p>
          <w:p w14:paraId="241E5FB5"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p>
        </w:tc>
        <w:tc>
          <w:tcPr>
            <w:tcW w:w="8009" w:type="dxa"/>
            <w:tcBorders>
              <w:top w:val="nil"/>
              <w:left w:val="nil"/>
              <w:bottom w:val="nil"/>
              <w:right w:val="nil"/>
            </w:tcBorders>
          </w:tcPr>
          <w:p w14:paraId="3C4A67B0"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Aluminium i stopy aluminium - Blachy, taśmy i płyty - Tolerancje kształtu i wymiarów wyrobów walcowanych na zimno</w:t>
            </w:r>
          </w:p>
        </w:tc>
      </w:tr>
      <w:tr w:rsidR="00413F29" w:rsidRPr="006431C4" w14:paraId="41AE02D4" w14:textId="77777777" w:rsidTr="005F616C">
        <w:tc>
          <w:tcPr>
            <w:tcW w:w="496" w:type="dxa"/>
            <w:tcBorders>
              <w:top w:val="nil"/>
              <w:left w:val="nil"/>
              <w:bottom w:val="nil"/>
              <w:right w:val="nil"/>
            </w:tcBorders>
          </w:tcPr>
          <w:p w14:paraId="68F730B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  9.</w:t>
            </w:r>
          </w:p>
        </w:tc>
        <w:tc>
          <w:tcPr>
            <w:tcW w:w="2268" w:type="dxa"/>
            <w:tcBorders>
              <w:top w:val="nil"/>
              <w:left w:val="nil"/>
              <w:bottom w:val="nil"/>
              <w:right w:val="nil"/>
            </w:tcBorders>
          </w:tcPr>
          <w:p w14:paraId="6E1501FF" w14:textId="77777777" w:rsidR="00413F29" w:rsidRPr="006431C4" w:rsidRDefault="00413F29" w:rsidP="00270120">
            <w:pPr>
              <w:overflowPunct w:val="0"/>
              <w:autoSpaceDE w:val="0"/>
              <w:autoSpaceDN w:val="0"/>
              <w:adjustRightInd w:val="0"/>
              <w:spacing w:line="240" w:lineRule="auto"/>
              <w:textAlignment w:val="baseline"/>
              <w:rPr>
                <w:rFonts w:cs="Arial"/>
                <w:szCs w:val="20"/>
                <w:lang w:val="de-DE"/>
              </w:rPr>
            </w:pPr>
            <w:r w:rsidRPr="006431C4">
              <w:rPr>
                <w:rFonts w:cs="Arial"/>
                <w:szCs w:val="20"/>
                <w:lang w:val="de-DE"/>
              </w:rPr>
              <w:t>PN-EN  ISO 1461:2011</w:t>
            </w:r>
          </w:p>
        </w:tc>
        <w:tc>
          <w:tcPr>
            <w:tcW w:w="8009" w:type="dxa"/>
            <w:tcBorders>
              <w:top w:val="nil"/>
              <w:left w:val="nil"/>
              <w:bottom w:val="nil"/>
              <w:right w:val="nil"/>
            </w:tcBorders>
          </w:tcPr>
          <w:p w14:paraId="36FA76D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 xml:space="preserve">Powłoki cynkowe nanoszone na wyroby stalowe i żeliwne metodą zanurzeniową - Wymaganie i metody badań </w:t>
            </w:r>
          </w:p>
        </w:tc>
      </w:tr>
      <w:tr w:rsidR="00413F29" w:rsidRPr="006431C4" w14:paraId="68739241" w14:textId="77777777" w:rsidTr="005F616C">
        <w:tc>
          <w:tcPr>
            <w:tcW w:w="496" w:type="dxa"/>
            <w:tcBorders>
              <w:top w:val="nil"/>
              <w:left w:val="nil"/>
              <w:bottom w:val="nil"/>
              <w:right w:val="nil"/>
            </w:tcBorders>
          </w:tcPr>
          <w:p w14:paraId="4BAF47FF"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10.</w:t>
            </w:r>
          </w:p>
        </w:tc>
        <w:tc>
          <w:tcPr>
            <w:tcW w:w="2268" w:type="dxa"/>
            <w:tcBorders>
              <w:top w:val="nil"/>
              <w:left w:val="nil"/>
              <w:bottom w:val="nil"/>
              <w:right w:val="nil"/>
            </w:tcBorders>
          </w:tcPr>
          <w:p w14:paraId="1E69D855"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PN-EN 10240:2001</w:t>
            </w:r>
          </w:p>
        </w:tc>
        <w:tc>
          <w:tcPr>
            <w:tcW w:w="8009" w:type="dxa"/>
            <w:tcBorders>
              <w:top w:val="nil"/>
              <w:left w:val="nil"/>
              <w:bottom w:val="nil"/>
              <w:right w:val="nil"/>
            </w:tcBorders>
          </w:tcPr>
          <w:p w14:paraId="5D9CEE6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Wewnętrzne i/lub zewnętrzne powłoki ochronne rur stalowych - Wymagania dotyczące powłok wykonanych przez cynkowanie ogniowe w ocynkowniach zautomatyzowanych</w:t>
            </w:r>
          </w:p>
        </w:tc>
      </w:tr>
      <w:tr w:rsidR="00413F29" w:rsidRPr="006431C4" w14:paraId="337710AC" w14:textId="77777777" w:rsidTr="005F616C">
        <w:tc>
          <w:tcPr>
            <w:tcW w:w="496" w:type="dxa"/>
            <w:tcBorders>
              <w:top w:val="nil"/>
              <w:left w:val="nil"/>
              <w:bottom w:val="nil"/>
              <w:right w:val="nil"/>
            </w:tcBorders>
          </w:tcPr>
          <w:p w14:paraId="34BEAC7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11.</w:t>
            </w:r>
          </w:p>
        </w:tc>
        <w:tc>
          <w:tcPr>
            <w:tcW w:w="2268" w:type="dxa"/>
            <w:tcBorders>
              <w:top w:val="nil"/>
              <w:left w:val="nil"/>
              <w:bottom w:val="nil"/>
              <w:right w:val="nil"/>
            </w:tcBorders>
          </w:tcPr>
          <w:p w14:paraId="11EB3DCE"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PN ISO 7253:2000</w:t>
            </w:r>
          </w:p>
        </w:tc>
        <w:tc>
          <w:tcPr>
            <w:tcW w:w="8009" w:type="dxa"/>
            <w:tcBorders>
              <w:top w:val="nil"/>
              <w:left w:val="nil"/>
              <w:bottom w:val="nil"/>
              <w:right w:val="nil"/>
            </w:tcBorders>
          </w:tcPr>
          <w:p w14:paraId="08AEC2E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Wyroby lakierowe – Oznaczenie odporności powłok na działanie mgły solnej</w:t>
            </w:r>
          </w:p>
        </w:tc>
      </w:tr>
      <w:tr w:rsidR="00413F29" w:rsidRPr="006431C4" w14:paraId="69696390" w14:textId="77777777" w:rsidTr="005F616C">
        <w:tc>
          <w:tcPr>
            <w:tcW w:w="496" w:type="dxa"/>
            <w:tcBorders>
              <w:top w:val="nil"/>
              <w:left w:val="nil"/>
              <w:bottom w:val="nil"/>
              <w:right w:val="nil"/>
            </w:tcBorders>
          </w:tcPr>
          <w:p w14:paraId="79C775A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12.</w:t>
            </w:r>
          </w:p>
        </w:tc>
        <w:tc>
          <w:tcPr>
            <w:tcW w:w="2268" w:type="dxa"/>
            <w:tcBorders>
              <w:top w:val="nil"/>
              <w:left w:val="nil"/>
              <w:bottom w:val="nil"/>
              <w:right w:val="nil"/>
            </w:tcBorders>
          </w:tcPr>
          <w:p w14:paraId="73F908A4" w14:textId="77777777" w:rsidR="00413F29" w:rsidRPr="006431C4" w:rsidRDefault="00413F29" w:rsidP="00270120">
            <w:pPr>
              <w:overflowPunct w:val="0"/>
              <w:autoSpaceDE w:val="0"/>
              <w:autoSpaceDN w:val="0"/>
              <w:adjustRightInd w:val="0"/>
              <w:spacing w:line="240" w:lineRule="auto"/>
              <w:textAlignment w:val="baseline"/>
              <w:rPr>
                <w:rFonts w:cs="Arial"/>
                <w:szCs w:val="20"/>
                <w:lang w:val="de-DE"/>
              </w:rPr>
            </w:pPr>
            <w:r w:rsidRPr="006431C4">
              <w:rPr>
                <w:rFonts w:cs="Arial"/>
                <w:szCs w:val="20"/>
                <w:lang w:val="de-DE"/>
              </w:rPr>
              <w:t>PN-EN ISO 2808: 2008+A2:2014-07</w:t>
            </w:r>
          </w:p>
        </w:tc>
        <w:tc>
          <w:tcPr>
            <w:tcW w:w="8009" w:type="dxa"/>
            <w:tcBorders>
              <w:top w:val="nil"/>
              <w:left w:val="nil"/>
              <w:bottom w:val="nil"/>
              <w:right w:val="nil"/>
            </w:tcBorders>
          </w:tcPr>
          <w:p w14:paraId="33CD635B"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Farby i lakiery - Oznaczanie grubości powłoki</w:t>
            </w:r>
          </w:p>
        </w:tc>
      </w:tr>
      <w:tr w:rsidR="00413F29" w:rsidRPr="006431C4" w14:paraId="77D61108" w14:textId="77777777" w:rsidTr="005F616C">
        <w:tc>
          <w:tcPr>
            <w:tcW w:w="496" w:type="dxa"/>
            <w:tcBorders>
              <w:top w:val="nil"/>
              <w:left w:val="nil"/>
              <w:bottom w:val="nil"/>
              <w:right w:val="nil"/>
            </w:tcBorders>
          </w:tcPr>
          <w:p w14:paraId="0B1D6C6C"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13.</w:t>
            </w:r>
          </w:p>
        </w:tc>
        <w:tc>
          <w:tcPr>
            <w:tcW w:w="2268" w:type="dxa"/>
            <w:tcBorders>
              <w:top w:val="nil"/>
              <w:left w:val="nil"/>
              <w:bottom w:val="nil"/>
              <w:right w:val="nil"/>
            </w:tcBorders>
          </w:tcPr>
          <w:p w14:paraId="02D52E4D"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lang w:val="de-DE"/>
              </w:rPr>
            </w:pPr>
            <w:r w:rsidRPr="006431C4">
              <w:rPr>
                <w:rFonts w:cs="Arial"/>
                <w:szCs w:val="20"/>
                <w:lang w:val="de-DE"/>
              </w:rPr>
              <w:t>PN-EN 60598-2-2:2012</w:t>
            </w:r>
          </w:p>
        </w:tc>
        <w:tc>
          <w:tcPr>
            <w:tcW w:w="8009" w:type="dxa"/>
            <w:tcBorders>
              <w:top w:val="nil"/>
              <w:left w:val="nil"/>
              <w:bottom w:val="nil"/>
              <w:right w:val="nil"/>
            </w:tcBorders>
          </w:tcPr>
          <w:p w14:paraId="475DE2E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Oprawy oświetleniowe – Część 2-2:Wymagania szczegółowe - Oprawy oświetleniowe wbudowane</w:t>
            </w:r>
          </w:p>
        </w:tc>
      </w:tr>
      <w:tr w:rsidR="00413F29" w:rsidRPr="006431C4" w14:paraId="7BCBA048" w14:textId="77777777" w:rsidTr="005F616C">
        <w:tc>
          <w:tcPr>
            <w:tcW w:w="496" w:type="dxa"/>
            <w:tcBorders>
              <w:top w:val="nil"/>
              <w:left w:val="nil"/>
              <w:bottom w:val="nil"/>
              <w:right w:val="nil"/>
            </w:tcBorders>
          </w:tcPr>
          <w:p w14:paraId="6A584655"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14.</w:t>
            </w:r>
          </w:p>
        </w:tc>
        <w:tc>
          <w:tcPr>
            <w:tcW w:w="2268" w:type="dxa"/>
            <w:tcBorders>
              <w:top w:val="nil"/>
              <w:left w:val="nil"/>
              <w:bottom w:val="nil"/>
              <w:right w:val="nil"/>
            </w:tcBorders>
          </w:tcPr>
          <w:p w14:paraId="578F1068"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PN-EN 60529:2003</w:t>
            </w:r>
          </w:p>
        </w:tc>
        <w:tc>
          <w:tcPr>
            <w:tcW w:w="8009" w:type="dxa"/>
            <w:tcBorders>
              <w:top w:val="nil"/>
              <w:left w:val="nil"/>
              <w:bottom w:val="nil"/>
              <w:right w:val="nil"/>
            </w:tcBorders>
          </w:tcPr>
          <w:p w14:paraId="26754458" w14:textId="77777777" w:rsidR="00413F29" w:rsidRPr="006431C4" w:rsidRDefault="00413F29" w:rsidP="00270120">
            <w:pPr>
              <w:spacing w:line="240" w:lineRule="auto"/>
              <w:jc w:val="both"/>
              <w:rPr>
                <w:rFonts w:cs="Arial"/>
                <w:szCs w:val="20"/>
              </w:rPr>
            </w:pPr>
            <w:r w:rsidRPr="006431C4">
              <w:rPr>
                <w:rFonts w:cs="Arial"/>
                <w:szCs w:val="20"/>
              </w:rPr>
              <w:t>Stopnie ochrony zapewnianej przez obudowy (Kod IP)</w:t>
            </w:r>
          </w:p>
        </w:tc>
      </w:tr>
      <w:tr w:rsidR="00413F29" w:rsidRPr="006431C4" w14:paraId="00DD1650" w14:textId="77777777" w:rsidTr="005F616C">
        <w:tc>
          <w:tcPr>
            <w:tcW w:w="496" w:type="dxa"/>
            <w:tcBorders>
              <w:top w:val="nil"/>
              <w:left w:val="nil"/>
              <w:bottom w:val="nil"/>
              <w:right w:val="nil"/>
            </w:tcBorders>
          </w:tcPr>
          <w:p w14:paraId="4DD0F2D3"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15.</w:t>
            </w:r>
          </w:p>
        </w:tc>
        <w:tc>
          <w:tcPr>
            <w:tcW w:w="2268" w:type="dxa"/>
            <w:tcBorders>
              <w:top w:val="nil"/>
              <w:left w:val="nil"/>
              <w:bottom w:val="nil"/>
              <w:right w:val="nil"/>
            </w:tcBorders>
          </w:tcPr>
          <w:p w14:paraId="64006E7A"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PN-EN 60598-1: 2015-04</w:t>
            </w:r>
          </w:p>
        </w:tc>
        <w:tc>
          <w:tcPr>
            <w:tcW w:w="8009" w:type="dxa"/>
            <w:tcBorders>
              <w:top w:val="nil"/>
              <w:left w:val="nil"/>
              <w:bottom w:val="nil"/>
              <w:right w:val="nil"/>
            </w:tcBorders>
          </w:tcPr>
          <w:p w14:paraId="7F9B38C0" w14:textId="77777777" w:rsidR="00413F29" w:rsidRPr="006431C4" w:rsidRDefault="00413F29" w:rsidP="00270120">
            <w:pPr>
              <w:spacing w:line="240" w:lineRule="auto"/>
              <w:jc w:val="both"/>
              <w:rPr>
                <w:rFonts w:cs="Arial"/>
                <w:szCs w:val="20"/>
              </w:rPr>
            </w:pPr>
            <w:r w:rsidRPr="006431C4">
              <w:rPr>
                <w:rFonts w:cs="Arial"/>
                <w:szCs w:val="20"/>
              </w:rPr>
              <w:t>Oprawy oświetleniowe – Część 1: Wymagania ogólne i badania</w:t>
            </w:r>
          </w:p>
        </w:tc>
      </w:tr>
      <w:tr w:rsidR="00413F29" w:rsidRPr="006431C4" w14:paraId="45553BAE" w14:textId="77777777" w:rsidTr="005F616C">
        <w:tc>
          <w:tcPr>
            <w:tcW w:w="496" w:type="dxa"/>
            <w:tcBorders>
              <w:top w:val="nil"/>
              <w:left w:val="nil"/>
              <w:bottom w:val="nil"/>
              <w:right w:val="nil"/>
            </w:tcBorders>
          </w:tcPr>
          <w:p w14:paraId="3CADB894"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16.</w:t>
            </w:r>
          </w:p>
        </w:tc>
        <w:tc>
          <w:tcPr>
            <w:tcW w:w="2268" w:type="dxa"/>
            <w:tcBorders>
              <w:top w:val="nil"/>
              <w:left w:val="nil"/>
              <w:bottom w:val="nil"/>
              <w:right w:val="nil"/>
            </w:tcBorders>
          </w:tcPr>
          <w:p w14:paraId="6F8EE479"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 xml:space="preserve">PN-HD 60364-1: 2010 </w:t>
            </w:r>
          </w:p>
        </w:tc>
        <w:tc>
          <w:tcPr>
            <w:tcW w:w="8009" w:type="dxa"/>
            <w:tcBorders>
              <w:top w:val="nil"/>
              <w:left w:val="nil"/>
              <w:bottom w:val="nil"/>
              <w:right w:val="nil"/>
            </w:tcBorders>
          </w:tcPr>
          <w:p w14:paraId="57DFF20A"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Instalacje elektryczne niskiego napięcia – Wymagania podstawowe, ustalanie ogólnych charakterystyk, definicje</w:t>
            </w:r>
          </w:p>
        </w:tc>
      </w:tr>
      <w:tr w:rsidR="00413F29" w:rsidRPr="006431C4" w14:paraId="5B6174FA" w14:textId="77777777" w:rsidTr="005F616C">
        <w:tc>
          <w:tcPr>
            <w:tcW w:w="496" w:type="dxa"/>
            <w:tcBorders>
              <w:top w:val="nil"/>
              <w:left w:val="nil"/>
              <w:bottom w:val="nil"/>
              <w:right w:val="nil"/>
            </w:tcBorders>
          </w:tcPr>
          <w:p w14:paraId="71DF5813"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17.</w:t>
            </w:r>
          </w:p>
        </w:tc>
        <w:tc>
          <w:tcPr>
            <w:tcW w:w="2268" w:type="dxa"/>
            <w:tcBorders>
              <w:top w:val="nil"/>
              <w:left w:val="nil"/>
              <w:bottom w:val="nil"/>
              <w:right w:val="nil"/>
            </w:tcBorders>
          </w:tcPr>
          <w:p w14:paraId="2042D740"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PN-S-02205:1998</w:t>
            </w:r>
          </w:p>
        </w:tc>
        <w:tc>
          <w:tcPr>
            <w:tcW w:w="8009" w:type="dxa"/>
            <w:tcBorders>
              <w:top w:val="nil"/>
              <w:left w:val="nil"/>
              <w:bottom w:val="nil"/>
              <w:right w:val="nil"/>
            </w:tcBorders>
          </w:tcPr>
          <w:p w14:paraId="3F487FF3"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Drogi samochodowe. Roboty ziemne. Wymagania i badania</w:t>
            </w:r>
          </w:p>
        </w:tc>
      </w:tr>
      <w:tr w:rsidR="00413F29" w:rsidRPr="006431C4" w14:paraId="78523373" w14:textId="77777777" w:rsidTr="005F616C">
        <w:tc>
          <w:tcPr>
            <w:tcW w:w="496" w:type="dxa"/>
            <w:tcBorders>
              <w:top w:val="nil"/>
              <w:left w:val="nil"/>
              <w:bottom w:val="nil"/>
              <w:right w:val="nil"/>
            </w:tcBorders>
          </w:tcPr>
          <w:p w14:paraId="44D183A5" w14:textId="77777777" w:rsidR="00413F29" w:rsidRPr="006431C4" w:rsidRDefault="00413F29" w:rsidP="00270120">
            <w:pPr>
              <w:overflowPunct w:val="0"/>
              <w:autoSpaceDE w:val="0"/>
              <w:autoSpaceDN w:val="0"/>
              <w:adjustRightInd w:val="0"/>
              <w:spacing w:line="240" w:lineRule="auto"/>
              <w:textAlignment w:val="baseline"/>
              <w:rPr>
                <w:rFonts w:cs="Arial"/>
                <w:szCs w:val="20"/>
              </w:rPr>
            </w:pPr>
            <w:r w:rsidRPr="006431C4">
              <w:rPr>
                <w:rFonts w:cs="Arial"/>
                <w:szCs w:val="20"/>
              </w:rPr>
              <w:t>18</w:t>
            </w:r>
          </w:p>
        </w:tc>
        <w:tc>
          <w:tcPr>
            <w:tcW w:w="2268" w:type="dxa"/>
            <w:tcBorders>
              <w:top w:val="nil"/>
              <w:left w:val="nil"/>
              <w:bottom w:val="nil"/>
              <w:right w:val="nil"/>
            </w:tcBorders>
          </w:tcPr>
          <w:p w14:paraId="34B42F34"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PN-EN 40-5:2004</w:t>
            </w:r>
          </w:p>
        </w:tc>
        <w:tc>
          <w:tcPr>
            <w:tcW w:w="8009" w:type="dxa"/>
            <w:tcBorders>
              <w:top w:val="nil"/>
              <w:left w:val="nil"/>
              <w:bottom w:val="nil"/>
              <w:right w:val="nil"/>
            </w:tcBorders>
          </w:tcPr>
          <w:p w14:paraId="7F83A4B2" w14:textId="77777777" w:rsidR="00413F29" w:rsidRPr="006431C4" w:rsidRDefault="00413F29" w:rsidP="00270120">
            <w:pPr>
              <w:overflowPunct w:val="0"/>
              <w:autoSpaceDE w:val="0"/>
              <w:autoSpaceDN w:val="0"/>
              <w:adjustRightInd w:val="0"/>
              <w:spacing w:line="240" w:lineRule="auto"/>
              <w:jc w:val="both"/>
              <w:textAlignment w:val="baseline"/>
              <w:rPr>
                <w:rFonts w:cs="Arial"/>
                <w:szCs w:val="20"/>
              </w:rPr>
            </w:pPr>
            <w:r w:rsidRPr="006431C4">
              <w:rPr>
                <w:rFonts w:cs="Arial"/>
                <w:szCs w:val="20"/>
              </w:rPr>
              <w:t>Słupy oświetleniowe – Część 5: Słupy oświetleniowe stalowe - Wymagania</w:t>
            </w:r>
          </w:p>
        </w:tc>
      </w:tr>
    </w:tbl>
    <w:p w14:paraId="048CCD79" w14:textId="77777777" w:rsidR="00413F29" w:rsidRPr="006431C4" w:rsidRDefault="00413F29" w:rsidP="00270120">
      <w:pPr>
        <w:overflowPunct w:val="0"/>
        <w:autoSpaceDE w:val="0"/>
        <w:autoSpaceDN w:val="0"/>
        <w:adjustRightInd w:val="0"/>
        <w:spacing w:line="240" w:lineRule="auto"/>
        <w:jc w:val="both"/>
        <w:textAlignment w:val="baseline"/>
        <w:rPr>
          <w:rFonts w:cs="Arial"/>
          <w:b/>
          <w:bCs/>
          <w:szCs w:val="20"/>
        </w:rPr>
      </w:pPr>
      <w:r w:rsidRPr="006431C4">
        <w:rPr>
          <w:rFonts w:cs="Arial"/>
          <w:b/>
          <w:bCs/>
          <w:szCs w:val="20"/>
        </w:rPr>
        <w:t>10.2  Przepisy związane</w:t>
      </w:r>
    </w:p>
    <w:p w14:paraId="28B356D4"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0316BB84"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Rozporządzenie Ministra Infrastruktury, Spraw Wewnętrznych i Administracji z dnia 12 października 2002 r. w sprawie znaków i symboli drogowych (Dz. U. nr 170, poz. 1393)</w:t>
      </w:r>
    </w:p>
    <w:p w14:paraId="1A2468C8"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Rozporządzenie Parlamentu Europejskiego i Rady (UE) Nr 305/2011 z dnia 9 marca 2011 r. ustanawiające zharmonizowane warunki wprowadzania do obrotu wyrobów budowlanych i uchylające dyrektywę Rady 89/106/EWG</w:t>
      </w:r>
    </w:p>
    <w:p w14:paraId="01D4927C"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Rozporządzenie Ministra Infrastruktury z dnia 17 listopada 2016 w sprawie sposobu deklarowania właściwości użytkowych wyrobów budowlanych oraz sposobu ich znakowania znakiem budowlanym (Dz. U. z 2016 r., poz.1966),</w:t>
      </w:r>
    </w:p>
    <w:p w14:paraId="530450A6"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lang w:val="en-US"/>
        </w:rPr>
      </w:pPr>
      <w:proofErr w:type="spellStart"/>
      <w:r w:rsidRPr="006431C4">
        <w:rPr>
          <w:rFonts w:cs="Arial"/>
          <w:szCs w:val="20"/>
          <w:lang w:val="en-GB"/>
        </w:rPr>
        <w:t>Pryzmatyczne</w:t>
      </w:r>
      <w:proofErr w:type="spellEnd"/>
      <w:r w:rsidRPr="006431C4">
        <w:rPr>
          <w:rFonts w:cs="Arial"/>
          <w:szCs w:val="20"/>
          <w:lang w:val="en-GB"/>
        </w:rPr>
        <w:t xml:space="preserve"> folie </w:t>
      </w:r>
      <w:proofErr w:type="spellStart"/>
      <w:r w:rsidRPr="006431C4">
        <w:rPr>
          <w:rFonts w:cs="Arial"/>
          <w:szCs w:val="20"/>
          <w:lang w:val="en-GB"/>
        </w:rPr>
        <w:t>odblaskowe</w:t>
      </w:r>
      <w:proofErr w:type="spellEnd"/>
      <w:r w:rsidRPr="006431C4">
        <w:rPr>
          <w:rFonts w:cs="Arial"/>
          <w:szCs w:val="20"/>
          <w:lang w:val="en-GB"/>
        </w:rPr>
        <w:t xml:space="preserve"> (</w:t>
      </w:r>
      <w:proofErr w:type="spellStart"/>
      <w:r w:rsidRPr="006431C4">
        <w:rPr>
          <w:rFonts w:cs="Arial"/>
          <w:szCs w:val="20"/>
          <w:lang w:val="en-GB"/>
        </w:rPr>
        <w:t>Microprismatic</w:t>
      </w:r>
      <w:proofErr w:type="spellEnd"/>
      <w:r w:rsidRPr="006431C4">
        <w:rPr>
          <w:rFonts w:cs="Arial"/>
          <w:szCs w:val="20"/>
          <w:lang w:val="en-US"/>
        </w:rPr>
        <w:t xml:space="preserve"> retro-reflective </w:t>
      </w:r>
      <w:proofErr w:type="spellStart"/>
      <w:r w:rsidRPr="006431C4">
        <w:rPr>
          <w:rFonts w:cs="Arial"/>
          <w:szCs w:val="20"/>
          <w:lang w:val="en-GB"/>
        </w:rPr>
        <w:t>sheetings</w:t>
      </w:r>
      <w:proofErr w:type="spellEnd"/>
      <w:r w:rsidRPr="006431C4">
        <w:rPr>
          <w:rFonts w:cs="Arial"/>
          <w:szCs w:val="20"/>
          <w:lang w:val="en-GB"/>
        </w:rPr>
        <w:t>)</w:t>
      </w:r>
      <w:r w:rsidRPr="006431C4">
        <w:rPr>
          <w:rFonts w:cs="Arial"/>
          <w:szCs w:val="20"/>
          <w:lang w:val="en-US"/>
        </w:rPr>
        <w:t>, EAD 120001-00-0106, EOTA, 2015</w:t>
      </w:r>
    </w:p>
    <w:p w14:paraId="6796D396"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Ustawa o wyrobach budowlanych (tekst jednolity Dz. U. z 2016 r., poz. 1570 z późn. zm.)</w:t>
      </w:r>
    </w:p>
    <w:p w14:paraId="204005D3"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Ustawa o systemach oceny zgodności i nadzoru rynku z 13 kwietnia 2016 r. (Dz.U. z 2016 r., poz. 542 i 1228)</w:t>
      </w:r>
    </w:p>
    <w:p w14:paraId="532C2B72"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lang w:val="de-DE"/>
        </w:rPr>
      </w:pPr>
      <w:r w:rsidRPr="006431C4">
        <w:rPr>
          <w:rFonts w:cs="Arial"/>
          <w:szCs w:val="20"/>
          <w:lang w:val="de-DE"/>
        </w:rPr>
        <w:t xml:space="preserve">RAL Control Chart, </w:t>
      </w:r>
      <w:proofErr w:type="spellStart"/>
      <w:r w:rsidRPr="006431C4">
        <w:rPr>
          <w:rFonts w:cs="Arial"/>
          <w:szCs w:val="20"/>
          <w:lang w:val="de-DE"/>
        </w:rPr>
        <w:t>Niemiecki</w:t>
      </w:r>
      <w:proofErr w:type="spellEnd"/>
      <w:r w:rsidRPr="006431C4">
        <w:rPr>
          <w:rFonts w:cs="Arial"/>
          <w:szCs w:val="20"/>
          <w:lang w:val="de-DE"/>
        </w:rPr>
        <w:t xml:space="preserve"> </w:t>
      </w:r>
      <w:proofErr w:type="spellStart"/>
      <w:r w:rsidRPr="006431C4">
        <w:rPr>
          <w:rFonts w:cs="Arial"/>
          <w:szCs w:val="20"/>
          <w:lang w:val="de-DE"/>
        </w:rPr>
        <w:t>Instytut</w:t>
      </w:r>
      <w:proofErr w:type="spellEnd"/>
      <w:r w:rsidRPr="006431C4">
        <w:rPr>
          <w:rFonts w:cs="Arial"/>
          <w:szCs w:val="20"/>
          <w:lang w:val="de-DE"/>
        </w:rPr>
        <w:t xml:space="preserve"> </w:t>
      </w:r>
      <w:proofErr w:type="spellStart"/>
      <w:r w:rsidRPr="006431C4">
        <w:rPr>
          <w:rFonts w:cs="Arial"/>
          <w:szCs w:val="20"/>
          <w:lang w:val="de-DE"/>
        </w:rPr>
        <w:t>Jakości</w:t>
      </w:r>
      <w:proofErr w:type="spellEnd"/>
      <w:r w:rsidRPr="006431C4">
        <w:rPr>
          <w:rFonts w:cs="Arial"/>
          <w:szCs w:val="20"/>
          <w:lang w:val="de-DE"/>
        </w:rPr>
        <w:t xml:space="preserve"> i </w:t>
      </w:r>
      <w:proofErr w:type="spellStart"/>
      <w:r w:rsidRPr="006431C4">
        <w:rPr>
          <w:rFonts w:cs="Arial"/>
          <w:szCs w:val="20"/>
          <w:lang w:val="de-DE"/>
        </w:rPr>
        <w:t>Oznaczeń</w:t>
      </w:r>
      <w:proofErr w:type="spellEnd"/>
      <w:r w:rsidRPr="006431C4">
        <w:rPr>
          <w:rFonts w:cs="Arial"/>
          <w:szCs w:val="20"/>
          <w:lang w:val="de-DE"/>
        </w:rPr>
        <w:t> </w:t>
      </w:r>
      <w:r w:rsidRPr="006431C4">
        <w:rPr>
          <w:rFonts w:cs="Arial"/>
          <w:iCs/>
          <w:szCs w:val="20"/>
          <w:lang w:val="de-DE"/>
        </w:rPr>
        <w:t>RAL „Deutsches Institut für Gütesicherung und Kennzeichnung</w:t>
      </w:r>
      <w:r w:rsidRPr="006431C4">
        <w:rPr>
          <w:rFonts w:cs="Arial"/>
          <w:szCs w:val="20"/>
          <w:lang w:val="de-DE"/>
        </w:rPr>
        <w:t xml:space="preserve"> e. V.“, www.ralcolor.com </w:t>
      </w:r>
    </w:p>
    <w:p w14:paraId="608B8C4E"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 xml:space="preserve">CIE No. 54 (TC-2.3) </w:t>
      </w:r>
      <w:proofErr w:type="spellStart"/>
      <w:r w:rsidRPr="006431C4">
        <w:rPr>
          <w:rFonts w:cs="Arial"/>
          <w:szCs w:val="20"/>
        </w:rPr>
        <w:t>Retroreflection</w:t>
      </w:r>
      <w:proofErr w:type="spellEnd"/>
      <w:r w:rsidRPr="006431C4">
        <w:rPr>
          <w:rFonts w:cs="Arial"/>
          <w:szCs w:val="20"/>
        </w:rPr>
        <w:t xml:space="preserve"> - Definition and </w:t>
      </w:r>
      <w:proofErr w:type="spellStart"/>
      <w:r w:rsidRPr="006431C4">
        <w:rPr>
          <w:rFonts w:cs="Arial"/>
          <w:szCs w:val="20"/>
        </w:rPr>
        <w:t>measurement</w:t>
      </w:r>
      <w:proofErr w:type="spellEnd"/>
      <w:r w:rsidRPr="006431C4">
        <w:rPr>
          <w:rFonts w:cs="Arial"/>
          <w:szCs w:val="20"/>
        </w:rPr>
        <w:t xml:space="preserve"> (Powierzchniowy współczynnik odblasku - definicja i pomiary). </w:t>
      </w:r>
      <w:proofErr w:type="spellStart"/>
      <w:r w:rsidRPr="006431C4">
        <w:rPr>
          <w:rFonts w:cs="Arial"/>
          <w:szCs w:val="20"/>
        </w:rPr>
        <w:t>Bureau</w:t>
      </w:r>
      <w:proofErr w:type="spellEnd"/>
      <w:r w:rsidRPr="006431C4">
        <w:rPr>
          <w:rFonts w:cs="Arial"/>
          <w:szCs w:val="20"/>
        </w:rPr>
        <w:t xml:space="preserve"> Central, Paris, 1982</w:t>
      </w:r>
    </w:p>
    <w:p w14:paraId="649268A5"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Aktywne Pionowe Znaki Drogowe i Urządzenia Bezpieczeństwa Ruchu Drogowego, Zalecenia nr Z/2010-03-024, Zeszyt 80, seria I, IBDiM, 2010</w:t>
      </w:r>
    </w:p>
    <w:p w14:paraId="5FC579C0"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Prawo budowlane  (tekst jednolity Dz. U. z 2017 r., poz.1332)</w:t>
      </w:r>
    </w:p>
    <w:p w14:paraId="35DCA599"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Prawo zamówień publicznych (tekst jednolity Dz. U. z 2017 r., poz. 1579)</w:t>
      </w:r>
    </w:p>
    <w:p w14:paraId="6CC9B92B" w14:textId="77777777" w:rsidR="00413F29" w:rsidRPr="006431C4" w:rsidRDefault="00413F29" w:rsidP="00CF1E7D">
      <w:pPr>
        <w:numPr>
          <w:ilvl w:val="0"/>
          <w:numId w:val="177"/>
        </w:numPr>
        <w:overflowPunct w:val="0"/>
        <w:autoSpaceDE w:val="0"/>
        <w:autoSpaceDN w:val="0"/>
        <w:adjustRightInd w:val="0"/>
        <w:spacing w:line="240" w:lineRule="auto"/>
        <w:ind w:left="567" w:hanging="567"/>
        <w:jc w:val="both"/>
        <w:textAlignment w:val="baseline"/>
        <w:rPr>
          <w:rFonts w:cs="Arial"/>
          <w:szCs w:val="20"/>
        </w:rPr>
      </w:pPr>
      <w:r w:rsidRPr="006431C4">
        <w:rPr>
          <w:rFonts w:cs="Arial"/>
          <w:szCs w:val="20"/>
        </w:rPr>
        <w:t>Rozporządzenie Ministra Infrastruktury z dnia17 listopada 2016 r. w sprawie krajowych ocen technicznych (Dz. U. z 2016 r., poz. 1968)</w:t>
      </w:r>
    </w:p>
    <w:p w14:paraId="6919CF42" w14:textId="77777777" w:rsidR="0023247B" w:rsidRPr="006431C4" w:rsidRDefault="0023247B" w:rsidP="00270120">
      <w:pPr>
        <w:shd w:val="clear" w:color="auto" w:fill="FFFFFF" w:themeFill="background1"/>
        <w:tabs>
          <w:tab w:val="left" w:pos="142"/>
        </w:tabs>
        <w:spacing w:line="240" w:lineRule="auto"/>
        <w:jc w:val="both"/>
        <w:rPr>
          <w:rFonts w:cs="Arial"/>
          <w:szCs w:val="20"/>
        </w:rPr>
      </w:pPr>
    </w:p>
    <w:p w14:paraId="50F19E0D" w14:textId="77777777" w:rsidR="006B6869" w:rsidRPr="006431C4" w:rsidRDefault="00083F08" w:rsidP="00270120">
      <w:pPr>
        <w:pStyle w:val="Nagwek4"/>
        <w:shd w:val="clear" w:color="auto" w:fill="FFFFFF" w:themeFill="background1"/>
        <w:tabs>
          <w:tab w:val="left" w:pos="142"/>
        </w:tabs>
        <w:spacing w:line="240" w:lineRule="auto"/>
        <w:jc w:val="both"/>
        <w:rPr>
          <w:rFonts w:cs="Arial"/>
          <w:szCs w:val="20"/>
        </w:rPr>
      </w:pPr>
      <w:bookmarkStart w:id="1042" w:name="_Toc111635992"/>
      <w:r w:rsidRPr="006431C4">
        <w:rPr>
          <w:rFonts w:cs="Arial"/>
          <w:szCs w:val="20"/>
        </w:rPr>
        <w:t>D-</w:t>
      </w:r>
      <w:r w:rsidR="006B6869" w:rsidRPr="006431C4">
        <w:rPr>
          <w:rFonts w:cs="Arial"/>
          <w:szCs w:val="20"/>
        </w:rPr>
        <w:t>08.01.01 - KRAWĘŻNIKI  BETONOWE</w:t>
      </w:r>
      <w:bookmarkEnd w:id="1042"/>
    </w:p>
    <w:p w14:paraId="60494C56" w14:textId="77777777" w:rsidR="006B6869" w:rsidRPr="006431C4" w:rsidRDefault="006B6869" w:rsidP="00270120">
      <w:pPr>
        <w:pStyle w:val="Nagwek1"/>
        <w:shd w:val="clear" w:color="auto" w:fill="FFFFFF" w:themeFill="background1"/>
        <w:tabs>
          <w:tab w:val="left" w:pos="142"/>
        </w:tabs>
        <w:spacing w:line="240" w:lineRule="auto"/>
        <w:jc w:val="both"/>
        <w:rPr>
          <w:rFonts w:cs="Arial"/>
          <w:szCs w:val="20"/>
        </w:rPr>
      </w:pPr>
      <w:bookmarkStart w:id="1043" w:name="_Toc428759421"/>
      <w:r w:rsidRPr="006431C4">
        <w:rPr>
          <w:rFonts w:cs="Arial"/>
          <w:szCs w:val="20"/>
        </w:rPr>
        <w:t>1. WSTĘP</w:t>
      </w:r>
      <w:bookmarkEnd w:id="1043"/>
    </w:p>
    <w:p w14:paraId="7702637E"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1.1. Przedmiot</w:t>
      </w:r>
      <w:r w:rsidR="00180A26" w:rsidRPr="006431C4">
        <w:rPr>
          <w:rFonts w:cs="Arial"/>
          <w:szCs w:val="20"/>
        </w:rPr>
        <w:t xml:space="preserve"> SST</w:t>
      </w:r>
    </w:p>
    <w:p w14:paraId="31AFDA53"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Przedmiotem </w:t>
      </w:r>
      <w:r w:rsidR="00BA62A8" w:rsidRPr="006431C4">
        <w:rPr>
          <w:rFonts w:cs="Arial"/>
          <w:szCs w:val="20"/>
        </w:rPr>
        <w:t xml:space="preserve">niniejszej szczegółowej specyfikacji </w:t>
      </w:r>
      <w:r w:rsidRPr="006431C4">
        <w:rPr>
          <w:rFonts w:cs="Arial"/>
          <w:szCs w:val="20"/>
        </w:rPr>
        <w:t>technicznej są wymagania dotyczące wykonania i odbioru robót związanych z ustawieniem krawężników betonowych.</w:t>
      </w:r>
    </w:p>
    <w:p w14:paraId="42577E3D"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1.2. Zakres stosowania</w:t>
      </w:r>
      <w:r w:rsidR="00180A26" w:rsidRPr="006431C4">
        <w:rPr>
          <w:rFonts w:cs="Arial"/>
          <w:szCs w:val="20"/>
        </w:rPr>
        <w:t xml:space="preserve"> SST</w:t>
      </w:r>
    </w:p>
    <w:p w14:paraId="3192CD11" w14:textId="77777777" w:rsidR="00293E11" w:rsidRPr="006431C4" w:rsidRDefault="006A5A86"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Niniejsza szczegółowa specyfikacja techniczna </w:t>
      </w:r>
      <w:r w:rsidR="00293E11" w:rsidRPr="006431C4">
        <w:rPr>
          <w:rFonts w:cs="Arial"/>
          <w:szCs w:val="20"/>
        </w:rPr>
        <w:t xml:space="preserve">stanowi Dokument Przetargowy i Kontraktowy przy zlecaniu i realizacji robót dla inwestycji </w:t>
      </w:r>
      <w:r w:rsidR="00296959" w:rsidRPr="006431C4">
        <w:rPr>
          <w:rFonts w:cs="Arial"/>
          <w:szCs w:val="20"/>
        </w:rPr>
        <w:t>pn.:</w:t>
      </w:r>
      <w:r w:rsidR="00293E11" w:rsidRPr="006431C4">
        <w:rPr>
          <w:rFonts w:cs="Arial"/>
          <w:szCs w:val="20"/>
        </w:rPr>
        <w:t xml:space="preserve"> </w:t>
      </w:r>
    </w:p>
    <w:sdt>
      <w:sdtPr>
        <w:rPr>
          <w:rFonts w:cs="Arial"/>
          <w:szCs w:val="20"/>
        </w:rPr>
        <w:alias w:val="Temat"/>
        <w:tag w:val=""/>
        <w:id w:val="1560294098"/>
        <w:placeholder>
          <w:docPart w:val="FA4991C7BCE94709BBD5BD1F6D89BF5E"/>
        </w:placeholder>
        <w:dataBinding w:prefixMappings="xmlns:ns0='http://purl.org/dc/elements/1.1/' xmlns:ns1='http://schemas.openxmlformats.org/package/2006/metadata/core-properties' " w:xpath="/ns1:coreProperties[1]/ns0:subject[1]" w:storeItemID="{6C3C8BC8-F283-45AE-878A-BAB7291924A1}"/>
        <w:text/>
      </w:sdtPr>
      <w:sdtEndPr/>
      <w:sdtContent>
        <w:p w14:paraId="67D1D605" w14:textId="5B72CED6" w:rsidR="00B044CA" w:rsidRPr="006431C4" w:rsidRDefault="00484E05" w:rsidP="00270120">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780C7DA4"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1.3. Zakres robót objętych</w:t>
      </w:r>
      <w:r w:rsidR="00180A26" w:rsidRPr="006431C4">
        <w:rPr>
          <w:rFonts w:cs="Arial"/>
          <w:szCs w:val="20"/>
        </w:rPr>
        <w:t xml:space="preserve"> SST</w:t>
      </w:r>
    </w:p>
    <w:p w14:paraId="123CF823"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Ustalenia zawarte w </w:t>
      </w:r>
      <w:r w:rsidR="00BA62A8" w:rsidRPr="006431C4">
        <w:rPr>
          <w:rFonts w:cs="Arial"/>
          <w:szCs w:val="20"/>
        </w:rPr>
        <w:t xml:space="preserve">niniejszej szczegółowej specyfikacji </w:t>
      </w:r>
      <w:r w:rsidRPr="006431C4">
        <w:rPr>
          <w:rFonts w:cs="Arial"/>
          <w:szCs w:val="20"/>
        </w:rPr>
        <w:t>dotyczą zasad prowadzenia robót związanych z ustawieniem krawężników:</w:t>
      </w:r>
    </w:p>
    <w:p w14:paraId="48081E6C"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betonowych na ławie betonowej z oporem </w:t>
      </w:r>
    </w:p>
    <w:p w14:paraId="7A83E88D" w14:textId="77777777" w:rsidR="006B6869" w:rsidRPr="006431C4" w:rsidRDefault="006B686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1.4. Określenia podstawowe</w:t>
      </w:r>
    </w:p>
    <w:p w14:paraId="317D68D4"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1.4.1.</w:t>
      </w:r>
      <w:r w:rsidR="003D79DE" w:rsidRPr="006431C4">
        <w:rPr>
          <w:rFonts w:cs="Arial"/>
          <w:b/>
          <w:szCs w:val="20"/>
        </w:rPr>
        <w:tab/>
      </w:r>
      <w:r w:rsidRPr="006431C4">
        <w:rPr>
          <w:rFonts w:cs="Arial"/>
          <w:szCs w:val="20"/>
        </w:rPr>
        <w:t>Krawężniki betonowe - prefabrykowane belki betonowe ograniczające chodniki dla pieszych, pasy dzielące, wyspy kierujące oraz nawierzchnie drogowe.</w:t>
      </w:r>
    </w:p>
    <w:p w14:paraId="332B4D61"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1.4.2.</w:t>
      </w:r>
      <w:r w:rsidR="003D79DE" w:rsidRPr="006431C4">
        <w:rPr>
          <w:rFonts w:cs="Arial"/>
          <w:b/>
          <w:szCs w:val="20"/>
        </w:rPr>
        <w:tab/>
      </w:r>
      <w:r w:rsidRPr="006431C4">
        <w:rPr>
          <w:rFonts w:cs="Arial"/>
          <w:szCs w:val="20"/>
        </w:rPr>
        <w:t>Pozostałe określenia podstawowe są zgodne z obowiązującymi, odpowiednimi polskimi normami i z definicjami podanymi w</w:t>
      </w:r>
      <w:r w:rsidR="00180A26" w:rsidRPr="006431C4">
        <w:rPr>
          <w:rFonts w:cs="Arial"/>
          <w:szCs w:val="20"/>
        </w:rPr>
        <w:t xml:space="preserve"> SST </w:t>
      </w:r>
      <w:r w:rsidRPr="006431C4">
        <w:rPr>
          <w:rFonts w:cs="Arial"/>
          <w:szCs w:val="20"/>
        </w:rPr>
        <w:t>D-M-00.00.00 „Wymagania ogólne” pkt 1.4.</w:t>
      </w:r>
    </w:p>
    <w:p w14:paraId="1F445D34" w14:textId="77777777" w:rsidR="006B6869" w:rsidRPr="006431C4" w:rsidRDefault="006B686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1.5. Ogólne wymagania dotyczące robót</w:t>
      </w:r>
    </w:p>
    <w:p w14:paraId="1CB85B00"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wymagania dotyczące robót podano w</w:t>
      </w:r>
      <w:r w:rsidR="00180A26" w:rsidRPr="006431C4">
        <w:rPr>
          <w:rFonts w:cs="Arial"/>
          <w:szCs w:val="20"/>
        </w:rPr>
        <w:t xml:space="preserve"> SST </w:t>
      </w:r>
      <w:r w:rsidRPr="006431C4">
        <w:rPr>
          <w:rFonts w:cs="Arial"/>
          <w:szCs w:val="20"/>
        </w:rPr>
        <w:t>D-M-00.00.00 „Wymagania ogólne” pkt 1.5.</w:t>
      </w:r>
    </w:p>
    <w:p w14:paraId="6787D0EF" w14:textId="77777777" w:rsidR="00E90044" w:rsidRPr="006431C4" w:rsidRDefault="00E90044" w:rsidP="00270120">
      <w:pPr>
        <w:pStyle w:val="Tekstpodstawowy"/>
        <w:shd w:val="clear" w:color="auto" w:fill="FFFFFF" w:themeFill="background1"/>
        <w:tabs>
          <w:tab w:val="clear" w:pos="360"/>
          <w:tab w:val="left" w:pos="142"/>
        </w:tabs>
        <w:spacing w:line="240" w:lineRule="auto"/>
        <w:jc w:val="both"/>
        <w:rPr>
          <w:rFonts w:eastAsia="TimesNewRoman" w:cs="Arial"/>
          <w:sz w:val="20"/>
          <w:szCs w:val="20"/>
        </w:rPr>
      </w:pPr>
      <w:r w:rsidRPr="006431C4">
        <w:rPr>
          <w:rFonts w:cs="Arial"/>
          <w:sz w:val="20"/>
          <w:szCs w:val="20"/>
        </w:rPr>
        <w:lastRenderedPageBreak/>
        <w:t>Wykonawca jest odpowiedzialny za jako</w:t>
      </w:r>
      <w:r w:rsidRPr="006431C4">
        <w:rPr>
          <w:rFonts w:eastAsia="TimesNewRoman" w:cs="Arial"/>
          <w:sz w:val="20"/>
          <w:szCs w:val="20"/>
        </w:rPr>
        <w:t xml:space="preserve">ść </w:t>
      </w:r>
      <w:r w:rsidRPr="006431C4">
        <w:rPr>
          <w:rFonts w:cs="Arial"/>
          <w:sz w:val="20"/>
          <w:szCs w:val="20"/>
        </w:rPr>
        <w:t>wykonania Robót i ich zgodno</w:t>
      </w:r>
      <w:r w:rsidRPr="006431C4">
        <w:rPr>
          <w:rFonts w:eastAsia="TimesNewRoman" w:cs="Arial"/>
          <w:sz w:val="20"/>
          <w:szCs w:val="20"/>
        </w:rPr>
        <w:t xml:space="preserve">ść </w:t>
      </w:r>
      <w:r w:rsidRPr="006431C4">
        <w:rPr>
          <w:rFonts w:cs="Arial"/>
          <w:sz w:val="20"/>
          <w:szCs w:val="20"/>
        </w:rPr>
        <w:t>z Dokumentacj</w:t>
      </w:r>
      <w:r w:rsidRPr="006431C4">
        <w:rPr>
          <w:rFonts w:eastAsia="TimesNewRoman" w:cs="Arial"/>
          <w:sz w:val="20"/>
          <w:szCs w:val="20"/>
        </w:rPr>
        <w:t xml:space="preserve">ą </w:t>
      </w:r>
      <w:r w:rsidRPr="006431C4">
        <w:rPr>
          <w:rFonts w:cs="Arial"/>
          <w:sz w:val="20"/>
          <w:szCs w:val="20"/>
        </w:rPr>
        <w:t>Projektow</w:t>
      </w:r>
      <w:r w:rsidRPr="006431C4">
        <w:rPr>
          <w:rFonts w:eastAsia="TimesNewRoman" w:cs="Arial"/>
          <w:sz w:val="20"/>
          <w:szCs w:val="20"/>
        </w:rPr>
        <w:t>ą</w:t>
      </w:r>
    </w:p>
    <w:p w14:paraId="60675B08" w14:textId="77777777" w:rsidR="00E90044" w:rsidRPr="006431C4" w:rsidRDefault="00E90044" w:rsidP="00270120">
      <w:pPr>
        <w:pStyle w:val="Tekstpodstawowy"/>
        <w:shd w:val="clear" w:color="auto" w:fill="FFFFFF" w:themeFill="background1"/>
        <w:tabs>
          <w:tab w:val="clear" w:pos="360"/>
          <w:tab w:val="left" w:pos="142"/>
        </w:tabs>
        <w:spacing w:line="240" w:lineRule="auto"/>
        <w:jc w:val="both"/>
        <w:rPr>
          <w:rFonts w:cs="Arial"/>
          <w:sz w:val="20"/>
          <w:szCs w:val="20"/>
        </w:rPr>
      </w:pPr>
      <w:r w:rsidRPr="006431C4">
        <w:rPr>
          <w:rFonts w:cs="Arial"/>
          <w:sz w:val="20"/>
          <w:szCs w:val="20"/>
        </w:rPr>
        <w:t>i poleceniami Kierownika Projektu.</w:t>
      </w:r>
    </w:p>
    <w:p w14:paraId="781C258F" w14:textId="77777777" w:rsidR="00E90044" w:rsidRPr="006431C4" w:rsidRDefault="006B6869" w:rsidP="00270120">
      <w:pPr>
        <w:pStyle w:val="Nagwek1"/>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 xml:space="preserve">2. </w:t>
      </w:r>
      <w:bookmarkStart w:id="1044" w:name="_Toc428323648"/>
      <w:bookmarkStart w:id="1045" w:name="_Toc428759422"/>
      <w:r w:rsidRPr="006431C4">
        <w:rPr>
          <w:rFonts w:cs="Arial"/>
          <w:szCs w:val="20"/>
        </w:rPr>
        <w:t>MATERIAŁY</w:t>
      </w:r>
      <w:bookmarkEnd w:id="1044"/>
      <w:bookmarkEnd w:id="1045"/>
    </w:p>
    <w:p w14:paraId="6AD9CF1D" w14:textId="77777777" w:rsidR="006B6869" w:rsidRPr="006431C4" w:rsidRDefault="006B686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2.1. Ogólne wymagania dotyczące materiałów</w:t>
      </w:r>
    </w:p>
    <w:p w14:paraId="40EB8897"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Ogólne wymagania dotyczące materiałów, ich pozyskiwania i składowania, podano w </w:t>
      </w:r>
      <w:r w:rsidR="00180A26" w:rsidRPr="006431C4">
        <w:rPr>
          <w:rFonts w:cs="Arial"/>
          <w:szCs w:val="20"/>
        </w:rPr>
        <w:t xml:space="preserve"> SST </w:t>
      </w:r>
      <w:r w:rsidRPr="006431C4">
        <w:rPr>
          <w:rFonts w:cs="Arial"/>
          <w:szCs w:val="20"/>
        </w:rPr>
        <w:t>D-M-00.00.00 „Wymagania ogólne” pkt 2.</w:t>
      </w:r>
    </w:p>
    <w:p w14:paraId="26E3E8D7" w14:textId="77777777" w:rsidR="00F56F01" w:rsidRPr="006431C4" w:rsidRDefault="006B686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2.2. Stosowane materiały</w:t>
      </w:r>
    </w:p>
    <w:p w14:paraId="10684DBC" w14:textId="77777777" w:rsidR="00F56F01" w:rsidRPr="006431C4" w:rsidRDefault="00F56F01" w:rsidP="00270120">
      <w:pPr>
        <w:pStyle w:val="Lista-kontynuacja3"/>
        <w:shd w:val="clear" w:color="auto" w:fill="FFFFFF" w:themeFill="background1"/>
        <w:tabs>
          <w:tab w:val="left" w:pos="142"/>
        </w:tabs>
        <w:spacing w:after="0" w:line="240" w:lineRule="auto"/>
        <w:ind w:left="0"/>
        <w:jc w:val="both"/>
        <w:rPr>
          <w:rFonts w:cs="Arial"/>
          <w:szCs w:val="20"/>
        </w:rPr>
      </w:pPr>
      <w:r w:rsidRPr="006431C4">
        <w:rPr>
          <w:rFonts w:cs="Arial"/>
          <w:szCs w:val="20"/>
        </w:rPr>
        <w:t>Do ustawienia kraw</w:t>
      </w:r>
      <w:r w:rsidRPr="006431C4">
        <w:rPr>
          <w:rFonts w:eastAsia="TimesNewRoman" w:cs="Arial"/>
          <w:szCs w:val="20"/>
        </w:rPr>
        <w:t>ęż</w:t>
      </w:r>
      <w:r w:rsidRPr="006431C4">
        <w:rPr>
          <w:rFonts w:cs="Arial"/>
          <w:szCs w:val="20"/>
        </w:rPr>
        <w:t>ników na ławie betonowej przewiduje si</w:t>
      </w:r>
      <w:r w:rsidRPr="006431C4">
        <w:rPr>
          <w:rFonts w:eastAsia="TimesNewRoman" w:cs="Arial"/>
          <w:szCs w:val="20"/>
        </w:rPr>
        <w:t>ę</w:t>
      </w:r>
      <w:r w:rsidRPr="006431C4">
        <w:rPr>
          <w:rFonts w:cs="Arial"/>
          <w:szCs w:val="20"/>
        </w:rPr>
        <w:t>:</w:t>
      </w:r>
    </w:p>
    <w:p w14:paraId="0C7ADFAB" w14:textId="77777777" w:rsidR="00F56F01" w:rsidRPr="006431C4" w:rsidRDefault="00F56F01"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szCs w:val="20"/>
        </w:rPr>
        <w:t>- kraw</w:t>
      </w:r>
      <w:r w:rsidRPr="006431C4">
        <w:rPr>
          <w:rFonts w:eastAsia="TimesNewRoman" w:cs="Arial"/>
          <w:szCs w:val="20"/>
        </w:rPr>
        <w:t>ęż</w:t>
      </w:r>
      <w:r w:rsidRPr="006431C4">
        <w:rPr>
          <w:rFonts w:cs="Arial"/>
          <w:szCs w:val="20"/>
        </w:rPr>
        <w:t>niki betonowe uliczne 20 x 30 cm, wytrzymało</w:t>
      </w:r>
      <w:r w:rsidRPr="006431C4">
        <w:rPr>
          <w:rFonts w:eastAsia="TimesNewRoman" w:cs="Arial"/>
          <w:szCs w:val="20"/>
        </w:rPr>
        <w:t>ś</w:t>
      </w:r>
      <w:r w:rsidRPr="006431C4">
        <w:rPr>
          <w:rFonts w:cs="Arial"/>
          <w:szCs w:val="20"/>
        </w:rPr>
        <w:t>ci 2, jednowarstwowe,</w:t>
      </w:r>
    </w:p>
    <w:p w14:paraId="60E369B4" w14:textId="77777777" w:rsidR="00F56F01" w:rsidRPr="006431C4" w:rsidRDefault="00F56F01"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szCs w:val="20"/>
        </w:rPr>
        <w:t>- beton C16/20 na ław</w:t>
      </w:r>
      <w:r w:rsidRPr="006431C4">
        <w:rPr>
          <w:rFonts w:eastAsia="TimesNewRoman" w:cs="Arial"/>
          <w:szCs w:val="20"/>
        </w:rPr>
        <w:t xml:space="preserve">ę </w:t>
      </w:r>
      <w:r w:rsidRPr="006431C4">
        <w:rPr>
          <w:rFonts w:cs="Arial"/>
          <w:szCs w:val="20"/>
        </w:rPr>
        <w:t>betonow</w:t>
      </w:r>
      <w:r w:rsidRPr="006431C4">
        <w:rPr>
          <w:rFonts w:eastAsia="TimesNewRoman" w:cs="Arial"/>
          <w:szCs w:val="20"/>
        </w:rPr>
        <w:t>ą</w:t>
      </w:r>
      <w:r w:rsidRPr="006431C4">
        <w:rPr>
          <w:rFonts w:cs="Arial"/>
          <w:szCs w:val="20"/>
        </w:rPr>
        <w:t>,</w:t>
      </w:r>
    </w:p>
    <w:p w14:paraId="0F5AFC47" w14:textId="77777777" w:rsidR="00F56F01" w:rsidRPr="006431C4" w:rsidRDefault="00F56F01"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szCs w:val="20"/>
        </w:rPr>
        <w:t>- podsypka cementowo-piaskowa 1:3,</w:t>
      </w:r>
    </w:p>
    <w:p w14:paraId="308CFA20" w14:textId="77777777" w:rsidR="00F56F01" w:rsidRPr="006431C4" w:rsidRDefault="00F56F01" w:rsidP="00270120">
      <w:pPr>
        <w:pStyle w:val="Lista"/>
        <w:shd w:val="clear" w:color="auto" w:fill="FFFFFF" w:themeFill="background1"/>
        <w:tabs>
          <w:tab w:val="left" w:pos="142"/>
        </w:tabs>
        <w:spacing w:line="240" w:lineRule="auto"/>
        <w:ind w:left="0" w:firstLine="0"/>
        <w:jc w:val="both"/>
        <w:rPr>
          <w:rFonts w:cs="Arial"/>
          <w:szCs w:val="20"/>
        </w:rPr>
      </w:pPr>
      <w:r w:rsidRPr="006431C4">
        <w:rPr>
          <w:rFonts w:cs="Arial"/>
          <w:szCs w:val="20"/>
        </w:rPr>
        <w:t>- deskowanie systemowe lub deski iglaste obrzynane III kl. do wykonania szalunków,</w:t>
      </w:r>
    </w:p>
    <w:p w14:paraId="2B64584C" w14:textId="77777777" w:rsidR="00F56F01" w:rsidRPr="006431C4" w:rsidRDefault="00F56F01" w:rsidP="00270120">
      <w:pPr>
        <w:pStyle w:val="Lista"/>
        <w:shd w:val="clear" w:color="auto" w:fill="FFFFFF" w:themeFill="background1"/>
        <w:tabs>
          <w:tab w:val="left" w:pos="142"/>
        </w:tabs>
        <w:spacing w:line="240" w:lineRule="auto"/>
        <w:ind w:left="0" w:firstLine="0"/>
        <w:jc w:val="both"/>
        <w:rPr>
          <w:rFonts w:cs="Arial"/>
          <w:szCs w:val="20"/>
        </w:rPr>
      </w:pPr>
      <w:r w:rsidRPr="006431C4">
        <w:rPr>
          <w:rFonts w:cs="Arial"/>
          <w:szCs w:val="20"/>
        </w:rPr>
        <w:t>- bitumiczna masa zalewowa,</w:t>
      </w:r>
    </w:p>
    <w:p w14:paraId="439C17B4" w14:textId="77777777" w:rsidR="00F56F01" w:rsidRPr="006431C4" w:rsidRDefault="00F56F01" w:rsidP="00270120">
      <w:pPr>
        <w:pStyle w:val="Lista"/>
        <w:shd w:val="clear" w:color="auto" w:fill="FFFFFF" w:themeFill="background1"/>
        <w:tabs>
          <w:tab w:val="left" w:pos="142"/>
        </w:tabs>
        <w:spacing w:line="240" w:lineRule="auto"/>
        <w:ind w:left="0" w:firstLine="0"/>
        <w:jc w:val="both"/>
        <w:rPr>
          <w:rFonts w:cs="Arial"/>
          <w:szCs w:val="20"/>
        </w:rPr>
      </w:pPr>
      <w:r w:rsidRPr="006431C4">
        <w:rPr>
          <w:rFonts w:cs="Arial"/>
          <w:szCs w:val="20"/>
        </w:rPr>
        <w:t>- woda.</w:t>
      </w:r>
    </w:p>
    <w:p w14:paraId="564621CA" w14:textId="77777777" w:rsidR="006B6869" w:rsidRPr="006431C4" w:rsidRDefault="006B686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 xml:space="preserve">2.3. Krawężniki betonowe </w:t>
      </w:r>
      <w:r w:rsidR="00F56F01" w:rsidRPr="006431C4">
        <w:rPr>
          <w:rFonts w:cs="Arial"/>
          <w:szCs w:val="20"/>
        </w:rPr>
        <w:t>–</w:t>
      </w:r>
      <w:r w:rsidRPr="006431C4">
        <w:rPr>
          <w:rFonts w:cs="Arial"/>
          <w:szCs w:val="20"/>
        </w:rPr>
        <w:t xml:space="preserve"> </w:t>
      </w:r>
      <w:r w:rsidR="005E30A5" w:rsidRPr="006431C4">
        <w:rPr>
          <w:rFonts w:cs="Arial"/>
          <w:szCs w:val="20"/>
        </w:rPr>
        <w:t>wymagani</w:t>
      </w:r>
      <w:r w:rsidR="00F56F01" w:rsidRPr="006431C4">
        <w:rPr>
          <w:rFonts w:cs="Arial"/>
          <w:szCs w:val="20"/>
        </w:rPr>
        <w:t>a</w:t>
      </w:r>
      <w:r w:rsidR="005E30A5" w:rsidRPr="006431C4">
        <w:rPr>
          <w:rFonts w:cs="Arial"/>
          <w:szCs w:val="20"/>
        </w:rPr>
        <w:t xml:space="preserve"> </w:t>
      </w:r>
      <w:r w:rsidR="00F56F01" w:rsidRPr="006431C4">
        <w:rPr>
          <w:rFonts w:cs="Arial"/>
          <w:szCs w:val="20"/>
        </w:rPr>
        <w:t>techniczne</w:t>
      </w:r>
    </w:p>
    <w:p w14:paraId="5B8B3492" w14:textId="77777777" w:rsidR="00F56F01" w:rsidRPr="006431C4" w:rsidRDefault="00F56F01"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szCs w:val="20"/>
        </w:rPr>
        <w:t>2.3.1.</w:t>
      </w:r>
      <w:r w:rsidR="003D79DE" w:rsidRPr="006431C4">
        <w:rPr>
          <w:rFonts w:cs="Arial"/>
          <w:szCs w:val="20"/>
        </w:rPr>
        <w:tab/>
      </w:r>
      <w:r w:rsidRPr="006431C4">
        <w:rPr>
          <w:rFonts w:cs="Arial"/>
          <w:szCs w:val="20"/>
        </w:rPr>
        <w:t>Wymagania ogólne wobec kraw</w:t>
      </w:r>
      <w:r w:rsidR="005E30A5" w:rsidRPr="006431C4">
        <w:rPr>
          <w:rFonts w:eastAsia="TimesNewRoman" w:cs="Arial"/>
          <w:szCs w:val="20"/>
        </w:rPr>
        <w:t>ęż</w:t>
      </w:r>
      <w:r w:rsidRPr="006431C4">
        <w:rPr>
          <w:rFonts w:cs="Arial"/>
          <w:szCs w:val="20"/>
        </w:rPr>
        <w:t>ników</w:t>
      </w:r>
    </w:p>
    <w:p w14:paraId="066CBE5A" w14:textId="77777777" w:rsidR="00F56F01" w:rsidRPr="006431C4" w:rsidRDefault="00F56F01" w:rsidP="00270120">
      <w:pPr>
        <w:pStyle w:val="Lista-kontynuacja4"/>
        <w:shd w:val="clear" w:color="auto" w:fill="FFFFFF" w:themeFill="background1"/>
        <w:tabs>
          <w:tab w:val="left" w:pos="142"/>
        </w:tabs>
        <w:spacing w:after="0" w:line="240" w:lineRule="auto"/>
        <w:ind w:left="0"/>
        <w:jc w:val="both"/>
        <w:rPr>
          <w:rFonts w:cs="Arial"/>
          <w:szCs w:val="20"/>
        </w:rPr>
      </w:pPr>
      <w:r w:rsidRPr="006431C4">
        <w:rPr>
          <w:rFonts w:cs="Arial"/>
          <w:szCs w:val="20"/>
        </w:rPr>
        <w:t>Kraw</w:t>
      </w:r>
      <w:r w:rsidRPr="006431C4">
        <w:rPr>
          <w:rFonts w:eastAsia="TimesNewRoman" w:cs="Arial"/>
          <w:szCs w:val="20"/>
        </w:rPr>
        <w:t>ęż</w:t>
      </w:r>
      <w:r w:rsidRPr="006431C4">
        <w:rPr>
          <w:rFonts w:cs="Arial"/>
          <w:szCs w:val="20"/>
        </w:rPr>
        <w:t>niki betonowe mog</w:t>
      </w:r>
      <w:r w:rsidRPr="006431C4">
        <w:rPr>
          <w:rFonts w:eastAsia="TimesNewRoman" w:cs="Arial"/>
          <w:szCs w:val="20"/>
        </w:rPr>
        <w:t xml:space="preserve">ą </w:t>
      </w:r>
      <w:r w:rsidRPr="006431C4">
        <w:rPr>
          <w:rFonts w:cs="Arial"/>
          <w:szCs w:val="20"/>
        </w:rPr>
        <w:t>mie</w:t>
      </w:r>
      <w:r w:rsidRPr="006431C4">
        <w:rPr>
          <w:rFonts w:eastAsia="TimesNewRoman" w:cs="Arial"/>
          <w:szCs w:val="20"/>
        </w:rPr>
        <w:t xml:space="preserve">ć </w:t>
      </w:r>
      <w:r w:rsidRPr="006431C4">
        <w:rPr>
          <w:rFonts w:cs="Arial"/>
          <w:szCs w:val="20"/>
        </w:rPr>
        <w:t>nast</w:t>
      </w:r>
      <w:r w:rsidRPr="006431C4">
        <w:rPr>
          <w:rFonts w:eastAsia="TimesNewRoman" w:cs="Arial"/>
          <w:szCs w:val="20"/>
        </w:rPr>
        <w:t>ę</w:t>
      </w:r>
      <w:r w:rsidRPr="006431C4">
        <w:rPr>
          <w:rFonts w:cs="Arial"/>
          <w:szCs w:val="20"/>
        </w:rPr>
        <w:t>puj</w:t>
      </w:r>
      <w:r w:rsidRPr="006431C4">
        <w:rPr>
          <w:rFonts w:eastAsia="TimesNewRoman" w:cs="Arial"/>
          <w:szCs w:val="20"/>
        </w:rPr>
        <w:t>ą</w:t>
      </w:r>
      <w:r w:rsidRPr="006431C4">
        <w:rPr>
          <w:rFonts w:cs="Arial"/>
          <w:szCs w:val="20"/>
        </w:rPr>
        <w:t>ce cechy charakterystyczne:</w:t>
      </w:r>
    </w:p>
    <w:p w14:paraId="14CF3919" w14:textId="77777777" w:rsidR="00F56F01" w:rsidRPr="006431C4" w:rsidRDefault="00F56F01" w:rsidP="00270120">
      <w:pPr>
        <w:pStyle w:val="Lista-kontynuacja4"/>
        <w:shd w:val="clear" w:color="auto" w:fill="FFFFFF" w:themeFill="background1"/>
        <w:tabs>
          <w:tab w:val="left" w:pos="142"/>
        </w:tabs>
        <w:spacing w:after="0" w:line="240" w:lineRule="auto"/>
        <w:ind w:left="0"/>
        <w:jc w:val="both"/>
        <w:rPr>
          <w:rFonts w:cs="Arial"/>
          <w:szCs w:val="20"/>
        </w:rPr>
      </w:pPr>
      <w:r w:rsidRPr="006431C4">
        <w:rPr>
          <w:rFonts w:cs="Arial"/>
          <w:szCs w:val="20"/>
        </w:rPr>
        <w:t>– kraw</w:t>
      </w:r>
      <w:r w:rsidRPr="006431C4">
        <w:rPr>
          <w:rFonts w:eastAsia="TimesNewRoman" w:cs="Arial"/>
          <w:szCs w:val="20"/>
        </w:rPr>
        <w:t>ęż</w:t>
      </w:r>
      <w:r w:rsidRPr="006431C4">
        <w:rPr>
          <w:rFonts w:cs="Arial"/>
          <w:szCs w:val="20"/>
        </w:rPr>
        <w:t>nik mo</w:t>
      </w:r>
      <w:r w:rsidRPr="006431C4">
        <w:rPr>
          <w:rFonts w:eastAsia="TimesNewRoman" w:cs="Arial"/>
          <w:szCs w:val="20"/>
        </w:rPr>
        <w:t>ż</w:t>
      </w:r>
      <w:r w:rsidRPr="006431C4">
        <w:rPr>
          <w:rFonts w:cs="Arial"/>
          <w:szCs w:val="20"/>
        </w:rPr>
        <w:t>e by</w:t>
      </w:r>
      <w:r w:rsidRPr="006431C4">
        <w:rPr>
          <w:rFonts w:eastAsia="TimesNewRoman" w:cs="Arial"/>
          <w:szCs w:val="20"/>
        </w:rPr>
        <w:t xml:space="preserve">ć </w:t>
      </w:r>
      <w:r w:rsidRPr="006431C4">
        <w:rPr>
          <w:rFonts w:cs="Arial"/>
          <w:szCs w:val="20"/>
        </w:rPr>
        <w:t>produkowany:</w:t>
      </w:r>
    </w:p>
    <w:p w14:paraId="6CCE229C" w14:textId="77777777" w:rsidR="00F56F01" w:rsidRPr="006431C4" w:rsidRDefault="00F56F01"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a)</w:t>
      </w:r>
      <w:r w:rsidR="003D79DE" w:rsidRPr="006431C4">
        <w:rPr>
          <w:rFonts w:cs="Arial"/>
          <w:szCs w:val="20"/>
        </w:rPr>
        <w:tab/>
      </w:r>
      <w:r w:rsidRPr="006431C4">
        <w:rPr>
          <w:rFonts w:cs="Arial"/>
          <w:szCs w:val="20"/>
        </w:rPr>
        <w:t>z jednego rodzaju betonu klasy C25/30,</w:t>
      </w:r>
    </w:p>
    <w:p w14:paraId="3B12B328" w14:textId="77777777" w:rsidR="00F56F01" w:rsidRPr="006431C4" w:rsidRDefault="00F56F01"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b)</w:t>
      </w:r>
      <w:r w:rsidR="003D79DE" w:rsidRPr="006431C4">
        <w:rPr>
          <w:rFonts w:cs="Arial"/>
          <w:szCs w:val="20"/>
        </w:rPr>
        <w:tab/>
      </w:r>
      <w:r w:rsidRPr="006431C4">
        <w:rPr>
          <w:rFonts w:cs="Arial"/>
          <w:szCs w:val="20"/>
        </w:rPr>
        <w:t>z ró</w:t>
      </w:r>
      <w:r w:rsidRPr="006431C4">
        <w:rPr>
          <w:rFonts w:eastAsia="TimesNewRoman" w:cs="Arial"/>
          <w:szCs w:val="20"/>
        </w:rPr>
        <w:t>ż</w:t>
      </w:r>
      <w:r w:rsidRPr="006431C4">
        <w:rPr>
          <w:rFonts w:cs="Arial"/>
          <w:szCs w:val="20"/>
        </w:rPr>
        <w:t xml:space="preserve">nych betonów zastosowanych w warstwie konstrukcyjnej oraz w warstwie </w:t>
      </w:r>
      <w:r w:rsidRPr="006431C4">
        <w:rPr>
          <w:rFonts w:eastAsia="TimesNewRoman" w:cs="Arial"/>
          <w:szCs w:val="20"/>
        </w:rPr>
        <w:t>ś</w:t>
      </w:r>
      <w:r w:rsidRPr="006431C4">
        <w:rPr>
          <w:rFonts w:cs="Arial"/>
          <w:szCs w:val="20"/>
        </w:rPr>
        <w:t>cieralnej (która na całej</w:t>
      </w:r>
      <w:r w:rsidR="003D79DE" w:rsidRPr="006431C4">
        <w:rPr>
          <w:rFonts w:cs="Arial"/>
          <w:szCs w:val="20"/>
        </w:rPr>
        <w:t xml:space="preserve"> </w:t>
      </w:r>
      <w:r w:rsidRPr="006431C4">
        <w:rPr>
          <w:rFonts w:cs="Arial"/>
          <w:szCs w:val="20"/>
        </w:rPr>
        <w:t>powierzchni deklarowanej przez producenta jako powierzchnia widoczna powinna mie</w:t>
      </w:r>
      <w:r w:rsidRPr="006431C4">
        <w:rPr>
          <w:rFonts w:eastAsia="TimesNewRoman" w:cs="Arial"/>
          <w:szCs w:val="20"/>
        </w:rPr>
        <w:t xml:space="preserve">ć </w:t>
      </w:r>
      <w:r w:rsidRPr="006431C4">
        <w:rPr>
          <w:rFonts w:cs="Arial"/>
          <w:szCs w:val="20"/>
        </w:rPr>
        <w:t>minimaln</w:t>
      </w:r>
      <w:r w:rsidRPr="006431C4">
        <w:rPr>
          <w:rFonts w:eastAsia="TimesNewRoman" w:cs="Arial"/>
          <w:szCs w:val="20"/>
        </w:rPr>
        <w:t>ą</w:t>
      </w:r>
      <w:r w:rsidR="003D79DE" w:rsidRPr="006431C4">
        <w:rPr>
          <w:rFonts w:eastAsia="TimesNewRoman" w:cs="Arial"/>
          <w:szCs w:val="20"/>
        </w:rPr>
        <w:t xml:space="preserve"> </w:t>
      </w:r>
      <w:r w:rsidRPr="006431C4">
        <w:rPr>
          <w:rFonts w:cs="Arial"/>
          <w:szCs w:val="20"/>
        </w:rPr>
        <w:t>grubo</w:t>
      </w:r>
      <w:r w:rsidRPr="006431C4">
        <w:rPr>
          <w:rFonts w:eastAsia="TimesNewRoman" w:cs="Arial"/>
          <w:szCs w:val="20"/>
        </w:rPr>
        <w:t xml:space="preserve">ść </w:t>
      </w:r>
      <w:r w:rsidRPr="006431C4">
        <w:rPr>
          <w:rFonts w:cs="Arial"/>
          <w:szCs w:val="20"/>
        </w:rPr>
        <w:t>4 mm),</w:t>
      </w:r>
      <w:r w:rsidR="003D79DE" w:rsidRPr="006431C4">
        <w:rPr>
          <w:rFonts w:cs="Arial"/>
          <w:szCs w:val="20"/>
        </w:rPr>
        <w:t xml:space="preserve"> </w:t>
      </w:r>
      <w:r w:rsidRPr="006431C4">
        <w:rPr>
          <w:rFonts w:cs="Arial"/>
          <w:szCs w:val="20"/>
        </w:rPr>
        <w:t>– sko</w:t>
      </w:r>
      <w:r w:rsidRPr="006431C4">
        <w:rPr>
          <w:rFonts w:eastAsia="TimesNewRoman" w:cs="Arial"/>
          <w:szCs w:val="20"/>
        </w:rPr>
        <w:t>ś</w:t>
      </w:r>
      <w:r w:rsidRPr="006431C4">
        <w:rPr>
          <w:rFonts w:cs="Arial"/>
          <w:szCs w:val="20"/>
        </w:rPr>
        <w:t>ne kraw</w:t>
      </w:r>
      <w:r w:rsidRPr="006431C4">
        <w:rPr>
          <w:rFonts w:eastAsia="TimesNewRoman" w:cs="Arial"/>
          <w:szCs w:val="20"/>
        </w:rPr>
        <w:t>ę</w:t>
      </w:r>
      <w:r w:rsidRPr="006431C4">
        <w:rPr>
          <w:rFonts w:cs="Arial"/>
          <w:szCs w:val="20"/>
        </w:rPr>
        <w:t>dzie kraw</w:t>
      </w:r>
      <w:r w:rsidRPr="006431C4">
        <w:rPr>
          <w:rFonts w:eastAsia="TimesNewRoman" w:cs="Arial"/>
          <w:szCs w:val="20"/>
        </w:rPr>
        <w:t>ęż</w:t>
      </w:r>
      <w:r w:rsidRPr="006431C4">
        <w:rPr>
          <w:rFonts w:cs="Arial"/>
          <w:szCs w:val="20"/>
        </w:rPr>
        <w:t>nika powy</w:t>
      </w:r>
      <w:r w:rsidRPr="006431C4">
        <w:rPr>
          <w:rFonts w:eastAsia="TimesNewRoman" w:cs="Arial"/>
          <w:szCs w:val="20"/>
        </w:rPr>
        <w:t>ż</w:t>
      </w:r>
      <w:r w:rsidRPr="006431C4">
        <w:rPr>
          <w:rFonts w:cs="Arial"/>
          <w:szCs w:val="20"/>
        </w:rPr>
        <w:t>ej 2 mm powinny by</w:t>
      </w:r>
      <w:r w:rsidRPr="006431C4">
        <w:rPr>
          <w:rFonts w:eastAsia="TimesNewRoman" w:cs="Arial"/>
          <w:szCs w:val="20"/>
        </w:rPr>
        <w:t xml:space="preserve">ć </w:t>
      </w:r>
      <w:r w:rsidRPr="006431C4">
        <w:rPr>
          <w:rFonts w:cs="Arial"/>
          <w:szCs w:val="20"/>
        </w:rPr>
        <w:t>okre</w:t>
      </w:r>
      <w:r w:rsidRPr="006431C4">
        <w:rPr>
          <w:rFonts w:eastAsia="TimesNewRoman" w:cs="Arial"/>
          <w:szCs w:val="20"/>
        </w:rPr>
        <w:t>ś</w:t>
      </w:r>
      <w:r w:rsidRPr="006431C4">
        <w:rPr>
          <w:rFonts w:cs="Arial"/>
          <w:szCs w:val="20"/>
        </w:rPr>
        <w:t>lone jako fazowane, z wymiarami</w:t>
      </w:r>
      <w:r w:rsidR="003D79DE" w:rsidRPr="006431C4">
        <w:rPr>
          <w:rFonts w:cs="Arial"/>
          <w:szCs w:val="20"/>
        </w:rPr>
        <w:t xml:space="preserve"> </w:t>
      </w:r>
      <w:r w:rsidRPr="006431C4">
        <w:rPr>
          <w:rFonts w:cs="Arial"/>
          <w:szCs w:val="20"/>
        </w:rPr>
        <w:t>deklarowanymi przez producenta,</w:t>
      </w:r>
      <w:r w:rsidR="003D79DE" w:rsidRPr="006431C4">
        <w:rPr>
          <w:rFonts w:cs="Arial"/>
          <w:szCs w:val="20"/>
        </w:rPr>
        <w:t xml:space="preserve"> </w:t>
      </w:r>
      <w:r w:rsidRPr="006431C4">
        <w:rPr>
          <w:rFonts w:cs="Arial"/>
          <w:szCs w:val="20"/>
        </w:rPr>
        <w:t>– kraw</w:t>
      </w:r>
      <w:r w:rsidRPr="006431C4">
        <w:rPr>
          <w:rFonts w:eastAsia="TimesNewRoman" w:cs="Arial"/>
          <w:szCs w:val="20"/>
        </w:rPr>
        <w:t>ęż</w:t>
      </w:r>
      <w:r w:rsidRPr="006431C4">
        <w:rPr>
          <w:rFonts w:cs="Arial"/>
          <w:szCs w:val="20"/>
        </w:rPr>
        <w:t>nik mo</w:t>
      </w:r>
      <w:r w:rsidRPr="006431C4">
        <w:rPr>
          <w:rFonts w:eastAsia="TimesNewRoman" w:cs="Arial"/>
          <w:szCs w:val="20"/>
        </w:rPr>
        <w:t>ż</w:t>
      </w:r>
      <w:r w:rsidRPr="006431C4">
        <w:rPr>
          <w:rFonts w:cs="Arial"/>
          <w:szCs w:val="20"/>
        </w:rPr>
        <w:t>e mie</w:t>
      </w:r>
      <w:r w:rsidRPr="006431C4">
        <w:rPr>
          <w:rFonts w:eastAsia="TimesNewRoman" w:cs="Arial"/>
          <w:szCs w:val="20"/>
        </w:rPr>
        <w:t xml:space="preserve">ć </w:t>
      </w:r>
      <w:r w:rsidRPr="006431C4">
        <w:rPr>
          <w:rFonts w:cs="Arial"/>
          <w:szCs w:val="20"/>
        </w:rPr>
        <w:t>profile funkcjonalne i/lub dekoracyjne (których nie uwzgl</w:t>
      </w:r>
      <w:r w:rsidRPr="006431C4">
        <w:rPr>
          <w:rFonts w:eastAsia="TimesNewRoman" w:cs="Arial"/>
          <w:szCs w:val="20"/>
        </w:rPr>
        <w:t>ę</w:t>
      </w:r>
      <w:r w:rsidRPr="006431C4">
        <w:rPr>
          <w:rFonts w:cs="Arial"/>
          <w:szCs w:val="20"/>
        </w:rPr>
        <w:t>dnia si</w:t>
      </w:r>
      <w:r w:rsidRPr="006431C4">
        <w:rPr>
          <w:rFonts w:eastAsia="TimesNewRoman" w:cs="Arial"/>
          <w:szCs w:val="20"/>
        </w:rPr>
        <w:t xml:space="preserve">ę </w:t>
      </w:r>
      <w:r w:rsidRPr="006431C4">
        <w:rPr>
          <w:rFonts w:cs="Arial"/>
          <w:szCs w:val="20"/>
        </w:rPr>
        <w:t>przy okre</w:t>
      </w:r>
      <w:r w:rsidRPr="006431C4">
        <w:rPr>
          <w:rFonts w:eastAsia="TimesNewRoman" w:cs="Arial"/>
          <w:szCs w:val="20"/>
        </w:rPr>
        <w:t>ś</w:t>
      </w:r>
      <w:r w:rsidRPr="006431C4">
        <w:rPr>
          <w:rFonts w:cs="Arial"/>
          <w:szCs w:val="20"/>
        </w:rPr>
        <w:t>laniu</w:t>
      </w:r>
      <w:r w:rsidR="003D79DE" w:rsidRPr="006431C4">
        <w:rPr>
          <w:rFonts w:cs="Arial"/>
          <w:szCs w:val="20"/>
        </w:rPr>
        <w:t xml:space="preserve"> </w:t>
      </w:r>
      <w:r w:rsidRPr="006431C4">
        <w:rPr>
          <w:rFonts w:cs="Arial"/>
          <w:szCs w:val="20"/>
        </w:rPr>
        <w:t>wymiarów nominalnych kraw</w:t>
      </w:r>
      <w:r w:rsidRPr="006431C4">
        <w:rPr>
          <w:rFonts w:eastAsia="TimesNewRoman" w:cs="Arial"/>
          <w:szCs w:val="20"/>
        </w:rPr>
        <w:t>ęż</w:t>
      </w:r>
      <w:r w:rsidRPr="006431C4">
        <w:rPr>
          <w:rFonts w:cs="Arial"/>
          <w:szCs w:val="20"/>
        </w:rPr>
        <w:t>nika); zalecana długo</w:t>
      </w:r>
      <w:r w:rsidRPr="006431C4">
        <w:rPr>
          <w:rFonts w:eastAsia="TimesNewRoman" w:cs="Arial"/>
          <w:szCs w:val="20"/>
        </w:rPr>
        <w:t xml:space="preserve">ść </w:t>
      </w:r>
      <w:r w:rsidRPr="006431C4">
        <w:rPr>
          <w:rFonts w:cs="Arial"/>
          <w:szCs w:val="20"/>
        </w:rPr>
        <w:t>prostego odcinka kraw</w:t>
      </w:r>
      <w:r w:rsidRPr="006431C4">
        <w:rPr>
          <w:rFonts w:eastAsia="TimesNewRoman" w:cs="Arial"/>
          <w:szCs w:val="20"/>
        </w:rPr>
        <w:t>ęż</w:t>
      </w:r>
      <w:r w:rsidRPr="006431C4">
        <w:rPr>
          <w:rFonts w:cs="Arial"/>
          <w:szCs w:val="20"/>
        </w:rPr>
        <w:t>nika wraz ze zł</w:t>
      </w:r>
      <w:r w:rsidRPr="006431C4">
        <w:rPr>
          <w:rFonts w:eastAsia="TimesNewRoman" w:cs="Arial"/>
          <w:szCs w:val="20"/>
        </w:rPr>
        <w:t>ą</w:t>
      </w:r>
      <w:r w:rsidRPr="006431C4">
        <w:rPr>
          <w:rFonts w:cs="Arial"/>
          <w:szCs w:val="20"/>
        </w:rPr>
        <w:t>czem</w:t>
      </w:r>
      <w:r w:rsidR="003D79DE" w:rsidRPr="006431C4">
        <w:rPr>
          <w:rFonts w:cs="Arial"/>
          <w:szCs w:val="20"/>
        </w:rPr>
        <w:t xml:space="preserve"> </w:t>
      </w:r>
      <w:r w:rsidRPr="006431C4">
        <w:rPr>
          <w:rFonts w:cs="Arial"/>
          <w:szCs w:val="20"/>
        </w:rPr>
        <w:t>wynosi 1000 mm,</w:t>
      </w:r>
      <w:r w:rsidR="003D79DE" w:rsidRPr="006431C4">
        <w:rPr>
          <w:rFonts w:cs="Arial"/>
          <w:szCs w:val="20"/>
        </w:rPr>
        <w:t xml:space="preserve"> </w:t>
      </w:r>
      <w:r w:rsidRPr="006431C4">
        <w:rPr>
          <w:rFonts w:cs="Arial"/>
          <w:szCs w:val="20"/>
        </w:rPr>
        <w:t>– powierzchnia kraw</w:t>
      </w:r>
      <w:r w:rsidRPr="006431C4">
        <w:rPr>
          <w:rFonts w:eastAsia="TimesNewRoman" w:cs="Arial"/>
          <w:szCs w:val="20"/>
        </w:rPr>
        <w:t>ęż</w:t>
      </w:r>
      <w:r w:rsidRPr="006431C4">
        <w:rPr>
          <w:rFonts w:cs="Arial"/>
          <w:szCs w:val="20"/>
        </w:rPr>
        <w:t>nika mo</w:t>
      </w:r>
      <w:r w:rsidRPr="006431C4">
        <w:rPr>
          <w:rFonts w:eastAsia="TimesNewRoman" w:cs="Arial"/>
          <w:szCs w:val="20"/>
        </w:rPr>
        <w:t>ż</w:t>
      </w:r>
      <w:r w:rsidRPr="006431C4">
        <w:rPr>
          <w:rFonts w:cs="Arial"/>
          <w:szCs w:val="20"/>
        </w:rPr>
        <w:t>e by</w:t>
      </w:r>
      <w:r w:rsidRPr="006431C4">
        <w:rPr>
          <w:rFonts w:eastAsia="TimesNewRoman" w:cs="Arial"/>
          <w:szCs w:val="20"/>
        </w:rPr>
        <w:t xml:space="preserve">ć </w:t>
      </w:r>
      <w:r w:rsidRPr="006431C4">
        <w:rPr>
          <w:rFonts w:cs="Arial"/>
          <w:szCs w:val="20"/>
        </w:rPr>
        <w:t>obrabiana, poddana dodatkowej obróbce lub obróbce chemicznej,</w:t>
      </w:r>
      <w:r w:rsidR="003D79DE" w:rsidRPr="006431C4">
        <w:rPr>
          <w:rFonts w:cs="Arial"/>
          <w:szCs w:val="20"/>
        </w:rPr>
        <w:t xml:space="preserve"> </w:t>
      </w:r>
      <w:r w:rsidRPr="006431C4">
        <w:rPr>
          <w:rFonts w:cs="Arial"/>
          <w:szCs w:val="20"/>
        </w:rPr>
        <w:t>– płaszczyzny czołowe kraw</w:t>
      </w:r>
      <w:r w:rsidRPr="006431C4">
        <w:rPr>
          <w:rFonts w:eastAsia="TimesNewRoman" w:cs="Arial"/>
          <w:szCs w:val="20"/>
        </w:rPr>
        <w:t>ęż</w:t>
      </w:r>
      <w:r w:rsidRPr="006431C4">
        <w:rPr>
          <w:rFonts w:cs="Arial"/>
          <w:szCs w:val="20"/>
        </w:rPr>
        <w:t>ników mog</w:t>
      </w:r>
      <w:r w:rsidRPr="006431C4">
        <w:rPr>
          <w:rFonts w:eastAsia="TimesNewRoman" w:cs="Arial"/>
          <w:szCs w:val="20"/>
        </w:rPr>
        <w:t xml:space="preserve">ą </w:t>
      </w:r>
      <w:r w:rsidRPr="006431C4">
        <w:rPr>
          <w:rFonts w:cs="Arial"/>
          <w:szCs w:val="20"/>
        </w:rPr>
        <w:t>by</w:t>
      </w:r>
      <w:r w:rsidRPr="006431C4">
        <w:rPr>
          <w:rFonts w:eastAsia="TimesNewRoman" w:cs="Arial"/>
          <w:szCs w:val="20"/>
        </w:rPr>
        <w:t xml:space="preserve">ć </w:t>
      </w:r>
      <w:r w:rsidRPr="006431C4">
        <w:rPr>
          <w:rFonts w:cs="Arial"/>
          <w:szCs w:val="20"/>
        </w:rPr>
        <w:t>proste lub ukształtowane w sposób ułatwiaj</w:t>
      </w:r>
      <w:r w:rsidRPr="006431C4">
        <w:rPr>
          <w:rFonts w:eastAsia="TimesNewRoman" w:cs="Arial"/>
          <w:szCs w:val="20"/>
        </w:rPr>
        <w:t>ą</w:t>
      </w:r>
      <w:r w:rsidRPr="006431C4">
        <w:rPr>
          <w:rFonts w:cs="Arial"/>
          <w:szCs w:val="20"/>
        </w:rPr>
        <w:t>cy układanie lub</w:t>
      </w:r>
    </w:p>
    <w:p w14:paraId="576FE25E" w14:textId="77777777" w:rsidR="00F56F01" w:rsidRPr="006431C4" w:rsidRDefault="00F56F01"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ryglowanie</w:t>
      </w:r>
    </w:p>
    <w:p w14:paraId="7A4C0C02" w14:textId="77777777" w:rsidR="00F56F01" w:rsidRPr="006431C4" w:rsidRDefault="00F56F01"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 kraw</w:t>
      </w:r>
      <w:r w:rsidRPr="006431C4">
        <w:rPr>
          <w:rFonts w:eastAsia="TimesNewRoman" w:cs="Arial"/>
          <w:szCs w:val="20"/>
        </w:rPr>
        <w:t>ęż</w:t>
      </w:r>
      <w:r w:rsidRPr="006431C4">
        <w:rPr>
          <w:rFonts w:cs="Arial"/>
          <w:szCs w:val="20"/>
        </w:rPr>
        <w:t>niki łukowe mog</w:t>
      </w:r>
      <w:r w:rsidRPr="006431C4">
        <w:rPr>
          <w:rFonts w:eastAsia="TimesNewRoman" w:cs="Arial"/>
          <w:szCs w:val="20"/>
        </w:rPr>
        <w:t xml:space="preserve">ą </w:t>
      </w:r>
      <w:r w:rsidRPr="006431C4">
        <w:rPr>
          <w:rFonts w:cs="Arial"/>
          <w:szCs w:val="20"/>
        </w:rPr>
        <w:t>by</w:t>
      </w:r>
      <w:r w:rsidRPr="006431C4">
        <w:rPr>
          <w:rFonts w:eastAsia="TimesNewRoman" w:cs="Arial"/>
          <w:szCs w:val="20"/>
        </w:rPr>
        <w:t xml:space="preserve">ć </w:t>
      </w:r>
      <w:r w:rsidRPr="006431C4">
        <w:rPr>
          <w:rFonts w:cs="Arial"/>
          <w:szCs w:val="20"/>
        </w:rPr>
        <w:t>wykonane jako wypukłe lub wkl</w:t>
      </w:r>
      <w:r w:rsidRPr="006431C4">
        <w:rPr>
          <w:rFonts w:eastAsia="TimesNewRoman" w:cs="Arial"/>
          <w:szCs w:val="20"/>
        </w:rPr>
        <w:t>ę</w:t>
      </w:r>
      <w:r w:rsidRPr="006431C4">
        <w:rPr>
          <w:rFonts w:cs="Arial"/>
          <w:szCs w:val="20"/>
        </w:rPr>
        <w:t>słe</w:t>
      </w:r>
    </w:p>
    <w:p w14:paraId="52759D17" w14:textId="77777777" w:rsidR="00F56F01" w:rsidRPr="006431C4" w:rsidRDefault="00F56F01"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 rozró</w:t>
      </w:r>
      <w:r w:rsidRPr="006431C4">
        <w:rPr>
          <w:rFonts w:eastAsia="TimesNewRoman" w:cs="Arial"/>
          <w:szCs w:val="20"/>
        </w:rPr>
        <w:t>ż</w:t>
      </w:r>
      <w:r w:rsidRPr="006431C4">
        <w:rPr>
          <w:rFonts w:cs="Arial"/>
          <w:szCs w:val="20"/>
        </w:rPr>
        <w:t>nia si</w:t>
      </w:r>
      <w:r w:rsidRPr="006431C4">
        <w:rPr>
          <w:rFonts w:eastAsia="TimesNewRoman" w:cs="Arial"/>
          <w:szCs w:val="20"/>
        </w:rPr>
        <w:t xml:space="preserve">ę </w:t>
      </w:r>
      <w:r w:rsidRPr="006431C4">
        <w:rPr>
          <w:rFonts w:cs="Arial"/>
          <w:szCs w:val="20"/>
        </w:rPr>
        <w:t>dwa typy kraw</w:t>
      </w:r>
      <w:r w:rsidRPr="006431C4">
        <w:rPr>
          <w:rFonts w:eastAsia="TimesNewRoman" w:cs="Arial"/>
          <w:szCs w:val="20"/>
        </w:rPr>
        <w:t>ęż</w:t>
      </w:r>
      <w:r w:rsidRPr="006431C4">
        <w:rPr>
          <w:rFonts w:cs="Arial"/>
          <w:szCs w:val="20"/>
        </w:rPr>
        <w:t>ników:</w:t>
      </w:r>
    </w:p>
    <w:p w14:paraId="051858A5" w14:textId="77777777" w:rsidR="00F56F01" w:rsidRPr="006431C4" w:rsidRDefault="00F56F01"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a)</w:t>
      </w:r>
      <w:r w:rsidR="003D79DE" w:rsidRPr="006431C4">
        <w:rPr>
          <w:rFonts w:cs="Arial"/>
          <w:szCs w:val="20"/>
        </w:rPr>
        <w:tab/>
      </w:r>
      <w:r w:rsidRPr="006431C4">
        <w:rPr>
          <w:rFonts w:cs="Arial"/>
          <w:szCs w:val="20"/>
        </w:rPr>
        <w:t>uliczne, do oddzielenia powierzchni znajduj</w:t>
      </w:r>
      <w:r w:rsidRPr="006431C4">
        <w:rPr>
          <w:rFonts w:eastAsia="TimesNewRoman" w:cs="Arial"/>
          <w:szCs w:val="20"/>
        </w:rPr>
        <w:t>ą</w:t>
      </w:r>
      <w:r w:rsidRPr="006431C4">
        <w:rPr>
          <w:rFonts w:cs="Arial"/>
          <w:szCs w:val="20"/>
        </w:rPr>
        <w:t>cych si</w:t>
      </w:r>
      <w:r w:rsidRPr="006431C4">
        <w:rPr>
          <w:rFonts w:eastAsia="TimesNewRoman" w:cs="Arial"/>
          <w:szCs w:val="20"/>
        </w:rPr>
        <w:t xml:space="preserve">ę </w:t>
      </w:r>
      <w:r w:rsidRPr="006431C4">
        <w:rPr>
          <w:rFonts w:cs="Arial"/>
          <w:szCs w:val="20"/>
        </w:rPr>
        <w:t>na ró</w:t>
      </w:r>
      <w:r w:rsidRPr="006431C4">
        <w:rPr>
          <w:rFonts w:eastAsia="TimesNewRoman" w:cs="Arial"/>
          <w:szCs w:val="20"/>
        </w:rPr>
        <w:t>ż</w:t>
      </w:r>
      <w:r w:rsidRPr="006431C4">
        <w:rPr>
          <w:rFonts w:cs="Arial"/>
          <w:szCs w:val="20"/>
        </w:rPr>
        <w:t>nych poziomach (np. jezdni i chodnika),</w:t>
      </w:r>
    </w:p>
    <w:p w14:paraId="120D6AE4" w14:textId="77777777" w:rsidR="00F56F01" w:rsidRPr="006431C4" w:rsidRDefault="00F56F01"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b)</w:t>
      </w:r>
      <w:r w:rsidR="003D79DE" w:rsidRPr="006431C4">
        <w:rPr>
          <w:rFonts w:cs="Arial"/>
          <w:szCs w:val="20"/>
        </w:rPr>
        <w:tab/>
      </w:r>
      <w:r w:rsidRPr="006431C4">
        <w:rPr>
          <w:rFonts w:cs="Arial"/>
          <w:szCs w:val="20"/>
        </w:rPr>
        <w:t>drogowe, do oddzielenia powierzchni znajduj</w:t>
      </w:r>
      <w:r w:rsidRPr="006431C4">
        <w:rPr>
          <w:rFonts w:eastAsia="TimesNewRoman" w:cs="Arial"/>
          <w:szCs w:val="20"/>
        </w:rPr>
        <w:t>ą</w:t>
      </w:r>
      <w:r w:rsidRPr="006431C4">
        <w:rPr>
          <w:rFonts w:cs="Arial"/>
          <w:szCs w:val="20"/>
        </w:rPr>
        <w:t>cych si</w:t>
      </w:r>
      <w:r w:rsidRPr="006431C4">
        <w:rPr>
          <w:rFonts w:eastAsia="TimesNewRoman" w:cs="Arial"/>
          <w:szCs w:val="20"/>
        </w:rPr>
        <w:t xml:space="preserve">ę </w:t>
      </w:r>
      <w:r w:rsidRPr="006431C4">
        <w:rPr>
          <w:rFonts w:cs="Arial"/>
          <w:szCs w:val="20"/>
        </w:rPr>
        <w:t>na tym samym poziomie (np. jezdni i pobocza).</w:t>
      </w:r>
    </w:p>
    <w:p w14:paraId="27CA621B" w14:textId="77777777" w:rsidR="00F56F01" w:rsidRPr="006431C4" w:rsidRDefault="00F56F01"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szCs w:val="20"/>
        </w:rPr>
        <w:t>2.3.2.</w:t>
      </w:r>
      <w:r w:rsidR="003D79DE" w:rsidRPr="006431C4">
        <w:rPr>
          <w:rFonts w:cs="Arial"/>
          <w:szCs w:val="20"/>
        </w:rPr>
        <w:tab/>
      </w:r>
      <w:r w:rsidRPr="006431C4">
        <w:rPr>
          <w:rFonts w:cs="Arial"/>
          <w:szCs w:val="20"/>
        </w:rPr>
        <w:t>Wymagania techniczne wobec kraw</w:t>
      </w:r>
      <w:r w:rsidRPr="006431C4">
        <w:rPr>
          <w:rFonts w:eastAsia="TimesNewRoman" w:cs="Arial"/>
          <w:szCs w:val="20"/>
        </w:rPr>
        <w:t>ęż</w:t>
      </w:r>
      <w:r w:rsidRPr="006431C4">
        <w:rPr>
          <w:rFonts w:cs="Arial"/>
          <w:szCs w:val="20"/>
        </w:rPr>
        <w:t>ników</w:t>
      </w:r>
    </w:p>
    <w:p w14:paraId="1A225EE8" w14:textId="77777777" w:rsidR="00F56F01" w:rsidRPr="006431C4" w:rsidRDefault="00F56F01" w:rsidP="00270120">
      <w:pPr>
        <w:pStyle w:val="Lista-kontynuacja4"/>
        <w:shd w:val="clear" w:color="auto" w:fill="FFFFFF" w:themeFill="background1"/>
        <w:tabs>
          <w:tab w:val="left" w:pos="142"/>
        </w:tabs>
        <w:spacing w:after="0" w:line="240" w:lineRule="auto"/>
        <w:ind w:left="0"/>
        <w:jc w:val="both"/>
        <w:rPr>
          <w:rFonts w:cs="Arial"/>
          <w:szCs w:val="20"/>
        </w:rPr>
      </w:pPr>
      <w:r w:rsidRPr="006431C4">
        <w:rPr>
          <w:rFonts w:cs="Arial"/>
          <w:szCs w:val="20"/>
        </w:rPr>
        <w:t>Wymagania techniczne stawiane krawężnikom betonowym określa PN-EN 1340 [5] w sposób przedstawiony w</w:t>
      </w:r>
      <w:r w:rsidR="00866A95" w:rsidRPr="006431C4">
        <w:rPr>
          <w:rFonts w:cs="Arial"/>
          <w:szCs w:val="20"/>
        </w:rPr>
        <w:t xml:space="preserve"> </w:t>
      </w:r>
      <w:r w:rsidRPr="006431C4">
        <w:rPr>
          <w:rFonts w:cs="Arial"/>
          <w:szCs w:val="20"/>
        </w:rPr>
        <w:t>tablicy 1.</w:t>
      </w:r>
    </w:p>
    <w:p w14:paraId="339FAD7E" w14:textId="77777777" w:rsidR="00CA5BBF" w:rsidRPr="006431C4" w:rsidRDefault="00CA5BBF" w:rsidP="00270120">
      <w:pPr>
        <w:pStyle w:val="Tekstpodstawowyzwciciem2"/>
        <w:shd w:val="clear" w:color="auto" w:fill="FFFFFF" w:themeFill="background1"/>
        <w:tabs>
          <w:tab w:val="left" w:pos="142"/>
        </w:tabs>
        <w:spacing w:line="240" w:lineRule="auto"/>
        <w:ind w:left="0" w:firstLine="0"/>
        <w:jc w:val="both"/>
        <w:rPr>
          <w:rFonts w:cs="Arial"/>
          <w:szCs w:val="20"/>
        </w:rPr>
      </w:pPr>
      <w:r w:rsidRPr="006431C4">
        <w:rPr>
          <w:rFonts w:cs="Arial"/>
          <w:szCs w:val="20"/>
        </w:rPr>
        <w:t>Tablica 1. Wymagania wobec krawężnika betonowego, ustalone w PN-EN 1340 [5]  do stosowania w warunkach kontaktu z solą odladzającą w warunkach mrozu</w:t>
      </w:r>
    </w:p>
    <w:tbl>
      <w:tblPr>
        <w:tblW w:w="10721"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514"/>
        <w:gridCol w:w="222"/>
        <w:gridCol w:w="2799"/>
        <w:gridCol w:w="236"/>
        <w:gridCol w:w="1004"/>
        <w:gridCol w:w="236"/>
        <w:gridCol w:w="589"/>
        <w:gridCol w:w="222"/>
        <w:gridCol w:w="14"/>
        <w:gridCol w:w="222"/>
        <w:gridCol w:w="1099"/>
        <w:gridCol w:w="236"/>
        <w:gridCol w:w="394"/>
        <w:gridCol w:w="236"/>
        <w:gridCol w:w="2462"/>
        <w:gridCol w:w="236"/>
      </w:tblGrid>
      <w:tr w:rsidR="00CA5BBF" w:rsidRPr="006431C4" w14:paraId="3FBA5BF6"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0FCF91FE"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Lp.</w:t>
            </w:r>
          </w:p>
        </w:tc>
        <w:tc>
          <w:tcPr>
            <w:tcW w:w="3021" w:type="dxa"/>
            <w:gridSpan w:val="2"/>
            <w:tcBorders>
              <w:top w:val="single" w:sz="4" w:space="0" w:color="auto"/>
              <w:left w:val="single" w:sz="4" w:space="0" w:color="auto"/>
              <w:bottom w:val="single" w:sz="4" w:space="0" w:color="auto"/>
              <w:right w:val="single" w:sz="4" w:space="0" w:color="auto"/>
            </w:tcBorders>
            <w:noWrap/>
          </w:tcPr>
          <w:p w14:paraId="2920813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Cecha</w:t>
            </w:r>
          </w:p>
        </w:tc>
        <w:tc>
          <w:tcPr>
            <w:tcW w:w="1240" w:type="dxa"/>
            <w:gridSpan w:val="2"/>
            <w:tcBorders>
              <w:top w:val="single" w:sz="4" w:space="0" w:color="auto"/>
              <w:left w:val="single" w:sz="4" w:space="0" w:color="auto"/>
              <w:bottom w:val="single" w:sz="4" w:space="0" w:color="auto"/>
              <w:right w:val="single" w:sz="4" w:space="0" w:color="auto"/>
            </w:tcBorders>
            <w:noWrap/>
          </w:tcPr>
          <w:p w14:paraId="5F0AAAF8"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Załącznik</w:t>
            </w:r>
          </w:p>
        </w:tc>
        <w:tc>
          <w:tcPr>
            <w:tcW w:w="5710" w:type="dxa"/>
            <w:gridSpan w:val="10"/>
            <w:tcBorders>
              <w:top w:val="single" w:sz="4" w:space="0" w:color="auto"/>
              <w:left w:val="single" w:sz="4" w:space="0" w:color="auto"/>
              <w:bottom w:val="single" w:sz="4" w:space="0" w:color="auto"/>
              <w:right w:val="single" w:sz="4" w:space="0" w:color="auto"/>
            </w:tcBorders>
            <w:noWrap/>
          </w:tcPr>
          <w:p w14:paraId="374DD392"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Wymagania</w:t>
            </w:r>
          </w:p>
        </w:tc>
      </w:tr>
      <w:tr w:rsidR="00CA5BBF" w:rsidRPr="006431C4" w14:paraId="652F2D20"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6B66B0A0"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1</w:t>
            </w:r>
          </w:p>
        </w:tc>
        <w:tc>
          <w:tcPr>
            <w:tcW w:w="9971" w:type="dxa"/>
            <w:gridSpan w:val="14"/>
            <w:tcBorders>
              <w:top w:val="single" w:sz="4" w:space="0" w:color="auto"/>
              <w:left w:val="single" w:sz="4" w:space="0" w:color="auto"/>
              <w:bottom w:val="single" w:sz="4" w:space="0" w:color="auto"/>
              <w:right w:val="single" w:sz="4" w:space="0" w:color="auto"/>
            </w:tcBorders>
            <w:noWrap/>
          </w:tcPr>
          <w:p w14:paraId="5D92D62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Kształt i wymiary</w:t>
            </w:r>
          </w:p>
        </w:tc>
      </w:tr>
      <w:tr w:rsidR="00CA5BBF" w:rsidRPr="006431C4" w14:paraId="7DE9632E"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5DE307FA"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1.1</w:t>
            </w:r>
          </w:p>
        </w:tc>
        <w:tc>
          <w:tcPr>
            <w:tcW w:w="3021" w:type="dxa"/>
            <w:gridSpan w:val="2"/>
            <w:tcBorders>
              <w:top w:val="single" w:sz="4" w:space="0" w:color="auto"/>
              <w:left w:val="single" w:sz="4" w:space="0" w:color="auto"/>
              <w:bottom w:val="single" w:sz="4" w:space="0" w:color="auto"/>
              <w:right w:val="single" w:sz="4" w:space="0" w:color="auto"/>
            </w:tcBorders>
            <w:noWrap/>
          </w:tcPr>
          <w:p w14:paraId="69B5FC7A"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Wartości dopuszczalnych od-chyłek od wymiarów nomi-nalnych, z dokładnością do milimetra</w:t>
            </w:r>
          </w:p>
        </w:tc>
        <w:tc>
          <w:tcPr>
            <w:tcW w:w="1240" w:type="dxa"/>
            <w:gridSpan w:val="2"/>
            <w:tcBorders>
              <w:top w:val="single" w:sz="4" w:space="0" w:color="auto"/>
              <w:left w:val="single" w:sz="4" w:space="0" w:color="auto"/>
              <w:bottom w:val="single" w:sz="4" w:space="0" w:color="auto"/>
              <w:right w:val="single" w:sz="4" w:space="0" w:color="auto"/>
            </w:tcBorders>
            <w:noWrap/>
          </w:tcPr>
          <w:p w14:paraId="05A3BB6D"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C</w:t>
            </w:r>
          </w:p>
        </w:tc>
        <w:tc>
          <w:tcPr>
            <w:tcW w:w="5710" w:type="dxa"/>
            <w:gridSpan w:val="10"/>
            <w:tcBorders>
              <w:top w:val="single" w:sz="4" w:space="0" w:color="auto"/>
              <w:left w:val="single" w:sz="4" w:space="0" w:color="auto"/>
              <w:bottom w:val="single" w:sz="4" w:space="0" w:color="auto"/>
              <w:right w:val="single" w:sz="4" w:space="0" w:color="auto"/>
            </w:tcBorders>
            <w:noWrap/>
          </w:tcPr>
          <w:p w14:paraId="7559F5A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Długość: ± 1%, ≥ </w:t>
            </w:r>
            <w:smartTag w:uri="urn:schemas-microsoft-com:office:smarttags" w:element="metricconverter">
              <w:smartTagPr>
                <w:attr w:name="ProductID" w:val="4 mm"/>
              </w:smartTagPr>
              <w:r w:rsidRPr="006431C4">
                <w:rPr>
                  <w:rFonts w:cs="Arial"/>
                  <w:szCs w:val="20"/>
                </w:rPr>
                <w:t>4 mm</w:t>
              </w:r>
            </w:smartTag>
            <w:r w:rsidRPr="006431C4">
              <w:rPr>
                <w:rFonts w:cs="Arial"/>
                <w:szCs w:val="20"/>
              </w:rPr>
              <w:t xml:space="preserve"> i ≤ </w:t>
            </w:r>
            <w:smartTag w:uri="urn:schemas-microsoft-com:office:smarttags" w:element="metricconverter">
              <w:smartTagPr>
                <w:attr w:name="ProductID" w:val="10 mm"/>
              </w:smartTagPr>
              <w:r w:rsidRPr="006431C4">
                <w:rPr>
                  <w:rFonts w:cs="Arial"/>
                  <w:szCs w:val="20"/>
                </w:rPr>
                <w:t>10 mm</w:t>
              </w:r>
            </w:smartTag>
          </w:p>
          <w:p w14:paraId="1732C6B7"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Inne wymiary z wyjątkiem promienia:</w:t>
            </w:r>
          </w:p>
          <w:p w14:paraId="11FE1E72"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 dla powierzchni: ± 3%, ≥ </w:t>
            </w:r>
            <w:smartTag w:uri="urn:schemas-microsoft-com:office:smarttags" w:element="metricconverter">
              <w:smartTagPr>
                <w:attr w:name="ProductID" w:val="3 mm"/>
              </w:smartTagPr>
              <w:r w:rsidRPr="006431C4">
                <w:rPr>
                  <w:rFonts w:cs="Arial"/>
                  <w:szCs w:val="20"/>
                </w:rPr>
                <w:t>3 mm</w:t>
              </w:r>
            </w:smartTag>
            <w:r w:rsidRPr="006431C4">
              <w:rPr>
                <w:rFonts w:cs="Arial"/>
                <w:szCs w:val="20"/>
              </w:rPr>
              <w:t xml:space="preserve">, ≤ </w:t>
            </w:r>
            <w:smartTag w:uri="urn:schemas-microsoft-com:office:smarttags" w:element="metricconverter">
              <w:smartTagPr>
                <w:attr w:name="ProductID" w:val="5 mm"/>
              </w:smartTagPr>
              <w:r w:rsidRPr="006431C4">
                <w:rPr>
                  <w:rFonts w:cs="Arial"/>
                  <w:szCs w:val="20"/>
                </w:rPr>
                <w:t>5 mm</w:t>
              </w:r>
            </w:smartTag>
            <w:r w:rsidRPr="006431C4">
              <w:rPr>
                <w:rFonts w:cs="Arial"/>
                <w:szCs w:val="20"/>
              </w:rPr>
              <w:t>,</w:t>
            </w:r>
          </w:p>
          <w:p w14:paraId="5CE2A539"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 dla innych części: ± 5%, ≥ </w:t>
            </w:r>
            <w:smartTag w:uri="urn:schemas-microsoft-com:office:smarttags" w:element="metricconverter">
              <w:smartTagPr>
                <w:attr w:name="ProductID" w:val="3 mm"/>
              </w:smartTagPr>
              <w:r w:rsidRPr="006431C4">
                <w:rPr>
                  <w:rFonts w:cs="Arial"/>
                  <w:szCs w:val="20"/>
                </w:rPr>
                <w:t>3 mm</w:t>
              </w:r>
            </w:smartTag>
            <w:r w:rsidRPr="006431C4">
              <w:rPr>
                <w:rFonts w:cs="Arial"/>
                <w:szCs w:val="20"/>
              </w:rPr>
              <w:t xml:space="preserve">,  ≤ </w:t>
            </w:r>
            <w:smartTag w:uri="urn:schemas-microsoft-com:office:smarttags" w:element="metricconverter">
              <w:smartTagPr>
                <w:attr w:name="ProductID" w:val="10 mm"/>
              </w:smartTagPr>
              <w:r w:rsidRPr="006431C4">
                <w:rPr>
                  <w:rFonts w:cs="Arial"/>
                  <w:szCs w:val="20"/>
                </w:rPr>
                <w:t>10 mm</w:t>
              </w:r>
            </w:smartTag>
          </w:p>
        </w:tc>
      </w:tr>
      <w:tr w:rsidR="00CA5BBF" w:rsidRPr="006431C4" w14:paraId="0B48FFD0"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7D8ED5FE"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1.2</w:t>
            </w:r>
          </w:p>
        </w:tc>
        <w:tc>
          <w:tcPr>
            <w:tcW w:w="3021" w:type="dxa"/>
            <w:gridSpan w:val="2"/>
            <w:tcBorders>
              <w:top w:val="single" w:sz="4" w:space="0" w:color="auto"/>
              <w:left w:val="single" w:sz="4" w:space="0" w:color="auto"/>
              <w:bottom w:val="single" w:sz="4" w:space="0" w:color="auto"/>
              <w:right w:val="single" w:sz="4" w:space="0" w:color="auto"/>
            </w:tcBorders>
            <w:noWrap/>
          </w:tcPr>
          <w:p w14:paraId="6BB45BE5"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Dopuszczalne odchyłki od płaskości i prostoliniowości, dla długości pomiarowej</w:t>
            </w:r>
          </w:p>
          <w:p w14:paraId="01364C5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smartTag w:uri="urn:schemas-microsoft-com:office:smarttags" w:element="metricconverter">
              <w:smartTagPr>
                <w:attr w:name="ProductID" w:val="300 mm"/>
              </w:smartTagPr>
              <w:r w:rsidRPr="006431C4">
                <w:rPr>
                  <w:rFonts w:cs="Arial"/>
                  <w:szCs w:val="20"/>
                </w:rPr>
                <w:t>300 mm</w:t>
              </w:r>
            </w:smartTag>
          </w:p>
          <w:p w14:paraId="1B1A771A"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smartTag w:uri="urn:schemas-microsoft-com:office:smarttags" w:element="metricconverter">
              <w:smartTagPr>
                <w:attr w:name="ProductID" w:val="400 mm"/>
              </w:smartTagPr>
              <w:r w:rsidRPr="006431C4">
                <w:rPr>
                  <w:rFonts w:cs="Arial"/>
                  <w:szCs w:val="20"/>
                </w:rPr>
                <w:t>400 mm</w:t>
              </w:r>
            </w:smartTag>
          </w:p>
          <w:p w14:paraId="6157D259"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smartTag w:uri="urn:schemas-microsoft-com:office:smarttags" w:element="metricconverter">
              <w:smartTagPr>
                <w:attr w:name="ProductID" w:val="500 mm"/>
              </w:smartTagPr>
              <w:r w:rsidRPr="006431C4">
                <w:rPr>
                  <w:rFonts w:cs="Arial"/>
                  <w:szCs w:val="20"/>
                </w:rPr>
                <w:t>500 mm</w:t>
              </w:r>
            </w:smartTag>
          </w:p>
          <w:p w14:paraId="012D84A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smartTag w:uri="urn:schemas-microsoft-com:office:smarttags" w:element="metricconverter">
              <w:smartTagPr>
                <w:attr w:name="ProductID" w:val="800 mm"/>
              </w:smartTagPr>
              <w:r w:rsidRPr="006431C4">
                <w:rPr>
                  <w:rFonts w:cs="Arial"/>
                  <w:szCs w:val="20"/>
                </w:rPr>
                <w:t>800 mm</w:t>
              </w:r>
            </w:smartTag>
          </w:p>
        </w:tc>
        <w:tc>
          <w:tcPr>
            <w:tcW w:w="1240" w:type="dxa"/>
            <w:gridSpan w:val="2"/>
            <w:tcBorders>
              <w:top w:val="single" w:sz="4" w:space="0" w:color="auto"/>
              <w:left w:val="single" w:sz="4" w:space="0" w:color="auto"/>
              <w:bottom w:val="single" w:sz="4" w:space="0" w:color="auto"/>
              <w:right w:val="single" w:sz="4" w:space="0" w:color="auto"/>
            </w:tcBorders>
            <w:noWrap/>
          </w:tcPr>
          <w:p w14:paraId="4A45B9A7"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C</w:t>
            </w:r>
          </w:p>
        </w:tc>
        <w:tc>
          <w:tcPr>
            <w:tcW w:w="5710" w:type="dxa"/>
            <w:gridSpan w:val="10"/>
            <w:tcBorders>
              <w:top w:val="single" w:sz="4" w:space="0" w:color="auto"/>
              <w:left w:val="single" w:sz="4" w:space="0" w:color="auto"/>
              <w:bottom w:val="single" w:sz="4" w:space="0" w:color="auto"/>
              <w:right w:val="single" w:sz="4" w:space="0" w:color="auto"/>
            </w:tcBorders>
            <w:noWrap/>
          </w:tcPr>
          <w:p w14:paraId="6FF0191A"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p>
          <w:p w14:paraId="68FFF327"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p>
          <w:p w14:paraId="3E2010F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p>
          <w:p w14:paraId="6F386A03"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 </w:t>
            </w:r>
            <w:smartTag w:uri="urn:schemas-microsoft-com:office:smarttags" w:element="metricconverter">
              <w:smartTagPr>
                <w:attr w:name="ProductID" w:val="1,5 mm"/>
              </w:smartTagPr>
              <w:r w:rsidRPr="006431C4">
                <w:rPr>
                  <w:rFonts w:cs="Arial"/>
                  <w:szCs w:val="20"/>
                </w:rPr>
                <w:t>1,5 mm</w:t>
              </w:r>
            </w:smartTag>
          </w:p>
          <w:p w14:paraId="6247E674"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 </w:t>
            </w:r>
            <w:smartTag w:uri="urn:schemas-microsoft-com:office:smarttags" w:element="metricconverter">
              <w:smartTagPr>
                <w:attr w:name="ProductID" w:val="2,0 mm"/>
              </w:smartTagPr>
              <w:r w:rsidRPr="006431C4">
                <w:rPr>
                  <w:rFonts w:cs="Arial"/>
                  <w:szCs w:val="20"/>
                </w:rPr>
                <w:t>2,0 mm</w:t>
              </w:r>
            </w:smartTag>
          </w:p>
          <w:p w14:paraId="7B60E999"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 </w:t>
            </w:r>
            <w:smartTag w:uri="urn:schemas-microsoft-com:office:smarttags" w:element="metricconverter">
              <w:smartTagPr>
                <w:attr w:name="ProductID" w:val="2,5 mm"/>
              </w:smartTagPr>
              <w:r w:rsidRPr="006431C4">
                <w:rPr>
                  <w:rFonts w:cs="Arial"/>
                  <w:szCs w:val="20"/>
                </w:rPr>
                <w:t>2,5 mm</w:t>
              </w:r>
            </w:smartTag>
          </w:p>
          <w:p w14:paraId="4FEE7D47"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 </w:t>
            </w:r>
            <w:smartTag w:uri="urn:schemas-microsoft-com:office:smarttags" w:element="metricconverter">
              <w:smartTagPr>
                <w:attr w:name="ProductID" w:val="4,0 mm"/>
              </w:smartTagPr>
              <w:r w:rsidRPr="006431C4">
                <w:rPr>
                  <w:rFonts w:cs="Arial"/>
                  <w:szCs w:val="20"/>
                </w:rPr>
                <w:t>4,0 mm</w:t>
              </w:r>
            </w:smartTag>
          </w:p>
        </w:tc>
      </w:tr>
      <w:tr w:rsidR="00CA5BBF" w:rsidRPr="006431C4" w14:paraId="067790E6"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0A8A7B13"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2</w:t>
            </w:r>
          </w:p>
        </w:tc>
        <w:tc>
          <w:tcPr>
            <w:tcW w:w="9971" w:type="dxa"/>
            <w:gridSpan w:val="14"/>
            <w:tcBorders>
              <w:top w:val="single" w:sz="4" w:space="0" w:color="auto"/>
              <w:left w:val="single" w:sz="4" w:space="0" w:color="auto"/>
              <w:bottom w:val="single" w:sz="4" w:space="0" w:color="auto"/>
              <w:right w:val="single" w:sz="4" w:space="0" w:color="auto"/>
            </w:tcBorders>
            <w:noWrap/>
          </w:tcPr>
          <w:p w14:paraId="7DA03754"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Właściwości fizyczne i mechaniczne</w:t>
            </w:r>
          </w:p>
        </w:tc>
      </w:tr>
      <w:tr w:rsidR="00CA5BBF" w:rsidRPr="006431C4" w14:paraId="7E998183"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33FE72F0"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2.1</w:t>
            </w:r>
          </w:p>
        </w:tc>
        <w:tc>
          <w:tcPr>
            <w:tcW w:w="3021" w:type="dxa"/>
            <w:gridSpan w:val="2"/>
            <w:tcBorders>
              <w:top w:val="single" w:sz="4" w:space="0" w:color="auto"/>
              <w:left w:val="single" w:sz="4" w:space="0" w:color="auto"/>
              <w:bottom w:val="single" w:sz="4" w:space="0" w:color="auto"/>
              <w:right w:val="single" w:sz="4" w:space="0" w:color="auto"/>
            </w:tcBorders>
            <w:noWrap/>
          </w:tcPr>
          <w:p w14:paraId="438C418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Odporność na zamrażanie/</w:t>
            </w:r>
          </w:p>
          <w:p w14:paraId="76BB61F6"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rozmrażanie z udziałem soli odladzających</w:t>
            </w:r>
          </w:p>
        </w:tc>
        <w:tc>
          <w:tcPr>
            <w:tcW w:w="1240" w:type="dxa"/>
            <w:gridSpan w:val="2"/>
            <w:tcBorders>
              <w:top w:val="single" w:sz="4" w:space="0" w:color="auto"/>
              <w:left w:val="single" w:sz="4" w:space="0" w:color="auto"/>
              <w:bottom w:val="single" w:sz="4" w:space="0" w:color="auto"/>
              <w:right w:val="single" w:sz="4" w:space="0" w:color="auto"/>
            </w:tcBorders>
            <w:noWrap/>
          </w:tcPr>
          <w:p w14:paraId="0DAA0CD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D</w:t>
            </w:r>
          </w:p>
        </w:tc>
        <w:tc>
          <w:tcPr>
            <w:tcW w:w="5710" w:type="dxa"/>
            <w:gridSpan w:val="10"/>
            <w:tcBorders>
              <w:top w:val="single" w:sz="4" w:space="0" w:color="auto"/>
              <w:left w:val="single" w:sz="4" w:space="0" w:color="auto"/>
              <w:bottom w:val="single" w:sz="4" w:space="0" w:color="auto"/>
              <w:right w:val="single" w:sz="4" w:space="0" w:color="auto"/>
            </w:tcBorders>
            <w:noWrap/>
          </w:tcPr>
          <w:p w14:paraId="4FBC1C60"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Ubytek masy po badaniu: wartość średnia ≤ 1,0 kg/m</w:t>
            </w:r>
            <w:r w:rsidRPr="006431C4">
              <w:rPr>
                <w:rFonts w:cs="Arial"/>
                <w:szCs w:val="20"/>
                <w:vertAlign w:val="superscript"/>
              </w:rPr>
              <w:t>2</w:t>
            </w:r>
            <w:r w:rsidRPr="006431C4">
              <w:rPr>
                <w:rFonts w:cs="Arial"/>
                <w:szCs w:val="20"/>
              </w:rPr>
              <w:t>, przy czym każdy pojedynczy wynik &lt; 1,5 kg/m</w:t>
            </w:r>
            <w:r w:rsidRPr="006431C4">
              <w:rPr>
                <w:rFonts w:cs="Arial"/>
                <w:szCs w:val="20"/>
                <w:vertAlign w:val="superscript"/>
              </w:rPr>
              <w:t>2</w:t>
            </w:r>
          </w:p>
        </w:tc>
      </w:tr>
      <w:tr w:rsidR="00CA5BBF" w:rsidRPr="006431C4" w14:paraId="2FCA5E5C"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620A7B58"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2.2</w:t>
            </w:r>
          </w:p>
        </w:tc>
        <w:tc>
          <w:tcPr>
            <w:tcW w:w="3021" w:type="dxa"/>
            <w:gridSpan w:val="2"/>
            <w:tcBorders>
              <w:top w:val="single" w:sz="4" w:space="0" w:color="auto"/>
              <w:left w:val="single" w:sz="4" w:space="0" w:color="auto"/>
              <w:bottom w:val="single" w:sz="4" w:space="0" w:color="auto"/>
              <w:right w:val="single" w:sz="4" w:space="0" w:color="auto"/>
            </w:tcBorders>
            <w:noWrap/>
          </w:tcPr>
          <w:p w14:paraId="472AC97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Wytrzymałość na zginanie (Klasa wytrzymałości ustalona w dokumentacji projektowej lub przez Inżyniera)</w:t>
            </w:r>
          </w:p>
        </w:tc>
        <w:tc>
          <w:tcPr>
            <w:tcW w:w="1240" w:type="dxa"/>
            <w:gridSpan w:val="2"/>
            <w:tcBorders>
              <w:top w:val="single" w:sz="4" w:space="0" w:color="auto"/>
              <w:left w:val="single" w:sz="4" w:space="0" w:color="auto"/>
              <w:bottom w:val="single" w:sz="4" w:space="0" w:color="auto"/>
              <w:right w:val="single" w:sz="4" w:space="0" w:color="auto"/>
            </w:tcBorders>
            <w:noWrap/>
          </w:tcPr>
          <w:p w14:paraId="4F7ED229"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F</w:t>
            </w:r>
          </w:p>
        </w:tc>
        <w:tc>
          <w:tcPr>
            <w:tcW w:w="1047" w:type="dxa"/>
            <w:gridSpan w:val="3"/>
            <w:tcBorders>
              <w:top w:val="single" w:sz="4" w:space="0" w:color="auto"/>
              <w:left w:val="single" w:sz="4" w:space="0" w:color="auto"/>
              <w:bottom w:val="single" w:sz="4" w:space="0" w:color="auto"/>
              <w:right w:val="single" w:sz="4" w:space="0" w:color="auto"/>
            </w:tcBorders>
            <w:noWrap/>
          </w:tcPr>
          <w:p w14:paraId="4F514E2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Klasa</w:t>
            </w:r>
          </w:p>
          <w:p w14:paraId="7D2F1CA7"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wytrz.</w:t>
            </w:r>
          </w:p>
          <w:p w14:paraId="136B3C9D"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1</w:t>
            </w:r>
          </w:p>
          <w:p w14:paraId="140115F3"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2</w:t>
            </w:r>
          </w:p>
          <w:p w14:paraId="08B3C6A0"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w:t>
            </w:r>
          </w:p>
        </w:tc>
        <w:tc>
          <w:tcPr>
            <w:tcW w:w="1965" w:type="dxa"/>
            <w:gridSpan w:val="5"/>
            <w:tcBorders>
              <w:top w:val="single" w:sz="4" w:space="0" w:color="auto"/>
              <w:left w:val="single" w:sz="4" w:space="0" w:color="auto"/>
              <w:bottom w:val="single" w:sz="4" w:space="0" w:color="auto"/>
              <w:right w:val="single" w:sz="4" w:space="0" w:color="auto"/>
            </w:tcBorders>
            <w:noWrap/>
          </w:tcPr>
          <w:p w14:paraId="73D79634"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Charakterystyczna</w:t>
            </w:r>
          </w:p>
          <w:p w14:paraId="30AA3DEE"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wytrzymałość, MPa</w:t>
            </w:r>
          </w:p>
          <w:p w14:paraId="0E16A2D0"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3,5</w:t>
            </w:r>
          </w:p>
          <w:p w14:paraId="1570C6C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5,0</w:t>
            </w:r>
          </w:p>
          <w:p w14:paraId="22858EA4"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6,0</w:t>
            </w:r>
          </w:p>
        </w:tc>
        <w:tc>
          <w:tcPr>
            <w:tcW w:w="2698" w:type="dxa"/>
            <w:gridSpan w:val="2"/>
            <w:tcBorders>
              <w:top w:val="single" w:sz="4" w:space="0" w:color="auto"/>
              <w:left w:val="single" w:sz="4" w:space="0" w:color="auto"/>
              <w:bottom w:val="single" w:sz="4" w:space="0" w:color="auto"/>
              <w:right w:val="single" w:sz="4" w:space="0" w:color="auto"/>
            </w:tcBorders>
            <w:noWrap/>
          </w:tcPr>
          <w:p w14:paraId="78BDE9B7"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Każdy pojedynczy</w:t>
            </w:r>
          </w:p>
          <w:p w14:paraId="28BBFDE7"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wynik, MPa</w:t>
            </w:r>
          </w:p>
          <w:p w14:paraId="4F085A76"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&gt; 2,8</w:t>
            </w:r>
          </w:p>
          <w:p w14:paraId="0E834F04"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&gt; 4,0</w:t>
            </w:r>
          </w:p>
          <w:p w14:paraId="5E7B0060"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&gt; 4,8</w:t>
            </w:r>
          </w:p>
        </w:tc>
      </w:tr>
      <w:tr w:rsidR="00CA5BBF" w:rsidRPr="006431C4" w14:paraId="58A7735E"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0192B017"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2.3</w:t>
            </w:r>
          </w:p>
        </w:tc>
        <w:tc>
          <w:tcPr>
            <w:tcW w:w="3021" w:type="dxa"/>
            <w:gridSpan w:val="2"/>
            <w:tcBorders>
              <w:top w:val="single" w:sz="4" w:space="0" w:color="auto"/>
              <w:left w:val="single" w:sz="4" w:space="0" w:color="auto"/>
              <w:bottom w:val="single" w:sz="4" w:space="0" w:color="auto"/>
              <w:right w:val="single" w:sz="4" w:space="0" w:color="auto"/>
            </w:tcBorders>
            <w:noWrap/>
          </w:tcPr>
          <w:p w14:paraId="737A0C76"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Trwałość ze względu na wytrzymałość</w:t>
            </w:r>
          </w:p>
        </w:tc>
        <w:tc>
          <w:tcPr>
            <w:tcW w:w="1240" w:type="dxa"/>
            <w:gridSpan w:val="2"/>
            <w:tcBorders>
              <w:top w:val="single" w:sz="4" w:space="0" w:color="auto"/>
              <w:left w:val="single" w:sz="4" w:space="0" w:color="auto"/>
              <w:bottom w:val="single" w:sz="4" w:space="0" w:color="auto"/>
              <w:right w:val="single" w:sz="4" w:space="0" w:color="auto"/>
            </w:tcBorders>
            <w:noWrap/>
          </w:tcPr>
          <w:p w14:paraId="2C3D0E38"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F</w:t>
            </w:r>
          </w:p>
        </w:tc>
        <w:tc>
          <w:tcPr>
            <w:tcW w:w="5710" w:type="dxa"/>
            <w:gridSpan w:val="10"/>
            <w:tcBorders>
              <w:top w:val="single" w:sz="4" w:space="0" w:color="auto"/>
              <w:left w:val="single" w:sz="4" w:space="0" w:color="auto"/>
              <w:bottom w:val="single" w:sz="4" w:space="0" w:color="auto"/>
              <w:right w:val="single" w:sz="4" w:space="0" w:color="auto"/>
            </w:tcBorders>
            <w:noWrap/>
          </w:tcPr>
          <w:p w14:paraId="3D574965"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Krawężniki mają zadawalającą  trwałość (wytrzymałość) jeśli spełnione są wymagania pktu 2.2 oraz poddawane są normalnej konserwacji</w:t>
            </w:r>
          </w:p>
        </w:tc>
      </w:tr>
      <w:tr w:rsidR="00CA5BBF" w:rsidRPr="006431C4" w14:paraId="2909BB3A" w14:textId="77777777" w:rsidTr="00D032BE">
        <w:trPr>
          <w:gridAfter w:val="1"/>
          <w:wAfter w:w="236" w:type="dxa"/>
        </w:trPr>
        <w:tc>
          <w:tcPr>
            <w:tcW w:w="514" w:type="dxa"/>
            <w:tcBorders>
              <w:top w:val="single" w:sz="4" w:space="0" w:color="auto"/>
              <w:left w:val="single" w:sz="4" w:space="0" w:color="auto"/>
              <w:bottom w:val="nil"/>
              <w:right w:val="single" w:sz="4" w:space="0" w:color="auto"/>
            </w:tcBorders>
            <w:noWrap/>
          </w:tcPr>
          <w:p w14:paraId="2B01C886"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2.4</w:t>
            </w:r>
          </w:p>
        </w:tc>
        <w:tc>
          <w:tcPr>
            <w:tcW w:w="3021" w:type="dxa"/>
            <w:gridSpan w:val="2"/>
            <w:tcBorders>
              <w:top w:val="single" w:sz="4" w:space="0" w:color="auto"/>
              <w:left w:val="single" w:sz="4" w:space="0" w:color="auto"/>
              <w:bottom w:val="nil"/>
              <w:right w:val="single" w:sz="4" w:space="0" w:color="auto"/>
            </w:tcBorders>
            <w:noWrap/>
          </w:tcPr>
          <w:p w14:paraId="7E767B5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Odporność na ścieranie</w:t>
            </w:r>
          </w:p>
        </w:tc>
        <w:tc>
          <w:tcPr>
            <w:tcW w:w="1240" w:type="dxa"/>
            <w:gridSpan w:val="2"/>
            <w:tcBorders>
              <w:top w:val="single" w:sz="4" w:space="0" w:color="auto"/>
              <w:left w:val="single" w:sz="4" w:space="0" w:color="auto"/>
              <w:bottom w:val="nil"/>
              <w:right w:val="single" w:sz="4" w:space="0" w:color="auto"/>
            </w:tcBorders>
            <w:noWrap/>
          </w:tcPr>
          <w:p w14:paraId="2265CCF0"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G i H</w:t>
            </w:r>
          </w:p>
        </w:tc>
        <w:tc>
          <w:tcPr>
            <w:tcW w:w="825" w:type="dxa"/>
            <w:gridSpan w:val="2"/>
            <w:tcBorders>
              <w:top w:val="single" w:sz="4" w:space="0" w:color="auto"/>
              <w:left w:val="single" w:sz="4" w:space="0" w:color="auto"/>
              <w:bottom w:val="nil"/>
              <w:right w:val="single" w:sz="4" w:space="0" w:color="auto"/>
            </w:tcBorders>
            <w:noWrap/>
          </w:tcPr>
          <w:p w14:paraId="3673C61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p>
        </w:tc>
        <w:tc>
          <w:tcPr>
            <w:tcW w:w="4885" w:type="dxa"/>
            <w:gridSpan w:val="8"/>
            <w:tcBorders>
              <w:top w:val="single" w:sz="4" w:space="0" w:color="auto"/>
              <w:left w:val="single" w:sz="4" w:space="0" w:color="auto"/>
              <w:bottom w:val="single" w:sz="4" w:space="0" w:color="auto"/>
              <w:right w:val="single" w:sz="4" w:space="0" w:color="auto"/>
            </w:tcBorders>
            <w:noWrap/>
          </w:tcPr>
          <w:p w14:paraId="12823A78"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Odporność przy pomiarze na tarczy</w:t>
            </w:r>
          </w:p>
        </w:tc>
      </w:tr>
      <w:tr w:rsidR="00CA5BBF" w:rsidRPr="006431C4" w14:paraId="4E021FAA" w14:textId="77777777" w:rsidTr="00D032BE">
        <w:trPr>
          <w:gridAfter w:val="1"/>
          <w:wAfter w:w="236" w:type="dxa"/>
        </w:trPr>
        <w:tc>
          <w:tcPr>
            <w:tcW w:w="514" w:type="dxa"/>
            <w:tcBorders>
              <w:top w:val="nil"/>
              <w:left w:val="single" w:sz="4" w:space="0" w:color="auto"/>
              <w:bottom w:val="nil"/>
              <w:right w:val="single" w:sz="4" w:space="0" w:color="auto"/>
            </w:tcBorders>
            <w:noWrap/>
          </w:tcPr>
          <w:p w14:paraId="75606B4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p>
        </w:tc>
        <w:tc>
          <w:tcPr>
            <w:tcW w:w="3021" w:type="dxa"/>
            <w:gridSpan w:val="2"/>
            <w:tcBorders>
              <w:top w:val="nil"/>
              <w:left w:val="single" w:sz="4" w:space="0" w:color="auto"/>
              <w:bottom w:val="nil"/>
              <w:right w:val="single" w:sz="4" w:space="0" w:color="auto"/>
            </w:tcBorders>
            <w:noWrap/>
          </w:tcPr>
          <w:p w14:paraId="0F012A8A"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(Klasa odporności ustalona w dokumentacji projektowej lub przez Inżyniera)</w:t>
            </w:r>
          </w:p>
        </w:tc>
        <w:tc>
          <w:tcPr>
            <w:tcW w:w="1240" w:type="dxa"/>
            <w:gridSpan w:val="2"/>
            <w:tcBorders>
              <w:top w:val="nil"/>
              <w:left w:val="single" w:sz="4" w:space="0" w:color="auto"/>
              <w:bottom w:val="nil"/>
              <w:right w:val="single" w:sz="4" w:space="0" w:color="auto"/>
            </w:tcBorders>
            <w:noWrap/>
          </w:tcPr>
          <w:p w14:paraId="3AC9A136"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p>
        </w:tc>
        <w:tc>
          <w:tcPr>
            <w:tcW w:w="825" w:type="dxa"/>
            <w:gridSpan w:val="2"/>
            <w:tcBorders>
              <w:top w:val="nil"/>
              <w:left w:val="single" w:sz="4" w:space="0" w:color="auto"/>
              <w:bottom w:val="single" w:sz="4" w:space="0" w:color="auto"/>
              <w:right w:val="single" w:sz="4" w:space="0" w:color="auto"/>
            </w:tcBorders>
            <w:noWrap/>
          </w:tcPr>
          <w:p w14:paraId="643A6D7B"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Klasa</w:t>
            </w:r>
          </w:p>
          <w:p w14:paraId="3086F1D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odpor-</w:t>
            </w:r>
          </w:p>
          <w:p w14:paraId="43F94729"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ności</w:t>
            </w:r>
          </w:p>
        </w:tc>
        <w:tc>
          <w:tcPr>
            <w:tcW w:w="1557" w:type="dxa"/>
            <w:gridSpan w:val="4"/>
            <w:tcBorders>
              <w:top w:val="single" w:sz="4" w:space="0" w:color="auto"/>
              <w:left w:val="single" w:sz="4" w:space="0" w:color="auto"/>
              <w:bottom w:val="single" w:sz="4" w:space="0" w:color="auto"/>
              <w:right w:val="single" w:sz="4" w:space="0" w:color="auto"/>
            </w:tcBorders>
            <w:noWrap/>
          </w:tcPr>
          <w:p w14:paraId="4D2BB940"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szerokiej ściernej, wg zał. G normy – </w:t>
            </w:r>
            <w:r w:rsidRPr="006431C4">
              <w:rPr>
                <w:rFonts w:cs="Arial"/>
                <w:szCs w:val="20"/>
              </w:rPr>
              <w:lastRenderedPageBreak/>
              <w:t>badanie podstawowe</w:t>
            </w:r>
          </w:p>
        </w:tc>
        <w:tc>
          <w:tcPr>
            <w:tcW w:w="3328" w:type="dxa"/>
            <w:gridSpan w:val="4"/>
            <w:tcBorders>
              <w:top w:val="single" w:sz="4" w:space="0" w:color="auto"/>
              <w:left w:val="single" w:sz="4" w:space="0" w:color="auto"/>
              <w:bottom w:val="single" w:sz="4" w:space="0" w:color="auto"/>
              <w:right w:val="single" w:sz="4" w:space="0" w:color="auto"/>
            </w:tcBorders>
            <w:noWrap/>
          </w:tcPr>
          <w:p w14:paraId="216E9F6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lastRenderedPageBreak/>
              <w:t>Böhmego,</w:t>
            </w:r>
          </w:p>
          <w:p w14:paraId="2BE6BD8A"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wg zał. H normy – badanie alternatywne</w:t>
            </w:r>
          </w:p>
        </w:tc>
      </w:tr>
      <w:tr w:rsidR="00CA5BBF" w:rsidRPr="006431C4" w14:paraId="26BB859B" w14:textId="77777777" w:rsidTr="00D032BE">
        <w:trPr>
          <w:gridAfter w:val="1"/>
          <w:wAfter w:w="236" w:type="dxa"/>
        </w:trPr>
        <w:tc>
          <w:tcPr>
            <w:tcW w:w="514" w:type="dxa"/>
            <w:tcBorders>
              <w:top w:val="nil"/>
              <w:left w:val="single" w:sz="4" w:space="0" w:color="auto"/>
              <w:bottom w:val="single" w:sz="4" w:space="0" w:color="auto"/>
              <w:right w:val="single" w:sz="4" w:space="0" w:color="auto"/>
            </w:tcBorders>
            <w:noWrap/>
          </w:tcPr>
          <w:p w14:paraId="4285900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p>
        </w:tc>
        <w:tc>
          <w:tcPr>
            <w:tcW w:w="3021" w:type="dxa"/>
            <w:gridSpan w:val="2"/>
            <w:tcBorders>
              <w:top w:val="nil"/>
              <w:left w:val="single" w:sz="4" w:space="0" w:color="auto"/>
              <w:bottom w:val="single" w:sz="4" w:space="0" w:color="auto"/>
              <w:right w:val="single" w:sz="4" w:space="0" w:color="auto"/>
            </w:tcBorders>
            <w:noWrap/>
          </w:tcPr>
          <w:p w14:paraId="18F248A3"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p>
        </w:tc>
        <w:tc>
          <w:tcPr>
            <w:tcW w:w="1240" w:type="dxa"/>
            <w:gridSpan w:val="2"/>
            <w:tcBorders>
              <w:top w:val="nil"/>
              <w:left w:val="single" w:sz="4" w:space="0" w:color="auto"/>
              <w:bottom w:val="single" w:sz="4" w:space="0" w:color="auto"/>
              <w:right w:val="single" w:sz="4" w:space="0" w:color="auto"/>
            </w:tcBorders>
            <w:noWrap/>
          </w:tcPr>
          <w:p w14:paraId="21D959A0"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p>
        </w:tc>
        <w:tc>
          <w:tcPr>
            <w:tcW w:w="825" w:type="dxa"/>
            <w:gridSpan w:val="2"/>
            <w:tcBorders>
              <w:top w:val="single" w:sz="4" w:space="0" w:color="auto"/>
              <w:left w:val="single" w:sz="4" w:space="0" w:color="auto"/>
              <w:bottom w:val="single" w:sz="4" w:space="0" w:color="auto"/>
              <w:right w:val="single" w:sz="4" w:space="0" w:color="auto"/>
            </w:tcBorders>
            <w:noWrap/>
          </w:tcPr>
          <w:p w14:paraId="2A5022BF"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1</w:t>
            </w:r>
          </w:p>
          <w:p w14:paraId="5F51C823"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w:t>
            </w:r>
          </w:p>
          <w:p w14:paraId="5F77BCE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4</w:t>
            </w:r>
          </w:p>
        </w:tc>
        <w:tc>
          <w:tcPr>
            <w:tcW w:w="1557" w:type="dxa"/>
            <w:gridSpan w:val="4"/>
            <w:tcBorders>
              <w:top w:val="single" w:sz="4" w:space="0" w:color="auto"/>
              <w:left w:val="single" w:sz="4" w:space="0" w:color="auto"/>
              <w:bottom w:val="single" w:sz="4" w:space="0" w:color="auto"/>
              <w:right w:val="single" w:sz="4" w:space="0" w:color="auto"/>
            </w:tcBorders>
            <w:noWrap/>
          </w:tcPr>
          <w:p w14:paraId="0F95FF99"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Nie określa się</w:t>
            </w:r>
          </w:p>
          <w:p w14:paraId="087B4DBA"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 </w:t>
            </w:r>
            <w:smartTag w:uri="urn:schemas-microsoft-com:office:smarttags" w:element="metricconverter">
              <w:smartTagPr>
                <w:attr w:name="ProductID" w:val="23 mm"/>
              </w:smartTagPr>
              <w:r w:rsidRPr="006431C4">
                <w:rPr>
                  <w:rFonts w:cs="Arial"/>
                  <w:szCs w:val="20"/>
                </w:rPr>
                <w:t>23 mm</w:t>
              </w:r>
            </w:smartTag>
          </w:p>
          <w:p w14:paraId="7D61946F"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 </w:t>
            </w:r>
            <w:smartTag w:uri="urn:schemas-microsoft-com:office:smarttags" w:element="metricconverter">
              <w:smartTagPr>
                <w:attr w:name="ProductID" w:val="20 mm"/>
              </w:smartTagPr>
              <w:r w:rsidRPr="006431C4">
                <w:rPr>
                  <w:rFonts w:cs="Arial"/>
                  <w:szCs w:val="20"/>
                </w:rPr>
                <w:t>20 mm</w:t>
              </w:r>
            </w:smartTag>
          </w:p>
        </w:tc>
        <w:tc>
          <w:tcPr>
            <w:tcW w:w="3328" w:type="dxa"/>
            <w:gridSpan w:val="4"/>
            <w:tcBorders>
              <w:top w:val="single" w:sz="4" w:space="0" w:color="auto"/>
              <w:left w:val="single" w:sz="4" w:space="0" w:color="auto"/>
              <w:bottom w:val="single" w:sz="4" w:space="0" w:color="auto"/>
              <w:right w:val="single" w:sz="4" w:space="0" w:color="auto"/>
            </w:tcBorders>
            <w:noWrap/>
          </w:tcPr>
          <w:p w14:paraId="23886B8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Nie określa się</w:t>
            </w:r>
          </w:p>
          <w:p w14:paraId="4392B233"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vertAlign w:val="superscript"/>
              </w:rPr>
            </w:pPr>
            <w:r w:rsidRPr="006431C4">
              <w:rPr>
                <w:rFonts w:cs="Arial"/>
                <w:szCs w:val="20"/>
              </w:rPr>
              <w:t>≤ 20000 mm</w:t>
            </w:r>
            <w:r w:rsidRPr="006431C4">
              <w:rPr>
                <w:rFonts w:cs="Arial"/>
                <w:szCs w:val="20"/>
                <w:vertAlign w:val="superscript"/>
              </w:rPr>
              <w:t>3</w:t>
            </w:r>
            <w:r w:rsidRPr="006431C4">
              <w:rPr>
                <w:rFonts w:cs="Arial"/>
                <w:szCs w:val="20"/>
              </w:rPr>
              <w:t>/5000 mm</w:t>
            </w:r>
            <w:r w:rsidRPr="006431C4">
              <w:rPr>
                <w:rFonts w:cs="Arial"/>
                <w:szCs w:val="20"/>
                <w:vertAlign w:val="superscript"/>
              </w:rPr>
              <w:t>2</w:t>
            </w:r>
          </w:p>
          <w:p w14:paraId="6DCB2E49"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18000 mm</w:t>
            </w:r>
            <w:r w:rsidRPr="006431C4">
              <w:rPr>
                <w:rFonts w:cs="Arial"/>
                <w:szCs w:val="20"/>
                <w:vertAlign w:val="superscript"/>
              </w:rPr>
              <w:t>3</w:t>
            </w:r>
            <w:r w:rsidRPr="006431C4">
              <w:rPr>
                <w:rFonts w:cs="Arial"/>
                <w:szCs w:val="20"/>
              </w:rPr>
              <w:t>/5000 mm</w:t>
            </w:r>
            <w:r w:rsidRPr="006431C4">
              <w:rPr>
                <w:rFonts w:cs="Arial"/>
                <w:szCs w:val="20"/>
                <w:vertAlign w:val="superscript"/>
              </w:rPr>
              <w:t>2</w:t>
            </w:r>
          </w:p>
        </w:tc>
      </w:tr>
      <w:tr w:rsidR="00CA5BBF" w:rsidRPr="006431C4" w14:paraId="2998E77D"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0301521F"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2.5</w:t>
            </w:r>
          </w:p>
        </w:tc>
        <w:tc>
          <w:tcPr>
            <w:tcW w:w="3021" w:type="dxa"/>
            <w:gridSpan w:val="2"/>
            <w:tcBorders>
              <w:top w:val="single" w:sz="4" w:space="0" w:color="auto"/>
              <w:left w:val="single" w:sz="4" w:space="0" w:color="auto"/>
              <w:bottom w:val="single" w:sz="4" w:space="0" w:color="auto"/>
              <w:right w:val="single" w:sz="4" w:space="0" w:color="auto"/>
            </w:tcBorders>
            <w:noWrap/>
          </w:tcPr>
          <w:p w14:paraId="64B81553"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Odporność na poślizg/</w:t>
            </w:r>
          </w:p>
          <w:p w14:paraId="0516F57D"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poślizgnięcie</w:t>
            </w:r>
          </w:p>
        </w:tc>
        <w:tc>
          <w:tcPr>
            <w:tcW w:w="1240" w:type="dxa"/>
            <w:gridSpan w:val="2"/>
            <w:tcBorders>
              <w:top w:val="single" w:sz="4" w:space="0" w:color="auto"/>
              <w:left w:val="single" w:sz="4" w:space="0" w:color="auto"/>
              <w:bottom w:val="single" w:sz="4" w:space="0" w:color="auto"/>
              <w:right w:val="single" w:sz="4" w:space="0" w:color="auto"/>
            </w:tcBorders>
            <w:noWrap/>
          </w:tcPr>
          <w:p w14:paraId="5CD468D7"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I</w:t>
            </w:r>
          </w:p>
        </w:tc>
        <w:tc>
          <w:tcPr>
            <w:tcW w:w="5710" w:type="dxa"/>
            <w:gridSpan w:val="10"/>
            <w:tcBorders>
              <w:top w:val="single" w:sz="4" w:space="0" w:color="auto"/>
              <w:left w:val="single" w:sz="4" w:space="0" w:color="auto"/>
              <w:bottom w:val="single" w:sz="4" w:space="0" w:color="auto"/>
              <w:right w:val="single" w:sz="4" w:space="0" w:color="auto"/>
            </w:tcBorders>
            <w:noWrap/>
          </w:tcPr>
          <w:p w14:paraId="5BC6F54B" w14:textId="77777777" w:rsidR="00CA5BBF" w:rsidRPr="006431C4" w:rsidRDefault="00CA5BBF" w:rsidP="00270120">
            <w:pPr>
              <w:numPr>
                <w:ilvl w:val="0"/>
                <w:numId w:val="36"/>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jeśli górna powierzchnia krawężnika nie była szlifowana i/lub polerowana – zadawalająca odporność,</w:t>
            </w:r>
          </w:p>
          <w:p w14:paraId="7ABD1B61" w14:textId="77777777" w:rsidR="00CA5BBF" w:rsidRPr="006431C4" w:rsidRDefault="00CA5BBF" w:rsidP="00270120">
            <w:pPr>
              <w:numPr>
                <w:ilvl w:val="0"/>
                <w:numId w:val="36"/>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 xml:space="preserve">jeśli wyjątkowo wymaga się podania wartości odporności na poślizg/poślizgnięcie – należy </w:t>
            </w:r>
            <w:proofErr w:type="spellStart"/>
            <w:r w:rsidRPr="006431C4">
              <w:rPr>
                <w:rFonts w:cs="Arial"/>
                <w:szCs w:val="20"/>
              </w:rPr>
              <w:t>zadekla-rować</w:t>
            </w:r>
            <w:proofErr w:type="spellEnd"/>
            <w:r w:rsidRPr="006431C4">
              <w:rPr>
                <w:rFonts w:cs="Arial"/>
                <w:szCs w:val="20"/>
              </w:rPr>
              <w:t xml:space="preserve"> minimalną jej wartość pomierzoną wg zał. I normy (wahadłowym przyrządem do badania tarcia),</w:t>
            </w:r>
          </w:p>
          <w:p w14:paraId="43D04FF9" w14:textId="77777777" w:rsidR="00CA5BBF" w:rsidRPr="006431C4" w:rsidRDefault="00CA5BBF" w:rsidP="00270120">
            <w:pPr>
              <w:numPr>
                <w:ilvl w:val="0"/>
                <w:numId w:val="36"/>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trwałość odporności na poślizg/poślizgnięcie w nor-</w:t>
            </w:r>
            <w:proofErr w:type="spellStart"/>
            <w:r w:rsidRPr="006431C4">
              <w:rPr>
                <w:rFonts w:cs="Arial"/>
                <w:szCs w:val="20"/>
              </w:rPr>
              <w:t>malnych</w:t>
            </w:r>
            <w:proofErr w:type="spellEnd"/>
            <w:r w:rsidRPr="006431C4">
              <w:rPr>
                <w:rFonts w:cs="Arial"/>
                <w:szCs w:val="20"/>
              </w:rPr>
              <w:t xml:space="preserve"> warunkach użytkowania krawężnika jest zada-walająca przez cały okres użytkowania, pod warunkiem właściwego utrzymywania i gdy na znacznej części nie zostało odsłonięte kruszywo podlegające intensywnemu polerowaniu.</w:t>
            </w:r>
          </w:p>
        </w:tc>
      </w:tr>
      <w:tr w:rsidR="00CA5BBF" w:rsidRPr="006431C4" w14:paraId="493B89A9"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69F56CB1"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w:t>
            </w:r>
          </w:p>
        </w:tc>
        <w:tc>
          <w:tcPr>
            <w:tcW w:w="9971" w:type="dxa"/>
            <w:gridSpan w:val="14"/>
            <w:tcBorders>
              <w:top w:val="single" w:sz="4" w:space="0" w:color="auto"/>
              <w:left w:val="single" w:sz="4" w:space="0" w:color="auto"/>
              <w:bottom w:val="single" w:sz="4" w:space="0" w:color="auto"/>
              <w:right w:val="single" w:sz="4" w:space="0" w:color="auto"/>
            </w:tcBorders>
            <w:noWrap/>
          </w:tcPr>
          <w:p w14:paraId="0757AAAE"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Aspekty wizualne</w:t>
            </w:r>
          </w:p>
        </w:tc>
      </w:tr>
      <w:tr w:rsidR="00CA5BBF" w:rsidRPr="006431C4" w14:paraId="12CC7BD9" w14:textId="77777777" w:rsidTr="00D032BE">
        <w:trPr>
          <w:gridAfter w:val="1"/>
          <w:wAfter w:w="236" w:type="dxa"/>
        </w:trPr>
        <w:tc>
          <w:tcPr>
            <w:tcW w:w="514" w:type="dxa"/>
            <w:tcBorders>
              <w:top w:val="single" w:sz="4" w:space="0" w:color="auto"/>
              <w:left w:val="single" w:sz="4" w:space="0" w:color="auto"/>
              <w:bottom w:val="single" w:sz="4" w:space="0" w:color="auto"/>
              <w:right w:val="single" w:sz="4" w:space="0" w:color="auto"/>
            </w:tcBorders>
            <w:noWrap/>
          </w:tcPr>
          <w:p w14:paraId="0C1CF7EE"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3.1</w:t>
            </w:r>
          </w:p>
        </w:tc>
        <w:tc>
          <w:tcPr>
            <w:tcW w:w="3021" w:type="dxa"/>
            <w:gridSpan w:val="2"/>
            <w:tcBorders>
              <w:top w:val="single" w:sz="4" w:space="0" w:color="auto"/>
              <w:left w:val="single" w:sz="4" w:space="0" w:color="auto"/>
              <w:bottom w:val="single" w:sz="4" w:space="0" w:color="auto"/>
              <w:right w:val="single" w:sz="4" w:space="0" w:color="auto"/>
            </w:tcBorders>
            <w:noWrap/>
          </w:tcPr>
          <w:p w14:paraId="4E602FA4"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Wygląd</w:t>
            </w:r>
          </w:p>
        </w:tc>
        <w:tc>
          <w:tcPr>
            <w:tcW w:w="1240" w:type="dxa"/>
            <w:gridSpan w:val="2"/>
            <w:tcBorders>
              <w:top w:val="single" w:sz="4" w:space="0" w:color="auto"/>
              <w:left w:val="single" w:sz="4" w:space="0" w:color="auto"/>
              <w:bottom w:val="single" w:sz="4" w:space="0" w:color="auto"/>
              <w:right w:val="single" w:sz="4" w:space="0" w:color="auto"/>
            </w:tcBorders>
            <w:noWrap/>
          </w:tcPr>
          <w:p w14:paraId="5B1079A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J</w:t>
            </w:r>
          </w:p>
        </w:tc>
        <w:tc>
          <w:tcPr>
            <w:tcW w:w="5710" w:type="dxa"/>
            <w:gridSpan w:val="10"/>
            <w:tcBorders>
              <w:top w:val="single" w:sz="4" w:space="0" w:color="auto"/>
              <w:left w:val="single" w:sz="4" w:space="0" w:color="auto"/>
              <w:bottom w:val="single" w:sz="4" w:space="0" w:color="auto"/>
              <w:right w:val="single" w:sz="4" w:space="0" w:color="auto"/>
            </w:tcBorders>
            <w:noWrap/>
          </w:tcPr>
          <w:p w14:paraId="2218A62F" w14:textId="77777777" w:rsidR="00CA5BBF" w:rsidRPr="006431C4" w:rsidRDefault="00CA5BBF" w:rsidP="00270120">
            <w:pPr>
              <w:numPr>
                <w:ilvl w:val="0"/>
                <w:numId w:val="37"/>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powierzchnia krawężnika nie powinna mieć rys i odprysków,</w:t>
            </w:r>
          </w:p>
          <w:p w14:paraId="26AC25BA" w14:textId="77777777" w:rsidR="00CA5BBF" w:rsidRPr="006431C4" w:rsidRDefault="00CA5BBF" w:rsidP="00270120">
            <w:pPr>
              <w:numPr>
                <w:ilvl w:val="0"/>
                <w:numId w:val="37"/>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nie dopuszcza się rozwarstwień w krawężnikach dwuwarstwowych</w:t>
            </w:r>
          </w:p>
          <w:p w14:paraId="35302371" w14:textId="77777777" w:rsidR="00CA5BBF" w:rsidRPr="006431C4" w:rsidRDefault="00CA5BBF" w:rsidP="00270120">
            <w:pPr>
              <w:numPr>
                <w:ilvl w:val="0"/>
                <w:numId w:val="37"/>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ewentualne wykwity nie są uważane za istotne</w:t>
            </w:r>
          </w:p>
        </w:tc>
      </w:tr>
      <w:tr w:rsidR="00CA5BBF" w:rsidRPr="006431C4" w14:paraId="20DF8D57" w14:textId="77777777" w:rsidTr="00D032BE">
        <w:trPr>
          <w:gridAfter w:val="1"/>
          <w:wAfter w:w="236" w:type="dxa"/>
        </w:trPr>
        <w:tc>
          <w:tcPr>
            <w:tcW w:w="736" w:type="dxa"/>
            <w:gridSpan w:val="2"/>
            <w:tcBorders>
              <w:top w:val="single" w:sz="4" w:space="0" w:color="auto"/>
              <w:left w:val="single" w:sz="4" w:space="0" w:color="auto"/>
              <w:bottom w:val="single" w:sz="4" w:space="0" w:color="auto"/>
              <w:right w:val="single" w:sz="4" w:space="0" w:color="auto"/>
            </w:tcBorders>
            <w:noWrap/>
          </w:tcPr>
          <w:p w14:paraId="49B7E67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3.2</w:t>
            </w:r>
          </w:p>
        </w:tc>
        <w:tc>
          <w:tcPr>
            <w:tcW w:w="2799" w:type="dxa"/>
            <w:tcBorders>
              <w:top w:val="single" w:sz="4" w:space="0" w:color="auto"/>
              <w:left w:val="single" w:sz="4" w:space="0" w:color="auto"/>
              <w:bottom w:val="single" w:sz="4" w:space="0" w:color="auto"/>
              <w:right w:val="single" w:sz="4" w:space="0" w:color="auto"/>
            </w:tcBorders>
            <w:noWrap/>
          </w:tcPr>
          <w:p w14:paraId="2F11F4CC"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Tekstura</w:t>
            </w:r>
          </w:p>
        </w:tc>
        <w:tc>
          <w:tcPr>
            <w:tcW w:w="1240" w:type="dxa"/>
            <w:gridSpan w:val="2"/>
            <w:tcBorders>
              <w:top w:val="single" w:sz="4" w:space="0" w:color="auto"/>
              <w:left w:val="single" w:sz="4" w:space="0" w:color="auto"/>
              <w:bottom w:val="single" w:sz="4" w:space="0" w:color="auto"/>
              <w:right w:val="single" w:sz="4" w:space="0" w:color="auto"/>
            </w:tcBorders>
            <w:noWrap/>
          </w:tcPr>
          <w:p w14:paraId="5EE8F01A"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J</w:t>
            </w:r>
          </w:p>
        </w:tc>
        <w:tc>
          <w:tcPr>
            <w:tcW w:w="5710" w:type="dxa"/>
            <w:gridSpan w:val="10"/>
            <w:tcBorders>
              <w:top w:val="single" w:sz="4" w:space="0" w:color="auto"/>
              <w:left w:val="single" w:sz="4" w:space="0" w:color="auto"/>
              <w:bottom w:val="single" w:sz="4" w:space="0" w:color="auto"/>
              <w:right w:val="single" w:sz="4" w:space="0" w:color="auto"/>
            </w:tcBorders>
            <w:noWrap/>
          </w:tcPr>
          <w:p w14:paraId="295005EA" w14:textId="77777777" w:rsidR="00CA5BBF" w:rsidRPr="006431C4" w:rsidRDefault="00CA5BBF" w:rsidP="00270120">
            <w:pPr>
              <w:numPr>
                <w:ilvl w:val="0"/>
                <w:numId w:val="38"/>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krawężniki z powierzchnią o specjalnej teksturze – producent powinien określić rodzaj tekstury,</w:t>
            </w:r>
          </w:p>
          <w:p w14:paraId="7DFFAE22" w14:textId="77777777" w:rsidR="00CA5BBF" w:rsidRPr="006431C4" w:rsidRDefault="00CA5BBF" w:rsidP="00270120">
            <w:pPr>
              <w:numPr>
                <w:ilvl w:val="0"/>
                <w:numId w:val="38"/>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tekstura powinna być porównana z próbkami dostarczonymi przez producenta, zatwierdzonymi przez odbiorcę,</w:t>
            </w:r>
          </w:p>
          <w:p w14:paraId="54C83D2B" w14:textId="77777777" w:rsidR="00CA5BBF" w:rsidRPr="006431C4" w:rsidRDefault="00CA5BBF" w:rsidP="00270120">
            <w:pPr>
              <w:numPr>
                <w:ilvl w:val="0"/>
                <w:numId w:val="38"/>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różnice w jednolitości tekstury, spowodowane nieuniknionymi zmianami we właściwości surowców i warunków twardnienia, nie są uważane za istotne</w:t>
            </w:r>
          </w:p>
        </w:tc>
      </w:tr>
      <w:tr w:rsidR="00CA5BBF" w:rsidRPr="006431C4" w14:paraId="7A89678D" w14:textId="77777777" w:rsidTr="00D032BE">
        <w:trPr>
          <w:gridAfter w:val="1"/>
          <w:wAfter w:w="236" w:type="dxa"/>
        </w:trPr>
        <w:tc>
          <w:tcPr>
            <w:tcW w:w="736" w:type="dxa"/>
            <w:gridSpan w:val="2"/>
            <w:tcBorders>
              <w:top w:val="single" w:sz="4" w:space="0" w:color="auto"/>
              <w:left w:val="single" w:sz="4" w:space="0" w:color="auto"/>
              <w:bottom w:val="single" w:sz="4" w:space="0" w:color="auto"/>
              <w:right w:val="single" w:sz="4" w:space="0" w:color="auto"/>
            </w:tcBorders>
            <w:noWrap/>
          </w:tcPr>
          <w:p w14:paraId="3B3DF99A"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3.3</w:t>
            </w:r>
          </w:p>
        </w:tc>
        <w:tc>
          <w:tcPr>
            <w:tcW w:w="2799" w:type="dxa"/>
            <w:tcBorders>
              <w:top w:val="single" w:sz="4" w:space="0" w:color="auto"/>
              <w:left w:val="single" w:sz="4" w:space="0" w:color="auto"/>
              <w:bottom w:val="single" w:sz="4" w:space="0" w:color="auto"/>
              <w:right w:val="single" w:sz="4" w:space="0" w:color="auto"/>
            </w:tcBorders>
            <w:noWrap/>
          </w:tcPr>
          <w:p w14:paraId="539D6F39"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Zabarwienie</w:t>
            </w:r>
          </w:p>
        </w:tc>
        <w:tc>
          <w:tcPr>
            <w:tcW w:w="1240" w:type="dxa"/>
            <w:gridSpan w:val="2"/>
            <w:tcBorders>
              <w:top w:val="single" w:sz="4" w:space="0" w:color="auto"/>
              <w:left w:val="single" w:sz="4" w:space="0" w:color="auto"/>
              <w:bottom w:val="single" w:sz="4" w:space="0" w:color="auto"/>
              <w:right w:val="single" w:sz="4" w:space="0" w:color="auto"/>
            </w:tcBorders>
            <w:noWrap/>
          </w:tcPr>
          <w:p w14:paraId="59C0B539" w14:textId="77777777" w:rsidR="00CA5BBF" w:rsidRPr="006431C4" w:rsidRDefault="00CA5BBF"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J</w:t>
            </w:r>
          </w:p>
        </w:tc>
        <w:tc>
          <w:tcPr>
            <w:tcW w:w="5710" w:type="dxa"/>
            <w:gridSpan w:val="10"/>
            <w:tcBorders>
              <w:top w:val="single" w:sz="4" w:space="0" w:color="auto"/>
              <w:left w:val="single" w:sz="4" w:space="0" w:color="auto"/>
              <w:bottom w:val="single" w:sz="4" w:space="0" w:color="auto"/>
              <w:right w:val="single" w:sz="4" w:space="0" w:color="auto"/>
            </w:tcBorders>
            <w:noWrap/>
          </w:tcPr>
          <w:p w14:paraId="50F52B8A" w14:textId="77777777" w:rsidR="00CA5BBF" w:rsidRPr="006431C4" w:rsidRDefault="00CA5BBF" w:rsidP="00270120">
            <w:pPr>
              <w:numPr>
                <w:ilvl w:val="0"/>
                <w:numId w:val="39"/>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barwiona może być warstwa ścieralna lub cały element,</w:t>
            </w:r>
          </w:p>
          <w:p w14:paraId="6894332F" w14:textId="77777777" w:rsidR="00CA5BBF" w:rsidRPr="006431C4" w:rsidRDefault="00CA5BBF" w:rsidP="00270120">
            <w:pPr>
              <w:numPr>
                <w:ilvl w:val="0"/>
                <w:numId w:val="39"/>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zabarwienie powinno być porównane z próbkami dostarczonymi przez producenta, zatwierdzonymi przez odbiorcę,</w:t>
            </w:r>
          </w:p>
          <w:p w14:paraId="187C7B0D" w14:textId="77777777" w:rsidR="00CA5BBF" w:rsidRPr="006431C4" w:rsidRDefault="00CA5BBF" w:rsidP="00270120">
            <w:pPr>
              <w:numPr>
                <w:ilvl w:val="0"/>
                <w:numId w:val="39"/>
              </w:numPr>
              <w:shd w:val="clear" w:color="auto" w:fill="FFFFFF" w:themeFill="background1"/>
              <w:tabs>
                <w:tab w:val="clear" w:pos="340"/>
                <w:tab w:val="left" w:pos="142"/>
                <w:tab w:val="num" w:pos="176"/>
              </w:tabs>
              <w:overflowPunct w:val="0"/>
              <w:autoSpaceDE w:val="0"/>
              <w:autoSpaceDN w:val="0"/>
              <w:adjustRightInd w:val="0"/>
              <w:spacing w:line="240" w:lineRule="auto"/>
              <w:ind w:left="0" w:firstLine="0"/>
              <w:jc w:val="both"/>
              <w:rPr>
                <w:rFonts w:cs="Arial"/>
                <w:szCs w:val="20"/>
              </w:rPr>
            </w:pPr>
            <w:r w:rsidRPr="006431C4">
              <w:rPr>
                <w:rFonts w:cs="Arial"/>
                <w:szCs w:val="20"/>
              </w:rPr>
              <w:t>różnice w jednolitości zabarwienia, spowodowane nieuniknionymi zmianami właściwości surowców lub warunków dojrzewania betonu, nie są uważane za istotne</w:t>
            </w:r>
          </w:p>
        </w:tc>
      </w:tr>
      <w:tr w:rsidR="00CA5BBF" w:rsidRPr="006431C4" w14:paraId="6B4FFC13" w14:textId="77777777" w:rsidTr="00D032BE">
        <w:tc>
          <w:tcPr>
            <w:tcW w:w="514" w:type="dxa"/>
            <w:tcBorders>
              <w:top w:val="nil"/>
              <w:left w:val="nil"/>
              <w:bottom w:val="nil"/>
              <w:right w:val="nil"/>
            </w:tcBorders>
            <w:vAlign w:val="center"/>
          </w:tcPr>
          <w:p w14:paraId="04569785"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c>
          <w:tcPr>
            <w:tcW w:w="222" w:type="dxa"/>
            <w:tcBorders>
              <w:top w:val="nil"/>
              <w:left w:val="nil"/>
              <w:bottom w:val="nil"/>
              <w:right w:val="nil"/>
            </w:tcBorders>
            <w:vAlign w:val="center"/>
          </w:tcPr>
          <w:p w14:paraId="08FF7035"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c>
          <w:tcPr>
            <w:tcW w:w="2799" w:type="dxa"/>
            <w:tcBorders>
              <w:top w:val="nil"/>
              <w:left w:val="nil"/>
              <w:bottom w:val="nil"/>
              <w:right w:val="nil"/>
            </w:tcBorders>
            <w:vAlign w:val="center"/>
          </w:tcPr>
          <w:p w14:paraId="4A805F25"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c>
          <w:tcPr>
            <w:tcW w:w="236" w:type="dxa"/>
            <w:tcBorders>
              <w:top w:val="nil"/>
              <w:left w:val="nil"/>
              <w:bottom w:val="nil"/>
              <w:right w:val="nil"/>
            </w:tcBorders>
            <w:vAlign w:val="center"/>
          </w:tcPr>
          <w:p w14:paraId="39CEE9A1"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c>
          <w:tcPr>
            <w:tcW w:w="1240" w:type="dxa"/>
            <w:gridSpan w:val="2"/>
            <w:tcBorders>
              <w:top w:val="nil"/>
              <w:left w:val="nil"/>
              <w:bottom w:val="nil"/>
              <w:right w:val="nil"/>
            </w:tcBorders>
            <w:vAlign w:val="center"/>
          </w:tcPr>
          <w:p w14:paraId="51E5A180"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c>
          <w:tcPr>
            <w:tcW w:w="825" w:type="dxa"/>
            <w:gridSpan w:val="3"/>
            <w:tcBorders>
              <w:top w:val="nil"/>
              <w:left w:val="nil"/>
              <w:bottom w:val="nil"/>
              <w:right w:val="nil"/>
            </w:tcBorders>
            <w:vAlign w:val="center"/>
          </w:tcPr>
          <w:p w14:paraId="7171876F"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c>
          <w:tcPr>
            <w:tcW w:w="222" w:type="dxa"/>
            <w:tcBorders>
              <w:top w:val="nil"/>
              <w:left w:val="nil"/>
              <w:bottom w:val="nil"/>
              <w:right w:val="nil"/>
            </w:tcBorders>
            <w:vAlign w:val="center"/>
          </w:tcPr>
          <w:p w14:paraId="2B65A8A8"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c>
          <w:tcPr>
            <w:tcW w:w="1335" w:type="dxa"/>
            <w:gridSpan w:val="2"/>
            <w:tcBorders>
              <w:top w:val="nil"/>
              <w:left w:val="nil"/>
              <w:bottom w:val="nil"/>
              <w:right w:val="nil"/>
            </w:tcBorders>
            <w:vAlign w:val="center"/>
          </w:tcPr>
          <w:p w14:paraId="76040E45"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c>
          <w:tcPr>
            <w:tcW w:w="630" w:type="dxa"/>
            <w:gridSpan w:val="2"/>
            <w:tcBorders>
              <w:top w:val="nil"/>
              <w:left w:val="nil"/>
              <w:bottom w:val="nil"/>
              <w:right w:val="nil"/>
            </w:tcBorders>
            <w:vAlign w:val="center"/>
          </w:tcPr>
          <w:p w14:paraId="14A453B9"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c>
          <w:tcPr>
            <w:tcW w:w="2698" w:type="dxa"/>
            <w:gridSpan w:val="2"/>
            <w:tcBorders>
              <w:top w:val="nil"/>
              <w:left w:val="nil"/>
              <w:bottom w:val="nil"/>
              <w:right w:val="nil"/>
            </w:tcBorders>
            <w:vAlign w:val="center"/>
          </w:tcPr>
          <w:p w14:paraId="7F2C8DFC" w14:textId="77777777" w:rsidR="00CA5BBF" w:rsidRPr="006431C4" w:rsidRDefault="00CA5BBF" w:rsidP="00270120">
            <w:pPr>
              <w:shd w:val="clear" w:color="auto" w:fill="FFFFFF" w:themeFill="background1"/>
              <w:tabs>
                <w:tab w:val="left" w:pos="142"/>
              </w:tabs>
              <w:spacing w:line="240" w:lineRule="auto"/>
              <w:jc w:val="both"/>
              <w:rPr>
                <w:rFonts w:cs="Arial"/>
                <w:szCs w:val="20"/>
              </w:rPr>
            </w:pPr>
          </w:p>
        </w:tc>
      </w:tr>
    </w:tbl>
    <w:p w14:paraId="768644BC" w14:textId="77777777" w:rsidR="00CA5BBF" w:rsidRPr="006431C4" w:rsidRDefault="00CA5BBF"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 [5].</w:t>
      </w:r>
    </w:p>
    <w:p w14:paraId="1807C66D" w14:textId="77777777" w:rsidR="00BC6C99" w:rsidRPr="006431C4" w:rsidRDefault="00BC6C99" w:rsidP="00270120">
      <w:pPr>
        <w:pStyle w:val="Nagwek3"/>
        <w:shd w:val="clear" w:color="auto" w:fill="FFFFFF" w:themeFill="background1"/>
        <w:tabs>
          <w:tab w:val="left" w:pos="142"/>
        </w:tabs>
        <w:spacing w:line="240" w:lineRule="auto"/>
        <w:jc w:val="both"/>
        <w:rPr>
          <w:szCs w:val="20"/>
        </w:rPr>
      </w:pPr>
      <w:r w:rsidRPr="006431C4">
        <w:rPr>
          <w:szCs w:val="20"/>
        </w:rPr>
        <w:t>2.2.3.3. Składowanie krawężników</w:t>
      </w:r>
    </w:p>
    <w:p w14:paraId="7D540D40" w14:textId="77777777" w:rsidR="00BC6C99" w:rsidRPr="006431C4" w:rsidRDefault="00BC6C9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Krawężniki betonowe mogą być przechowywane na składowiskach otwartych, posegregowane według typów, rodzajów, kształtów, cech fizycznych i mechanicznych, wielkości, wyglądu itp.</w:t>
      </w:r>
    </w:p>
    <w:p w14:paraId="1C8D3F4C" w14:textId="77777777" w:rsidR="00BC6C99" w:rsidRPr="006431C4" w:rsidRDefault="00BC6C9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6431C4">
          <w:rPr>
            <w:rFonts w:cs="Arial"/>
            <w:szCs w:val="20"/>
          </w:rPr>
          <w:t>2,5 cm</w:t>
        </w:r>
      </w:smartTag>
      <w:r w:rsidRPr="006431C4">
        <w:rPr>
          <w:rFonts w:cs="Arial"/>
          <w:szCs w:val="20"/>
        </w:rPr>
        <w:t xml:space="preserve">, szerokość </w:t>
      </w:r>
      <w:smartTag w:uri="urn:schemas-microsoft-com:office:smarttags" w:element="metricconverter">
        <w:smartTagPr>
          <w:attr w:name="ProductID" w:val="5 cm"/>
        </w:smartTagPr>
        <w:r w:rsidRPr="006431C4">
          <w:rPr>
            <w:rFonts w:cs="Arial"/>
            <w:szCs w:val="20"/>
          </w:rPr>
          <w:t>5 cm</w:t>
        </w:r>
      </w:smartTag>
      <w:r w:rsidRPr="006431C4">
        <w:rPr>
          <w:rFonts w:cs="Arial"/>
          <w:szCs w:val="20"/>
        </w:rPr>
        <w:t xml:space="preserve">, długości min. </w:t>
      </w:r>
      <w:smartTag w:uri="urn:schemas-microsoft-com:office:smarttags" w:element="metricconverter">
        <w:smartTagPr>
          <w:attr w:name="ProductID" w:val="5 cm"/>
        </w:smartTagPr>
        <w:r w:rsidRPr="006431C4">
          <w:rPr>
            <w:rFonts w:cs="Arial"/>
            <w:szCs w:val="20"/>
          </w:rPr>
          <w:t>5 cm</w:t>
        </w:r>
      </w:smartTag>
      <w:r w:rsidRPr="006431C4">
        <w:rPr>
          <w:rFonts w:cs="Arial"/>
          <w:szCs w:val="20"/>
        </w:rPr>
        <w:t xml:space="preserve"> większej od szerokości krawężnika.</w:t>
      </w:r>
    </w:p>
    <w:p w14:paraId="71C20193" w14:textId="77777777" w:rsidR="00BC6C99" w:rsidRPr="006431C4" w:rsidRDefault="00BC6C9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2.2.4.</w:t>
      </w:r>
      <w:r w:rsidR="003D79DE" w:rsidRPr="006431C4">
        <w:rPr>
          <w:rFonts w:cs="Arial"/>
          <w:b/>
          <w:szCs w:val="20"/>
        </w:rPr>
        <w:tab/>
      </w:r>
      <w:r w:rsidR="00DE4094" w:rsidRPr="006431C4">
        <w:rPr>
          <w:rFonts w:cs="Arial"/>
          <w:szCs w:val="20"/>
        </w:rPr>
        <w:t>Materiały na podsypkę</w:t>
      </w:r>
    </w:p>
    <w:p w14:paraId="3AC362BB" w14:textId="77777777" w:rsidR="001F02FF" w:rsidRPr="006431C4" w:rsidRDefault="001F02FF"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Piasek na podsypkę cementowo-piaskową powinien odpowiadać wymaganiom PN-B-11113:1996 </w:t>
      </w:r>
    </w:p>
    <w:p w14:paraId="74AF835C" w14:textId="77777777" w:rsidR="001F02FF" w:rsidRPr="006431C4" w:rsidRDefault="001F02FF" w:rsidP="00270120">
      <w:pPr>
        <w:pStyle w:val="Lista"/>
        <w:shd w:val="clear" w:color="auto" w:fill="FFFFFF" w:themeFill="background1"/>
        <w:tabs>
          <w:tab w:val="left" w:pos="142"/>
        </w:tabs>
        <w:spacing w:line="240" w:lineRule="auto"/>
        <w:ind w:left="0" w:firstLine="0"/>
        <w:jc w:val="both"/>
        <w:rPr>
          <w:rFonts w:cs="Arial"/>
          <w:szCs w:val="20"/>
        </w:rPr>
      </w:pPr>
      <w:r w:rsidRPr="006431C4">
        <w:rPr>
          <w:rFonts w:cs="Arial"/>
          <w:szCs w:val="20"/>
        </w:rPr>
        <w:t>jak dla gatunku 2, o wskaźniku różnoziarnistości U ≥ 3.</w:t>
      </w:r>
    </w:p>
    <w:p w14:paraId="0C4F620D" w14:textId="77777777" w:rsidR="001F02FF" w:rsidRPr="006431C4" w:rsidRDefault="001F02FF" w:rsidP="00270120">
      <w:pPr>
        <w:pStyle w:val="Lista"/>
        <w:shd w:val="clear" w:color="auto" w:fill="FFFFFF" w:themeFill="background1"/>
        <w:tabs>
          <w:tab w:val="left" w:pos="142"/>
        </w:tabs>
        <w:spacing w:line="240" w:lineRule="auto"/>
        <w:ind w:left="0" w:firstLine="0"/>
        <w:jc w:val="both"/>
        <w:rPr>
          <w:rFonts w:cs="Arial"/>
          <w:szCs w:val="20"/>
        </w:rPr>
      </w:pPr>
      <w:r w:rsidRPr="006431C4">
        <w:rPr>
          <w:rFonts w:cs="Arial"/>
          <w:szCs w:val="20"/>
        </w:rPr>
        <w:t>Należy użyć cementu portlandzkiego CEM I 32,5 N lub R.</w:t>
      </w:r>
    </w:p>
    <w:p w14:paraId="5C71497D" w14:textId="77777777" w:rsidR="001F02FF" w:rsidRPr="006431C4" w:rsidRDefault="001F02FF" w:rsidP="00270120">
      <w:pPr>
        <w:pStyle w:val="Lista"/>
        <w:shd w:val="clear" w:color="auto" w:fill="FFFFFF" w:themeFill="background1"/>
        <w:tabs>
          <w:tab w:val="left" w:pos="142"/>
        </w:tabs>
        <w:spacing w:line="240" w:lineRule="auto"/>
        <w:ind w:left="0" w:firstLine="0"/>
        <w:jc w:val="both"/>
        <w:rPr>
          <w:rFonts w:cs="Arial"/>
          <w:szCs w:val="20"/>
        </w:rPr>
      </w:pPr>
      <w:r w:rsidRPr="006431C4">
        <w:rPr>
          <w:rFonts w:cs="Arial"/>
          <w:szCs w:val="20"/>
        </w:rPr>
        <w:t>Woda powinna być odmiany „1” i odpowiadać wymaganiom PN-B-32250. Jeżeli stosowana jest woda</w:t>
      </w:r>
    </w:p>
    <w:p w14:paraId="011D262B" w14:textId="77777777" w:rsidR="00DE4094" w:rsidRPr="006431C4" w:rsidRDefault="001F02FF" w:rsidP="00270120">
      <w:pPr>
        <w:pStyle w:val="Lista"/>
        <w:shd w:val="clear" w:color="auto" w:fill="FFFFFF" w:themeFill="background1"/>
        <w:tabs>
          <w:tab w:val="left" w:pos="142"/>
        </w:tabs>
        <w:spacing w:line="240" w:lineRule="auto"/>
        <w:ind w:left="0" w:firstLine="0"/>
        <w:jc w:val="both"/>
        <w:rPr>
          <w:rFonts w:cs="Arial"/>
          <w:szCs w:val="20"/>
        </w:rPr>
      </w:pPr>
      <w:r w:rsidRPr="006431C4">
        <w:rPr>
          <w:rFonts w:cs="Arial"/>
          <w:szCs w:val="20"/>
        </w:rPr>
        <w:t>pitna, nie istnieje potrzeba jej badania oraz określania cech zgodnie z w/w normą.</w:t>
      </w:r>
    </w:p>
    <w:p w14:paraId="564DE65C" w14:textId="77777777" w:rsidR="00BC6C99" w:rsidRPr="006431C4" w:rsidRDefault="00BC6C99" w:rsidP="00270120">
      <w:pPr>
        <w:pStyle w:val="Lista4"/>
        <w:numPr>
          <w:ilvl w:val="2"/>
          <w:numId w:val="40"/>
        </w:numPr>
        <w:shd w:val="clear" w:color="auto" w:fill="FFFFFF" w:themeFill="background1"/>
        <w:tabs>
          <w:tab w:val="left" w:pos="142"/>
        </w:tabs>
        <w:spacing w:line="240" w:lineRule="auto"/>
        <w:ind w:left="0" w:firstLine="0"/>
        <w:jc w:val="both"/>
        <w:rPr>
          <w:rFonts w:cs="Arial"/>
          <w:szCs w:val="20"/>
        </w:rPr>
      </w:pPr>
      <w:r w:rsidRPr="006431C4">
        <w:rPr>
          <w:rFonts w:cs="Arial"/>
          <w:szCs w:val="20"/>
        </w:rPr>
        <w:t>Materiały na ławy</w:t>
      </w:r>
    </w:p>
    <w:p w14:paraId="058B2DBF" w14:textId="77777777" w:rsidR="00DE4094" w:rsidRPr="006431C4" w:rsidRDefault="00DE4094" w:rsidP="00270120">
      <w:pPr>
        <w:pStyle w:val="Lista-kontynuacja4"/>
        <w:shd w:val="clear" w:color="auto" w:fill="FFFFFF" w:themeFill="background1"/>
        <w:tabs>
          <w:tab w:val="left" w:pos="142"/>
        </w:tabs>
        <w:spacing w:after="0" w:line="240" w:lineRule="auto"/>
        <w:ind w:left="0"/>
        <w:jc w:val="both"/>
        <w:rPr>
          <w:rFonts w:cs="Arial"/>
          <w:szCs w:val="20"/>
        </w:rPr>
      </w:pPr>
      <w:r w:rsidRPr="006431C4">
        <w:rPr>
          <w:rFonts w:cs="Arial"/>
          <w:szCs w:val="20"/>
        </w:rPr>
        <w:t>Do wykonania ław pod krawężniki należy stosować beton wg PN-EN 206-1:2003 o parametrach:</w:t>
      </w:r>
    </w:p>
    <w:p w14:paraId="47669A8E" w14:textId="77777777" w:rsidR="00DE4094" w:rsidRPr="006431C4" w:rsidRDefault="00DE4094"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 klasa wytrzymałości C16/20,</w:t>
      </w:r>
    </w:p>
    <w:p w14:paraId="46440CD5" w14:textId="77777777" w:rsidR="00DE4094" w:rsidRPr="006431C4" w:rsidRDefault="00DE4094"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Kruszywo do betonu powinno odpowiadać normie PN-EN 12620:2004.</w:t>
      </w:r>
    </w:p>
    <w:p w14:paraId="3BAD19A7" w14:textId="77777777" w:rsidR="00DE4094" w:rsidRPr="006431C4" w:rsidRDefault="00DE4094"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Należy zastosować cement portlandzki CEM I klasy 32,5 lub 42,5 N lub R.</w:t>
      </w:r>
    </w:p>
    <w:p w14:paraId="7ABDE013" w14:textId="77777777" w:rsidR="00DE4094" w:rsidRPr="006431C4" w:rsidRDefault="00BC6C9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2.2.6.</w:t>
      </w:r>
      <w:r w:rsidR="003D79DE" w:rsidRPr="006431C4">
        <w:rPr>
          <w:rFonts w:cs="Arial"/>
          <w:b/>
          <w:szCs w:val="20"/>
        </w:rPr>
        <w:tab/>
      </w:r>
      <w:r w:rsidR="00DE4094" w:rsidRPr="006431C4">
        <w:rPr>
          <w:rFonts w:cs="Arial"/>
          <w:szCs w:val="20"/>
        </w:rPr>
        <w:t>Masa zalewowa do wypełnienia szczelin dylatacyjnych ław, powinna posiadać odpowiednie Aprobaty</w:t>
      </w:r>
    </w:p>
    <w:p w14:paraId="614A32E2" w14:textId="77777777" w:rsidR="00BC6C99" w:rsidRPr="006431C4" w:rsidRDefault="00DE4094" w:rsidP="00270120">
      <w:pPr>
        <w:pStyle w:val="Lista-kontynuacja4"/>
        <w:shd w:val="clear" w:color="auto" w:fill="FFFFFF" w:themeFill="background1"/>
        <w:tabs>
          <w:tab w:val="left" w:pos="142"/>
        </w:tabs>
        <w:spacing w:after="0" w:line="240" w:lineRule="auto"/>
        <w:ind w:left="0"/>
        <w:jc w:val="both"/>
        <w:rPr>
          <w:rFonts w:cs="Arial"/>
          <w:szCs w:val="20"/>
        </w:rPr>
      </w:pPr>
      <w:r w:rsidRPr="006431C4">
        <w:rPr>
          <w:rFonts w:cs="Arial"/>
          <w:szCs w:val="20"/>
        </w:rPr>
        <w:t>Technicznej zezwalające na stosowanie w budownictwie drogowym do uszczelniania nawierzchni betonowych.</w:t>
      </w:r>
      <w:r w:rsidR="001F02FF" w:rsidRPr="006431C4">
        <w:rPr>
          <w:rFonts w:cs="Arial"/>
          <w:szCs w:val="20"/>
        </w:rPr>
        <w:t xml:space="preserve"> </w:t>
      </w:r>
      <w:r w:rsidRPr="006431C4">
        <w:rPr>
          <w:rFonts w:cs="Arial"/>
          <w:szCs w:val="20"/>
        </w:rPr>
        <w:t>Wybrane rozwiązania Wykonawca przedstawia do zatwierdzenia Kierownikowi Projektu.</w:t>
      </w:r>
    </w:p>
    <w:p w14:paraId="768EFD36" w14:textId="77777777" w:rsidR="006B6869" w:rsidRPr="006431C4" w:rsidRDefault="006B6869" w:rsidP="00270120">
      <w:pPr>
        <w:pStyle w:val="Nagwek1"/>
        <w:shd w:val="clear" w:color="auto" w:fill="FFFFFF" w:themeFill="background1"/>
        <w:tabs>
          <w:tab w:val="left" w:pos="142"/>
        </w:tabs>
        <w:spacing w:line="240" w:lineRule="auto"/>
        <w:jc w:val="both"/>
        <w:rPr>
          <w:rFonts w:cs="Arial"/>
          <w:szCs w:val="20"/>
        </w:rPr>
      </w:pPr>
      <w:bookmarkStart w:id="1046" w:name="_Toc428239274"/>
      <w:bookmarkStart w:id="1047" w:name="_Toc428759423"/>
      <w:r w:rsidRPr="006431C4">
        <w:rPr>
          <w:rFonts w:cs="Arial"/>
          <w:szCs w:val="20"/>
        </w:rPr>
        <w:t>3. SPRZĘT</w:t>
      </w:r>
      <w:bookmarkEnd w:id="1046"/>
      <w:bookmarkEnd w:id="1047"/>
    </w:p>
    <w:p w14:paraId="6694FD25"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3.1. Ogólne wymagania dotyczące sprzętu</w:t>
      </w:r>
    </w:p>
    <w:p w14:paraId="7CC07072"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wymagania dotyczące sprzętu podano w</w:t>
      </w:r>
      <w:r w:rsidR="00180A26" w:rsidRPr="006431C4">
        <w:rPr>
          <w:rFonts w:cs="Arial"/>
          <w:szCs w:val="20"/>
        </w:rPr>
        <w:t xml:space="preserve"> SST </w:t>
      </w:r>
      <w:r w:rsidRPr="006431C4">
        <w:rPr>
          <w:rFonts w:cs="Arial"/>
          <w:szCs w:val="20"/>
        </w:rPr>
        <w:t>D-M-00.00.00 „Wymagania ogólne” pkt 3.</w:t>
      </w:r>
    </w:p>
    <w:p w14:paraId="7DA6B6DA"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lastRenderedPageBreak/>
        <w:t xml:space="preserve">3.2. Sprzęt </w:t>
      </w:r>
    </w:p>
    <w:p w14:paraId="7FC1C9B2" w14:textId="77777777" w:rsidR="001F02FF" w:rsidRPr="006431C4" w:rsidRDefault="001F02FF" w:rsidP="00270120">
      <w:pPr>
        <w:pStyle w:val="Tekstpodstawowy"/>
        <w:shd w:val="clear" w:color="auto" w:fill="FFFFFF" w:themeFill="background1"/>
        <w:tabs>
          <w:tab w:val="clear" w:pos="360"/>
          <w:tab w:val="left" w:pos="142"/>
        </w:tabs>
        <w:spacing w:line="240" w:lineRule="auto"/>
        <w:jc w:val="both"/>
        <w:rPr>
          <w:rFonts w:cs="Arial"/>
          <w:sz w:val="20"/>
          <w:szCs w:val="20"/>
        </w:rPr>
      </w:pPr>
      <w:bookmarkStart w:id="1048" w:name="_Toc428239275"/>
      <w:bookmarkStart w:id="1049" w:name="_Toc428759424"/>
      <w:r w:rsidRPr="006431C4">
        <w:rPr>
          <w:rFonts w:cs="Arial"/>
          <w:sz w:val="20"/>
          <w:szCs w:val="20"/>
        </w:rPr>
        <w:t>U</w:t>
      </w:r>
      <w:r w:rsidRPr="006431C4">
        <w:rPr>
          <w:rFonts w:eastAsia="TimesNewRoman" w:cs="Arial"/>
          <w:sz w:val="20"/>
          <w:szCs w:val="20"/>
        </w:rPr>
        <w:t>ż</w:t>
      </w:r>
      <w:r w:rsidRPr="006431C4">
        <w:rPr>
          <w:rFonts w:cs="Arial"/>
          <w:sz w:val="20"/>
          <w:szCs w:val="20"/>
        </w:rPr>
        <w:t>ywany sprz</w:t>
      </w:r>
      <w:r w:rsidRPr="006431C4">
        <w:rPr>
          <w:rFonts w:eastAsia="TimesNewRoman" w:cs="Arial"/>
          <w:sz w:val="20"/>
          <w:szCs w:val="20"/>
        </w:rPr>
        <w:t>ę</w:t>
      </w:r>
      <w:r w:rsidRPr="006431C4">
        <w:rPr>
          <w:rFonts w:cs="Arial"/>
          <w:sz w:val="20"/>
          <w:szCs w:val="20"/>
        </w:rPr>
        <w:t>t powinien by</w:t>
      </w:r>
      <w:r w:rsidRPr="006431C4">
        <w:rPr>
          <w:rFonts w:eastAsia="TimesNewRoman" w:cs="Arial"/>
          <w:sz w:val="20"/>
          <w:szCs w:val="20"/>
        </w:rPr>
        <w:t xml:space="preserve">ć </w:t>
      </w:r>
      <w:r w:rsidRPr="006431C4">
        <w:rPr>
          <w:rFonts w:cs="Arial"/>
          <w:sz w:val="20"/>
          <w:szCs w:val="20"/>
        </w:rPr>
        <w:t>zgodny z ofert</w:t>
      </w:r>
      <w:r w:rsidRPr="006431C4">
        <w:rPr>
          <w:rFonts w:eastAsia="TimesNewRoman" w:cs="Arial"/>
          <w:sz w:val="20"/>
          <w:szCs w:val="20"/>
        </w:rPr>
        <w:t xml:space="preserve">ą </w:t>
      </w:r>
      <w:r w:rsidRPr="006431C4">
        <w:rPr>
          <w:rFonts w:cs="Arial"/>
          <w:sz w:val="20"/>
          <w:szCs w:val="20"/>
        </w:rPr>
        <w:t>Wykonawcy, PZJ i warunkami okre</w:t>
      </w:r>
      <w:r w:rsidRPr="006431C4">
        <w:rPr>
          <w:rFonts w:eastAsia="TimesNewRoman" w:cs="Arial"/>
          <w:sz w:val="20"/>
          <w:szCs w:val="20"/>
        </w:rPr>
        <w:t>ś</w:t>
      </w:r>
      <w:r w:rsidRPr="006431C4">
        <w:rPr>
          <w:rFonts w:cs="Arial"/>
          <w:sz w:val="20"/>
          <w:szCs w:val="20"/>
        </w:rPr>
        <w:t>lonymi w niniejszej</w:t>
      </w:r>
    </w:p>
    <w:p w14:paraId="48639F49" w14:textId="77777777" w:rsidR="001F02FF" w:rsidRPr="006431C4" w:rsidRDefault="001F02FF" w:rsidP="00270120">
      <w:pPr>
        <w:pStyle w:val="Tekstpodstawowy"/>
        <w:shd w:val="clear" w:color="auto" w:fill="FFFFFF" w:themeFill="background1"/>
        <w:tabs>
          <w:tab w:val="clear" w:pos="360"/>
          <w:tab w:val="left" w:pos="142"/>
        </w:tabs>
        <w:spacing w:line="240" w:lineRule="auto"/>
        <w:jc w:val="both"/>
        <w:rPr>
          <w:rFonts w:cs="Arial"/>
          <w:sz w:val="20"/>
          <w:szCs w:val="20"/>
        </w:rPr>
      </w:pPr>
      <w:r w:rsidRPr="006431C4">
        <w:rPr>
          <w:rFonts w:cs="Arial"/>
          <w:sz w:val="20"/>
          <w:szCs w:val="20"/>
        </w:rPr>
        <w:t>SST oraz powinien zosta</w:t>
      </w:r>
      <w:r w:rsidRPr="006431C4">
        <w:rPr>
          <w:rFonts w:eastAsia="TimesNewRoman" w:cs="Arial"/>
          <w:sz w:val="20"/>
          <w:szCs w:val="20"/>
        </w:rPr>
        <w:t xml:space="preserve">ć </w:t>
      </w:r>
      <w:r w:rsidRPr="006431C4">
        <w:rPr>
          <w:rFonts w:cs="Arial"/>
          <w:sz w:val="20"/>
          <w:szCs w:val="20"/>
        </w:rPr>
        <w:t>zatwierdzony przez Kierownika Projektu.</w:t>
      </w:r>
    </w:p>
    <w:p w14:paraId="30E28378" w14:textId="77777777" w:rsidR="001F02FF" w:rsidRPr="006431C4" w:rsidRDefault="001F02FF" w:rsidP="00270120">
      <w:pPr>
        <w:pStyle w:val="Tekstpodstawowy"/>
        <w:shd w:val="clear" w:color="auto" w:fill="FFFFFF" w:themeFill="background1"/>
        <w:tabs>
          <w:tab w:val="clear" w:pos="360"/>
          <w:tab w:val="left" w:pos="142"/>
        </w:tabs>
        <w:spacing w:line="240" w:lineRule="auto"/>
        <w:jc w:val="both"/>
        <w:rPr>
          <w:rFonts w:cs="Arial"/>
          <w:sz w:val="20"/>
          <w:szCs w:val="20"/>
        </w:rPr>
      </w:pPr>
      <w:r w:rsidRPr="006431C4">
        <w:rPr>
          <w:rFonts w:cs="Arial"/>
          <w:sz w:val="20"/>
          <w:szCs w:val="20"/>
        </w:rPr>
        <w:t>Roboty zwi</w:t>
      </w:r>
      <w:r w:rsidRPr="006431C4">
        <w:rPr>
          <w:rFonts w:eastAsia="TimesNewRoman" w:cs="Arial"/>
          <w:sz w:val="20"/>
          <w:szCs w:val="20"/>
        </w:rPr>
        <w:t>ą</w:t>
      </w:r>
      <w:r w:rsidRPr="006431C4">
        <w:rPr>
          <w:rFonts w:cs="Arial"/>
          <w:sz w:val="20"/>
          <w:szCs w:val="20"/>
        </w:rPr>
        <w:t>zane z uło</w:t>
      </w:r>
      <w:r w:rsidRPr="006431C4">
        <w:rPr>
          <w:rFonts w:eastAsia="TimesNewRoman" w:cs="Arial"/>
          <w:sz w:val="20"/>
          <w:szCs w:val="20"/>
        </w:rPr>
        <w:t>ż</w:t>
      </w:r>
      <w:r w:rsidRPr="006431C4">
        <w:rPr>
          <w:rFonts w:cs="Arial"/>
          <w:sz w:val="20"/>
          <w:szCs w:val="20"/>
        </w:rPr>
        <w:t>eniem kraw</w:t>
      </w:r>
      <w:r w:rsidRPr="006431C4">
        <w:rPr>
          <w:rFonts w:eastAsia="TimesNewRoman" w:cs="Arial"/>
          <w:sz w:val="20"/>
          <w:szCs w:val="20"/>
        </w:rPr>
        <w:t>ęż</w:t>
      </w:r>
      <w:r w:rsidRPr="006431C4">
        <w:rPr>
          <w:rFonts w:cs="Arial"/>
          <w:sz w:val="20"/>
          <w:szCs w:val="20"/>
        </w:rPr>
        <w:t>ników wykonuje si</w:t>
      </w:r>
      <w:r w:rsidRPr="006431C4">
        <w:rPr>
          <w:rFonts w:eastAsia="TimesNewRoman" w:cs="Arial"/>
          <w:sz w:val="20"/>
          <w:szCs w:val="20"/>
        </w:rPr>
        <w:t xml:space="preserve">ę </w:t>
      </w:r>
      <w:r w:rsidRPr="006431C4">
        <w:rPr>
          <w:rFonts w:cs="Arial"/>
          <w:sz w:val="20"/>
          <w:szCs w:val="20"/>
        </w:rPr>
        <w:t>r</w:t>
      </w:r>
      <w:r w:rsidRPr="006431C4">
        <w:rPr>
          <w:rFonts w:eastAsia="TimesNewRoman" w:cs="Arial"/>
          <w:sz w:val="20"/>
          <w:szCs w:val="20"/>
        </w:rPr>
        <w:t>ę</w:t>
      </w:r>
      <w:r w:rsidRPr="006431C4">
        <w:rPr>
          <w:rFonts w:cs="Arial"/>
          <w:sz w:val="20"/>
          <w:szCs w:val="20"/>
        </w:rPr>
        <w:t>cznie, ewentualnie z pomoc</w:t>
      </w:r>
      <w:r w:rsidRPr="006431C4">
        <w:rPr>
          <w:rFonts w:eastAsia="TimesNewRoman" w:cs="Arial"/>
          <w:sz w:val="20"/>
          <w:szCs w:val="20"/>
        </w:rPr>
        <w:t xml:space="preserve">ą </w:t>
      </w:r>
      <w:r w:rsidRPr="006431C4">
        <w:rPr>
          <w:rFonts w:cs="Arial"/>
          <w:sz w:val="20"/>
          <w:szCs w:val="20"/>
        </w:rPr>
        <w:t>d</w:t>
      </w:r>
      <w:r w:rsidRPr="006431C4">
        <w:rPr>
          <w:rFonts w:eastAsia="TimesNewRoman" w:cs="Arial"/>
          <w:sz w:val="20"/>
          <w:szCs w:val="20"/>
        </w:rPr>
        <w:t>ź</w:t>
      </w:r>
      <w:r w:rsidRPr="006431C4">
        <w:rPr>
          <w:rFonts w:cs="Arial"/>
          <w:sz w:val="20"/>
          <w:szCs w:val="20"/>
        </w:rPr>
        <w:t>wigów lub</w:t>
      </w:r>
    </w:p>
    <w:p w14:paraId="7CDA6529" w14:textId="77777777" w:rsidR="001F02FF" w:rsidRPr="006431C4" w:rsidRDefault="001F02FF" w:rsidP="00270120">
      <w:pPr>
        <w:pStyle w:val="Tekstpodstawowy"/>
        <w:shd w:val="clear" w:color="auto" w:fill="FFFFFF" w:themeFill="background1"/>
        <w:tabs>
          <w:tab w:val="clear" w:pos="360"/>
          <w:tab w:val="left" w:pos="142"/>
        </w:tabs>
        <w:spacing w:line="240" w:lineRule="auto"/>
        <w:jc w:val="both"/>
        <w:rPr>
          <w:rFonts w:cs="Arial"/>
          <w:sz w:val="20"/>
          <w:szCs w:val="20"/>
        </w:rPr>
      </w:pPr>
      <w:r w:rsidRPr="006431C4">
        <w:rPr>
          <w:rFonts w:cs="Arial"/>
          <w:sz w:val="20"/>
          <w:szCs w:val="20"/>
        </w:rPr>
        <w:t>innego sprzętu wg PZJ. Do przygotowania betonu na ławy i podsypki cementowo-piaskowej stosuje się</w:t>
      </w:r>
    </w:p>
    <w:p w14:paraId="6167DC8A" w14:textId="77777777" w:rsidR="001F02FF" w:rsidRPr="006431C4" w:rsidRDefault="001F02FF" w:rsidP="00270120">
      <w:pPr>
        <w:pStyle w:val="Tekstpodstawowy"/>
        <w:shd w:val="clear" w:color="auto" w:fill="FFFFFF" w:themeFill="background1"/>
        <w:tabs>
          <w:tab w:val="clear" w:pos="360"/>
          <w:tab w:val="left" w:pos="142"/>
        </w:tabs>
        <w:spacing w:line="240" w:lineRule="auto"/>
        <w:jc w:val="both"/>
        <w:rPr>
          <w:rFonts w:cs="Arial"/>
          <w:sz w:val="20"/>
          <w:szCs w:val="20"/>
        </w:rPr>
      </w:pPr>
      <w:r w:rsidRPr="006431C4">
        <w:rPr>
          <w:rFonts w:cs="Arial"/>
          <w:sz w:val="20"/>
          <w:szCs w:val="20"/>
        </w:rPr>
        <w:t>betoniarki. Do cięcia krawężników należy używać pił przystosowanych do cięcia betonu i kamienia.</w:t>
      </w:r>
    </w:p>
    <w:p w14:paraId="688483B4" w14:textId="77777777" w:rsidR="006B6869" w:rsidRPr="006431C4" w:rsidRDefault="006B6869" w:rsidP="00270120">
      <w:pPr>
        <w:pStyle w:val="Nagwek1"/>
        <w:shd w:val="clear" w:color="auto" w:fill="FFFFFF" w:themeFill="background1"/>
        <w:tabs>
          <w:tab w:val="left" w:pos="142"/>
        </w:tabs>
        <w:spacing w:line="240" w:lineRule="auto"/>
        <w:jc w:val="both"/>
        <w:rPr>
          <w:rFonts w:cs="Arial"/>
          <w:szCs w:val="20"/>
        </w:rPr>
      </w:pPr>
      <w:r w:rsidRPr="006431C4">
        <w:rPr>
          <w:rFonts w:cs="Arial"/>
          <w:szCs w:val="20"/>
        </w:rPr>
        <w:t>4. TRANSPORT</w:t>
      </w:r>
      <w:bookmarkEnd w:id="1048"/>
      <w:bookmarkEnd w:id="1049"/>
    </w:p>
    <w:p w14:paraId="3EBD8DF9"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4.1. Ogólne wymagania dotyczące transportu</w:t>
      </w:r>
    </w:p>
    <w:p w14:paraId="08FC4D6C"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wymagania dotyczące transportu podano w</w:t>
      </w:r>
      <w:r w:rsidR="00180A26" w:rsidRPr="006431C4">
        <w:rPr>
          <w:rFonts w:cs="Arial"/>
          <w:szCs w:val="20"/>
        </w:rPr>
        <w:t xml:space="preserve"> SST </w:t>
      </w:r>
      <w:r w:rsidRPr="006431C4">
        <w:rPr>
          <w:rFonts w:cs="Arial"/>
          <w:szCs w:val="20"/>
        </w:rPr>
        <w:t>D-M-00.00.00 „Wymagania ogólne” pkt 4.</w:t>
      </w:r>
    </w:p>
    <w:p w14:paraId="5232D20B"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4.2. Transport krawężników</w:t>
      </w:r>
    </w:p>
    <w:p w14:paraId="02B0D77A"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Krawężniki betonowe mogą być przewożone dowolnymi środkami transportowymi.</w:t>
      </w:r>
    </w:p>
    <w:p w14:paraId="554710E0" w14:textId="77777777" w:rsidR="001F02FF"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Krawężniki betonowe układać należy na środkach transportowych w pozycji pionowej z nachyleniem w kierunku jazdy.</w:t>
      </w:r>
    </w:p>
    <w:p w14:paraId="225F4C01" w14:textId="77777777" w:rsidR="001F02FF"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Krawężniki powinny być zabezpieczone przed przemieszczeniem się i uszkodzeniami w czasie transportu, a górna warstwa nie powinna wystawać poza ściany środka transportowego więcej niż 1/3 wysokości tej warstwy.</w:t>
      </w:r>
    </w:p>
    <w:p w14:paraId="3CF378B0"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4.3. Transport pozostałych materiałów</w:t>
      </w:r>
    </w:p>
    <w:p w14:paraId="6369C5DC"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6BD88586"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Masę zalewową należy pakować w bębny blaszane lub beczki drewniane. Transport powinien odbywać się w warunkach zabezpieczających przed uszkodzeniem bębnów i beczek.</w:t>
      </w:r>
    </w:p>
    <w:p w14:paraId="6C876881" w14:textId="77777777" w:rsidR="006B6869" w:rsidRPr="006431C4" w:rsidRDefault="006B6869" w:rsidP="00270120">
      <w:pPr>
        <w:pStyle w:val="Nagwek1"/>
        <w:shd w:val="clear" w:color="auto" w:fill="FFFFFF" w:themeFill="background1"/>
        <w:tabs>
          <w:tab w:val="left" w:pos="142"/>
        </w:tabs>
        <w:spacing w:line="240" w:lineRule="auto"/>
        <w:jc w:val="both"/>
        <w:rPr>
          <w:rFonts w:cs="Arial"/>
          <w:szCs w:val="20"/>
        </w:rPr>
      </w:pPr>
      <w:bookmarkStart w:id="1050" w:name="_Toc428239276"/>
      <w:bookmarkStart w:id="1051" w:name="_Toc428759425"/>
      <w:r w:rsidRPr="006431C4">
        <w:rPr>
          <w:rFonts w:cs="Arial"/>
          <w:szCs w:val="20"/>
        </w:rPr>
        <w:t>5. WYKONANIE ROBÓT</w:t>
      </w:r>
      <w:bookmarkEnd w:id="1050"/>
      <w:bookmarkEnd w:id="1051"/>
    </w:p>
    <w:p w14:paraId="21C0FC66"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5.1. Ogólne zasady wykonania robót</w:t>
      </w:r>
    </w:p>
    <w:p w14:paraId="039F9F50" w14:textId="77777777" w:rsidR="00EF59A8"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zasady wykonania robót podano w</w:t>
      </w:r>
      <w:r w:rsidR="00180A26" w:rsidRPr="006431C4">
        <w:rPr>
          <w:rFonts w:cs="Arial"/>
          <w:szCs w:val="20"/>
        </w:rPr>
        <w:t xml:space="preserve"> SST </w:t>
      </w:r>
      <w:r w:rsidRPr="006431C4">
        <w:rPr>
          <w:rFonts w:cs="Arial"/>
          <w:szCs w:val="20"/>
        </w:rPr>
        <w:t>D-M-00.00.00 „Wymagania ogólne” pkt 5.</w:t>
      </w:r>
    </w:p>
    <w:p w14:paraId="1DAF73C4" w14:textId="77777777" w:rsidR="00EF59A8" w:rsidRPr="006431C4" w:rsidRDefault="00EF59A8" w:rsidP="00270120">
      <w:pPr>
        <w:pStyle w:val="Tekstpodstawowywcity"/>
        <w:shd w:val="clear" w:color="auto" w:fill="FFFFFF" w:themeFill="background1"/>
        <w:tabs>
          <w:tab w:val="left" w:pos="142"/>
        </w:tabs>
        <w:spacing w:line="240" w:lineRule="auto"/>
        <w:ind w:firstLine="0"/>
        <w:jc w:val="both"/>
        <w:rPr>
          <w:rFonts w:cs="Arial"/>
          <w:sz w:val="20"/>
          <w:szCs w:val="20"/>
        </w:rPr>
      </w:pPr>
      <w:r w:rsidRPr="006431C4">
        <w:rPr>
          <w:rFonts w:cs="Arial"/>
          <w:sz w:val="20"/>
          <w:szCs w:val="20"/>
        </w:rPr>
        <w:t>Przed przystąpieniem do robót należy, na podstawie</w:t>
      </w:r>
      <w:r w:rsidR="00180A26" w:rsidRPr="006431C4">
        <w:rPr>
          <w:rFonts w:cs="Arial"/>
          <w:sz w:val="20"/>
          <w:szCs w:val="20"/>
        </w:rPr>
        <w:t xml:space="preserve"> SST </w:t>
      </w:r>
      <w:r w:rsidRPr="006431C4">
        <w:rPr>
          <w:rFonts w:cs="Arial"/>
          <w:sz w:val="20"/>
          <w:szCs w:val="20"/>
        </w:rPr>
        <w:t>lub wskazań Insp. nadzoru:</w:t>
      </w:r>
    </w:p>
    <w:p w14:paraId="6EF8E66A" w14:textId="77777777" w:rsidR="00EF59A8" w:rsidRPr="006431C4" w:rsidRDefault="00EF59A8" w:rsidP="00270120">
      <w:pPr>
        <w:pStyle w:val="Listapunktowana4"/>
        <w:numPr>
          <w:ilvl w:val="0"/>
          <w:numId w:val="41"/>
        </w:numPr>
        <w:shd w:val="clear" w:color="auto" w:fill="FFFFFF" w:themeFill="background1"/>
        <w:tabs>
          <w:tab w:val="left" w:pos="142"/>
        </w:tabs>
        <w:spacing w:line="240" w:lineRule="auto"/>
        <w:ind w:left="0" w:firstLine="0"/>
        <w:jc w:val="both"/>
        <w:rPr>
          <w:rFonts w:cs="Arial"/>
          <w:szCs w:val="20"/>
        </w:rPr>
      </w:pPr>
      <w:r w:rsidRPr="006431C4">
        <w:rPr>
          <w:rFonts w:cs="Arial"/>
          <w:szCs w:val="20"/>
        </w:rPr>
        <w:t>ustalić lokalizację robót,</w:t>
      </w:r>
    </w:p>
    <w:p w14:paraId="5DAC63E5" w14:textId="77777777" w:rsidR="00EF59A8" w:rsidRPr="006431C4" w:rsidRDefault="00EF59A8" w:rsidP="00270120">
      <w:pPr>
        <w:pStyle w:val="Listapunktowana4"/>
        <w:numPr>
          <w:ilvl w:val="0"/>
          <w:numId w:val="41"/>
        </w:numPr>
        <w:shd w:val="clear" w:color="auto" w:fill="FFFFFF" w:themeFill="background1"/>
        <w:tabs>
          <w:tab w:val="left" w:pos="142"/>
        </w:tabs>
        <w:spacing w:line="240" w:lineRule="auto"/>
        <w:ind w:left="0" w:firstLine="0"/>
        <w:jc w:val="both"/>
        <w:rPr>
          <w:rFonts w:cs="Arial"/>
          <w:szCs w:val="20"/>
        </w:rPr>
      </w:pPr>
      <w:r w:rsidRPr="006431C4">
        <w:rPr>
          <w:rFonts w:cs="Arial"/>
          <w:szCs w:val="20"/>
        </w:rPr>
        <w:t>ustalić dane niezbędne do szczegółowego wytyczenia robót oraz ustalenia danych wysokościowych,</w:t>
      </w:r>
    </w:p>
    <w:p w14:paraId="39813DE8" w14:textId="77777777" w:rsidR="00EF59A8" w:rsidRPr="006431C4" w:rsidRDefault="00EF59A8" w:rsidP="00270120">
      <w:pPr>
        <w:pStyle w:val="Listapunktowana4"/>
        <w:numPr>
          <w:ilvl w:val="0"/>
          <w:numId w:val="41"/>
        </w:numPr>
        <w:shd w:val="clear" w:color="auto" w:fill="FFFFFF" w:themeFill="background1"/>
        <w:tabs>
          <w:tab w:val="left" w:pos="142"/>
        </w:tabs>
        <w:spacing w:line="240" w:lineRule="auto"/>
        <w:ind w:left="0" w:firstLine="0"/>
        <w:jc w:val="both"/>
        <w:rPr>
          <w:rFonts w:cs="Arial"/>
          <w:szCs w:val="20"/>
        </w:rPr>
      </w:pPr>
      <w:r w:rsidRPr="006431C4">
        <w:rPr>
          <w:rFonts w:cs="Arial"/>
          <w:szCs w:val="20"/>
        </w:rPr>
        <w:t>zabezpieczyć istniejące drzewa, krzewy itd.</w:t>
      </w:r>
    </w:p>
    <w:p w14:paraId="2E30AE78" w14:textId="77777777" w:rsidR="00EF59A8" w:rsidRPr="006431C4" w:rsidRDefault="00EF59A8" w:rsidP="00270120">
      <w:pPr>
        <w:pStyle w:val="Listapunktowana4"/>
        <w:numPr>
          <w:ilvl w:val="0"/>
          <w:numId w:val="41"/>
        </w:numPr>
        <w:shd w:val="clear" w:color="auto" w:fill="FFFFFF" w:themeFill="background1"/>
        <w:tabs>
          <w:tab w:val="left" w:pos="142"/>
        </w:tabs>
        <w:spacing w:line="240" w:lineRule="auto"/>
        <w:ind w:left="0" w:firstLine="0"/>
        <w:jc w:val="both"/>
        <w:rPr>
          <w:rFonts w:cs="Arial"/>
          <w:szCs w:val="20"/>
        </w:rPr>
      </w:pPr>
      <w:r w:rsidRPr="006431C4">
        <w:rPr>
          <w:rFonts w:cs="Arial"/>
          <w:szCs w:val="20"/>
        </w:rPr>
        <w:t>ustalić materiały niezbędne do wykonania robót,</w:t>
      </w:r>
    </w:p>
    <w:p w14:paraId="1CA20C7C" w14:textId="77777777" w:rsidR="00EF59A8" w:rsidRPr="006431C4" w:rsidRDefault="00EF59A8" w:rsidP="00270120">
      <w:pPr>
        <w:pStyle w:val="Listapunktowana4"/>
        <w:numPr>
          <w:ilvl w:val="0"/>
          <w:numId w:val="41"/>
        </w:numPr>
        <w:shd w:val="clear" w:color="auto" w:fill="FFFFFF" w:themeFill="background1"/>
        <w:tabs>
          <w:tab w:val="left" w:pos="142"/>
        </w:tabs>
        <w:spacing w:line="240" w:lineRule="auto"/>
        <w:ind w:left="0" w:firstLine="0"/>
        <w:jc w:val="both"/>
        <w:rPr>
          <w:rFonts w:cs="Arial"/>
          <w:szCs w:val="20"/>
        </w:rPr>
      </w:pPr>
      <w:r w:rsidRPr="006431C4">
        <w:rPr>
          <w:rFonts w:cs="Arial"/>
          <w:szCs w:val="20"/>
        </w:rPr>
        <w:t>określić kolejność, sposób i termin wykonania robót.</w:t>
      </w:r>
    </w:p>
    <w:p w14:paraId="0FC5B130"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5.2. Wykonanie koryta pod ławy</w:t>
      </w:r>
    </w:p>
    <w:p w14:paraId="2E2B447F"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Wymiary wykopu powinny odpowiadać wymiarom ławy w planie z uwzględnieniem w szerokości dna wykopu ew. konstrukcji szalunku.</w:t>
      </w:r>
    </w:p>
    <w:p w14:paraId="4CEF8F9B"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Wskaźnik zagęszczenia dna wykonanego koryta pod ławę powinien wynosić co najmniej 0,97 według normalnej metody Proctora.</w:t>
      </w:r>
    </w:p>
    <w:p w14:paraId="1D65147D"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5.3. Wykonanie ław</w:t>
      </w:r>
      <w:r w:rsidR="007321BB" w:rsidRPr="006431C4">
        <w:rPr>
          <w:rFonts w:cs="Arial"/>
          <w:szCs w:val="20"/>
        </w:rPr>
        <w:t xml:space="preserve"> betonowych</w:t>
      </w:r>
    </w:p>
    <w:p w14:paraId="49CFB775"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Ławy betonowe z oporem wykonuje się w szalowaniu. Beton rozścielony w szalowaniu lub bezpośrednio w korycie powinien być wyrównywany warstwami. Betonowanie ław należy wykonywać zgodnie z wymaganiami PN-B-06251 [3], przy czym należy stosować co 50 m szczeliny dylatacyjne wypełnione bitumiczną masą zalewową.</w:t>
      </w:r>
    </w:p>
    <w:p w14:paraId="40BDD840"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5.4. Ustawienie krawężników betonowych</w:t>
      </w:r>
    </w:p>
    <w:p w14:paraId="4E1DD36F"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5.4.1.</w:t>
      </w:r>
      <w:r w:rsidR="003D79DE" w:rsidRPr="006431C4">
        <w:rPr>
          <w:rFonts w:cs="Arial"/>
          <w:b/>
          <w:szCs w:val="20"/>
        </w:rPr>
        <w:tab/>
      </w:r>
      <w:r w:rsidRPr="006431C4">
        <w:rPr>
          <w:rFonts w:cs="Arial"/>
          <w:szCs w:val="20"/>
        </w:rPr>
        <w:t>Zasady ustawiania krawężników</w:t>
      </w:r>
    </w:p>
    <w:p w14:paraId="69452E66"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Światło (odległość górnej powierzchni krawężnika od jezdni) powinno być zgodne z ustaleniami dokumentacji projektowej, a w przypadku braku takich ustaleń powinno wynosić od 10 do 12 cm, a w przypadkach wyjątkowych (np. ze względu na „wyrobienie” ścieku)  może być zmniejszone do 6 cm lub zwiększone do 16 cm.</w:t>
      </w:r>
    </w:p>
    <w:p w14:paraId="1E120088"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Zewnętrzna ściana krawężnika od strony chodnika powinna być po ustawieniu krawężnika obsypana piaskiem, żwirem, tłuczniem lub miejscowym gruntem przepuszczalnym, starannie ubitym.</w:t>
      </w:r>
    </w:p>
    <w:p w14:paraId="33AB3673"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Ustawienie krawężników powinno być zgodne z BN-64/8845-02 [16].</w:t>
      </w:r>
    </w:p>
    <w:p w14:paraId="4A54B9D6"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5.4.2.</w:t>
      </w:r>
      <w:r w:rsidR="003D79DE" w:rsidRPr="006431C4">
        <w:rPr>
          <w:rFonts w:cs="Arial"/>
          <w:b/>
          <w:szCs w:val="20"/>
        </w:rPr>
        <w:tab/>
      </w:r>
      <w:r w:rsidRPr="006431C4">
        <w:rPr>
          <w:rFonts w:cs="Arial"/>
          <w:szCs w:val="20"/>
        </w:rPr>
        <w:t>Ustawienie krawężników na ławie żwirowej lub tłuczniowej</w:t>
      </w:r>
    </w:p>
    <w:p w14:paraId="2F6A1B56"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Ustawianie krawężników na ławie żwirowej i tłuczniowej powinno być wykonywane na podsypce z piasku o grubości warstwy od 3 do 5 cm po zagęszczeniu.</w:t>
      </w:r>
    </w:p>
    <w:p w14:paraId="14A78EDB"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5.4.3.</w:t>
      </w:r>
      <w:r w:rsidR="003D79DE" w:rsidRPr="006431C4">
        <w:rPr>
          <w:rFonts w:cs="Arial"/>
          <w:b/>
          <w:szCs w:val="20"/>
        </w:rPr>
        <w:tab/>
      </w:r>
      <w:r w:rsidRPr="006431C4">
        <w:rPr>
          <w:rFonts w:cs="Arial"/>
          <w:szCs w:val="20"/>
        </w:rPr>
        <w:t>Ustawienie krawężników na ławie betonowej</w:t>
      </w:r>
    </w:p>
    <w:p w14:paraId="7B202E83"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Ustawianie krawężników na ławie betonowej wykonuje się  na podsypce z piasku lub na podsypce cementowo-piaskowej o grubości 3 do 5 cm po zagęszczeniu.</w:t>
      </w:r>
    </w:p>
    <w:p w14:paraId="1CA55852"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5.4.4.</w:t>
      </w:r>
      <w:r w:rsidR="003D79DE" w:rsidRPr="006431C4">
        <w:rPr>
          <w:rFonts w:cs="Arial"/>
          <w:b/>
          <w:szCs w:val="20"/>
        </w:rPr>
        <w:tab/>
      </w:r>
      <w:r w:rsidRPr="006431C4">
        <w:rPr>
          <w:rFonts w:cs="Arial"/>
          <w:szCs w:val="20"/>
        </w:rPr>
        <w:t>Wypełnianie spoin</w:t>
      </w:r>
    </w:p>
    <w:p w14:paraId="0E39F7AA"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Spoiny krawężników nie powinny przekraczać szerokości 1 cm. Spoiny należy wypełnić żwirem, piaskiem lub zaprawą cementowo-piaskową, przygotowaną w stosunku 1:2. Zalewanie spoin krawężników zaprawą cementowo-piaskową stosuje się wyłącznie do krawężników ustawionych na ławie betonowej.</w:t>
      </w:r>
    </w:p>
    <w:p w14:paraId="60DEFF3C"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14:paraId="65F28FC4" w14:textId="77777777" w:rsidR="006B6869" w:rsidRPr="006431C4" w:rsidRDefault="006B6869" w:rsidP="00270120">
      <w:pPr>
        <w:pStyle w:val="Nagwek1"/>
        <w:shd w:val="clear" w:color="auto" w:fill="FFFFFF" w:themeFill="background1"/>
        <w:tabs>
          <w:tab w:val="left" w:pos="142"/>
        </w:tabs>
        <w:spacing w:line="240" w:lineRule="auto"/>
        <w:jc w:val="both"/>
        <w:rPr>
          <w:rFonts w:cs="Arial"/>
          <w:szCs w:val="20"/>
        </w:rPr>
      </w:pPr>
      <w:bookmarkStart w:id="1052" w:name="_Toc428759426"/>
      <w:r w:rsidRPr="006431C4">
        <w:rPr>
          <w:rFonts w:cs="Arial"/>
          <w:szCs w:val="20"/>
        </w:rPr>
        <w:t>6. kontrola jakości robót</w:t>
      </w:r>
      <w:bookmarkEnd w:id="1052"/>
    </w:p>
    <w:p w14:paraId="25822C6B"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6.1. Ogólne zasady kontroli jakości robót</w:t>
      </w:r>
    </w:p>
    <w:p w14:paraId="0DEED306"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zasady kontroli jakości robót podano w</w:t>
      </w:r>
      <w:r w:rsidR="00180A26" w:rsidRPr="006431C4">
        <w:rPr>
          <w:rFonts w:cs="Arial"/>
          <w:szCs w:val="20"/>
        </w:rPr>
        <w:t xml:space="preserve"> SST </w:t>
      </w:r>
      <w:r w:rsidRPr="006431C4">
        <w:rPr>
          <w:rFonts w:cs="Arial"/>
          <w:szCs w:val="20"/>
        </w:rPr>
        <w:t>D-M-00.00.00 „Wymagania ogólne” pkt 6.</w:t>
      </w:r>
    </w:p>
    <w:p w14:paraId="1E2251F7"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6.2. Badania przed przystąpieniem do robót</w:t>
      </w:r>
    </w:p>
    <w:p w14:paraId="25AF40D5"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6.2.1.</w:t>
      </w:r>
      <w:r w:rsidR="003D79DE" w:rsidRPr="006431C4">
        <w:rPr>
          <w:rFonts w:cs="Arial"/>
          <w:b/>
          <w:szCs w:val="20"/>
        </w:rPr>
        <w:tab/>
      </w:r>
      <w:r w:rsidRPr="006431C4">
        <w:rPr>
          <w:rFonts w:cs="Arial"/>
          <w:szCs w:val="20"/>
        </w:rPr>
        <w:t>Badania krawężników</w:t>
      </w:r>
    </w:p>
    <w:p w14:paraId="4F56E586"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lastRenderedPageBreak/>
        <w:t>Przed przystąpieniem do robót Wykonawca powinien wykonać badania materiałów przeznaczonych do ustawienia krawężników betonowych i przedstawić wyniki tych badań Inżynierowi  do akceptacji.</w:t>
      </w:r>
    </w:p>
    <w:p w14:paraId="53B01DB8"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[6].</w:t>
      </w:r>
    </w:p>
    <w:p w14:paraId="26710618"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14:paraId="59038FEC"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6.2.2.</w:t>
      </w:r>
      <w:r w:rsidR="003D79DE" w:rsidRPr="006431C4">
        <w:rPr>
          <w:rFonts w:cs="Arial"/>
          <w:b/>
          <w:szCs w:val="20"/>
        </w:rPr>
        <w:tab/>
      </w:r>
      <w:r w:rsidRPr="006431C4">
        <w:rPr>
          <w:rFonts w:cs="Arial"/>
          <w:szCs w:val="20"/>
        </w:rPr>
        <w:t>Badania pozostałych materiałów</w:t>
      </w:r>
    </w:p>
    <w:p w14:paraId="78B53C54"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Badania pozostałych materiałów stosowanych przy ustawianiu krawężników betonowych powinny obejmować wszystkie właściwości, określone w normach podanych dla odpowiednich materiałów w pkt 2.</w:t>
      </w:r>
    </w:p>
    <w:p w14:paraId="5BD85C6C" w14:textId="77777777" w:rsidR="006B6869" w:rsidRPr="006431C4" w:rsidRDefault="006B6869" w:rsidP="00270120">
      <w:pPr>
        <w:pStyle w:val="Lista3"/>
        <w:shd w:val="clear" w:color="auto" w:fill="FFFFFF" w:themeFill="background1"/>
        <w:tabs>
          <w:tab w:val="left" w:pos="142"/>
        </w:tabs>
        <w:spacing w:line="240" w:lineRule="auto"/>
        <w:ind w:left="0" w:firstLine="0"/>
        <w:jc w:val="both"/>
        <w:rPr>
          <w:rFonts w:cs="Arial"/>
          <w:szCs w:val="20"/>
        </w:rPr>
      </w:pPr>
      <w:r w:rsidRPr="006431C4">
        <w:rPr>
          <w:rFonts w:cs="Arial"/>
          <w:szCs w:val="20"/>
        </w:rPr>
        <w:t>6.3.</w:t>
      </w:r>
      <w:r w:rsidR="003D79DE" w:rsidRPr="006431C4">
        <w:rPr>
          <w:rFonts w:cs="Arial"/>
          <w:szCs w:val="20"/>
        </w:rPr>
        <w:tab/>
      </w:r>
      <w:r w:rsidRPr="006431C4">
        <w:rPr>
          <w:rFonts w:cs="Arial"/>
          <w:szCs w:val="20"/>
        </w:rPr>
        <w:t>Badania w czasie robót</w:t>
      </w:r>
    </w:p>
    <w:p w14:paraId="165E8975"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6.3.1.</w:t>
      </w:r>
      <w:r w:rsidR="003D79DE" w:rsidRPr="006431C4">
        <w:rPr>
          <w:rFonts w:cs="Arial"/>
          <w:b/>
          <w:szCs w:val="20"/>
        </w:rPr>
        <w:tab/>
      </w:r>
      <w:r w:rsidRPr="006431C4">
        <w:rPr>
          <w:rFonts w:cs="Arial"/>
          <w:szCs w:val="20"/>
        </w:rPr>
        <w:t>Sprawdzenie koryta pod ławę</w:t>
      </w:r>
    </w:p>
    <w:p w14:paraId="43CC0866"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Należy sprawdzać wymiary koryta oraz zagęszczenie podłoża na dnie wykopu.</w:t>
      </w:r>
    </w:p>
    <w:p w14:paraId="056B020E"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Tolerancja dla szerokości wykopu wynosi </w:t>
      </w:r>
      <w:r w:rsidRPr="006431C4">
        <w:rPr>
          <w:rFonts w:cs="Arial"/>
          <w:szCs w:val="20"/>
        </w:rPr>
        <w:sym w:font="Symbol" w:char="F0B1"/>
      </w:r>
      <w:r w:rsidRPr="006431C4">
        <w:rPr>
          <w:rFonts w:cs="Arial"/>
          <w:szCs w:val="20"/>
        </w:rPr>
        <w:t xml:space="preserve"> 2 cm. Zagęszczenie podłoża powinno być zgodne z pkt 5.2.</w:t>
      </w:r>
    </w:p>
    <w:p w14:paraId="753A941F"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6.3.2.</w:t>
      </w:r>
      <w:r w:rsidR="003D79DE" w:rsidRPr="006431C4">
        <w:rPr>
          <w:rFonts w:cs="Arial"/>
          <w:b/>
          <w:szCs w:val="20"/>
        </w:rPr>
        <w:tab/>
      </w:r>
      <w:r w:rsidRPr="006431C4">
        <w:rPr>
          <w:rFonts w:cs="Arial"/>
          <w:szCs w:val="20"/>
        </w:rPr>
        <w:t>Sprawdzenie ław</w:t>
      </w:r>
    </w:p>
    <w:p w14:paraId="63515C93" w14:textId="77777777" w:rsidR="006B6869" w:rsidRPr="006431C4" w:rsidRDefault="006B6869" w:rsidP="00270120">
      <w:pPr>
        <w:pStyle w:val="Lista-kontynuacja4"/>
        <w:shd w:val="clear" w:color="auto" w:fill="FFFFFF" w:themeFill="background1"/>
        <w:tabs>
          <w:tab w:val="left" w:pos="142"/>
        </w:tabs>
        <w:spacing w:after="0" w:line="240" w:lineRule="auto"/>
        <w:ind w:left="0"/>
        <w:jc w:val="both"/>
        <w:rPr>
          <w:rFonts w:cs="Arial"/>
          <w:szCs w:val="20"/>
        </w:rPr>
      </w:pPr>
      <w:r w:rsidRPr="006431C4">
        <w:rPr>
          <w:rFonts w:cs="Arial"/>
          <w:szCs w:val="20"/>
        </w:rPr>
        <w:t>Przy wykonywaniu ław badaniu podlegają:</w:t>
      </w:r>
    </w:p>
    <w:p w14:paraId="43596239" w14:textId="77777777" w:rsidR="006B6869" w:rsidRPr="006431C4" w:rsidRDefault="006B6869" w:rsidP="00270120">
      <w:pPr>
        <w:pStyle w:val="Lista5"/>
        <w:numPr>
          <w:ilvl w:val="0"/>
          <w:numId w:val="31"/>
        </w:numPr>
        <w:shd w:val="clear" w:color="auto" w:fill="FFFFFF" w:themeFill="background1"/>
        <w:tabs>
          <w:tab w:val="left" w:pos="142"/>
        </w:tabs>
        <w:spacing w:line="240" w:lineRule="auto"/>
        <w:ind w:left="0" w:firstLine="0"/>
        <w:jc w:val="both"/>
        <w:rPr>
          <w:rFonts w:cs="Arial"/>
          <w:szCs w:val="20"/>
        </w:rPr>
      </w:pPr>
      <w:r w:rsidRPr="006431C4">
        <w:rPr>
          <w:rFonts w:cs="Arial"/>
          <w:szCs w:val="20"/>
        </w:rPr>
        <w:t>Zgodność profilu podłużnego górnej powierzchni ław z dokumentacją projektową.</w:t>
      </w:r>
    </w:p>
    <w:p w14:paraId="5719F0FC"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Profil podłużny górnej powierzchni ławy powinien być zgodny z projektowaną niweletą. Dopuszczalne odchylenia mogą wynosić </w:t>
      </w:r>
      <w:r w:rsidRPr="006431C4">
        <w:rPr>
          <w:rFonts w:cs="Arial"/>
          <w:szCs w:val="20"/>
        </w:rPr>
        <w:sym w:font="Symbol" w:char="F0B1"/>
      </w:r>
      <w:r w:rsidRPr="006431C4">
        <w:rPr>
          <w:rFonts w:cs="Arial"/>
          <w:szCs w:val="20"/>
        </w:rPr>
        <w:t xml:space="preserve"> 1 cm na każde 100 m ławy.</w:t>
      </w:r>
    </w:p>
    <w:p w14:paraId="193EC9F1" w14:textId="77777777" w:rsidR="006B6869" w:rsidRPr="006431C4" w:rsidRDefault="006B6869"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b)</w:t>
      </w:r>
      <w:r w:rsidRPr="006431C4">
        <w:rPr>
          <w:rFonts w:cs="Arial"/>
          <w:szCs w:val="20"/>
        </w:rPr>
        <w:tab/>
        <w:t>Wymiary ław.</w:t>
      </w:r>
    </w:p>
    <w:p w14:paraId="18D5E697"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Wymiary ław należy sprawdzić w dwóch dowolnie wybranych punktach na każde 100 m ławy. Tolerancje wymiarów wynoszą:</w:t>
      </w:r>
    </w:p>
    <w:p w14:paraId="60FBDFA2" w14:textId="77777777" w:rsidR="006B6869" w:rsidRPr="006431C4" w:rsidRDefault="006B6869"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 dla wysokości  </w:t>
      </w:r>
      <w:r w:rsidRPr="006431C4">
        <w:rPr>
          <w:rFonts w:cs="Arial"/>
          <w:szCs w:val="20"/>
        </w:rPr>
        <w:sym w:font="Symbol" w:char="F0B1"/>
      </w:r>
      <w:r w:rsidRPr="006431C4">
        <w:rPr>
          <w:rFonts w:cs="Arial"/>
          <w:szCs w:val="20"/>
        </w:rPr>
        <w:t xml:space="preserve"> 10% wysokości projektowanej,</w:t>
      </w:r>
    </w:p>
    <w:p w14:paraId="39BF2D35" w14:textId="77777777" w:rsidR="006B6869" w:rsidRPr="006431C4" w:rsidRDefault="006B6869"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 dla szerokości  </w:t>
      </w:r>
      <w:r w:rsidRPr="006431C4">
        <w:rPr>
          <w:rFonts w:cs="Arial"/>
          <w:szCs w:val="20"/>
        </w:rPr>
        <w:sym w:font="Symbol" w:char="F0B1"/>
      </w:r>
      <w:r w:rsidRPr="006431C4">
        <w:rPr>
          <w:rFonts w:cs="Arial"/>
          <w:szCs w:val="20"/>
        </w:rPr>
        <w:t xml:space="preserve"> 10% szerokości projektowanej.</w:t>
      </w:r>
    </w:p>
    <w:p w14:paraId="76361E8C" w14:textId="77777777" w:rsidR="006B6869" w:rsidRPr="006431C4" w:rsidRDefault="006B6869"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c)</w:t>
      </w:r>
      <w:r w:rsidRPr="006431C4">
        <w:rPr>
          <w:rFonts w:cs="Arial"/>
          <w:szCs w:val="20"/>
        </w:rPr>
        <w:tab/>
        <w:t>Równość górnej powierzchni ław.</w:t>
      </w:r>
    </w:p>
    <w:p w14:paraId="153EC7F7"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Równość górnej powierzchni ławy sprawdza się przez przyłożenie w dwóch punktach, na każde 100 m ławy, trzymetrowej łaty.</w:t>
      </w:r>
    </w:p>
    <w:p w14:paraId="2489FFCF"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Prześwit pomiędzy górną powierzchnią ławy i przyłożoną łatą nie może przekraczać 1 cm.</w:t>
      </w:r>
    </w:p>
    <w:p w14:paraId="5D278110" w14:textId="77777777" w:rsidR="006B6869" w:rsidRPr="006431C4" w:rsidRDefault="006B6869"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d)</w:t>
      </w:r>
      <w:r w:rsidRPr="006431C4">
        <w:rPr>
          <w:rFonts w:cs="Arial"/>
          <w:szCs w:val="20"/>
        </w:rPr>
        <w:tab/>
        <w:t>Zagęszczenie ław.</w:t>
      </w:r>
    </w:p>
    <w:p w14:paraId="4F8F2CFC"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Zagęszczenie ław bada się w dwóch przekrojach na każde 100 m. Ławy ze żwiru lub piasku nie mogą wykazywać śladu urządzenia zagęszczającego.</w:t>
      </w:r>
    </w:p>
    <w:p w14:paraId="42BDA826"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Ławy z tłucznia, badane próbą wyjęcia poszczególnych ziarn tłucznia, nie powinny pozwalać na wyjęcie ziarna z ławy.</w:t>
      </w:r>
    </w:p>
    <w:p w14:paraId="00E8832A" w14:textId="77777777" w:rsidR="006B6869" w:rsidRPr="006431C4" w:rsidRDefault="006B6869" w:rsidP="00270120">
      <w:pPr>
        <w:pStyle w:val="Lista5"/>
        <w:shd w:val="clear" w:color="auto" w:fill="FFFFFF" w:themeFill="background1"/>
        <w:tabs>
          <w:tab w:val="left" w:pos="142"/>
        </w:tabs>
        <w:spacing w:line="240" w:lineRule="auto"/>
        <w:ind w:left="0" w:firstLine="0"/>
        <w:jc w:val="both"/>
        <w:rPr>
          <w:rFonts w:cs="Arial"/>
          <w:szCs w:val="20"/>
        </w:rPr>
      </w:pPr>
      <w:r w:rsidRPr="006431C4">
        <w:rPr>
          <w:rFonts w:cs="Arial"/>
          <w:szCs w:val="20"/>
        </w:rPr>
        <w:t>e)</w:t>
      </w:r>
      <w:r w:rsidRPr="006431C4">
        <w:rPr>
          <w:rFonts w:cs="Arial"/>
          <w:szCs w:val="20"/>
        </w:rPr>
        <w:tab/>
        <w:t>Odchylenie linii ław od projektowanego kierunku.</w:t>
      </w:r>
    </w:p>
    <w:p w14:paraId="72FC8F10"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Dopuszczalne odchylenie linii ław od projektowanego kierunku nie może przekraczać </w:t>
      </w:r>
      <w:r w:rsidRPr="006431C4">
        <w:rPr>
          <w:rFonts w:cs="Arial"/>
          <w:szCs w:val="20"/>
        </w:rPr>
        <w:sym w:font="Symbol" w:char="F0B1"/>
      </w:r>
      <w:r w:rsidRPr="006431C4">
        <w:rPr>
          <w:rFonts w:cs="Arial"/>
          <w:szCs w:val="20"/>
        </w:rPr>
        <w:t xml:space="preserve"> 2 cm na każde 100 m wykonanej ławy.</w:t>
      </w:r>
    </w:p>
    <w:p w14:paraId="5E094A7A" w14:textId="77777777" w:rsidR="006B6869" w:rsidRPr="006431C4" w:rsidRDefault="006B6869" w:rsidP="00270120">
      <w:pPr>
        <w:pStyle w:val="Lista4"/>
        <w:shd w:val="clear" w:color="auto" w:fill="FFFFFF" w:themeFill="background1"/>
        <w:tabs>
          <w:tab w:val="left" w:pos="142"/>
        </w:tabs>
        <w:spacing w:line="240" w:lineRule="auto"/>
        <w:ind w:left="0" w:firstLine="0"/>
        <w:jc w:val="both"/>
        <w:rPr>
          <w:rFonts w:cs="Arial"/>
          <w:szCs w:val="20"/>
        </w:rPr>
      </w:pPr>
      <w:r w:rsidRPr="006431C4">
        <w:rPr>
          <w:rFonts w:cs="Arial"/>
          <w:b/>
          <w:szCs w:val="20"/>
        </w:rPr>
        <w:t>6.3.3.</w:t>
      </w:r>
      <w:r w:rsidR="003D79DE" w:rsidRPr="006431C4">
        <w:rPr>
          <w:rFonts w:cs="Arial"/>
          <w:b/>
          <w:szCs w:val="20"/>
        </w:rPr>
        <w:tab/>
      </w:r>
      <w:r w:rsidRPr="006431C4">
        <w:rPr>
          <w:rFonts w:cs="Arial"/>
          <w:szCs w:val="20"/>
        </w:rPr>
        <w:t>Sprawdzenie ustawienia krawężników</w:t>
      </w:r>
    </w:p>
    <w:p w14:paraId="257B24D4" w14:textId="77777777" w:rsidR="006B6869" w:rsidRPr="006431C4" w:rsidRDefault="006B6869" w:rsidP="00270120">
      <w:pPr>
        <w:pStyle w:val="Lista-kontynuacja4"/>
        <w:shd w:val="clear" w:color="auto" w:fill="FFFFFF" w:themeFill="background1"/>
        <w:tabs>
          <w:tab w:val="left" w:pos="142"/>
        </w:tabs>
        <w:spacing w:after="0" w:line="240" w:lineRule="auto"/>
        <w:ind w:left="0"/>
        <w:jc w:val="both"/>
        <w:rPr>
          <w:rFonts w:cs="Arial"/>
          <w:szCs w:val="20"/>
        </w:rPr>
      </w:pPr>
      <w:r w:rsidRPr="006431C4">
        <w:rPr>
          <w:rFonts w:cs="Arial"/>
          <w:szCs w:val="20"/>
        </w:rPr>
        <w:t>Przy ustawianiu krawężników należy sprawdzać:</w:t>
      </w:r>
    </w:p>
    <w:p w14:paraId="0040B22F" w14:textId="77777777" w:rsidR="006B6869" w:rsidRPr="006431C4" w:rsidRDefault="006B6869" w:rsidP="00270120">
      <w:pPr>
        <w:pStyle w:val="Lista5"/>
        <w:numPr>
          <w:ilvl w:val="0"/>
          <w:numId w:val="32"/>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dopuszczalne odchylenia linii krawężników w poziomie od linii projektowanej, które wynosi </w:t>
      </w:r>
      <w:r w:rsidRPr="006431C4">
        <w:rPr>
          <w:rFonts w:cs="Arial"/>
          <w:szCs w:val="20"/>
        </w:rPr>
        <w:sym w:font="Symbol" w:char="F0B1"/>
      </w:r>
      <w:r w:rsidRPr="006431C4">
        <w:rPr>
          <w:rFonts w:cs="Arial"/>
          <w:szCs w:val="20"/>
        </w:rPr>
        <w:t xml:space="preserve"> 1 cm na każde 100 m ustawionego krawężnika,</w:t>
      </w:r>
    </w:p>
    <w:p w14:paraId="4D006E65" w14:textId="77777777" w:rsidR="006B6869" w:rsidRPr="006431C4" w:rsidRDefault="006B6869" w:rsidP="00270120">
      <w:pPr>
        <w:pStyle w:val="Lista5"/>
        <w:numPr>
          <w:ilvl w:val="0"/>
          <w:numId w:val="32"/>
        </w:numPr>
        <w:shd w:val="clear" w:color="auto" w:fill="FFFFFF" w:themeFill="background1"/>
        <w:tabs>
          <w:tab w:val="left" w:pos="142"/>
        </w:tabs>
        <w:spacing w:line="240" w:lineRule="auto"/>
        <w:ind w:left="0" w:firstLine="0"/>
        <w:jc w:val="both"/>
        <w:rPr>
          <w:rFonts w:cs="Arial"/>
          <w:szCs w:val="20"/>
        </w:rPr>
      </w:pPr>
      <w:r w:rsidRPr="006431C4">
        <w:rPr>
          <w:rFonts w:cs="Arial"/>
          <w:szCs w:val="20"/>
        </w:rPr>
        <w:t xml:space="preserve">dopuszczalne odchylenie niwelety górnej płaszczyzny krawężnika od niwelety projektowanej, które wynosi </w:t>
      </w:r>
      <w:r w:rsidRPr="006431C4">
        <w:rPr>
          <w:rFonts w:cs="Arial"/>
          <w:szCs w:val="20"/>
        </w:rPr>
        <w:sym w:font="Symbol" w:char="F0B1"/>
      </w:r>
      <w:r w:rsidRPr="006431C4">
        <w:rPr>
          <w:rFonts w:cs="Arial"/>
          <w:szCs w:val="20"/>
        </w:rPr>
        <w:t xml:space="preserve"> 1 cm na każde 100 m ustawionego krawężnika,</w:t>
      </w:r>
    </w:p>
    <w:p w14:paraId="2497F0CF" w14:textId="77777777" w:rsidR="006B6869" w:rsidRPr="006431C4" w:rsidRDefault="006B6869" w:rsidP="00270120">
      <w:pPr>
        <w:pStyle w:val="Lista5"/>
        <w:numPr>
          <w:ilvl w:val="0"/>
          <w:numId w:val="32"/>
        </w:numPr>
        <w:shd w:val="clear" w:color="auto" w:fill="FFFFFF" w:themeFill="background1"/>
        <w:tabs>
          <w:tab w:val="left" w:pos="142"/>
        </w:tabs>
        <w:spacing w:line="240" w:lineRule="auto"/>
        <w:ind w:left="0" w:firstLine="0"/>
        <w:jc w:val="both"/>
        <w:rPr>
          <w:rFonts w:cs="Arial"/>
          <w:szCs w:val="20"/>
        </w:rPr>
      </w:pPr>
      <w:r w:rsidRPr="006431C4">
        <w:rPr>
          <w:rFonts w:cs="Arial"/>
          <w:szCs w:val="20"/>
        </w:rPr>
        <w:t>równość górnej powierzchni krawężników, sprawdzane przez przyłożenie w dwóch punktach na każde 100 m krawężnika, trzymetrowej łaty, przy czym prześwit pomiędzy górną powierzchnią krawężnika i przyłożoną łatą nie może przekraczać 1 cm,</w:t>
      </w:r>
    </w:p>
    <w:p w14:paraId="73FE0E70" w14:textId="77777777" w:rsidR="006B6869" w:rsidRPr="006431C4" w:rsidRDefault="006B6869" w:rsidP="00270120">
      <w:pPr>
        <w:pStyle w:val="Lista5"/>
        <w:numPr>
          <w:ilvl w:val="0"/>
          <w:numId w:val="32"/>
        </w:numPr>
        <w:shd w:val="clear" w:color="auto" w:fill="FFFFFF" w:themeFill="background1"/>
        <w:tabs>
          <w:tab w:val="left" w:pos="142"/>
        </w:tabs>
        <w:spacing w:line="240" w:lineRule="auto"/>
        <w:ind w:left="0" w:firstLine="0"/>
        <w:jc w:val="both"/>
        <w:rPr>
          <w:rFonts w:cs="Arial"/>
          <w:szCs w:val="20"/>
        </w:rPr>
      </w:pPr>
      <w:r w:rsidRPr="006431C4">
        <w:rPr>
          <w:rFonts w:cs="Arial"/>
          <w:szCs w:val="20"/>
        </w:rPr>
        <w:t>dokładność wypełnienia spoin bada się co 10 metrów. Spoiny muszą być wypełnione całkowicie na pełną głębokość.</w:t>
      </w:r>
    </w:p>
    <w:p w14:paraId="747CC556" w14:textId="77777777" w:rsidR="006B6869" w:rsidRPr="006431C4" w:rsidRDefault="006B6869" w:rsidP="00270120">
      <w:pPr>
        <w:pStyle w:val="Nagwek1"/>
        <w:shd w:val="clear" w:color="auto" w:fill="FFFFFF" w:themeFill="background1"/>
        <w:tabs>
          <w:tab w:val="left" w:pos="142"/>
        </w:tabs>
        <w:spacing w:line="240" w:lineRule="auto"/>
        <w:jc w:val="both"/>
        <w:rPr>
          <w:rFonts w:cs="Arial"/>
          <w:szCs w:val="20"/>
        </w:rPr>
      </w:pPr>
      <w:bookmarkStart w:id="1053" w:name="_Toc428169263"/>
      <w:bookmarkStart w:id="1054" w:name="_Toc428323653"/>
      <w:bookmarkStart w:id="1055" w:name="_Toc428759427"/>
      <w:r w:rsidRPr="006431C4">
        <w:rPr>
          <w:rFonts w:cs="Arial"/>
          <w:szCs w:val="20"/>
        </w:rPr>
        <w:t>7. OBMIAR ROBÓT</w:t>
      </w:r>
      <w:bookmarkEnd w:id="1053"/>
      <w:bookmarkEnd w:id="1054"/>
      <w:bookmarkEnd w:id="1055"/>
    </w:p>
    <w:p w14:paraId="71AB6EBF"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7.1. Ogólne zasady obmiaru robót</w:t>
      </w:r>
    </w:p>
    <w:p w14:paraId="58C494FD"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zasady obmiaru robót podano w</w:t>
      </w:r>
      <w:r w:rsidR="00180A26" w:rsidRPr="006431C4">
        <w:rPr>
          <w:rFonts w:cs="Arial"/>
          <w:szCs w:val="20"/>
        </w:rPr>
        <w:t xml:space="preserve"> SST </w:t>
      </w:r>
      <w:r w:rsidRPr="006431C4">
        <w:rPr>
          <w:rFonts w:cs="Arial"/>
          <w:szCs w:val="20"/>
        </w:rPr>
        <w:t>D-M-00.00.00 „Wymagania ogólne” pkt 7.</w:t>
      </w:r>
    </w:p>
    <w:p w14:paraId="089494A4"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7.2. Jednostka obmiarowa</w:t>
      </w:r>
    </w:p>
    <w:p w14:paraId="47170C2D"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Jednostką obmiarową jest m (metr) ustawionego krawężnika betonowego.</w:t>
      </w:r>
    </w:p>
    <w:p w14:paraId="5A3B07D1" w14:textId="77777777" w:rsidR="006B6869" w:rsidRPr="006431C4" w:rsidRDefault="006B6869" w:rsidP="00270120">
      <w:pPr>
        <w:pStyle w:val="Nagwek1"/>
        <w:shd w:val="clear" w:color="auto" w:fill="FFFFFF" w:themeFill="background1"/>
        <w:tabs>
          <w:tab w:val="left" w:pos="142"/>
        </w:tabs>
        <w:spacing w:line="240" w:lineRule="auto"/>
        <w:jc w:val="both"/>
        <w:rPr>
          <w:rFonts w:cs="Arial"/>
          <w:szCs w:val="20"/>
        </w:rPr>
      </w:pPr>
      <w:bookmarkStart w:id="1056" w:name="_Toc428169264"/>
      <w:bookmarkStart w:id="1057" w:name="_Toc428323654"/>
      <w:bookmarkStart w:id="1058" w:name="_Toc428759428"/>
      <w:r w:rsidRPr="006431C4">
        <w:rPr>
          <w:rFonts w:cs="Arial"/>
          <w:szCs w:val="20"/>
        </w:rPr>
        <w:t>8. ODBIÓR ROBÓT</w:t>
      </w:r>
      <w:bookmarkEnd w:id="1056"/>
      <w:bookmarkEnd w:id="1057"/>
      <w:bookmarkEnd w:id="1058"/>
    </w:p>
    <w:p w14:paraId="25A7C53A"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8.1. Ogólne zasady odbioru robót</w:t>
      </w:r>
    </w:p>
    <w:p w14:paraId="304615EB"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zasady odbioru robót podano w</w:t>
      </w:r>
      <w:r w:rsidR="00180A26" w:rsidRPr="006431C4">
        <w:rPr>
          <w:rFonts w:cs="Arial"/>
          <w:szCs w:val="20"/>
        </w:rPr>
        <w:t xml:space="preserve"> SST </w:t>
      </w:r>
      <w:r w:rsidRPr="006431C4">
        <w:rPr>
          <w:rFonts w:cs="Arial"/>
          <w:szCs w:val="20"/>
        </w:rPr>
        <w:t>D-M-00.00.00 „Wymagania ogólne” pkt 8.</w:t>
      </w:r>
    </w:p>
    <w:p w14:paraId="0BC395AA"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Roboty uznaje się za wykonane zgodnie z dokumentacją projekt</w:t>
      </w:r>
      <w:r w:rsidR="009B30C6" w:rsidRPr="006431C4">
        <w:rPr>
          <w:rFonts w:cs="Arial"/>
          <w:szCs w:val="20"/>
        </w:rPr>
        <w:t xml:space="preserve">ową </w:t>
      </w:r>
      <w:r w:rsidRPr="006431C4">
        <w:rPr>
          <w:rFonts w:cs="Arial"/>
          <w:szCs w:val="20"/>
        </w:rPr>
        <w:t>i wymaganiami Inżyniera, jeżeli wszystkie pomiary i badania z zachowaniem tolerancji wg pkt 6 dały wyniki pozytywne.</w:t>
      </w:r>
    </w:p>
    <w:p w14:paraId="6951648F"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8.2. Odbiór robót zanikających i ulegających zakryciu</w:t>
      </w:r>
    </w:p>
    <w:p w14:paraId="728BBEED" w14:textId="77777777" w:rsidR="006B6869" w:rsidRPr="006431C4" w:rsidRDefault="006B6869" w:rsidP="00270120">
      <w:pPr>
        <w:pStyle w:val="Lista-kontynuacja3"/>
        <w:shd w:val="clear" w:color="auto" w:fill="FFFFFF" w:themeFill="background1"/>
        <w:tabs>
          <w:tab w:val="left" w:pos="142"/>
        </w:tabs>
        <w:spacing w:after="0" w:line="240" w:lineRule="auto"/>
        <w:ind w:left="0"/>
        <w:jc w:val="both"/>
        <w:rPr>
          <w:rFonts w:cs="Arial"/>
          <w:szCs w:val="20"/>
        </w:rPr>
      </w:pPr>
      <w:r w:rsidRPr="006431C4">
        <w:rPr>
          <w:rFonts w:cs="Arial"/>
          <w:szCs w:val="20"/>
        </w:rPr>
        <w:t>Odbiorowi robót zanikających i ulegających zakryciu podlegają:</w:t>
      </w:r>
    </w:p>
    <w:p w14:paraId="76288966"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wykonanie koryta pod ławę,</w:t>
      </w:r>
    </w:p>
    <w:p w14:paraId="0C2BFF46"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wykonanie ławy,</w:t>
      </w:r>
    </w:p>
    <w:p w14:paraId="0EECE598"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wykonanie podsypki.</w:t>
      </w:r>
    </w:p>
    <w:p w14:paraId="31309E6F" w14:textId="77777777" w:rsidR="006B6869" w:rsidRPr="006431C4" w:rsidRDefault="006B6869" w:rsidP="00270120">
      <w:pPr>
        <w:pStyle w:val="Nagwek1"/>
        <w:numPr>
          <w:ilvl w:val="12"/>
          <w:numId w:val="0"/>
        </w:numPr>
        <w:shd w:val="clear" w:color="auto" w:fill="FFFFFF" w:themeFill="background1"/>
        <w:tabs>
          <w:tab w:val="left" w:pos="142"/>
        </w:tabs>
        <w:spacing w:line="240" w:lineRule="auto"/>
        <w:jc w:val="both"/>
        <w:rPr>
          <w:rFonts w:cs="Arial"/>
          <w:szCs w:val="20"/>
        </w:rPr>
      </w:pPr>
      <w:bookmarkStart w:id="1059" w:name="_Toc428169265"/>
      <w:bookmarkStart w:id="1060" w:name="_Toc428323655"/>
      <w:bookmarkStart w:id="1061" w:name="_Toc428759429"/>
      <w:r w:rsidRPr="006431C4">
        <w:rPr>
          <w:rFonts w:cs="Arial"/>
          <w:szCs w:val="20"/>
        </w:rPr>
        <w:lastRenderedPageBreak/>
        <w:t>9. PODSTAWA PŁATNOŚCI</w:t>
      </w:r>
      <w:bookmarkEnd w:id="1059"/>
      <w:bookmarkEnd w:id="1060"/>
      <w:bookmarkEnd w:id="1061"/>
    </w:p>
    <w:p w14:paraId="313AD43A" w14:textId="77777777" w:rsidR="006B6869" w:rsidRPr="006431C4" w:rsidRDefault="006B686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9.1. Ogólne ustalenia dotyczące podstawy płatności</w:t>
      </w:r>
    </w:p>
    <w:p w14:paraId="38EC8EFC" w14:textId="77777777" w:rsidR="006B6869" w:rsidRPr="006431C4" w:rsidRDefault="006B686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Ogólne ustalenia dotyczące podstawy płatności podano w</w:t>
      </w:r>
      <w:r w:rsidR="00180A26" w:rsidRPr="006431C4">
        <w:rPr>
          <w:rFonts w:cs="Arial"/>
          <w:szCs w:val="20"/>
        </w:rPr>
        <w:t xml:space="preserve"> SST </w:t>
      </w:r>
      <w:r w:rsidRPr="006431C4">
        <w:rPr>
          <w:rFonts w:cs="Arial"/>
          <w:szCs w:val="20"/>
        </w:rPr>
        <w:t>D-M-00.00.00 „Wymagania ogólne” pkt 9.</w:t>
      </w:r>
    </w:p>
    <w:p w14:paraId="6636322F" w14:textId="77777777" w:rsidR="006B6869" w:rsidRPr="006431C4" w:rsidRDefault="006B686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9.2. Cena jednostki obmiarowej</w:t>
      </w:r>
    </w:p>
    <w:p w14:paraId="483030B5" w14:textId="77777777" w:rsidR="006B6869" w:rsidRPr="006431C4" w:rsidRDefault="006B6869" w:rsidP="00270120">
      <w:pPr>
        <w:pStyle w:val="Lista-kontynuacja3"/>
        <w:shd w:val="clear" w:color="auto" w:fill="FFFFFF" w:themeFill="background1"/>
        <w:tabs>
          <w:tab w:val="left" w:pos="142"/>
        </w:tabs>
        <w:spacing w:after="0" w:line="240" w:lineRule="auto"/>
        <w:ind w:left="0"/>
        <w:jc w:val="both"/>
        <w:rPr>
          <w:rFonts w:cs="Arial"/>
          <w:szCs w:val="20"/>
        </w:rPr>
      </w:pPr>
      <w:r w:rsidRPr="006431C4">
        <w:rPr>
          <w:rFonts w:cs="Arial"/>
          <w:szCs w:val="20"/>
        </w:rPr>
        <w:t>Cena wykonania 1 m krawężnika betonowego obejmuje:</w:t>
      </w:r>
    </w:p>
    <w:p w14:paraId="7BC95E5A"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prace pomiarowe i roboty przygotowawcze,</w:t>
      </w:r>
    </w:p>
    <w:p w14:paraId="77359149"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dostarczenie materiałów na miejsce wbudowania,</w:t>
      </w:r>
    </w:p>
    <w:p w14:paraId="5D13A19E"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wykonanie koryta pod ławę,</w:t>
      </w:r>
    </w:p>
    <w:p w14:paraId="552C0D3A"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ew. wykonanie szalunku,</w:t>
      </w:r>
    </w:p>
    <w:p w14:paraId="16045A51"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wykonanie ławy,</w:t>
      </w:r>
    </w:p>
    <w:p w14:paraId="40098CA6"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wykonanie podsypki,</w:t>
      </w:r>
    </w:p>
    <w:p w14:paraId="49659120"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ustawienie krawężników na podsypce (piaskowej lub cementowo-piaskowej),</w:t>
      </w:r>
    </w:p>
    <w:p w14:paraId="587D43C7"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wypełnienie spoin krawężników zaprawą,</w:t>
      </w:r>
    </w:p>
    <w:p w14:paraId="589E0A40"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ew. zalanie spoin masą zalewową,</w:t>
      </w:r>
    </w:p>
    <w:p w14:paraId="41FC14BD"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zasypanie zewnętrznej ściany krawężnika gruntem i ubicie,</w:t>
      </w:r>
    </w:p>
    <w:p w14:paraId="7EB4682E" w14:textId="77777777" w:rsidR="006B6869" w:rsidRPr="006431C4" w:rsidRDefault="006B6869" w:rsidP="00270120">
      <w:pPr>
        <w:pStyle w:val="Listapunktowana4"/>
        <w:numPr>
          <w:ilvl w:val="0"/>
          <w:numId w:val="4"/>
        </w:numPr>
        <w:shd w:val="clear" w:color="auto" w:fill="FFFFFF" w:themeFill="background1"/>
        <w:tabs>
          <w:tab w:val="left" w:pos="142"/>
        </w:tabs>
        <w:spacing w:line="240" w:lineRule="auto"/>
        <w:ind w:left="0" w:firstLine="0"/>
        <w:jc w:val="both"/>
        <w:rPr>
          <w:rFonts w:cs="Arial"/>
          <w:szCs w:val="20"/>
        </w:rPr>
      </w:pPr>
      <w:r w:rsidRPr="006431C4">
        <w:rPr>
          <w:rFonts w:cs="Arial"/>
          <w:szCs w:val="20"/>
        </w:rPr>
        <w:t>przeprowadzenie badań i pomiarów wymaganych w specyfikacji technicznej.</w:t>
      </w:r>
    </w:p>
    <w:p w14:paraId="6A0D9E86" w14:textId="77777777" w:rsidR="006B6869" w:rsidRPr="006431C4" w:rsidRDefault="006B6869" w:rsidP="00270120">
      <w:pPr>
        <w:pStyle w:val="Nagwek1"/>
        <w:shd w:val="clear" w:color="auto" w:fill="FFFFFF" w:themeFill="background1"/>
        <w:tabs>
          <w:tab w:val="left" w:pos="142"/>
        </w:tabs>
        <w:spacing w:line="240" w:lineRule="auto"/>
        <w:jc w:val="both"/>
        <w:rPr>
          <w:rFonts w:cs="Arial"/>
          <w:szCs w:val="20"/>
        </w:rPr>
      </w:pPr>
      <w:bookmarkStart w:id="1062" w:name="_Toc428759430"/>
      <w:r w:rsidRPr="006431C4">
        <w:rPr>
          <w:rFonts w:cs="Arial"/>
          <w:szCs w:val="20"/>
        </w:rPr>
        <w:t>10. przepisy związane</w:t>
      </w:r>
      <w:bookmarkEnd w:id="1062"/>
    </w:p>
    <w:p w14:paraId="27877796"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10.1. Normy</w:t>
      </w:r>
    </w:p>
    <w:tbl>
      <w:tblPr>
        <w:tblW w:w="0" w:type="auto"/>
        <w:tblLayout w:type="fixed"/>
        <w:tblCellMar>
          <w:left w:w="70" w:type="dxa"/>
          <w:right w:w="70" w:type="dxa"/>
        </w:tblCellMar>
        <w:tblLook w:val="0000" w:firstRow="0" w:lastRow="0" w:firstColumn="0" w:lastColumn="0" w:noHBand="0" w:noVBand="0"/>
      </w:tblPr>
      <w:tblGrid>
        <w:gridCol w:w="637"/>
        <w:gridCol w:w="1701"/>
        <w:gridCol w:w="8152"/>
      </w:tblGrid>
      <w:tr w:rsidR="006B6869" w:rsidRPr="006431C4" w14:paraId="41FB8AF8" w14:textId="77777777" w:rsidTr="00D032BE">
        <w:tc>
          <w:tcPr>
            <w:tcW w:w="637" w:type="dxa"/>
          </w:tcPr>
          <w:p w14:paraId="13038778"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  1.</w:t>
            </w:r>
          </w:p>
        </w:tc>
        <w:tc>
          <w:tcPr>
            <w:tcW w:w="1701" w:type="dxa"/>
          </w:tcPr>
          <w:p w14:paraId="0970AF22"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PN-B-06050</w:t>
            </w:r>
          </w:p>
        </w:tc>
        <w:tc>
          <w:tcPr>
            <w:tcW w:w="8152" w:type="dxa"/>
          </w:tcPr>
          <w:p w14:paraId="42FB6918"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Roboty ziemne budowlane</w:t>
            </w:r>
          </w:p>
        </w:tc>
      </w:tr>
      <w:tr w:rsidR="006B6869" w:rsidRPr="006431C4" w14:paraId="00883D75" w14:textId="77777777" w:rsidTr="00D032BE">
        <w:tc>
          <w:tcPr>
            <w:tcW w:w="637" w:type="dxa"/>
          </w:tcPr>
          <w:p w14:paraId="6A0F3058"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  2.</w:t>
            </w:r>
          </w:p>
        </w:tc>
        <w:tc>
          <w:tcPr>
            <w:tcW w:w="1701" w:type="dxa"/>
          </w:tcPr>
          <w:p w14:paraId="63BEA185"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PN-B-06250</w:t>
            </w:r>
          </w:p>
        </w:tc>
        <w:tc>
          <w:tcPr>
            <w:tcW w:w="8152" w:type="dxa"/>
          </w:tcPr>
          <w:p w14:paraId="23474755"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Beton zwykły</w:t>
            </w:r>
          </w:p>
        </w:tc>
      </w:tr>
      <w:tr w:rsidR="006B6869" w:rsidRPr="006431C4" w14:paraId="3B9EFD81" w14:textId="77777777" w:rsidTr="00D032BE">
        <w:tc>
          <w:tcPr>
            <w:tcW w:w="637" w:type="dxa"/>
          </w:tcPr>
          <w:p w14:paraId="05AA601D"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  3.</w:t>
            </w:r>
          </w:p>
        </w:tc>
        <w:tc>
          <w:tcPr>
            <w:tcW w:w="1701" w:type="dxa"/>
          </w:tcPr>
          <w:p w14:paraId="7435EB43"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PN-B-06251</w:t>
            </w:r>
          </w:p>
        </w:tc>
        <w:tc>
          <w:tcPr>
            <w:tcW w:w="8152" w:type="dxa"/>
          </w:tcPr>
          <w:p w14:paraId="538F4D8D"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Roboty betonowe i żelbetowe</w:t>
            </w:r>
          </w:p>
        </w:tc>
      </w:tr>
      <w:tr w:rsidR="006B6869" w:rsidRPr="006431C4" w14:paraId="0E760042" w14:textId="77777777" w:rsidTr="00D032BE">
        <w:tc>
          <w:tcPr>
            <w:tcW w:w="637" w:type="dxa"/>
          </w:tcPr>
          <w:p w14:paraId="5D700B30"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  4.</w:t>
            </w:r>
          </w:p>
        </w:tc>
        <w:tc>
          <w:tcPr>
            <w:tcW w:w="1701" w:type="dxa"/>
          </w:tcPr>
          <w:p w14:paraId="2E6A1BA9"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PN-B-06711</w:t>
            </w:r>
          </w:p>
        </w:tc>
        <w:tc>
          <w:tcPr>
            <w:tcW w:w="8152" w:type="dxa"/>
          </w:tcPr>
          <w:p w14:paraId="37B3F976"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Kruszywo mineralne. Piasek do betonów i zapraw</w:t>
            </w:r>
          </w:p>
        </w:tc>
      </w:tr>
      <w:tr w:rsidR="006B6869" w:rsidRPr="006431C4" w14:paraId="5238DD03" w14:textId="77777777" w:rsidTr="00D032BE">
        <w:tc>
          <w:tcPr>
            <w:tcW w:w="637" w:type="dxa"/>
          </w:tcPr>
          <w:p w14:paraId="5FF49607"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  5.</w:t>
            </w:r>
          </w:p>
        </w:tc>
        <w:tc>
          <w:tcPr>
            <w:tcW w:w="1701" w:type="dxa"/>
          </w:tcPr>
          <w:p w14:paraId="452C7145"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PN-B-06712</w:t>
            </w:r>
          </w:p>
        </w:tc>
        <w:tc>
          <w:tcPr>
            <w:tcW w:w="8152" w:type="dxa"/>
          </w:tcPr>
          <w:p w14:paraId="55023F07"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Kruszywa mineralne do betonu zwykłego</w:t>
            </w:r>
          </w:p>
        </w:tc>
      </w:tr>
      <w:tr w:rsidR="006B6869" w:rsidRPr="006431C4" w14:paraId="6F939061" w14:textId="77777777" w:rsidTr="00D032BE">
        <w:tc>
          <w:tcPr>
            <w:tcW w:w="637" w:type="dxa"/>
          </w:tcPr>
          <w:p w14:paraId="6A83A463"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  6.</w:t>
            </w:r>
          </w:p>
        </w:tc>
        <w:tc>
          <w:tcPr>
            <w:tcW w:w="1701" w:type="dxa"/>
          </w:tcPr>
          <w:p w14:paraId="5746642C"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PN-B-10021</w:t>
            </w:r>
          </w:p>
        </w:tc>
        <w:tc>
          <w:tcPr>
            <w:tcW w:w="8152" w:type="dxa"/>
          </w:tcPr>
          <w:p w14:paraId="427DCFA4"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Prefabrykaty budowlane z betonu. Metody pomiaru cech geometrycznych</w:t>
            </w:r>
          </w:p>
        </w:tc>
      </w:tr>
      <w:tr w:rsidR="006B6869" w:rsidRPr="006431C4" w14:paraId="5DD14A16" w14:textId="77777777" w:rsidTr="00D032BE">
        <w:tc>
          <w:tcPr>
            <w:tcW w:w="637" w:type="dxa"/>
          </w:tcPr>
          <w:p w14:paraId="0B16D639"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  7.</w:t>
            </w:r>
          </w:p>
        </w:tc>
        <w:tc>
          <w:tcPr>
            <w:tcW w:w="1701" w:type="dxa"/>
          </w:tcPr>
          <w:p w14:paraId="0624FB4A"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PN-B-11111</w:t>
            </w:r>
          </w:p>
        </w:tc>
        <w:tc>
          <w:tcPr>
            <w:tcW w:w="8152" w:type="dxa"/>
          </w:tcPr>
          <w:p w14:paraId="53C8EA4C"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Kruszywa mineralne. Kruszywa naturalne do nawierzchni drogowych. Żwir i mieszanka</w:t>
            </w:r>
          </w:p>
        </w:tc>
      </w:tr>
      <w:tr w:rsidR="006B6869" w:rsidRPr="006431C4" w14:paraId="05C7D6FC" w14:textId="77777777" w:rsidTr="00D032BE">
        <w:tc>
          <w:tcPr>
            <w:tcW w:w="637" w:type="dxa"/>
          </w:tcPr>
          <w:p w14:paraId="41141E16"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  8.</w:t>
            </w:r>
          </w:p>
        </w:tc>
        <w:tc>
          <w:tcPr>
            <w:tcW w:w="1701" w:type="dxa"/>
          </w:tcPr>
          <w:p w14:paraId="3BD301A4"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PN-B-11112</w:t>
            </w:r>
          </w:p>
        </w:tc>
        <w:tc>
          <w:tcPr>
            <w:tcW w:w="8152" w:type="dxa"/>
          </w:tcPr>
          <w:p w14:paraId="28F2CDA4"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Kruszywa mineralne. Kruszywo łamane do nawierzchni drogowych</w:t>
            </w:r>
          </w:p>
        </w:tc>
      </w:tr>
      <w:tr w:rsidR="006B6869" w:rsidRPr="006431C4" w14:paraId="7BAF2B09" w14:textId="77777777" w:rsidTr="00D032BE">
        <w:tc>
          <w:tcPr>
            <w:tcW w:w="637" w:type="dxa"/>
          </w:tcPr>
          <w:p w14:paraId="5E8F432F"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  9.</w:t>
            </w:r>
          </w:p>
        </w:tc>
        <w:tc>
          <w:tcPr>
            <w:tcW w:w="1701" w:type="dxa"/>
          </w:tcPr>
          <w:p w14:paraId="39114069"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PN-B-11113</w:t>
            </w:r>
          </w:p>
        </w:tc>
        <w:tc>
          <w:tcPr>
            <w:tcW w:w="8152" w:type="dxa"/>
          </w:tcPr>
          <w:p w14:paraId="65E0C9EB"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Kruszywa mineralne. Kruszywa naturalne do nawierzchni drogowych. Piasek</w:t>
            </w:r>
          </w:p>
        </w:tc>
      </w:tr>
      <w:tr w:rsidR="006B6869" w:rsidRPr="006431C4" w14:paraId="309F0B5E" w14:textId="77777777" w:rsidTr="00D032BE">
        <w:tc>
          <w:tcPr>
            <w:tcW w:w="637" w:type="dxa"/>
          </w:tcPr>
          <w:p w14:paraId="0A130357"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10.</w:t>
            </w:r>
          </w:p>
        </w:tc>
        <w:tc>
          <w:tcPr>
            <w:tcW w:w="1701" w:type="dxa"/>
          </w:tcPr>
          <w:p w14:paraId="1673D8E1"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PN-B-19701</w:t>
            </w:r>
          </w:p>
        </w:tc>
        <w:tc>
          <w:tcPr>
            <w:tcW w:w="8152" w:type="dxa"/>
          </w:tcPr>
          <w:p w14:paraId="7553F305"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Cement. Cement powszechnego użytku. Skład, wymagania i ocena zgodności</w:t>
            </w:r>
          </w:p>
        </w:tc>
      </w:tr>
      <w:tr w:rsidR="006B6869" w:rsidRPr="006431C4" w14:paraId="2CD92863" w14:textId="77777777" w:rsidTr="00D032BE">
        <w:tc>
          <w:tcPr>
            <w:tcW w:w="637" w:type="dxa"/>
          </w:tcPr>
          <w:p w14:paraId="6083D510"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11.</w:t>
            </w:r>
          </w:p>
        </w:tc>
        <w:tc>
          <w:tcPr>
            <w:tcW w:w="1701" w:type="dxa"/>
          </w:tcPr>
          <w:p w14:paraId="3C919E54"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PN-B32250</w:t>
            </w:r>
          </w:p>
        </w:tc>
        <w:tc>
          <w:tcPr>
            <w:tcW w:w="8152" w:type="dxa"/>
          </w:tcPr>
          <w:p w14:paraId="3973DC5A"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Materiały budowlane. Woda do betonów i zapraw</w:t>
            </w:r>
          </w:p>
        </w:tc>
      </w:tr>
      <w:tr w:rsidR="006B6869" w:rsidRPr="006431C4" w14:paraId="0BD323D8" w14:textId="77777777" w:rsidTr="00D032BE">
        <w:tc>
          <w:tcPr>
            <w:tcW w:w="637" w:type="dxa"/>
          </w:tcPr>
          <w:p w14:paraId="21EF2094"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12.</w:t>
            </w:r>
          </w:p>
        </w:tc>
        <w:tc>
          <w:tcPr>
            <w:tcW w:w="1701" w:type="dxa"/>
          </w:tcPr>
          <w:p w14:paraId="6DC19399"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BN-88/6731-08</w:t>
            </w:r>
          </w:p>
        </w:tc>
        <w:tc>
          <w:tcPr>
            <w:tcW w:w="8152" w:type="dxa"/>
          </w:tcPr>
          <w:p w14:paraId="36483983"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Cement. Transport i przechowywanie</w:t>
            </w:r>
          </w:p>
        </w:tc>
      </w:tr>
      <w:tr w:rsidR="006B6869" w:rsidRPr="006431C4" w14:paraId="7B6DC482" w14:textId="77777777" w:rsidTr="00D032BE">
        <w:tc>
          <w:tcPr>
            <w:tcW w:w="637" w:type="dxa"/>
          </w:tcPr>
          <w:p w14:paraId="3E12D35C"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13.</w:t>
            </w:r>
          </w:p>
        </w:tc>
        <w:tc>
          <w:tcPr>
            <w:tcW w:w="1701" w:type="dxa"/>
          </w:tcPr>
          <w:p w14:paraId="73434B9B"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BN-74/6771-04</w:t>
            </w:r>
          </w:p>
        </w:tc>
        <w:tc>
          <w:tcPr>
            <w:tcW w:w="8152" w:type="dxa"/>
          </w:tcPr>
          <w:p w14:paraId="77B87BAE"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Drogi samochodowe. Masa zalewowa</w:t>
            </w:r>
          </w:p>
        </w:tc>
      </w:tr>
      <w:tr w:rsidR="006B6869" w:rsidRPr="006431C4" w14:paraId="2B92F5D0" w14:textId="77777777" w:rsidTr="00D032BE">
        <w:tc>
          <w:tcPr>
            <w:tcW w:w="637" w:type="dxa"/>
          </w:tcPr>
          <w:p w14:paraId="3D18AAA2"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14.</w:t>
            </w:r>
          </w:p>
        </w:tc>
        <w:tc>
          <w:tcPr>
            <w:tcW w:w="1701" w:type="dxa"/>
          </w:tcPr>
          <w:p w14:paraId="7656E8FB"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BN-80/6775-03/01</w:t>
            </w:r>
          </w:p>
        </w:tc>
        <w:tc>
          <w:tcPr>
            <w:tcW w:w="8152" w:type="dxa"/>
          </w:tcPr>
          <w:p w14:paraId="7F34E71B"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Prefabrykaty budowlane z betonu. Elementy nawierzchni dróg, ulic, parkingów i torowisk tramwajowych. Wspólne wymagania i badania</w:t>
            </w:r>
          </w:p>
        </w:tc>
      </w:tr>
      <w:tr w:rsidR="006B6869" w:rsidRPr="006431C4" w14:paraId="17D10773" w14:textId="77777777" w:rsidTr="00D032BE">
        <w:tc>
          <w:tcPr>
            <w:tcW w:w="637" w:type="dxa"/>
          </w:tcPr>
          <w:p w14:paraId="3FED01E8"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15.</w:t>
            </w:r>
          </w:p>
        </w:tc>
        <w:tc>
          <w:tcPr>
            <w:tcW w:w="1701" w:type="dxa"/>
          </w:tcPr>
          <w:p w14:paraId="026EF6DA"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BN-80/6775-03/04</w:t>
            </w:r>
          </w:p>
        </w:tc>
        <w:tc>
          <w:tcPr>
            <w:tcW w:w="8152" w:type="dxa"/>
          </w:tcPr>
          <w:p w14:paraId="7600CD4D"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Prefabrykaty budowlane z betonu. Elementy nawierzchni dróg, ulic, parkingów i torowisk tramwajowych. Krawężniki i obrzeża chodnikowe</w:t>
            </w:r>
          </w:p>
        </w:tc>
      </w:tr>
      <w:tr w:rsidR="006B6869" w:rsidRPr="006431C4" w14:paraId="4FFF73EC" w14:textId="77777777" w:rsidTr="00D032BE">
        <w:tc>
          <w:tcPr>
            <w:tcW w:w="637" w:type="dxa"/>
          </w:tcPr>
          <w:p w14:paraId="491796BA"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16.</w:t>
            </w:r>
          </w:p>
        </w:tc>
        <w:tc>
          <w:tcPr>
            <w:tcW w:w="1701" w:type="dxa"/>
          </w:tcPr>
          <w:p w14:paraId="28FE3025"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BN-64/8845-02</w:t>
            </w:r>
          </w:p>
        </w:tc>
        <w:tc>
          <w:tcPr>
            <w:tcW w:w="8152" w:type="dxa"/>
          </w:tcPr>
          <w:p w14:paraId="3A89B55D" w14:textId="77777777" w:rsidR="006B6869" w:rsidRPr="006431C4" w:rsidRDefault="006B6869" w:rsidP="00270120">
            <w:pPr>
              <w:shd w:val="clear" w:color="auto" w:fill="FFFFFF" w:themeFill="background1"/>
              <w:tabs>
                <w:tab w:val="left" w:pos="142"/>
              </w:tabs>
              <w:spacing w:line="240" w:lineRule="auto"/>
              <w:jc w:val="both"/>
              <w:rPr>
                <w:rFonts w:cs="Arial"/>
                <w:szCs w:val="20"/>
              </w:rPr>
            </w:pPr>
            <w:r w:rsidRPr="006431C4">
              <w:rPr>
                <w:rFonts w:cs="Arial"/>
                <w:szCs w:val="20"/>
              </w:rPr>
              <w:t>Krawężniki uliczne. Warunki techniczne ustawiania i odbioru.</w:t>
            </w:r>
          </w:p>
        </w:tc>
      </w:tr>
    </w:tbl>
    <w:p w14:paraId="160EF4FC" w14:textId="77777777" w:rsidR="006B6869" w:rsidRPr="006431C4" w:rsidRDefault="006B6869"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10.2. Inne dokumenty</w:t>
      </w:r>
    </w:p>
    <w:p w14:paraId="0C5BF285" w14:textId="61E4A3E3" w:rsidR="006B6869" w:rsidRPr="00261105" w:rsidRDefault="006B6869" w:rsidP="00270120">
      <w:pPr>
        <w:pStyle w:val="Lista2"/>
        <w:numPr>
          <w:ilvl w:val="0"/>
          <w:numId w:val="33"/>
        </w:numPr>
        <w:shd w:val="clear" w:color="auto" w:fill="FFFFFF" w:themeFill="background1"/>
        <w:tabs>
          <w:tab w:val="left" w:pos="142"/>
        </w:tabs>
        <w:spacing w:line="240" w:lineRule="auto"/>
        <w:ind w:left="0" w:firstLine="0"/>
        <w:jc w:val="both"/>
        <w:rPr>
          <w:rFonts w:cs="Arial"/>
          <w:szCs w:val="20"/>
        </w:rPr>
      </w:pPr>
      <w:r w:rsidRPr="006431C4">
        <w:rPr>
          <w:rFonts w:cs="Arial"/>
          <w:szCs w:val="20"/>
        </w:rPr>
        <w:t>Katalog powtarzalnych elementów drogowych (KPED), Transprojekt - Warszawa, 1979 i 1982 r.</w:t>
      </w:r>
    </w:p>
    <w:p w14:paraId="3E739A7A" w14:textId="77777777" w:rsidR="007C5ADC" w:rsidRPr="006431C4" w:rsidRDefault="007C5ADC" w:rsidP="00270120">
      <w:pPr>
        <w:shd w:val="clear" w:color="auto" w:fill="FFFFFF" w:themeFill="background1"/>
        <w:tabs>
          <w:tab w:val="left" w:pos="142"/>
        </w:tabs>
        <w:spacing w:line="240" w:lineRule="auto"/>
        <w:jc w:val="both"/>
        <w:rPr>
          <w:rFonts w:cs="Arial"/>
          <w:szCs w:val="20"/>
        </w:rPr>
      </w:pPr>
    </w:p>
    <w:p w14:paraId="73FA2311" w14:textId="77777777" w:rsidR="003B3499" w:rsidRPr="006431C4" w:rsidRDefault="003B3499" w:rsidP="00270120">
      <w:pPr>
        <w:pStyle w:val="Nagwek4"/>
        <w:shd w:val="clear" w:color="auto" w:fill="FFFFFF" w:themeFill="background1"/>
        <w:tabs>
          <w:tab w:val="left" w:pos="142"/>
        </w:tabs>
        <w:spacing w:line="240" w:lineRule="auto"/>
        <w:jc w:val="both"/>
        <w:rPr>
          <w:rFonts w:cs="Arial"/>
          <w:szCs w:val="20"/>
        </w:rPr>
      </w:pPr>
      <w:bookmarkStart w:id="1063" w:name="_Toc111635993"/>
      <w:r w:rsidRPr="006431C4">
        <w:rPr>
          <w:rFonts w:cs="Arial"/>
          <w:szCs w:val="20"/>
        </w:rPr>
        <w:t>D-08.01.01b – USTAWIENIE KRAWĘŻNIKÓW BETONOWYCH</w:t>
      </w:r>
      <w:bookmarkEnd w:id="1063"/>
    </w:p>
    <w:p w14:paraId="5E2040D4" w14:textId="77777777" w:rsidR="003B3499" w:rsidRPr="006431C4" w:rsidRDefault="003B3499" w:rsidP="00270120">
      <w:pPr>
        <w:pStyle w:val="Nagwek1"/>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1. WSTĘP</w:t>
      </w:r>
    </w:p>
    <w:p w14:paraId="1663F663" w14:textId="77777777" w:rsidR="003B3499" w:rsidRPr="006431C4" w:rsidRDefault="003B349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1.1. Przedmiot</w:t>
      </w:r>
      <w:r w:rsidR="00180A26" w:rsidRPr="006431C4">
        <w:rPr>
          <w:rFonts w:cs="Arial"/>
          <w:szCs w:val="20"/>
        </w:rPr>
        <w:t xml:space="preserve"> SST</w:t>
      </w:r>
    </w:p>
    <w:p w14:paraId="13EFE0A0" w14:textId="77777777" w:rsidR="003B3499" w:rsidRPr="006431C4" w:rsidRDefault="003B3499"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Przedmiotem niniejszej j specyfikacji technicznej </w:t>
      </w:r>
      <w:r w:rsidR="00D621D0" w:rsidRPr="006431C4">
        <w:rPr>
          <w:rFonts w:cs="Arial"/>
          <w:szCs w:val="20"/>
        </w:rPr>
        <w:t>są wymagania dotyczące wykonania i odbioru robót związanych z ustawieniem krawężników betonowych wraz z wykonaniem ław</w:t>
      </w:r>
      <w:r w:rsidRPr="006431C4">
        <w:rPr>
          <w:rFonts w:cs="Arial"/>
          <w:szCs w:val="20"/>
        </w:rPr>
        <w:t>.</w:t>
      </w:r>
    </w:p>
    <w:p w14:paraId="7489177D" w14:textId="77777777" w:rsidR="003B3499" w:rsidRPr="006431C4" w:rsidRDefault="003B349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1.2. Zakres stosowania</w:t>
      </w:r>
      <w:r w:rsidR="00180A26" w:rsidRPr="006431C4">
        <w:rPr>
          <w:rFonts w:cs="Arial"/>
          <w:szCs w:val="20"/>
        </w:rPr>
        <w:t xml:space="preserve"> SST</w:t>
      </w:r>
    </w:p>
    <w:p w14:paraId="4A570D8C" w14:textId="77777777" w:rsidR="003B3499" w:rsidRPr="006431C4" w:rsidRDefault="006A5A86"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Niniejsza szczegółowa specyfikacja techniczna </w:t>
      </w:r>
      <w:r w:rsidR="003B3499" w:rsidRPr="006431C4">
        <w:rPr>
          <w:rFonts w:cs="Arial"/>
          <w:szCs w:val="20"/>
        </w:rPr>
        <w:t xml:space="preserve">stanowi Dokument Przetargowy i Kontraktowy przy zlecaniu i realizacji robót dla inwestycji </w:t>
      </w:r>
      <w:r w:rsidR="00296959" w:rsidRPr="006431C4">
        <w:rPr>
          <w:rFonts w:cs="Arial"/>
          <w:szCs w:val="20"/>
        </w:rPr>
        <w:t>pn.:</w:t>
      </w:r>
      <w:r w:rsidR="003B3499" w:rsidRPr="006431C4">
        <w:rPr>
          <w:rFonts w:cs="Arial"/>
          <w:szCs w:val="20"/>
        </w:rPr>
        <w:t xml:space="preserve"> </w:t>
      </w:r>
    </w:p>
    <w:sdt>
      <w:sdtPr>
        <w:rPr>
          <w:rFonts w:cs="Arial"/>
          <w:szCs w:val="20"/>
        </w:rPr>
        <w:alias w:val="Temat"/>
        <w:tag w:val=""/>
        <w:id w:val="194125302"/>
        <w:placeholder>
          <w:docPart w:val="AE0C35CA19D249608EBFB0D2A2E16AA4"/>
        </w:placeholder>
        <w:dataBinding w:prefixMappings="xmlns:ns0='http://purl.org/dc/elements/1.1/' xmlns:ns1='http://schemas.openxmlformats.org/package/2006/metadata/core-properties' " w:xpath="/ns1:coreProperties[1]/ns0:subject[1]" w:storeItemID="{6C3C8BC8-F283-45AE-878A-BAB7291924A1}"/>
        <w:text/>
      </w:sdtPr>
      <w:sdtEndPr/>
      <w:sdtContent>
        <w:p w14:paraId="08AF8682" w14:textId="22FB64A4" w:rsidR="003B3499" w:rsidRPr="006431C4" w:rsidRDefault="00484E05" w:rsidP="00270120">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50C7EA1D" w14:textId="77777777" w:rsidR="003B3499" w:rsidRPr="006431C4" w:rsidRDefault="003B3499" w:rsidP="00270120">
      <w:pPr>
        <w:pStyle w:val="Nagwek2"/>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1.3. Zakres robót objętych</w:t>
      </w:r>
      <w:r w:rsidR="00180A26" w:rsidRPr="006431C4">
        <w:rPr>
          <w:rFonts w:cs="Arial"/>
          <w:szCs w:val="20"/>
        </w:rPr>
        <w:t xml:space="preserve"> SST</w:t>
      </w:r>
    </w:p>
    <w:p w14:paraId="206D3FEA" w14:textId="77777777" w:rsidR="007C5ADC" w:rsidRPr="007C5ADC" w:rsidRDefault="00D621D0" w:rsidP="00270120">
      <w:pPr>
        <w:shd w:val="clear" w:color="auto" w:fill="FFFFFF" w:themeFill="background1"/>
        <w:spacing w:line="240" w:lineRule="auto"/>
        <w:jc w:val="both"/>
        <w:rPr>
          <w:rFonts w:cs="Arial"/>
          <w:szCs w:val="20"/>
        </w:rPr>
      </w:pPr>
      <w:r w:rsidRPr="006431C4">
        <w:rPr>
          <w:rFonts w:cs="Arial"/>
        </w:rPr>
        <w:t xml:space="preserve">Ustalenia zawarte w </w:t>
      </w:r>
      <w:r w:rsidR="00BA62A8" w:rsidRPr="006431C4">
        <w:rPr>
          <w:rFonts w:cs="Arial"/>
        </w:rPr>
        <w:t>niniejszej szczegółowej specyfikacji</w:t>
      </w:r>
      <w:r w:rsidR="007C5ADC" w:rsidRPr="006431C4">
        <w:rPr>
          <w:rFonts w:cs="Arial"/>
        </w:rPr>
        <w:t xml:space="preserve"> </w:t>
      </w:r>
      <w:r w:rsidR="007C5ADC" w:rsidRPr="007C5ADC">
        <w:rPr>
          <w:rFonts w:cs="Arial"/>
          <w:szCs w:val="20"/>
        </w:rPr>
        <w:t>dotyczą zasad prowadzenia robót związanych z wykonaniem i odbiorem ustawienia krawężników betonowych typu ulicznego i typu drogowego (wtopionych) na ławach betonowych i kruszywowych (żwirowych, tłuczniowych).</w:t>
      </w:r>
    </w:p>
    <w:p w14:paraId="1A39C4A2"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1.4. Określenia podstawowe</w:t>
      </w:r>
    </w:p>
    <w:p w14:paraId="35393F69" w14:textId="77777777" w:rsidR="007C5ADC" w:rsidRPr="007C5ADC" w:rsidRDefault="007C5ADC" w:rsidP="00270120">
      <w:pPr>
        <w:overflowPunct w:val="0"/>
        <w:autoSpaceDE w:val="0"/>
        <w:autoSpaceDN w:val="0"/>
        <w:adjustRightInd w:val="0"/>
        <w:spacing w:line="240" w:lineRule="auto"/>
        <w:jc w:val="both"/>
        <w:textAlignment w:val="baseline"/>
        <w:rPr>
          <w:rFonts w:cs="Arial"/>
          <w:b/>
          <w:szCs w:val="20"/>
        </w:rPr>
      </w:pPr>
      <w:r w:rsidRPr="007C5ADC">
        <w:rPr>
          <w:rFonts w:cs="Arial"/>
          <w:b/>
          <w:szCs w:val="20"/>
        </w:rPr>
        <w:t xml:space="preserve">1.4.1. </w:t>
      </w:r>
      <w:r w:rsidRPr="007C5ADC">
        <w:rPr>
          <w:rFonts w:cs="Arial"/>
          <w:szCs w:val="20"/>
        </w:rPr>
        <w:t>Krawężnik betonowy – prefabrykat betonowy, przeznaczony do oddzielenia powierzchni znajdujących się na tym samym poziomie lub na różnych poziomach stosowany: a) w celu ograniczania lub wyznaczania granicy rzeczywistej lub wizualnej,            b) jako kanały odpływowe, oddzielnie lub w połączeniu z innymi krawężnikami, c) jako oddzielenie pomiędzy powierzchniami poddanymi różnym rodzajom ruchu drogowego.</w:t>
      </w:r>
      <w:r w:rsidRPr="007C5ADC">
        <w:rPr>
          <w:rFonts w:cs="Arial"/>
          <w:b/>
          <w:szCs w:val="20"/>
        </w:rPr>
        <w:t xml:space="preserve"> </w:t>
      </w:r>
    </w:p>
    <w:p w14:paraId="704280B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1.4.2. </w:t>
      </w:r>
      <w:r w:rsidRPr="007C5ADC">
        <w:rPr>
          <w:rFonts w:cs="Arial"/>
          <w:szCs w:val="20"/>
        </w:rPr>
        <w:t>Wymiar nominalny – wymiar krawężnika określony w celu jego wykonania, któremu powinien odpowiadać wymiar rzeczywisty w określonych granicach dopuszczalnych odchyłek.</w:t>
      </w:r>
    </w:p>
    <w:p w14:paraId="42503FE6"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1.4.3. </w:t>
      </w:r>
      <w:r w:rsidRPr="007C5ADC">
        <w:rPr>
          <w:rFonts w:cs="Arial"/>
          <w:szCs w:val="20"/>
        </w:rPr>
        <w:t>Pozostałe określenia podstawowe są zgodne z obowiązującymi, odpowiednimi polskimi normami i z definicjami podanymi w SST D-M-00.00.00 „Wymagania ogólne”[1] pkt 1.4.</w:t>
      </w:r>
    </w:p>
    <w:p w14:paraId="1BB0318D"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lastRenderedPageBreak/>
        <w:t>1.5. Ogólne wymagania dotyczące robót</w:t>
      </w:r>
    </w:p>
    <w:p w14:paraId="51699D4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Ogólne wymagania dotyczące robót podano w SST D-M-00.00.00 „Wymagania ogólne” [1] pkt 1.5.</w:t>
      </w:r>
    </w:p>
    <w:p w14:paraId="5BC38954" w14:textId="77777777" w:rsidR="007C5ADC" w:rsidRPr="007C5ADC" w:rsidRDefault="007C5ADC"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64" w:name="_Toc2587773"/>
      <w:r w:rsidRPr="007C5ADC">
        <w:rPr>
          <w:rFonts w:cs="Arial"/>
          <w:b/>
          <w:caps/>
          <w:kern w:val="28"/>
          <w:szCs w:val="20"/>
        </w:rPr>
        <w:t>2. Materiały</w:t>
      </w:r>
      <w:bookmarkEnd w:id="1064"/>
    </w:p>
    <w:p w14:paraId="777841DD"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2.1. Ogólne wymagania dotyczące materiałów</w:t>
      </w:r>
    </w:p>
    <w:p w14:paraId="5B83C02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Ogólne wymagania dotyczące materiałów, ich pozyskiwania i składowania, podano w  SST D-M-00.00.00 „Wymagania ogólne” [1] pkt 2.</w:t>
      </w:r>
    </w:p>
    <w:p w14:paraId="686EB423"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2.2. Materiały do wykonania robót</w:t>
      </w:r>
    </w:p>
    <w:p w14:paraId="7A01901B"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2.2.1. </w:t>
      </w:r>
      <w:r w:rsidRPr="007C5ADC">
        <w:rPr>
          <w:rFonts w:cs="Arial"/>
          <w:szCs w:val="20"/>
        </w:rPr>
        <w:t>Zgodność materiałów z dokumentacją projektową</w:t>
      </w:r>
    </w:p>
    <w:p w14:paraId="2902638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Materiały do wykonania robót powinny być zgodne z ustaleniami dokumentacji projektowej lub ST.</w:t>
      </w:r>
    </w:p>
    <w:p w14:paraId="5BB023E7"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 xml:space="preserve">Można stosować jedynie materiały dopuszczone do stosowania na podstawie ustawy o wyrobach budowlanych [11], dla których Wykonawca przedstawi deklarację właściwości użytkowych wydaną przez producenta potwierdzającą przydatność materiału do zastosowania wynikającego z dokumentacji projektowej i SST. </w:t>
      </w:r>
    </w:p>
    <w:p w14:paraId="0F5E3F2B"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2.2.2. </w:t>
      </w:r>
      <w:r w:rsidRPr="007C5ADC">
        <w:rPr>
          <w:rFonts w:cs="Arial"/>
          <w:szCs w:val="20"/>
        </w:rPr>
        <w:t>Stosowane materiały</w:t>
      </w:r>
    </w:p>
    <w:p w14:paraId="2DAA1DD4"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Przy ustawianiu krawężników na ławach można stosować następujące materiały:</w:t>
      </w:r>
    </w:p>
    <w:p w14:paraId="7247133F" w14:textId="77777777" w:rsidR="007C5ADC" w:rsidRPr="007C5ADC" w:rsidRDefault="007C5ADC" w:rsidP="00CF1E7D">
      <w:pPr>
        <w:numPr>
          <w:ilvl w:val="0"/>
          <w:numId w:val="93"/>
        </w:numPr>
        <w:overflowPunct w:val="0"/>
        <w:autoSpaceDE w:val="0"/>
        <w:autoSpaceDN w:val="0"/>
        <w:adjustRightInd w:val="0"/>
        <w:spacing w:line="240" w:lineRule="auto"/>
        <w:jc w:val="both"/>
        <w:textAlignment w:val="baseline"/>
        <w:rPr>
          <w:rFonts w:cs="Arial"/>
          <w:szCs w:val="20"/>
        </w:rPr>
      </w:pPr>
      <w:r w:rsidRPr="007C5ADC">
        <w:rPr>
          <w:rFonts w:cs="Arial"/>
          <w:szCs w:val="20"/>
        </w:rPr>
        <w:t>krawężniki betonowe,</w:t>
      </w:r>
    </w:p>
    <w:p w14:paraId="2BBA51CC" w14:textId="77777777" w:rsidR="007C5ADC" w:rsidRPr="007C5ADC" w:rsidRDefault="007C5ADC" w:rsidP="00CF1E7D">
      <w:pPr>
        <w:numPr>
          <w:ilvl w:val="0"/>
          <w:numId w:val="93"/>
        </w:numPr>
        <w:overflowPunct w:val="0"/>
        <w:autoSpaceDE w:val="0"/>
        <w:autoSpaceDN w:val="0"/>
        <w:adjustRightInd w:val="0"/>
        <w:spacing w:line="240" w:lineRule="auto"/>
        <w:jc w:val="both"/>
        <w:textAlignment w:val="baseline"/>
        <w:rPr>
          <w:rFonts w:cs="Arial"/>
          <w:szCs w:val="20"/>
        </w:rPr>
      </w:pPr>
      <w:r w:rsidRPr="007C5ADC">
        <w:rPr>
          <w:rFonts w:cs="Arial"/>
          <w:szCs w:val="20"/>
        </w:rPr>
        <w:t>piasek na podsypkę i do zapraw,</w:t>
      </w:r>
    </w:p>
    <w:p w14:paraId="25E0C6F8" w14:textId="77777777" w:rsidR="007C5ADC" w:rsidRPr="007C5ADC" w:rsidRDefault="007C5ADC" w:rsidP="00CF1E7D">
      <w:pPr>
        <w:numPr>
          <w:ilvl w:val="0"/>
          <w:numId w:val="93"/>
        </w:numPr>
        <w:overflowPunct w:val="0"/>
        <w:autoSpaceDE w:val="0"/>
        <w:autoSpaceDN w:val="0"/>
        <w:adjustRightInd w:val="0"/>
        <w:spacing w:line="240" w:lineRule="auto"/>
        <w:jc w:val="both"/>
        <w:textAlignment w:val="baseline"/>
        <w:rPr>
          <w:rFonts w:cs="Arial"/>
          <w:szCs w:val="20"/>
        </w:rPr>
      </w:pPr>
      <w:r w:rsidRPr="007C5ADC">
        <w:rPr>
          <w:rFonts w:cs="Arial"/>
          <w:szCs w:val="20"/>
        </w:rPr>
        <w:t>cement do podsypki i do zapraw,</w:t>
      </w:r>
    </w:p>
    <w:p w14:paraId="3B3DD2FD" w14:textId="77777777" w:rsidR="007C5ADC" w:rsidRPr="007C5ADC" w:rsidRDefault="007C5ADC" w:rsidP="00CF1E7D">
      <w:pPr>
        <w:numPr>
          <w:ilvl w:val="0"/>
          <w:numId w:val="93"/>
        </w:numPr>
        <w:overflowPunct w:val="0"/>
        <w:autoSpaceDE w:val="0"/>
        <w:autoSpaceDN w:val="0"/>
        <w:adjustRightInd w:val="0"/>
        <w:spacing w:line="240" w:lineRule="auto"/>
        <w:jc w:val="both"/>
        <w:textAlignment w:val="baseline"/>
        <w:rPr>
          <w:rFonts w:cs="Arial"/>
          <w:szCs w:val="20"/>
        </w:rPr>
      </w:pPr>
      <w:r w:rsidRPr="007C5ADC">
        <w:rPr>
          <w:rFonts w:cs="Arial"/>
          <w:szCs w:val="20"/>
        </w:rPr>
        <w:t>wodę,</w:t>
      </w:r>
    </w:p>
    <w:p w14:paraId="4DD404E8" w14:textId="77777777" w:rsidR="007C5ADC" w:rsidRPr="007C5ADC" w:rsidRDefault="007C5ADC" w:rsidP="00CF1E7D">
      <w:pPr>
        <w:numPr>
          <w:ilvl w:val="0"/>
          <w:numId w:val="93"/>
        </w:numPr>
        <w:overflowPunct w:val="0"/>
        <w:autoSpaceDE w:val="0"/>
        <w:autoSpaceDN w:val="0"/>
        <w:adjustRightInd w:val="0"/>
        <w:spacing w:line="240" w:lineRule="auto"/>
        <w:jc w:val="both"/>
        <w:textAlignment w:val="baseline"/>
        <w:rPr>
          <w:rFonts w:cs="Arial"/>
          <w:szCs w:val="20"/>
        </w:rPr>
      </w:pPr>
      <w:r w:rsidRPr="007C5ADC">
        <w:rPr>
          <w:rFonts w:cs="Arial"/>
          <w:szCs w:val="20"/>
        </w:rPr>
        <w:t>materiały do wykonania ławy.</w:t>
      </w:r>
    </w:p>
    <w:p w14:paraId="59CD1FA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2.2.3. </w:t>
      </w:r>
      <w:r w:rsidRPr="007C5ADC">
        <w:rPr>
          <w:rFonts w:cs="Arial"/>
          <w:szCs w:val="20"/>
        </w:rPr>
        <w:t>Krawężniki betonowe</w:t>
      </w:r>
    </w:p>
    <w:p w14:paraId="2D45498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2.2.3.1. Wymagania ogólne wobec krawężników</w:t>
      </w:r>
    </w:p>
    <w:p w14:paraId="5622886C"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Krawężniki betonowe mogą mieć następujące cechy charakterystyczne:</w:t>
      </w:r>
    </w:p>
    <w:p w14:paraId="05D882E9" w14:textId="77777777" w:rsidR="007C5ADC" w:rsidRPr="007C5ADC" w:rsidRDefault="007C5ADC" w:rsidP="00CF1E7D">
      <w:pPr>
        <w:numPr>
          <w:ilvl w:val="0"/>
          <w:numId w:val="94"/>
        </w:numPr>
        <w:overflowPunct w:val="0"/>
        <w:autoSpaceDE w:val="0"/>
        <w:autoSpaceDN w:val="0"/>
        <w:adjustRightInd w:val="0"/>
        <w:spacing w:line="240" w:lineRule="auto"/>
        <w:jc w:val="both"/>
        <w:textAlignment w:val="baseline"/>
        <w:rPr>
          <w:rFonts w:cs="Arial"/>
          <w:szCs w:val="20"/>
        </w:rPr>
      </w:pPr>
      <w:r w:rsidRPr="007C5ADC">
        <w:rPr>
          <w:rFonts w:cs="Arial"/>
          <w:szCs w:val="20"/>
        </w:rPr>
        <w:t>krawężnik może być produkowany:</w:t>
      </w:r>
    </w:p>
    <w:p w14:paraId="5E22D8CB" w14:textId="77777777" w:rsidR="007C5ADC" w:rsidRPr="007C5ADC" w:rsidRDefault="007C5ADC" w:rsidP="00CF1E7D">
      <w:pPr>
        <w:numPr>
          <w:ilvl w:val="1"/>
          <w:numId w:val="94"/>
        </w:numPr>
        <w:tabs>
          <w:tab w:val="num" w:pos="567"/>
        </w:tabs>
        <w:overflowPunct w:val="0"/>
        <w:autoSpaceDE w:val="0"/>
        <w:autoSpaceDN w:val="0"/>
        <w:adjustRightInd w:val="0"/>
        <w:spacing w:line="240" w:lineRule="auto"/>
        <w:ind w:hanging="680"/>
        <w:jc w:val="both"/>
        <w:textAlignment w:val="baseline"/>
        <w:rPr>
          <w:rFonts w:cs="Arial"/>
          <w:szCs w:val="20"/>
        </w:rPr>
      </w:pPr>
      <w:r w:rsidRPr="007C5ADC">
        <w:rPr>
          <w:rFonts w:cs="Arial"/>
          <w:szCs w:val="20"/>
        </w:rPr>
        <w:t>z jednego rodzaju betonu,</w:t>
      </w:r>
    </w:p>
    <w:p w14:paraId="79E3CDC4" w14:textId="77777777" w:rsidR="007C5ADC" w:rsidRPr="007C5ADC" w:rsidRDefault="007C5ADC" w:rsidP="00CF1E7D">
      <w:pPr>
        <w:numPr>
          <w:ilvl w:val="1"/>
          <w:numId w:val="94"/>
        </w:numPr>
        <w:tabs>
          <w:tab w:val="num" w:pos="567"/>
        </w:tabs>
        <w:overflowPunct w:val="0"/>
        <w:autoSpaceDE w:val="0"/>
        <w:autoSpaceDN w:val="0"/>
        <w:adjustRightInd w:val="0"/>
        <w:spacing w:line="240" w:lineRule="auto"/>
        <w:ind w:left="567" w:hanging="283"/>
        <w:jc w:val="both"/>
        <w:textAlignment w:val="baseline"/>
        <w:rPr>
          <w:rFonts w:cs="Arial"/>
          <w:szCs w:val="20"/>
        </w:rPr>
      </w:pPr>
      <w:r w:rsidRPr="007C5ADC">
        <w:rPr>
          <w:rFonts w:cs="Arial"/>
          <w:szCs w:val="20"/>
        </w:rPr>
        <w:t xml:space="preserve">z różnych betonów zastosowanych w warstwie konstrukcyjnej oraz w warstwie ścieralnej (która na całej powierzchni deklarowanej przez producenta jako powierzchnia widoczna powinna mieć minimalną grubość </w:t>
      </w:r>
      <w:smartTag w:uri="urn:schemas-microsoft-com:office:smarttags" w:element="metricconverter">
        <w:smartTagPr>
          <w:attr w:name="ProductID" w:val="4 mm"/>
        </w:smartTagPr>
        <w:r w:rsidRPr="007C5ADC">
          <w:rPr>
            <w:rFonts w:cs="Arial"/>
            <w:szCs w:val="20"/>
          </w:rPr>
          <w:t>4 mm</w:t>
        </w:r>
      </w:smartTag>
      <w:r w:rsidRPr="007C5ADC">
        <w:rPr>
          <w:rFonts w:cs="Arial"/>
          <w:szCs w:val="20"/>
        </w:rPr>
        <w:t>),</w:t>
      </w:r>
    </w:p>
    <w:p w14:paraId="3359D93B" w14:textId="77777777" w:rsidR="007C5ADC" w:rsidRPr="007C5ADC" w:rsidRDefault="007C5ADC" w:rsidP="00CF1E7D">
      <w:pPr>
        <w:numPr>
          <w:ilvl w:val="0"/>
          <w:numId w:val="94"/>
        </w:num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skośne krawędzie krawężnika powyżej </w:t>
      </w:r>
      <w:smartTag w:uri="urn:schemas-microsoft-com:office:smarttags" w:element="metricconverter">
        <w:smartTagPr>
          <w:attr w:name="ProductID" w:val="2 mm"/>
        </w:smartTagPr>
        <w:r w:rsidRPr="007C5ADC">
          <w:rPr>
            <w:rFonts w:cs="Arial"/>
            <w:szCs w:val="20"/>
          </w:rPr>
          <w:t>2 mm</w:t>
        </w:r>
      </w:smartTag>
      <w:r w:rsidRPr="007C5ADC">
        <w:rPr>
          <w:rFonts w:cs="Arial"/>
          <w:szCs w:val="20"/>
        </w:rPr>
        <w:t xml:space="preserve"> powinny być określone jako fazowane, z wymiarami deklarowanymi przez producenta,</w:t>
      </w:r>
    </w:p>
    <w:p w14:paraId="18EF7E2F" w14:textId="77777777" w:rsidR="007C5ADC" w:rsidRPr="007C5ADC" w:rsidRDefault="007C5ADC" w:rsidP="00CF1E7D">
      <w:pPr>
        <w:numPr>
          <w:ilvl w:val="0"/>
          <w:numId w:val="94"/>
        </w:num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7C5ADC">
          <w:rPr>
            <w:rFonts w:cs="Arial"/>
            <w:szCs w:val="20"/>
          </w:rPr>
          <w:t>1000 mm</w:t>
        </w:r>
      </w:smartTag>
      <w:r w:rsidRPr="007C5ADC">
        <w:rPr>
          <w:rFonts w:cs="Arial"/>
          <w:szCs w:val="20"/>
        </w:rPr>
        <w:t>,</w:t>
      </w:r>
    </w:p>
    <w:p w14:paraId="36C88B12" w14:textId="77777777" w:rsidR="007C5ADC" w:rsidRPr="007C5ADC" w:rsidRDefault="007C5ADC" w:rsidP="00CF1E7D">
      <w:pPr>
        <w:numPr>
          <w:ilvl w:val="0"/>
          <w:numId w:val="94"/>
        </w:numPr>
        <w:overflowPunct w:val="0"/>
        <w:autoSpaceDE w:val="0"/>
        <w:autoSpaceDN w:val="0"/>
        <w:adjustRightInd w:val="0"/>
        <w:spacing w:line="240" w:lineRule="auto"/>
        <w:jc w:val="both"/>
        <w:textAlignment w:val="baseline"/>
        <w:rPr>
          <w:rFonts w:cs="Arial"/>
          <w:szCs w:val="20"/>
        </w:rPr>
      </w:pPr>
      <w:r w:rsidRPr="007C5ADC">
        <w:rPr>
          <w:rFonts w:cs="Arial"/>
          <w:szCs w:val="20"/>
        </w:rPr>
        <w:t>powierzchnia krawężnika może być obrabiana, poddana dodatkowej obróbce lub obróbce chemicznej,</w:t>
      </w:r>
    </w:p>
    <w:p w14:paraId="468BFBA5" w14:textId="77777777" w:rsidR="007C5ADC" w:rsidRPr="007C5ADC" w:rsidRDefault="007C5ADC" w:rsidP="00CF1E7D">
      <w:pPr>
        <w:numPr>
          <w:ilvl w:val="0"/>
          <w:numId w:val="94"/>
        </w:numPr>
        <w:overflowPunct w:val="0"/>
        <w:autoSpaceDE w:val="0"/>
        <w:autoSpaceDN w:val="0"/>
        <w:adjustRightInd w:val="0"/>
        <w:spacing w:line="240" w:lineRule="auto"/>
        <w:jc w:val="both"/>
        <w:textAlignment w:val="baseline"/>
        <w:rPr>
          <w:rFonts w:cs="Arial"/>
          <w:szCs w:val="20"/>
        </w:rPr>
      </w:pPr>
      <w:r w:rsidRPr="007C5ADC">
        <w:rPr>
          <w:rFonts w:cs="Arial"/>
          <w:szCs w:val="20"/>
        </w:rPr>
        <w:t>płaszczyzny czołowe krawężników mogą być proste lub ukształtowane w sposób ułatwiający układanie lub ryglowanie (przykłady w zał. 1),</w:t>
      </w:r>
    </w:p>
    <w:p w14:paraId="0341B513" w14:textId="77777777" w:rsidR="007C5ADC" w:rsidRPr="007C5ADC" w:rsidRDefault="007C5ADC" w:rsidP="00CF1E7D">
      <w:pPr>
        <w:numPr>
          <w:ilvl w:val="0"/>
          <w:numId w:val="94"/>
        </w:numPr>
        <w:overflowPunct w:val="0"/>
        <w:autoSpaceDE w:val="0"/>
        <w:autoSpaceDN w:val="0"/>
        <w:adjustRightInd w:val="0"/>
        <w:spacing w:line="240" w:lineRule="auto"/>
        <w:jc w:val="both"/>
        <w:textAlignment w:val="baseline"/>
        <w:rPr>
          <w:rFonts w:cs="Arial"/>
          <w:szCs w:val="20"/>
        </w:rPr>
      </w:pPr>
      <w:r w:rsidRPr="007C5ADC">
        <w:rPr>
          <w:rFonts w:cs="Arial"/>
          <w:szCs w:val="20"/>
        </w:rPr>
        <w:t>krawężniki łukowe mogą być wykonane jako wypukłe lub wklęsłe (przykłady w zał. 2),</w:t>
      </w:r>
    </w:p>
    <w:p w14:paraId="0ACC3C00" w14:textId="77777777" w:rsidR="007C5ADC" w:rsidRPr="007C5ADC" w:rsidRDefault="007C5ADC" w:rsidP="00CF1E7D">
      <w:pPr>
        <w:numPr>
          <w:ilvl w:val="0"/>
          <w:numId w:val="94"/>
        </w:numPr>
        <w:overflowPunct w:val="0"/>
        <w:autoSpaceDE w:val="0"/>
        <w:autoSpaceDN w:val="0"/>
        <w:adjustRightInd w:val="0"/>
        <w:spacing w:line="240" w:lineRule="auto"/>
        <w:jc w:val="both"/>
        <w:textAlignment w:val="baseline"/>
        <w:rPr>
          <w:rFonts w:cs="Arial"/>
          <w:szCs w:val="20"/>
        </w:rPr>
      </w:pPr>
      <w:r w:rsidRPr="007C5ADC">
        <w:rPr>
          <w:rFonts w:cs="Arial"/>
          <w:szCs w:val="20"/>
        </w:rPr>
        <w:t>rozróżnia się dwa typy krawężników (przykłady w zał. 3):</w:t>
      </w:r>
    </w:p>
    <w:p w14:paraId="582671EA" w14:textId="77777777" w:rsidR="007C5ADC" w:rsidRPr="007C5ADC" w:rsidRDefault="007C5ADC" w:rsidP="00CF1E7D">
      <w:pPr>
        <w:numPr>
          <w:ilvl w:val="1"/>
          <w:numId w:val="94"/>
        </w:numPr>
        <w:tabs>
          <w:tab w:val="num" w:pos="567"/>
        </w:tabs>
        <w:overflowPunct w:val="0"/>
        <w:autoSpaceDE w:val="0"/>
        <w:autoSpaceDN w:val="0"/>
        <w:adjustRightInd w:val="0"/>
        <w:spacing w:line="240" w:lineRule="auto"/>
        <w:ind w:left="567" w:hanging="283"/>
        <w:jc w:val="both"/>
        <w:textAlignment w:val="baseline"/>
        <w:rPr>
          <w:rFonts w:cs="Arial"/>
          <w:szCs w:val="20"/>
        </w:rPr>
      </w:pPr>
      <w:r w:rsidRPr="007C5ADC">
        <w:rPr>
          <w:rFonts w:cs="Arial"/>
          <w:szCs w:val="20"/>
        </w:rPr>
        <w:t>uliczne, do oddzielenia powierzchni znajdujących się na różnych poziomach (np. jezdni i chodnika),</w:t>
      </w:r>
    </w:p>
    <w:p w14:paraId="55ED0B65" w14:textId="77777777" w:rsidR="007C5ADC" w:rsidRPr="007C5ADC" w:rsidRDefault="007C5ADC" w:rsidP="00CF1E7D">
      <w:pPr>
        <w:numPr>
          <w:ilvl w:val="1"/>
          <w:numId w:val="94"/>
        </w:numPr>
        <w:tabs>
          <w:tab w:val="num" w:pos="567"/>
        </w:tabs>
        <w:overflowPunct w:val="0"/>
        <w:autoSpaceDE w:val="0"/>
        <w:autoSpaceDN w:val="0"/>
        <w:adjustRightInd w:val="0"/>
        <w:spacing w:line="240" w:lineRule="auto"/>
        <w:ind w:left="567" w:hanging="283"/>
        <w:jc w:val="both"/>
        <w:textAlignment w:val="baseline"/>
        <w:rPr>
          <w:rFonts w:cs="Arial"/>
          <w:szCs w:val="20"/>
        </w:rPr>
      </w:pPr>
      <w:r w:rsidRPr="007C5ADC">
        <w:rPr>
          <w:rFonts w:cs="Arial"/>
          <w:szCs w:val="20"/>
        </w:rPr>
        <w:t>drogowe, do oddzielenia powierzchni znajdujących się na tym samym poziomie (np. jezdni i pobocza).</w:t>
      </w:r>
    </w:p>
    <w:p w14:paraId="01DAF3B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2.2.3.2. Wymagania techniczne wobec krawężników</w:t>
      </w:r>
    </w:p>
    <w:p w14:paraId="47C56F8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Wymagania techniczne stawiane krawężnikom betonowym określa PN-EN 1340 [3] w sposób przedstawiony w tabeli 1.</w:t>
      </w:r>
    </w:p>
    <w:p w14:paraId="7C546E06" w14:textId="77777777" w:rsidR="007C5ADC" w:rsidRPr="007C5ADC" w:rsidRDefault="007C5ADC" w:rsidP="00270120">
      <w:pPr>
        <w:overflowPunct w:val="0"/>
        <w:autoSpaceDE w:val="0"/>
        <w:autoSpaceDN w:val="0"/>
        <w:adjustRightInd w:val="0"/>
        <w:spacing w:line="240" w:lineRule="auto"/>
        <w:ind w:left="992" w:hanging="992"/>
        <w:jc w:val="both"/>
        <w:textAlignment w:val="baseline"/>
        <w:rPr>
          <w:rFonts w:cs="Arial"/>
          <w:szCs w:val="20"/>
        </w:rPr>
      </w:pPr>
    </w:p>
    <w:p w14:paraId="4E0DE72C" w14:textId="77777777" w:rsidR="007C5ADC" w:rsidRPr="007C5ADC" w:rsidRDefault="007C5ADC" w:rsidP="00270120">
      <w:pPr>
        <w:overflowPunct w:val="0"/>
        <w:autoSpaceDE w:val="0"/>
        <w:autoSpaceDN w:val="0"/>
        <w:adjustRightInd w:val="0"/>
        <w:spacing w:line="240" w:lineRule="auto"/>
        <w:ind w:left="992" w:hanging="992"/>
        <w:jc w:val="both"/>
        <w:textAlignment w:val="baseline"/>
        <w:rPr>
          <w:rFonts w:cs="Arial"/>
          <w:szCs w:val="20"/>
        </w:rPr>
      </w:pPr>
    </w:p>
    <w:p w14:paraId="066A5ABB" w14:textId="2C4837F2" w:rsidR="007C5ADC" w:rsidRPr="007C5ADC" w:rsidRDefault="007C5ADC" w:rsidP="00270120">
      <w:pPr>
        <w:keepNext/>
        <w:overflowPunct w:val="0"/>
        <w:autoSpaceDE w:val="0"/>
        <w:autoSpaceDN w:val="0"/>
        <w:adjustRightInd w:val="0"/>
        <w:spacing w:line="240" w:lineRule="auto"/>
        <w:ind w:left="993" w:hanging="993"/>
        <w:jc w:val="both"/>
        <w:textAlignment w:val="baseline"/>
        <w:rPr>
          <w:rFonts w:cs="Arial"/>
          <w:bCs/>
          <w:szCs w:val="20"/>
        </w:rPr>
      </w:pPr>
      <w:r w:rsidRPr="007C5ADC">
        <w:rPr>
          <w:rFonts w:cs="Arial"/>
          <w:bCs/>
          <w:szCs w:val="20"/>
        </w:rPr>
        <w:t xml:space="preserve">Tabela </w:t>
      </w:r>
      <w:r w:rsidRPr="007C5ADC">
        <w:rPr>
          <w:rFonts w:cs="Arial"/>
          <w:bCs/>
          <w:szCs w:val="20"/>
        </w:rPr>
        <w:fldChar w:fldCharType="begin"/>
      </w:r>
      <w:r w:rsidRPr="007C5ADC">
        <w:rPr>
          <w:rFonts w:cs="Arial"/>
          <w:bCs/>
          <w:szCs w:val="20"/>
        </w:rPr>
        <w:instrText xml:space="preserve"> SEQ Tabela \* ARABIC </w:instrText>
      </w:r>
      <w:r w:rsidRPr="007C5ADC">
        <w:rPr>
          <w:rFonts w:cs="Arial"/>
          <w:bCs/>
          <w:szCs w:val="20"/>
        </w:rPr>
        <w:fldChar w:fldCharType="separate"/>
      </w:r>
      <w:r w:rsidR="008D66D8">
        <w:rPr>
          <w:rFonts w:cs="Arial"/>
          <w:bCs/>
          <w:noProof/>
          <w:szCs w:val="20"/>
        </w:rPr>
        <w:t>11</w:t>
      </w:r>
      <w:r w:rsidRPr="007C5ADC">
        <w:rPr>
          <w:rFonts w:cs="Arial"/>
          <w:bCs/>
          <w:szCs w:val="20"/>
        </w:rPr>
        <w:fldChar w:fldCharType="end"/>
      </w:r>
      <w:r w:rsidRPr="007C5ADC">
        <w:rPr>
          <w:rFonts w:cs="Arial"/>
          <w:bCs/>
          <w:szCs w:val="20"/>
        </w:rPr>
        <w:t>.</w:t>
      </w:r>
      <w:r w:rsidRPr="007C5ADC">
        <w:rPr>
          <w:rFonts w:cs="Arial"/>
          <w:bCs/>
          <w:szCs w:val="20"/>
        </w:rPr>
        <w:tab/>
        <w:t>Wymagania wobec krawężnika betonowego, ustalone w PN-EN 1340 [3] do stosowania w warunkach kontaktu z solą odladzającą w warunkach mrozu</w:t>
      </w:r>
    </w:p>
    <w:tbl>
      <w:tblPr>
        <w:tblW w:w="10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8"/>
        <w:gridCol w:w="3943"/>
        <w:gridCol w:w="1283"/>
        <w:gridCol w:w="838"/>
        <w:gridCol w:w="45"/>
        <w:gridCol w:w="795"/>
        <w:gridCol w:w="360"/>
        <w:gridCol w:w="1357"/>
        <w:gridCol w:w="1608"/>
      </w:tblGrid>
      <w:tr w:rsidR="007C5ADC" w:rsidRPr="007C5ADC" w14:paraId="293986F7" w14:textId="77777777" w:rsidTr="007C5ADC">
        <w:tc>
          <w:tcPr>
            <w:tcW w:w="588" w:type="dxa"/>
            <w:tcBorders>
              <w:bottom w:val="single" w:sz="4" w:space="0" w:color="auto"/>
            </w:tcBorders>
          </w:tcPr>
          <w:p w14:paraId="39275FF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Lp.</w:t>
            </w:r>
          </w:p>
        </w:tc>
        <w:tc>
          <w:tcPr>
            <w:tcW w:w="3943" w:type="dxa"/>
            <w:tcBorders>
              <w:bottom w:val="single" w:sz="4" w:space="0" w:color="auto"/>
            </w:tcBorders>
          </w:tcPr>
          <w:p w14:paraId="3698A09B"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Cecha</w:t>
            </w:r>
          </w:p>
        </w:tc>
        <w:tc>
          <w:tcPr>
            <w:tcW w:w="1283" w:type="dxa"/>
            <w:tcBorders>
              <w:bottom w:val="single" w:sz="4" w:space="0" w:color="auto"/>
            </w:tcBorders>
          </w:tcPr>
          <w:p w14:paraId="18561E0C"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Załącznik</w:t>
            </w:r>
          </w:p>
        </w:tc>
        <w:tc>
          <w:tcPr>
            <w:tcW w:w="5003" w:type="dxa"/>
            <w:gridSpan w:val="6"/>
            <w:tcBorders>
              <w:bottom w:val="single" w:sz="4" w:space="0" w:color="auto"/>
            </w:tcBorders>
          </w:tcPr>
          <w:p w14:paraId="3ACB6DA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Wymagania</w:t>
            </w:r>
          </w:p>
        </w:tc>
      </w:tr>
      <w:tr w:rsidR="007C5ADC" w:rsidRPr="007C5ADC" w14:paraId="5D730AC8" w14:textId="77777777" w:rsidTr="007C5ADC">
        <w:tc>
          <w:tcPr>
            <w:tcW w:w="588" w:type="dxa"/>
            <w:tcBorders>
              <w:top w:val="single" w:sz="4" w:space="0" w:color="auto"/>
            </w:tcBorders>
          </w:tcPr>
          <w:p w14:paraId="1EFB848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w:t>
            </w:r>
          </w:p>
        </w:tc>
        <w:tc>
          <w:tcPr>
            <w:tcW w:w="10229" w:type="dxa"/>
            <w:gridSpan w:val="8"/>
            <w:tcBorders>
              <w:top w:val="single" w:sz="4" w:space="0" w:color="auto"/>
            </w:tcBorders>
          </w:tcPr>
          <w:p w14:paraId="3217FDD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Kształt i wymiary</w:t>
            </w:r>
          </w:p>
        </w:tc>
      </w:tr>
      <w:tr w:rsidR="007C5ADC" w:rsidRPr="007C5ADC" w14:paraId="6AF85060" w14:textId="77777777" w:rsidTr="007C5ADC">
        <w:tc>
          <w:tcPr>
            <w:tcW w:w="588" w:type="dxa"/>
          </w:tcPr>
          <w:p w14:paraId="2171926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1.1</w:t>
            </w:r>
          </w:p>
        </w:tc>
        <w:tc>
          <w:tcPr>
            <w:tcW w:w="3943" w:type="dxa"/>
          </w:tcPr>
          <w:p w14:paraId="1D09EA36"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Wartości dopuszczalnych od-chyłek od wymiarów nomi-nalnych, z dokładnością do milimetra</w:t>
            </w:r>
          </w:p>
        </w:tc>
        <w:tc>
          <w:tcPr>
            <w:tcW w:w="1283" w:type="dxa"/>
          </w:tcPr>
          <w:p w14:paraId="206AD1F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C</w:t>
            </w:r>
          </w:p>
        </w:tc>
        <w:tc>
          <w:tcPr>
            <w:tcW w:w="5003" w:type="dxa"/>
            <w:gridSpan w:val="6"/>
          </w:tcPr>
          <w:p w14:paraId="3D05BAFC"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Długość: ± 1%, ≥ </w:t>
            </w:r>
            <w:smartTag w:uri="urn:schemas-microsoft-com:office:smarttags" w:element="metricconverter">
              <w:smartTagPr>
                <w:attr w:name="ProductID" w:val="4 mm"/>
              </w:smartTagPr>
              <w:r w:rsidRPr="007C5ADC">
                <w:rPr>
                  <w:rFonts w:cs="Arial"/>
                  <w:szCs w:val="20"/>
                </w:rPr>
                <w:t>4 mm</w:t>
              </w:r>
            </w:smartTag>
            <w:r w:rsidRPr="007C5ADC">
              <w:rPr>
                <w:rFonts w:cs="Arial"/>
                <w:szCs w:val="20"/>
              </w:rPr>
              <w:t xml:space="preserve"> i ≤ </w:t>
            </w:r>
            <w:smartTag w:uri="urn:schemas-microsoft-com:office:smarttags" w:element="metricconverter">
              <w:smartTagPr>
                <w:attr w:name="ProductID" w:val="10 mm"/>
              </w:smartTagPr>
              <w:r w:rsidRPr="007C5ADC">
                <w:rPr>
                  <w:rFonts w:cs="Arial"/>
                  <w:szCs w:val="20"/>
                </w:rPr>
                <w:t>10 mm</w:t>
              </w:r>
            </w:smartTag>
          </w:p>
          <w:p w14:paraId="1FE32F9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Inne wymiary z wyjątkiem promienia:</w:t>
            </w:r>
          </w:p>
          <w:p w14:paraId="69A65A3F"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 dla powierzchni: ± 3%, ≥ </w:t>
            </w:r>
            <w:smartTag w:uri="urn:schemas-microsoft-com:office:smarttags" w:element="metricconverter">
              <w:smartTagPr>
                <w:attr w:name="ProductID" w:val="3 mm"/>
              </w:smartTagPr>
              <w:r w:rsidRPr="007C5ADC">
                <w:rPr>
                  <w:rFonts w:cs="Arial"/>
                  <w:szCs w:val="20"/>
                </w:rPr>
                <w:t>3 mm</w:t>
              </w:r>
            </w:smartTag>
            <w:r w:rsidRPr="007C5ADC">
              <w:rPr>
                <w:rFonts w:cs="Arial"/>
                <w:szCs w:val="20"/>
              </w:rPr>
              <w:t xml:space="preserve">, </w:t>
            </w:r>
          </w:p>
          <w:p w14:paraId="2DE11647" w14:textId="77777777" w:rsidR="007C5ADC" w:rsidRPr="007C5ADC" w:rsidRDefault="007C5ADC" w:rsidP="00270120">
            <w:pPr>
              <w:overflowPunct w:val="0"/>
              <w:autoSpaceDE w:val="0"/>
              <w:autoSpaceDN w:val="0"/>
              <w:adjustRightInd w:val="0"/>
              <w:spacing w:line="240" w:lineRule="auto"/>
              <w:ind w:left="246"/>
              <w:jc w:val="both"/>
              <w:textAlignment w:val="baseline"/>
              <w:rPr>
                <w:rFonts w:cs="Arial"/>
                <w:szCs w:val="20"/>
              </w:rPr>
            </w:pPr>
            <w:r w:rsidRPr="007C5ADC">
              <w:rPr>
                <w:rFonts w:cs="Arial"/>
                <w:szCs w:val="20"/>
              </w:rPr>
              <w:t xml:space="preserve">≤ </w:t>
            </w:r>
            <w:smartTag w:uri="urn:schemas-microsoft-com:office:smarttags" w:element="metricconverter">
              <w:smartTagPr>
                <w:attr w:name="ProductID" w:val="5 mm"/>
              </w:smartTagPr>
              <w:r w:rsidRPr="007C5ADC">
                <w:rPr>
                  <w:rFonts w:cs="Arial"/>
                  <w:szCs w:val="20"/>
                </w:rPr>
                <w:t>5 mm</w:t>
              </w:r>
            </w:smartTag>
            <w:r w:rsidRPr="007C5ADC">
              <w:rPr>
                <w:rFonts w:cs="Arial"/>
                <w:szCs w:val="20"/>
              </w:rPr>
              <w:t>,</w:t>
            </w:r>
          </w:p>
          <w:p w14:paraId="2F207125"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 dla innych części: ± 5%, ≥ </w:t>
            </w:r>
            <w:smartTag w:uri="urn:schemas-microsoft-com:office:smarttags" w:element="metricconverter">
              <w:smartTagPr>
                <w:attr w:name="ProductID" w:val="3 mm"/>
              </w:smartTagPr>
              <w:r w:rsidRPr="007C5ADC">
                <w:rPr>
                  <w:rFonts w:cs="Arial"/>
                  <w:szCs w:val="20"/>
                </w:rPr>
                <w:t>3 mm</w:t>
              </w:r>
            </w:smartTag>
            <w:r w:rsidRPr="007C5ADC">
              <w:rPr>
                <w:rFonts w:cs="Arial"/>
                <w:szCs w:val="20"/>
              </w:rPr>
              <w:t xml:space="preserve">,  </w:t>
            </w:r>
          </w:p>
          <w:p w14:paraId="0AA159A2" w14:textId="77777777" w:rsidR="007C5ADC" w:rsidRPr="007C5ADC" w:rsidRDefault="007C5ADC" w:rsidP="00270120">
            <w:pPr>
              <w:overflowPunct w:val="0"/>
              <w:autoSpaceDE w:val="0"/>
              <w:autoSpaceDN w:val="0"/>
              <w:adjustRightInd w:val="0"/>
              <w:spacing w:line="240" w:lineRule="auto"/>
              <w:ind w:firstLine="246"/>
              <w:jc w:val="both"/>
              <w:textAlignment w:val="baseline"/>
              <w:rPr>
                <w:rFonts w:cs="Arial"/>
                <w:szCs w:val="20"/>
              </w:rPr>
            </w:pPr>
            <w:r w:rsidRPr="007C5ADC">
              <w:rPr>
                <w:rFonts w:cs="Arial"/>
                <w:szCs w:val="20"/>
              </w:rPr>
              <w:t xml:space="preserve">≤ </w:t>
            </w:r>
            <w:smartTag w:uri="urn:schemas-microsoft-com:office:smarttags" w:element="metricconverter">
              <w:smartTagPr>
                <w:attr w:name="ProductID" w:val="10 mm"/>
              </w:smartTagPr>
              <w:r w:rsidRPr="007C5ADC">
                <w:rPr>
                  <w:rFonts w:cs="Arial"/>
                  <w:szCs w:val="20"/>
                </w:rPr>
                <w:t>10 mm</w:t>
              </w:r>
            </w:smartTag>
          </w:p>
        </w:tc>
      </w:tr>
      <w:tr w:rsidR="007C5ADC" w:rsidRPr="007C5ADC" w14:paraId="742ECA12" w14:textId="77777777" w:rsidTr="007C5ADC">
        <w:trPr>
          <w:trHeight w:val="825"/>
        </w:trPr>
        <w:tc>
          <w:tcPr>
            <w:tcW w:w="588" w:type="dxa"/>
            <w:vMerge w:val="restart"/>
          </w:tcPr>
          <w:p w14:paraId="53305960" w14:textId="77777777" w:rsidR="007C5ADC" w:rsidRPr="007C5ADC" w:rsidRDefault="007C5ADC" w:rsidP="00270120">
            <w:pPr>
              <w:overflowPunct w:val="0"/>
              <w:autoSpaceDE w:val="0"/>
              <w:autoSpaceDN w:val="0"/>
              <w:adjustRightInd w:val="0"/>
              <w:spacing w:line="240" w:lineRule="auto"/>
              <w:jc w:val="right"/>
              <w:textAlignment w:val="baseline"/>
              <w:rPr>
                <w:rFonts w:cs="Arial"/>
                <w:szCs w:val="20"/>
              </w:rPr>
            </w:pPr>
            <w:r w:rsidRPr="007C5ADC">
              <w:rPr>
                <w:rFonts w:cs="Arial"/>
                <w:szCs w:val="20"/>
              </w:rPr>
              <w:t>1.2</w:t>
            </w:r>
          </w:p>
        </w:tc>
        <w:tc>
          <w:tcPr>
            <w:tcW w:w="3943" w:type="dxa"/>
            <w:tcBorders>
              <w:bottom w:val="nil"/>
            </w:tcBorders>
          </w:tcPr>
          <w:p w14:paraId="00E1A44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Dopuszczalne odchyłki od płaskości i prostoliniowości, dla długości pomiarowej</w:t>
            </w:r>
          </w:p>
        </w:tc>
        <w:tc>
          <w:tcPr>
            <w:tcW w:w="1283" w:type="dxa"/>
            <w:tcBorders>
              <w:bottom w:val="nil"/>
            </w:tcBorders>
          </w:tcPr>
          <w:p w14:paraId="6B68CB14"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C</w:t>
            </w:r>
          </w:p>
        </w:tc>
        <w:tc>
          <w:tcPr>
            <w:tcW w:w="5003" w:type="dxa"/>
            <w:gridSpan w:val="6"/>
            <w:tcBorders>
              <w:bottom w:val="nil"/>
            </w:tcBorders>
          </w:tcPr>
          <w:p w14:paraId="2E43A57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r>
      <w:tr w:rsidR="007C5ADC" w:rsidRPr="007C5ADC" w14:paraId="16FA9148" w14:textId="77777777" w:rsidTr="007C5ADC">
        <w:trPr>
          <w:trHeight w:val="279"/>
        </w:trPr>
        <w:tc>
          <w:tcPr>
            <w:tcW w:w="588" w:type="dxa"/>
            <w:vMerge/>
          </w:tcPr>
          <w:p w14:paraId="420B159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tcBorders>
              <w:top w:val="nil"/>
              <w:bottom w:val="nil"/>
            </w:tcBorders>
          </w:tcPr>
          <w:p w14:paraId="3E472D6C" w14:textId="77777777" w:rsidR="007C5ADC" w:rsidRPr="007C5ADC" w:rsidRDefault="007C5ADC" w:rsidP="00270120">
            <w:pPr>
              <w:overflowPunct w:val="0"/>
              <w:autoSpaceDE w:val="0"/>
              <w:autoSpaceDN w:val="0"/>
              <w:adjustRightInd w:val="0"/>
              <w:spacing w:line="240" w:lineRule="auto"/>
              <w:jc w:val="right"/>
              <w:textAlignment w:val="baseline"/>
              <w:rPr>
                <w:rFonts w:cs="Arial"/>
                <w:szCs w:val="20"/>
              </w:rPr>
            </w:pPr>
            <w:r w:rsidRPr="007C5ADC">
              <w:rPr>
                <w:rFonts w:cs="Arial"/>
                <w:szCs w:val="20"/>
              </w:rPr>
              <w:t>300 mm</w:t>
            </w:r>
          </w:p>
        </w:tc>
        <w:tc>
          <w:tcPr>
            <w:tcW w:w="1283" w:type="dxa"/>
            <w:tcBorders>
              <w:top w:val="nil"/>
              <w:bottom w:val="nil"/>
            </w:tcBorders>
          </w:tcPr>
          <w:p w14:paraId="4BA6689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5003" w:type="dxa"/>
            <w:gridSpan w:val="6"/>
            <w:tcBorders>
              <w:top w:val="nil"/>
              <w:bottom w:val="nil"/>
            </w:tcBorders>
          </w:tcPr>
          <w:p w14:paraId="4A07595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 1,5 mm</w:t>
            </w:r>
          </w:p>
        </w:tc>
      </w:tr>
      <w:tr w:rsidR="007C5ADC" w:rsidRPr="007C5ADC" w14:paraId="7DADDA45" w14:textId="77777777" w:rsidTr="007C5ADC">
        <w:trPr>
          <w:trHeight w:val="249"/>
        </w:trPr>
        <w:tc>
          <w:tcPr>
            <w:tcW w:w="588" w:type="dxa"/>
            <w:vMerge/>
          </w:tcPr>
          <w:p w14:paraId="25A43F9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tcBorders>
              <w:top w:val="nil"/>
              <w:bottom w:val="nil"/>
            </w:tcBorders>
          </w:tcPr>
          <w:p w14:paraId="29293650" w14:textId="77777777" w:rsidR="007C5ADC" w:rsidRPr="007C5ADC" w:rsidRDefault="007C5ADC" w:rsidP="00270120">
            <w:pPr>
              <w:overflowPunct w:val="0"/>
              <w:autoSpaceDE w:val="0"/>
              <w:autoSpaceDN w:val="0"/>
              <w:adjustRightInd w:val="0"/>
              <w:spacing w:line="240" w:lineRule="auto"/>
              <w:jc w:val="right"/>
              <w:textAlignment w:val="baseline"/>
              <w:rPr>
                <w:rFonts w:cs="Arial"/>
                <w:szCs w:val="20"/>
              </w:rPr>
            </w:pPr>
            <w:r w:rsidRPr="007C5ADC">
              <w:rPr>
                <w:rFonts w:cs="Arial"/>
                <w:szCs w:val="20"/>
              </w:rPr>
              <w:t>400 mm</w:t>
            </w:r>
          </w:p>
        </w:tc>
        <w:tc>
          <w:tcPr>
            <w:tcW w:w="1283" w:type="dxa"/>
            <w:tcBorders>
              <w:top w:val="nil"/>
              <w:bottom w:val="nil"/>
            </w:tcBorders>
          </w:tcPr>
          <w:p w14:paraId="2D15717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5003" w:type="dxa"/>
            <w:gridSpan w:val="6"/>
            <w:tcBorders>
              <w:top w:val="nil"/>
              <w:bottom w:val="nil"/>
            </w:tcBorders>
          </w:tcPr>
          <w:p w14:paraId="2AAE598A"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 2,0 mm</w:t>
            </w:r>
          </w:p>
        </w:tc>
      </w:tr>
      <w:tr w:rsidR="007C5ADC" w:rsidRPr="007C5ADC" w14:paraId="280D9B60" w14:textId="77777777" w:rsidTr="007C5ADC">
        <w:trPr>
          <w:trHeight w:val="339"/>
        </w:trPr>
        <w:tc>
          <w:tcPr>
            <w:tcW w:w="588" w:type="dxa"/>
            <w:vMerge/>
          </w:tcPr>
          <w:p w14:paraId="119B92C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tcBorders>
              <w:top w:val="nil"/>
              <w:bottom w:val="nil"/>
            </w:tcBorders>
          </w:tcPr>
          <w:p w14:paraId="185AFD77" w14:textId="77777777" w:rsidR="007C5ADC" w:rsidRPr="007C5ADC" w:rsidRDefault="007C5ADC" w:rsidP="00270120">
            <w:pPr>
              <w:overflowPunct w:val="0"/>
              <w:autoSpaceDE w:val="0"/>
              <w:autoSpaceDN w:val="0"/>
              <w:adjustRightInd w:val="0"/>
              <w:spacing w:line="240" w:lineRule="auto"/>
              <w:jc w:val="right"/>
              <w:textAlignment w:val="baseline"/>
              <w:rPr>
                <w:rFonts w:cs="Arial"/>
                <w:szCs w:val="20"/>
              </w:rPr>
            </w:pPr>
            <w:r w:rsidRPr="007C5ADC">
              <w:rPr>
                <w:rFonts w:cs="Arial"/>
                <w:szCs w:val="20"/>
              </w:rPr>
              <w:t>500 mm</w:t>
            </w:r>
          </w:p>
        </w:tc>
        <w:tc>
          <w:tcPr>
            <w:tcW w:w="1283" w:type="dxa"/>
            <w:tcBorders>
              <w:top w:val="nil"/>
              <w:bottom w:val="nil"/>
            </w:tcBorders>
          </w:tcPr>
          <w:p w14:paraId="75BA8CE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5003" w:type="dxa"/>
            <w:gridSpan w:val="6"/>
            <w:tcBorders>
              <w:top w:val="nil"/>
              <w:bottom w:val="nil"/>
            </w:tcBorders>
          </w:tcPr>
          <w:p w14:paraId="10BC6F7C"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 2,5 mm</w:t>
            </w:r>
          </w:p>
        </w:tc>
      </w:tr>
      <w:tr w:rsidR="007C5ADC" w:rsidRPr="007C5ADC" w14:paraId="1A72D240" w14:textId="77777777" w:rsidTr="007C5ADC">
        <w:trPr>
          <w:trHeight w:val="317"/>
        </w:trPr>
        <w:tc>
          <w:tcPr>
            <w:tcW w:w="588" w:type="dxa"/>
            <w:vMerge/>
          </w:tcPr>
          <w:p w14:paraId="2D0E759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tcBorders>
              <w:top w:val="nil"/>
            </w:tcBorders>
          </w:tcPr>
          <w:p w14:paraId="1EC2C34E" w14:textId="77777777" w:rsidR="007C5ADC" w:rsidRPr="007C5ADC" w:rsidRDefault="007C5ADC" w:rsidP="00270120">
            <w:pPr>
              <w:overflowPunct w:val="0"/>
              <w:autoSpaceDE w:val="0"/>
              <w:autoSpaceDN w:val="0"/>
              <w:adjustRightInd w:val="0"/>
              <w:spacing w:line="240" w:lineRule="auto"/>
              <w:jc w:val="right"/>
              <w:textAlignment w:val="baseline"/>
              <w:rPr>
                <w:rFonts w:cs="Arial"/>
                <w:szCs w:val="20"/>
              </w:rPr>
            </w:pPr>
            <w:r w:rsidRPr="007C5ADC">
              <w:rPr>
                <w:rFonts w:cs="Arial"/>
                <w:szCs w:val="20"/>
              </w:rPr>
              <w:t>800 mm</w:t>
            </w:r>
          </w:p>
        </w:tc>
        <w:tc>
          <w:tcPr>
            <w:tcW w:w="1283" w:type="dxa"/>
            <w:tcBorders>
              <w:top w:val="nil"/>
            </w:tcBorders>
          </w:tcPr>
          <w:p w14:paraId="30CB54D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5003" w:type="dxa"/>
            <w:gridSpan w:val="6"/>
            <w:tcBorders>
              <w:top w:val="nil"/>
            </w:tcBorders>
          </w:tcPr>
          <w:p w14:paraId="0381825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 </w:t>
            </w:r>
            <w:smartTag w:uri="urn:schemas-microsoft-com:office:smarttags" w:element="metricconverter">
              <w:smartTagPr>
                <w:attr w:name="ProductID" w:val="4,0 mm"/>
              </w:smartTagPr>
              <w:r w:rsidRPr="007C5ADC">
                <w:rPr>
                  <w:rFonts w:cs="Arial"/>
                  <w:szCs w:val="20"/>
                </w:rPr>
                <w:t>4,0 mm</w:t>
              </w:r>
            </w:smartTag>
          </w:p>
        </w:tc>
      </w:tr>
      <w:tr w:rsidR="007C5ADC" w:rsidRPr="007C5ADC" w14:paraId="34AED81A" w14:textId="77777777" w:rsidTr="007C5ADC">
        <w:tc>
          <w:tcPr>
            <w:tcW w:w="588" w:type="dxa"/>
          </w:tcPr>
          <w:p w14:paraId="41F8980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w:t>
            </w:r>
          </w:p>
        </w:tc>
        <w:tc>
          <w:tcPr>
            <w:tcW w:w="10229" w:type="dxa"/>
            <w:gridSpan w:val="8"/>
          </w:tcPr>
          <w:p w14:paraId="78ECEF8C"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Właściwości fizyczne i mechaniczne</w:t>
            </w:r>
          </w:p>
        </w:tc>
      </w:tr>
      <w:tr w:rsidR="007C5ADC" w:rsidRPr="007C5ADC" w14:paraId="7B274891" w14:textId="77777777" w:rsidTr="007C5ADC">
        <w:trPr>
          <w:trHeight w:val="510"/>
        </w:trPr>
        <w:tc>
          <w:tcPr>
            <w:tcW w:w="588" w:type="dxa"/>
          </w:tcPr>
          <w:p w14:paraId="32A53C3B"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2.1</w:t>
            </w:r>
          </w:p>
        </w:tc>
        <w:tc>
          <w:tcPr>
            <w:tcW w:w="3943" w:type="dxa"/>
          </w:tcPr>
          <w:p w14:paraId="080474A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Odporność na zamrażanie/</w:t>
            </w:r>
          </w:p>
          <w:p w14:paraId="2DFC26FA"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rozmrażanie z udziałem soli odladzających</w:t>
            </w:r>
          </w:p>
        </w:tc>
        <w:tc>
          <w:tcPr>
            <w:tcW w:w="1283" w:type="dxa"/>
          </w:tcPr>
          <w:p w14:paraId="3D700569"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D</w:t>
            </w:r>
          </w:p>
        </w:tc>
        <w:tc>
          <w:tcPr>
            <w:tcW w:w="5003" w:type="dxa"/>
            <w:gridSpan w:val="6"/>
          </w:tcPr>
          <w:p w14:paraId="0D8C56A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Ubytek masy po badaniu: wartość średnia ≤ 1,0 kg/m</w:t>
            </w:r>
            <w:r w:rsidRPr="007C5ADC">
              <w:rPr>
                <w:rFonts w:cs="Arial"/>
                <w:szCs w:val="20"/>
                <w:vertAlign w:val="superscript"/>
              </w:rPr>
              <w:t>2</w:t>
            </w:r>
            <w:r w:rsidRPr="007C5ADC">
              <w:rPr>
                <w:rFonts w:cs="Arial"/>
                <w:szCs w:val="20"/>
              </w:rPr>
              <w:t>, przy czym każdy pojedynczy wynik &lt; 1,5 kg/m</w:t>
            </w:r>
            <w:r w:rsidRPr="007C5ADC">
              <w:rPr>
                <w:rFonts w:cs="Arial"/>
                <w:szCs w:val="20"/>
                <w:vertAlign w:val="superscript"/>
              </w:rPr>
              <w:t>2</w:t>
            </w:r>
          </w:p>
          <w:p w14:paraId="5BE4FF6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(klasa 3, oznaczenie D)</w:t>
            </w:r>
          </w:p>
        </w:tc>
      </w:tr>
      <w:tr w:rsidR="007C5ADC" w:rsidRPr="007C5ADC" w14:paraId="0F0A712B" w14:textId="77777777" w:rsidTr="007C5ADC">
        <w:trPr>
          <w:trHeight w:val="195"/>
        </w:trPr>
        <w:tc>
          <w:tcPr>
            <w:tcW w:w="588" w:type="dxa"/>
            <w:vMerge w:val="restart"/>
          </w:tcPr>
          <w:p w14:paraId="2D17D25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lastRenderedPageBreak/>
              <w:t>2.2</w:t>
            </w:r>
          </w:p>
        </w:tc>
        <w:tc>
          <w:tcPr>
            <w:tcW w:w="3943" w:type="dxa"/>
            <w:vMerge w:val="restart"/>
          </w:tcPr>
          <w:p w14:paraId="05EC6025"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Nasiąkliwość**</w:t>
            </w:r>
          </w:p>
        </w:tc>
        <w:tc>
          <w:tcPr>
            <w:tcW w:w="1283" w:type="dxa"/>
            <w:vMerge w:val="restart"/>
          </w:tcPr>
          <w:p w14:paraId="5831227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E</w:t>
            </w:r>
          </w:p>
        </w:tc>
        <w:tc>
          <w:tcPr>
            <w:tcW w:w="883" w:type="dxa"/>
            <w:gridSpan w:val="2"/>
          </w:tcPr>
          <w:p w14:paraId="700308F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Klasa</w:t>
            </w:r>
          </w:p>
        </w:tc>
        <w:tc>
          <w:tcPr>
            <w:tcW w:w="1155" w:type="dxa"/>
            <w:gridSpan w:val="2"/>
          </w:tcPr>
          <w:p w14:paraId="3F7BC33F"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roofErr w:type="spellStart"/>
            <w:r w:rsidRPr="007C5ADC">
              <w:rPr>
                <w:rFonts w:cs="Arial"/>
                <w:szCs w:val="20"/>
              </w:rPr>
              <w:t>Oznacze</w:t>
            </w:r>
            <w:proofErr w:type="spellEnd"/>
            <w:r w:rsidRPr="007C5ADC">
              <w:rPr>
                <w:rFonts w:cs="Arial"/>
                <w:szCs w:val="20"/>
              </w:rPr>
              <w:t>-nie</w:t>
            </w:r>
          </w:p>
        </w:tc>
        <w:tc>
          <w:tcPr>
            <w:tcW w:w="2965" w:type="dxa"/>
            <w:gridSpan w:val="2"/>
          </w:tcPr>
          <w:p w14:paraId="09FE27B9"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Nasiąkli-</w:t>
            </w:r>
            <w:proofErr w:type="spellStart"/>
            <w:r w:rsidRPr="007C5ADC">
              <w:rPr>
                <w:rFonts w:cs="Arial"/>
                <w:szCs w:val="20"/>
              </w:rPr>
              <w:t>wość</w:t>
            </w:r>
            <w:proofErr w:type="spellEnd"/>
            <w:r w:rsidRPr="007C5ADC">
              <w:rPr>
                <w:rFonts w:cs="Arial"/>
                <w:szCs w:val="20"/>
              </w:rPr>
              <w:t xml:space="preserve">  </w:t>
            </w:r>
          </w:p>
          <w:p w14:paraId="7646A3E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 masy</w:t>
            </w:r>
          </w:p>
        </w:tc>
      </w:tr>
      <w:tr w:rsidR="007C5ADC" w:rsidRPr="007C5ADC" w14:paraId="280AB677" w14:textId="77777777" w:rsidTr="007C5ADC">
        <w:trPr>
          <w:trHeight w:val="158"/>
        </w:trPr>
        <w:tc>
          <w:tcPr>
            <w:tcW w:w="588" w:type="dxa"/>
            <w:vMerge/>
          </w:tcPr>
          <w:p w14:paraId="1EA44488"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vMerge/>
          </w:tcPr>
          <w:p w14:paraId="1EE5DAF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1283" w:type="dxa"/>
            <w:vMerge/>
          </w:tcPr>
          <w:p w14:paraId="730D189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883" w:type="dxa"/>
            <w:gridSpan w:val="2"/>
          </w:tcPr>
          <w:p w14:paraId="5875CFF8"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w:t>
            </w:r>
          </w:p>
        </w:tc>
        <w:tc>
          <w:tcPr>
            <w:tcW w:w="1155" w:type="dxa"/>
            <w:gridSpan w:val="2"/>
          </w:tcPr>
          <w:p w14:paraId="3AB83908"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A</w:t>
            </w:r>
          </w:p>
        </w:tc>
        <w:tc>
          <w:tcPr>
            <w:tcW w:w="2965" w:type="dxa"/>
            <w:gridSpan w:val="2"/>
          </w:tcPr>
          <w:p w14:paraId="4870BCE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nie określa się</w:t>
            </w:r>
          </w:p>
        </w:tc>
      </w:tr>
      <w:tr w:rsidR="007C5ADC" w:rsidRPr="007C5ADC" w14:paraId="5B84D693" w14:textId="77777777" w:rsidTr="007C5ADC">
        <w:trPr>
          <w:trHeight w:val="203"/>
        </w:trPr>
        <w:tc>
          <w:tcPr>
            <w:tcW w:w="588" w:type="dxa"/>
            <w:vMerge/>
          </w:tcPr>
          <w:p w14:paraId="3E06CBF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vMerge/>
          </w:tcPr>
          <w:p w14:paraId="25CADF2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1283" w:type="dxa"/>
            <w:vMerge/>
          </w:tcPr>
          <w:p w14:paraId="72DFA5A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883" w:type="dxa"/>
            <w:gridSpan w:val="2"/>
          </w:tcPr>
          <w:p w14:paraId="08E299E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w:t>
            </w:r>
          </w:p>
        </w:tc>
        <w:tc>
          <w:tcPr>
            <w:tcW w:w="1155" w:type="dxa"/>
            <w:gridSpan w:val="2"/>
          </w:tcPr>
          <w:p w14:paraId="783759EE"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B</w:t>
            </w:r>
          </w:p>
        </w:tc>
        <w:tc>
          <w:tcPr>
            <w:tcW w:w="2965" w:type="dxa"/>
            <w:gridSpan w:val="2"/>
          </w:tcPr>
          <w:p w14:paraId="7E81FAF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 6</w:t>
            </w:r>
          </w:p>
        </w:tc>
      </w:tr>
      <w:tr w:rsidR="007C5ADC" w:rsidRPr="007C5ADC" w14:paraId="17CCCE69" w14:textId="77777777" w:rsidTr="007C5ADC">
        <w:trPr>
          <w:trHeight w:val="390"/>
        </w:trPr>
        <w:tc>
          <w:tcPr>
            <w:tcW w:w="588" w:type="dxa"/>
            <w:vMerge w:val="restart"/>
          </w:tcPr>
          <w:p w14:paraId="1228BC5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2.3</w:t>
            </w:r>
          </w:p>
        </w:tc>
        <w:tc>
          <w:tcPr>
            <w:tcW w:w="3943" w:type="dxa"/>
            <w:vMerge w:val="restart"/>
          </w:tcPr>
          <w:p w14:paraId="3FCD2D04" w14:textId="77777777" w:rsidR="007C5ADC" w:rsidRPr="007C5ADC" w:rsidRDefault="007C5ADC" w:rsidP="00270120">
            <w:pPr>
              <w:overflowPunct w:val="0"/>
              <w:autoSpaceDE w:val="0"/>
              <w:autoSpaceDN w:val="0"/>
              <w:adjustRightInd w:val="0"/>
              <w:spacing w:line="240" w:lineRule="auto"/>
              <w:textAlignment w:val="baseline"/>
              <w:rPr>
                <w:rFonts w:cs="Arial"/>
                <w:szCs w:val="20"/>
              </w:rPr>
            </w:pPr>
            <w:r w:rsidRPr="007C5ADC">
              <w:rPr>
                <w:rFonts w:cs="Arial"/>
                <w:szCs w:val="20"/>
              </w:rPr>
              <w:t>Wytrzymałość na zginanie (Klasa wytrzymałości ustalona w dokumentacji projektowej lub przez Inżyniera)</w:t>
            </w:r>
          </w:p>
        </w:tc>
        <w:tc>
          <w:tcPr>
            <w:tcW w:w="1283" w:type="dxa"/>
            <w:vMerge w:val="restart"/>
          </w:tcPr>
          <w:p w14:paraId="3D44D82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F</w:t>
            </w:r>
          </w:p>
        </w:tc>
        <w:tc>
          <w:tcPr>
            <w:tcW w:w="838" w:type="dxa"/>
          </w:tcPr>
          <w:p w14:paraId="1524567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Klasa</w:t>
            </w:r>
          </w:p>
          <w:p w14:paraId="2E16AD7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wytrz.</w:t>
            </w:r>
          </w:p>
        </w:tc>
        <w:tc>
          <w:tcPr>
            <w:tcW w:w="840" w:type="dxa"/>
            <w:gridSpan w:val="2"/>
          </w:tcPr>
          <w:p w14:paraId="370A511A"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roofErr w:type="spellStart"/>
            <w:r w:rsidRPr="007C5ADC">
              <w:rPr>
                <w:rFonts w:cs="Arial"/>
                <w:szCs w:val="20"/>
              </w:rPr>
              <w:t>Ozna-czenie</w:t>
            </w:r>
            <w:proofErr w:type="spellEnd"/>
          </w:p>
        </w:tc>
        <w:tc>
          <w:tcPr>
            <w:tcW w:w="1717" w:type="dxa"/>
            <w:gridSpan w:val="2"/>
          </w:tcPr>
          <w:p w14:paraId="21D6313B" w14:textId="77777777" w:rsidR="007C5ADC" w:rsidRPr="007C5ADC" w:rsidRDefault="007C5ADC" w:rsidP="00270120">
            <w:pPr>
              <w:overflowPunct w:val="0"/>
              <w:autoSpaceDE w:val="0"/>
              <w:autoSpaceDN w:val="0"/>
              <w:adjustRightInd w:val="0"/>
              <w:spacing w:line="240" w:lineRule="auto"/>
              <w:ind w:left="35"/>
              <w:jc w:val="both"/>
              <w:textAlignment w:val="baseline"/>
              <w:rPr>
                <w:rFonts w:cs="Arial"/>
                <w:szCs w:val="20"/>
              </w:rPr>
            </w:pPr>
            <w:r w:rsidRPr="007C5ADC">
              <w:rPr>
                <w:rFonts w:cs="Arial"/>
                <w:szCs w:val="20"/>
              </w:rPr>
              <w:t>Charak-</w:t>
            </w:r>
            <w:proofErr w:type="spellStart"/>
            <w:r w:rsidRPr="007C5ADC">
              <w:rPr>
                <w:rFonts w:cs="Arial"/>
                <w:szCs w:val="20"/>
              </w:rPr>
              <w:t>terysty</w:t>
            </w:r>
            <w:proofErr w:type="spellEnd"/>
            <w:r w:rsidRPr="007C5ADC">
              <w:rPr>
                <w:rFonts w:cs="Arial"/>
                <w:szCs w:val="20"/>
              </w:rPr>
              <w:t>-</w:t>
            </w:r>
            <w:proofErr w:type="spellStart"/>
            <w:r w:rsidRPr="007C5ADC">
              <w:rPr>
                <w:rFonts w:cs="Arial"/>
                <w:szCs w:val="20"/>
              </w:rPr>
              <w:t>czna</w:t>
            </w:r>
            <w:proofErr w:type="spellEnd"/>
            <w:r w:rsidRPr="007C5ADC">
              <w:rPr>
                <w:rFonts w:cs="Arial"/>
                <w:szCs w:val="20"/>
              </w:rPr>
              <w:t xml:space="preserve"> </w:t>
            </w:r>
            <w:proofErr w:type="spellStart"/>
            <w:r w:rsidRPr="007C5ADC">
              <w:rPr>
                <w:rFonts w:cs="Arial"/>
                <w:szCs w:val="20"/>
              </w:rPr>
              <w:t>wytrzy</w:t>
            </w:r>
            <w:proofErr w:type="spellEnd"/>
            <w:r w:rsidRPr="007C5ADC">
              <w:rPr>
                <w:rFonts w:cs="Arial"/>
                <w:szCs w:val="20"/>
              </w:rPr>
              <w:t xml:space="preserve">-małość, </w:t>
            </w:r>
            <w:proofErr w:type="spellStart"/>
            <w:r w:rsidRPr="007C5ADC">
              <w:rPr>
                <w:rFonts w:cs="Arial"/>
                <w:szCs w:val="20"/>
              </w:rPr>
              <w:t>MPa</w:t>
            </w:r>
            <w:proofErr w:type="spellEnd"/>
          </w:p>
        </w:tc>
        <w:tc>
          <w:tcPr>
            <w:tcW w:w="1608" w:type="dxa"/>
          </w:tcPr>
          <w:p w14:paraId="312B75A8" w14:textId="77777777" w:rsidR="007C5ADC" w:rsidRPr="007C5ADC" w:rsidRDefault="007C5ADC" w:rsidP="00270120">
            <w:pPr>
              <w:overflowPunct w:val="0"/>
              <w:autoSpaceDE w:val="0"/>
              <w:autoSpaceDN w:val="0"/>
              <w:adjustRightInd w:val="0"/>
              <w:spacing w:line="240" w:lineRule="auto"/>
              <w:ind w:left="20"/>
              <w:jc w:val="both"/>
              <w:textAlignment w:val="baseline"/>
              <w:rPr>
                <w:rFonts w:cs="Arial"/>
                <w:szCs w:val="20"/>
              </w:rPr>
            </w:pPr>
            <w:r w:rsidRPr="007C5ADC">
              <w:rPr>
                <w:rFonts w:cs="Arial"/>
                <w:szCs w:val="20"/>
              </w:rPr>
              <w:t xml:space="preserve">Każdy </w:t>
            </w:r>
            <w:proofErr w:type="spellStart"/>
            <w:r w:rsidRPr="007C5ADC">
              <w:rPr>
                <w:rFonts w:cs="Arial"/>
                <w:szCs w:val="20"/>
              </w:rPr>
              <w:t>pojedyn</w:t>
            </w:r>
            <w:proofErr w:type="spellEnd"/>
            <w:r w:rsidRPr="007C5ADC">
              <w:rPr>
                <w:rFonts w:cs="Arial"/>
                <w:szCs w:val="20"/>
              </w:rPr>
              <w:t>-czy</w:t>
            </w:r>
          </w:p>
          <w:p w14:paraId="6B4D83F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wynik, MPa</w:t>
            </w:r>
          </w:p>
        </w:tc>
      </w:tr>
      <w:tr w:rsidR="007C5ADC" w:rsidRPr="007C5ADC" w14:paraId="3C3E2F73" w14:textId="77777777" w:rsidTr="007C5ADC">
        <w:trPr>
          <w:trHeight w:val="177"/>
        </w:trPr>
        <w:tc>
          <w:tcPr>
            <w:tcW w:w="588" w:type="dxa"/>
            <w:vMerge/>
          </w:tcPr>
          <w:p w14:paraId="27175BC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vMerge/>
          </w:tcPr>
          <w:p w14:paraId="46299027" w14:textId="77777777" w:rsidR="007C5ADC" w:rsidRPr="007C5ADC" w:rsidRDefault="007C5ADC" w:rsidP="00270120">
            <w:pPr>
              <w:overflowPunct w:val="0"/>
              <w:autoSpaceDE w:val="0"/>
              <w:autoSpaceDN w:val="0"/>
              <w:adjustRightInd w:val="0"/>
              <w:spacing w:line="240" w:lineRule="auto"/>
              <w:textAlignment w:val="baseline"/>
              <w:rPr>
                <w:rFonts w:cs="Arial"/>
                <w:szCs w:val="20"/>
              </w:rPr>
            </w:pPr>
          </w:p>
        </w:tc>
        <w:tc>
          <w:tcPr>
            <w:tcW w:w="1283" w:type="dxa"/>
            <w:vMerge/>
          </w:tcPr>
          <w:p w14:paraId="438C095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838" w:type="dxa"/>
          </w:tcPr>
          <w:p w14:paraId="6E4F8BB9"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w:t>
            </w:r>
          </w:p>
        </w:tc>
        <w:tc>
          <w:tcPr>
            <w:tcW w:w="840" w:type="dxa"/>
            <w:gridSpan w:val="2"/>
          </w:tcPr>
          <w:p w14:paraId="7CB023B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S</w:t>
            </w:r>
          </w:p>
        </w:tc>
        <w:tc>
          <w:tcPr>
            <w:tcW w:w="1717" w:type="dxa"/>
            <w:gridSpan w:val="2"/>
          </w:tcPr>
          <w:p w14:paraId="0C57899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3,5</w:t>
            </w:r>
          </w:p>
        </w:tc>
        <w:tc>
          <w:tcPr>
            <w:tcW w:w="1608" w:type="dxa"/>
          </w:tcPr>
          <w:p w14:paraId="1546127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&gt;2,8</w:t>
            </w:r>
          </w:p>
        </w:tc>
      </w:tr>
      <w:tr w:rsidR="007C5ADC" w:rsidRPr="007C5ADC" w14:paraId="50CCAF71" w14:textId="77777777" w:rsidTr="007C5ADC">
        <w:trPr>
          <w:trHeight w:val="191"/>
        </w:trPr>
        <w:tc>
          <w:tcPr>
            <w:tcW w:w="588" w:type="dxa"/>
            <w:vMerge/>
          </w:tcPr>
          <w:p w14:paraId="38AF23AC"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vMerge/>
          </w:tcPr>
          <w:p w14:paraId="31F84F9B" w14:textId="77777777" w:rsidR="007C5ADC" w:rsidRPr="007C5ADC" w:rsidRDefault="007C5ADC" w:rsidP="00270120">
            <w:pPr>
              <w:overflowPunct w:val="0"/>
              <w:autoSpaceDE w:val="0"/>
              <w:autoSpaceDN w:val="0"/>
              <w:adjustRightInd w:val="0"/>
              <w:spacing w:line="240" w:lineRule="auto"/>
              <w:textAlignment w:val="baseline"/>
              <w:rPr>
                <w:rFonts w:cs="Arial"/>
                <w:szCs w:val="20"/>
              </w:rPr>
            </w:pPr>
          </w:p>
        </w:tc>
        <w:tc>
          <w:tcPr>
            <w:tcW w:w="1283" w:type="dxa"/>
            <w:vMerge/>
          </w:tcPr>
          <w:p w14:paraId="1E12CA2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838" w:type="dxa"/>
          </w:tcPr>
          <w:p w14:paraId="51E1C94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w:t>
            </w:r>
          </w:p>
        </w:tc>
        <w:tc>
          <w:tcPr>
            <w:tcW w:w="840" w:type="dxa"/>
            <w:gridSpan w:val="2"/>
          </w:tcPr>
          <w:p w14:paraId="5DF4835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T</w:t>
            </w:r>
          </w:p>
        </w:tc>
        <w:tc>
          <w:tcPr>
            <w:tcW w:w="1717" w:type="dxa"/>
            <w:gridSpan w:val="2"/>
          </w:tcPr>
          <w:p w14:paraId="085F577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5,0</w:t>
            </w:r>
          </w:p>
        </w:tc>
        <w:tc>
          <w:tcPr>
            <w:tcW w:w="1608" w:type="dxa"/>
          </w:tcPr>
          <w:p w14:paraId="4CAAD57B"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&gt; 4,0</w:t>
            </w:r>
          </w:p>
        </w:tc>
      </w:tr>
      <w:tr w:rsidR="007C5ADC" w:rsidRPr="007C5ADC" w14:paraId="038DEC8D" w14:textId="77777777" w:rsidTr="007C5ADC">
        <w:trPr>
          <w:trHeight w:val="157"/>
        </w:trPr>
        <w:tc>
          <w:tcPr>
            <w:tcW w:w="588" w:type="dxa"/>
            <w:vMerge/>
          </w:tcPr>
          <w:p w14:paraId="5773612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vMerge/>
          </w:tcPr>
          <w:p w14:paraId="00624274" w14:textId="77777777" w:rsidR="007C5ADC" w:rsidRPr="007C5ADC" w:rsidRDefault="007C5ADC" w:rsidP="00270120">
            <w:pPr>
              <w:overflowPunct w:val="0"/>
              <w:autoSpaceDE w:val="0"/>
              <w:autoSpaceDN w:val="0"/>
              <w:adjustRightInd w:val="0"/>
              <w:spacing w:line="240" w:lineRule="auto"/>
              <w:textAlignment w:val="baseline"/>
              <w:rPr>
                <w:rFonts w:cs="Arial"/>
                <w:szCs w:val="20"/>
              </w:rPr>
            </w:pPr>
          </w:p>
        </w:tc>
        <w:tc>
          <w:tcPr>
            <w:tcW w:w="1283" w:type="dxa"/>
            <w:vMerge/>
          </w:tcPr>
          <w:p w14:paraId="549BFB3C"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838" w:type="dxa"/>
          </w:tcPr>
          <w:p w14:paraId="7F02153F"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3*</w:t>
            </w:r>
          </w:p>
        </w:tc>
        <w:tc>
          <w:tcPr>
            <w:tcW w:w="840" w:type="dxa"/>
            <w:gridSpan w:val="2"/>
          </w:tcPr>
          <w:p w14:paraId="0DF6020F"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U*</w:t>
            </w:r>
          </w:p>
        </w:tc>
        <w:tc>
          <w:tcPr>
            <w:tcW w:w="1717" w:type="dxa"/>
            <w:gridSpan w:val="2"/>
          </w:tcPr>
          <w:p w14:paraId="31B9A9C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6,0</w:t>
            </w:r>
          </w:p>
        </w:tc>
        <w:tc>
          <w:tcPr>
            <w:tcW w:w="1608" w:type="dxa"/>
          </w:tcPr>
          <w:p w14:paraId="3AB31734"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&gt; 4,8</w:t>
            </w:r>
          </w:p>
        </w:tc>
      </w:tr>
      <w:tr w:rsidR="007C5ADC" w:rsidRPr="007C5ADC" w14:paraId="43BC8AF8" w14:textId="77777777" w:rsidTr="007C5ADC">
        <w:tc>
          <w:tcPr>
            <w:tcW w:w="588" w:type="dxa"/>
            <w:tcBorders>
              <w:bottom w:val="single" w:sz="4" w:space="0" w:color="auto"/>
            </w:tcBorders>
          </w:tcPr>
          <w:p w14:paraId="76B89BB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2.4</w:t>
            </w:r>
          </w:p>
        </w:tc>
        <w:tc>
          <w:tcPr>
            <w:tcW w:w="3943" w:type="dxa"/>
            <w:tcBorders>
              <w:bottom w:val="single" w:sz="4" w:space="0" w:color="auto"/>
            </w:tcBorders>
          </w:tcPr>
          <w:p w14:paraId="233A81B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Trwałość ze względu na wytrzymałość</w:t>
            </w:r>
          </w:p>
        </w:tc>
        <w:tc>
          <w:tcPr>
            <w:tcW w:w="1283" w:type="dxa"/>
            <w:tcBorders>
              <w:bottom w:val="single" w:sz="4" w:space="0" w:color="auto"/>
            </w:tcBorders>
          </w:tcPr>
          <w:p w14:paraId="168E1E6C"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F</w:t>
            </w:r>
          </w:p>
        </w:tc>
        <w:tc>
          <w:tcPr>
            <w:tcW w:w="5003" w:type="dxa"/>
            <w:gridSpan w:val="6"/>
          </w:tcPr>
          <w:p w14:paraId="6531D4C6"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Krawężniki mają zadawalającą  trwałość (wytrzymałość) jeśli spełnione są wymagania pktu 2.2 oraz poddawane są normalnej konserwacji</w:t>
            </w:r>
          </w:p>
        </w:tc>
      </w:tr>
    </w:tbl>
    <w:p w14:paraId="332C1A2C"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bl>
      <w:tblP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8"/>
        <w:gridCol w:w="3943"/>
        <w:gridCol w:w="1161"/>
        <w:gridCol w:w="960"/>
        <w:gridCol w:w="2132"/>
        <w:gridCol w:w="1984"/>
      </w:tblGrid>
      <w:tr w:rsidR="007C5ADC" w:rsidRPr="007C5ADC" w14:paraId="77519EA4" w14:textId="77777777" w:rsidTr="007C5ADC">
        <w:tc>
          <w:tcPr>
            <w:tcW w:w="588" w:type="dxa"/>
            <w:vMerge w:val="restart"/>
          </w:tcPr>
          <w:p w14:paraId="3DF4C7C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2.5</w:t>
            </w:r>
          </w:p>
        </w:tc>
        <w:tc>
          <w:tcPr>
            <w:tcW w:w="3943" w:type="dxa"/>
            <w:vMerge w:val="restart"/>
          </w:tcPr>
          <w:p w14:paraId="72A1D7B0"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Odporność na ścieranie</w:t>
            </w:r>
          </w:p>
          <w:p w14:paraId="45DC816F"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(Klasa odporności ustalona w dokumentacji projektowej lub przez Inżyniera)</w:t>
            </w:r>
          </w:p>
        </w:tc>
        <w:tc>
          <w:tcPr>
            <w:tcW w:w="1161" w:type="dxa"/>
            <w:vMerge w:val="restart"/>
          </w:tcPr>
          <w:p w14:paraId="375E5AF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G i H</w:t>
            </w:r>
          </w:p>
        </w:tc>
        <w:tc>
          <w:tcPr>
            <w:tcW w:w="960" w:type="dxa"/>
            <w:vMerge w:val="restart"/>
          </w:tcPr>
          <w:p w14:paraId="39D46ED4"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Klasa</w:t>
            </w:r>
          </w:p>
          <w:p w14:paraId="25AC7E3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odpor-</w:t>
            </w:r>
          </w:p>
          <w:p w14:paraId="65734E49"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ności</w:t>
            </w:r>
          </w:p>
        </w:tc>
        <w:tc>
          <w:tcPr>
            <w:tcW w:w="4116" w:type="dxa"/>
            <w:gridSpan w:val="2"/>
          </w:tcPr>
          <w:p w14:paraId="138F30D9"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Odporność przy pomiarze na tarczy</w:t>
            </w:r>
          </w:p>
        </w:tc>
      </w:tr>
      <w:tr w:rsidR="007C5ADC" w:rsidRPr="007C5ADC" w14:paraId="27243A58" w14:textId="77777777" w:rsidTr="007C5ADC">
        <w:tc>
          <w:tcPr>
            <w:tcW w:w="588" w:type="dxa"/>
            <w:vMerge/>
          </w:tcPr>
          <w:p w14:paraId="113FE10F"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vMerge/>
          </w:tcPr>
          <w:p w14:paraId="5AA9AA14"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1161" w:type="dxa"/>
            <w:vMerge/>
          </w:tcPr>
          <w:p w14:paraId="39EEB2DC"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960" w:type="dxa"/>
            <w:vMerge/>
          </w:tcPr>
          <w:p w14:paraId="1550637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2132" w:type="dxa"/>
          </w:tcPr>
          <w:p w14:paraId="4805636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 xml:space="preserve">szerokiej ściernej, wg zał. G normy badanie </w:t>
            </w:r>
            <w:proofErr w:type="spellStart"/>
            <w:r w:rsidRPr="007C5ADC">
              <w:rPr>
                <w:rFonts w:cs="Arial"/>
                <w:szCs w:val="20"/>
              </w:rPr>
              <w:t>podsta-wowe</w:t>
            </w:r>
            <w:proofErr w:type="spellEnd"/>
          </w:p>
        </w:tc>
        <w:tc>
          <w:tcPr>
            <w:tcW w:w="1984" w:type="dxa"/>
          </w:tcPr>
          <w:p w14:paraId="11C3AB68"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Böhmego,</w:t>
            </w:r>
          </w:p>
          <w:p w14:paraId="1A937CB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wg zał. H normy – badanie alternatywne</w:t>
            </w:r>
          </w:p>
        </w:tc>
      </w:tr>
      <w:tr w:rsidR="007C5ADC" w:rsidRPr="007C5ADC" w14:paraId="3CBA14BD" w14:textId="77777777" w:rsidTr="007C5ADC">
        <w:trPr>
          <w:trHeight w:val="285"/>
        </w:trPr>
        <w:tc>
          <w:tcPr>
            <w:tcW w:w="588" w:type="dxa"/>
            <w:vMerge/>
          </w:tcPr>
          <w:p w14:paraId="33DF0ED9"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vMerge/>
          </w:tcPr>
          <w:p w14:paraId="0F495C3F"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1161" w:type="dxa"/>
            <w:vMerge/>
          </w:tcPr>
          <w:p w14:paraId="0C64A65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960" w:type="dxa"/>
          </w:tcPr>
          <w:p w14:paraId="0C4D4B9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w:t>
            </w:r>
          </w:p>
        </w:tc>
        <w:tc>
          <w:tcPr>
            <w:tcW w:w="2132" w:type="dxa"/>
          </w:tcPr>
          <w:p w14:paraId="0C58C0DC"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Nie określa się</w:t>
            </w:r>
          </w:p>
        </w:tc>
        <w:tc>
          <w:tcPr>
            <w:tcW w:w="1984" w:type="dxa"/>
          </w:tcPr>
          <w:p w14:paraId="43EB80D4"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Nie określa się</w:t>
            </w:r>
          </w:p>
        </w:tc>
      </w:tr>
      <w:tr w:rsidR="007C5ADC" w:rsidRPr="007C5ADC" w14:paraId="2FF619C1" w14:textId="77777777" w:rsidTr="007C5ADC">
        <w:trPr>
          <w:trHeight w:val="270"/>
        </w:trPr>
        <w:tc>
          <w:tcPr>
            <w:tcW w:w="588" w:type="dxa"/>
            <w:vMerge/>
          </w:tcPr>
          <w:p w14:paraId="49BA7AB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vMerge/>
          </w:tcPr>
          <w:p w14:paraId="12019E96"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1161" w:type="dxa"/>
            <w:vMerge/>
          </w:tcPr>
          <w:p w14:paraId="632DA28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960" w:type="dxa"/>
          </w:tcPr>
          <w:p w14:paraId="68C009A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3</w:t>
            </w:r>
          </w:p>
        </w:tc>
        <w:tc>
          <w:tcPr>
            <w:tcW w:w="2132" w:type="dxa"/>
          </w:tcPr>
          <w:p w14:paraId="2A40116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 23 mm</w:t>
            </w:r>
          </w:p>
        </w:tc>
        <w:tc>
          <w:tcPr>
            <w:tcW w:w="1984" w:type="dxa"/>
          </w:tcPr>
          <w:p w14:paraId="76E7A6C7" w14:textId="77777777" w:rsidR="007C5ADC" w:rsidRPr="007C5ADC" w:rsidRDefault="007C5ADC" w:rsidP="00270120">
            <w:pPr>
              <w:overflowPunct w:val="0"/>
              <w:autoSpaceDE w:val="0"/>
              <w:autoSpaceDN w:val="0"/>
              <w:adjustRightInd w:val="0"/>
              <w:spacing w:line="240" w:lineRule="auto"/>
              <w:textAlignment w:val="baseline"/>
              <w:rPr>
                <w:rFonts w:cs="Arial"/>
                <w:szCs w:val="20"/>
                <w:vertAlign w:val="superscript"/>
              </w:rPr>
            </w:pPr>
            <w:r w:rsidRPr="007C5ADC">
              <w:rPr>
                <w:rFonts w:cs="Arial"/>
                <w:szCs w:val="20"/>
              </w:rPr>
              <w:t>≤ 20000 mm</w:t>
            </w:r>
            <w:r w:rsidRPr="007C5ADC">
              <w:rPr>
                <w:rFonts w:cs="Arial"/>
                <w:szCs w:val="20"/>
                <w:vertAlign w:val="superscript"/>
              </w:rPr>
              <w:t>3</w:t>
            </w:r>
            <w:r w:rsidRPr="007C5ADC">
              <w:rPr>
                <w:rFonts w:cs="Arial"/>
                <w:szCs w:val="20"/>
              </w:rPr>
              <w:t>/5000 mm</w:t>
            </w:r>
            <w:r w:rsidRPr="007C5ADC">
              <w:rPr>
                <w:rFonts w:cs="Arial"/>
                <w:szCs w:val="20"/>
                <w:vertAlign w:val="superscript"/>
              </w:rPr>
              <w:t>2</w:t>
            </w:r>
          </w:p>
        </w:tc>
      </w:tr>
      <w:tr w:rsidR="007C5ADC" w:rsidRPr="007C5ADC" w14:paraId="6B39FDE6" w14:textId="77777777" w:rsidTr="007C5ADC">
        <w:trPr>
          <w:trHeight w:val="932"/>
        </w:trPr>
        <w:tc>
          <w:tcPr>
            <w:tcW w:w="588" w:type="dxa"/>
            <w:vMerge/>
          </w:tcPr>
          <w:p w14:paraId="0F46C58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3943" w:type="dxa"/>
            <w:vMerge/>
          </w:tcPr>
          <w:p w14:paraId="2914794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1161" w:type="dxa"/>
            <w:vMerge/>
          </w:tcPr>
          <w:p w14:paraId="117E4DB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c>
        <w:tc>
          <w:tcPr>
            <w:tcW w:w="960" w:type="dxa"/>
          </w:tcPr>
          <w:p w14:paraId="3578886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4*</w:t>
            </w:r>
          </w:p>
        </w:tc>
        <w:tc>
          <w:tcPr>
            <w:tcW w:w="2132" w:type="dxa"/>
          </w:tcPr>
          <w:p w14:paraId="6C14A05E"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 xml:space="preserve">≤ </w:t>
            </w:r>
            <w:smartTag w:uri="urn:schemas-microsoft-com:office:smarttags" w:element="metricconverter">
              <w:smartTagPr>
                <w:attr w:name="ProductID" w:val="20 mm"/>
              </w:smartTagPr>
              <w:r w:rsidRPr="007C5ADC">
                <w:rPr>
                  <w:rFonts w:cs="Arial"/>
                  <w:szCs w:val="20"/>
                </w:rPr>
                <w:t>20 mm</w:t>
              </w:r>
            </w:smartTag>
          </w:p>
        </w:tc>
        <w:tc>
          <w:tcPr>
            <w:tcW w:w="1984" w:type="dxa"/>
          </w:tcPr>
          <w:p w14:paraId="6E5919A7" w14:textId="77777777" w:rsidR="007C5ADC" w:rsidRPr="007C5ADC" w:rsidRDefault="007C5ADC" w:rsidP="00270120">
            <w:pPr>
              <w:overflowPunct w:val="0"/>
              <w:autoSpaceDE w:val="0"/>
              <w:autoSpaceDN w:val="0"/>
              <w:adjustRightInd w:val="0"/>
              <w:spacing w:line="240" w:lineRule="auto"/>
              <w:textAlignment w:val="baseline"/>
              <w:rPr>
                <w:rFonts w:cs="Arial"/>
                <w:szCs w:val="20"/>
              </w:rPr>
            </w:pPr>
            <w:r w:rsidRPr="007C5ADC">
              <w:rPr>
                <w:rFonts w:cs="Arial"/>
                <w:szCs w:val="20"/>
              </w:rPr>
              <w:t>≤ 18000 mm</w:t>
            </w:r>
            <w:r w:rsidRPr="007C5ADC">
              <w:rPr>
                <w:rFonts w:cs="Arial"/>
                <w:szCs w:val="20"/>
                <w:vertAlign w:val="superscript"/>
              </w:rPr>
              <w:t>3</w:t>
            </w:r>
            <w:r w:rsidRPr="007C5ADC">
              <w:rPr>
                <w:rFonts w:cs="Arial"/>
                <w:szCs w:val="20"/>
              </w:rPr>
              <w:t>/5000 mm</w:t>
            </w:r>
            <w:r w:rsidRPr="007C5ADC">
              <w:rPr>
                <w:rFonts w:cs="Arial"/>
                <w:szCs w:val="20"/>
                <w:vertAlign w:val="superscript"/>
              </w:rPr>
              <w:t>2</w:t>
            </w:r>
          </w:p>
        </w:tc>
      </w:tr>
      <w:tr w:rsidR="007C5ADC" w:rsidRPr="007C5ADC" w14:paraId="26DC6D1F" w14:textId="77777777" w:rsidTr="007C5ADC">
        <w:tc>
          <w:tcPr>
            <w:tcW w:w="588" w:type="dxa"/>
          </w:tcPr>
          <w:p w14:paraId="2ACE3F7E"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2.6</w:t>
            </w:r>
          </w:p>
        </w:tc>
        <w:tc>
          <w:tcPr>
            <w:tcW w:w="3943" w:type="dxa"/>
          </w:tcPr>
          <w:p w14:paraId="45667DA5"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Odporność na poślizg/</w:t>
            </w:r>
          </w:p>
          <w:p w14:paraId="07EEF79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poślizgnięcie</w:t>
            </w:r>
          </w:p>
        </w:tc>
        <w:tc>
          <w:tcPr>
            <w:tcW w:w="1161" w:type="dxa"/>
          </w:tcPr>
          <w:p w14:paraId="759DFF4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I</w:t>
            </w:r>
          </w:p>
        </w:tc>
        <w:tc>
          <w:tcPr>
            <w:tcW w:w="5076" w:type="dxa"/>
            <w:gridSpan w:val="3"/>
          </w:tcPr>
          <w:p w14:paraId="49562373" w14:textId="77777777" w:rsidR="007C5ADC" w:rsidRPr="007C5ADC" w:rsidRDefault="007C5ADC" w:rsidP="00CF1E7D">
            <w:pPr>
              <w:numPr>
                <w:ilvl w:val="0"/>
                <w:numId w:val="81"/>
              </w:numPr>
              <w:tabs>
                <w:tab w:val="clear" w:pos="340"/>
                <w:tab w:val="num" w:pos="0"/>
                <w:tab w:val="num" w:pos="176"/>
              </w:tabs>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jeśli górna powierzchnia krawężnika nie była szlifowana i/lub polerowana – zadowalająca odporność,</w:t>
            </w:r>
          </w:p>
          <w:p w14:paraId="089ACD85" w14:textId="77777777" w:rsidR="007C5ADC" w:rsidRPr="007C5ADC" w:rsidRDefault="007C5ADC" w:rsidP="00CF1E7D">
            <w:pPr>
              <w:numPr>
                <w:ilvl w:val="0"/>
                <w:numId w:val="81"/>
              </w:numPr>
              <w:tabs>
                <w:tab w:val="clear" w:pos="340"/>
                <w:tab w:val="num" w:pos="0"/>
                <w:tab w:val="num" w:pos="176"/>
              </w:tabs>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 xml:space="preserve">jeśli wyjątkowo wymaga się podania wartości odporności na poślizg/poślizgnięcie – należy zadeklarować minimalną jej wartość pomierzoną wg zał. I normy (wahadłowym </w:t>
            </w:r>
            <w:proofErr w:type="spellStart"/>
            <w:r w:rsidRPr="007C5ADC">
              <w:rPr>
                <w:rFonts w:cs="Arial"/>
                <w:szCs w:val="20"/>
              </w:rPr>
              <w:t>przyrzą-dem</w:t>
            </w:r>
            <w:proofErr w:type="spellEnd"/>
            <w:r w:rsidRPr="007C5ADC">
              <w:rPr>
                <w:rFonts w:cs="Arial"/>
                <w:szCs w:val="20"/>
              </w:rPr>
              <w:t xml:space="preserve"> do badania tarcia),</w:t>
            </w:r>
          </w:p>
          <w:p w14:paraId="35CB1985" w14:textId="77777777" w:rsidR="007C5ADC" w:rsidRPr="007C5ADC" w:rsidRDefault="007C5ADC" w:rsidP="00CF1E7D">
            <w:pPr>
              <w:numPr>
                <w:ilvl w:val="0"/>
                <w:numId w:val="81"/>
              </w:numPr>
              <w:tabs>
                <w:tab w:val="clear" w:pos="340"/>
                <w:tab w:val="num" w:pos="0"/>
                <w:tab w:val="num" w:pos="176"/>
              </w:tabs>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 xml:space="preserve">trwałość odporności na poślizg/poślizgnięcie w </w:t>
            </w:r>
            <w:proofErr w:type="spellStart"/>
            <w:r w:rsidRPr="007C5ADC">
              <w:rPr>
                <w:rFonts w:cs="Arial"/>
                <w:szCs w:val="20"/>
              </w:rPr>
              <w:t>normal-nych</w:t>
            </w:r>
            <w:proofErr w:type="spellEnd"/>
            <w:r w:rsidRPr="007C5ADC">
              <w:rPr>
                <w:rFonts w:cs="Arial"/>
                <w:szCs w:val="20"/>
              </w:rPr>
              <w:t xml:space="preserve"> warunkach użytkowania krawężnika jest zadowalająca przez cały okres użytkowania, pod warunkiem właściwego utrzymywania i gdy na znacznej części nie zostało odsłonięte kruszywo podlegające </w:t>
            </w:r>
            <w:proofErr w:type="spellStart"/>
            <w:r w:rsidRPr="007C5ADC">
              <w:rPr>
                <w:rFonts w:cs="Arial"/>
                <w:szCs w:val="20"/>
              </w:rPr>
              <w:t>intensyw-nemu</w:t>
            </w:r>
            <w:proofErr w:type="spellEnd"/>
            <w:r w:rsidRPr="007C5ADC">
              <w:rPr>
                <w:rFonts w:cs="Arial"/>
                <w:szCs w:val="20"/>
              </w:rPr>
              <w:t xml:space="preserve"> polerowaniu</w:t>
            </w:r>
          </w:p>
          <w:p w14:paraId="4B9ED19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wg GDDKiA wartość średnia USRW≥55</w:t>
            </w:r>
          </w:p>
        </w:tc>
      </w:tr>
      <w:tr w:rsidR="007C5ADC" w:rsidRPr="007C5ADC" w14:paraId="444065AE" w14:textId="77777777" w:rsidTr="007C5ADC">
        <w:tc>
          <w:tcPr>
            <w:tcW w:w="588" w:type="dxa"/>
          </w:tcPr>
          <w:p w14:paraId="7153061E"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3</w:t>
            </w:r>
          </w:p>
        </w:tc>
        <w:tc>
          <w:tcPr>
            <w:tcW w:w="10180" w:type="dxa"/>
            <w:gridSpan w:val="5"/>
          </w:tcPr>
          <w:p w14:paraId="191E8E28"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Aspekty wizualne</w:t>
            </w:r>
          </w:p>
        </w:tc>
      </w:tr>
      <w:tr w:rsidR="007C5ADC" w:rsidRPr="007C5ADC" w14:paraId="3F4F087D" w14:textId="77777777" w:rsidTr="007C5ADC">
        <w:tc>
          <w:tcPr>
            <w:tcW w:w="588" w:type="dxa"/>
          </w:tcPr>
          <w:p w14:paraId="7589932F"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3.1</w:t>
            </w:r>
          </w:p>
        </w:tc>
        <w:tc>
          <w:tcPr>
            <w:tcW w:w="3943" w:type="dxa"/>
          </w:tcPr>
          <w:p w14:paraId="39E05D26"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Wygląd</w:t>
            </w:r>
          </w:p>
        </w:tc>
        <w:tc>
          <w:tcPr>
            <w:tcW w:w="1161" w:type="dxa"/>
          </w:tcPr>
          <w:p w14:paraId="6F62440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J</w:t>
            </w:r>
          </w:p>
        </w:tc>
        <w:tc>
          <w:tcPr>
            <w:tcW w:w="5076" w:type="dxa"/>
            <w:gridSpan w:val="3"/>
          </w:tcPr>
          <w:p w14:paraId="27D7EC53" w14:textId="77777777" w:rsidR="007C5ADC" w:rsidRPr="007C5ADC" w:rsidRDefault="007C5ADC" w:rsidP="00CF1E7D">
            <w:pPr>
              <w:numPr>
                <w:ilvl w:val="0"/>
                <w:numId w:val="82"/>
              </w:numPr>
              <w:tabs>
                <w:tab w:val="clear" w:pos="340"/>
                <w:tab w:val="num" w:pos="0"/>
                <w:tab w:val="num" w:pos="176"/>
              </w:tabs>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powierzchnia krawężnika nie powinna mieć rys i odprysków,</w:t>
            </w:r>
          </w:p>
          <w:p w14:paraId="2191FFB3" w14:textId="77777777" w:rsidR="007C5ADC" w:rsidRPr="007C5ADC" w:rsidRDefault="007C5ADC" w:rsidP="00CF1E7D">
            <w:pPr>
              <w:numPr>
                <w:ilvl w:val="0"/>
                <w:numId w:val="82"/>
              </w:numPr>
              <w:tabs>
                <w:tab w:val="clear" w:pos="340"/>
                <w:tab w:val="num" w:pos="0"/>
                <w:tab w:val="num" w:pos="176"/>
              </w:tabs>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 xml:space="preserve">nie dopuszcza się rozwarstwień w krawężnikach </w:t>
            </w:r>
            <w:proofErr w:type="spellStart"/>
            <w:r w:rsidRPr="007C5ADC">
              <w:rPr>
                <w:rFonts w:cs="Arial"/>
                <w:szCs w:val="20"/>
              </w:rPr>
              <w:t>dwuwarstwo-wych</w:t>
            </w:r>
            <w:proofErr w:type="spellEnd"/>
          </w:p>
          <w:p w14:paraId="790B3DCE" w14:textId="77777777" w:rsidR="007C5ADC" w:rsidRPr="007C5ADC" w:rsidRDefault="007C5ADC" w:rsidP="00CF1E7D">
            <w:pPr>
              <w:numPr>
                <w:ilvl w:val="0"/>
                <w:numId w:val="82"/>
              </w:numPr>
              <w:tabs>
                <w:tab w:val="clear" w:pos="340"/>
                <w:tab w:val="num" w:pos="0"/>
                <w:tab w:val="num" w:pos="176"/>
              </w:tabs>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ewentualne wykwity nie są uważane za istotne</w:t>
            </w:r>
          </w:p>
        </w:tc>
      </w:tr>
      <w:tr w:rsidR="007C5ADC" w:rsidRPr="007C5ADC" w14:paraId="27E68DB4" w14:textId="77777777" w:rsidTr="007C5ADC">
        <w:tc>
          <w:tcPr>
            <w:tcW w:w="588" w:type="dxa"/>
          </w:tcPr>
          <w:p w14:paraId="5605789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3.2</w:t>
            </w:r>
          </w:p>
        </w:tc>
        <w:tc>
          <w:tcPr>
            <w:tcW w:w="3943" w:type="dxa"/>
          </w:tcPr>
          <w:p w14:paraId="2AF099F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Tekstura</w:t>
            </w:r>
          </w:p>
        </w:tc>
        <w:tc>
          <w:tcPr>
            <w:tcW w:w="1161" w:type="dxa"/>
          </w:tcPr>
          <w:p w14:paraId="6B4E7EE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J</w:t>
            </w:r>
          </w:p>
        </w:tc>
        <w:tc>
          <w:tcPr>
            <w:tcW w:w="5076" w:type="dxa"/>
            <w:gridSpan w:val="3"/>
          </w:tcPr>
          <w:p w14:paraId="3D674147" w14:textId="77777777" w:rsidR="007C5ADC" w:rsidRPr="007C5ADC" w:rsidRDefault="007C5ADC" w:rsidP="00CF1E7D">
            <w:pPr>
              <w:numPr>
                <w:ilvl w:val="0"/>
                <w:numId w:val="83"/>
              </w:numPr>
              <w:tabs>
                <w:tab w:val="clear" w:pos="340"/>
                <w:tab w:val="num" w:pos="0"/>
                <w:tab w:val="num" w:pos="176"/>
              </w:tabs>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krawężniki z powierzchnią o specjalnej teksturze – producent powinien określić rodzaj tekstury,</w:t>
            </w:r>
          </w:p>
          <w:p w14:paraId="3D402738" w14:textId="77777777" w:rsidR="007C5ADC" w:rsidRPr="007C5ADC" w:rsidRDefault="007C5ADC" w:rsidP="00CF1E7D">
            <w:pPr>
              <w:numPr>
                <w:ilvl w:val="0"/>
                <w:numId w:val="83"/>
              </w:numPr>
              <w:tabs>
                <w:tab w:val="clear" w:pos="340"/>
                <w:tab w:val="num" w:pos="0"/>
                <w:tab w:val="num" w:pos="176"/>
              </w:tabs>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tekstura powinna być porównana z próbkami dostarczonymi przez producenta, zatwierdzonymi przez odbiorcę,</w:t>
            </w:r>
          </w:p>
          <w:p w14:paraId="612D74CC" w14:textId="77777777" w:rsidR="007C5ADC" w:rsidRPr="007C5ADC" w:rsidRDefault="007C5ADC" w:rsidP="00CF1E7D">
            <w:pPr>
              <w:numPr>
                <w:ilvl w:val="0"/>
                <w:numId w:val="83"/>
              </w:numPr>
              <w:tabs>
                <w:tab w:val="clear" w:pos="340"/>
                <w:tab w:val="num" w:pos="0"/>
                <w:tab w:val="num" w:pos="176"/>
              </w:tabs>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różnice w jednolitości tekstury, spowodowane nieuniknionymi zmianami we właściwości surowców i warunków twardnienia, nie są uważane za istotne</w:t>
            </w:r>
          </w:p>
        </w:tc>
      </w:tr>
      <w:tr w:rsidR="007C5ADC" w:rsidRPr="007C5ADC" w14:paraId="5EEFB5A5" w14:textId="77777777" w:rsidTr="007C5ADC">
        <w:tc>
          <w:tcPr>
            <w:tcW w:w="588" w:type="dxa"/>
          </w:tcPr>
          <w:p w14:paraId="52D6F2D4"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3.3</w:t>
            </w:r>
          </w:p>
        </w:tc>
        <w:tc>
          <w:tcPr>
            <w:tcW w:w="3943" w:type="dxa"/>
          </w:tcPr>
          <w:p w14:paraId="1B2E90F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Zabarwienie</w:t>
            </w:r>
          </w:p>
        </w:tc>
        <w:tc>
          <w:tcPr>
            <w:tcW w:w="1161" w:type="dxa"/>
          </w:tcPr>
          <w:p w14:paraId="647B7D43"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J</w:t>
            </w:r>
          </w:p>
        </w:tc>
        <w:tc>
          <w:tcPr>
            <w:tcW w:w="5076" w:type="dxa"/>
            <w:gridSpan w:val="3"/>
          </w:tcPr>
          <w:p w14:paraId="70815C03" w14:textId="77777777" w:rsidR="007C5ADC" w:rsidRPr="007C5ADC" w:rsidRDefault="007C5ADC" w:rsidP="00CF1E7D">
            <w:pPr>
              <w:numPr>
                <w:ilvl w:val="0"/>
                <w:numId w:val="213"/>
              </w:numPr>
              <w:overflowPunct w:val="0"/>
              <w:autoSpaceDE w:val="0"/>
              <w:autoSpaceDN w:val="0"/>
              <w:adjustRightInd w:val="0"/>
              <w:spacing w:line="240" w:lineRule="auto"/>
              <w:jc w:val="both"/>
              <w:textAlignment w:val="baseline"/>
              <w:rPr>
                <w:rFonts w:cs="Arial"/>
                <w:szCs w:val="20"/>
              </w:rPr>
            </w:pPr>
            <w:r w:rsidRPr="007C5ADC">
              <w:rPr>
                <w:rFonts w:cs="Arial"/>
                <w:szCs w:val="20"/>
              </w:rPr>
              <w:t>barwiona może być warstwa ścieralna lub cały element,</w:t>
            </w:r>
          </w:p>
          <w:p w14:paraId="2DB3D5C7" w14:textId="77777777" w:rsidR="007C5ADC" w:rsidRPr="007C5ADC" w:rsidRDefault="007C5ADC" w:rsidP="00CF1E7D">
            <w:pPr>
              <w:numPr>
                <w:ilvl w:val="0"/>
                <w:numId w:val="213"/>
              </w:numPr>
              <w:overflowPunct w:val="0"/>
              <w:autoSpaceDE w:val="0"/>
              <w:autoSpaceDN w:val="0"/>
              <w:adjustRightInd w:val="0"/>
              <w:spacing w:line="240" w:lineRule="auto"/>
              <w:jc w:val="both"/>
              <w:textAlignment w:val="baseline"/>
              <w:rPr>
                <w:rFonts w:cs="Arial"/>
                <w:szCs w:val="20"/>
              </w:rPr>
            </w:pPr>
            <w:r w:rsidRPr="007C5ADC">
              <w:rPr>
                <w:rFonts w:cs="Arial"/>
                <w:szCs w:val="20"/>
              </w:rPr>
              <w:t>zabarwienie powinno być porównane z próbkami dostarczonymi przez producenta, zatwierdzonymi przez odbiorcę,</w:t>
            </w:r>
          </w:p>
          <w:p w14:paraId="671D0257" w14:textId="77777777" w:rsidR="007C5ADC" w:rsidRPr="007C5ADC" w:rsidRDefault="007C5ADC" w:rsidP="00CF1E7D">
            <w:pPr>
              <w:numPr>
                <w:ilvl w:val="0"/>
                <w:numId w:val="213"/>
              </w:num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różnice w jednolitości zabarwienia, spowodowane </w:t>
            </w:r>
            <w:r w:rsidRPr="007C5ADC">
              <w:rPr>
                <w:rFonts w:cs="Arial"/>
                <w:szCs w:val="20"/>
              </w:rPr>
              <w:lastRenderedPageBreak/>
              <w:t>nieuniknionymi zmianami właściwości surowców lub warunków dojrzewania betonu, nie są uważane za istotne</w:t>
            </w:r>
          </w:p>
        </w:tc>
      </w:tr>
    </w:tbl>
    <w:p w14:paraId="2D186651"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szCs w:val="20"/>
        </w:rPr>
        <w:lastRenderedPageBreak/>
        <w:t>* parametry zalecone przez GDDKiA [10]</w:t>
      </w:r>
    </w:p>
    <w:p w14:paraId="1C19F011"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szCs w:val="20"/>
        </w:rPr>
        <w:t>** wg GDDKiA: wartość średnia dla każdego krawężnika nie większa niż 5,0% (kryterium podwyższone) [10]</w:t>
      </w:r>
    </w:p>
    <w:p w14:paraId="2A1B9052"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W przypadku zastosowań krawężników betonowych na powierzchniach innych niż przewidziano w tabeli 1 (np. przy nawierzchniach wewnętrznych, nie narażonych na kontakt z solą odladzającą), wymagania wobec krawężników należy odpowiednio dostosować do ustaleń PN-EN 1340 [3].</w:t>
      </w:r>
    </w:p>
    <w:p w14:paraId="7E7C72F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2.2.3.3. Składowanie krawężników</w:t>
      </w:r>
    </w:p>
    <w:p w14:paraId="0752DA54"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Krawężniki betonowe mogą być przechowywane na składowiskach otwartych, posegregowane według typów, rodzajów, kształtów, cech fizycznych i mechanicznych, wielkości, wyglądu itp.</w:t>
      </w:r>
    </w:p>
    <w:p w14:paraId="108E7A5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7C5ADC">
          <w:rPr>
            <w:rFonts w:cs="Arial"/>
            <w:szCs w:val="20"/>
          </w:rPr>
          <w:t>2,5 cm</w:t>
        </w:r>
      </w:smartTag>
      <w:r w:rsidRPr="007C5ADC">
        <w:rPr>
          <w:rFonts w:cs="Arial"/>
          <w:szCs w:val="20"/>
        </w:rPr>
        <w:t xml:space="preserve">, szerokość </w:t>
      </w:r>
      <w:smartTag w:uri="urn:schemas-microsoft-com:office:smarttags" w:element="metricconverter">
        <w:smartTagPr>
          <w:attr w:name="ProductID" w:val="5 cm"/>
        </w:smartTagPr>
        <w:r w:rsidRPr="007C5ADC">
          <w:rPr>
            <w:rFonts w:cs="Arial"/>
            <w:szCs w:val="20"/>
          </w:rPr>
          <w:t>5 cm</w:t>
        </w:r>
      </w:smartTag>
      <w:r w:rsidRPr="007C5ADC">
        <w:rPr>
          <w:rFonts w:cs="Arial"/>
          <w:szCs w:val="20"/>
        </w:rPr>
        <w:t xml:space="preserve">, długości min. </w:t>
      </w:r>
      <w:smartTag w:uri="urn:schemas-microsoft-com:office:smarttags" w:element="metricconverter">
        <w:smartTagPr>
          <w:attr w:name="ProductID" w:val="5 cm"/>
        </w:smartTagPr>
        <w:r w:rsidRPr="007C5ADC">
          <w:rPr>
            <w:rFonts w:cs="Arial"/>
            <w:szCs w:val="20"/>
          </w:rPr>
          <w:t>5 cm</w:t>
        </w:r>
      </w:smartTag>
      <w:r w:rsidRPr="007C5ADC">
        <w:rPr>
          <w:rFonts w:cs="Arial"/>
          <w:szCs w:val="20"/>
        </w:rPr>
        <w:t xml:space="preserve"> większej od szerokości krawężnika.</w:t>
      </w:r>
    </w:p>
    <w:p w14:paraId="44F853CA"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szCs w:val="20"/>
        </w:rPr>
      </w:pPr>
      <w:r w:rsidRPr="007C5ADC">
        <w:rPr>
          <w:rFonts w:cs="Arial"/>
          <w:b/>
          <w:szCs w:val="20"/>
        </w:rPr>
        <w:t xml:space="preserve">2.2.4. </w:t>
      </w:r>
      <w:r w:rsidRPr="007C5ADC">
        <w:rPr>
          <w:rFonts w:cs="Arial"/>
          <w:szCs w:val="20"/>
        </w:rPr>
        <w:t>Materiały na podsypkę i do zapraw</w:t>
      </w:r>
    </w:p>
    <w:p w14:paraId="05B353B6"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Jeśli dokumentacja projektowa lub SST nie ustala inaczej, to można zastosować podsypkę cementowo-piaskową oraz zaprawy z użyciem materiałów spełniających poniższe wymagania:</w:t>
      </w:r>
    </w:p>
    <w:p w14:paraId="4B9F331A" w14:textId="77777777" w:rsidR="007C5ADC" w:rsidRPr="007C5ADC" w:rsidRDefault="007C5ADC" w:rsidP="00CF1E7D">
      <w:pPr>
        <w:numPr>
          <w:ilvl w:val="0"/>
          <w:numId w:val="214"/>
        </w:numPr>
        <w:overflowPunct w:val="0"/>
        <w:autoSpaceDE w:val="0"/>
        <w:autoSpaceDN w:val="0"/>
        <w:adjustRightInd w:val="0"/>
        <w:spacing w:line="240" w:lineRule="auto"/>
        <w:jc w:val="both"/>
        <w:textAlignment w:val="baseline"/>
        <w:rPr>
          <w:rFonts w:cs="Arial"/>
          <w:szCs w:val="20"/>
        </w:rPr>
      </w:pPr>
      <w:r w:rsidRPr="007C5ADC">
        <w:rPr>
          <w:rFonts w:cs="Arial"/>
          <w:szCs w:val="20"/>
        </w:rPr>
        <w:t>cement powszechnego użytku wg normy PN-EN-197-1 [8],</w:t>
      </w:r>
    </w:p>
    <w:p w14:paraId="357838F3" w14:textId="77777777" w:rsidR="007C5ADC" w:rsidRPr="007C5ADC" w:rsidRDefault="007C5ADC" w:rsidP="00CF1E7D">
      <w:pPr>
        <w:numPr>
          <w:ilvl w:val="0"/>
          <w:numId w:val="214"/>
        </w:numPr>
        <w:overflowPunct w:val="0"/>
        <w:autoSpaceDE w:val="0"/>
        <w:autoSpaceDN w:val="0"/>
        <w:adjustRightInd w:val="0"/>
        <w:spacing w:line="240" w:lineRule="auto"/>
        <w:jc w:val="both"/>
        <w:textAlignment w:val="baseline"/>
        <w:rPr>
          <w:rFonts w:cs="Arial"/>
          <w:szCs w:val="20"/>
        </w:rPr>
      </w:pPr>
      <w:r w:rsidRPr="007C5ADC">
        <w:rPr>
          <w:rFonts w:cs="Arial"/>
          <w:szCs w:val="20"/>
        </w:rPr>
        <w:t>kruszywo drobne 0/2, 0/4 lub 0/5 wg normy PN-EN 13242 [5] kategorii uziarnienia G</w:t>
      </w:r>
      <w:r w:rsidRPr="007C5ADC">
        <w:rPr>
          <w:rFonts w:cs="Arial"/>
          <w:szCs w:val="20"/>
          <w:vertAlign w:val="subscript"/>
        </w:rPr>
        <w:t>F</w:t>
      </w:r>
      <w:r w:rsidRPr="007C5ADC">
        <w:rPr>
          <w:rFonts w:cs="Arial"/>
          <w:szCs w:val="20"/>
        </w:rPr>
        <w:t>85 i zawartości pyłów f</w:t>
      </w:r>
      <w:r w:rsidRPr="007C5ADC">
        <w:rPr>
          <w:rFonts w:cs="Arial"/>
          <w:szCs w:val="20"/>
          <w:vertAlign w:val="subscript"/>
        </w:rPr>
        <w:t>10</w:t>
      </w:r>
      <w:r w:rsidRPr="007C5ADC">
        <w:rPr>
          <w:rFonts w:cs="Arial"/>
          <w:szCs w:val="20"/>
        </w:rPr>
        <w:t>,</w:t>
      </w:r>
    </w:p>
    <w:p w14:paraId="602D8736" w14:textId="77777777" w:rsidR="007C5ADC" w:rsidRPr="007C5ADC" w:rsidRDefault="007C5ADC" w:rsidP="00CF1E7D">
      <w:pPr>
        <w:numPr>
          <w:ilvl w:val="0"/>
          <w:numId w:val="214"/>
        </w:numPr>
        <w:overflowPunct w:val="0"/>
        <w:autoSpaceDE w:val="0"/>
        <w:autoSpaceDN w:val="0"/>
        <w:adjustRightInd w:val="0"/>
        <w:spacing w:line="240" w:lineRule="auto"/>
        <w:jc w:val="both"/>
        <w:textAlignment w:val="baseline"/>
        <w:rPr>
          <w:rFonts w:cs="Arial"/>
          <w:szCs w:val="20"/>
        </w:rPr>
      </w:pPr>
      <w:r w:rsidRPr="007C5ADC">
        <w:rPr>
          <w:rFonts w:cs="Arial"/>
          <w:szCs w:val="20"/>
        </w:rPr>
        <w:t>kruszywo 1/4, 2/5 lub 2/8, wg normy PN-EN 13242 [5] kategorii uziarnienia G</w:t>
      </w:r>
      <w:r w:rsidRPr="007C5ADC">
        <w:rPr>
          <w:rFonts w:cs="Arial"/>
          <w:szCs w:val="20"/>
          <w:vertAlign w:val="subscript"/>
        </w:rPr>
        <w:t>C</w:t>
      </w:r>
      <w:r w:rsidRPr="007C5ADC">
        <w:rPr>
          <w:rFonts w:cs="Arial"/>
          <w:szCs w:val="20"/>
        </w:rPr>
        <w:t>80/20</w:t>
      </w:r>
    </w:p>
    <w:p w14:paraId="4DA900A7" w14:textId="77777777" w:rsidR="007C5ADC" w:rsidRPr="007C5ADC" w:rsidRDefault="007C5ADC" w:rsidP="00270120">
      <w:pPr>
        <w:overflowPunct w:val="0"/>
        <w:autoSpaceDE w:val="0"/>
        <w:autoSpaceDN w:val="0"/>
        <w:adjustRightInd w:val="0"/>
        <w:spacing w:line="240" w:lineRule="auto"/>
        <w:ind w:firstLine="480"/>
        <w:jc w:val="both"/>
        <w:textAlignment w:val="baseline"/>
        <w:rPr>
          <w:rFonts w:cs="Arial"/>
          <w:szCs w:val="20"/>
        </w:rPr>
      </w:pPr>
      <w:r w:rsidRPr="007C5ADC">
        <w:rPr>
          <w:rFonts w:cs="Arial"/>
          <w:szCs w:val="20"/>
        </w:rPr>
        <w:t>i zawartości pyłów f</w:t>
      </w:r>
      <w:r w:rsidRPr="007C5ADC">
        <w:rPr>
          <w:rFonts w:cs="Arial"/>
          <w:szCs w:val="20"/>
          <w:vertAlign w:val="subscript"/>
        </w:rPr>
        <w:t>10</w:t>
      </w:r>
      <w:r w:rsidRPr="007C5ADC">
        <w:rPr>
          <w:rFonts w:cs="Arial"/>
          <w:szCs w:val="20"/>
        </w:rPr>
        <w:t>,</w:t>
      </w:r>
    </w:p>
    <w:p w14:paraId="678ADEEE" w14:textId="77777777" w:rsidR="007C5ADC" w:rsidRPr="007C5ADC" w:rsidRDefault="007C5ADC" w:rsidP="00CF1E7D">
      <w:pPr>
        <w:numPr>
          <w:ilvl w:val="0"/>
          <w:numId w:val="214"/>
        </w:numPr>
        <w:overflowPunct w:val="0"/>
        <w:autoSpaceDE w:val="0"/>
        <w:autoSpaceDN w:val="0"/>
        <w:adjustRightInd w:val="0"/>
        <w:spacing w:line="240" w:lineRule="auto"/>
        <w:jc w:val="both"/>
        <w:textAlignment w:val="baseline"/>
        <w:rPr>
          <w:rFonts w:cs="Arial"/>
          <w:szCs w:val="20"/>
        </w:rPr>
      </w:pPr>
      <w:r w:rsidRPr="007C5ADC">
        <w:rPr>
          <w:rFonts w:cs="Arial"/>
          <w:szCs w:val="20"/>
        </w:rPr>
        <w:t>zaleca się stosować wodę pitną z wodociągu, która nie wymaga badań; w przypadku czerpania wody z innych źródeł, woda musi spełniać wymagania normy PN-EN 1008 [4].</w:t>
      </w:r>
    </w:p>
    <w:p w14:paraId="55974F9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2.2.5. </w:t>
      </w:r>
      <w:r w:rsidRPr="007C5ADC">
        <w:rPr>
          <w:rFonts w:cs="Arial"/>
          <w:szCs w:val="20"/>
        </w:rPr>
        <w:t>Materiały na ławy</w:t>
      </w:r>
    </w:p>
    <w:p w14:paraId="28D61D3E"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Do wykonania ław pod krawężnik należy stosować, dla:</w:t>
      </w:r>
    </w:p>
    <w:p w14:paraId="392C99E2" w14:textId="77777777" w:rsidR="007C5ADC" w:rsidRPr="007C5ADC" w:rsidRDefault="007C5ADC" w:rsidP="00CF1E7D">
      <w:pPr>
        <w:numPr>
          <w:ilvl w:val="0"/>
          <w:numId w:val="95"/>
        </w:numPr>
        <w:tabs>
          <w:tab w:val="num" w:pos="284"/>
        </w:tabs>
        <w:overflowPunct w:val="0"/>
        <w:autoSpaceDE w:val="0"/>
        <w:autoSpaceDN w:val="0"/>
        <w:adjustRightInd w:val="0"/>
        <w:spacing w:line="240" w:lineRule="auto"/>
        <w:ind w:left="284" w:hanging="284"/>
        <w:jc w:val="both"/>
        <w:textAlignment w:val="baseline"/>
        <w:rPr>
          <w:rFonts w:cs="Arial"/>
          <w:szCs w:val="20"/>
        </w:rPr>
      </w:pPr>
      <w:r w:rsidRPr="007C5ADC">
        <w:rPr>
          <w:rFonts w:cs="Arial"/>
          <w:szCs w:val="20"/>
        </w:rPr>
        <w:t>ławy betonowej – beton klasy C12/15 lub C8/10 wg PN-EN 206 [2],</w:t>
      </w:r>
    </w:p>
    <w:p w14:paraId="7F183C14" w14:textId="77777777" w:rsidR="007C5ADC" w:rsidRPr="007C5ADC" w:rsidRDefault="007C5ADC" w:rsidP="00CF1E7D">
      <w:pPr>
        <w:numPr>
          <w:ilvl w:val="0"/>
          <w:numId w:val="95"/>
        </w:numPr>
        <w:tabs>
          <w:tab w:val="num" w:pos="284"/>
        </w:tabs>
        <w:overflowPunct w:val="0"/>
        <w:autoSpaceDE w:val="0"/>
        <w:autoSpaceDN w:val="0"/>
        <w:adjustRightInd w:val="0"/>
        <w:spacing w:line="240" w:lineRule="auto"/>
        <w:ind w:left="284" w:hanging="284"/>
        <w:jc w:val="both"/>
        <w:textAlignment w:val="baseline"/>
        <w:rPr>
          <w:rFonts w:cs="Arial"/>
          <w:szCs w:val="20"/>
        </w:rPr>
      </w:pPr>
      <w:r w:rsidRPr="007C5ADC">
        <w:rPr>
          <w:rFonts w:cs="Arial"/>
          <w:szCs w:val="20"/>
        </w:rPr>
        <w:t xml:space="preserve">ławy kruszywowej z kruszywa </w:t>
      </w:r>
      <w:proofErr w:type="spellStart"/>
      <w:r w:rsidRPr="007C5ADC">
        <w:rPr>
          <w:rFonts w:cs="Arial"/>
          <w:szCs w:val="20"/>
        </w:rPr>
        <w:t>otoczakowego</w:t>
      </w:r>
      <w:proofErr w:type="spellEnd"/>
      <w:r w:rsidRPr="007C5ADC">
        <w:rPr>
          <w:rFonts w:cs="Arial"/>
          <w:szCs w:val="20"/>
        </w:rPr>
        <w:t xml:space="preserve"> lub łamanego wg PN-EN 13242 [5].</w:t>
      </w:r>
    </w:p>
    <w:p w14:paraId="5FC5C85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2.2.6. </w:t>
      </w:r>
      <w:r w:rsidRPr="007C5ADC">
        <w:rPr>
          <w:rFonts w:cs="Arial"/>
          <w:szCs w:val="20"/>
        </w:rPr>
        <w:t>Masa zalewowa w szczelinach ławy betonowej i spoinach krawężników</w:t>
      </w:r>
    </w:p>
    <w:p w14:paraId="41A2D1C6"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Do uszczelniania szczelin dylatacyjnych można stosować masy zalewowe stosowane na gorąco lub stosowane na zimno. Do spoin należy stosować masy o konsystencji nadającej się do wypełniania szczelin pionowych.</w:t>
      </w:r>
    </w:p>
    <w:p w14:paraId="1E56668F"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Masy zalewowe stosowane na gorąco powinny spełniać wymagania PN-EN 14188-1[6].</w:t>
      </w:r>
    </w:p>
    <w:p w14:paraId="73A93651"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Masy zalewowe stosowane na zimno powinny spełniać wymagania PN-EN 14188-2 [7].</w:t>
      </w:r>
    </w:p>
    <w:p w14:paraId="3D95AE5F" w14:textId="77777777" w:rsidR="007C5ADC" w:rsidRPr="007C5ADC" w:rsidRDefault="007C5ADC"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65" w:name="_Toc2587774"/>
      <w:r w:rsidRPr="007C5ADC">
        <w:rPr>
          <w:rFonts w:cs="Arial"/>
          <w:b/>
          <w:caps/>
          <w:kern w:val="28"/>
          <w:szCs w:val="20"/>
        </w:rPr>
        <w:t>3. Sprzęt</w:t>
      </w:r>
      <w:bookmarkEnd w:id="1065"/>
    </w:p>
    <w:p w14:paraId="324F508C" w14:textId="77777777" w:rsidR="007C5ADC" w:rsidRPr="007C5ADC" w:rsidRDefault="007C5ADC"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3.1. Ogólne wymagania dotyczące sprzętu</w:t>
      </w:r>
    </w:p>
    <w:p w14:paraId="27D1E320"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ab/>
        <w:t>Ogólne wymagania dotyczące sprzętu podano w SST  D-M-00.00.00 „Wymagania ogólne” [1] pkt 3.</w:t>
      </w:r>
    </w:p>
    <w:p w14:paraId="3A031B6A"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3.2. Sprzęt do wykonania robót</w:t>
      </w:r>
    </w:p>
    <w:p w14:paraId="243F94B7" w14:textId="77777777" w:rsidR="007C5ADC" w:rsidRPr="007C5ADC" w:rsidRDefault="007C5ADC" w:rsidP="00270120">
      <w:pPr>
        <w:tabs>
          <w:tab w:val="right" w:leader="dot" w:pos="-1985"/>
          <w:tab w:val="left" w:pos="284"/>
        </w:tabs>
        <w:overflowPunct w:val="0"/>
        <w:autoSpaceDE w:val="0"/>
        <w:autoSpaceDN w:val="0"/>
        <w:adjustRightInd w:val="0"/>
        <w:spacing w:line="240" w:lineRule="auto"/>
        <w:jc w:val="both"/>
        <w:textAlignment w:val="baseline"/>
        <w:rPr>
          <w:rFonts w:cs="Arial"/>
          <w:szCs w:val="20"/>
        </w:rPr>
      </w:pPr>
      <w:r w:rsidRPr="007C5ADC">
        <w:rPr>
          <w:rFonts w:cs="Arial"/>
          <w:szCs w:val="20"/>
        </w:rPr>
        <w:tab/>
      </w:r>
      <w:r w:rsidRPr="007C5ADC">
        <w:rPr>
          <w:rFonts w:cs="Arial"/>
          <w:szCs w:val="20"/>
        </w:rPr>
        <w:tab/>
        <w:t>Roboty wykonuje się ręcznie przy zastosowaniu:</w:t>
      </w:r>
    </w:p>
    <w:p w14:paraId="3638F6D7" w14:textId="77777777" w:rsidR="007C5ADC" w:rsidRPr="007C5ADC" w:rsidRDefault="007C5ADC" w:rsidP="00CF1E7D">
      <w:pPr>
        <w:numPr>
          <w:ilvl w:val="0"/>
          <w:numId w:val="96"/>
        </w:numPr>
        <w:tabs>
          <w:tab w:val="right" w:leader="dot" w:pos="-1985"/>
          <w:tab w:val="left" w:pos="426"/>
        </w:tabs>
        <w:overflowPunct w:val="0"/>
        <w:autoSpaceDE w:val="0"/>
        <w:autoSpaceDN w:val="0"/>
        <w:adjustRightInd w:val="0"/>
        <w:spacing w:line="240" w:lineRule="auto"/>
        <w:jc w:val="both"/>
        <w:textAlignment w:val="baseline"/>
        <w:rPr>
          <w:rFonts w:cs="Arial"/>
          <w:szCs w:val="20"/>
        </w:rPr>
      </w:pPr>
      <w:r w:rsidRPr="007C5ADC">
        <w:rPr>
          <w:rFonts w:cs="Arial"/>
          <w:szCs w:val="20"/>
        </w:rPr>
        <w:t>betoniarek do wytwarzania betonu i zapraw oraz przygotowania podsypki cementowo-piaskowej,</w:t>
      </w:r>
    </w:p>
    <w:p w14:paraId="42625F16" w14:textId="77777777" w:rsidR="007C5ADC" w:rsidRPr="007C5ADC" w:rsidRDefault="007C5ADC" w:rsidP="00CF1E7D">
      <w:pPr>
        <w:numPr>
          <w:ilvl w:val="0"/>
          <w:numId w:val="96"/>
        </w:numPr>
        <w:tabs>
          <w:tab w:val="right" w:leader="dot" w:pos="-1985"/>
        </w:tabs>
        <w:overflowPunct w:val="0"/>
        <w:autoSpaceDE w:val="0"/>
        <w:autoSpaceDN w:val="0"/>
        <w:adjustRightInd w:val="0"/>
        <w:spacing w:line="240" w:lineRule="auto"/>
        <w:jc w:val="both"/>
        <w:textAlignment w:val="baseline"/>
        <w:rPr>
          <w:rFonts w:cs="Arial"/>
          <w:szCs w:val="20"/>
        </w:rPr>
      </w:pPr>
      <w:r w:rsidRPr="007C5ADC">
        <w:rPr>
          <w:rFonts w:cs="Arial"/>
          <w:szCs w:val="20"/>
        </w:rPr>
        <w:t>wibratorów płytowych, ubijaków ręcznych lub mechanicznych.</w:t>
      </w:r>
    </w:p>
    <w:p w14:paraId="52E6A5AF" w14:textId="77777777" w:rsidR="007C5ADC" w:rsidRPr="007C5ADC" w:rsidRDefault="007C5ADC"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66" w:name="_Toc2587775"/>
      <w:r w:rsidRPr="007C5ADC">
        <w:rPr>
          <w:rFonts w:cs="Arial"/>
          <w:b/>
          <w:caps/>
          <w:kern w:val="28"/>
          <w:szCs w:val="20"/>
        </w:rPr>
        <w:t>4. Transport</w:t>
      </w:r>
      <w:bookmarkEnd w:id="1066"/>
    </w:p>
    <w:p w14:paraId="756F0A7B" w14:textId="77777777" w:rsidR="007C5ADC" w:rsidRPr="007C5ADC" w:rsidRDefault="007C5ADC"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4.1. Ogólne wymagania dotyczące transportu</w:t>
      </w:r>
    </w:p>
    <w:p w14:paraId="3FF1FDB4"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ab/>
        <w:t>Ogólne wymagania dotyczące transportu podano w SST D-M-00.00.00 „Wymagania ogólne” [1] pkt 4.</w:t>
      </w:r>
    </w:p>
    <w:p w14:paraId="419EC752"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4.2. Transport krawężników</w:t>
      </w:r>
    </w:p>
    <w:p w14:paraId="035161F8" w14:textId="77777777" w:rsidR="007C5ADC" w:rsidRPr="007C5ADC" w:rsidRDefault="007C5ADC" w:rsidP="00270120">
      <w:pPr>
        <w:tabs>
          <w:tab w:val="right" w:leader="dot" w:pos="-1985"/>
          <w:tab w:val="left" w:pos="284"/>
        </w:tabs>
        <w:overflowPunct w:val="0"/>
        <w:autoSpaceDE w:val="0"/>
        <w:autoSpaceDN w:val="0"/>
        <w:adjustRightInd w:val="0"/>
        <w:spacing w:line="240" w:lineRule="auto"/>
        <w:jc w:val="both"/>
        <w:textAlignment w:val="baseline"/>
        <w:rPr>
          <w:rFonts w:cs="Arial"/>
          <w:szCs w:val="20"/>
        </w:rPr>
      </w:pPr>
      <w:r w:rsidRPr="007C5ADC">
        <w:rPr>
          <w:rFonts w:cs="Arial"/>
          <w:b/>
          <w:szCs w:val="20"/>
        </w:rPr>
        <w:tab/>
      </w:r>
      <w:r w:rsidRPr="007C5ADC">
        <w:rPr>
          <w:rFonts w:cs="Arial"/>
          <w:b/>
          <w:szCs w:val="20"/>
        </w:rPr>
        <w:tab/>
      </w:r>
      <w:r w:rsidRPr="007C5ADC">
        <w:rPr>
          <w:rFonts w:cs="Arial"/>
          <w:szCs w:val="20"/>
        </w:rPr>
        <w:t>Krawężniki betonowe mogą być przewożone dowolnymi środkami transportowymi.</w:t>
      </w:r>
    </w:p>
    <w:p w14:paraId="64281E04" w14:textId="77777777" w:rsidR="007C5ADC" w:rsidRPr="007C5ADC" w:rsidRDefault="007C5ADC" w:rsidP="00270120">
      <w:pPr>
        <w:tabs>
          <w:tab w:val="right" w:leader="dot" w:pos="-1985"/>
          <w:tab w:val="left" w:pos="284"/>
        </w:tabs>
        <w:overflowPunct w:val="0"/>
        <w:autoSpaceDE w:val="0"/>
        <w:autoSpaceDN w:val="0"/>
        <w:adjustRightInd w:val="0"/>
        <w:spacing w:line="240" w:lineRule="auto"/>
        <w:jc w:val="both"/>
        <w:textAlignment w:val="baseline"/>
        <w:rPr>
          <w:rFonts w:cs="Arial"/>
          <w:szCs w:val="20"/>
        </w:rPr>
      </w:pPr>
      <w:r w:rsidRPr="007C5ADC">
        <w:rPr>
          <w:rFonts w:cs="Arial"/>
          <w:szCs w:val="20"/>
        </w:rPr>
        <w:tab/>
      </w:r>
      <w:r w:rsidRPr="007C5ADC">
        <w:rPr>
          <w:rFonts w:cs="Arial"/>
          <w:szCs w:val="20"/>
        </w:rPr>
        <w:tab/>
        <w:t>Krawężniki betonowe układać należy na środkach transportowych w pozycji pionowej z nachyleniem w kierunku jazdy.</w:t>
      </w:r>
    </w:p>
    <w:p w14:paraId="72145EC3" w14:textId="77777777" w:rsidR="007C5ADC" w:rsidRPr="007C5ADC" w:rsidRDefault="007C5ADC" w:rsidP="00270120">
      <w:pPr>
        <w:tabs>
          <w:tab w:val="right" w:leader="dot" w:pos="-1985"/>
          <w:tab w:val="left" w:pos="284"/>
        </w:tabs>
        <w:overflowPunct w:val="0"/>
        <w:autoSpaceDE w:val="0"/>
        <w:autoSpaceDN w:val="0"/>
        <w:adjustRightInd w:val="0"/>
        <w:spacing w:line="240" w:lineRule="auto"/>
        <w:jc w:val="both"/>
        <w:textAlignment w:val="baseline"/>
        <w:rPr>
          <w:rFonts w:cs="Arial"/>
          <w:szCs w:val="20"/>
        </w:rPr>
      </w:pPr>
      <w:r w:rsidRPr="007C5ADC">
        <w:rPr>
          <w:rFonts w:cs="Arial"/>
          <w:szCs w:val="20"/>
        </w:rPr>
        <w:tab/>
      </w:r>
      <w:r w:rsidRPr="007C5ADC">
        <w:rPr>
          <w:rFonts w:cs="Arial"/>
          <w:szCs w:val="20"/>
        </w:rPr>
        <w:tab/>
        <w:t>Krawężniki powinny być zabezpieczone przed przemieszczeniem się i uszkodzeniami w czasie transportu, a górna warstwa nie powinna wystawać powyżej ścian środka transportowego więcej niż 1/3 wysokości tej warstwy.</w:t>
      </w:r>
    </w:p>
    <w:p w14:paraId="1284517C"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4.3. Transport pozostałych materiałów</w:t>
      </w:r>
    </w:p>
    <w:p w14:paraId="7936B23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Cement w workach może być przewożony samochodami krytymi, wagonami towarowymi i innymi środkami transportu, w sposób nie powodujący uszkodzeń opakowania. Worki na paletach układa się po 5 warstw po 4 szt. w warstwie. Worki niespaletowane układa się na płask w wysokości do 10 warstw. Cement luzem przewozi się w zbiornikach (wagonach, samochodach), czystych i nie zanieczyszczanych podczas transportu. Środki transportu powinny być wyposażone we wsypy i urządzenia do wyładowania cementu.</w:t>
      </w:r>
    </w:p>
    <w:p w14:paraId="42602D0B"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7EACCE0B"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Przy transporcie mieszanki betonowej należy zapewnić warunki zapewniające ochronę przed wysychaniem, wpływami atmosferycznymi i segregacją.</w:t>
      </w:r>
    </w:p>
    <w:p w14:paraId="46696E0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Masę zalewową należy przewozić w fabrycznych opakowaniach, w warunkach zabezpieczających przed ich uszkodzeniem.</w:t>
      </w:r>
    </w:p>
    <w:p w14:paraId="55AF3ACA" w14:textId="77777777" w:rsidR="007C5ADC" w:rsidRPr="007C5ADC" w:rsidRDefault="007C5ADC"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67" w:name="_Toc2587776"/>
      <w:r w:rsidRPr="007C5ADC">
        <w:rPr>
          <w:rFonts w:cs="Arial"/>
          <w:b/>
          <w:caps/>
          <w:kern w:val="28"/>
          <w:szCs w:val="20"/>
        </w:rPr>
        <w:t>5. Wykonanie robót</w:t>
      </w:r>
      <w:bookmarkEnd w:id="1067"/>
    </w:p>
    <w:p w14:paraId="3E6F4A53" w14:textId="77777777" w:rsidR="007C5ADC" w:rsidRPr="007C5ADC" w:rsidRDefault="007C5ADC"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5.1. Ogólne zasady wykonania robót</w:t>
      </w:r>
    </w:p>
    <w:p w14:paraId="4E831E0E"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ab/>
        <w:t>Ogólne zasady wykonania robót podano w SST D-M-00.00.00 „Wymagania ogólne” [1] pkt 5.</w:t>
      </w:r>
    </w:p>
    <w:p w14:paraId="1724D901"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lastRenderedPageBreak/>
        <w:t>5.2. Zasady wykonywania robót</w:t>
      </w:r>
    </w:p>
    <w:p w14:paraId="7BA5ADA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  Sposób wykonania robót powinien być zgodny z dokumentacją projektową i SST. W przypadku braku wystarczających danych można korzystać z ustaleń podanych w niniejszej specyfikacji oraz z informacji podanych w załącznikach.</w:t>
      </w:r>
    </w:p>
    <w:p w14:paraId="1E0341D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Podstawowe czynności przy wykonywaniu robót obejmują:</w:t>
      </w:r>
    </w:p>
    <w:p w14:paraId="7E01F094" w14:textId="77777777" w:rsidR="007C5ADC" w:rsidRPr="007C5ADC" w:rsidRDefault="007C5ADC" w:rsidP="00270120">
      <w:pPr>
        <w:numPr>
          <w:ilvl w:val="0"/>
          <w:numId w:val="79"/>
        </w:num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roboty przygotowawcze, </w:t>
      </w:r>
    </w:p>
    <w:p w14:paraId="2B775A4C" w14:textId="77777777" w:rsidR="007C5ADC" w:rsidRPr="007C5ADC" w:rsidRDefault="007C5ADC" w:rsidP="00270120">
      <w:pPr>
        <w:numPr>
          <w:ilvl w:val="0"/>
          <w:numId w:val="79"/>
        </w:numPr>
        <w:overflowPunct w:val="0"/>
        <w:autoSpaceDE w:val="0"/>
        <w:autoSpaceDN w:val="0"/>
        <w:adjustRightInd w:val="0"/>
        <w:spacing w:line="240" w:lineRule="auto"/>
        <w:jc w:val="both"/>
        <w:textAlignment w:val="baseline"/>
        <w:rPr>
          <w:rFonts w:cs="Arial"/>
          <w:szCs w:val="20"/>
        </w:rPr>
      </w:pPr>
      <w:r w:rsidRPr="007C5ADC">
        <w:rPr>
          <w:rFonts w:cs="Arial"/>
          <w:szCs w:val="20"/>
        </w:rPr>
        <w:t>wykonanie ławy,</w:t>
      </w:r>
    </w:p>
    <w:p w14:paraId="1CCFEB41" w14:textId="77777777" w:rsidR="007C5ADC" w:rsidRPr="007C5ADC" w:rsidRDefault="007C5ADC" w:rsidP="00270120">
      <w:pPr>
        <w:numPr>
          <w:ilvl w:val="0"/>
          <w:numId w:val="79"/>
        </w:numPr>
        <w:overflowPunct w:val="0"/>
        <w:autoSpaceDE w:val="0"/>
        <w:autoSpaceDN w:val="0"/>
        <w:adjustRightInd w:val="0"/>
        <w:spacing w:line="240" w:lineRule="auto"/>
        <w:jc w:val="both"/>
        <w:textAlignment w:val="baseline"/>
        <w:rPr>
          <w:rFonts w:cs="Arial"/>
          <w:szCs w:val="20"/>
        </w:rPr>
      </w:pPr>
      <w:r w:rsidRPr="007C5ADC">
        <w:rPr>
          <w:rFonts w:cs="Arial"/>
          <w:szCs w:val="20"/>
        </w:rPr>
        <w:t>ustawienie krawężników,</w:t>
      </w:r>
    </w:p>
    <w:p w14:paraId="6F80E7B0" w14:textId="77777777" w:rsidR="007C5ADC" w:rsidRPr="007C5ADC" w:rsidRDefault="007C5ADC" w:rsidP="00270120">
      <w:pPr>
        <w:numPr>
          <w:ilvl w:val="0"/>
          <w:numId w:val="79"/>
        </w:numPr>
        <w:overflowPunct w:val="0"/>
        <w:autoSpaceDE w:val="0"/>
        <w:autoSpaceDN w:val="0"/>
        <w:adjustRightInd w:val="0"/>
        <w:spacing w:line="240" w:lineRule="auto"/>
        <w:jc w:val="both"/>
        <w:textAlignment w:val="baseline"/>
        <w:rPr>
          <w:rFonts w:cs="Arial"/>
          <w:szCs w:val="20"/>
        </w:rPr>
      </w:pPr>
      <w:r w:rsidRPr="007C5ADC">
        <w:rPr>
          <w:rFonts w:cs="Arial"/>
          <w:szCs w:val="20"/>
        </w:rPr>
        <w:t>wypełnienie spoin,</w:t>
      </w:r>
    </w:p>
    <w:p w14:paraId="3F454B4A" w14:textId="77777777" w:rsidR="007C5ADC" w:rsidRPr="007C5ADC" w:rsidRDefault="007C5ADC" w:rsidP="00270120">
      <w:pPr>
        <w:numPr>
          <w:ilvl w:val="0"/>
          <w:numId w:val="79"/>
        </w:numPr>
        <w:overflowPunct w:val="0"/>
        <w:autoSpaceDE w:val="0"/>
        <w:autoSpaceDN w:val="0"/>
        <w:adjustRightInd w:val="0"/>
        <w:spacing w:line="240" w:lineRule="auto"/>
        <w:jc w:val="both"/>
        <w:textAlignment w:val="baseline"/>
        <w:rPr>
          <w:rFonts w:cs="Arial"/>
          <w:szCs w:val="20"/>
        </w:rPr>
      </w:pPr>
      <w:r w:rsidRPr="007C5ADC">
        <w:rPr>
          <w:rFonts w:cs="Arial"/>
          <w:szCs w:val="20"/>
        </w:rPr>
        <w:t>roboty wykończeniowe.</w:t>
      </w:r>
    </w:p>
    <w:p w14:paraId="60663591"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5.3. Roboty przygotowawcze</w:t>
      </w:r>
    </w:p>
    <w:p w14:paraId="4C21D3CB"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Przed przystąpieniem do robót należy, na podstawie dokumentacji projektowej,  SST lub wskazań Inżyniera:</w:t>
      </w:r>
    </w:p>
    <w:p w14:paraId="48C6DD99" w14:textId="77777777" w:rsidR="007C5ADC" w:rsidRPr="007C5ADC" w:rsidRDefault="007C5ADC" w:rsidP="00270120">
      <w:pPr>
        <w:numPr>
          <w:ilvl w:val="0"/>
          <w:numId w:val="80"/>
        </w:numPr>
        <w:overflowPunct w:val="0"/>
        <w:autoSpaceDE w:val="0"/>
        <w:autoSpaceDN w:val="0"/>
        <w:adjustRightInd w:val="0"/>
        <w:spacing w:line="240" w:lineRule="auto"/>
        <w:jc w:val="both"/>
        <w:textAlignment w:val="baseline"/>
        <w:rPr>
          <w:rFonts w:cs="Arial"/>
          <w:szCs w:val="20"/>
        </w:rPr>
      </w:pPr>
      <w:r w:rsidRPr="007C5ADC">
        <w:rPr>
          <w:rFonts w:cs="Arial"/>
          <w:szCs w:val="20"/>
        </w:rPr>
        <w:t>ustalić lokalizację robót,</w:t>
      </w:r>
    </w:p>
    <w:p w14:paraId="10302208" w14:textId="77777777" w:rsidR="007C5ADC" w:rsidRPr="007C5ADC" w:rsidRDefault="007C5ADC" w:rsidP="00270120">
      <w:pPr>
        <w:numPr>
          <w:ilvl w:val="0"/>
          <w:numId w:val="80"/>
        </w:numPr>
        <w:overflowPunct w:val="0"/>
        <w:autoSpaceDE w:val="0"/>
        <w:autoSpaceDN w:val="0"/>
        <w:adjustRightInd w:val="0"/>
        <w:spacing w:line="240" w:lineRule="auto"/>
        <w:jc w:val="both"/>
        <w:textAlignment w:val="baseline"/>
        <w:rPr>
          <w:rFonts w:cs="Arial"/>
          <w:szCs w:val="20"/>
        </w:rPr>
      </w:pPr>
      <w:r w:rsidRPr="007C5ADC">
        <w:rPr>
          <w:rFonts w:cs="Arial"/>
          <w:szCs w:val="20"/>
        </w:rPr>
        <w:t>ustalić dane niezbędne do szczegółowego wytyczenia robót oraz ustalenia danych wysokościowych,</w:t>
      </w:r>
    </w:p>
    <w:p w14:paraId="21965284" w14:textId="77777777" w:rsidR="007C5ADC" w:rsidRPr="007C5ADC" w:rsidRDefault="007C5ADC" w:rsidP="00270120">
      <w:pPr>
        <w:numPr>
          <w:ilvl w:val="0"/>
          <w:numId w:val="80"/>
        </w:numPr>
        <w:overflowPunct w:val="0"/>
        <w:autoSpaceDE w:val="0"/>
        <w:autoSpaceDN w:val="0"/>
        <w:adjustRightInd w:val="0"/>
        <w:spacing w:line="240" w:lineRule="auto"/>
        <w:jc w:val="both"/>
        <w:textAlignment w:val="baseline"/>
        <w:rPr>
          <w:rFonts w:cs="Arial"/>
          <w:szCs w:val="20"/>
        </w:rPr>
      </w:pPr>
      <w:r w:rsidRPr="007C5ADC">
        <w:rPr>
          <w:rFonts w:cs="Arial"/>
          <w:szCs w:val="20"/>
        </w:rPr>
        <w:t>usunąć przeszkody, np. słupki, pachołki, elementy dróg, ogrodzeń itd.,</w:t>
      </w:r>
    </w:p>
    <w:p w14:paraId="1EE861FB" w14:textId="77777777" w:rsidR="007C5ADC" w:rsidRPr="007C5ADC" w:rsidRDefault="007C5ADC" w:rsidP="00270120">
      <w:pPr>
        <w:numPr>
          <w:ilvl w:val="0"/>
          <w:numId w:val="80"/>
        </w:numPr>
        <w:overflowPunct w:val="0"/>
        <w:autoSpaceDE w:val="0"/>
        <w:autoSpaceDN w:val="0"/>
        <w:adjustRightInd w:val="0"/>
        <w:spacing w:line="240" w:lineRule="auto"/>
        <w:jc w:val="both"/>
        <w:textAlignment w:val="baseline"/>
        <w:rPr>
          <w:rFonts w:cs="Arial"/>
          <w:szCs w:val="20"/>
        </w:rPr>
      </w:pPr>
      <w:r w:rsidRPr="007C5ADC">
        <w:rPr>
          <w:rFonts w:cs="Arial"/>
          <w:szCs w:val="20"/>
        </w:rPr>
        <w:t>ustalić materiały niezbędne do wykonania robót,</w:t>
      </w:r>
    </w:p>
    <w:p w14:paraId="54038D5C" w14:textId="77777777" w:rsidR="007C5ADC" w:rsidRPr="007C5ADC" w:rsidRDefault="007C5ADC" w:rsidP="00270120">
      <w:pPr>
        <w:numPr>
          <w:ilvl w:val="0"/>
          <w:numId w:val="80"/>
        </w:numPr>
        <w:overflowPunct w:val="0"/>
        <w:autoSpaceDE w:val="0"/>
        <w:autoSpaceDN w:val="0"/>
        <w:adjustRightInd w:val="0"/>
        <w:spacing w:line="240" w:lineRule="auto"/>
        <w:jc w:val="both"/>
        <w:textAlignment w:val="baseline"/>
        <w:rPr>
          <w:rFonts w:cs="Arial"/>
          <w:szCs w:val="20"/>
        </w:rPr>
      </w:pPr>
      <w:r w:rsidRPr="007C5ADC">
        <w:rPr>
          <w:rFonts w:cs="Arial"/>
          <w:szCs w:val="20"/>
        </w:rPr>
        <w:t>określić kolejność, sposób i termin wykonania robót.</w:t>
      </w:r>
    </w:p>
    <w:p w14:paraId="2752DE96"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5.4. Wykonanie ławy</w:t>
      </w:r>
    </w:p>
    <w:p w14:paraId="3131E40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5.4.1. </w:t>
      </w:r>
      <w:r w:rsidRPr="007C5ADC">
        <w:rPr>
          <w:rFonts w:cs="Arial"/>
          <w:szCs w:val="20"/>
        </w:rPr>
        <w:t>Koryto pod ławę</w:t>
      </w:r>
    </w:p>
    <w:p w14:paraId="6204C71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Wymiary wykopu, stanowiącego koryto pod ławę, powinny odpowiadać wymiarom ławy w planie z uwzględnieniem w szerokości dna wykopu ew. konstrukcji szalunku.</w:t>
      </w:r>
    </w:p>
    <w:p w14:paraId="6C56973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Wskaźnik zagęszczenia dna wykonanego koryta pod ławę powinien wynosić co najmniej 0,97 według normalnej metody Proctora.</w:t>
      </w:r>
    </w:p>
    <w:p w14:paraId="50F32AD6"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5.4.2. </w:t>
      </w:r>
      <w:r w:rsidRPr="007C5ADC">
        <w:rPr>
          <w:rFonts w:cs="Arial"/>
          <w:szCs w:val="20"/>
        </w:rPr>
        <w:t>Ława kruszywowa</w:t>
      </w:r>
    </w:p>
    <w:p w14:paraId="1BBF2D49"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 xml:space="preserve">Ławę kruszywową o wysokości do </w:t>
      </w:r>
      <w:smartTag w:uri="urn:schemas-microsoft-com:office:smarttags" w:element="metricconverter">
        <w:smartTagPr>
          <w:attr w:name="ProductID" w:val="10 cm"/>
        </w:smartTagPr>
        <w:r w:rsidRPr="007C5ADC">
          <w:rPr>
            <w:rFonts w:cs="Arial"/>
            <w:szCs w:val="20"/>
          </w:rPr>
          <w:t>10 cm</w:t>
        </w:r>
      </w:smartTag>
      <w:r w:rsidRPr="007C5ADC">
        <w:rPr>
          <w:rFonts w:cs="Arial"/>
          <w:szCs w:val="20"/>
        </w:rPr>
        <w:t xml:space="preserve"> wykonuje się jednowarstwowo przez zasypanie koryta kruszywem i zagęszczenie go, polewając wodą.</w:t>
      </w:r>
    </w:p>
    <w:p w14:paraId="1038FF5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Ławy o wysokości powyżej </w:t>
      </w:r>
      <w:smartTag w:uri="urn:schemas-microsoft-com:office:smarttags" w:element="metricconverter">
        <w:smartTagPr>
          <w:attr w:name="ProductID" w:val="10 cm"/>
        </w:smartTagPr>
        <w:r w:rsidRPr="007C5ADC">
          <w:rPr>
            <w:rFonts w:cs="Arial"/>
            <w:szCs w:val="20"/>
          </w:rPr>
          <w:t>10 cm</w:t>
        </w:r>
      </w:smartTag>
      <w:r w:rsidRPr="007C5ADC">
        <w:rPr>
          <w:rFonts w:cs="Arial"/>
          <w:szCs w:val="20"/>
        </w:rPr>
        <w:t xml:space="preserve"> należy wykonywać dwuwarstwowo, starannie zagęszczając poszczególne warstwy.</w:t>
      </w:r>
    </w:p>
    <w:p w14:paraId="75A7B04C"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 xml:space="preserve">W przypadku kruszywa łamanego, górną powierzchnię ławy należy wyrównać kruszywem drobniejszym (klińcem) i zagęścić.   </w:t>
      </w:r>
    </w:p>
    <w:p w14:paraId="3D2346B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5.4.3. </w:t>
      </w:r>
      <w:r w:rsidRPr="007C5ADC">
        <w:rPr>
          <w:rFonts w:cs="Arial"/>
          <w:szCs w:val="20"/>
        </w:rPr>
        <w:t xml:space="preserve">Ława betonowa </w:t>
      </w:r>
    </w:p>
    <w:p w14:paraId="0D5C1ADF"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Ławę betonową zwykłą w gruntach spoistych wykonuje się bez szalowania, przy gruntach sypkich należy stosować szalowanie.</w:t>
      </w:r>
    </w:p>
    <w:p w14:paraId="217F885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Ławę betonową z oporem wykonuje się w szalowaniu. Beton rozścielony w szalowaniu lub bezpośrednio w korycie powinien być wyrównywany warstwami. Co </w:t>
      </w:r>
      <w:smartTag w:uri="urn:schemas-microsoft-com:office:smarttags" w:element="metricconverter">
        <w:smartTagPr>
          <w:attr w:name="ProductID" w:val="50 m"/>
        </w:smartTagPr>
        <w:r w:rsidRPr="007C5ADC">
          <w:rPr>
            <w:rFonts w:cs="Arial"/>
            <w:szCs w:val="20"/>
          </w:rPr>
          <w:t>50 m</w:t>
        </w:r>
      </w:smartTag>
      <w:r w:rsidRPr="007C5ADC">
        <w:rPr>
          <w:rFonts w:cs="Arial"/>
          <w:szCs w:val="20"/>
        </w:rPr>
        <w:t xml:space="preserve"> w ławie należy wykonać szczeliny dylatacyjne wypełnione bitumiczną masą zalewową.</w:t>
      </w:r>
    </w:p>
    <w:p w14:paraId="349D8B2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Przykłady ław betonowych zwykłych i ław z oporem podaje załącznik 4.</w:t>
      </w:r>
    </w:p>
    <w:p w14:paraId="1AF131F0"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5.5. Ustawienie krawężników betonowych</w:t>
      </w:r>
    </w:p>
    <w:p w14:paraId="32158FF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5.5.1. </w:t>
      </w:r>
      <w:r w:rsidRPr="007C5ADC">
        <w:rPr>
          <w:rFonts w:cs="Arial"/>
          <w:szCs w:val="20"/>
        </w:rPr>
        <w:t>Zasady ustawiania krawężników</w:t>
      </w:r>
    </w:p>
    <w:p w14:paraId="003FDC88"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7C5ADC">
          <w:rPr>
            <w:rFonts w:cs="Arial"/>
            <w:szCs w:val="20"/>
          </w:rPr>
          <w:t>12 cm</w:t>
        </w:r>
      </w:smartTag>
      <w:r w:rsidRPr="007C5ADC">
        <w:rPr>
          <w:rFonts w:cs="Arial"/>
          <w:szCs w:val="20"/>
        </w:rPr>
        <w:t xml:space="preserve">, a w przypadkach wyjątkowych (np. ze względu na „wyrobienie” ścieku)  może być zmniejszone do </w:t>
      </w:r>
      <w:smartTag w:uri="urn:schemas-microsoft-com:office:smarttags" w:element="metricconverter">
        <w:smartTagPr>
          <w:attr w:name="ProductID" w:val="2 cm"/>
        </w:smartTagPr>
        <w:r w:rsidRPr="007C5ADC">
          <w:rPr>
            <w:rFonts w:cs="Arial"/>
            <w:szCs w:val="20"/>
          </w:rPr>
          <w:t>2 cm</w:t>
        </w:r>
      </w:smartTag>
      <w:r w:rsidRPr="007C5ADC">
        <w:rPr>
          <w:rFonts w:cs="Arial"/>
          <w:szCs w:val="20"/>
        </w:rPr>
        <w:t xml:space="preserve"> (np. zjazdy) lub zwiększone do </w:t>
      </w:r>
      <w:smartTag w:uri="urn:schemas-microsoft-com:office:smarttags" w:element="metricconverter">
        <w:smartTagPr>
          <w:attr w:name="ProductID" w:val="16 cm"/>
        </w:smartTagPr>
        <w:r w:rsidRPr="007C5ADC">
          <w:rPr>
            <w:rFonts w:cs="Arial"/>
            <w:szCs w:val="20"/>
          </w:rPr>
          <w:t>16 cm</w:t>
        </w:r>
      </w:smartTag>
      <w:r w:rsidRPr="007C5ADC">
        <w:rPr>
          <w:rFonts w:cs="Arial"/>
          <w:szCs w:val="20"/>
        </w:rPr>
        <w:t xml:space="preserve"> (np. zatoki autobusowe).</w:t>
      </w:r>
    </w:p>
    <w:p w14:paraId="2CFC07E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Zewnętrzna ściana krawężnika od strony chodnika powinna być po ustawieniu krawężnika obsypana piaskiem, żwirem, tłuczniem lub miejscowym gruntem przepuszczalnym, starannie ubitym.</w:t>
      </w:r>
    </w:p>
    <w:p w14:paraId="5BC8E39E"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Przy układaniu krawężników na łukach R≤12 m zaleca się stosowanie krawężników betonowych łukowych.</w:t>
      </w:r>
    </w:p>
    <w:p w14:paraId="44D1086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5.5.2. </w:t>
      </w:r>
      <w:r w:rsidRPr="007C5ADC">
        <w:rPr>
          <w:rFonts w:cs="Arial"/>
          <w:szCs w:val="20"/>
        </w:rPr>
        <w:t>Ustawienie krawężników na ławie żwirowej lub tłuczniowej</w:t>
      </w:r>
    </w:p>
    <w:p w14:paraId="223D2A3F"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Ustawianie krawężników na ławie żwirowej i tłuczniowej powinno być wykonywane na podsypce z piasku o grubości warstwy od 3 do </w:t>
      </w:r>
      <w:smartTag w:uri="urn:schemas-microsoft-com:office:smarttags" w:element="metricconverter">
        <w:smartTagPr>
          <w:attr w:name="ProductID" w:val="5 cm"/>
        </w:smartTagPr>
        <w:r w:rsidRPr="007C5ADC">
          <w:rPr>
            <w:rFonts w:cs="Arial"/>
            <w:szCs w:val="20"/>
          </w:rPr>
          <w:t>5 cm</w:t>
        </w:r>
      </w:smartTag>
      <w:r w:rsidRPr="007C5ADC">
        <w:rPr>
          <w:rFonts w:cs="Arial"/>
          <w:szCs w:val="20"/>
        </w:rPr>
        <w:t xml:space="preserve"> po zagęszczeniu.</w:t>
      </w:r>
    </w:p>
    <w:p w14:paraId="1F8A74E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5.5.3. </w:t>
      </w:r>
      <w:r w:rsidRPr="007C5ADC">
        <w:rPr>
          <w:rFonts w:cs="Arial"/>
          <w:szCs w:val="20"/>
        </w:rPr>
        <w:t>Ustawienie krawężników na ławie betonowej</w:t>
      </w:r>
    </w:p>
    <w:p w14:paraId="1DB3765F"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Ustawianie krawężników na ławie betonowej wykonuje się  na podsypce cementowo-piaskowej o grubości 3 do </w:t>
      </w:r>
      <w:smartTag w:uri="urn:schemas-microsoft-com:office:smarttags" w:element="metricconverter">
        <w:smartTagPr>
          <w:attr w:name="ProductID" w:val="5 cm"/>
        </w:smartTagPr>
        <w:r w:rsidRPr="007C5ADC">
          <w:rPr>
            <w:rFonts w:cs="Arial"/>
            <w:szCs w:val="20"/>
          </w:rPr>
          <w:t>5 cm</w:t>
        </w:r>
      </w:smartTag>
      <w:r w:rsidRPr="007C5ADC">
        <w:rPr>
          <w:rFonts w:cs="Arial"/>
          <w:szCs w:val="20"/>
        </w:rPr>
        <w:t xml:space="preserve"> po zagęszczeniu.</w:t>
      </w:r>
    </w:p>
    <w:p w14:paraId="08D0D3B0" w14:textId="77777777" w:rsidR="007C5ADC" w:rsidRPr="007C5ADC" w:rsidRDefault="007C5ADC" w:rsidP="00270120">
      <w:pPr>
        <w:keepNext/>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5.5.4. </w:t>
      </w:r>
      <w:r w:rsidRPr="007C5ADC">
        <w:rPr>
          <w:rFonts w:cs="Arial"/>
          <w:szCs w:val="20"/>
        </w:rPr>
        <w:t>Wypełnianie spoin</w:t>
      </w:r>
    </w:p>
    <w:p w14:paraId="4E55AAC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Spoiny krawężników nie powinny przekraczać szerokości </w:t>
      </w:r>
      <w:smartTag w:uri="urn:schemas-microsoft-com:office:smarttags" w:element="metricconverter">
        <w:smartTagPr>
          <w:attr w:name="ProductID" w:val="1 cm"/>
        </w:smartTagPr>
        <w:r w:rsidRPr="007C5ADC">
          <w:rPr>
            <w:rFonts w:cs="Arial"/>
            <w:szCs w:val="20"/>
          </w:rPr>
          <w:t>1 cm</w:t>
        </w:r>
      </w:smartTag>
      <w:r w:rsidRPr="007C5ADC">
        <w:rPr>
          <w:rFonts w:cs="Arial"/>
          <w:szCs w:val="20"/>
        </w:rPr>
        <w:t>. Spoiny należy wypełnić piaskiem w przypadku ławy kruszywowej na podsypce piaskowej lub zaprawą cementowo-piaskową, przygotowaną w stosunku 1:2 w przypadku zastosowania ławy betonowej.</w:t>
      </w:r>
    </w:p>
    <w:p w14:paraId="47848135"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Spoiny krawężników przed zalaniem zaprawą należy oczyścić i zmyć wodą. </w:t>
      </w:r>
    </w:p>
    <w:p w14:paraId="415DB8F4"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W przypadku krawężników ustawionych na podsypce cementowo-piaskowej i o spoinach wypełnionych zaprawą, w celu zabezpieczenia przed wpływami temperatury należy co 50 m nad szczeliną dylatacyjną ławy wykonać spoinę wypełnioną masą zalewową. Należy zwracać uwagę, aby podczas wypełniania szczelin nie dopuścić do wypływania zalewy i  do zabrudzenia powierzchni krawężnika.</w:t>
      </w:r>
    </w:p>
    <w:p w14:paraId="438D354B"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5.6. Roboty wykończeniowe</w:t>
      </w:r>
    </w:p>
    <w:p w14:paraId="1B42511F"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Roboty wykończeniowe powinny być zgodne z dokumentacją projektową i SST. Do robót wykończeniowych należą prace związane z dostosowaniem wykonanych robót do istniejących warunków terenowych, takie jak:</w:t>
      </w:r>
    </w:p>
    <w:p w14:paraId="5A2EC1B1" w14:textId="77777777" w:rsidR="007C5ADC" w:rsidRPr="007C5ADC" w:rsidRDefault="007C5ADC" w:rsidP="00270120">
      <w:pPr>
        <w:numPr>
          <w:ilvl w:val="0"/>
          <w:numId w:val="4"/>
        </w:num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odtworzenie elementów czasowo usuniętych, </w:t>
      </w:r>
    </w:p>
    <w:p w14:paraId="4EC97C51" w14:textId="77777777" w:rsidR="007C5ADC" w:rsidRPr="007C5ADC" w:rsidRDefault="007C5ADC" w:rsidP="00270120">
      <w:pPr>
        <w:numPr>
          <w:ilvl w:val="0"/>
          <w:numId w:val="4"/>
        </w:numPr>
        <w:overflowPunct w:val="0"/>
        <w:autoSpaceDE w:val="0"/>
        <w:autoSpaceDN w:val="0"/>
        <w:adjustRightInd w:val="0"/>
        <w:spacing w:line="240" w:lineRule="auto"/>
        <w:jc w:val="both"/>
        <w:textAlignment w:val="baseline"/>
        <w:rPr>
          <w:rFonts w:cs="Arial"/>
          <w:szCs w:val="20"/>
        </w:rPr>
      </w:pPr>
      <w:r w:rsidRPr="007C5ADC">
        <w:rPr>
          <w:rFonts w:cs="Arial"/>
          <w:szCs w:val="20"/>
        </w:rPr>
        <w:t>roboty porządkujące otoczenie terenu robót.</w:t>
      </w:r>
    </w:p>
    <w:p w14:paraId="22B3012D" w14:textId="77777777" w:rsidR="007C5ADC" w:rsidRPr="007C5ADC" w:rsidRDefault="007C5ADC"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68" w:name="_Toc2587777"/>
      <w:r w:rsidRPr="007C5ADC">
        <w:rPr>
          <w:rFonts w:cs="Arial"/>
          <w:b/>
          <w:caps/>
          <w:kern w:val="28"/>
          <w:szCs w:val="20"/>
        </w:rPr>
        <w:lastRenderedPageBreak/>
        <w:t>6. Kontrola jakości robót</w:t>
      </w:r>
      <w:bookmarkEnd w:id="1068"/>
    </w:p>
    <w:p w14:paraId="4840D558" w14:textId="77777777" w:rsidR="007C5ADC" w:rsidRPr="007C5ADC" w:rsidRDefault="007C5ADC"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6.1. Ogólne zasady kontroli jakości robót</w:t>
      </w:r>
    </w:p>
    <w:p w14:paraId="7A455B12"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ab/>
        <w:t>Ogólne zasady kontroli jakości robót podano w SST   D-M-00.00.00 „Wymagania ogólne” [1] pkt 6.</w:t>
      </w:r>
    </w:p>
    <w:p w14:paraId="51C3B407"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6.2. Badania przed przystąpieniem do robót</w:t>
      </w:r>
    </w:p>
    <w:p w14:paraId="5BDE5F5C"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Przed przystąpieniem do robót Wykonawca powinien:</w:t>
      </w:r>
    </w:p>
    <w:p w14:paraId="7CFD3F0F" w14:textId="77777777" w:rsidR="007C5ADC" w:rsidRPr="007C5ADC" w:rsidRDefault="007C5ADC" w:rsidP="00CF1E7D">
      <w:pPr>
        <w:numPr>
          <w:ilvl w:val="0"/>
          <w:numId w:val="215"/>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uzyskać wymagane dokumenty, dopuszczające wyroby budowlane do obrotu i powszechnego stosowania (np. stwierdzenie o oznakowaniu materiału znakiem CE lub znakiem budowlanym B, deklarację właściwości użytkowych, krajową lub europejską ocenę techniczną), ew. badania materiałów wykonane przez dostawców itp.,</w:t>
      </w:r>
    </w:p>
    <w:p w14:paraId="1A691F35" w14:textId="77777777" w:rsidR="007C5ADC" w:rsidRPr="007C5ADC" w:rsidRDefault="007C5ADC" w:rsidP="00CF1E7D">
      <w:pPr>
        <w:numPr>
          <w:ilvl w:val="0"/>
          <w:numId w:val="215"/>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sprawdzić parametry krawężników pod względem zgodności z wymaganiami SST i dokumentacji projektowej,</w:t>
      </w:r>
    </w:p>
    <w:p w14:paraId="4DDEF85D" w14:textId="77777777" w:rsidR="007C5ADC" w:rsidRPr="007C5ADC" w:rsidRDefault="007C5ADC" w:rsidP="00CF1E7D">
      <w:pPr>
        <w:numPr>
          <w:ilvl w:val="0"/>
          <w:numId w:val="215"/>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sprawdzić cechy zewnętrzne krawężników.</w:t>
      </w:r>
    </w:p>
    <w:p w14:paraId="7DEAE5E4" w14:textId="77777777" w:rsidR="007C5ADC" w:rsidRPr="007C5ADC" w:rsidRDefault="007C5ADC" w:rsidP="00CF1E7D">
      <w:pPr>
        <w:numPr>
          <w:ilvl w:val="0"/>
          <w:numId w:val="215"/>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ew. wykonać własne badania właściwości materiałów przeznaczonych do wykonania robót, określone przez Inżyniera,</w:t>
      </w:r>
    </w:p>
    <w:p w14:paraId="3782616D" w14:textId="77777777" w:rsidR="007C5ADC" w:rsidRPr="007C5ADC" w:rsidRDefault="007C5ADC" w:rsidP="00270120">
      <w:pPr>
        <w:overflowPunct w:val="0"/>
        <w:autoSpaceDE w:val="0"/>
        <w:autoSpaceDN w:val="0"/>
        <w:spacing w:line="240" w:lineRule="auto"/>
        <w:jc w:val="both"/>
        <w:rPr>
          <w:rFonts w:cs="Arial"/>
          <w:szCs w:val="20"/>
        </w:rPr>
      </w:pPr>
      <w:r w:rsidRPr="007C5ADC">
        <w:rPr>
          <w:rFonts w:cs="Arial"/>
          <w:szCs w:val="20"/>
        </w:rPr>
        <w:t>Wszystkie dokumenty oraz wyniki badań Wykonawca przedstawia Inżynierowi do akceptacji.</w:t>
      </w:r>
    </w:p>
    <w:p w14:paraId="1FE06758"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Sprawdzenie wyglądu zewnętrznego krawężników należy przeprowadzić na podstawie oględzin elementu przez pomiar i ocenę uszkodzeń występujących na powierzchniach i krawędziach elementu zgodnie z wymaganiami tabeli 1 i ustaleniami PN-EN 1340 [3].</w:t>
      </w:r>
    </w:p>
    <w:p w14:paraId="7EE95F26" w14:textId="77777777" w:rsidR="007C5ADC" w:rsidRPr="007C5ADC" w:rsidRDefault="007C5ADC" w:rsidP="00270120">
      <w:pPr>
        <w:overflowPunct w:val="0"/>
        <w:autoSpaceDE w:val="0"/>
        <w:autoSpaceDN w:val="0"/>
        <w:adjustRightInd w:val="0"/>
        <w:spacing w:line="240" w:lineRule="auto"/>
        <w:ind w:firstLine="709"/>
        <w:jc w:val="both"/>
        <w:textAlignment w:val="baseline"/>
        <w:rPr>
          <w:rFonts w:cs="Arial"/>
          <w:szCs w:val="20"/>
        </w:rPr>
      </w:pPr>
      <w:r w:rsidRPr="007C5ADC">
        <w:rPr>
          <w:rFonts w:cs="Arial"/>
          <w:szCs w:val="20"/>
        </w:rPr>
        <w:t>Badania pozostałych materiałów stosowanych przy ustawianiu krawężników betonowych powinny obejmować właściwości określone w normach, podanych dla odpowiednich materiałów w pkcie 2.</w:t>
      </w:r>
    </w:p>
    <w:p w14:paraId="59F4403F"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6.3. Badania w czasie robót</w:t>
      </w:r>
    </w:p>
    <w:p w14:paraId="0A518C14" w14:textId="77777777" w:rsidR="007C5ADC" w:rsidRPr="007C5ADC" w:rsidRDefault="007C5ADC" w:rsidP="00270120">
      <w:pPr>
        <w:keepNext/>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6.3.1. </w:t>
      </w:r>
      <w:r w:rsidRPr="007C5ADC">
        <w:rPr>
          <w:rFonts w:cs="Arial"/>
          <w:szCs w:val="20"/>
        </w:rPr>
        <w:t>Sprawdzenie koryta pod ławę</w:t>
      </w:r>
    </w:p>
    <w:p w14:paraId="757790E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Należy sprawdzać wymiary koryta oraz zagęszczenie podłoża na dnie wykopu.</w:t>
      </w:r>
    </w:p>
    <w:p w14:paraId="06FF3CF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Tolerancja dla szerokości wykopu wynosi </w:t>
      </w:r>
      <w:r w:rsidRPr="007C5ADC">
        <w:rPr>
          <w:rFonts w:cs="Arial"/>
          <w:szCs w:val="20"/>
        </w:rPr>
        <w:sym w:font="Symbol" w:char="00B1"/>
      </w:r>
      <w:r w:rsidRPr="007C5ADC">
        <w:rPr>
          <w:rFonts w:cs="Arial"/>
          <w:szCs w:val="20"/>
        </w:rPr>
        <w:t xml:space="preserve"> </w:t>
      </w:r>
      <w:smartTag w:uri="urn:schemas-microsoft-com:office:smarttags" w:element="metricconverter">
        <w:smartTagPr>
          <w:attr w:name="ProductID" w:val="2 cm"/>
        </w:smartTagPr>
        <w:r w:rsidRPr="007C5ADC">
          <w:rPr>
            <w:rFonts w:cs="Arial"/>
            <w:szCs w:val="20"/>
          </w:rPr>
          <w:t>2 cm</w:t>
        </w:r>
      </w:smartTag>
      <w:r w:rsidRPr="007C5ADC">
        <w:rPr>
          <w:rFonts w:cs="Arial"/>
          <w:szCs w:val="20"/>
        </w:rPr>
        <w:t>. Zagęszczenie podłoża powinno być zgodne z pktem 5.4.1.</w:t>
      </w:r>
    </w:p>
    <w:p w14:paraId="08D1E4F6"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b/>
          <w:szCs w:val="20"/>
        </w:rPr>
        <w:t xml:space="preserve">6.3.2. </w:t>
      </w:r>
      <w:r w:rsidRPr="007C5ADC">
        <w:rPr>
          <w:rFonts w:cs="Arial"/>
          <w:szCs w:val="20"/>
        </w:rPr>
        <w:t>Sprawdzenie ław</w:t>
      </w:r>
    </w:p>
    <w:p w14:paraId="77496B0F"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Przy wykonywaniu ław badaniu podlegają:</w:t>
      </w:r>
    </w:p>
    <w:p w14:paraId="569D1968" w14:textId="77777777" w:rsidR="007C5ADC" w:rsidRPr="007C5ADC" w:rsidRDefault="007C5ADC" w:rsidP="00CF1E7D">
      <w:pPr>
        <w:numPr>
          <w:ilvl w:val="0"/>
          <w:numId w:val="212"/>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zgodność profilu podłużnego górnej powierzchni ław z dokumentacją projektową</w:t>
      </w:r>
    </w:p>
    <w:p w14:paraId="63E48777" w14:textId="77777777" w:rsidR="007C5ADC" w:rsidRPr="007C5ADC" w:rsidRDefault="007C5ADC" w:rsidP="00270120">
      <w:pPr>
        <w:overflowPunct w:val="0"/>
        <w:autoSpaceDE w:val="0"/>
        <w:autoSpaceDN w:val="0"/>
        <w:adjustRightInd w:val="0"/>
        <w:spacing w:line="240" w:lineRule="auto"/>
        <w:ind w:left="426"/>
        <w:jc w:val="both"/>
        <w:textAlignment w:val="baseline"/>
        <w:rPr>
          <w:rFonts w:cs="Arial"/>
          <w:szCs w:val="20"/>
        </w:rPr>
      </w:pPr>
      <w:r w:rsidRPr="007C5ADC">
        <w:rPr>
          <w:rFonts w:cs="Arial"/>
          <w:szCs w:val="20"/>
        </w:rPr>
        <w:t xml:space="preserve">Profil podłużny górnej powierzchni ławy powinien być zgodny z projektowaną niweletą. Dopuszczalne odchylenia mogą wynosić </w:t>
      </w:r>
      <w:r w:rsidRPr="007C5ADC">
        <w:rPr>
          <w:rFonts w:cs="Arial"/>
          <w:szCs w:val="20"/>
        </w:rPr>
        <w:sym w:font="Symbol" w:char="00B1"/>
      </w:r>
      <w:r w:rsidRPr="007C5ADC">
        <w:rPr>
          <w:rFonts w:cs="Arial"/>
          <w:szCs w:val="20"/>
        </w:rPr>
        <w:t xml:space="preserve"> </w:t>
      </w:r>
      <w:smartTag w:uri="urn:schemas-microsoft-com:office:smarttags" w:element="metricconverter">
        <w:smartTagPr>
          <w:attr w:name="ProductID" w:val="1 cm"/>
        </w:smartTagPr>
        <w:r w:rsidRPr="007C5ADC">
          <w:rPr>
            <w:rFonts w:cs="Arial"/>
            <w:szCs w:val="20"/>
          </w:rPr>
          <w:t>1 cm</w:t>
        </w:r>
      </w:smartTag>
      <w:r w:rsidRPr="007C5ADC">
        <w:rPr>
          <w:rFonts w:cs="Arial"/>
          <w:szCs w:val="20"/>
        </w:rPr>
        <w:t xml:space="preserve"> na każde </w:t>
      </w:r>
      <w:smartTag w:uri="urn:schemas-microsoft-com:office:smarttags" w:element="metricconverter">
        <w:smartTagPr>
          <w:attr w:name="ProductID" w:val="100 m"/>
        </w:smartTagPr>
        <w:r w:rsidRPr="007C5ADC">
          <w:rPr>
            <w:rFonts w:cs="Arial"/>
            <w:szCs w:val="20"/>
          </w:rPr>
          <w:t>100 m</w:t>
        </w:r>
      </w:smartTag>
      <w:r w:rsidRPr="007C5ADC">
        <w:rPr>
          <w:rFonts w:cs="Arial"/>
          <w:szCs w:val="20"/>
        </w:rPr>
        <w:t xml:space="preserve"> ławy,</w:t>
      </w:r>
    </w:p>
    <w:p w14:paraId="512DD485" w14:textId="77777777" w:rsidR="007C5ADC" w:rsidRPr="007C5ADC" w:rsidRDefault="007C5ADC" w:rsidP="00CF1E7D">
      <w:pPr>
        <w:numPr>
          <w:ilvl w:val="0"/>
          <w:numId w:val="212"/>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Ustawienie szalunku dla wykonania ławy betonowej z oporem</w:t>
      </w:r>
    </w:p>
    <w:p w14:paraId="663EC88F" w14:textId="77777777" w:rsidR="007C5ADC" w:rsidRPr="007C5ADC" w:rsidRDefault="007C5ADC" w:rsidP="00270120">
      <w:pPr>
        <w:overflowPunct w:val="0"/>
        <w:autoSpaceDE w:val="0"/>
        <w:autoSpaceDN w:val="0"/>
        <w:adjustRightInd w:val="0"/>
        <w:spacing w:line="240" w:lineRule="auto"/>
        <w:ind w:left="426"/>
        <w:jc w:val="both"/>
        <w:textAlignment w:val="baseline"/>
        <w:rPr>
          <w:rFonts w:cs="Arial"/>
          <w:szCs w:val="20"/>
        </w:rPr>
      </w:pPr>
      <w:r w:rsidRPr="007C5ADC">
        <w:rPr>
          <w:rFonts w:cs="Arial"/>
          <w:szCs w:val="20"/>
        </w:rPr>
        <w:t xml:space="preserve">Wymiary szalunku pod ławę betonowa z oporem należy sprawdzić minimum w dwóch oddalonych od siebie, wybranych punktach na każde </w:t>
      </w:r>
      <w:smartTag w:uri="urn:schemas-microsoft-com:office:smarttags" w:element="metricconverter">
        <w:smartTagPr>
          <w:attr w:name="ProductID" w:val="100 m"/>
        </w:smartTagPr>
        <w:r w:rsidRPr="007C5ADC">
          <w:rPr>
            <w:rFonts w:cs="Arial"/>
            <w:szCs w:val="20"/>
          </w:rPr>
          <w:t>100 m</w:t>
        </w:r>
      </w:smartTag>
      <w:r w:rsidRPr="007C5ADC">
        <w:rPr>
          <w:rFonts w:cs="Arial"/>
          <w:szCs w:val="20"/>
        </w:rPr>
        <w:t xml:space="preserve"> ławy betonowej z oporem,</w:t>
      </w:r>
    </w:p>
    <w:p w14:paraId="11A0F26A" w14:textId="77777777" w:rsidR="007C5ADC" w:rsidRPr="007C5ADC" w:rsidRDefault="007C5ADC" w:rsidP="00CF1E7D">
      <w:pPr>
        <w:numPr>
          <w:ilvl w:val="0"/>
          <w:numId w:val="212"/>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wymiary ław</w:t>
      </w:r>
    </w:p>
    <w:p w14:paraId="66808587" w14:textId="77777777" w:rsidR="007C5ADC" w:rsidRPr="007C5ADC" w:rsidRDefault="007C5ADC" w:rsidP="00270120">
      <w:pPr>
        <w:overflowPunct w:val="0"/>
        <w:autoSpaceDE w:val="0"/>
        <w:autoSpaceDN w:val="0"/>
        <w:adjustRightInd w:val="0"/>
        <w:spacing w:line="240" w:lineRule="auto"/>
        <w:ind w:left="426" w:hanging="1"/>
        <w:jc w:val="both"/>
        <w:textAlignment w:val="baseline"/>
        <w:rPr>
          <w:rFonts w:cs="Arial"/>
          <w:szCs w:val="20"/>
        </w:rPr>
      </w:pPr>
      <w:r w:rsidRPr="007C5ADC">
        <w:rPr>
          <w:rFonts w:cs="Arial"/>
          <w:szCs w:val="20"/>
        </w:rPr>
        <w:tab/>
        <w:t xml:space="preserve">Wymiary ław należy sprawdzić w dwóch dowolnie wybranych punktach na każde  </w:t>
      </w:r>
      <w:smartTag w:uri="urn:schemas-microsoft-com:office:smarttags" w:element="metricconverter">
        <w:smartTagPr>
          <w:attr w:name="ProductID" w:val="100 m"/>
        </w:smartTagPr>
        <w:r w:rsidRPr="007C5ADC">
          <w:rPr>
            <w:rFonts w:cs="Arial"/>
            <w:szCs w:val="20"/>
          </w:rPr>
          <w:t>100 m</w:t>
        </w:r>
      </w:smartTag>
      <w:r w:rsidRPr="007C5ADC">
        <w:rPr>
          <w:rFonts w:cs="Arial"/>
          <w:szCs w:val="20"/>
        </w:rPr>
        <w:t xml:space="preserve"> ławy. Tolerancje wymiarów wynoszą:</w:t>
      </w:r>
    </w:p>
    <w:p w14:paraId="6B8F6EA5" w14:textId="77777777" w:rsidR="007C5ADC" w:rsidRPr="007C5ADC" w:rsidRDefault="007C5ADC" w:rsidP="00270120">
      <w:pPr>
        <w:overflowPunct w:val="0"/>
        <w:autoSpaceDE w:val="0"/>
        <w:autoSpaceDN w:val="0"/>
        <w:adjustRightInd w:val="0"/>
        <w:spacing w:line="240" w:lineRule="auto"/>
        <w:ind w:left="426" w:hanging="1"/>
        <w:jc w:val="both"/>
        <w:textAlignment w:val="baseline"/>
        <w:rPr>
          <w:rFonts w:cs="Arial"/>
          <w:szCs w:val="20"/>
        </w:rPr>
      </w:pPr>
      <w:r w:rsidRPr="007C5ADC">
        <w:rPr>
          <w:rFonts w:cs="Arial"/>
          <w:szCs w:val="20"/>
        </w:rPr>
        <w:tab/>
        <w:t xml:space="preserve">- dla wysokości  </w:t>
      </w:r>
      <w:r w:rsidRPr="007C5ADC">
        <w:rPr>
          <w:rFonts w:cs="Arial"/>
          <w:szCs w:val="20"/>
        </w:rPr>
        <w:sym w:font="Symbol" w:char="00B1"/>
      </w:r>
      <w:r w:rsidRPr="007C5ADC">
        <w:rPr>
          <w:rFonts w:cs="Arial"/>
          <w:szCs w:val="20"/>
        </w:rPr>
        <w:t xml:space="preserve"> 10% wysokości projektowanej,</w:t>
      </w:r>
    </w:p>
    <w:p w14:paraId="7894B1A4" w14:textId="77777777" w:rsidR="007C5ADC" w:rsidRPr="007C5ADC" w:rsidRDefault="007C5ADC" w:rsidP="00270120">
      <w:pPr>
        <w:overflowPunct w:val="0"/>
        <w:autoSpaceDE w:val="0"/>
        <w:autoSpaceDN w:val="0"/>
        <w:adjustRightInd w:val="0"/>
        <w:spacing w:line="240" w:lineRule="auto"/>
        <w:ind w:left="426" w:hanging="1"/>
        <w:jc w:val="both"/>
        <w:textAlignment w:val="baseline"/>
        <w:rPr>
          <w:rFonts w:cs="Arial"/>
          <w:szCs w:val="20"/>
        </w:rPr>
      </w:pPr>
      <w:r w:rsidRPr="007C5ADC">
        <w:rPr>
          <w:rFonts w:cs="Arial"/>
          <w:szCs w:val="20"/>
        </w:rPr>
        <w:tab/>
        <w:t xml:space="preserve">- dla szerokości  </w:t>
      </w:r>
      <w:r w:rsidRPr="007C5ADC">
        <w:rPr>
          <w:rFonts w:cs="Arial"/>
          <w:szCs w:val="20"/>
        </w:rPr>
        <w:sym w:font="Symbol" w:char="00B1"/>
      </w:r>
      <w:r w:rsidRPr="007C5ADC">
        <w:rPr>
          <w:rFonts w:cs="Arial"/>
          <w:szCs w:val="20"/>
        </w:rPr>
        <w:t xml:space="preserve"> 10% szerokości projektowanej,</w:t>
      </w:r>
    </w:p>
    <w:p w14:paraId="7B6FCA99" w14:textId="77777777" w:rsidR="007C5ADC" w:rsidRPr="007C5ADC" w:rsidRDefault="007C5ADC" w:rsidP="00CF1E7D">
      <w:pPr>
        <w:numPr>
          <w:ilvl w:val="0"/>
          <w:numId w:val="212"/>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równość górnej powierzchni ław</w:t>
      </w:r>
    </w:p>
    <w:p w14:paraId="0ABC50B0" w14:textId="77777777" w:rsidR="007C5ADC" w:rsidRPr="007C5ADC" w:rsidRDefault="007C5ADC" w:rsidP="00270120">
      <w:pPr>
        <w:overflowPunct w:val="0"/>
        <w:autoSpaceDE w:val="0"/>
        <w:autoSpaceDN w:val="0"/>
        <w:adjustRightInd w:val="0"/>
        <w:spacing w:line="240" w:lineRule="auto"/>
        <w:ind w:left="426"/>
        <w:jc w:val="both"/>
        <w:textAlignment w:val="baseline"/>
        <w:rPr>
          <w:rFonts w:cs="Arial"/>
          <w:szCs w:val="20"/>
        </w:rPr>
      </w:pPr>
      <w:r w:rsidRPr="007C5ADC">
        <w:rPr>
          <w:rFonts w:cs="Arial"/>
          <w:szCs w:val="20"/>
        </w:rPr>
        <w:t xml:space="preserve">Równość górnej powierzchni ławy sprawdza się przez przyłożenie w dwóch punktach, na każde </w:t>
      </w:r>
      <w:smartTag w:uri="urn:schemas-microsoft-com:office:smarttags" w:element="metricconverter">
        <w:smartTagPr>
          <w:attr w:name="ProductID" w:val="100 m"/>
        </w:smartTagPr>
        <w:r w:rsidRPr="007C5ADC">
          <w:rPr>
            <w:rFonts w:cs="Arial"/>
            <w:szCs w:val="20"/>
          </w:rPr>
          <w:t>100 m</w:t>
        </w:r>
      </w:smartTag>
      <w:r w:rsidRPr="007C5ADC">
        <w:rPr>
          <w:rFonts w:cs="Arial"/>
          <w:szCs w:val="20"/>
        </w:rPr>
        <w:t xml:space="preserve"> ławy, trzymetrowej łaty. Prześwit pomiędzy górną powierzchnią ławy i przyłożoną łatą nie może przekraczać </w:t>
      </w:r>
      <w:smartTag w:uri="urn:schemas-microsoft-com:office:smarttags" w:element="metricconverter">
        <w:smartTagPr>
          <w:attr w:name="ProductID" w:val="1 cm"/>
        </w:smartTagPr>
        <w:r w:rsidRPr="007C5ADC">
          <w:rPr>
            <w:rFonts w:cs="Arial"/>
            <w:szCs w:val="20"/>
          </w:rPr>
          <w:t>1 cm</w:t>
        </w:r>
      </w:smartTag>
      <w:r w:rsidRPr="007C5ADC">
        <w:rPr>
          <w:rFonts w:cs="Arial"/>
          <w:szCs w:val="20"/>
        </w:rPr>
        <w:t>,</w:t>
      </w:r>
    </w:p>
    <w:p w14:paraId="75702236" w14:textId="77777777" w:rsidR="007C5ADC" w:rsidRPr="007C5ADC" w:rsidRDefault="007C5ADC" w:rsidP="00CF1E7D">
      <w:pPr>
        <w:numPr>
          <w:ilvl w:val="0"/>
          <w:numId w:val="212"/>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zagęszczenie ław z kruszyw</w:t>
      </w:r>
    </w:p>
    <w:p w14:paraId="69DD6D3F" w14:textId="77777777" w:rsidR="007C5ADC" w:rsidRPr="007C5ADC" w:rsidRDefault="007C5ADC" w:rsidP="00270120">
      <w:pPr>
        <w:overflowPunct w:val="0"/>
        <w:autoSpaceDE w:val="0"/>
        <w:autoSpaceDN w:val="0"/>
        <w:adjustRightInd w:val="0"/>
        <w:spacing w:line="240" w:lineRule="auto"/>
        <w:ind w:left="426"/>
        <w:jc w:val="both"/>
        <w:textAlignment w:val="baseline"/>
        <w:rPr>
          <w:rFonts w:cs="Arial"/>
          <w:szCs w:val="20"/>
        </w:rPr>
      </w:pPr>
      <w:r w:rsidRPr="007C5ADC">
        <w:rPr>
          <w:rFonts w:cs="Arial"/>
          <w:szCs w:val="20"/>
        </w:rPr>
        <w:t xml:space="preserve">Zagęszczenie ław bada się w dwóch przekrojach na każde </w:t>
      </w:r>
      <w:smartTag w:uri="urn:schemas-microsoft-com:office:smarttags" w:element="metricconverter">
        <w:smartTagPr>
          <w:attr w:name="ProductID" w:val="100 m"/>
        </w:smartTagPr>
        <w:r w:rsidRPr="007C5ADC">
          <w:rPr>
            <w:rFonts w:cs="Arial"/>
            <w:szCs w:val="20"/>
          </w:rPr>
          <w:t>100 m</w:t>
        </w:r>
      </w:smartTag>
      <w:r w:rsidRPr="007C5ADC">
        <w:rPr>
          <w:rFonts w:cs="Arial"/>
          <w:szCs w:val="20"/>
        </w:rPr>
        <w:t>. Ławy ze żwiru lub piasku nie mogą wykazywać śladu urządzenia zagęszczającego.</w:t>
      </w:r>
    </w:p>
    <w:p w14:paraId="6EB4FEFF" w14:textId="77777777" w:rsidR="007C5ADC" w:rsidRPr="007C5ADC" w:rsidRDefault="007C5ADC" w:rsidP="00270120">
      <w:pPr>
        <w:overflowPunct w:val="0"/>
        <w:autoSpaceDE w:val="0"/>
        <w:autoSpaceDN w:val="0"/>
        <w:adjustRightInd w:val="0"/>
        <w:spacing w:line="240" w:lineRule="auto"/>
        <w:ind w:left="426"/>
        <w:jc w:val="both"/>
        <w:textAlignment w:val="baseline"/>
        <w:rPr>
          <w:rFonts w:cs="Arial"/>
          <w:szCs w:val="20"/>
        </w:rPr>
      </w:pPr>
      <w:r w:rsidRPr="007C5ADC">
        <w:rPr>
          <w:rFonts w:cs="Arial"/>
          <w:szCs w:val="20"/>
        </w:rPr>
        <w:t>Ławy z tłucznia, badane próbą wyjęcia poszczególnych ziarn tłucznia, nie powinny pozwalać na wyjęcie ziarna z ławy,</w:t>
      </w:r>
    </w:p>
    <w:p w14:paraId="30A7792B" w14:textId="77777777" w:rsidR="007C5ADC" w:rsidRPr="007C5ADC" w:rsidRDefault="007C5ADC" w:rsidP="00CF1E7D">
      <w:pPr>
        <w:numPr>
          <w:ilvl w:val="0"/>
          <w:numId w:val="212"/>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odchylenie linii ław od projektowanego kierunku</w:t>
      </w:r>
    </w:p>
    <w:p w14:paraId="23E03C44" w14:textId="77777777" w:rsidR="007C5ADC" w:rsidRPr="007C5ADC" w:rsidRDefault="007C5ADC" w:rsidP="00270120">
      <w:pPr>
        <w:overflowPunct w:val="0"/>
        <w:autoSpaceDE w:val="0"/>
        <w:autoSpaceDN w:val="0"/>
        <w:adjustRightInd w:val="0"/>
        <w:spacing w:line="240" w:lineRule="auto"/>
        <w:ind w:left="426"/>
        <w:jc w:val="both"/>
        <w:textAlignment w:val="baseline"/>
        <w:rPr>
          <w:rFonts w:cs="Arial"/>
          <w:szCs w:val="20"/>
        </w:rPr>
      </w:pPr>
      <w:r w:rsidRPr="007C5ADC">
        <w:rPr>
          <w:rFonts w:cs="Arial"/>
          <w:szCs w:val="20"/>
        </w:rPr>
        <w:t xml:space="preserve">Dopuszczalne odchylenie linii ław od projektowanego kierunku nie może przekraczać  </w:t>
      </w:r>
      <w:r w:rsidRPr="007C5ADC">
        <w:rPr>
          <w:rFonts w:cs="Arial"/>
          <w:szCs w:val="20"/>
        </w:rPr>
        <w:sym w:font="Symbol" w:char="00B1"/>
      </w:r>
      <w:r w:rsidRPr="007C5ADC">
        <w:rPr>
          <w:rFonts w:cs="Arial"/>
          <w:szCs w:val="20"/>
        </w:rPr>
        <w:t xml:space="preserve"> </w:t>
      </w:r>
      <w:smartTag w:uri="urn:schemas-microsoft-com:office:smarttags" w:element="metricconverter">
        <w:smartTagPr>
          <w:attr w:name="ProductID" w:val="2 cm"/>
        </w:smartTagPr>
        <w:r w:rsidRPr="007C5ADC">
          <w:rPr>
            <w:rFonts w:cs="Arial"/>
            <w:szCs w:val="20"/>
          </w:rPr>
          <w:t>2 cm</w:t>
        </w:r>
      </w:smartTag>
      <w:r w:rsidRPr="007C5ADC">
        <w:rPr>
          <w:rFonts w:cs="Arial"/>
          <w:szCs w:val="20"/>
        </w:rPr>
        <w:t xml:space="preserve"> na każde </w:t>
      </w:r>
      <w:smartTag w:uri="urn:schemas-microsoft-com:office:smarttags" w:element="metricconverter">
        <w:smartTagPr>
          <w:attr w:name="ProductID" w:val="100 m"/>
        </w:smartTagPr>
        <w:r w:rsidRPr="007C5ADC">
          <w:rPr>
            <w:rFonts w:cs="Arial"/>
            <w:szCs w:val="20"/>
          </w:rPr>
          <w:t>100 m</w:t>
        </w:r>
      </w:smartTag>
      <w:r w:rsidRPr="007C5ADC">
        <w:rPr>
          <w:rFonts w:cs="Arial"/>
          <w:szCs w:val="20"/>
        </w:rPr>
        <w:t xml:space="preserve"> wykonanej ławy.</w:t>
      </w:r>
    </w:p>
    <w:p w14:paraId="6C74C7C7"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b/>
          <w:szCs w:val="20"/>
        </w:rPr>
        <w:t xml:space="preserve">6.3.3. </w:t>
      </w:r>
      <w:r w:rsidRPr="007C5ADC">
        <w:rPr>
          <w:rFonts w:cs="Arial"/>
          <w:szCs w:val="20"/>
        </w:rPr>
        <w:t>Sprawdzenie ustawienia krawężników</w:t>
      </w:r>
    </w:p>
    <w:p w14:paraId="57211DA5"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szCs w:val="20"/>
        </w:rPr>
        <w:tab/>
      </w:r>
      <w:r w:rsidRPr="007C5ADC">
        <w:rPr>
          <w:rFonts w:cs="Arial"/>
          <w:szCs w:val="20"/>
        </w:rPr>
        <w:tab/>
        <w:t>Przy ustawianiu krawężników należy sprawdzać:</w:t>
      </w:r>
    </w:p>
    <w:p w14:paraId="2C7B22A0" w14:textId="77777777" w:rsidR="007C5ADC" w:rsidRPr="007C5ADC" w:rsidRDefault="007C5ADC" w:rsidP="00CF1E7D">
      <w:pPr>
        <w:numPr>
          <w:ilvl w:val="0"/>
          <w:numId w:val="97"/>
        </w:num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dopuszczalne odchylenia linii krawężników w poziomie od linii projektowanej, które wynosi </w:t>
      </w:r>
      <w:r w:rsidRPr="007C5ADC">
        <w:rPr>
          <w:rFonts w:cs="Arial"/>
          <w:szCs w:val="20"/>
        </w:rPr>
        <w:sym w:font="Symbol" w:char="00B1"/>
      </w:r>
      <w:r w:rsidRPr="007C5ADC">
        <w:rPr>
          <w:rFonts w:cs="Arial"/>
          <w:szCs w:val="20"/>
        </w:rPr>
        <w:t xml:space="preserve"> </w:t>
      </w:r>
      <w:smartTag w:uri="urn:schemas-microsoft-com:office:smarttags" w:element="metricconverter">
        <w:smartTagPr>
          <w:attr w:name="ProductID" w:val="1 cm"/>
        </w:smartTagPr>
        <w:r w:rsidRPr="007C5ADC">
          <w:rPr>
            <w:rFonts w:cs="Arial"/>
            <w:szCs w:val="20"/>
          </w:rPr>
          <w:t>1 cm</w:t>
        </w:r>
      </w:smartTag>
      <w:r w:rsidRPr="007C5ADC">
        <w:rPr>
          <w:rFonts w:cs="Arial"/>
          <w:szCs w:val="20"/>
        </w:rPr>
        <w:t xml:space="preserve"> na każde </w:t>
      </w:r>
      <w:smartTag w:uri="urn:schemas-microsoft-com:office:smarttags" w:element="metricconverter">
        <w:smartTagPr>
          <w:attr w:name="ProductID" w:val="100 m"/>
        </w:smartTagPr>
        <w:r w:rsidRPr="007C5ADC">
          <w:rPr>
            <w:rFonts w:cs="Arial"/>
            <w:szCs w:val="20"/>
          </w:rPr>
          <w:t>100 m</w:t>
        </w:r>
      </w:smartTag>
      <w:r w:rsidRPr="007C5ADC">
        <w:rPr>
          <w:rFonts w:cs="Arial"/>
          <w:szCs w:val="20"/>
        </w:rPr>
        <w:t xml:space="preserve"> ustawionego krawężnika,</w:t>
      </w:r>
    </w:p>
    <w:p w14:paraId="0AEC2C3F" w14:textId="77777777" w:rsidR="007C5ADC" w:rsidRPr="007C5ADC" w:rsidRDefault="007C5ADC" w:rsidP="00CF1E7D">
      <w:pPr>
        <w:numPr>
          <w:ilvl w:val="0"/>
          <w:numId w:val="97"/>
        </w:num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dopuszczalne odchylenie niwelety górnej płaszczyzny krawężnika od niwelety projektowanej, które wynosi </w:t>
      </w:r>
      <w:r w:rsidRPr="007C5ADC">
        <w:rPr>
          <w:rFonts w:cs="Arial"/>
          <w:szCs w:val="20"/>
        </w:rPr>
        <w:sym w:font="Symbol" w:char="00B1"/>
      </w:r>
      <w:r w:rsidRPr="007C5ADC">
        <w:rPr>
          <w:rFonts w:cs="Arial"/>
          <w:szCs w:val="20"/>
        </w:rPr>
        <w:t xml:space="preserve"> </w:t>
      </w:r>
      <w:smartTag w:uri="urn:schemas-microsoft-com:office:smarttags" w:element="metricconverter">
        <w:smartTagPr>
          <w:attr w:name="ProductID" w:val="1 cm"/>
        </w:smartTagPr>
        <w:r w:rsidRPr="007C5ADC">
          <w:rPr>
            <w:rFonts w:cs="Arial"/>
            <w:szCs w:val="20"/>
          </w:rPr>
          <w:t>1 cm</w:t>
        </w:r>
      </w:smartTag>
      <w:r w:rsidRPr="007C5ADC">
        <w:rPr>
          <w:rFonts w:cs="Arial"/>
          <w:szCs w:val="20"/>
        </w:rPr>
        <w:t xml:space="preserve"> na każde </w:t>
      </w:r>
      <w:smartTag w:uri="urn:schemas-microsoft-com:office:smarttags" w:element="metricconverter">
        <w:smartTagPr>
          <w:attr w:name="ProductID" w:val="100 m"/>
        </w:smartTagPr>
        <w:r w:rsidRPr="007C5ADC">
          <w:rPr>
            <w:rFonts w:cs="Arial"/>
            <w:szCs w:val="20"/>
          </w:rPr>
          <w:t>100 m</w:t>
        </w:r>
      </w:smartTag>
      <w:r w:rsidRPr="007C5ADC">
        <w:rPr>
          <w:rFonts w:cs="Arial"/>
          <w:szCs w:val="20"/>
        </w:rPr>
        <w:t xml:space="preserve"> ustawionego krawężnika,</w:t>
      </w:r>
    </w:p>
    <w:p w14:paraId="216A1161" w14:textId="77777777" w:rsidR="007C5ADC" w:rsidRPr="007C5ADC" w:rsidRDefault="007C5ADC" w:rsidP="00CF1E7D">
      <w:pPr>
        <w:numPr>
          <w:ilvl w:val="0"/>
          <w:numId w:val="97"/>
        </w:num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7C5ADC">
          <w:rPr>
            <w:rFonts w:cs="Arial"/>
            <w:szCs w:val="20"/>
          </w:rPr>
          <w:t>100 m</w:t>
        </w:r>
      </w:smartTag>
      <w:r w:rsidRPr="007C5ADC">
        <w:rPr>
          <w:rFonts w:cs="Arial"/>
          <w:szCs w:val="20"/>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7C5ADC">
          <w:rPr>
            <w:rFonts w:cs="Arial"/>
            <w:szCs w:val="20"/>
          </w:rPr>
          <w:t>1 cm</w:t>
        </w:r>
      </w:smartTag>
      <w:r w:rsidRPr="007C5ADC">
        <w:rPr>
          <w:rFonts w:cs="Arial"/>
          <w:szCs w:val="20"/>
        </w:rPr>
        <w:t>,</w:t>
      </w:r>
    </w:p>
    <w:p w14:paraId="7D297B52" w14:textId="77777777" w:rsidR="007C5ADC" w:rsidRPr="007C5ADC" w:rsidRDefault="007C5ADC" w:rsidP="00CF1E7D">
      <w:pPr>
        <w:numPr>
          <w:ilvl w:val="0"/>
          <w:numId w:val="97"/>
        </w:num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dokładność wypełnienia spoin bada się co </w:t>
      </w:r>
      <w:smartTag w:uri="urn:schemas-microsoft-com:office:smarttags" w:element="metricconverter">
        <w:smartTagPr>
          <w:attr w:name="ProductID" w:val="10 metr￳w"/>
        </w:smartTagPr>
        <w:r w:rsidRPr="007C5ADC">
          <w:rPr>
            <w:rFonts w:cs="Arial"/>
            <w:szCs w:val="20"/>
          </w:rPr>
          <w:t>10 metrów</w:t>
        </w:r>
      </w:smartTag>
      <w:r w:rsidRPr="007C5ADC">
        <w:rPr>
          <w:rFonts w:cs="Arial"/>
          <w:szCs w:val="20"/>
        </w:rPr>
        <w:t>. Spoiny muszą być wypełnione całkowicie na pełną głębokość.</w:t>
      </w:r>
    </w:p>
    <w:p w14:paraId="3B6CE4C3" w14:textId="77777777" w:rsidR="007C5ADC" w:rsidRPr="007C5ADC" w:rsidRDefault="007C5ADC"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69" w:name="_Toc2587778"/>
      <w:r w:rsidRPr="007C5ADC">
        <w:rPr>
          <w:rFonts w:cs="Arial"/>
          <w:b/>
          <w:caps/>
          <w:kern w:val="28"/>
          <w:szCs w:val="20"/>
        </w:rPr>
        <w:t>7. Obmiar robót</w:t>
      </w:r>
      <w:bookmarkEnd w:id="1069"/>
    </w:p>
    <w:p w14:paraId="5B90DCF0" w14:textId="77777777" w:rsidR="007C5ADC" w:rsidRPr="007C5ADC" w:rsidRDefault="007C5ADC"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7.1. Ogólne zasady obmiaru robót</w:t>
      </w:r>
    </w:p>
    <w:p w14:paraId="5F78C3B2"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ab/>
        <w:t>Ogólne zasady obmiaru robót podano w SST  D-M-00.00.00 „Wymagania ogólne” [1] pkt 7.</w:t>
      </w:r>
    </w:p>
    <w:p w14:paraId="36F85BB5" w14:textId="77777777" w:rsidR="007C5ADC" w:rsidRPr="007C5ADC" w:rsidRDefault="007C5ADC"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7.2. Jednostka obmiarowa</w:t>
      </w:r>
    </w:p>
    <w:p w14:paraId="70E2F2A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Jednostką obmiarową jest m (metr) ustawionego krawężnika.</w:t>
      </w:r>
    </w:p>
    <w:p w14:paraId="4D8346C8" w14:textId="77777777" w:rsidR="007C5ADC" w:rsidRPr="007C5ADC" w:rsidRDefault="007C5ADC"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70" w:name="_Toc2587779"/>
      <w:r w:rsidRPr="007C5ADC">
        <w:rPr>
          <w:rFonts w:cs="Arial"/>
          <w:b/>
          <w:caps/>
          <w:kern w:val="28"/>
          <w:szCs w:val="20"/>
        </w:rPr>
        <w:lastRenderedPageBreak/>
        <w:t>8. Odbiór robót</w:t>
      </w:r>
      <w:bookmarkEnd w:id="1070"/>
    </w:p>
    <w:p w14:paraId="403F5254" w14:textId="77777777" w:rsidR="007C5ADC" w:rsidRPr="007C5ADC" w:rsidRDefault="007C5ADC"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8.1. Ogólne zasady odbioru robót</w:t>
      </w:r>
    </w:p>
    <w:p w14:paraId="58463B07"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ab/>
        <w:t>Ogólne zasady odbioru robót podano w SST  D-M-00.00.00 „Wymagania ogólne” [1] pkt 8.</w:t>
      </w:r>
    </w:p>
    <w:p w14:paraId="19536592"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ab/>
        <w:t>Roboty uznaje się za wykonane zgodnie z dokumentacją projektową, SST                  i wymaganiami Inżyniera, jeżeli wszystkie pomiary i badania z zachowaniem tolerancji według pktu 6 dały wyniki pozytywne.</w:t>
      </w:r>
    </w:p>
    <w:p w14:paraId="2F6C4657"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8.2. Odbiór robót zanikających i ulegających zakryciu</w:t>
      </w:r>
    </w:p>
    <w:p w14:paraId="67D3493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Odbiorowi robót zanikających i ulegających zakryciu podlegają:</w:t>
      </w:r>
    </w:p>
    <w:p w14:paraId="2FAC2250" w14:textId="77777777" w:rsidR="007C5ADC" w:rsidRPr="007C5ADC" w:rsidRDefault="007C5ADC" w:rsidP="00270120">
      <w:pPr>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      wykonanie koryta pod ławę,</w:t>
      </w:r>
    </w:p>
    <w:p w14:paraId="79AD2968" w14:textId="77777777" w:rsidR="007C5ADC" w:rsidRPr="007C5ADC" w:rsidRDefault="007C5ADC" w:rsidP="00270120">
      <w:pPr>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      wykonanie ławy,</w:t>
      </w:r>
    </w:p>
    <w:p w14:paraId="031A6C87" w14:textId="77777777" w:rsidR="007C5ADC" w:rsidRPr="007C5ADC" w:rsidRDefault="007C5ADC" w:rsidP="00270120">
      <w:pPr>
        <w:overflowPunct w:val="0"/>
        <w:autoSpaceDE w:val="0"/>
        <w:autoSpaceDN w:val="0"/>
        <w:adjustRightInd w:val="0"/>
        <w:spacing w:line="240" w:lineRule="auto"/>
        <w:ind w:left="283" w:hanging="283"/>
        <w:jc w:val="both"/>
        <w:textAlignment w:val="baseline"/>
        <w:rPr>
          <w:rFonts w:cs="Arial"/>
          <w:szCs w:val="20"/>
        </w:rPr>
      </w:pPr>
      <w:r w:rsidRPr="007C5ADC">
        <w:rPr>
          <w:rFonts w:cs="Arial"/>
          <w:szCs w:val="20"/>
        </w:rPr>
        <w:t>      wykonanie podsypki.</w:t>
      </w:r>
    </w:p>
    <w:p w14:paraId="27C22055"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Odbiór tych robót powinien być zgodny z wymaganiami pktu 8.2 SST                    D-M-00.00.00 „Wymagania ogólne” [1] oraz niniejszej SST.</w:t>
      </w:r>
    </w:p>
    <w:p w14:paraId="5D5F1394" w14:textId="77777777" w:rsidR="007C5ADC" w:rsidRPr="007C5ADC" w:rsidRDefault="007C5ADC"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71" w:name="_Toc2587780"/>
      <w:r w:rsidRPr="007C5ADC">
        <w:rPr>
          <w:rFonts w:cs="Arial"/>
          <w:b/>
          <w:caps/>
          <w:kern w:val="28"/>
          <w:szCs w:val="20"/>
        </w:rPr>
        <w:t>9. Podstawa płatności</w:t>
      </w:r>
      <w:bookmarkEnd w:id="1071"/>
    </w:p>
    <w:p w14:paraId="237EF62D" w14:textId="77777777" w:rsidR="007C5ADC" w:rsidRPr="007C5ADC" w:rsidRDefault="007C5ADC" w:rsidP="00270120">
      <w:pPr>
        <w:keepNext/>
        <w:numPr>
          <w:ilvl w:val="12"/>
          <w:numId w:val="0"/>
        </w:numPr>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9.1. Ogólne ustalenia dotyczące podstawy płatności</w:t>
      </w:r>
    </w:p>
    <w:p w14:paraId="58B6D4EB"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Ogólne ustalenia dotyczące podstawy płatności podano w SST D-M-00.00.00 „Wymagania ogólne” pkt 9. </w:t>
      </w:r>
    </w:p>
    <w:p w14:paraId="79131A87"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9.2. Cena jednostki obmiarowej</w:t>
      </w:r>
    </w:p>
    <w:p w14:paraId="6CEDA11B"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 xml:space="preserve">Cena ustawienia </w:t>
      </w:r>
      <w:smartTag w:uri="urn:schemas-microsoft-com:office:smarttags" w:element="metricconverter">
        <w:smartTagPr>
          <w:attr w:name="ProductID" w:val="1 m"/>
        </w:smartTagPr>
        <w:r w:rsidRPr="007C5ADC">
          <w:rPr>
            <w:rFonts w:cs="Arial"/>
            <w:szCs w:val="20"/>
          </w:rPr>
          <w:t>1 m</w:t>
        </w:r>
      </w:smartTag>
      <w:r w:rsidRPr="007C5ADC">
        <w:rPr>
          <w:rFonts w:cs="Arial"/>
          <w:szCs w:val="20"/>
        </w:rPr>
        <w:t xml:space="preserve"> krawężnika obejmuje:</w:t>
      </w:r>
    </w:p>
    <w:p w14:paraId="734A7095"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prace pomiarowe i roboty przygotowawcze,</w:t>
      </w:r>
    </w:p>
    <w:p w14:paraId="09CDF400"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oznakowanie robót,</w:t>
      </w:r>
    </w:p>
    <w:p w14:paraId="3D165ED2"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przygotowanie podłoża,</w:t>
      </w:r>
    </w:p>
    <w:p w14:paraId="1E406852"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dostarczenie materiałów i sprzętu,</w:t>
      </w:r>
    </w:p>
    <w:p w14:paraId="27EED6F3"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wykonanie koryta pod ławę,</w:t>
      </w:r>
    </w:p>
    <w:p w14:paraId="10B8F4DB"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wykonanie ławy z ewentualnym wykonaniem szalunku i zalaniem szczelin dylatacyjnych,</w:t>
      </w:r>
    </w:p>
    <w:p w14:paraId="22964177"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wykonanie podsypki,</w:t>
      </w:r>
    </w:p>
    <w:p w14:paraId="795A25C7"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ustawienie krawężników z wypełnieniem spoin i zalaniem szczelin według wymagań dokumentacji projektowej i ST,</w:t>
      </w:r>
    </w:p>
    <w:p w14:paraId="1268424D"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przeprowadzenie pomiarów i badań wymaganych w specyfikacji technicznej,</w:t>
      </w:r>
    </w:p>
    <w:p w14:paraId="44C432F4" w14:textId="77777777" w:rsidR="007C5ADC" w:rsidRPr="007C5ADC" w:rsidRDefault="007C5ADC" w:rsidP="00CF1E7D">
      <w:pPr>
        <w:numPr>
          <w:ilvl w:val="0"/>
          <w:numId w:val="84"/>
        </w:numPr>
        <w:overflowPunct w:val="0"/>
        <w:autoSpaceDE w:val="0"/>
        <w:autoSpaceDN w:val="0"/>
        <w:adjustRightInd w:val="0"/>
        <w:spacing w:line="240" w:lineRule="auto"/>
        <w:jc w:val="both"/>
        <w:textAlignment w:val="baseline"/>
        <w:rPr>
          <w:rFonts w:cs="Arial"/>
          <w:szCs w:val="20"/>
        </w:rPr>
      </w:pPr>
      <w:r w:rsidRPr="007C5ADC">
        <w:rPr>
          <w:rFonts w:cs="Arial"/>
          <w:szCs w:val="20"/>
        </w:rPr>
        <w:t>odwiezienie sprzętu.</w:t>
      </w:r>
    </w:p>
    <w:p w14:paraId="35E39036"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9.3. Sposób rozliczenia robót tymczasowych i prac towarzyszących</w:t>
      </w:r>
    </w:p>
    <w:p w14:paraId="76202BB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b/>
        <w:t>Cena wykonania robót określonych niniejszą SST obejmuje:</w:t>
      </w:r>
    </w:p>
    <w:p w14:paraId="4B3A5CAE" w14:textId="77777777" w:rsidR="007C5ADC" w:rsidRPr="007C5ADC" w:rsidRDefault="007C5ADC" w:rsidP="00270120">
      <w:pPr>
        <w:numPr>
          <w:ilvl w:val="0"/>
          <w:numId w:val="4"/>
        </w:numPr>
        <w:overflowPunct w:val="0"/>
        <w:autoSpaceDE w:val="0"/>
        <w:autoSpaceDN w:val="0"/>
        <w:adjustRightInd w:val="0"/>
        <w:spacing w:line="240" w:lineRule="auto"/>
        <w:jc w:val="both"/>
        <w:textAlignment w:val="baseline"/>
        <w:rPr>
          <w:rFonts w:cs="Arial"/>
          <w:szCs w:val="20"/>
        </w:rPr>
      </w:pPr>
      <w:r w:rsidRPr="007C5ADC">
        <w:rPr>
          <w:rFonts w:cs="Arial"/>
          <w:szCs w:val="20"/>
        </w:rPr>
        <w:t>roboty tymczasowe, które są potrzebne do wykonania robót podstawowych, ale nie są przekazywane Zamawiającemu i są usuwane po wykonaniu robót podstawowych,</w:t>
      </w:r>
    </w:p>
    <w:p w14:paraId="19025E73" w14:textId="77777777" w:rsidR="007C5ADC" w:rsidRPr="007C5ADC" w:rsidRDefault="007C5ADC" w:rsidP="00270120">
      <w:pPr>
        <w:numPr>
          <w:ilvl w:val="0"/>
          <w:numId w:val="4"/>
        </w:numPr>
        <w:overflowPunct w:val="0"/>
        <w:autoSpaceDE w:val="0"/>
        <w:autoSpaceDN w:val="0"/>
        <w:adjustRightInd w:val="0"/>
        <w:spacing w:line="240" w:lineRule="auto"/>
        <w:jc w:val="both"/>
        <w:textAlignment w:val="baseline"/>
        <w:rPr>
          <w:rFonts w:cs="Arial"/>
          <w:szCs w:val="20"/>
        </w:rPr>
      </w:pPr>
      <w:r w:rsidRPr="007C5ADC">
        <w:rPr>
          <w:rFonts w:cs="Arial"/>
          <w:szCs w:val="20"/>
        </w:rPr>
        <w:t>prace towarzyszące, które są niezbędne do wykonania robót podstawowych, niezaliczane do robót tymczasowych, jak geodezyjne wytyczenie robót itd.</w:t>
      </w:r>
    </w:p>
    <w:p w14:paraId="0AEE1016" w14:textId="77777777" w:rsidR="007C5ADC" w:rsidRPr="007C5ADC" w:rsidRDefault="007C5ADC"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72" w:name="_Toc2587781"/>
      <w:r w:rsidRPr="007C5ADC">
        <w:rPr>
          <w:rFonts w:cs="Arial"/>
          <w:b/>
          <w:caps/>
          <w:kern w:val="28"/>
          <w:szCs w:val="20"/>
        </w:rPr>
        <w:t>10. Przepisy związane</w:t>
      </w:r>
      <w:bookmarkEnd w:id="1072"/>
    </w:p>
    <w:p w14:paraId="69EBD935"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637"/>
        <w:gridCol w:w="2553"/>
        <w:gridCol w:w="5640"/>
      </w:tblGrid>
      <w:tr w:rsidR="007C5ADC" w:rsidRPr="007C5ADC" w14:paraId="42FF55A3" w14:textId="77777777" w:rsidTr="002C7F1E">
        <w:tc>
          <w:tcPr>
            <w:tcW w:w="637" w:type="dxa"/>
          </w:tcPr>
          <w:p w14:paraId="17F8AF7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w:t>
            </w:r>
          </w:p>
        </w:tc>
        <w:tc>
          <w:tcPr>
            <w:tcW w:w="2553" w:type="dxa"/>
          </w:tcPr>
          <w:p w14:paraId="3A6FCFE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D-M-00.00.00</w:t>
            </w:r>
          </w:p>
        </w:tc>
        <w:tc>
          <w:tcPr>
            <w:tcW w:w="5640" w:type="dxa"/>
          </w:tcPr>
          <w:p w14:paraId="6E86C34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Wymagania ogólne</w:t>
            </w:r>
          </w:p>
        </w:tc>
      </w:tr>
    </w:tbl>
    <w:p w14:paraId="58852102"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10.2. Normy</w:t>
      </w:r>
    </w:p>
    <w:tbl>
      <w:tblPr>
        <w:tblW w:w="10773" w:type="dxa"/>
        <w:tblLook w:val="01E0" w:firstRow="1" w:lastRow="1" w:firstColumn="1" w:lastColumn="1" w:noHBand="0" w:noVBand="0"/>
      </w:tblPr>
      <w:tblGrid>
        <w:gridCol w:w="675"/>
        <w:gridCol w:w="2553"/>
        <w:gridCol w:w="7545"/>
      </w:tblGrid>
      <w:tr w:rsidR="007C5ADC" w:rsidRPr="007C5ADC" w14:paraId="61D88F71" w14:textId="77777777" w:rsidTr="007C5ADC">
        <w:tc>
          <w:tcPr>
            <w:tcW w:w="675" w:type="dxa"/>
          </w:tcPr>
          <w:p w14:paraId="06503EEB"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w:t>
            </w:r>
          </w:p>
        </w:tc>
        <w:tc>
          <w:tcPr>
            <w:tcW w:w="2553" w:type="dxa"/>
          </w:tcPr>
          <w:p w14:paraId="4F8A7425"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PN-EN 206</w:t>
            </w:r>
          </w:p>
        </w:tc>
        <w:tc>
          <w:tcPr>
            <w:tcW w:w="7545" w:type="dxa"/>
          </w:tcPr>
          <w:p w14:paraId="0D9680D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Beton - Wymagania, właściwości, produkcja i zgodność</w:t>
            </w:r>
          </w:p>
        </w:tc>
      </w:tr>
      <w:tr w:rsidR="007C5ADC" w:rsidRPr="007C5ADC" w14:paraId="2056643C" w14:textId="77777777" w:rsidTr="007C5ADC">
        <w:tc>
          <w:tcPr>
            <w:tcW w:w="675" w:type="dxa"/>
          </w:tcPr>
          <w:p w14:paraId="4C03C0C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3.</w:t>
            </w:r>
          </w:p>
        </w:tc>
        <w:tc>
          <w:tcPr>
            <w:tcW w:w="2553" w:type="dxa"/>
          </w:tcPr>
          <w:p w14:paraId="4706C318" w14:textId="77777777" w:rsidR="007C5ADC" w:rsidRPr="007C5ADC" w:rsidRDefault="007C5ADC" w:rsidP="00270120">
            <w:pPr>
              <w:overflowPunct w:val="0"/>
              <w:autoSpaceDE w:val="0"/>
              <w:autoSpaceDN w:val="0"/>
              <w:adjustRightInd w:val="0"/>
              <w:spacing w:line="240" w:lineRule="auto"/>
              <w:textAlignment w:val="baseline"/>
              <w:rPr>
                <w:rFonts w:cs="Arial"/>
                <w:szCs w:val="20"/>
                <w:lang w:val="en-US"/>
              </w:rPr>
            </w:pPr>
            <w:r w:rsidRPr="007C5ADC">
              <w:rPr>
                <w:rFonts w:cs="Arial"/>
                <w:szCs w:val="20"/>
                <w:lang w:val="en-US"/>
              </w:rPr>
              <w:t>PN-EN 1340</w:t>
            </w:r>
          </w:p>
        </w:tc>
        <w:tc>
          <w:tcPr>
            <w:tcW w:w="7545" w:type="dxa"/>
          </w:tcPr>
          <w:p w14:paraId="697749C8"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Krawężniki betonowe - Wymagania i metody badań</w:t>
            </w:r>
          </w:p>
        </w:tc>
      </w:tr>
      <w:tr w:rsidR="007C5ADC" w:rsidRPr="007C5ADC" w14:paraId="4234DB43" w14:textId="77777777" w:rsidTr="007C5ADC">
        <w:tc>
          <w:tcPr>
            <w:tcW w:w="675" w:type="dxa"/>
          </w:tcPr>
          <w:p w14:paraId="2D501ED3"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4.</w:t>
            </w:r>
          </w:p>
        </w:tc>
        <w:tc>
          <w:tcPr>
            <w:tcW w:w="2553" w:type="dxa"/>
          </w:tcPr>
          <w:p w14:paraId="75BB5400"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PN-EN 1008:2004</w:t>
            </w:r>
          </w:p>
        </w:tc>
        <w:tc>
          <w:tcPr>
            <w:tcW w:w="7545" w:type="dxa"/>
          </w:tcPr>
          <w:p w14:paraId="2E926B8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Woda zarobowa do betonu -- Specyfikacja pobierania próbek, badanie i ocena przydatności wody zarobowej do betonu, w tym wody odzyskanej z procesów produkcji betonu</w:t>
            </w:r>
          </w:p>
        </w:tc>
      </w:tr>
      <w:tr w:rsidR="007C5ADC" w:rsidRPr="007C5ADC" w14:paraId="25444721" w14:textId="77777777" w:rsidTr="007C5ADC">
        <w:tc>
          <w:tcPr>
            <w:tcW w:w="675" w:type="dxa"/>
          </w:tcPr>
          <w:p w14:paraId="00CC676B"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5.</w:t>
            </w:r>
          </w:p>
        </w:tc>
        <w:tc>
          <w:tcPr>
            <w:tcW w:w="2553" w:type="dxa"/>
          </w:tcPr>
          <w:p w14:paraId="3CA831B0"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 xml:space="preserve">PN-EN 13242 </w:t>
            </w:r>
          </w:p>
        </w:tc>
        <w:tc>
          <w:tcPr>
            <w:tcW w:w="7545" w:type="dxa"/>
          </w:tcPr>
          <w:p w14:paraId="1B87012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Kruszywa do niezwiązanych i związanych hydraulicznie materiałów stosowanych w obiektach budowlanych i budownictwie drogowym</w:t>
            </w:r>
          </w:p>
        </w:tc>
      </w:tr>
      <w:tr w:rsidR="007C5ADC" w:rsidRPr="007C5ADC" w14:paraId="64C47CB5" w14:textId="77777777" w:rsidTr="007C5ADC">
        <w:tc>
          <w:tcPr>
            <w:tcW w:w="675" w:type="dxa"/>
          </w:tcPr>
          <w:p w14:paraId="47699088"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6.</w:t>
            </w:r>
          </w:p>
        </w:tc>
        <w:tc>
          <w:tcPr>
            <w:tcW w:w="2553" w:type="dxa"/>
          </w:tcPr>
          <w:p w14:paraId="37DA9F8D"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PN-EN14188-1</w:t>
            </w:r>
          </w:p>
        </w:tc>
        <w:tc>
          <w:tcPr>
            <w:tcW w:w="7545" w:type="dxa"/>
          </w:tcPr>
          <w:p w14:paraId="5927BE83"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Wypełniacze szczelin i zalewy drogowe -- Część 1: Wymagania wobec zalew drogowych na gorąco</w:t>
            </w:r>
          </w:p>
        </w:tc>
      </w:tr>
      <w:tr w:rsidR="007C5ADC" w:rsidRPr="007C5ADC" w14:paraId="08003B42" w14:textId="77777777" w:rsidTr="007C5ADC">
        <w:tc>
          <w:tcPr>
            <w:tcW w:w="675" w:type="dxa"/>
          </w:tcPr>
          <w:p w14:paraId="60F112C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7.</w:t>
            </w:r>
          </w:p>
        </w:tc>
        <w:tc>
          <w:tcPr>
            <w:tcW w:w="2553" w:type="dxa"/>
          </w:tcPr>
          <w:p w14:paraId="1B6A532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PN-EN 14188-2</w:t>
            </w:r>
          </w:p>
        </w:tc>
        <w:tc>
          <w:tcPr>
            <w:tcW w:w="7545" w:type="dxa"/>
          </w:tcPr>
          <w:p w14:paraId="5903F5F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Wypełniacze szczelin i zalewy drogowe -- Część 2: Wymagania wobec zalew drogowych na zimno</w:t>
            </w:r>
          </w:p>
        </w:tc>
      </w:tr>
      <w:tr w:rsidR="007C5ADC" w:rsidRPr="007C5ADC" w14:paraId="6D366D57" w14:textId="77777777" w:rsidTr="007C5ADC">
        <w:tc>
          <w:tcPr>
            <w:tcW w:w="675" w:type="dxa"/>
          </w:tcPr>
          <w:p w14:paraId="0BEE18B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8.</w:t>
            </w:r>
          </w:p>
        </w:tc>
        <w:tc>
          <w:tcPr>
            <w:tcW w:w="2553" w:type="dxa"/>
          </w:tcPr>
          <w:p w14:paraId="4837C24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PN-EN 197-1</w:t>
            </w:r>
          </w:p>
        </w:tc>
        <w:tc>
          <w:tcPr>
            <w:tcW w:w="7545" w:type="dxa"/>
          </w:tcPr>
          <w:p w14:paraId="1E242F4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Cement - Część 1: Skład, wymagania i kryteria zgodności dotyczące cementu powszechnego użytku</w:t>
            </w:r>
          </w:p>
        </w:tc>
      </w:tr>
    </w:tbl>
    <w:p w14:paraId="5C0D856F" w14:textId="77777777" w:rsidR="007C5ADC" w:rsidRPr="007C5ADC" w:rsidRDefault="007C5ADC" w:rsidP="00270120">
      <w:pPr>
        <w:keepNext/>
        <w:overflowPunct w:val="0"/>
        <w:autoSpaceDE w:val="0"/>
        <w:autoSpaceDN w:val="0"/>
        <w:adjustRightInd w:val="0"/>
        <w:spacing w:line="240" w:lineRule="auto"/>
        <w:jc w:val="both"/>
        <w:textAlignment w:val="baseline"/>
        <w:outlineLvl w:val="1"/>
        <w:rPr>
          <w:rFonts w:cs="Arial"/>
          <w:b/>
          <w:szCs w:val="20"/>
        </w:rPr>
      </w:pPr>
      <w:r w:rsidRPr="007C5ADC">
        <w:rPr>
          <w:rFonts w:cs="Arial"/>
          <w:b/>
          <w:szCs w:val="20"/>
        </w:rPr>
        <w:t>10.3. Inne dokumenty</w:t>
      </w:r>
    </w:p>
    <w:tbl>
      <w:tblPr>
        <w:tblW w:w="0" w:type="auto"/>
        <w:tblLook w:val="01E0" w:firstRow="1" w:lastRow="1" w:firstColumn="1" w:lastColumn="1" w:noHBand="0" w:noVBand="0"/>
      </w:tblPr>
      <w:tblGrid>
        <w:gridCol w:w="675"/>
        <w:gridCol w:w="10098"/>
      </w:tblGrid>
      <w:tr w:rsidR="007C5ADC" w:rsidRPr="007C5ADC" w14:paraId="0FABBC0D" w14:textId="77777777" w:rsidTr="007C5ADC">
        <w:tc>
          <w:tcPr>
            <w:tcW w:w="675" w:type="dxa"/>
          </w:tcPr>
          <w:p w14:paraId="0DC4E3A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9.</w:t>
            </w:r>
          </w:p>
        </w:tc>
        <w:tc>
          <w:tcPr>
            <w:tcW w:w="10098" w:type="dxa"/>
          </w:tcPr>
          <w:p w14:paraId="555DEF2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Katalog szczegółów drogowych ulic, placów i parków miejskich. Centrum Techniki Budownictwa Komunalnego, Warszawa 1987</w:t>
            </w:r>
          </w:p>
        </w:tc>
      </w:tr>
      <w:tr w:rsidR="007C5ADC" w:rsidRPr="007C5ADC" w14:paraId="179B24D3" w14:textId="77777777" w:rsidTr="007C5ADC">
        <w:tc>
          <w:tcPr>
            <w:tcW w:w="675" w:type="dxa"/>
          </w:tcPr>
          <w:p w14:paraId="4A5A0A4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10.</w:t>
            </w:r>
          </w:p>
        </w:tc>
        <w:tc>
          <w:tcPr>
            <w:tcW w:w="10098" w:type="dxa"/>
          </w:tcPr>
          <w:p w14:paraId="7B4816AF"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Zarządzenia Nr 23 Generalnego Dyrektora Dróg Krajowych i Autostrad z dnia 7 czerwca 2018 r.</w:t>
            </w:r>
          </w:p>
        </w:tc>
      </w:tr>
      <w:tr w:rsidR="007C5ADC" w:rsidRPr="007C5ADC" w14:paraId="76EF5AF7" w14:textId="77777777" w:rsidTr="007C5ADC">
        <w:tc>
          <w:tcPr>
            <w:tcW w:w="675" w:type="dxa"/>
          </w:tcPr>
          <w:p w14:paraId="35E05FD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11.</w:t>
            </w:r>
          </w:p>
        </w:tc>
        <w:tc>
          <w:tcPr>
            <w:tcW w:w="10098" w:type="dxa"/>
          </w:tcPr>
          <w:p w14:paraId="7BC95C85"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Ustawa o wyrobach budowlanych z dnia 16 kwietnia 2004 r. (tekst jednolity: Dz.U. z 2019 r., poz. 266 z późn. zm.)</w:t>
            </w:r>
          </w:p>
        </w:tc>
      </w:tr>
    </w:tbl>
    <w:p w14:paraId="5781B149" w14:textId="77777777" w:rsidR="007C5ADC" w:rsidRPr="006431C4" w:rsidRDefault="007C5ADC" w:rsidP="00270120">
      <w:pPr>
        <w:overflowPunct w:val="0"/>
        <w:autoSpaceDE w:val="0"/>
        <w:autoSpaceDN w:val="0"/>
        <w:adjustRightInd w:val="0"/>
        <w:spacing w:line="240" w:lineRule="auto"/>
        <w:jc w:val="both"/>
        <w:textAlignment w:val="baseline"/>
        <w:rPr>
          <w:rFonts w:cs="Arial"/>
          <w:szCs w:val="20"/>
        </w:rPr>
      </w:pPr>
    </w:p>
    <w:p w14:paraId="257B2B9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0144132E" w14:textId="77777777" w:rsidR="007C5ADC" w:rsidRPr="007C5ADC" w:rsidRDefault="007C5ADC" w:rsidP="00270120">
      <w:pPr>
        <w:keepNext/>
        <w:keepLines/>
        <w:suppressAutoHyphens/>
        <w:overflowPunct w:val="0"/>
        <w:autoSpaceDE w:val="0"/>
        <w:autoSpaceDN w:val="0"/>
        <w:adjustRightInd w:val="0"/>
        <w:spacing w:line="240" w:lineRule="auto"/>
        <w:jc w:val="center"/>
        <w:textAlignment w:val="baseline"/>
        <w:outlineLvl w:val="0"/>
        <w:rPr>
          <w:rFonts w:cs="Arial"/>
          <w:b/>
          <w:caps/>
          <w:kern w:val="28"/>
          <w:szCs w:val="20"/>
        </w:rPr>
      </w:pPr>
      <w:bookmarkStart w:id="1073" w:name="_Toc2587782"/>
      <w:r w:rsidRPr="007C5ADC">
        <w:rPr>
          <w:rFonts w:cs="Arial"/>
          <w:b/>
          <w:caps/>
          <w:kern w:val="28"/>
          <w:szCs w:val="20"/>
        </w:rPr>
        <w:t>11. ZAŁĄCZNIKI</w:t>
      </w:r>
      <w:bookmarkEnd w:id="1073"/>
    </w:p>
    <w:p w14:paraId="2BA07E97"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r w:rsidRPr="007C5ADC">
        <w:rPr>
          <w:rFonts w:cs="Arial"/>
          <w:b/>
          <w:szCs w:val="20"/>
        </w:rPr>
        <w:t>ZAŁĄCZNIK 1</w:t>
      </w:r>
    </w:p>
    <w:p w14:paraId="4725272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GEOMETRIA   KRAWĘŻNIKÓW (wg [3])</w:t>
      </w:r>
    </w:p>
    <w:p w14:paraId="775B95EF"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1.1. Przykład kształtu krawężnika przeznaczonego do ryglowania</w:t>
      </w:r>
    </w:p>
    <w:p w14:paraId="0F93F21B"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39BBA81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noProof/>
          <w:szCs w:val="20"/>
        </w:rPr>
        <w:lastRenderedPageBreak/>
        <w:drawing>
          <wp:inline distT="0" distB="0" distL="0" distR="0" wp14:anchorId="3FCF793F" wp14:editId="156B3A1C">
            <wp:extent cx="3933825" cy="1685925"/>
            <wp:effectExtent l="0" t="0" r="9525" b="9525"/>
            <wp:docPr id="97" name="Obraz 97" descr="bz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 descr="bz1_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933825" cy="1685925"/>
                    </a:xfrm>
                    <a:prstGeom prst="rect">
                      <a:avLst/>
                    </a:prstGeom>
                    <a:noFill/>
                    <a:ln>
                      <a:noFill/>
                    </a:ln>
                  </pic:spPr>
                </pic:pic>
              </a:graphicData>
            </a:graphic>
          </wp:inline>
        </w:drawing>
      </w:r>
    </w:p>
    <w:p w14:paraId="6F2C294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0C37BDF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517E8EDB" w14:textId="77777777" w:rsidR="007C5ADC" w:rsidRPr="007C5ADC" w:rsidRDefault="007C5ADC" w:rsidP="00270120">
      <w:pPr>
        <w:overflowPunct w:val="0"/>
        <w:autoSpaceDE w:val="0"/>
        <w:autoSpaceDN w:val="0"/>
        <w:adjustRightInd w:val="0"/>
        <w:spacing w:line="240" w:lineRule="auto"/>
        <w:ind w:left="1134" w:hanging="1134"/>
        <w:jc w:val="both"/>
        <w:textAlignment w:val="baseline"/>
        <w:rPr>
          <w:rFonts w:cs="Arial"/>
          <w:szCs w:val="20"/>
        </w:rPr>
      </w:pPr>
      <w:r w:rsidRPr="007C5ADC">
        <w:rPr>
          <w:rFonts w:cs="Arial"/>
          <w:szCs w:val="20"/>
        </w:rPr>
        <w:t xml:space="preserve">Oznaczenia: Y ≤ X – </w:t>
      </w:r>
      <w:smartTag w:uri="urn:schemas-microsoft-com:office:smarttags" w:element="metricconverter">
        <w:smartTagPr>
          <w:attr w:name="ProductID" w:val="3 mm"/>
        </w:smartTagPr>
        <w:r w:rsidRPr="007C5ADC">
          <w:rPr>
            <w:rFonts w:cs="Arial"/>
            <w:szCs w:val="20"/>
          </w:rPr>
          <w:t>3 mm</w:t>
        </w:r>
      </w:smartTag>
      <w:r w:rsidRPr="007C5ADC">
        <w:rPr>
          <w:rFonts w:cs="Arial"/>
          <w:szCs w:val="20"/>
        </w:rPr>
        <w:t xml:space="preserve"> i Z</w:t>
      </w:r>
      <w:r w:rsidRPr="007C5ADC">
        <w:rPr>
          <w:rFonts w:cs="Arial"/>
          <w:szCs w:val="20"/>
          <w:vertAlign w:val="subscript"/>
        </w:rPr>
        <w:t>Y</w:t>
      </w:r>
      <w:r w:rsidRPr="007C5ADC">
        <w:rPr>
          <w:rFonts w:cs="Arial"/>
          <w:szCs w:val="20"/>
        </w:rPr>
        <w:t xml:space="preserve"> ≤ Z</w:t>
      </w:r>
      <w:r w:rsidRPr="007C5ADC">
        <w:rPr>
          <w:rFonts w:cs="Arial"/>
          <w:szCs w:val="20"/>
          <w:vertAlign w:val="subscript"/>
        </w:rPr>
        <w:t>X</w:t>
      </w:r>
      <w:r w:rsidRPr="007C5ADC">
        <w:rPr>
          <w:rFonts w:cs="Arial"/>
          <w:szCs w:val="20"/>
        </w:rPr>
        <w:t xml:space="preserve"> – </w:t>
      </w:r>
      <w:smartTag w:uri="urn:schemas-microsoft-com:office:smarttags" w:element="metricconverter">
        <w:smartTagPr>
          <w:attr w:name="ProductID" w:val="3 mm"/>
        </w:smartTagPr>
        <w:r w:rsidRPr="007C5ADC">
          <w:rPr>
            <w:rFonts w:cs="Arial"/>
            <w:szCs w:val="20"/>
          </w:rPr>
          <w:t>3 mm</w:t>
        </w:r>
      </w:smartTag>
      <w:r w:rsidRPr="007C5ADC">
        <w:rPr>
          <w:rFonts w:cs="Arial"/>
          <w:szCs w:val="20"/>
        </w:rPr>
        <w:t xml:space="preserve">,  X minimum: ≥ 1/5 </w:t>
      </w:r>
      <w:r w:rsidRPr="007C5ADC">
        <w:rPr>
          <w:rFonts w:cs="Arial"/>
          <w:i/>
          <w:szCs w:val="20"/>
        </w:rPr>
        <w:t>b</w:t>
      </w:r>
      <w:r w:rsidRPr="007C5ADC">
        <w:rPr>
          <w:rFonts w:cs="Arial"/>
          <w:szCs w:val="20"/>
        </w:rPr>
        <w:t xml:space="preserve"> i ≥ </w:t>
      </w:r>
      <w:smartTag w:uri="urn:schemas-microsoft-com:office:smarttags" w:element="metricconverter">
        <w:smartTagPr>
          <w:attr w:name="ProductID" w:val="20 mm"/>
        </w:smartTagPr>
        <w:r w:rsidRPr="007C5ADC">
          <w:rPr>
            <w:rFonts w:cs="Arial"/>
            <w:szCs w:val="20"/>
          </w:rPr>
          <w:t>20 mm</w:t>
        </w:r>
      </w:smartTag>
      <w:r w:rsidRPr="007C5ADC">
        <w:rPr>
          <w:rFonts w:cs="Arial"/>
          <w:szCs w:val="20"/>
        </w:rPr>
        <w:t>,</w:t>
      </w:r>
      <w:r w:rsidRPr="007C5ADC">
        <w:rPr>
          <w:rFonts w:cs="Arial"/>
          <w:szCs w:val="20"/>
        </w:rPr>
        <w:br/>
        <w:t xml:space="preserve">X maximum: ≤ 1/3 </w:t>
      </w:r>
      <w:r w:rsidRPr="007C5ADC">
        <w:rPr>
          <w:rFonts w:cs="Arial"/>
          <w:i/>
          <w:szCs w:val="20"/>
        </w:rPr>
        <w:t>b</w:t>
      </w:r>
      <w:r w:rsidRPr="007C5ADC">
        <w:rPr>
          <w:rFonts w:cs="Arial"/>
          <w:szCs w:val="20"/>
        </w:rPr>
        <w:t xml:space="preserve"> i  ≤ </w:t>
      </w:r>
      <w:smartTag w:uri="urn:schemas-microsoft-com:office:smarttags" w:element="metricconverter">
        <w:smartTagPr>
          <w:attr w:name="ProductID" w:val="70 mm"/>
        </w:smartTagPr>
        <w:r w:rsidRPr="007C5ADC">
          <w:rPr>
            <w:rFonts w:cs="Arial"/>
            <w:szCs w:val="20"/>
          </w:rPr>
          <w:t>70 mm</w:t>
        </w:r>
      </w:smartTag>
      <w:r w:rsidRPr="007C5ADC">
        <w:rPr>
          <w:rFonts w:cs="Arial"/>
          <w:szCs w:val="20"/>
        </w:rPr>
        <w:t>,  Z</w:t>
      </w:r>
      <w:r w:rsidRPr="007C5ADC">
        <w:rPr>
          <w:rFonts w:cs="Arial"/>
          <w:szCs w:val="20"/>
          <w:vertAlign w:val="subscript"/>
        </w:rPr>
        <w:t>Y</w:t>
      </w:r>
      <w:r w:rsidRPr="007C5ADC">
        <w:rPr>
          <w:rFonts w:cs="Arial"/>
          <w:szCs w:val="20"/>
        </w:rPr>
        <w:t xml:space="preserve"> maximum: Y/2, Tolerancja dla X i Z</w:t>
      </w:r>
      <w:r w:rsidRPr="007C5ADC">
        <w:rPr>
          <w:rFonts w:cs="Arial"/>
          <w:szCs w:val="20"/>
          <w:vertAlign w:val="subscript"/>
        </w:rPr>
        <w:t>X</w:t>
      </w:r>
      <w:r w:rsidRPr="007C5ADC">
        <w:rPr>
          <w:rFonts w:cs="Arial"/>
          <w:szCs w:val="20"/>
        </w:rPr>
        <w:t xml:space="preserve">   -1, +</w:t>
      </w:r>
      <w:smartTag w:uri="urn:schemas-microsoft-com:office:smarttags" w:element="metricconverter">
        <w:smartTagPr>
          <w:attr w:name="ProductID" w:val="2 mm"/>
        </w:smartTagPr>
        <w:r w:rsidRPr="007C5ADC">
          <w:rPr>
            <w:rFonts w:cs="Arial"/>
            <w:szCs w:val="20"/>
          </w:rPr>
          <w:t>2 mm</w:t>
        </w:r>
      </w:smartTag>
      <w:r w:rsidRPr="007C5ADC">
        <w:rPr>
          <w:rFonts w:cs="Arial"/>
          <w:szCs w:val="20"/>
        </w:rPr>
        <w:t>,  Tolerancja dla Y i Z</w:t>
      </w:r>
      <w:r w:rsidRPr="007C5ADC">
        <w:rPr>
          <w:rFonts w:cs="Arial"/>
          <w:szCs w:val="20"/>
          <w:vertAlign w:val="subscript"/>
        </w:rPr>
        <w:t>Y</w:t>
      </w:r>
      <w:r w:rsidRPr="007C5ADC">
        <w:rPr>
          <w:rFonts w:cs="Arial"/>
          <w:szCs w:val="20"/>
        </w:rPr>
        <w:t xml:space="preserve"> – 2, +</w:t>
      </w:r>
      <w:smartTag w:uri="urn:schemas-microsoft-com:office:smarttags" w:element="metricconverter">
        <w:smartTagPr>
          <w:attr w:name="ProductID" w:val="1 mm"/>
        </w:smartTagPr>
        <w:r w:rsidRPr="007C5ADC">
          <w:rPr>
            <w:rFonts w:cs="Arial"/>
            <w:szCs w:val="20"/>
          </w:rPr>
          <w:t>1 mm</w:t>
        </w:r>
      </w:smartTag>
      <w:r w:rsidRPr="007C5ADC">
        <w:rPr>
          <w:rFonts w:cs="Arial"/>
          <w:szCs w:val="20"/>
        </w:rPr>
        <w:t>,  L – Długość elementu krawężnika,  W</w:t>
      </w:r>
      <w:r w:rsidRPr="007C5ADC">
        <w:rPr>
          <w:rFonts w:cs="Arial"/>
          <w:i/>
          <w:szCs w:val="20"/>
        </w:rPr>
        <w:t xml:space="preserve"> –</w:t>
      </w:r>
      <w:r w:rsidRPr="007C5ADC">
        <w:rPr>
          <w:rFonts w:cs="Arial"/>
          <w:szCs w:val="20"/>
        </w:rPr>
        <w:t xml:space="preserve"> Szerokość elementu krawężnika</w:t>
      </w:r>
    </w:p>
    <w:p w14:paraId="7F3B4C4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20E984FA"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1.2. Przykład wgłębienia lub wcięcia powierzchni czołowej w dolnej części krawężnika</w:t>
      </w:r>
    </w:p>
    <w:p w14:paraId="399F2E2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2ABB7FDE"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noProof/>
          <w:szCs w:val="20"/>
        </w:rPr>
        <w:drawing>
          <wp:inline distT="0" distB="0" distL="0" distR="0" wp14:anchorId="4DA0FDF1" wp14:editId="343AE21D">
            <wp:extent cx="2057400" cy="2076450"/>
            <wp:effectExtent l="0" t="0" r="0" b="0"/>
            <wp:docPr id="98" name="Obraz 98" descr="bz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 descr="bz1_2"/>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057400" cy="2076450"/>
                    </a:xfrm>
                    <a:prstGeom prst="rect">
                      <a:avLst/>
                    </a:prstGeom>
                    <a:noFill/>
                    <a:ln>
                      <a:noFill/>
                    </a:ln>
                  </pic:spPr>
                </pic:pic>
              </a:graphicData>
            </a:graphic>
          </wp:inline>
        </w:drawing>
      </w:r>
    </w:p>
    <w:p w14:paraId="7625235D" w14:textId="77777777" w:rsidR="007C5ADC" w:rsidRPr="007C5ADC" w:rsidRDefault="007C5ADC" w:rsidP="00270120">
      <w:pPr>
        <w:overflowPunct w:val="0"/>
        <w:autoSpaceDE w:val="0"/>
        <w:autoSpaceDN w:val="0"/>
        <w:adjustRightInd w:val="0"/>
        <w:spacing w:line="240" w:lineRule="auto"/>
        <w:ind w:left="1134" w:hanging="1134"/>
        <w:jc w:val="both"/>
        <w:textAlignment w:val="baseline"/>
        <w:rPr>
          <w:rFonts w:cs="Arial"/>
          <w:szCs w:val="20"/>
        </w:rPr>
      </w:pPr>
      <w:r w:rsidRPr="007C5ADC">
        <w:rPr>
          <w:rFonts w:cs="Arial"/>
          <w:szCs w:val="20"/>
        </w:rPr>
        <w:t>Oznaczenia:   H – Wysokość elementu krawężnika, h – wysokość wgłębienia lub wcięcia,       W – szerokość elementu krawężnika, L – długość elementu krawężnika,              l – długość wgłębienia lub wcięcia</w:t>
      </w:r>
    </w:p>
    <w:p w14:paraId="09CA9E13"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3D1EF8F9"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68423987"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4FA5DE69"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29525157"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56073F5C"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6F169492"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r w:rsidRPr="007C5ADC">
        <w:rPr>
          <w:rFonts w:cs="Arial"/>
          <w:b/>
          <w:szCs w:val="20"/>
        </w:rPr>
        <w:t>ZAŁĄCZNIK 2</w:t>
      </w:r>
    </w:p>
    <w:p w14:paraId="504E914F"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71296FAB"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PRZYKŁADY  KRAWĘŻNIKÓW  ŁUKOWYCH (wg [3])</w:t>
      </w:r>
    </w:p>
    <w:p w14:paraId="5DADE98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p w14:paraId="73E3F9C3"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a) wklęsłego</w:t>
      </w:r>
      <w:r w:rsidRPr="007C5ADC">
        <w:rPr>
          <w:rFonts w:cs="Arial"/>
          <w:szCs w:val="20"/>
        </w:rPr>
        <w:tab/>
      </w:r>
      <w:r w:rsidRPr="007C5ADC">
        <w:rPr>
          <w:rFonts w:cs="Arial"/>
          <w:szCs w:val="20"/>
        </w:rPr>
        <w:tab/>
      </w:r>
      <w:r w:rsidRPr="007C5ADC">
        <w:rPr>
          <w:rFonts w:cs="Arial"/>
          <w:szCs w:val="20"/>
        </w:rPr>
        <w:tab/>
      </w:r>
      <w:r w:rsidRPr="007C5ADC">
        <w:rPr>
          <w:rFonts w:cs="Arial"/>
          <w:szCs w:val="20"/>
        </w:rPr>
        <w:tab/>
        <w:t>b) wypukłego</w:t>
      </w:r>
    </w:p>
    <w:p w14:paraId="0BF1B05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5207C9CF"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noProof/>
          <w:szCs w:val="20"/>
        </w:rPr>
        <w:drawing>
          <wp:inline distT="0" distB="0" distL="0" distR="0" wp14:anchorId="52014B06" wp14:editId="16A812E1">
            <wp:extent cx="4600575" cy="1790700"/>
            <wp:effectExtent l="0" t="0" r="9525" b="0"/>
            <wp:docPr id="99" name="Obraz 99" descr="bz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descr="bz2_1"/>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600575" cy="1790700"/>
                    </a:xfrm>
                    <a:prstGeom prst="rect">
                      <a:avLst/>
                    </a:prstGeom>
                    <a:noFill/>
                    <a:ln>
                      <a:noFill/>
                    </a:ln>
                  </pic:spPr>
                </pic:pic>
              </a:graphicData>
            </a:graphic>
          </wp:inline>
        </w:drawing>
      </w:r>
    </w:p>
    <w:p w14:paraId="0FD5E4D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1BB9C3E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Oznaczenia: 1 – Krawężnik, 2 – Jezdnia, 3 – Długość, 4 – Promień, 5 – Kanał odpływowy</w:t>
      </w:r>
    </w:p>
    <w:p w14:paraId="409C8786"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5007F206"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r w:rsidRPr="007C5ADC">
        <w:rPr>
          <w:rFonts w:cs="Arial"/>
          <w:b/>
          <w:szCs w:val="20"/>
        </w:rPr>
        <w:t>ZAŁĄCZNIK 3</w:t>
      </w:r>
    </w:p>
    <w:p w14:paraId="5BDCC1EB"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3F084A3C"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PRZYKŁADY  KRAWĘŻNIKÓW  TYPU  ULICZNEGO  I  DROGOWEGO</w:t>
      </w:r>
    </w:p>
    <w:p w14:paraId="3C14AEEC"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tbl>
      <w:tblPr>
        <w:tblW w:w="7659" w:type="dxa"/>
        <w:tblLook w:val="01E0" w:firstRow="1" w:lastRow="1" w:firstColumn="1" w:lastColumn="1" w:noHBand="0" w:noVBand="0"/>
      </w:tblPr>
      <w:tblGrid>
        <w:gridCol w:w="3756"/>
        <w:gridCol w:w="3906"/>
      </w:tblGrid>
      <w:tr w:rsidR="007C5ADC" w:rsidRPr="007C5ADC" w14:paraId="54884A19" w14:textId="77777777" w:rsidTr="002C7F1E">
        <w:tc>
          <w:tcPr>
            <w:tcW w:w="3750" w:type="dxa"/>
          </w:tcPr>
          <w:p w14:paraId="0087666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a) Krawężnik typu ulicznego</w:t>
            </w:r>
          </w:p>
          <w:p w14:paraId="656F7E7D"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p>
          <w:p w14:paraId="015466CB"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noProof/>
                <w:szCs w:val="20"/>
              </w:rPr>
              <w:drawing>
                <wp:inline distT="0" distB="0" distL="0" distR="0" wp14:anchorId="48E8F237" wp14:editId="2BA115D4">
                  <wp:extent cx="2247900" cy="1209675"/>
                  <wp:effectExtent l="0" t="0" r="0" b="9525"/>
                  <wp:docPr id="100" name="Obraz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247900" cy="1209675"/>
                          </a:xfrm>
                          <a:prstGeom prst="rect">
                            <a:avLst/>
                          </a:prstGeom>
                          <a:noFill/>
                          <a:ln>
                            <a:noFill/>
                          </a:ln>
                        </pic:spPr>
                      </pic:pic>
                    </a:graphicData>
                  </a:graphic>
                </wp:inline>
              </w:drawing>
            </w:r>
          </w:p>
          <w:p w14:paraId="1DF82F79"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p>
          <w:p w14:paraId="5541F180"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3909" w:type="dxa"/>
          </w:tcPr>
          <w:p w14:paraId="5DDA97D9"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b) Krawężniki typu drogowego</w:t>
            </w:r>
          </w:p>
          <w:p w14:paraId="260047FC"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p>
          <w:p w14:paraId="73D65474"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noProof/>
                <w:szCs w:val="20"/>
              </w:rPr>
              <w:drawing>
                <wp:inline distT="0" distB="0" distL="0" distR="0" wp14:anchorId="5DCF246E" wp14:editId="6EB57590">
                  <wp:extent cx="2343150" cy="1247775"/>
                  <wp:effectExtent l="0" t="0" r="0" b="9525"/>
                  <wp:docPr id="101" name="Obraz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343150" cy="1247775"/>
                          </a:xfrm>
                          <a:prstGeom prst="rect">
                            <a:avLst/>
                          </a:prstGeom>
                          <a:noFill/>
                          <a:ln>
                            <a:noFill/>
                          </a:ln>
                        </pic:spPr>
                      </pic:pic>
                    </a:graphicData>
                  </a:graphic>
                </wp:inline>
              </w:drawing>
            </w:r>
          </w:p>
          <w:p w14:paraId="0072D20B"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krawężnik o przekroju prostokątnym</w:t>
            </w:r>
          </w:p>
          <w:p w14:paraId="4FF092B0"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p>
          <w:p w14:paraId="5B384799"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noProof/>
                <w:szCs w:val="20"/>
              </w:rPr>
              <w:drawing>
                <wp:inline distT="0" distB="0" distL="0" distR="0" wp14:anchorId="426BFAD7" wp14:editId="4382E8BD">
                  <wp:extent cx="2314575" cy="1133475"/>
                  <wp:effectExtent l="0" t="0" r="9525" b="9525"/>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314575" cy="1133475"/>
                          </a:xfrm>
                          <a:prstGeom prst="rect">
                            <a:avLst/>
                          </a:prstGeom>
                          <a:noFill/>
                          <a:ln>
                            <a:noFill/>
                          </a:ln>
                        </pic:spPr>
                      </pic:pic>
                    </a:graphicData>
                  </a:graphic>
                </wp:inline>
              </w:drawing>
            </w:r>
          </w:p>
          <w:p w14:paraId="191F9FD6" w14:textId="77777777" w:rsidR="007C5ADC" w:rsidRPr="007C5ADC" w:rsidRDefault="007C5ADC" w:rsidP="00270120">
            <w:pPr>
              <w:numPr>
                <w:ilvl w:val="12"/>
                <w:numId w:val="0"/>
              </w:numPr>
              <w:overflowPunct w:val="0"/>
              <w:autoSpaceDE w:val="0"/>
              <w:autoSpaceDN w:val="0"/>
              <w:adjustRightInd w:val="0"/>
              <w:spacing w:line="240" w:lineRule="auto"/>
              <w:jc w:val="both"/>
              <w:textAlignment w:val="baseline"/>
              <w:rPr>
                <w:rFonts w:cs="Arial"/>
                <w:szCs w:val="20"/>
              </w:rPr>
            </w:pPr>
            <w:r w:rsidRPr="007C5ADC">
              <w:rPr>
                <w:rFonts w:cs="Arial"/>
                <w:szCs w:val="20"/>
              </w:rPr>
              <w:t>krawężnik wyspowy</w:t>
            </w:r>
          </w:p>
          <w:p w14:paraId="6D4393C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r>
    </w:tbl>
    <w:p w14:paraId="0B8F8C0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1CFAE3EC"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60069B3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r w:rsidRPr="007C5ADC">
        <w:rPr>
          <w:rFonts w:cs="Arial"/>
          <w:szCs w:val="20"/>
        </w:rPr>
        <w:t>Przykładowe wymiary krawężników</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709"/>
        <w:gridCol w:w="850"/>
        <w:gridCol w:w="851"/>
        <w:gridCol w:w="1134"/>
        <w:gridCol w:w="1134"/>
        <w:gridCol w:w="1134"/>
      </w:tblGrid>
      <w:tr w:rsidR="007C5ADC" w:rsidRPr="007C5ADC" w14:paraId="62F1A83B" w14:textId="77777777" w:rsidTr="002C7F1E">
        <w:tc>
          <w:tcPr>
            <w:tcW w:w="1276" w:type="dxa"/>
            <w:tcBorders>
              <w:bottom w:val="nil"/>
            </w:tcBorders>
          </w:tcPr>
          <w:p w14:paraId="787E707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 xml:space="preserve">Typ </w:t>
            </w:r>
          </w:p>
        </w:tc>
        <w:tc>
          <w:tcPr>
            <w:tcW w:w="5812" w:type="dxa"/>
            <w:gridSpan w:val="6"/>
          </w:tcPr>
          <w:p w14:paraId="25AC6D8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Wymiary krawężników, cm</w:t>
            </w:r>
          </w:p>
        </w:tc>
      </w:tr>
      <w:tr w:rsidR="007C5ADC" w:rsidRPr="007C5ADC" w14:paraId="2070E657" w14:textId="77777777" w:rsidTr="002C7F1E">
        <w:tc>
          <w:tcPr>
            <w:tcW w:w="1276" w:type="dxa"/>
            <w:tcBorders>
              <w:top w:val="nil"/>
              <w:bottom w:val="double" w:sz="4" w:space="0" w:color="auto"/>
            </w:tcBorders>
          </w:tcPr>
          <w:p w14:paraId="6BCFCC6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krawężnika</w:t>
            </w:r>
          </w:p>
        </w:tc>
        <w:tc>
          <w:tcPr>
            <w:tcW w:w="709" w:type="dxa"/>
            <w:tcBorders>
              <w:bottom w:val="double" w:sz="4" w:space="0" w:color="auto"/>
            </w:tcBorders>
          </w:tcPr>
          <w:p w14:paraId="1DE0832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l</w:t>
            </w:r>
          </w:p>
        </w:tc>
        <w:tc>
          <w:tcPr>
            <w:tcW w:w="850" w:type="dxa"/>
            <w:tcBorders>
              <w:bottom w:val="double" w:sz="4" w:space="0" w:color="auto"/>
            </w:tcBorders>
          </w:tcPr>
          <w:p w14:paraId="49132D0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b</w:t>
            </w:r>
          </w:p>
        </w:tc>
        <w:tc>
          <w:tcPr>
            <w:tcW w:w="851" w:type="dxa"/>
            <w:tcBorders>
              <w:bottom w:val="double" w:sz="4" w:space="0" w:color="auto"/>
            </w:tcBorders>
          </w:tcPr>
          <w:p w14:paraId="7FB34D8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h</w:t>
            </w:r>
          </w:p>
        </w:tc>
        <w:tc>
          <w:tcPr>
            <w:tcW w:w="1134" w:type="dxa"/>
            <w:tcBorders>
              <w:bottom w:val="double" w:sz="4" w:space="0" w:color="auto"/>
            </w:tcBorders>
          </w:tcPr>
          <w:p w14:paraId="1CB2ABD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c</w:t>
            </w:r>
          </w:p>
        </w:tc>
        <w:tc>
          <w:tcPr>
            <w:tcW w:w="1134" w:type="dxa"/>
            <w:tcBorders>
              <w:bottom w:val="double" w:sz="4" w:space="0" w:color="auto"/>
            </w:tcBorders>
          </w:tcPr>
          <w:p w14:paraId="0D76D83C"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d</w:t>
            </w:r>
          </w:p>
        </w:tc>
        <w:tc>
          <w:tcPr>
            <w:tcW w:w="1134" w:type="dxa"/>
            <w:tcBorders>
              <w:bottom w:val="double" w:sz="4" w:space="0" w:color="auto"/>
            </w:tcBorders>
          </w:tcPr>
          <w:p w14:paraId="23521EB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r</w:t>
            </w:r>
          </w:p>
        </w:tc>
      </w:tr>
      <w:tr w:rsidR="007C5ADC" w:rsidRPr="007C5ADC" w14:paraId="2FFF02E0" w14:textId="77777777" w:rsidTr="002C7F1E">
        <w:tc>
          <w:tcPr>
            <w:tcW w:w="1276" w:type="dxa"/>
            <w:tcBorders>
              <w:top w:val="double" w:sz="4" w:space="0" w:color="auto"/>
            </w:tcBorders>
          </w:tcPr>
          <w:p w14:paraId="2641504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Uliczny</w:t>
            </w:r>
          </w:p>
        </w:tc>
        <w:tc>
          <w:tcPr>
            <w:tcW w:w="709" w:type="dxa"/>
            <w:tcBorders>
              <w:top w:val="double" w:sz="4" w:space="0" w:color="auto"/>
            </w:tcBorders>
          </w:tcPr>
          <w:p w14:paraId="32B08D6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100</w:t>
            </w:r>
          </w:p>
        </w:tc>
        <w:tc>
          <w:tcPr>
            <w:tcW w:w="850" w:type="dxa"/>
            <w:tcBorders>
              <w:top w:val="double" w:sz="4" w:space="0" w:color="auto"/>
            </w:tcBorders>
          </w:tcPr>
          <w:p w14:paraId="3A2C8BD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20</w:t>
            </w:r>
          </w:p>
          <w:p w14:paraId="59FCB900"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15</w:t>
            </w:r>
          </w:p>
        </w:tc>
        <w:tc>
          <w:tcPr>
            <w:tcW w:w="851" w:type="dxa"/>
            <w:tcBorders>
              <w:top w:val="double" w:sz="4" w:space="0" w:color="auto"/>
            </w:tcBorders>
          </w:tcPr>
          <w:p w14:paraId="4F521A4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30</w:t>
            </w:r>
          </w:p>
        </w:tc>
        <w:tc>
          <w:tcPr>
            <w:tcW w:w="1134" w:type="dxa"/>
            <w:tcBorders>
              <w:top w:val="double" w:sz="4" w:space="0" w:color="auto"/>
            </w:tcBorders>
          </w:tcPr>
          <w:p w14:paraId="1BC7EBFE"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min. 3</w:t>
            </w:r>
          </w:p>
          <w:p w14:paraId="5FB537F4"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max. 7</w:t>
            </w:r>
          </w:p>
        </w:tc>
        <w:tc>
          <w:tcPr>
            <w:tcW w:w="1134" w:type="dxa"/>
            <w:tcBorders>
              <w:top w:val="double" w:sz="4" w:space="0" w:color="auto"/>
            </w:tcBorders>
          </w:tcPr>
          <w:p w14:paraId="46306CD3"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min. 12</w:t>
            </w:r>
          </w:p>
          <w:p w14:paraId="4ACBA4AE"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max. 15</w:t>
            </w:r>
          </w:p>
        </w:tc>
        <w:tc>
          <w:tcPr>
            <w:tcW w:w="1134" w:type="dxa"/>
            <w:tcBorders>
              <w:top w:val="double" w:sz="4" w:space="0" w:color="auto"/>
            </w:tcBorders>
          </w:tcPr>
          <w:p w14:paraId="017992B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1,0</w:t>
            </w:r>
          </w:p>
        </w:tc>
      </w:tr>
      <w:tr w:rsidR="007C5ADC" w:rsidRPr="007C5ADC" w14:paraId="19DE636D" w14:textId="77777777" w:rsidTr="002C7F1E">
        <w:tc>
          <w:tcPr>
            <w:tcW w:w="1276" w:type="dxa"/>
          </w:tcPr>
          <w:p w14:paraId="651E174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p w14:paraId="4E6FE43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Drogowy</w:t>
            </w:r>
          </w:p>
        </w:tc>
        <w:tc>
          <w:tcPr>
            <w:tcW w:w="709" w:type="dxa"/>
          </w:tcPr>
          <w:p w14:paraId="3592AC82"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p w14:paraId="56F0B63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100</w:t>
            </w:r>
          </w:p>
        </w:tc>
        <w:tc>
          <w:tcPr>
            <w:tcW w:w="850" w:type="dxa"/>
          </w:tcPr>
          <w:p w14:paraId="6B8C392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15</w:t>
            </w:r>
          </w:p>
          <w:p w14:paraId="7D792B5C"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12</w:t>
            </w:r>
          </w:p>
          <w:p w14:paraId="2C81706B"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10</w:t>
            </w:r>
          </w:p>
        </w:tc>
        <w:tc>
          <w:tcPr>
            <w:tcW w:w="851" w:type="dxa"/>
          </w:tcPr>
          <w:p w14:paraId="7CC2866B"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20</w:t>
            </w:r>
          </w:p>
          <w:p w14:paraId="4DABB6FF"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25</w:t>
            </w:r>
          </w:p>
          <w:p w14:paraId="4F9845D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25</w:t>
            </w:r>
          </w:p>
        </w:tc>
        <w:tc>
          <w:tcPr>
            <w:tcW w:w="1134" w:type="dxa"/>
          </w:tcPr>
          <w:p w14:paraId="1FBCA7A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p w14:paraId="23782A8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w:t>
            </w:r>
          </w:p>
        </w:tc>
        <w:tc>
          <w:tcPr>
            <w:tcW w:w="1134" w:type="dxa"/>
          </w:tcPr>
          <w:p w14:paraId="5405333F"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p w14:paraId="668BD16D"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w:t>
            </w:r>
          </w:p>
        </w:tc>
        <w:tc>
          <w:tcPr>
            <w:tcW w:w="1134" w:type="dxa"/>
          </w:tcPr>
          <w:p w14:paraId="1CEE1EC3"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p>
          <w:p w14:paraId="761EE259"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1,0</w:t>
            </w:r>
          </w:p>
        </w:tc>
      </w:tr>
      <w:tr w:rsidR="007C5ADC" w:rsidRPr="007C5ADC" w14:paraId="62CB1FEE" w14:textId="77777777" w:rsidTr="002C7F1E">
        <w:tc>
          <w:tcPr>
            <w:tcW w:w="1276" w:type="dxa"/>
          </w:tcPr>
          <w:p w14:paraId="03990014"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Drogowy</w:t>
            </w:r>
          </w:p>
        </w:tc>
        <w:tc>
          <w:tcPr>
            <w:tcW w:w="709" w:type="dxa"/>
          </w:tcPr>
          <w:p w14:paraId="1FA4AA94"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100</w:t>
            </w:r>
          </w:p>
        </w:tc>
        <w:tc>
          <w:tcPr>
            <w:tcW w:w="850" w:type="dxa"/>
          </w:tcPr>
          <w:p w14:paraId="0B30A2CC"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23</w:t>
            </w:r>
          </w:p>
          <w:p w14:paraId="63E213F8"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15</w:t>
            </w:r>
          </w:p>
        </w:tc>
        <w:tc>
          <w:tcPr>
            <w:tcW w:w="851" w:type="dxa"/>
          </w:tcPr>
          <w:p w14:paraId="73250335"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23</w:t>
            </w:r>
          </w:p>
          <w:p w14:paraId="6DF8FA98"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20</w:t>
            </w:r>
          </w:p>
        </w:tc>
        <w:tc>
          <w:tcPr>
            <w:tcW w:w="1134" w:type="dxa"/>
          </w:tcPr>
          <w:p w14:paraId="03B27A41"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18</w:t>
            </w:r>
          </w:p>
          <w:p w14:paraId="7108CBC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12</w:t>
            </w:r>
          </w:p>
        </w:tc>
        <w:tc>
          <w:tcPr>
            <w:tcW w:w="1134" w:type="dxa"/>
          </w:tcPr>
          <w:p w14:paraId="797E8C06"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7,5</w:t>
            </w:r>
          </w:p>
          <w:p w14:paraId="06CEB067"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4</w:t>
            </w:r>
          </w:p>
        </w:tc>
        <w:tc>
          <w:tcPr>
            <w:tcW w:w="1134" w:type="dxa"/>
          </w:tcPr>
          <w:p w14:paraId="42521A63"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szCs w:val="20"/>
              </w:rPr>
              <w:t>1,0</w:t>
            </w:r>
          </w:p>
        </w:tc>
      </w:tr>
    </w:tbl>
    <w:p w14:paraId="2594D0BE"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5918D659"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28E3FF8E"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r w:rsidRPr="007C5ADC">
        <w:rPr>
          <w:rFonts w:cs="Arial"/>
          <w:b/>
          <w:szCs w:val="20"/>
        </w:rPr>
        <w:t>ZAŁĄCZNIK 4</w:t>
      </w:r>
    </w:p>
    <w:p w14:paraId="4DCFC1A7" w14:textId="77777777" w:rsidR="007C5ADC" w:rsidRPr="007C5ADC" w:rsidRDefault="007C5ADC" w:rsidP="00270120">
      <w:pPr>
        <w:overflowPunct w:val="0"/>
        <w:autoSpaceDE w:val="0"/>
        <w:autoSpaceDN w:val="0"/>
        <w:adjustRightInd w:val="0"/>
        <w:spacing w:line="240" w:lineRule="auto"/>
        <w:jc w:val="right"/>
        <w:textAlignment w:val="baseline"/>
        <w:rPr>
          <w:rFonts w:cs="Arial"/>
          <w:b/>
          <w:szCs w:val="20"/>
        </w:rPr>
      </w:pPr>
    </w:p>
    <w:p w14:paraId="3645000E" w14:textId="77777777" w:rsidR="007C5ADC" w:rsidRPr="007C5ADC" w:rsidRDefault="007C5ADC" w:rsidP="00270120">
      <w:pPr>
        <w:keepNext/>
        <w:overflowPunct w:val="0"/>
        <w:autoSpaceDE w:val="0"/>
        <w:autoSpaceDN w:val="0"/>
        <w:adjustRightInd w:val="0"/>
        <w:spacing w:line="240" w:lineRule="auto"/>
        <w:jc w:val="center"/>
        <w:textAlignment w:val="baseline"/>
        <w:rPr>
          <w:rFonts w:cs="Arial"/>
          <w:spacing w:val="-8"/>
          <w:szCs w:val="20"/>
        </w:rPr>
      </w:pPr>
      <w:r w:rsidRPr="007C5ADC">
        <w:rPr>
          <w:rFonts w:cs="Arial"/>
          <w:spacing w:val="-8"/>
          <w:szCs w:val="20"/>
        </w:rPr>
        <w:t>PRZYKŁADY  USTAWIENIA  KRAWĘŻNIKÓW  BETONOWYCH  NA  ŁAWACH (wg [9])</w:t>
      </w:r>
    </w:p>
    <w:tbl>
      <w:tblPr>
        <w:tblW w:w="0" w:type="auto"/>
        <w:tblLook w:val="01E0" w:firstRow="1" w:lastRow="1" w:firstColumn="1" w:lastColumn="1" w:noHBand="0" w:noVBand="0"/>
      </w:tblPr>
      <w:tblGrid>
        <w:gridCol w:w="4361"/>
        <w:gridCol w:w="4394"/>
      </w:tblGrid>
      <w:tr w:rsidR="007C5ADC" w:rsidRPr="007C5ADC" w14:paraId="2649ED94" w14:textId="77777777" w:rsidTr="002C7F1E">
        <w:trPr>
          <w:trHeight w:val="4776"/>
        </w:trPr>
        <w:tc>
          <w:tcPr>
            <w:tcW w:w="4361" w:type="dxa"/>
          </w:tcPr>
          <w:p w14:paraId="101FF181"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szCs w:val="20"/>
              </w:rPr>
              <w:t>a) Krawężnik typu ulicznego 20 × 30 cm na ławie betonowej z oporem</w:t>
            </w:r>
          </w:p>
          <w:p w14:paraId="3480A23A"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noProof/>
                <w:szCs w:val="20"/>
              </w:rPr>
              <w:drawing>
                <wp:inline distT="0" distB="0" distL="0" distR="0" wp14:anchorId="10278450" wp14:editId="570BA8E2">
                  <wp:extent cx="1981200" cy="2295525"/>
                  <wp:effectExtent l="0" t="0" r="0" b="9525"/>
                  <wp:docPr id="16" name="Obraz 16" descr="bz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 descr="bz4_1"/>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981200" cy="2295525"/>
                          </a:xfrm>
                          <a:prstGeom prst="rect">
                            <a:avLst/>
                          </a:prstGeom>
                          <a:noFill/>
                          <a:ln>
                            <a:noFill/>
                          </a:ln>
                        </pic:spPr>
                      </pic:pic>
                    </a:graphicData>
                  </a:graphic>
                </wp:inline>
              </w:drawing>
            </w:r>
          </w:p>
          <w:p w14:paraId="45DC6609" w14:textId="77777777" w:rsidR="007C5ADC" w:rsidRPr="007C5ADC" w:rsidRDefault="007C5ADC" w:rsidP="00CF1E7D">
            <w:pPr>
              <w:numPr>
                <w:ilvl w:val="0"/>
                <w:numId w:val="216"/>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krawężnik, typ ciężki 20×30×100 cm</w:t>
            </w:r>
          </w:p>
          <w:p w14:paraId="33432E61" w14:textId="77777777" w:rsidR="007C5ADC" w:rsidRPr="007C5ADC" w:rsidRDefault="007C5ADC" w:rsidP="00CF1E7D">
            <w:pPr>
              <w:numPr>
                <w:ilvl w:val="0"/>
                <w:numId w:val="216"/>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 xml:space="preserve">podsypka </w:t>
            </w:r>
            <w:proofErr w:type="spellStart"/>
            <w:r w:rsidRPr="007C5ADC">
              <w:rPr>
                <w:rFonts w:cs="Arial"/>
                <w:szCs w:val="20"/>
              </w:rPr>
              <w:t>cem</w:t>
            </w:r>
            <w:proofErr w:type="spellEnd"/>
            <w:r w:rsidRPr="007C5ADC">
              <w:rPr>
                <w:rFonts w:cs="Arial"/>
                <w:szCs w:val="20"/>
              </w:rPr>
              <w:t>.-piaskowa 1:4</w:t>
            </w:r>
          </w:p>
          <w:p w14:paraId="3357012D" w14:textId="77777777" w:rsidR="007C5ADC" w:rsidRPr="007C5ADC" w:rsidRDefault="007C5ADC" w:rsidP="00CF1E7D">
            <w:pPr>
              <w:numPr>
                <w:ilvl w:val="0"/>
                <w:numId w:val="216"/>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ława z betonu C12/15 lub C8/10</w:t>
            </w:r>
          </w:p>
          <w:p w14:paraId="2BD4EF32"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4394" w:type="dxa"/>
          </w:tcPr>
          <w:p w14:paraId="22E90E75" w14:textId="77777777" w:rsidR="007C5ADC" w:rsidRPr="007C5ADC" w:rsidRDefault="007C5ADC" w:rsidP="00270120">
            <w:pPr>
              <w:overflowPunct w:val="0"/>
              <w:autoSpaceDE w:val="0"/>
              <w:autoSpaceDN w:val="0"/>
              <w:adjustRightInd w:val="0"/>
              <w:spacing w:line="240" w:lineRule="auto"/>
              <w:ind w:left="356" w:hanging="283"/>
              <w:jc w:val="both"/>
              <w:textAlignment w:val="baseline"/>
              <w:rPr>
                <w:rFonts w:cs="Arial"/>
                <w:szCs w:val="20"/>
              </w:rPr>
            </w:pPr>
            <w:r w:rsidRPr="007C5ADC">
              <w:rPr>
                <w:rFonts w:cs="Arial"/>
                <w:szCs w:val="20"/>
              </w:rPr>
              <w:lastRenderedPageBreak/>
              <w:t>b) Krawężnik typu ulicznego 15 × 30 cm na ławie betonowej zwykłej</w:t>
            </w:r>
          </w:p>
          <w:p w14:paraId="61DC684E" w14:textId="77777777" w:rsidR="007C5ADC" w:rsidRPr="007C5ADC" w:rsidRDefault="007C5ADC" w:rsidP="00270120">
            <w:pPr>
              <w:overflowPunct w:val="0"/>
              <w:autoSpaceDE w:val="0"/>
              <w:autoSpaceDN w:val="0"/>
              <w:adjustRightInd w:val="0"/>
              <w:spacing w:line="240" w:lineRule="auto"/>
              <w:jc w:val="center"/>
              <w:textAlignment w:val="baseline"/>
              <w:rPr>
                <w:rFonts w:cs="Arial"/>
                <w:szCs w:val="20"/>
              </w:rPr>
            </w:pPr>
            <w:r w:rsidRPr="007C5ADC">
              <w:rPr>
                <w:rFonts w:cs="Arial"/>
                <w:noProof/>
                <w:szCs w:val="20"/>
              </w:rPr>
              <w:drawing>
                <wp:inline distT="0" distB="0" distL="0" distR="0" wp14:anchorId="755ACC4D" wp14:editId="375C9CE2">
                  <wp:extent cx="1857375" cy="2305050"/>
                  <wp:effectExtent l="0" t="0" r="9525" b="0"/>
                  <wp:docPr id="15" name="Obraz 15" descr="bz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 descr="bz4_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857375" cy="2305050"/>
                          </a:xfrm>
                          <a:prstGeom prst="rect">
                            <a:avLst/>
                          </a:prstGeom>
                          <a:noFill/>
                          <a:ln>
                            <a:noFill/>
                          </a:ln>
                        </pic:spPr>
                      </pic:pic>
                    </a:graphicData>
                  </a:graphic>
                </wp:inline>
              </w:drawing>
            </w:r>
          </w:p>
          <w:p w14:paraId="5F9A7551" w14:textId="77777777" w:rsidR="007C5ADC" w:rsidRPr="007C5ADC" w:rsidRDefault="007C5ADC" w:rsidP="00CF1E7D">
            <w:pPr>
              <w:numPr>
                <w:ilvl w:val="0"/>
                <w:numId w:val="217"/>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krawężnik, typ uliczny 15×30×100 cm</w:t>
            </w:r>
          </w:p>
          <w:p w14:paraId="43937D5E" w14:textId="77777777" w:rsidR="007C5ADC" w:rsidRPr="007C5ADC" w:rsidRDefault="007C5ADC" w:rsidP="00CF1E7D">
            <w:pPr>
              <w:numPr>
                <w:ilvl w:val="0"/>
                <w:numId w:val="217"/>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 xml:space="preserve">podsypka </w:t>
            </w:r>
            <w:proofErr w:type="spellStart"/>
            <w:r w:rsidRPr="007C5ADC">
              <w:rPr>
                <w:rFonts w:cs="Arial"/>
                <w:szCs w:val="20"/>
              </w:rPr>
              <w:t>cem</w:t>
            </w:r>
            <w:proofErr w:type="spellEnd"/>
            <w:r w:rsidRPr="007C5ADC">
              <w:rPr>
                <w:rFonts w:cs="Arial"/>
                <w:szCs w:val="20"/>
              </w:rPr>
              <w:t>.-piaskowa 1:4</w:t>
            </w:r>
          </w:p>
          <w:p w14:paraId="0C3D49EE" w14:textId="77777777" w:rsidR="007C5ADC" w:rsidRPr="007C5ADC" w:rsidRDefault="007C5ADC" w:rsidP="00CF1E7D">
            <w:pPr>
              <w:numPr>
                <w:ilvl w:val="0"/>
                <w:numId w:val="217"/>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ława z betonu C12/15 lub C8/10</w:t>
            </w:r>
          </w:p>
        </w:tc>
      </w:tr>
    </w:tbl>
    <w:p w14:paraId="7D2C107E"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1E81A7CA"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6F0EA727"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bl>
      <w:tblPr>
        <w:tblW w:w="8897" w:type="dxa"/>
        <w:tblLook w:val="01E0" w:firstRow="1" w:lastRow="1" w:firstColumn="1" w:lastColumn="1" w:noHBand="0" w:noVBand="0"/>
      </w:tblPr>
      <w:tblGrid>
        <w:gridCol w:w="4503"/>
        <w:gridCol w:w="4394"/>
      </w:tblGrid>
      <w:tr w:rsidR="007C5ADC" w:rsidRPr="007C5ADC" w14:paraId="378A7A3E" w14:textId="77777777" w:rsidTr="002C7F1E">
        <w:tc>
          <w:tcPr>
            <w:tcW w:w="4503" w:type="dxa"/>
          </w:tcPr>
          <w:p w14:paraId="202F7AE8"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szCs w:val="20"/>
              </w:rPr>
              <w:t xml:space="preserve">c)  Krawężnik typu ulicznego 15 × </w:t>
            </w:r>
            <w:smartTag w:uri="urn:schemas-microsoft-com:office:smarttags" w:element="metricconverter">
              <w:smartTagPr>
                <w:attr w:name="ProductID" w:val="30 cm"/>
              </w:smartTagPr>
              <w:r w:rsidRPr="007C5ADC">
                <w:rPr>
                  <w:rFonts w:cs="Arial"/>
                  <w:szCs w:val="20"/>
                </w:rPr>
                <w:t>30 cm</w:t>
              </w:r>
            </w:smartTag>
            <w:r w:rsidRPr="007C5ADC">
              <w:rPr>
                <w:rFonts w:cs="Arial"/>
                <w:szCs w:val="20"/>
              </w:rPr>
              <w:t xml:space="preserve"> na ławie żwirowej</w:t>
            </w:r>
          </w:p>
          <w:p w14:paraId="588AD3F2"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noProof/>
                <w:szCs w:val="20"/>
              </w:rPr>
              <w:drawing>
                <wp:inline distT="0" distB="0" distL="0" distR="0" wp14:anchorId="76FB6E21" wp14:editId="26BCD4A3">
                  <wp:extent cx="2019300" cy="2324100"/>
                  <wp:effectExtent l="0" t="0" r="0" b="0"/>
                  <wp:docPr id="14" name="Obraz 14" descr="bz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descr="bz4_3"/>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019300" cy="2324100"/>
                          </a:xfrm>
                          <a:prstGeom prst="rect">
                            <a:avLst/>
                          </a:prstGeom>
                          <a:noFill/>
                          <a:ln>
                            <a:noFill/>
                          </a:ln>
                        </pic:spPr>
                      </pic:pic>
                    </a:graphicData>
                  </a:graphic>
                </wp:inline>
              </w:drawing>
            </w:r>
          </w:p>
          <w:p w14:paraId="60F1D78F" w14:textId="77777777" w:rsidR="007C5ADC" w:rsidRPr="007C5ADC" w:rsidRDefault="007C5ADC" w:rsidP="00CF1E7D">
            <w:pPr>
              <w:numPr>
                <w:ilvl w:val="0"/>
                <w:numId w:val="218"/>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krawężnik, typ uliczny 15×30×100 cm</w:t>
            </w:r>
          </w:p>
          <w:p w14:paraId="38E77153" w14:textId="77777777" w:rsidR="007C5ADC" w:rsidRPr="007C5ADC" w:rsidRDefault="007C5ADC" w:rsidP="00CF1E7D">
            <w:pPr>
              <w:numPr>
                <w:ilvl w:val="0"/>
                <w:numId w:val="218"/>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 xml:space="preserve">podsypka piaskowa lub </w:t>
            </w:r>
            <w:proofErr w:type="spellStart"/>
            <w:r w:rsidRPr="007C5ADC">
              <w:rPr>
                <w:rFonts w:cs="Arial"/>
                <w:szCs w:val="20"/>
              </w:rPr>
              <w:t>cem</w:t>
            </w:r>
            <w:proofErr w:type="spellEnd"/>
            <w:r w:rsidRPr="007C5ADC">
              <w:rPr>
                <w:rFonts w:cs="Arial"/>
                <w:szCs w:val="20"/>
              </w:rPr>
              <w:t>.-piaskowa 1:4</w:t>
            </w:r>
          </w:p>
          <w:p w14:paraId="21F357F8" w14:textId="77777777" w:rsidR="007C5ADC" w:rsidRPr="007C5ADC" w:rsidRDefault="007C5ADC" w:rsidP="00CF1E7D">
            <w:pPr>
              <w:numPr>
                <w:ilvl w:val="0"/>
                <w:numId w:val="218"/>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ława żwirowa</w:t>
            </w:r>
          </w:p>
          <w:p w14:paraId="0F827E44"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c>
        <w:tc>
          <w:tcPr>
            <w:tcW w:w="4394" w:type="dxa"/>
          </w:tcPr>
          <w:p w14:paraId="1C32C0E2" w14:textId="77777777" w:rsidR="007C5ADC" w:rsidRPr="007C5ADC" w:rsidRDefault="007C5ADC" w:rsidP="00270120">
            <w:pPr>
              <w:overflowPunct w:val="0"/>
              <w:autoSpaceDE w:val="0"/>
              <w:autoSpaceDN w:val="0"/>
              <w:adjustRightInd w:val="0"/>
              <w:spacing w:line="240" w:lineRule="auto"/>
              <w:ind w:left="214" w:hanging="214"/>
              <w:jc w:val="both"/>
              <w:textAlignment w:val="baseline"/>
              <w:rPr>
                <w:rFonts w:cs="Arial"/>
                <w:szCs w:val="20"/>
              </w:rPr>
            </w:pPr>
            <w:r w:rsidRPr="007C5ADC">
              <w:rPr>
                <w:rFonts w:cs="Arial"/>
                <w:szCs w:val="20"/>
              </w:rPr>
              <w:t xml:space="preserve">d) Krawężnik typu ulicznego 15 × </w:t>
            </w:r>
            <w:smartTag w:uri="urn:schemas-microsoft-com:office:smarttags" w:element="metricconverter">
              <w:smartTagPr>
                <w:attr w:name="ProductID" w:val="30 cm"/>
              </w:smartTagPr>
              <w:r w:rsidRPr="007C5ADC">
                <w:rPr>
                  <w:rFonts w:cs="Arial"/>
                  <w:szCs w:val="20"/>
                </w:rPr>
                <w:t>30 cm</w:t>
              </w:r>
            </w:smartTag>
            <w:r w:rsidRPr="007C5ADC">
              <w:rPr>
                <w:rFonts w:cs="Arial"/>
                <w:szCs w:val="20"/>
              </w:rPr>
              <w:br/>
              <w:t>na ławie tłuczniowej</w:t>
            </w:r>
          </w:p>
          <w:p w14:paraId="621E7132" w14:textId="77777777" w:rsidR="007C5ADC" w:rsidRPr="007C5ADC" w:rsidRDefault="007C5ADC" w:rsidP="00270120">
            <w:pPr>
              <w:overflowPunct w:val="0"/>
              <w:autoSpaceDE w:val="0"/>
              <w:autoSpaceDN w:val="0"/>
              <w:adjustRightInd w:val="0"/>
              <w:spacing w:line="240" w:lineRule="auto"/>
              <w:ind w:left="214" w:hanging="214"/>
              <w:jc w:val="both"/>
              <w:textAlignment w:val="baseline"/>
              <w:rPr>
                <w:rFonts w:cs="Arial"/>
                <w:szCs w:val="20"/>
              </w:rPr>
            </w:pPr>
            <w:r w:rsidRPr="007C5ADC">
              <w:rPr>
                <w:rFonts w:cs="Arial"/>
                <w:noProof/>
                <w:szCs w:val="20"/>
              </w:rPr>
              <w:drawing>
                <wp:inline distT="0" distB="0" distL="0" distR="0" wp14:anchorId="35363361" wp14:editId="7B5DD29F">
                  <wp:extent cx="2066925" cy="2324100"/>
                  <wp:effectExtent l="0" t="0" r="9525" b="0"/>
                  <wp:docPr id="103" name="Obraz 103" descr="bz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 descr="bz4_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066925" cy="2324100"/>
                          </a:xfrm>
                          <a:prstGeom prst="rect">
                            <a:avLst/>
                          </a:prstGeom>
                          <a:noFill/>
                          <a:ln>
                            <a:noFill/>
                          </a:ln>
                        </pic:spPr>
                      </pic:pic>
                    </a:graphicData>
                  </a:graphic>
                </wp:inline>
              </w:drawing>
            </w:r>
          </w:p>
          <w:p w14:paraId="44E975DD" w14:textId="77777777" w:rsidR="007C5ADC" w:rsidRPr="007C5ADC" w:rsidRDefault="007C5ADC" w:rsidP="00CF1E7D">
            <w:pPr>
              <w:numPr>
                <w:ilvl w:val="0"/>
                <w:numId w:val="219"/>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krawężnik, typ uliczny 15×30×100 cm</w:t>
            </w:r>
          </w:p>
          <w:p w14:paraId="4B5B6BF0" w14:textId="77777777" w:rsidR="007C5ADC" w:rsidRPr="007C5ADC" w:rsidRDefault="007C5ADC" w:rsidP="00CF1E7D">
            <w:pPr>
              <w:numPr>
                <w:ilvl w:val="0"/>
                <w:numId w:val="219"/>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 xml:space="preserve">podsypka piaskowa lub </w:t>
            </w:r>
            <w:proofErr w:type="spellStart"/>
            <w:r w:rsidRPr="007C5ADC">
              <w:rPr>
                <w:rFonts w:cs="Arial"/>
                <w:szCs w:val="20"/>
              </w:rPr>
              <w:t>cem</w:t>
            </w:r>
            <w:proofErr w:type="spellEnd"/>
            <w:r w:rsidRPr="007C5ADC">
              <w:rPr>
                <w:rFonts w:cs="Arial"/>
                <w:szCs w:val="20"/>
              </w:rPr>
              <w:t>.-piaskowa 1:4</w:t>
            </w:r>
          </w:p>
          <w:p w14:paraId="0D48A910" w14:textId="77777777" w:rsidR="007C5ADC" w:rsidRPr="007C5ADC" w:rsidRDefault="007C5ADC" w:rsidP="00CF1E7D">
            <w:pPr>
              <w:numPr>
                <w:ilvl w:val="0"/>
                <w:numId w:val="219"/>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ława tłuczniowa</w:t>
            </w:r>
          </w:p>
        </w:tc>
      </w:tr>
      <w:tr w:rsidR="007C5ADC" w:rsidRPr="007C5ADC" w14:paraId="01FAF214" w14:textId="77777777" w:rsidTr="002C7F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03" w:type="dxa"/>
            <w:tcBorders>
              <w:top w:val="nil"/>
              <w:left w:val="nil"/>
              <w:bottom w:val="nil"/>
              <w:right w:val="nil"/>
            </w:tcBorders>
          </w:tcPr>
          <w:p w14:paraId="5680758A"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szCs w:val="20"/>
              </w:rPr>
              <w:t xml:space="preserve">e)  Krawężnik typu drogowego 12 × </w:t>
            </w:r>
            <w:smartTag w:uri="urn:schemas-microsoft-com:office:smarttags" w:element="metricconverter">
              <w:smartTagPr>
                <w:attr w:name="ProductID" w:val="25 cm"/>
              </w:smartTagPr>
              <w:r w:rsidRPr="007C5ADC">
                <w:rPr>
                  <w:rFonts w:cs="Arial"/>
                  <w:szCs w:val="20"/>
                </w:rPr>
                <w:t>25 cm</w:t>
              </w:r>
            </w:smartTag>
            <w:r w:rsidRPr="007C5ADC">
              <w:rPr>
                <w:rFonts w:cs="Arial"/>
                <w:szCs w:val="20"/>
              </w:rPr>
              <w:t xml:space="preserve"> na ławie żwirowej lub tłuczniowej</w:t>
            </w:r>
          </w:p>
          <w:p w14:paraId="192A00E2"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noProof/>
                <w:szCs w:val="20"/>
              </w:rPr>
              <w:drawing>
                <wp:inline distT="0" distB="0" distL="0" distR="0" wp14:anchorId="59661B6A" wp14:editId="3D36A2E0">
                  <wp:extent cx="2019300" cy="2276475"/>
                  <wp:effectExtent l="0" t="0" r="0" b="9525"/>
                  <wp:docPr id="104" name="Obraz 104" descr="bz4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 descr="bz4_5"/>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019300" cy="2276475"/>
                          </a:xfrm>
                          <a:prstGeom prst="rect">
                            <a:avLst/>
                          </a:prstGeom>
                          <a:noFill/>
                          <a:ln>
                            <a:noFill/>
                          </a:ln>
                        </pic:spPr>
                      </pic:pic>
                    </a:graphicData>
                  </a:graphic>
                </wp:inline>
              </w:drawing>
            </w:r>
          </w:p>
          <w:p w14:paraId="7B709818" w14:textId="77777777" w:rsidR="007C5ADC" w:rsidRPr="007C5ADC" w:rsidRDefault="007C5ADC" w:rsidP="00CF1E7D">
            <w:pPr>
              <w:numPr>
                <w:ilvl w:val="0"/>
                <w:numId w:val="220"/>
              </w:numPr>
              <w:overflowPunct w:val="0"/>
              <w:autoSpaceDE w:val="0"/>
              <w:autoSpaceDN w:val="0"/>
              <w:adjustRightInd w:val="0"/>
              <w:spacing w:line="240" w:lineRule="auto"/>
              <w:ind w:left="284" w:hanging="218"/>
              <w:jc w:val="both"/>
              <w:textAlignment w:val="baseline"/>
              <w:rPr>
                <w:rFonts w:cs="Arial"/>
                <w:szCs w:val="20"/>
              </w:rPr>
            </w:pPr>
            <w:r w:rsidRPr="007C5ADC">
              <w:rPr>
                <w:rFonts w:cs="Arial"/>
                <w:szCs w:val="20"/>
              </w:rPr>
              <w:lastRenderedPageBreak/>
              <w:t>krawężnik, typ drogowy 12×25×100 cm</w:t>
            </w:r>
          </w:p>
          <w:p w14:paraId="2987C130" w14:textId="77777777" w:rsidR="007C5ADC" w:rsidRPr="007C5ADC" w:rsidRDefault="007C5ADC" w:rsidP="00CF1E7D">
            <w:pPr>
              <w:numPr>
                <w:ilvl w:val="0"/>
                <w:numId w:val="220"/>
              </w:numPr>
              <w:overflowPunct w:val="0"/>
              <w:autoSpaceDE w:val="0"/>
              <w:autoSpaceDN w:val="0"/>
              <w:adjustRightInd w:val="0"/>
              <w:spacing w:line="240" w:lineRule="auto"/>
              <w:ind w:left="284" w:hanging="218"/>
              <w:jc w:val="both"/>
              <w:textAlignment w:val="baseline"/>
              <w:rPr>
                <w:rFonts w:cs="Arial"/>
                <w:szCs w:val="20"/>
              </w:rPr>
            </w:pPr>
            <w:r w:rsidRPr="007C5ADC">
              <w:rPr>
                <w:rFonts w:cs="Arial"/>
                <w:szCs w:val="20"/>
              </w:rPr>
              <w:t>podsypka z piasku</w:t>
            </w:r>
          </w:p>
          <w:p w14:paraId="580B1AA3" w14:textId="77777777" w:rsidR="007C5ADC" w:rsidRPr="007C5ADC" w:rsidRDefault="007C5ADC" w:rsidP="00CF1E7D">
            <w:pPr>
              <w:numPr>
                <w:ilvl w:val="0"/>
                <w:numId w:val="220"/>
              </w:numPr>
              <w:overflowPunct w:val="0"/>
              <w:autoSpaceDE w:val="0"/>
              <w:autoSpaceDN w:val="0"/>
              <w:adjustRightInd w:val="0"/>
              <w:spacing w:line="240" w:lineRule="auto"/>
              <w:ind w:left="284" w:hanging="218"/>
              <w:jc w:val="both"/>
              <w:textAlignment w:val="baseline"/>
              <w:rPr>
                <w:rFonts w:cs="Arial"/>
                <w:szCs w:val="20"/>
              </w:rPr>
            </w:pPr>
            <w:r w:rsidRPr="007C5ADC">
              <w:rPr>
                <w:rFonts w:cs="Arial"/>
                <w:szCs w:val="20"/>
              </w:rPr>
              <w:t>ława żwirowa lub tłuczniowa</w:t>
            </w:r>
          </w:p>
          <w:p w14:paraId="3D09D501"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p>
        </w:tc>
        <w:tc>
          <w:tcPr>
            <w:tcW w:w="4394" w:type="dxa"/>
            <w:tcBorders>
              <w:top w:val="nil"/>
              <w:left w:val="nil"/>
              <w:bottom w:val="nil"/>
              <w:right w:val="nil"/>
            </w:tcBorders>
          </w:tcPr>
          <w:p w14:paraId="3D3D4F85" w14:textId="77777777" w:rsidR="007C5ADC" w:rsidRPr="007C5ADC" w:rsidRDefault="007C5ADC" w:rsidP="00270120">
            <w:pPr>
              <w:overflowPunct w:val="0"/>
              <w:autoSpaceDE w:val="0"/>
              <w:autoSpaceDN w:val="0"/>
              <w:adjustRightInd w:val="0"/>
              <w:spacing w:line="240" w:lineRule="auto"/>
              <w:ind w:left="214" w:hanging="214"/>
              <w:jc w:val="both"/>
              <w:textAlignment w:val="baseline"/>
              <w:rPr>
                <w:rFonts w:cs="Arial"/>
                <w:szCs w:val="20"/>
              </w:rPr>
            </w:pPr>
            <w:r w:rsidRPr="007C5ADC">
              <w:rPr>
                <w:rFonts w:cs="Arial"/>
                <w:szCs w:val="20"/>
              </w:rPr>
              <w:lastRenderedPageBreak/>
              <w:t xml:space="preserve">f) Krawężnik typu drogowego 15 × </w:t>
            </w:r>
            <w:smartTag w:uri="urn:schemas-microsoft-com:office:smarttags" w:element="metricconverter">
              <w:smartTagPr>
                <w:attr w:name="ProductID" w:val="30 cm"/>
              </w:smartTagPr>
              <w:r w:rsidRPr="007C5ADC">
                <w:rPr>
                  <w:rFonts w:cs="Arial"/>
                  <w:szCs w:val="20"/>
                </w:rPr>
                <w:t>30 cm</w:t>
              </w:r>
            </w:smartTag>
            <w:r w:rsidRPr="007C5ADC">
              <w:rPr>
                <w:rFonts w:cs="Arial"/>
                <w:szCs w:val="20"/>
              </w:rPr>
              <w:t xml:space="preserve"> na ławie betonowej</w:t>
            </w:r>
          </w:p>
          <w:p w14:paraId="74207815" w14:textId="77777777" w:rsidR="007C5ADC" w:rsidRPr="007C5ADC" w:rsidRDefault="007C5ADC" w:rsidP="00270120">
            <w:pPr>
              <w:overflowPunct w:val="0"/>
              <w:autoSpaceDE w:val="0"/>
              <w:autoSpaceDN w:val="0"/>
              <w:adjustRightInd w:val="0"/>
              <w:spacing w:line="240" w:lineRule="auto"/>
              <w:ind w:left="214" w:hanging="214"/>
              <w:jc w:val="both"/>
              <w:textAlignment w:val="baseline"/>
              <w:rPr>
                <w:rFonts w:cs="Arial"/>
                <w:szCs w:val="20"/>
              </w:rPr>
            </w:pPr>
            <w:r w:rsidRPr="007C5ADC">
              <w:rPr>
                <w:rFonts w:cs="Arial"/>
                <w:noProof/>
                <w:szCs w:val="20"/>
              </w:rPr>
              <w:drawing>
                <wp:inline distT="0" distB="0" distL="0" distR="0" wp14:anchorId="74133E65" wp14:editId="214D8C6C">
                  <wp:extent cx="2190750" cy="2266950"/>
                  <wp:effectExtent l="0" t="0" r="0" b="0"/>
                  <wp:docPr id="105" name="Obraz 105" descr="bz4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descr="bz4_6"/>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2190750" cy="2266950"/>
                          </a:xfrm>
                          <a:prstGeom prst="rect">
                            <a:avLst/>
                          </a:prstGeom>
                          <a:noFill/>
                          <a:ln>
                            <a:noFill/>
                          </a:ln>
                        </pic:spPr>
                      </pic:pic>
                    </a:graphicData>
                  </a:graphic>
                </wp:inline>
              </w:drawing>
            </w:r>
          </w:p>
          <w:p w14:paraId="1CABA482" w14:textId="77777777" w:rsidR="007C5ADC" w:rsidRPr="007C5ADC" w:rsidRDefault="007C5ADC" w:rsidP="00CF1E7D">
            <w:pPr>
              <w:numPr>
                <w:ilvl w:val="0"/>
                <w:numId w:val="221"/>
              </w:numPr>
              <w:overflowPunct w:val="0"/>
              <w:autoSpaceDE w:val="0"/>
              <w:autoSpaceDN w:val="0"/>
              <w:adjustRightInd w:val="0"/>
              <w:spacing w:line="240" w:lineRule="auto"/>
              <w:ind w:left="317" w:hanging="218"/>
              <w:jc w:val="both"/>
              <w:textAlignment w:val="baseline"/>
              <w:rPr>
                <w:rFonts w:cs="Arial"/>
                <w:szCs w:val="20"/>
              </w:rPr>
            </w:pPr>
            <w:r w:rsidRPr="007C5ADC">
              <w:rPr>
                <w:rFonts w:cs="Arial"/>
                <w:szCs w:val="20"/>
              </w:rPr>
              <w:lastRenderedPageBreak/>
              <w:t>krawężnik, typ drogowy 15×30×100 cm</w:t>
            </w:r>
          </w:p>
          <w:p w14:paraId="7FD2D1D6" w14:textId="77777777" w:rsidR="007C5ADC" w:rsidRPr="007C5ADC" w:rsidRDefault="007C5ADC" w:rsidP="00CF1E7D">
            <w:pPr>
              <w:numPr>
                <w:ilvl w:val="0"/>
                <w:numId w:val="221"/>
              </w:numPr>
              <w:overflowPunct w:val="0"/>
              <w:autoSpaceDE w:val="0"/>
              <w:autoSpaceDN w:val="0"/>
              <w:adjustRightInd w:val="0"/>
              <w:spacing w:line="240" w:lineRule="auto"/>
              <w:ind w:left="317" w:hanging="218"/>
              <w:jc w:val="both"/>
              <w:textAlignment w:val="baseline"/>
              <w:rPr>
                <w:rFonts w:cs="Arial"/>
                <w:szCs w:val="20"/>
              </w:rPr>
            </w:pPr>
            <w:r w:rsidRPr="007C5ADC">
              <w:rPr>
                <w:rFonts w:cs="Arial"/>
                <w:szCs w:val="20"/>
              </w:rPr>
              <w:t xml:space="preserve">podsypka </w:t>
            </w:r>
            <w:proofErr w:type="spellStart"/>
            <w:r w:rsidRPr="007C5ADC">
              <w:rPr>
                <w:rFonts w:cs="Arial"/>
                <w:szCs w:val="20"/>
              </w:rPr>
              <w:t>cem</w:t>
            </w:r>
            <w:proofErr w:type="spellEnd"/>
            <w:r w:rsidRPr="007C5ADC">
              <w:rPr>
                <w:rFonts w:cs="Arial"/>
                <w:szCs w:val="20"/>
              </w:rPr>
              <w:t>.-piaskowa 1:4</w:t>
            </w:r>
          </w:p>
          <w:p w14:paraId="55C8EAF0" w14:textId="77777777" w:rsidR="007C5ADC" w:rsidRPr="007C5ADC" w:rsidRDefault="007C5ADC" w:rsidP="00CF1E7D">
            <w:pPr>
              <w:numPr>
                <w:ilvl w:val="0"/>
                <w:numId w:val="221"/>
              </w:numPr>
              <w:overflowPunct w:val="0"/>
              <w:autoSpaceDE w:val="0"/>
              <w:autoSpaceDN w:val="0"/>
              <w:adjustRightInd w:val="0"/>
              <w:spacing w:line="240" w:lineRule="auto"/>
              <w:ind w:left="317" w:hanging="218"/>
              <w:jc w:val="both"/>
              <w:textAlignment w:val="baseline"/>
              <w:rPr>
                <w:rFonts w:cs="Arial"/>
                <w:szCs w:val="20"/>
              </w:rPr>
            </w:pPr>
            <w:r w:rsidRPr="007C5ADC">
              <w:rPr>
                <w:rFonts w:cs="Arial"/>
                <w:szCs w:val="20"/>
              </w:rPr>
              <w:t>ława z betonu C12/15 lub C8/10</w:t>
            </w:r>
          </w:p>
          <w:p w14:paraId="17E9DE1E" w14:textId="77777777" w:rsidR="007C5ADC" w:rsidRPr="007C5ADC" w:rsidRDefault="007C5ADC" w:rsidP="00270120">
            <w:pPr>
              <w:overflowPunct w:val="0"/>
              <w:autoSpaceDE w:val="0"/>
              <w:autoSpaceDN w:val="0"/>
              <w:adjustRightInd w:val="0"/>
              <w:spacing w:line="240" w:lineRule="auto"/>
              <w:ind w:left="214" w:hanging="214"/>
              <w:jc w:val="both"/>
              <w:textAlignment w:val="baseline"/>
              <w:rPr>
                <w:rFonts w:cs="Arial"/>
                <w:szCs w:val="20"/>
              </w:rPr>
            </w:pPr>
          </w:p>
        </w:tc>
      </w:tr>
    </w:tbl>
    <w:p w14:paraId="1325A031"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257F30C0"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p w14:paraId="1B7E0208" w14:textId="77777777" w:rsidR="007C5ADC" w:rsidRPr="007C5ADC" w:rsidRDefault="007C5ADC" w:rsidP="00270120">
      <w:pPr>
        <w:overflowPunct w:val="0"/>
        <w:autoSpaceDE w:val="0"/>
        <w:autoSpaceDN w:val="0"/>
        <w:adjustRightInd w:val="0"/>
        <w:spacing w:line="240" w:lineRule="auto"/>
        <w:jc w:val="both"/>
        <w:textAlignment w:val="baseline"/>
        <w:rPr>
          <w:rFonts w:cs="Arial"/>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3"/>
        <w:gridCol w:w="4394"/>
      </w:tblGrid>
      <w:tr w:rsidR="007C5ADC" w:rsidRPr="007C5ADC" w14:paraId="6FE28BE2" w14:textId="77777777" w:rsidTr="002C7F1E">
        <w:tc>
          <w:tcPr>
            <w:tcW w:w="4503" w:type="dxa"/>
            <w:tcBorders>
              <w:top w:val="nil"/>
              <w:left w:val="nil"/>
              <w:bottom w:val="nil"/>
              <w:right w:val="nil"/>
            </w:tcBorders>
          </w:tcPr>
          <w:p w14:paraId="4C209CEF"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szCs w:val="20"/>
              </w:rPr>
              <w:t xml:space="preserve">g) Krawężnik typu ulicznego 20 × </w:t>
            </w:r>
            <w:smartTag w:uri="urn:schemas-microsoft-com:office:smarttags" w:element="metricconverter">
              <w:smartTagPr>
                <w:attr w:name="ProductID" w:val="30 cm"/>
              </w:smartTagPr>
              <w:r w:rsidRPr="007C5ADC">
                <w:rPr>
                  <w:rFonts w:cs="Arial"/>
                  <w:szCs w:val="20"/>
                </w:rPr>
                <w:t>30 cm</w:t>
              </w:r>
            </w:smartTag>
            <w:r w:rsidRPr="007C5ADC">
              <w:rPr>
                <w:rFonts w:cs="Arial"/>
                <w:szCs w:val="20"/>
              </w:rPr>
              <w:t xml:space="preserve"> ułożony na płask (np. przy wjeździe na chodnik, do bramy)</w:t>
            </w:r>
          </w:p>
          <w:p w14:paraId="1A31673A" w14:textId="77777777" w:rsidR="007C5ADC" w:rsidRPr="007C5ADC" w:rsidRDefault="007C5ADC" w:rsidP="00270120">
            <w:pPr>
              <w:overflowPunct w:val="0"/>
              <w:autoSpaceDE w:val="0"/>
              <w:autoSpaceDN w:val="0"/>
              <w:adjustRightInd w:val="0"/>
              <w:spacing w:line="240" w:lineRule="auto"/>
              <w:ind w:left="284" w:hanging="284"/>
              <w:jc w:val="both"/>
              <w:textAlignment w:val="baseline"/>
              <w:rPr>
                <w:rFonts w:cs="Arial"/>
                <w:szCs w:val="20"/>
              </w:rPr>
            </w:pPr>
            <w:r w:rsidRPr="007C5ADC">
              <w:rPr>
                <w:rFonts w:cs="Arial"/>
                <w:noProof/>
                <w:szCs w:val="20"/>
              </w:rPr>
              <w:drawing>
                <wp:inline distT="0" distB="0" distL="0" distR="0" wp14:anchorId="3710DC15" wp14:editId="1CD7EB19">
                  <wp:extent cx="2200275" cy="1981200"/>
                  <wp:effectExtent l="0" t="0" r="9525" b="0"/>
                  <wp:docPr id="106" name="Obraz 106" descr="bz4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descr="bz4_7"/>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200275" cy="1981200"/>
                          </a:xfrm>
                          <a:prstGeom prst="rect">
                            <a:avLst/>
                          </a:prstGeom>
                          <a:noFill/>
                          <a:ln>
                            <a:noFill/>
                          </a:ln>
                        </pic:spPr>
                      </pic:pic>
                    </a:graphicData>
                  </a:graphic>
                </wp:inline>
              </w:drawing>
            </w:r>
          </w:p>
          <w:p w14:paraId="7451CCD9" w14:textId="77777777" w:rsidR="007C5ADC" w:rsidRPr="007C5ADC" w:rsidRDefault="007C5ADC" w:rsidP="00CF1E7D">
            <w:pPr>
              <w:numPr>
                <w:ilvl w:val="0"/>
                <w:numId w:val="222"/>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krawężnik  20×30×100 cm</w:t>
            </w:r>
          </w:p>
          <w:p w14:paraId="012C8431" w14:textId="77777777" w:rsidR="007C5ADC" w:rsidRPr="007C5ADC" w:rsidRDefault="007C5ADC" w:rsidP="00CF1E7D">
            <w:pPr>
              <w:numPr>
                <w:ilvl w:val="0"/>
                <w:numId w:val="222"/>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 xml:space="preserve">podsypka </w:t>
            </w:r>
            <w:proofErr w:type="spellStart"/>
            <w:r w:rsidRPr="007C5ADC">
              <w:rPr>
                <w:rFonts w:cs="Arial"/>
                <w:szCs w:val="20"/>
              </w:rPr>
              <w:t>cem</w:t>
            </w:r>
            <w:proofErr w:type="spellEnd"/>
            <w:r w:rsidRPr="007C5ADC">
              <w:rPr>
                <w:rFonts w:cs="Arial"/>
                <w:szCs w:val="20"/>
              </w:rPr>
              <w:t>.-piaskowa 1:4</w:t>
            </w:r>
          </w:p>
          <w:p w14:paraId="23D7F9E2" w14:textId="77777777" w:rsidR="007C5ADC" w:rsidRPr="007C5ADC" w:rsidRDefault="007C5ADC" w:rsidP="00CF1E7D">
            <w:pPr>
              <w:numPr>
                <w:ilvl w:val="0"/>
                <w:numId w:val="222"/>
              </w:numPr>
              <w:overflowPunct w:val="0"/>
              <w:autoSpaceDE w:val="0"/>
              <w:autoSpaceDN w:val="0"/>
              <w:adjustRightInd w:val="0"/>
              <w:spacing w:line="240" w:lineRule="auto"/>
              <w:ind w:left="426"/>
              <w:jc w:val="both"/>
              <w:textAlignment w:val="baseline"/>
              <w:rPr>
                <w:rFonts w:cs="Arial"/>
                <w:szCs w:val="20"/>
              </w:rPr>
            </w:pPr>
            <w:r w:rsidRPr="007C5ADC">
              <w:rPr>
                <w:rFonts w:cs="Arial"/>
                <w:szCs w:val="20"/>
              </w:rPr>
              <w:t>ława z betonu C12/15 lub C8/10</w:t>
            </w:r>
          </w:p>
        </w:tc>
        <w:tc>
          <w:tcPr>
            <w:tcW w:w="4394" w:type="dxa"/>
            <w:tcBorders>
              <w:top w:val="nil"/>
              <w:left w:val="nil"/>
              <w:bottom w:val="nil"/>
              <w:right w:val="nil"/>
            </w:tcBorders>
          </w:tcPr>
          <w:p w14:paraId="2F9A21C7" w14:textId="77777777" w:rsidR="007C5ADC" w:rsidRPr="007C5ADC" w:rsidRDefault="007C5ADC" w:rsidP="00270120">
            <w:pPr>
              <w:overflowPunct w:val="0"/>
              <w:autoSpaceDE w:val="0"/>
              <w:autoSpaceDN w:val="0"/>
              <w:adjustRightInd w:val="0"/>
              <w:spacing w:line="240" w:lineRule="auto"/>
              <w:ind w:left="264" w:hanging="264"/>
              <w:jc w:val="both"/>
              <w:textAlignment w:val="baseline"/>
              <w:rPr>
                <w:rFonts w:cs="Arial"/>
                <w:szCs w:val="20"/>
              </w:rPr>
            </w:pPr>
            <w:r w:rsidRPr="007C5ADC">
              <w:rPr>
                <w:rFonts w:cs="Arial"/>
                <w:szCs w:val="20"/>
              </w:rPr>
              <w:t>h) Krawężnik typu ulicznego, ze ściekiem betonowym, na ławie betonowej</w:t>
            </w:r>
          </w:p>
          <w:p w14:paraId="470EA9FE" w14:textId="77777777" w:rsidR="007C5ADC" w:rsidRPr="007C5ADC" w:rsidRDefault="007C5ADC" w:rsidP="00270120">
            <w:pPr>
              <w:overflowPunct w:val="0"/>
              <w:autoSpaceDE w:val="0"/>
              <w:autoSpaceDN w:val="0"/>
              <w:adjustRightInd w:val="0"/>
              <w:spacing w:line="240" w:lineRule="auto"/>
              <w:ind w:left="264" w:hanging="264"/>
              <w:jc w:val="both"/>
              <w:textAlignment w:val="baseline"/>
              <w:rPr>
                <w:rFonts w:cs="Arial"/>
                <w:szCs w:val="20"/>
              </w:rPr>
            </w:pPr>
          </w:p>
          <w:p w14:paraId="189C5D8A" w14:textId="77777777" w:rsidR="007C5ADC" w:rsidRPr="007C5ADC" w:rsidRDefault="007C5ADC" w:rsidP="00270120">
            <w:pPr>
              <w:overflowPunct w:val="0"/>
              <w:autoSpaceDE w:val="0"/>
              <w:autoSpaceDN w:val="0"/>
              <w:adjustRightInd w:val="0"/>
              <w:spacing w:line="240" w:lineRule="auto"/>
              <w:ind w:left="214" w:hanging="214"/>
              <w:jc w:val="both"/>
              <w:textAlignment w:val="baseline"/>
              <w:rPr>
                <w:rFonts w:cs="Arial"/>
                <w:szCs w:val="20"/>
              </w:rPr>
            </w:pPr>
            <w:r w:rsidRPr="007C5ADC">
              <w:rPr>
                <w:rFonts w:cs="Arial"/>
                <w:noProof/>
                <w:szCs w:val="20"/>
              </w:rPr>
              <w:drawing>
                <wp:inline distT="0" distB="0" distL="0" distR="0" wp14:anchorId="2262CCEA" wp14:editId="435BF4A4">
                  <wp:extent cx="2295525" cy="1695450"/>
                  <wp:effectExtent l="0" t="0" r="9525" b="0"/>
                  <wp:docPr id="107" name="Obraz 107" descr="bz4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descr="bz4_8"/>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295525" cy="1695450"/>
                          </a:xfrm>
                          <a:prstGeom prst="rect">
                            <a:avLst/>
                          </a:prstGeom>
                          <a:noFill/>
                          <a:ln>
                            <a:noFill/>
                          </a:ln>
                        </pic:spPr>
                      </pic:pic>
                    </a:graphicData>
                  </a:graphic>
                </wp:inline>
              </w:drawing>
            </w:r>
          </w:p>
          <w:p w14:paraId="41BD3446" w14:textId="77777777" w:rsidR="007C5ADC" w:rsidRPr="007C5ADC" w:rsidRDefault="007C5ADC" w:rsidP="00270120">
            <w:pPr>
              <w:overflowPunct w:val="0"/>
              <w:autoSpaceDE w:val="0"/>
              <w:autoSpaceDN w:val="0"/>
              <w:adjustRightInd w:val="0"/>
              <w:spacing w:line="240" w:lineRule="auto"/>
              <w:ind w:left="214" w:hanging="214"/>
              <w:jc w:val="center"/>
              <w:textAlignment w:val="baseline"/>
              <w:rPr>
                <w:rFonts w:cs="Arial"/>
                <w:szCs w:val="20"/>
              </w:rPr>
            </w:pPr>
            <w:r w:rsidRPr="007C5ADC">
              <w:rPr>
                <w:rFonts w:cs="Arial"/>
                <w:szCs w:val="20"/>
              </w:rPr>
              <w:t>WYMIARY  UZUPEŁNIAJĄCE (alternatywne)</w:t>
            </w:r>
          </w:p>
          <w:tbl>
            <w:tblPr>
              <w:tblW w:w="3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4"/>
              <w:gridCol w:w="849"/>
              <w:gridCol w:w="439"/>
              <w:gridCol w:w="561"/>
              <w:gridCol w:w="515"/>
            </w:tblGrid>
            <w:tr w:rsidR="007C5ADC" w:rsidRPr="007C5ADC" w14:paraId="3256AE5C" w14:textId="77777777" w:rsidTr="002C7F1E">
              <w:trPr>
                <w:jc w:val="center"/>
              </w:trPr>
              <w:tc>
                <w:tcPr>
                  <w:tcW w:w="1936" w:type="dxa"/>
                  <w:gridSpan w:val="2"/>
                </w:tcPr>
                <w:p w14:paraId="128B43AA"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ind w:left="884" w:hanging="884"/>
                    <w:jc w:val="center"/>
                    <w:textAlignment w:val="baseline"/>
                    <w:rPr>
                      <w:rFonts w:cs="Arial"/>
                      <w:szCs w:val="20"/>
                    </w:rPr>
                  </w:pPr>
                  <w:r w:rsidRPr="007C5ADC">
                    <w:rPr>
                      <w:rFonts w:cs="Arial"/>
                      <w:szCs w:val="20"/>
                    </w:rPr>
                    <w:t>krawężnik</w:t>
                  </w:r>
                </w:p>
              </w:tc>
              <w:tc>
                <w:tcPr>
                  <w:tcW w:w="426" w:type="dxa"/>
                </w:tcPr>
                <w:p w14:paraId="03AF8942"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a</w:t>
                  </w:r>
                </w:p>
              </w:tc>
              <w:tc>
                <w:tcPr>
                  <w:tcW w:w="567" w:type="dxa"/>
                </w:tcPr>
                <w:p w14:paraId="00315ACF"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b</w:t>
                  </w:r>
                </w:p>
              </w:tc>
              <w:tc>
                <w:tcPr>
                  <w:tcW w:w="519" w:type="dxa"/>
                </w:tcPr>
                <w:p w14:paraId="007562A9"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c</w:t>
                  </w:r>
                </w:p>
              </w:tc>
            </w:tr>
            <w:tr w:rsidR="007C5ADC" w:rsidRPr="007C5ADC" w14:paraId="639900DE" w14:textId="77777777" w:rsidTr="002C7F1E">
              <w:trPr>
                <w:jc w:val="center"/>
              </w:trPr>
              <w:tc>
                <w:tcPr>
                  <w:tcW w:w="1084" w:type="dxa"/>
                  <w:tcBorders>
                    <w:bottom w:val="nil"/>
                  </w:tcBorders>
                </w:tcPr>
                <w:p w14:paraId="426BD3C7"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betonowy</w:t>
                  </w:r>
                </w:p>
              </w:tc>
              <w:tc>
                <w:tcPr>
                  <w:tcW w:w="852" w:type="dxa"/>
                </w:tcPr>
                <w:p w14:paraId="3DA85BF9"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20×30</w:t>
                  </w:r>
                </w:p>
              </w:tc>
              <w:tc>
                <w:tcPr>
                  <w:tcW w:w="426" w:type="dxa"/>
                </w:tcPr>
                <w:p w14:paraId="7EDD41C2"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25</w:t>
                  </w:r>
                </w:p>
              </w:tc>
              <w:tc>
                <w:tcPr>
                  <w:tcW w:w="567" w:type="dxa"/>
                </w:tcPr>
                <w:p w14:paraId="0930BBAC"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20</w:t>
                  </w:r>
                </w:p>
              </w:tc>
              <w:tc>
                <w:tcPr>
                  <w:tcW w:w="519" w:type="dxa"/>
                </w:tcPr>
                <w:p w14:paraId="2D9C6344"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15</w:t>
                  </w:r>
                </w:p>
              </w:tc>
            </w:tr>
            <w:tr w:rsidR="007C5ADC" w:rsidRPr="007C5ADC" w14:paraId="62CAA730" w14:textId="77777777" w:rsidTr="002C7F1E">
              <w:trPr>
                <w:jc w:val="center"/>
              </w:trPr>
              <w:tc>
                <w:tcPr>
                  <w:tcW w:w="1084" w:type="dxa"/>
                  <w:tcBorders>
                    <w:top w:val="nil"/>
                  </w:tcBorders>
                </w:tcPr>
                <w:p w14:paraId="7FC32454"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p>
              </w:tc>
              <w:tc>
                <w:tcPr>
                  <w:tcW w:w="852" w:type="dxa"/>
                </w:tcPr>
                <w:p w14:paraId="7C55A8FE"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15×30</w:t>
                  </w:r>
                </w:p>
              </w:tc>
              <w:tc>
                <w:tcPr>
                  <w:tcW w:w="426" w:type="dxa"/>
                </w:tcPr>
                <w:p w14:paraId="7D41097D"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20</w:t>
                  </w:r>
                </w:p>
              </w:tc>
              <w:tc>
                <w:tcPr>
                  <w:tcW w:w="567" w:type="dxa"/>
                </w:tcPr>
                <w:p w14:paraId="4315EBEF"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15</w:t>
                  </w:r>
                </w:p>
              </w:tc>
              <w:tc>
                <w:tcPr>
                  <w:tcW w:w="519" w:type="dxa"/>
                </w:tcPr>
                <w:p w14:paraId="3B08FC7A" w14:textId="77777777" w:rsidR="007C5ADC" w:rsidRPr="007C5ADC" w:rsidRDefault="007C5ADC" w:rsidP="00270120">
                  <w:pPr>
                    <w:tabs>
                      <w:tab w:val="left" w:pos="3261"/>
                      <w:tab w:val="left" w:pos="3544"/>
                      <w:tab w:val="left" w:pos="3969"/>
                    </w:tabs>
                    <w:overflowPunct w:val="0"/>
                    <w:autoSpaceDE w:val="0"/>
                    <w:autoSpaceDN w:val="0"/>
                    <w:adjustRightInd w:val="0"/>
                    <w:spacing w:line="240" w:lineRule="auto"/>
                    <w:jc w:val="center"/>
                    <w:textAlignment w:val="baseline"/>
                    <w:rPr>
                      <w:rFonts w:cs="Arial"/>
                      <w:szCs w:val="20"/>
                    </w:rPr>
                  </w:pPr>
                  <w:r w:rsidRPr="007C5ADC">
                    <w:rPr>
                      <w:rFonts w:cs="Arial"/>
                      <w:szCs w:val="20"/>
                    </w:rPr>
                    <w:t>10</w:t>
                  </w:r>
                </w:p>
              </w:tc>
            </w:tr>
          </w:tbl>
          <w:p w14:paraId="137CD899" w14:textId="77777777" w:rsidR="007C5ADC" w:rsidRPr="007C5ADC" w:rsidRDefault="007C5ADC" w:rsidP="00270120">
            <w:pPr>
              <w:overflowPunct w:val="0"/>
              <w:autoSpaceDE w:val="0"/>
              <w:autoSpaceDN w:val="0"/>
              <w:adjustRightInd w:val="0"/>
              <w:spacing w:line="240" w:lineRule="auto"/>
              <w:ind w:left="214" w:hanging="214"/>
              <w:jc w:val="both"/>
              <w:textAlignment w:val="baseline"/>
              <w:rPr>
                <w:rFonts w:cs="Arial"/>
                <w:szCs w:val="20"/>
              </w:rPr>
            </w:pPr>
          </w:p>
          <w:p w14:paraId="378E183C" w14:textId="77777777" w:rsidR="007C5ADC" w:rsidRPr="007C5ADC" w:rsidRDefault="007C5ADC" w:rsidP="00CF1E7D">
            <w:pPr>
              <w:numPr>
                <w:ilvl w:val="0"/>
                <w:numId w:val="223"/>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 xml:space="preserve">krawężnik, typ uliczny </w:t>
            </w:r>
            <w:r w:rsidRPr="007C5ADC">
              <w:rPr>
                <w:rFonts w:cs="Arial"/>
                <w:szCs w:val="20"/>
              </w:rPr>
              <w:br/>
              <w:t>15(20)×30×100 cm</w:t>
            </w:r>
          </w:p>
          <w:p w14:paraId="6144878B" w14:textId="77777777" w:rsidR="007C5ADC" w:rsidRPr="007C5ADC" w:rsidRDefault="007C5ADC" w:rsidP="00CF1E7D">
            <w:pPr>
              <w:numPr>
                <w:ilvl w:val="0"/>
                <w:numId w:val="223"/>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ściek betonowy</w:t>
            </w:r>
          </w:p>
          <w:p w14:paraId="1D10BFDB" w14:textId="77777777" w:rsidR="007C5ADC" w:rsidRPr="007C5ADC" w:rsidRDefault="007C5ADC" w:rsidP="00CF1E7D">
            <w:pPr>
              <w:numPr>
                <w:ilvl w:val="0"/>
                <w:numId w:val="223"/>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 xml:space="preserve">podsypka </w:t>
            </w:r>
            <w:proofErr w:type="spellStart"/>
            <w:r w:rsidRPr="007C5ADC">
              <w:rPr>
                <w:rFonts w:cs="Arial"/>
                <w:szCs w:val="20"/>
              </w:rPr>
              <w:t>cem</w:t>
            </w:r>
            <w:proofErr w:type="spellEnd"/>
            <w:r w:rsidRPr="007C5ADC">
              <w:rPr>
                <w:rFonts w:cs="Arial"/>
                <w:szCs w:val="20"/>
              </w:rPr>
              <w:t>.-piaskowa 1:4</w:t>
            </w:r>
          </w:p>
          <w:p w14:paraId="269CFEAA" w14:textId="77777777" w:rsidR="007C5ADC" w:rsidRPr="007C5ADC" w:rsidRDefault="007C5ADC" w:rsidP="00CF1E7D">
            <w:pPr>
              <w:numPr>
                <w:ilvl w:val="0"/>
                <w:numId w:val="223"/>
              </w:numPr>
              <w:overflowPunct w:val="0"/>
              <w:autoSpaceDE w:val="0"/>
              <w:autoSpaceDN w:val="0"/>
              <w:adjustRightInd w:val="0"/>
              <w:spacing w:line="240" w:lineRule="auto"/>
              <w:ind w:left="459"/>
              <w:jc w:val="both"/>
              <w:textAlignment w:val="baseline"/>
              <w:rPr>
                <w:rFonts w:cs="Arial"/>
                <w:szCs w:val="20"/>
              </w:rPr>
            </w:pPr>
            <w:r w:rsidRPr="007C5ADC">
              <w:rPr>
                <w:rFonts w:cs="Arial"/>
                <w:szCs w:val="20"/>
              </w:rPr>
              <w:t>ława z betonu C12/15 lub C8/10</w:t>
            </w:r>
          </w:p>
        </w:tc>
      </w:tr>
    </w:tbl>
    <w:p w14:paraId="5C21000C" w14:textId="77777777" w:rsidR="00B060F9" w:rsidRPr="006431C4" w:rsidRDefault="00B060F9" w:rsidP="00ED2491">
      <w:pPr>
        <w:pStyle w:val="Nagwek4"/>
        <w:shd w:val="clear" w:color="auto" w:fill="FFFFFF" w:themeFill="background1"/>
        <w:spacing w:before="240" w:line="240" w:lineRule="auto"/>
        <w:jc w:val="both"/>
        <w:rPr>
          <w:rFonts w:cs="Arial"/>
        </w:rPr>
      </w:pPr>
      <w:bookmarkStart w:id="1074" w:name="_Toc465277792"/>
      <w:bookmarkStart w:id="1075" w:name="_Toc111635994"/>
      <w:r w:rsidRPr="006431C4">
        <w:rPr>
          <w:rFonts w:cs="Arial"/>
        </w:rPr>
        <w:t>D-08.02.02 - CHODNIK Z BRUKOWEJ KOSTKI BETONOWEJ</w:t>
      </w:r>
      <w:bookmarkEnd w:id="1074"/>
      <w:bookmarkEnd w:id="1075"/>
    </w:p>
    <w:p w14:paraId="790BB328"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1. WSTĘP</w:t>
      </w:r>
    </w:p>
    <w:p w14:paraId="50E50DD3"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1.1. Przedmiot SST</w:t>
      </w:r>
    </w:p>
    <w:p w14:paraId="7E504113"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Przedmiotem niniejszej j specyfikacji technicznej są wymagania dotyczące wykonania i odbioru robót związanych z wykonaniem chodnika z brukowej kostki betonowej.</w:t>
      </w:r>
    </w:p>
    <w:p w14:paraId="67DD658B"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1.2. Zakres stosowania SST</w:t>
      </w:r>
    </w:p>
    <w:p w14:paraId="338D783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908454981"/>
        <w:placeholder>
          <w:docPart w:val="4F759273A71A45BEBABCB86C5276BDED"/>
        </w:placeholder>
        <w:dataBinding w:prefixMappings="xmlns:ns0='http://purl.org/dc/elements/1.1/' xmlns:ns1='http://schemas.openxmlformats.org/package/2006/metadata/core-properties' " w:xpath="/ns1:coreProperties[1]/ns0:subject[1]" w:storeItemID="{6C3C8BC8-F283-45AE-878A-BAB7291924A1}"/>
        <w:text/>
      </w:sdtPr>
      <w:sdtEndPr/>
      <w:sdtContent>
        <w:p w14:paraId="55498CFA" w14:textId="5AE992A6" w:rsidR="00B060F9" w:rsidRPr="006431C4" w:rsidRDefault="00484E05" w:rsidP="00270120">
          <w:pPr>
            <w:shd w:val="clear" w:color="auto" w:fill="FFFFFF" w:themeFill="background1"/>
            <w:tabs>
              <w:tab w:val="left" w:pos="142"/>
            </w:tabs>
            <w:spacing w:line="240" w:lineRule="auto"/>
            <w:jc w:val="both"/>
            <w:rPr>
              <w:rFonts w:cs="Arial"/>
              <w:szCs w:val="20"/>
            </w:rPr>
          </w:pPr>
          <w:r>
            <w:rPr>
              <w:rFonts w:cs="Arial"/>
              <w:szCs w:val="20"/>
            </w:rPr>
            <w:t>„Przebudowa drogi wojewódzkiej nr 957 w miejscowości Jabłonka odc. referencyjny 100 w km 9+073.78 - 9+279.58 (budowa chodnika) "</w:t>
          </w:r>
        </w:p>
      </w:sdtContent>
    </w:sdt>
    <w:p w14:paraId="01B2391A"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1.3. Zakres robót objętych SST</w:t>
      </w:r>
    </w:p>
    <w:p w14:paraId="2D454B9A"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Ustalenia zawarte w niniejszej szczegółowej specyfikacji dotyczą zasad prowadzenia robót związanych z wykonaniem chodnika z brukowej kostki betonowej.</w:t>
      </w:r>
    </w:p>
    <w:p w14:paraId="56720C6B"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1.4. Określenia podstawowe</w:t>
      </w:r>
    </w:p>
    <w:p w14:paraId="70533B8F"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b/>
          <w:szCs w:val="20"/>
        </w:rPr>
        <w:t>1.4.1.</w:t>
      </w:r>
      <w:r w:rsidRPr="006431C4">
        <w:rPr>
          <w:rFonts w:cs="Arial"/>
          <w:b/>
          <w:szCs w:val="20"/>
        </w:rPr>
        <w:tab/>
      </w:r>
      <w:r w:rsidRPr="006431C4">
        <w:rPr>
          <w:rFonts w:cs="Arial"/>
          <w:szCs w:val="20"/>
        </w:rPr>
        <w:t>Betonowa kostka brukowa - kształtka wytwarzana z betonu metodą wibroprasowania. Produkowana jest jako kształtka jednowarstwowa lub w dwóch warstwach połączonych ze sobą trwale w fazie produkcji.</w:t>
      </w:r>
    </w:p>
    <w:p w14:paraId="4420E339"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b/>
          <w:szCs w:val="20"/>
        </w:rPr>
        <w:t>1.4.2.</w:t>
      </w:r>
      <w:r w:rsidRPr="006431C4">
        <w:rPr>
          <w:rFonts w:cs="Arial"/>
          <w:b/>
          <w:szCs w:val="20"/>
        </w:rPr>
        <w:tab/>
      </w:r>
      <w:r w:rsidRPr="006431C4">
        <w:rPr>
          <w:rFonts w:cs="Arial"/>
          <w:szCs w:val="20"/>
        </w:rPr>
        <w:t>Pozostałe określenia podstawowe są zgodne z obowiązującymi, odpowiednimi polskimi normami i z definicjami i z definicjami podanymi w SST D-M-00.00.00 „Wymagania ogólne” pkt 1.4.</w:t>
      </w:r>
    </w:p>
    <w:p w14:paraId="3CB9C85D"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1.5. Ogólne wymagania dotyczące robót</w:t>
      </w:r>
    </w:p>
    <w:p w14:paraId="3E487CA4"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wymagania dotyczące robót podano w SST D-M-00.00.00 „Wymagania ogólne” pkt 1.5.</w:t>
      </w:r>
    </w:p>
    <w:p w14:paraId="7DE265C8"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2. MATERIAŁY</w:t>
      </w:r>
    </w:p>
    <w:p w14:paraId="7167B16C"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2.1. Ogólne wymagania dotyczące materiałów</w:t>
      </w:r>
    </w:p>
    <w:p w14:paraId="320E8188" w14:textId="77777777" w:rsidR="00B060F9" w:rsidRPr="006431C4" w:rsidRDefault="00B060F9" w:rsidP="00270120">
      <w:pPr>
        <w:numPr>
          <w:ilvl w:val="12"/>
          <w:numId w:val="0"/>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Ogólne wymagania dotyczące materiałów, ich pozyskiwania i składowania, podano w  SST D-M-00.00.00 „Wymagania ogólne” pkt 2.</w:t>
      </w:r>
    </w:p>
    <w:p w14:paraId="718C1DA3"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2.2. Betonowa kostka brukowa wymagania wg PN-EN 1338:2005</w:t>
      </w:r>
    </w:p>
    <w:p w14:paraId="2759F140"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2.2.1.</w:t>
      </w:r>
      <w:r w:rsidRPr="006431C4">
        <w:rPr>
          <w:rFonts w:cs="Arial"/>
          <w:szCs w:val="20"/>
        </w:rPr>
        <w:tab/>
        <w:t>Dopuszczalne odchyłki wymiarów nominalnych deklarowanych  przez producenta</w:t>
      </w:r>
    </w:p>
    <w:p w14:paraId="4088E19E"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Dopuszczalne odchyłki</w:t>
      </w:r>
    </w:p>
    <w:tbl>
      <w:tblPr>
        <w:tblW w:w="5000" w:type="pct"/>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
      <w:tblGrid>
        <w:gridCol w:w="2842"/>
        <w:gridCol w:w="2949"/>
        <w:gridCol w:w="2527"/>
        <w:gridCol w:w="2737"/>
      </w:tblGrid>
      <w:tr w:rsidR="00B060F9" w:rsidRPr="006431C4" w14:paraId="68D98940" w14:textId="77777777" w:rsidTr="00D275E0">
        <w:trPr>
          <w:jc w:val="center"/>
        </w:trPr>
        <w:tc>
          <w:tcPr>
            <w:tcW w:w="1285" w:type="pct"/>
            <w:tcBorders>
              <w:top w:val="single" w:sz="6" w:space="0" w:color="auto"/>
              <w:left w:val="single" w:sz="6" w:space="0" w:color="auto"/>
              <w:bottom w:val="single" w:sz="6" w:space="0" w:color="auto"/>
              <w:right w:val="single" w:sz="6" w:space="0" w:color="auto"/>
            </w:tcBorders>
            <w:noWrap/>
          </w:tcPr>
          <w:p w14:paraId="5E443B2B"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Grubość kostki</w:t>
            </w:r>
          </w:p>
          <w:p w14:paraId="7A9ED97A"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mm</w:t>
            </w:r>
          </w:p>
        </w:tc>
        <w:tc>
          <w:tcPr>
            <w:tcW w:w="1334" w:type="pct"/>
            <w:tcBorders>
              <w:top w:val="single" w:sz="6" w:space="0" w:color="auto"/>
              <w:left w:val="single" w:sz="6" w:space="0" w:color="auto"/>
              <w:bottom w:val="single" w:sz="6" w:space="0" w:color="auto"/>
              <w:right w:val="single" w:sz="6" w:space="0" w:color="auto"/>
            </w:tcBorders>
          </w:tcPr>
          <w:p w14:paraId="3B0A1D00"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Długość</w:t>
            </w:r>
          </w:p>
          <w:p w14:paraId="0E075043"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mm</w:t>
            </w:r>
          </w:p>
        </w:tc>
        <w:tc>
          <w:tcPr>
            <w:tcW w:w="1143" w:type="pct"/>
            <w:tcBorders>
              <w:top w:val="single" w:sz="6" w:space="0" w:color="auto"/>
              <w:left w:val="single" w:sz="6" w:space="0" w:color="auto"/>
              <w:bottom w:val="single" w:sz="6" w:space="0" w:color="auto"/>
              <w:right w:val="single" w:sz="6" w:space="0" w:color="auto"/>
            </w:tcBorders>
          </w:tcPr>
          <w:p w14:paraId="499EC3DA"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Szerokość</w:t>
            </w:r>
          </w:p>
          <w:p w14:paraId="6ACC4DCC"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mm</w:t>
            </w:r>
          </w:p>
        </w:tc>
        <w:tc>
          <w:tcPr>
            <w:tcW w:w="1238" w:type="pct"/>
            <w:tcBorders>
              <w:top w:val="single" w:sz="6" w:space="0" w:color="auto"/>
              <w:left w:val="single" w:sz="6" w:space="0" w:color="auto"/>
              <w:bottom w:val="single" w:sz="6" w:space="0" w:color="auto"/>
              <w:right w:val="single" w:sz="6" w:space="0" w:color="auto"/>
            </w:tcBorders>
          </w:tcPr>
          <w:p w14:paraId="3AD16F84"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Grubość</w:t>
            </w:r>
          </w:p>
          <w:p w14:paraId="0FAFDDB8"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mm</w:t>
            </w:r>
          </w:p>
        </w:tc>
      </w:tr>
      <w:tr w:rsidR="00B060F9" w:rsidRPr="006431C4" w14:paraId="6BF0F042" w14:textId="77777777" w:rsidTr="00D275E0">
        <w:trPr>
          <w:jc w:val="center"/>
        </w:trPr>
        <w:tc>
          <w:tcPr>
            <w:tcW w:w="1285" w:type="pct"/>
            <w:tcBorders>
              <w:top w:val="single" w:sz="6" w:space="0" w:color="auto"/>
              <w:left w:val="single" w:sz="6" w:space="0" w:color="auto"/>
              <w:bottom w:val="single" w:sz="6" w:space="0" w:color="auto"/>
              <w:right w:val="single" w:sz="6" w:space="0" w:color="auto"/>
            </w:tcBorders>
            <w:noWrap/>
          </w:tcPr>
          <w:p w14:paraId="7C7338EF"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&lt; 100</w:t>
            </w:r>
          </w:p>
          <w:p w14:paraId="6B5C1D1C"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sym w:font="Symbol" w:char="00B3"/>
            </w:r>
            <w:r w:rsidRPr="006431C4">
              <w:rPr>
                <w:rFonts w:cs="Arial"/>
                <w:szCs w:val="20"/>
              </w:rPr>
              <w:t xml:space="preserve"> 100</w:t>
            </w:r>
          </w:p>
        </w:tc>
        <w:tc>
          <w:tcPr>
            <w:tcW w:w="1334" w:type="pct"/>
            <w:tcBorders>
              <w:top w:val="single" w:sz="6" w:space="0" w:color="auto"/>
              <w:left w:val="single" w:sz="6" w:space="0" w:color="auto"/>
              <w:bottom w:val="single" w:sz="6" w:space="0" w:color="auto"/>
              <w:right w:val="single" w:sz="6" w:space="0" w:color="auto"/>
            </w:tcBorders>
          </w:tcPr>
          <w:p w14:paraId="47D5B7C7"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sym w:font="Symbol" w:char="00B1"/>
            </w:r>
            <w:r w:rsidRPr="006431C4">
              <w:rPr>
                <w:rFonts w:cs="Arial"/>
                <w:szCs w:val="20"/>
              </w:rPr>
              <w:t xml:space="preserve"> 2</w:t>
            </w:r>
          </w:p>
          <w:p w14:paraId="6CF829D4"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sym w:font="Symbol" w:char="00B1"/>
            </w:r>
            <w:r w:rsidRPr="006431C4">
              <w:rPr>
                <w:rFonts w:cs="Arial"/>
                <w:szCs w:val="20"/>
              </w:rPr>
              <w:t xml:space="preserve"> 3</w:t>
            </w:r>
          </w:p>
        </w:tc>
        <w:tc>
          <w:tcPr>
            <w:tcW w:w="1143" w:type="pct"/>
            <w:tcBorders>
              <w:top w:val="single" w:sz="6" w:space="0" w:color="auto"/>
              <w:left w:val="single" w:sz="6" w:space="0" w:color="auto"/>
              <w:bottom w:val="single" w:sz="6" w:space="0" w:color="auto"/>
              <w:right w:val="single" w:sz="6" w:space="0" w:color="auto"/>
            </w:tcBorders>
          </w:tcPr>
          <w:p w14:paraId="0769905F"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sym w:font="Symbol" w:char="00B1"/>
            </w:r>
            <w:r w:rsidRPr="006431C4">
              <w:rPr>
                <w:rFonts w:cs="Arial"/>
                <w:szCs w:val="20"/>
              </w:rPr>
              <w:t xml:space="preserve"> 2</w:t>
            </w:r>
          </w:p>
          <w:p w14:paraId="77D444C8"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sym w:font="Symbol" w:char="00B1"/>
            </w:r>
            <w:r w:rsidRPr="006431C4">
              <w:rPr>
                <w:rFonts w:cs="Arial"/>
                <w:szCs w:val="20"/>
              </w:rPr>
              <w:t xml:space="preserve"> 3</w:t>
            </w:r>
          </w:p>
        </w:tc>
        <w:tc>
          <w:tcPr>
            <w:tcW w:w="1238" w:type="pct"/>
            <w:tcBorders>
              <w:top w:val="single" w:sz="6" w:space="0" w:color="auto"/>
              <w:left w:val="single" w:sz="6" w:space="0" w:color="auto"/>
              <w:bottom w:val="single" w:sz="6" w:space="0" w:color="auto"/>
              <w:right w:val="single" w:sz="6" w:space="0" w:color="auto"/>
            </w:tcBorders>
          </w:tcPr>
          <w:p w14:paraId="255F964F"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sym w:font="Symbol" w:char="00B1"/>
            </w:r>
            <w:r w:rsidRPr="006431C4">
              <w:rPr>
                <w:rFonts w:cs="Arial"/>
                <w:szCs w:val="20"/>
              </w:rPr>
              <w:t xml:space="preserve"> 3</w:t>
            </w:r>
          </w:p>
          <w:p w14:paraId="5F160CAB"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sym w:font="Symbol" w:char="00B1"/>
            </w:r>
            <w:r w:rsidRPr="006431C4">
              <w:rPr>
                <w:rFonts w:cs="Arial"/>
                <w:szCs w:val="20"/>
              </w:rPr>
              <w:t xml:space="preserve"> 4</w:t>
            </w:r>
          </w:p>
        </w:tc>
      </w:tr>
      <w:tr w:rsidR="00B060F9" w:rsidRPr="006431C4" w14:paraId="06F858B9" w14:textId="77777777" w:rsidTr="00D275E0">
        <w:trPr>
          <w:jc w:val="center"/>
        </w:trPr>
        <w:tc>
          <w:tcPr>
            <w:tcW w:w="5000" w:type="pct"/>
            <w:gridSpan w:val="4"/>
            <w:tcBorders>
              <w:top w:val="single" w:sz="6" w:space="0" w:color="auto"/>
              <w:left w:val="single" w:sz="6" w:space="0" w:color="auto"/>
              <w:bottom w:val="single" w:sz="6" w:space="0" w:color="auto"/>
              <w:right w:val="single" w:sz="6" w:space="0" w:color="auto"/>
            </w:tcBorders>
            <w:noWrap/>
          </w:tcPr>
          <w:p w14:paraId="153E02A6"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lastRenderedPageBreak/>
              <w:t xml:space="preserve">Różnica pomiędzy dwoma pomiarami grubości tej samej kostki powinna być </w:t>
            </w:r>
            <w:r w:rsidRPr="006431C4">
              <w:rPr>
                <w:rFonts w:cs="Arial"/>
                <w:szCs w:val="20"/>
              </w:rPr>
              <w:sym w:font="Symbol" w:char="00A3"/>
            </w:r>
            <w:r w:rsidRPr="006431C4">
              <w:rPr>
                <w:rFonts w:cs="Arial"/>
                <w:szCs w:val="20"/>
              </w:rPr>
              <w:t xml:space="preserve"> </w:t>
            </w:r>
            <w:smartTag w:uri="urn:schemas-microsoft-com:office:smarttags" w:element="metricconverter">
              <w:smartTagPr>
                <w:attr w:name="ProductID" w:val="3 mm"/>
              </w:smartTagPr>
              <w:r w:rsidRPr="006431C4">
                <w:rPr>
                  <w:rFonts w:cs="Arial"/>
                  <w:szCs w:val="20"/>
                </w:rPr>
                <w:t>3 mm</w:t>
              </w:r>
            </w:smartTag>
            <w:r w:rsidRPr="006431C4">
              <w:rPr>
                <w:rFonts w:cs="Arial"/>
                <w:szCs w:val="20"/>
              </w:rPr>
              <w:t>.</w:t>
            </w:r>
          </w:p>
        </w:tc>
      </w:tr>
    </w:tbl>
    <w:p w14:paraId="00707073"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b/>
          <w:szCs w:val="20"/>
        </w:rPr>
      </w:pPr>
      <w:r w:rsidRPr="006431C4">
        <w:rPr>
          <w:rFonts w:cs="Arial"/>
          <w:b/>
          <w:szCs w:val="20"/>
        </w:rPr>
        <w:t> </w:t>
      </w:r>
    </w:p>
    <w:p w14:paraId="7496AAF0"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b/>
          <w:szCs w:val="20"/>
        </w:rPr>
        <w:t>Odchyłki płaskości i pofalowania</w:t>
      </w:r>
      <w:r w:rsidRPr="006431C4">
        <w:rPr>
          <w:rFonts w:cs="Arial"/>
          <w:szCs w:val="20"/>
        </w:rPr>
        <w:t xml:space="preserve"> </w:t>
      </w:r>
    </w:p>
    <w:p w14:paraId="5328BE1C"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(jeśli maksymalne wymiary kostki przekraczają </w:t>
      </w:r>
      <w:smartTag w:uri="urn:schemas-microsoft-com:office:smarttags" w:element="metricconverter">
        <w:smartTagPr>
          <w:attr w:name="ProductID" w:val="300 mm"/>
        </w:smartTagPr>
        <w:r w:rsidRPr="006431C4">
          <w:rPr>
            <w:rFonts w:cs="Arial"/>
            <w:szCs w:val="20"/>
          </w:rPr>
          <w:t>300 mm</w:t>
        </w:r>
      </w:smartTag>
      <w:r w:rsidRPr="006431C4">
        <w:rPr>
          <w:rFonts w:cs="Arial"/>
          <w:szCs w:val="20"/>
        </w:rPr>
        <w:t>)</w:t>
      </w:r>
    </w:p>
    <w:p w14:paraId="5D122664"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w:t>
      </w:r>
    </w:p>
    <w:tbl>
      <w:tblPr>
        <w:tblW w:w="5000" w:type="pct"/>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
      <w:tblGrid>
        <w:gridCol w:w="3685"/>
        <w:gridCol w:w="3580"/>
        <w:gridCol w:w="3790"/>
      </w:tblGrid>
      <w:tr w:rsidR="00B060F9" w:rsidRPr="006431C4" w14:paraId="4D280F7A" w14:textId="77777777" w:rsidTr="00D275E0">
        <w:trPr>
          <w:jc w:val="center"/>
        </w:trPr>
        <w:tc>
          <w:tcPr>
            <w:tcW w:w="1666" w:type="pct"/>
            <w:tcBorders>
              <w:top w:val="single" w:sz="6" w:space="0" w:color="auto"/>
              <w:left w:val="single" w:sz="6" w:space="0" w:color="auto"/>
              <w:bottom w:val="single" w:sz="6" w:space="0" w:color="auto"/>
              <w:right w:val="single" w:sz="6" w:space="0" w:color="auto"/>
            </w:tcBorders>
            <w:noWrap/>
          </w:tcPr>
          <w:p w14:paraId="1C57AB96"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Długość pomiarowa</w:t>
            </w:r>
          </w:p>
          <w:p w14:paraId="6A5E6A7D"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mm</w:t>
            </w:r>
          </w:p>
        </w:tc>
        <w:tc>
          <w:tcPr>
            <w:tcW w:w="1619" w:type="pct"/>
            <w:tcBorders>
              <w:top w:val="single" w:sz="6" w:space="0" w:color="auto"/>
              <w:left w:val="single" w:sz="6" w:space="0" w:color="auto"/>
              <w:bottom w:val="single" w:sz="6" w:space="0" w:color="auto"/>
              <w:right w:val="single" w:sz="6" w:space="0" w:color="auto"/>
            </w:tcBorders>
            <w:noWrap/>
          </w:tcPr>
          <w:p w14:paraId="432824D0"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Maksymalna wypukłość</w:t>
            </w:r>
          </w:p>
          <w:p w14:paraId="76190C83"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mm</w:t>
            </w:r>
          </w:p>
        </w:tc>
        <w:tc>
          <w:tcPr>
            <w:tcW w:w="1714" w:type="pct"/>
            <w:tcBorders>
              <w:top w:val="single" w:sz="6" w:space="0" w:color="auto"/>
              <w:left w:val="single" w:sz="6" w:space="0" w:color="auto"/>
              <w:bottom w:val="single" w:sz="6" w:space="0" w:color="auto"/>
              <w:right w:val="single" w:sz="6" w:space="0" w:color="auto"/>
            </w:tcBorders>
            <w:noWrap/>
          </w:tcPr>
          <w:p w14:paraId="3A01EC56"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Maksymalna wklęsłość</w:t>
            </w:r>
          </w:p>
          <w:p w14:paraId="76D464B3"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mm</w:t>
            </w:r>
          </w:p>
        </w:tc>
      </w:tr>
      <w:tr w:rsidR="00B060F9" w:rsidRPr="006431C4" w14:paraId="29E34A23" w14:textId="77777777" w:rsidTr="00D275E0">
        <w:trPr>
          <w:jc w:val="center"/>
        </w:trPr>
        <w:tc>
          <w:tcPr>
            <w:tcW w:w="1666" w:type="pct"/>
            <w:tcBorders>
              <w:top w:val="single" w:sz="6" w:space="0" w:color="auto"/>
              <w:left w:val="single" w:sz="6" w:space="0" w:color="auto"/>
              <w:bottom w:val="single" w:sz="6" w:space="0" w:color="auto"/>
              <w:right w:val="single" w:sz="6" w:space="0" w:color="auto"/>
            </w:tcBorders>
            <w:noWrap/>
          </w:tcPr>
          <w:p w14:paraId="14E69D41"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300</w:t>
            </w:r>
          </w:p>
          <w:p w14:paraId="6E2B8999"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400</w:t>
            </w:r>
          </w:p>
        </w:tc>
        <w:tc>
          <w:tcPr>
            <w:tcW w:w="1619" w:type="pct"/>
            <w:tcBorders>
              <w:top w:val="single" w:sz="6" w:space="0" w:color="auto"/>
              <w:left w:val="single" w:sz="6" w:space="0" w:color="auto"/>
              <w:bottom w:val="single" w:sz="6" w:space="0" w:color="auto"/>
              <w:right w:val="single" w:sz="6" w:space="0" w:color="auto"/>
            </w:tcBorders>
            <w:noWrap/>
          </w:tcPr>
          <w:p w14:paraId="174A9B42"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1,5</w:t>
            </w:r>
          </w:p>
          <w:p w14:paraId="24330360"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2,0</w:t>
            </w:r>
          </w:p>
        </w:tc>
        <w:tc>
          <w:tcPr>
            <w:tcW w:w="1714" w:type="pct"/>
            <w:tcBorders>
              <w:top w:val="single" w:sz="6" w:space="0" w:color="auto"/>
              <w:left w:val="single" w:sz="6" w:space="0" w:color="auto"/>
              <w:bottom w:val="single" w:sz="6" w:space="0" w:color="auto"/>
              <w:right w:val="single" w:sz="6" w:space="0" w:color="auto"/>
            </w:tcBorders>
            <w:noWrap/>
          </w:tcPr>
          <w:p w14:paraId="54154FE4"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1,0</w:t>
            </w:r>
          </w:p>
          <w:p w14:paraId="50A6CBBF"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1,5</w:t>
            </w:r>
          </w:p>
        </w:tc>
      </w:tr>
    </w:tbl>
    <w:p w14:paraId="0F9FDBD6"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w:t>
      </w:r>
    </w:p>
    <w:p w14:paraId="02C16049"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2.2.2.</w:t>
      </w:r>
      <w:r w:rsidRPr="006431C4">
        <w:rPr>
          <w:rFonts w:cs="Arial"/>
          <w:szCs w:val="20"/>
        </w:rPr>
        <w:tab/>
        <w:t>Odporność na zamrażanie/odmrażanie z udziałem soli odladzających</w:t>
      </w:r>
    </w:p>
    <w:tbl>
      <w:tblPr>
        <w:tblW w:w="5000" w:type="pct"/>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
      <w:tblGrid>
        <w:gridCol w:w="1396"/>
        <w:gridCol w:w="1932"/>
        <w:gridCol w:w="7727"/>
      </w:tblGrid>
      <w:tr w:rsidR="00B060F9" w:rsidRPr="006431C4" w14:paraId="3AA68320" w14:textId="77777777" w:rsidTr="00D275E0">
        <w:trPr>
          <w:jc w:val="center"/>
        </w:trPr>
        <w:tc>
          <w:tcPr>
            <w:tcW w:w="631" w:type="pct"/>
            <w:tcBorders>
              <w:top w:val="single" w:sz="6" w:space="0" w:color="auto"/>
              <w:left w:val="single" w:sz="6" w:space="0" w:color="auto"/>
              <w:bottom w:val="single" w:sz="6" w:space="0" w:color="auto"/>
              <w:right w:val="single" w:sz="6" w:space="0" w:color="auto"/>
            </w:tcBorders>
            <w:noWrap/>
          </w:tcPr>
          <w:p w14:paraId="4F978532"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Klasa</w:t>
            </w:r>
          </w:p>
        </w:tc>
        <w:tc>
          <w:tcPr>
            <w:tcW w:w="874" w:type="pct"/>
            <w:tcBorders>
              <w:top w:val="single" w:sz="6" w:space="0" w:color="auto"/>
              <w:left w:val="single" w:sz="6" w:space="0" w:color="auto"/>
              <w:bottom w:val="single" w:sz="6" w:space="0" w:color="auto"/>
              <w:right w:val="single" w:sz="6" w:space="0" w:color="auto"/>
            </w:tcBorders>
            <w:noWrap/>
          </w:tcPr>
          <w:p w14:paraId="02DD9D3F"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Znakowanie</w:t>
            </w:r>
          </w:p>
        </w:tc>
        <w:tc>
          <w:tcPr>
            <w:tcW w:w="3495" w:type="pct"/>
            <w:tcBorders>
              <w:top w:val="single" w:sz="6" w:space="0" w:color="auto"/>
              <w:left w:val="single" w:sz="6" w:space="0" w:color="auto"/>
              <w:bottom w:val="single" w:sz="6" w:space="0" w:color="auto"/>
              <w:right w:val="single" w:sz="6" w:space="0" w:color="auto"/>
            </w:tcBorders>
            <w:noWrap/>
          </w:tcPr>
          <w:p w14:paraId="0AE62859"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Ubytek masy po badaniu zamrażania/rozmrażania  kg/m</w:t>
            </w:r>
            <w:r w:rsidRPr="006431C4">
              <w:rPr>
                <w:rFonts w:cs="Arial"/>
                <w:szCs w:val="20"/>
                <w:vertAlign w:val="superscript"/>
              </w:rPr>
              <w:t>2</w:t>
            </w:r>
          </w:p>
        </w:tc>
      </w:tr>
      <w:tr w:rsidR="00B060F9" w:rsidRPr="006431C4" w14:paraId="58DD4943" w14:textId="77777777" w:rsidTr="00D275E0">
        <w:trPr>
          <w:jc w:val="center"/>
        </w:trPr>
        <w:tc>
          <w:tcPr>
            <w:tcW w:w="631" w:type="pct"/>
            <w:tcBorders>
              <w:top w:val="single" w:sz="6" w:space="0" w:color="auto"/>
              <w:left w:val="single" w:sz="6" w:space="0" w:color="auto"/>
              <w:bottom w:val="single" w:sz="6" w:space="0" w:color="auto"/>
              <w:right w:val="single" w:sz="6" w:space="0" w:color="auto"/>
            </w:tcBorders>
            <w:noWrap/>
          </w:tcPr>
          <w:p w14:paraId="21013437"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w:t>
            </w:r>
          </w:p>
        </w:tc>
        <w:tc>
          <w:tcPr>
            <w:tcW w:w="874" w:type="pct"/>
            <w:tcBorders>
              <w:top w:val="single" w:sz="6" w:space="0" w:color="auto"/>
              <w:left w:val="single" w:sz="6" w:space="0" w:color="auto"/>
              <w:bottom w:val="single" w:sz="6" w:space="0" w:color="auto"/>
              <w:right w:val="single" w:sz="6" w:space="0" w:color="auto"/>
            </w:tcBorders>
            <w:noWrap/>
          </w:tcPr>
          <w:p w14:paraId="463CE51E"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D</w:t>
            </w:r>
          </w:p>
        </w:tc>
        <w:tc>
          <w:tcPr>
            <w:tcW w:w="3495" w:type="pct"/>
            <w:tcBorders>
              <w:top w:val="single" w:sz="6" w:space="0" w:color="auto"/>
              <w:left w:val="single" w:sz="6" w:space="0" w:color="auto"/>
              <w:bottom w:val="single" w:sz="6" w:space="0" w:color="auto"/>
              <w:right w:val="single" w:sz="6" w:space="0" w:color="auto"/>
            </w:tcBorders>
            <w:noWrap/>
          </w:tcPr>
          <w:p w14:paraId="292E8026"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xml:space="preserve">Wartość średnia </w:t>
            </w:r>
            <w:r w:rsidRPr="006431C4">
              <w:rPr>
                <w:rFonts w:cs="Arial"/>
                <w:szCs w:val="20"/>
              </w:rPr>
              <w:sym w:font="Symbol" w:char="00A3"/>
            </w:r>
            <w:r w:rsidRPr="006431C4">
              <w:rPr>
                <w:rFonts w:cs="Arial"/>
                <w:szCs w:val="20"/>
              </w:rPr>
              <w:t xml:space="preserve"> 1,0</w:t>
            </w:r>
          </w:p>
          <w:p w14:paraId="77F6F9E2"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przy czym żaden pojedynczy wynik &gt; 1,5</w:t>
            </w:r>
          </w:p>
        </w:tc>
      </w:tr>
    </w:tbl>
    <w:p w14:paraId="3C507A6A"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w:t>
      </w:r>
    </w:p>
    <w:p w14:paraId="7674FDA3"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2.2.3.</w:t>
      </w:r>
      <w:r w:rsidRPr="006431C4">
        <w:rPr>
          <w:rFonts w:cs="Arial"/>
          <w:szCs w:val="20"/>
        </w:rPr>
        <w:tab/>
        <w:t>Wytrzymałość na rozciąganie przy rozłupywaniu</w:t>
      </w:r>
    </w:p>
    <w:p w14:paraId="01333AD9"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Wytrzymałość charakterystyczna na rozciąganie przy rozłupywaniu </w:t>
      </w:r>
      <w:r w:rsidRPr="006431C4">
        <w:rPr>
          <w:rFonts w:cs="Arial"/>
          <w:i/>
          <w:szCs w:val="20"/>
        </w:rPr>
        <w:t xml:space="preserve">T </w:t>
      </w:r>
      <w:r w:rsidRPr="006431C4">
        <w:rPr>
          <w:rFonts w:cs="Arial"/>
          <w:szCs w:val="20"/>
        </w:rPr>
        <w:t xml:space="preserve"> nie powinna być mniejsza niż 3,6 MPa.</w:t>
      </w:r>
    </w:p>
    <w:p w14:paraId="2565483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Żaden pojedynczy wynik nie powinien być mniejszy niż 2,9 MPa i nie powinien wykazywać obciążenia niszczącego mniejszego niż 250 N/mm długości rozłupania.</w:t>
      </w:r>
    </w:p>
    <w:p w14:paraId="39900DFE"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2.2.4.</w:t>
      </w:r>
      <w:r w:rsidRPr="006431C4">
        <w:rPr>
          <w:rFonts w:cs="Arial"/>
          <w:szCs w:val="20"/>
        </w:rPr>
        <w:tab/>
        <w:t>Trwałość (ze względu na wytrzymałość)</w:t>
      </w:r>
    </w:p>
    <w:p w14:paraId="6675AE7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Prefabrykowane betonowe kostki brukowe poddawane działaniu normalnych warunków zewnętrznych zachowują zadowalającą trwałość (wytrzymałość) pod warunkiem spełnienia wymagań wytrzymałości na rozciąganie przy rozłupywaniu (pkt 3.2.2) i poddawaniu normalnej konserwacji.</w:t>
      </w:r>
    </w:p>
    <w:p w14:paraId="4BB2DDA7"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2.2.5.</w:t>
      </w:r>
      <w:r w:rsidRPr="006431C4">
        <w:rPr>
          <w:rFonts w:cs="Arial"/>
          <w:szCs w:val="20"/>
        </w:rPr>
        <w:tab/>
        <w:t>Odporność na ścieranie</w:t>
      </w:r>
    </w:p>
    <w:tbl>
      <w:tblPr>
        <w:tblW w:w="0" w:type="auto"/>
        <w:jc w:val="center"/>
        <w:tblLayout w:type="fixed"/>
        <w:tblCellMar>
          <w:left w:w="70" w:type="dxa"/>
          <w:right w:w="70" w:type="dxa"/>
        </w:tblCellMar>
        <w:tblLook w:val="0000" w:firstRow="0" w:lastRow="0" w:firstColumn="0" w:lastColumn="0" w:noHBand="0" w:noVBand="0"/>
      </w:tblPr>
      <w:tblGrid>
        <w:gridCol w:w="921"/>
        <w:gridCol w:w="1276"/>
        <w:gridCol w:w="3607"/>
        <w:gridCol w:w="3119"/>
      </w:tblGrid>
      <w:tr w:rsidR="00B060F9" w:rsidRPr="006431C4" w14:paraId="329846F0" w14:textId="77777777" w:rsidTr="00D032BE">
        <w:trPr>
          <w:jc w:val="center"/>
        </w:trPr>
        <w:tc>
          <w:tcPr>
            <w:tcW w:w="921" w:type="dxa"/>
            <w:tcBorders>
              <w:top w:val="single" w:sz="6" w:space="0" w:color="auto"/>
              <w:left w:val="single" w:sz="6" w:space="0" w:color="auto"/>
              <w:bottom w:val="nil"/>
              <w:right w:val="nil"/>
            </w:tcBorders>
            <w:noWrap/>
          </w:tcPr>
          <w:p w14:paraId="27EE2204"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w:t>
            </w:r>
          </w:p>
        </w:tc>
        <w:tc>
          <w:tcPr>
            <w:tcW w:w="1276" w:type="dxa"/>
            <w:tcBorders>
              <w:top w:val="single" w:sz="6" w:space="0" w:color="auto"/>
              <w:left w:val="single" w:sz="6" w:space="0" w:color="auto"/>
              <w:bottom w:val="nil"/>
              <w:right w:val="nil"/>
            </w:tcBorders>
            <w:noWrap/>
          </w:tcPr>
          <w:p w14:paraId="759BBED4"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w:t>
            </w:r>
          </w:p>
        </w:tc>
        <w:tc>
          <w:tcPr>
            <w:tcW w:w="6726" w:type="dxa"/>
            <w:gridSpan w:val="2"/>
            <w:tcBorders>
              <w:top w:val="single" w:sz="6" w:space="0" w:color="auto"/>
              <w:left w:val="single" w:sz="6" w:space="0" w:color="auto"/>
              <w:bottom w:val="single" w:sz="6" w:space="0" w:color="auto"/>
              <w:right w:val="single" w:sz="6" w:space="0" w:color="auto"/>
            </w:tcBorders>
            <w:noWrap/>
          </w:tcPr>
          <w:p w14:paraId="72F4C0E0"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Wymaganie</w:t>
            </w:r>
          </w:p>
        </w:tc>
      </w:tr>
      <w:tr w:rsidR="00B060F9" w:rsidRPr="006431C4" w14:paraId="74C7E5AC" w14:textId="77777777" w:rsidTr="00D032BE">
        <w:trPr>
          <w:jc w:val="center"/>
        </w:trPr>
        <w:tc>
          <w:tcPr>
            <w:tcW w:w="921" w:type="dxa"/>
            <w:tcBorders>
              <w:top w:val="nil"/>
              <w:left w:val="single" w:sz="6" w:space="0" w:color="auto"/>
              <w:bottom w:val="nil"/>
              <w:right w:val="nil"/>
            </w:tcBorders>
            <w:noWrap/>
          </w:tcPr>
          <w:p w14:paraId="16E63EE1"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Klasa</w:t>
            </w:r>
          </w:p>
        </w:tc>
        <w:tc>
          <w:tcPr>
            <w:tcW w:w="1276" w:type="dxa"/>
            <w:tcBorders>
              <w:top w:val="nil"/>
              <w:left w:val="single" w:sz="6" w:space="0" w:color="auto"/>
              <w:bottom w:val="nil"/>
              <w:right w:val="nil"/>
            </w:tcBorders>
            <w:noWrap/>
          </w:tcPr>
          <w:p w14:paraId="1A07017A"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Oznaczenie</w:t>
            </w:r>
          </w:p>
        </w:tc>
        <w:tc>
          <w:tcPr>
            <w:tcW w:w="3607" w:type="dxa"/>
            <w:tcBorders>
              <w:top w:val="single" w:sz="6" w:space="0" w:color="auto"/>
              <w:left w:val="single" w:sz="6" w:space="0" w:color="auto"/>
              <w:bottom w:val="single" w:sz="6" w:space="0" w:color="auto"/>
              <w:right w:val="single" w:sz="6" w:space="0" w:color="auto"/>
            </w:tcBorders>
            <w:noWrap/>
          </w:tcPr>
          <w:p w14:paraId="19D06097"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Pomiar wykonany wg zał. G normy (na szerokiej tarczy ściernej)</w:t>
            </w:r>
          </w:p>
        </w:tc>
        <w:tc>
          <w:tcPr>
            <w:tcW w:w="3119" w:type="dxa"/>
            <w:tcBorders>
              <w:top w:val="single" w:sz="6" w:space="0" w:color="auto"/>
              <w:left w:val="single" w:sz="6" w:space="0" w:color="auto"/>
              <w:bottom w:val="single" w:sz="6" w:space="0" w:color="auto"/>
              <w:right w:val="single" w:sz="6" w:space="0" w:color="auto"/>
            </w:tcBorders>
            <w:noWrap/>
          </w:tcPr>
          <w:p w14:paraId="6A164E54"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Pomiar wykonany wg zał. H normy (na tarczy B</w:t>
            </w:r>
            <w:r w:rsidRPr="006431C4">
              <w:rPr>
                <w:rFonts w:cs="Arial"/>
                <w:szCs w:val="20"/>
              </w:rPr>
              <w:sym w:font="Times New Roman" w:char="00F6"/>
            </w:r>
            <w:proofErr w:type="spellStart"/>
            <w:r w:rsidRPr="006431C4">
              <w:rPr>
                <w:rFonts w:cs="Arial"/>
                <w:szCs w:val="20"/>
              </w:rPr>
              <w:t>hmego</w:t>
            </w:r>
            <w:proofErr w:type="spellEnd"/>
            <w:r w:rsidRPr="006431C4">
              <w:rPr>
                <w:rFonts w:cs="Arial"/>
                <w:szCs w:val="20"/>
              </w:rPr>
              <w:t>)</w:t>
            </w:r>
          </w:p>
        </w:tc>
      </w:tr>
      <w:tr w:rsidR="00B060F9" w:rsidRPr="006431C4" w14:paraId="53CCAA24" w14:textId="77777777" w:rsidTr="00D032BE">
        <w:trPr>
          <w:jc w:val="center"/>
        </w:trPr>
        <w:tc>
          <w:tcPr>
            <w:tcW w:w="921" w:type="dxa"/>
            <w:tcBorders>
              <w:top w:val="single" w:sz="6" w:space="0" w:color="auto"/>
              <w:left w:val="single" w:sz="6" w:space="0" w:color="auto"/>
              <w:bottom w:val="single" w:sz="6" w:space="0" w:color="auto"/>
              <w:right w:val="single" w:sz="6" w:space="0" w:color="auto"/>
            </w:tcBorders>
            <w:noWrap/>
          </w:tcPr>
          <w:p w14:paraId="33C2ECAC"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3</w:t>
            </w:r>
          </w:p>
        </w:tc>
        <w:tc>
          <w:tcPr>
            <w:tcW w:w="1276" w:type="dxa"/>
            <w:tcBorders>
              <w:top w:val="single" w:sz="6" w:space="0" w:color="auto"/>
              <w:left w:val="single" w:sz="6" w:space="0" w:color="auto"/>
              <w:bottom w:val="single" w:sz="6" w:space="0" w:color="auto"/>
              <w:right w:val="nil"/>
            </w:tcBorders>
            <w:noWrap/>
          </w:tcPr>
          <w:p w14:paraId="57FE5F9E"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H</w:t>
            </w:r>
          </w:p>
        </w:tc>
        <w:tc>
          <w:tcPr>
            <w:tcW w:w="3607" w:type="dxa"/>
            <w:tcBorders>
              <w:top w:val="single" w:sz="6" w:space="0" w:color="auto"/>
              <w:left w:val="single" w:sz="6" w:space="0" w:color="auto"/>
              <w:bottom w:val="single" w:sz="6" w:space="0" w:color="auto"/>
              <w:right w:val="single" w:sz="6" w:space="0" w:color="auto"/>
            </w:tcBorders>
            <w:noWrap/>
          </w:tcPr>
          <w:p w14:paraId="54A72822"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sym w:font="Symbol" w:char="00A3"/>
            </w:r>
            <w:r w:rsidRPr="006431C4">
              <w:rPr>
                <w:rFonts w:cs="Arial"/>
                <w:szCs w:val="20"/>
              </w:rPr>
              <w:t xml:space="preserve"> </w:t>
            </w:r>
            <w:smartTag w:uri="urn:schemas-microsoft-com:office:smarttags" w:element="metricconverter">
              <w:smartTagPr>
                <w:attr w:name="ProductID" w:val="23 mm"/>
              </w:smartTagPr>
              <w:r w:rsidRPr="006431C4">
                <w:rPr>
                  <w:rFonts w:cs="Arial"/>
                  <w:szCs w:val="20"/>
                </w:rPr>
                <w:t>23 mm</w:t>
              </w:r>
            </w:smartTag>
          </w:p>
        </w:tc>
        <w:tc>
          <w:tcPr>
            <w:tcW w:w="3119" w:type="dxa"/>
            <w:tcBorders>
              <w:top w:val="single" w:sz="6" w:space="0" w:color="auto"/>
              <w:left w:val="single" w:sz="6" w:space="0" w:color="auto"/>
              <w:bottom w:val="single" w:sz="6" w:space="0" w:color="auto"/>
              <w:right w:val="single" w:sz="6" w:space="0" w:color="auto"/>
            </w:tcBorders>
            <w:noWrap/>
          </w:tcPr>
          <w:p w14:paraId="2BBB843C"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sym w:font="Symbol" w:char="00A3"/>
            </w:r>
            <w:r w:rsidRPr="006431C4">
              <w:rPr>
                <w:rFonts w:cs="Arial"/>
                <w:szCs w:val="20"/>
              </w:rPr>
              <w:t xml:space="preserve"> 20000 mm</w:t>
            </w:r>
            <w:r w:rsidRPr="006431C4">
              <w:rPr>
                <w:rFonts w:cs="Arial"/>
                <w:szCs w:val="20"/>
                <w:vertAlign w:val="superscript"/>
              </w:rPr>
              <w:t>3</w:t>
            </w:r>
            <w:r w:rsidRPr="006431C4">
              <w:rPr>
                <w:rFonts w:cs="Arial"/>
                <w:szCs w:val="20"/>
              </w:rPr>
              <w:t>/5000 mm</w:t>
            </w:r>
            <w:r w:rsidRPr="006431C4">
              <w:rPr>
                <w:rFonts w:cs="Arial"/>
                <w:szCs w:val="20"/>
                <w:vertAlign w:val="superscript"/>
              </w:rPr>
              <w:t>2</w:t>
            </w:r>
          </w:p>
        </w:tc>
      </w:tr>
    </w:tbl>
    <w:p w14:paraId="6DA817B1"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 </w:t>
      </w:r>
    </w:p>
    <w:p w14:paraId="64A1E1BA"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2.2.6.</w:t>
      </w:r>
      <w:r w:rsidRPr="006431C4">
        <w:rPr>
          <w:rFonts w:cs="Arial"/>
          <w:szCs w:val="20"/>
        </w:rPr>
        <w:tab/>
        <w:t>Odporność na poślizg/poślizgnięcie</w:t>
      </w:r>
    </w:p>
    <w:p w14:paraId="315D834C"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Betonowe kostki brukowe wykazują zadowalającą odporność na poślizg/poślizgnięcie pod warunkiem, że ich górna powierzchnia nie była szlifowana i/lub polerowana w celu uzyskania bardzo gładkiej powierzchni.</w:t>
      </w:r>
    </w:p>
    <w:p w14:paraId="6B82D592"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Jeżeli wyjątkowo wymagane jest podanie wartości odporności na poślizg/poślizgnięcie, to należy zastosować metodę badania opisaną w załączniku I normy i zadeklarować wartość minimalną odporności na poślizg/poślizgnięcie.</w:t>
      </w:r>
    </w:p>
    <w:p w14:paraId="15482F83"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2.2.7.</w:t>
      </w:r>
      <w:r w:rsidRPr="006431C4">
        <w:rPr>
          <w:rFonts w:cs="Arial"/>
          <w:szCs w:val="20"/>
        </w:rPr>
        <w:tab/>
        <w:t>Aspekty wizualne</w:t>
      </w:r>
    </w:p>
    <w:p w14:paraId="0D53769B"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2.2.7.1.</w:t>
      </w:r>
      <w:r w:rsidRPr="006431C4">
        <w:rPr>
          <w:rFonts w:cs="Arial"/>
          <w:szCs w:val="20"/>
        </w:rPr>
        <w:tab/>
        <w:t>Wygląd</w:t>
      </w:r>
    </w:p>
    <w:p w14:paraId="55F9CCC2"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Górna powierzchnia betonowych kostek brukowych oceniana zgodnie z załącznikiem J normy, nie powinna wykazywać wad, takich jak rysy lub odpryski.</w:t>
      </w:r>
    </w:p>
    <w:p w14:paraId="6B310E02"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W przypadku dwuwarstwowych kostek brukowych, ocenianych zgodnie z załącznikiem J normy, nie dopuszcza się występowania rozwarstwienia (rozdzielenia) między warstwami.</w:t>
      </w:r>
    </w:p>
    <w:p w14:paraId="53F35345"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(Uwaga: Ewentualne wykwity nie mają szkodliwego wpływu na właściwości użytkowe kostek brukowych i nie są uważane za istotne).</w:t>
      </w:r>
    </w:p>
    <w:p w14:paraId="38CE5150"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2.2.7.2.</w:t>
      </w:r>
      <w:r w:rsidRPr="006431C4">
        <w:rPr>
          <w:rFonts w:cs="Arial"/>
          <w:szCs w:val="20"/>
        </w:rPr>
        <w:tab/>
        <w:t>Tekstura</w:t>
      </w:r>
    </w:p>
    <w:p w14:paraId="5E123C55"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Jeżeli kostki brukowe produkowane są z powierzchnią o specjalnej teksturze, to taka tekstura powinna być opisana przez producenta.</w:t>
      </w:r>
    </w:p>
    <w:p w14:paraId="7CA173A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Jeśli nie ma znaczących różnic w teksturze, zgodność elementów ocenianych zgodnie z załącznikiem J normy, powinna być ustalona przez porównanie z próbkami dostarczonymi przez producenta i zatwierdzonymi przez odbiorcę.</w:t>
      </w:r>
    </w:p>
    <w:p w14:paraId="58DEA149"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(Uwaga: Różnice w jednolitości tekstury kostek brukowych, które mogą być spowodowane nieuniknionymi zmianami we właściwościach surowców i przez zmianę warunków twardnienia, nie są uważane za istotne).</w:t>
      </w:r>
    </w:p>
    <w:p w14:paraId="6FDE62A1"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2.2.7.3.</w:t>
      </w:r>
      <w:r w:rsidRPr="006431C4">
        <w:rPr>
          <w:rFonts w:cs="Arial"/>
          <w:szCs w:val="20"/>
        </w:rPr>
        <w:tab/>
        <w:t>Zabarwienie</w:t>
      </w:r>
    </w:p>
    <w:p w14:paraId="417AB705"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W zależności od decyzji producenta, barwiona może być warstwa ścieralna lub cały element.</w:t>
      </w:r>
    </w:p>
    <w:p w14:paraId="1BCC107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Jeśli nie ma znaczących różnic w zabarwieniu, zgodność elementów ocenianych zgodnie z załącznikiem J normy, powinna być ustalona przez porównanie z próbkami dostarczonymi przez producenta i zatwierdzonymi przez odbiorcę.</w:t>
      </w:r>
    </w:p>
    <w:p w14:paraId="7EA049F1"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(Uwaga: Różnice w jednolitości zabarwienia kostek brukowych, które mogą być spowodowane nieuniknionymi zmianami właściwości surowców lub przez zmianę warunków twardnienia, nie są uważane za istotne).</w:t>
      </w:r>
    </w:p>
    <w:p w14:paraId="6641A2E7" w14:textId="77777777" w:rsidR="00B060F9" w:rsidRPr="006431C4" w:rsidRDefault="00B060F9" w:rsidP="00270120">
      <w:pPr>
        <w:keepNext/>
        <w:numPr>
          <w:ilvl w:val="1"/>
          <w:numId w:val="10"/>
        </w:numPr>
        <w:shd w:val="clear" w:color="auto" w:fill="FFFFFF" w:themeFill="background1"/>
        <w:tabs>
          <w:tab w:val="left" w:pos="142"/>
        </w:tabs>
        <w:spacing w:line="240" w:lineRule="auto"/>
        <w:ind w:left="0" w:firstLine="0"/>
        <w:jc w:val="both"/>
        <w:outlineLvl w:val="1"/>
        <w:rPr>
          <w:rFonts w:cs="Arial"/>
          <w:b/>
          <w:bCs/>
          <w:szCs w:val="20"/>
        </w:rPr>
      </w:pPr>
      <w:r w:rsidRPr="006431C4">
        <w:rPr>
          <w:rFonts w:cs="Arial"/>
          <w:b/>
          <w:bCs/>
          <w:szCs w:val="20"/>
        </w:rPr>
        <w:t>Materiał do podsypki cementowo-piaskowej - wymagania</w:t>
      </w:r>
    </w:p>
    <w:p w14:paraId="7F135799"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Na podsypkę stosuje się miesznkę cementu i kruszywa drobnego (piasku) w stosunku 1:4.</w:t>
      </w:r>
    </w:p>
    <w:p w14:paraId="24148710"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 xml:space="preserve">Do podsypki należy stosować cement powszechnego użytku CEM I wg PN-EN 197-1:2000 [2]. </w:t>
      </w:r>
    </w:p>
    <w:p w14:paraId="428E3BAB"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 xml:space="preserve">Do podsypki należy stosować piasek wg PN-EN 12620:2004 [3]. </w:t>
      </w:r>
    </w:p>
    <w:p w14:paraId="6593D434"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3. Sprzęt</w:t>
      </w:r>
    </w:p>
    <w:p w14:paraId="7340BADC"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3.1. Ogólne wymagania dotyczące sprzętu</w:t>
      </w:r>
    </w:p>
    <w:p w14:paraId="154D8050"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wymagania dotyczące sprzętu podano w SST D-M-00.00.00 „Wymagania ogólne” pkt 3.</w:t>
      </w:r>
    </w:p>
    <w:p w14:paraId="5940303D"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lastRenderedPageBreak/>
        <w:t>3.2. Sprzęt do wykonania chodnika z kostki brukowej</w:t>
      </w:r>
    </w:p>
    <w:p w14:paraId="0E877053"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Małe powierzchnie chodnika z kostki brukowej wykonuje się ręcznie.</w:t>
      </w:r>
    </w:p>
    <w:p w14:paraId="7CECE3A9"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Do zagęszczenia nawierzchni stosuje się wibratory płytowe z osłoną z tworzywa sztucznego.</w:t>
      </w:r>
    </w:p>
    <w:p w14:paraId="26E6BD7C"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4. Transport</w:t>
      </w:r>
    </w:p>
    <w:p w14:paraId="7D0017E2"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4.1. Ogólne wymagania dotyczące transportu</w:t>
      </w:r>
    </w:p>
    <w:p w14:paraId="07A13124"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wymagania dotyczące transportu podano w SST D-M-00.00.00 „Wymagania ogólne” pkt 4.</w:t>
      </w:r>
    </w:p>
    <w:p w14:paraId="4DE6E541"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4.2. Transport betonowych kostek brukowych</w:t>
      </w:r>
    </w:p>
    <w:p w14:paraId="2DF5CAC7"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Uformowane w czasie produkcji kostki betonowe układane są warstwowo na palecie. Po uzyskaniu wytrzymałości betonu min. 0,7 wytrzymałości projektowanej, kostki przewożone są na stanowisko, gdzie specjalne urządzenie pakuje je w folię i spina taśmą stalową, co gwarantuje transport samochodami w nienaruszonym stanie.</w:t>
      </w:r>
    </w:p>
    <w:p w14:paraId="4970F7CE"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Kostki betonowe można również przewozić samochodami na paletach transportowych producenta.</w:t>
      </w:r>
    </w:p>
    <w:p w14:paraId="0DDF6691"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5. WYKONANIE ROBÓT</w:t>
      </w:r>
    </w:p>
    <w:p w14:paraId="4E6E7C27"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5.1. Ogólne zasady wykonania robót</w:t>
      </w:r>
    </w:p>
    <w:p w14:paraId="7F9DB5D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zasady wykonania robót podano w SST D-M-00.00.00 „Wymagania ogólne” pkt 5.</w:t>
      </w:r>
    </w:p>
    <w:p w14:paraId="6055D27E"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5.2. Koryto pod chodnik</w:t>
      </w:r>
    </w:p>
    <w:p w14:paraId="57792070"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Koryto wykonane w podłożu powinno być wyprofilowane zgodnie z projektowanymi spadkami podłużnymi i poprzecznymi. Wskaźnik zagęszczenia koryta nie powinien być mniejszy niż 0,97 według normalnej metody Proctora.</w:t>
      </w:r>
    </w:p>
    <w:p w14:paraId="5CDE3B68"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Grunty podłoża powinny być niewysadzinowe, jednorodne i nośne oraz zabezpieczone przed nadmiernym zawilgoceniem i ujemnymi skutkami przemarzania. Grunty podłoża powinny spełniać wymagania dla gruntu G1.</w:t>
      </w:r>
    </w:p>
    <w:p w14:paraId="5499F300"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bookmarkStart w:id="1076" w:name="_Toc255498331"/>
      <w:r w:rsidRPr="006431C4">
        <w:rPr>
          <w:rFonts w:cs="Arial"/>
          <w:b/>
          <w:bCs/>
          <w:szCs w:val="20"/>
        </w:rPr>
        <w:t>5.3.Podbudowa</w:t>
      </w:r>
      <w:bookmarkEnd w:id="1076"/>
    </w:p>
    <w:p w14:paraId="310C2842"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 xml:space="preserve">Konstrukcja podbudowy powinna być zgodna z Dokumentacją Projektową. </w:t>
      </w:r>
    </w:p>
    <w:p w14:paraId="3A713CFA"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Zasady wykonania Robót dla podbudowy z kruszywa podane są w SST D-07.04.04.02</w:t>
      </w:r>
    </w:p>
    <w:p w14:paraId="253D03DC"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5.4. Podsypka</w:t>
      </w:r>
    </w:p>
    <w:p w14:paraId="30C9DBE0"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Na podsypkę stosuje się miesznkę cementu i kruszywa drobnego (piasku) w stosunku 1:4.</w:t>
      </w:r>
    </w:p>
    <w:p w14:paraId="4B04E8C1"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 xml:space="preserve">Do podsypki należy stosować cement powszechnego użytku CEM I wg PN-EN 197-1:2000 [2]. </w:t>
      </w:r>
    </w:p>
    <w:p w14:paraId="16621FCA"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 xml:space="preserve">Do podsypki należy stosować piasek wg PN-EN 12620:2004 [3]. </w:t>
      </w:r>
    </w:p>
    <w:p w14:paraId="4D6A3C88"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 xml:space="preserve">Grubość podsypki po zagęszczeniu powinna wynosić 3 cm. Podsypka powinna być zwilżona wodą, zagęszczona i wyprofilowana. </w:t>
      </w:r>
    </w:p>
    <w:p w14:paraId="7FA1176D"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bookmarkStart w:id="1077" w:name="_Toc255498332"/>
      <w:r w:rsidRPr="006431C4">
        <w:rPr>
          <w:rFonts w:cs="Arial"/>
          <w:b/>
          <w:bCs/>
          <w:szCs w:val="20"/>
        </w:rPr>
        <w:t>5.5.Obramowanie nawierzchni</w:t>
      </w:r>
      <w:bookmarkEnd w:id="1077"/>
    </w:p>
    <w:p w14:paraId="620CB19F"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Obramowanie nawierzchni powinno być zgodne z Dokumentacją Projektową.</w:t>
      </w:r>
    </w:p>
    <w:p w14:paraId="1C0718E0"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Zasady wykonania Robót dla:</w:t>
      </w:r>
    </w:p>
    <w:p w14:paraId="5752035E"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a)</w:t>
      </w:r>
      <w:r w:rsidRPr="006431C4">
        <w:rPr>
          <w:rFonts w:cs="Arial"/>
          <w:szCs w:val="20"/>
        </w:rPr>
        <w:tab/>
        <w:t>betonowych obrzeży chodnikowych podane są  w SST  D-07.08.03.01,</w:t>
      </w:r>
    </w:p>
    <w:p w14:paraId="00581D9F"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b)</w:t>
      </w:r>
      <w:r w:rsidRPr="006431C4">
        <w:rPr>
          <w:rFonts w:cs="Arial"/>
          <w:szCs w:val="20"/>
        </w:rPr>
        <w:tab/>
        <w:t>krawężników kamiennych podane są w SST  D-07.08.01.02.</w:t>
      </w:r>
    </w:p>
    <w:p w14:paraId="4F750286"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5.6. Układanie chodnika z betonowych kostek brukowych</w:t>
      </w:r>
    </w:p>
    <w:p w14:paraId="56EEBD80"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 xml:space="preserve">Przed ułożeniem nawierzchni z kostki zaleca się ustawić krawężniki i obrzeża. Przed ich ustawieniem, pożądane jest ułożenie pojedynczego rzędu kostek w celu ustalenia szerokości nawierzchni i prawidłowej lokalizacji krawężników i obrzeży. </w:t>
      </w:r>
    </w:p>
    <w:p w14:paraId="1FE8B22A" w14:textId="77777777" w:rsidR="00B060F9" w:rsidRPr="006431C4" w:rsidRDefault="00B060F9" w:rsidP="00270120">
      <w:pPr>
        <w:shd w:val="clear" w:color="auto" w:fill="FFFFFF" w:themeFill="background1"/>
        <w:tabs>
          <w:tab w:val="left" w:pos="142"/>
        </w:tabs>
        <w:spacing w:line="240" w:lineRule="auto"/>
        <w:jc w:val="both"/>
        <w:rPr>
          <w:rFonts w:cs="Arial"/>
          <w:noProof/>
          <w:szCs w:val="20"/>
        </w:rPr>
      </w:pPr>
      <w:r w:rsidRPr="006431C4">
        <w:rPr>
          <w:rFonts w:cs="Arial"/>
          <w:noProof/>
          <w:szCs w:val="20"/>
        </w:rPr>
        <w:t xml:space="preserve">Następnie należy przystąpić do układania podsypki cementowo-piaskowej na podbudowie. Przygotowana podsypka powinna równomiernie rozścielona na zwilżonej podbudowie, wyprofilowana i wstępnie zagęszczona lekkimi walcami lub zagęszczarkami wibracyjnymi. </w:t>
      </w:r>
    </w:p>
    <w:p w14:paraId="3D07C6DB"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Po rozłożeniu podsypki należy przystąpić do układania betonowych kostek brukowych. Kształt, wymiary, barwę kostek oraz układany wzór Wykonawca powinien przedłożyć Inżynierowi do zaakceptowania. Układanie nawierzchni należy wykonywać w temperaturze otocznia nie niższej niż +</w:t>
      </w:r>
      <w:smartTag w:uri="urn:schemas-microsoft-com:office:smarttags" w:element="metricconverter">
        <w:smartTagPr>
          <w:attr w:name="ProductID" w:val="5ﾰC"/>
        </w:smartTagPr>
        <w:r w:rsidRPr="006431C4">
          <w:rPr>
            <w:rFonts w:cs="Arial"/>
            <w:szCs w:val="20"/>
          </w:rPr>
          <w:t>5°C</w:t>
        </w:r>
      </w:smartTag>
      <w:r w:rsidRPr="006431C4">
        <w:rPr>
          <w:rFonts w:cs="Arial"/>
          <w:szCs w:val="20"/>
        </w:rPr>
        <w:t>. Warstwa nawierzchni z kostki powinna być wykonana z elementów o jednakowej grubości. Na większym fragmencie robót zaleca się stosować kostki dostarczone w tej samej partii materiału, w której niedopuszczalne są różne odcienie wybranego koloru kostki.</w:t>
      </w:r>
    </w:p>
    <w:p w14:paraId="6E6491FA"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Układanie kostki można wykonywać ręcznie lub mechanicznie. Układanie ręczne zaleca się wykonywać na mniejszych powierzchniach, zwłaszcza skomplikowanych pod względem kształtu. Układanie mechaniczne należy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(ułożona odpowiednio na palecie). Układanie mechaniczne zawsze musi być wsparte pracą brukarzy, którzy uzupełniają przerwy, wyrabiają łuki, dokładają kostki w okolicach studzienek i krawężników.</w:t>
      </w:r>
    </w:p>
    <w:p w14:paraId="23411C88"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Kostkę należy układać około </w:t>
      </w:r>
      <w:smartTag w:uri="urn:schemas-microsoft-com:office:smarttags" w:element="metricconverter">
        <w:smartTagPr>
          <w:attr w:name="ProductID" w:val="1,5 cm"/>
        </w:smartTagPr>
        <w:r w:rsidRPr="006431C4">
          <w:rPr>
            <w:rFonts w:cs="Arial"/>
            <w:szCs w:val="20"/>
          </w:rPr>
          <w:t>1,5 cm</w:t>
        </w:r>
      </w:smartTag>
      <w:r w:rsidRPr="006431C4">
        <w:rPr>
          <w:rFonts w:cs="Arial"/>
          <w:szCs w:val="20"/>
        </w:rPr>
        <w:t xml:space="preserve"> wyżej od projektowanej niwelety, ponieważ po procesie ubijania podsypka zagęszcza się.</w:t>
      </w:r>
    </w:p>
    <w:p w14:paraId="13F058DD"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6431C4">
          <w:rPr>
            <w:rFonts w:cs="Arial"/>
            <w:szCs w:val="20"/>
          </w:rPr>
          <w:t>3 mm</w:t>
        </w:r>
      </w:smartTag>
      <w:r w:rsidRPr="006431C4">
        <w:rPr>
          <w:rFonts w:cs="Arial"/>
          <w:szCs w:val="20"/>
        </w:rPr>
        <w:t xml:space="preserve"> do </w:t>
      </w:r>
      <w:smartTag w:uri="urn:schemas-microsoft-com:office:smarttags" w:element="metricconverter">
        <w:smartTagPr>
          <w:attr w:name="ProductID" w:val="5 mm"/>
        </w:smartTagPr>
        <w:r w:rsidRPr="006431C4">
          <w:rPr>
            <w:rFonts w:cs="Arial"/>
            <w:szCs w:val="20"/>
          </w:rPr>
          <w:t>5 mm</w:t>
        </w:r>
      </w:smartTag>
      <w:r w:rsidRPr="006431C4">
        <w:rPr>
          <w:rFonts w:cs="Arial"/>
          <w:szCs w:val="20"/>
        </w:rPr>
        <w:t xml:space="preserve"> powyżej powierzchni tych urządzeń oraz od </w:t>
      </w:r>
      <w:smartTag w:uri="urn:schemas-microsoft-com:office:smarttags" w:element="metricconverter">
        <w:smartTagPr>
          <w:attr w:name="ProductID" w:val="3 mm"/>
        </w:smartTagPr>
        <w:r w:rsidRPr="006431C4">
          <w:rPr>
            <w:rFonts w:cs="Arial"/>
            <w:szCs w:val="20"/>
          </w:rPr>
          <w:t>3 mm</w:t>
        </w:r>
      </w:smartTag>
      <w:r w:rsidRPr="006431C4">
        <w:rPr>
          <w:rFonts w:cs="Arial"/>
          <w:szCs w:val="20"/>
        </w:rPr>
        <w:t xml:space="preserve"> do </w:t>
      </w:r>
      <w:smartTag w:uri="urn:schemas-microsoft-com:office:smarttags" w:element="metricconverter">
        <w:smartTagPr>
          <w:attr w:name="ProductID" w:val="10 mm"/>
        </w:smartTagPr>
        <w:r w:rsidRPr="006431C4">
          <w:rPr>
            <w:rFonts w:cs="Arial"/>
            <w:szCs w:val="20"/>
          </w:rPr>
          <w:t>10 mm</w:t>
        </w:r>
      </w:smartTag>
      <w:r w:rsidRPr="006431C4">
        <w:rPr>
          <w:rFonts w:cs="Arial"/>
          <w:szCs w:val="20"/>
        </w:rPr>
        <w:t xml:space="preserve"> powyżej korytek ściekowych (ścieków).</w:t>
      </w:r>
    </w:p>
    <w:p w14:paraId="068DC665"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Do uzupełnienia przestrzeni przy krawężnikach, obrzeżach i studzienkach należy stosować elementy kostkowe wykończeniowe w postaci tzw. połówek i dziewiątek, mających wszystkie krawędzie równe i odpowiednio fazowane. W przypadku potrzeby kształtek o nietypowych wymiarach, wolną przestrzeń należy uzupełnić kostką ciętą, przycinaną na budowie specjalnymi narzędziami tnącymi (przycinarkami, szlifierkami z tarczą itp.).</w:t>
      </w:r>
    </w:p>
    <w:p w14:paraId="0800B55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Po ułożeniu działki roboczej należy ubić nawierzchnię za pomocą zagęszczarki wibracyjnej (płytowej) z osłoną z tworzywa sztucznego. Do ubicia nawierzchni nie wolno używać walca.</w:t>
      </w:r>
      <w:r w:rsidRPr="006431C4">
        <w:rPr>
          <w:rFonts w:cs="Arial"/>
          <w:szCs w:val="20"/>
        </w:rPr>
        <w:tab/>
        <w:t xml:space="preserve">Ubijanie nawierzchni należy prowadzić od krawędzi </w:t>
      </w:r>
      <w:r w:rsidRPr="006431C4">
        <w:rPr>
          <w:rFonts w:cs="Arial"/>
          <w:szCs w:val="20"/>
        </w:rPr>
        <w:lastRenderedPageBreak/>
        <w:t>powierzchni w kierunku jej środka i jednocześnie w kierunku poprzecznym kształtek. Po ubiciu nawierzchni wszystkie kostki uszkodzone (np. pęknięte) należy wymienić na kostki całe.</w:t>
      </w:r>
    </w:p>
    <w:p w14:paraId="1E3950E7"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Po ułożeniu kostek i ich ubiciu spoiny należy wypełnić kruszywem drobnym (piaskiem). Piasek powinien zostać rozsypany na nawierzchni a następnie wmieciony w spoiny na sucho. </w:t>
      </w:r>
    </w:p>
    <w:p w14:paraId="17E16B49"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6. Kontrola jakości robót</w:t>
      </w:r>
    </w:p>
    <w:p w14:paraId="3DDDA04B"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6.1. Ogólne zasady kontroli jakości robót</w:t>
      </w:r>
    </w:p>
    <w:p w14:paraId="7A5B2FBD"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zasady kontroli jakości robót podano w SST D-M-00.00.00 „Wymagania ogólne” pkt 6.</w:t>
      </w:r>
    </w:p>
    <w:p w14:paraId="17436557"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6.2. Badania przed przystąpieniem do robót</w:t>
      </w:r>
    </w:p>
    <w:p w14:paraId="0F9381DE"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Przed przystąpieniem do robót Wykonawca powinien sprawdzić, czy producent kostek brukowych posiada aprobatę techniczną.</w:t>
      </w:r>
    </w:p>
    <w:p w14:paraId="28E9CB29"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Niezależnie od posiadanego atestu, Wykonawca powinien żądać od producenta wyników bieżących badań wyrobu na ściskanie. Zaleca się, aby do badania wytrzymałości na ściskanie pobierać 6 próbek (kostek) dziennie (przy produkcji dziennej ok. 600 m</w:t>
      </w:r>
      <w:r w:rsidRPr="006431C4">
        <w:rPr>
          <w:rFonts w:cs="Arial"/>
          <w:szCs w:val="20"/>
          <w:vertAlign w:val="superscript"/>
        </w:rPr>
        <w:t>2</w:t>
      </w:r>
      <w:r w:rsidRPr="006431C4">
        <w:rPr>
          <w:rFonts w:cs="Arial"/>
          <w:szCs w:val="20"/>
        </w:rPr>
        <w:t xml:space="preserve"> powierzchni kostek ułożonych w nawierzchni).</w:t>
      </w:r>
    </w:p>
    <w:p w14:paraId="2C23AF80"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6.3.</w:t>
      </w:r>
      <w:r w:rsidRPr="006431C4">
        <w:rPr>
          <w:rFonts w:cs="Arial"/>
          <w:szCs w:val="20"/>
        </w:rPr>
        <w:tab/>
        <w:t>Badania w czasie robót</w:t>
      </w:r>
    </w:p>
    <w:p w14:paraId="70107F8A" w14:textId="77777777" w:rsidR="00B060F9" w:rsidRPr="006431C4" w:rsidRDefault="00B060F9" w:rsidP="00270120">
      <w:pPr>
        <w:numPr>
          <w:ilvl w:val="12"/>
          <w:numId w:val="0"/>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6.3.1. </w:t>
      </w:r>
      <w:r w:rsidRPr="006431C4">
        <w:rPr>
          <w:rFonts w:cs="Arial"/>
          <w:szCs w:val="20"/>
        </w:rPr>
        <w:t>Sprawdzenie podłoża</w:t>
      </w:r>
    </w:p>
    <w:p w14:paraId="43F9BA42" w14:textId="77777777" w:rsidR="00B060F9" w:rsidRPr="006431C4" w:rsidRDefault="00B060F9" w:rsidP="00270120">
      <w:pPr>
        <w:numPr>
          <w:ilvl w:val="12"/>
          <w:numId w:val="0"/>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Sprawdzenie podłoża polega na stwierdzeniu zgodności z dokumentacją projektową i odpowiednimi SST.</w:t>
      </w:r>
    </w:p>
    <w:p w14:paraId="5E6B49D2" w14:textId="77777777" w:rsidR="00B060F9" w:rsidRPr="006431C4" w:rsidRDefault="00B060F9" w:rsidP="00270120">
      <w:pPr>
        <w:numPr>
          <w:ilvl w:val="12"/>
          <w:numId w:val="0"/>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Dopuszczalne tolerancje wynoszą dla:</w:t>
      </w:r>
    </w:p>
    <w:p w14:paraId="54FBE0F1" w14:textId="77777777" w:rsidR="00B060F9" w:rsidRPr="006431C4" w:rsidRDefault="00B060F9" w:rsidP="00270120">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 xml:space="preserve">głębokości koryta: </w:t>
      </w:r>
    </w:p>
    <w:p w14:paraId="5DF16DB8" w14:textId="77777777" w:rsidR="00B060F9" w:rsidRPr="006431C4" w:rsidRDefault="00B060F9" w:rsidP="00270120">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o szerokości do 3 m:</w:t>
      </w:r>
      <w:r w:rsidRPr="006431C4">
        <w:rPr>
          <w:rFonts w:cs="Arial"/>
          <w:szCs w:val="20"/>
        </w:rPr>
        <w:tab/>
        <w:t xml:space="preserve">        </w:t>
      </w:r>
      <w:r w:rsidRPr="006431C4">
        <w:rPr>
          <w:rFonts w:cs="Arial"/>
          <w:szCs w:val="20"/>
        </w:rPr>
        <w:sym w:font="Symbol" w:char="F0B1"/>
      </w:r>
      <w:r w:rsidRPr="006431C4">
        <w:rPr>
          <w:rFonts w:cs="Arial"/>
          <w:szCs w:val="20"/>
        </w:rPr>
        <w:t xml:space="preserve"> 1 cm, </w:t>
      </w:r>
    </w:p>
    <w:p w14:paraId="120B0277" w14:textId="77777777" w:rsidR="00B060F9" w:rsidRPr="006431C4" w:rsidRDefault="00B060F9" w:rsidP="00270120">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 xml:space="preserve">o szerokości powyżej 3 m:   </w:t>
      </w:r>
      <w:r w:rsidRPr="006431C4">
        <w:rPr>
          <w:rFonts w:cs="Arial"/>
          <w:szCs w:val="20"/>
        </w:rPr>
        <w:sym w:font="Symbol" w:char="F0B1"/>
      </w:r>
      <w:r w:rsidRPr="006431C4">
        <w:rPr>
          <w:rFonts w:cs="Arial"/>
          <w:szCs w:val="20"/>
        </w:rPr>
        <w:t xml:space="preserve"> 2 cm,</w:t>
      </w:r>
    </w:p>
    <w:p w14:paraId="4B6A41CF" w14:textId="77777777" w:rsidR="00B060F9" w:rsidRPr="006431C4" w:rsidRDefault="00B060F9" w:rsidP="00270120">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 xml:space="preserve">szerokości koryta: </w:t>
      </w:r>
      <w:r w:rsidRPr="006431C4">
        <w:rPr>
          <w:rFonts w:cs="Arial"/>
          <w:szCs w:val="20"/>
        </w:rPr>
        <w:sym w:font="Symbol" w:char="F0B1"/>
      </w:r>
      <w:r w:rsidRPr="006431C4">
        <w:rPr>
          <w:rFonts w:cs="Arial"/>
          <w:szCs w:val="20"/>
        </w:rPr>
        <w:t xml:space="preserve"> 5 cm.</w:t>
      </w:r>
    </w:p>
    <w:p w14:paraId="466B6CFA" w14:textId="77777777" w:rsidR="00B060F9" w:rsidRPr="006431C4" w:rsidRDefault="00B060F9" w:rsidP="00270120">
      <w:pPr>
        <w:numPr>
          <w:ilvl w:val="12"/>
          <w:numId w:val="0"/>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6.3.2. </w:t>
      </w:r>
      <w:r w:rsidRPr="006431C4">
        <w:rPr>
          <w:rFonts w:cs="Arial"/>
          <w:szCs w:val="20"/>
        </w:rPr>
        <w:t>Sprawdzenie podsypki</w:t>
      </w:r>
    </w:p>
    <w:p w14:paraId="2240974D" w14:textId="77777777" w:rsidR="00B060F9" w:rsidRPr="006431C4" w:rsidRDefault="00B060F9" w:rsidP="00270120">
      <w:pPr>
        <w:numPr>
          <w:ilvl w:val="12"/>
          <w:numId w:val="0"/>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 xml:space="preserve">Sprawdzenie podsypki w zakresie grubości i wymaganych spadków poprzecznych i podłużnych polega na stwierdzeniu zgodności z dokumentacją projektową oraz pkt 5.3 niniejszej SST. </w:t>
      </w:r>
    </w:p>
    <w:p w14:paraId="22F92EB4" w14:textId="77777777" w:rsidR="00B060F9" w:rsidRPr="006431C4" w:rsidRDefault="00B060F9" w:rsidP="00270120">
      <w:pPr>
        <w:numPr>
          <w:ilvl w:val="12"/>
          <w:numId w:val="0"/>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b/>
          <w:szCs w:val="20"/>
        </w:rPr>
        <w:t xml:space="preserve">6.3.3. </w:t>
      </w:r>
      <w:r w:rsidRPr="006431C4">
        <w:rPr>
          <w:rFonts w:cs="Arial"/>
          <w:szCs w:val="20"/>
        </w:rPr>
        <w:t>Sprawdzenie wykonania chodnika</w:t>
      </w:r>
    </w:p>
    <w:p w14:paraId="4C817F0A" w14:textId="77777777" w:rsidR="00B060F9" w:rsidRPr="006431C4" w:rsidRDefault="00B060F9" w:rsidP="00270120">
      <w:pPr>
        <w:numPr>
          <w:ilvl w:val="12"/>
          <w:numId w:val="0"/>
        </w:numPr>
        <w:shd w:val="clear" w:color="auto" w:fill="FFFFFF" w:themeFill="background1"/>
        <w:tabs>
          <w:tab w:val="left" w:pos="142"/>
        </w:tabs>
        <w:overflowPunct w:val="0"/>
        <w:autoSpaceDE w:val="0"/>
        <w:autoSpaceDN w:val="0"/>
        <w:adjustRightInd w:val="0"/>
        <w:spacing w:line="240" w:lineRule="auto"/>
        <w:jc w:val="both"/>
        <w:textAlignment w:val="baseline"/>
        <w:rPr>
          <w:rFonts w:cs="Arial"/>
          <w:szCs w:val="20"/>
        </w:rPr>
      </w:pPr>
      <w:r w:rsidRPr="006431C4">
        <w:rPr>
          <w:rFonts w:cs="Arial"/>
          <w:szCs w:val="20"/>
        </w:rPr>
        <w:t>Sprawdzenie prawidłowości wykonania chodnika z betonowych kostek brukowych  polega na stwierdzeniu zgodności wykonania z dokumentacją projektową oraz wymaganiami pkt 5.5 niniejszej SST:</w:t>
      </w:r>
    </w:p>
    <w:p w14:paraId="1EF37FB2" w14:textId="77777777" w:rsidR="00B060F9" w:rsidRPr="006431C4" w:rsidRDefault="00B060F9" w:rsidP="00270120">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pomierzenie szerokości spoin,</w:t>
      </w:r>
    </w:p>
    <w:p w14:paraId="7E769A10" w14:textId="77777777" w:rsidR="00B060F9" w:rsidRPr="006431C4" w:rsidRDefault="00B060F9" w:rsidP="00270120">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sprawdzenie prawidłowości ubijania (wibrowania),</w:t>
      </w:r>
    </w:p>
    <w:p w14:paraId="2701662E" w14:textId="77777777" w:rsidR="00B060F9" w:rsidRPr="006431C4" w:rsidRDefault="00B060F9" w:rsidP="00270120">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sprawdzenie prawidłowości wypełnienia spoin,</w:t>
      </w:r>
    </w:p>
    <w:p w14:paraId="7BB9AAAE" w14:textId="77777777" w:rsidR="00B060F9" w:rsidRPr="006431C4" w:rsidRDefault="00B060F9" w:rsidP="00270120">
      <w:pPr>
        <w:numPr>
          <w:ilvl w:val="0"/>
          <w:numId w:val="4"/>
        </w:numPr>
        <w:shd w:val="clear" w:color="auto" w:fill="FFFFFF" w:themeFill="background1"/>
        <w:tabs>
          <w:tab w:val="left" w:pos="142"/>
        </w:tabs>
        <w:overflowPunct w:val="0"/>
        <w:autoSpaceDE w:val="0"/>
        <w:autoSpaceDN w:val="0"/>
        <w:adjustRightInd w:val="0"/>
        <w:spacing w:line="240" w:lineRule="auto"/>
        <w:ind w:left="0" w:firstLine="0"/>
        <w:jc w:val="both"/>
        <w:textAlignment w:val="baseline"/>
        <w:rPr>
          <w:rFonts w:cs="Arial"/>
          <w:szCs w:val="20"/>
        </w:rPr>
      </w:pPr>
      <w:r w:rsidRPr="006431C4">
        <w:rPr>
          <w:rFonts w:cs="Arial"/>
          <w:szCs w:val="20"/>
        </w:rPr>
        <w:t>sprawdzenie, czy przyjęty deseń (wzór) i kolor nawierzchni jest zachowany.</w:t>
      </w:r>
    </w:p>
    <w:p w14:paraId="1CD5C95A"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6.4. Sprawdzenie cech geometrycznych chodnika</w:t>
      </w:r>
    </w:p>
    <w:p w14:paraId="509A4A26"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b/>
          <w:szCs w:val="20"/>
        </w:rPr>
        <w:t>6.4.1.</w:t>
      </w:r>
      <w:r w:rsidRPr="006431C4">
        <w:rPr>
          <w:rFonts w:cs="Arial"/>
          <w:b/>
          <w:szCs w:val="20"/>
        </w:rPr>
        <w:tab/>
      </w:r>
      <w:r w:rsidRPr="006431C4">
        <w:rPr>
          <w:rFonts w:cs="Arial"/>
          <w:szCs w:val="20"/>
        </w:rPr>
        <w:t>Sprawdzenie równości chodnika</w:t>
      </w:r>
    </w:p>
    <w:p w14:paraId="4A1B8672"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Sprawdzenie równości nawierzchni przeprowadzać należy łatą co najmniej raz na każde 150 do 300 m</w:t>
      </w:r>
      <w:r w:rsidRPr="006431C4">
        <w:rPr>
          <w:rFonts w:cs="Arial"/>
          <w:szCs w:val="20"/>
          <w:vertAlign w:val="superscript"/>
        </w:rPr>
        <w:t>2</w:t>
      </w:r>
      <w:r w:rsidRPr="006431C4">
        <w:rPr>
          <w:rFonts w:cs="Arial"/>
          <w:szCs w:val="20"/>
        </w:rPr>
        <w:t xml:space="preserve"> ułożonego chodnika i w miejscach wątpliwych, jednak nie rzadziej niż raz na 50 m chodnika. Dopuszczalny prześwit pod łatą 4 m nie powinien przekraczać 1,0 cm.</w:t>
      </w:r>
    </w:p>
    <w:p w14:paraId="1D0199CF"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b/>
          <w:szCs w:val="20"/>
        </w:rPr>
        <w:t>6.4.2.</w:t>
      </w:r>
      <w:r w:rsidRPr="006431C4">
        <w:rPr>
          <w:rFonts w:cs="Arial"/>
          <w:b/>
          <w:szCs w:val="20"/>
        </w:rPr>
        <w:tab/>
      </w:r>
      <w:r w:rsidRPr="006431C4">
        <w:rPr>
          <w:rFonts w:cs="Arial"/>
          <w:szCs w:val="20"/>
        </w:rPr>
        <w:t>Sprawdzenie profilu podłużnego</w:t>
      </w:r>
    </w:p>
    <w:p w14:paraId="61765E3B"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Sprawdzenie profilu podłużnego przeprowadzać należy za pomocą niwelacji, biorąc pod uwagę punkty charakterystyczne, jednak nie rzadziej niż co 100 m.</w:t>
      </w:r>
    </w:p>
    <w:p w14:paraId="1509FAF1"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Odchylenia od projektowanej niwelety chodnika w punktach załamania niwelety nie mogą przekraczać </w:t>
      </w:r>
      <w:r w:rsidRPr="006431C4">
        <w:rPr>
          <w:rFonts w:cs="Arial"/>
          <w:szCs w:val="20"/>
        </w:rPr>
        <w:sym w:font="Symbol" w:char="F0B1"/>
      </w:r>
      <w:r w:rsidRPr="006431C4">
        <w:rPr>
          <w:rFonts w:cs="Arial"/>
          <w:szCs w:val="20"/>
        </w:rPr>
        <w:t xml:space="preserve"> 3 cm.</w:t>
      </w:r>
    </w:p>
    <w:p w14:paraId="3AECAC8B"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b/>
          <w:szCs w:val="20"/>
        </w:rPr>
        <w:t>6.4.3.</w:t>
      </w:r>
      <w:r w:rsidRPr="006431C4">
        <w:rPr>
          <w:rFonts w:cs="Arial"/>
          <w:b/>
          <w:szCs w:val="20"/>
        </w:rPr>
        <w:tab/>
      </w:r>
      <w:r w:rsidRPr="006431C4">
        <w:rPr>
          <w:rFonts w:cs="Arial"/>
          <w:szCs w:val="20"/>
        </w:rPr>
        <w:t>Sprawdzenie przekroju poprzecznego</w:t>
      </w:r>
    </w:p>
    <w:p w14:paraId="24A424CB"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Sprawdzenie przekroju poprzecznego dokonywać należy szablonem z poziomicą, co najmniej raz na każde 150 do 300 m</w:t>
      </w:r>
      <w:r w:rsidRPr="006431C4">
        <w:rPr>
          <w:rFonts w:cs="Arial"/>
          <w:szCs w:val="20"/>
          <w:vertAlign w:val="superscript"/>
        </w:rPr>
        <w:t>2</w:t>
      </w:r>
      <w:r w:rsidRPr="006431C4">
        <w:rPr>
          <w:rFonts w:cs="Arial"/>
          <w:szCs w:val="20"/>
        </w:rPr>
        <w:t xml:space="preserve"> chodnika i w miejscach wątpliwych, jednak nie rzadziej niż co 50 m. Dopuszczalne odchylenia od projektowanego profilu wynoszą </w:t>
      </w:r>
      <w:r w:rsidRPr="006431C4">
        <w:rPr>
          <w:rFonts w:cs="Arial"/>
          <w:szCs w:val="20"/>
        </w:rPr>
        <w:sym w:font="Symbol" w:char="F0B1"/>
      </w:r>
      <w:r w:rsidRPr="006431C4">
        <w:rPr>
          <w:rFonts w:cs="Arial"/>
          <w:szCs w:val="20"/>
        </w:rPr>
        <w:t xml:space="preserve"> 0,3%.</w:t>
      </w:r>
    </w:p>
    <w:p w14:paraId="4824407C"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7. OBMIAR ROBÓT</w:t>
      </w:r>
    </w:p>
    <w:p w14:paraId="31CAAC7D"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7.1. Ogólne zasady obmiaru robót</w:t>
      </w:r>
    </w:p>
    <w:p w14:paraId="4748104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zasady obmiaru robót podano w SST D-M-00.00.00 „Wymagania ogólne” pkt 7.</w:t>
      </w:r>
    </w:p>
    <w:p w14:paraId="32A5379B"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7.2. Jednostka obmiarowa</w:t>
      </w:r>
    </w:p>
    <w:p w14:paraId="0752F78D"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Jednostką obmiarową jest m</w:t>
      </w:r>
      <w:r w:rsidRPr="006431C4">
        <w:rPr>
          <w:rFonts w:cs="Arial"/>
          <w:szCs w:val="20"/>
          <w:vertAlign w:val="superscript"/>
        </w:rPr>
        <w:t>2</w:t>
      </w:r>
      <w:r w:rsidRPr="006431C4">
        <w:rPr>
          <w:rFonts w:cs="Arial"/>
          <w:szCs w:val="20"/>
        </w:rPr>
        <w:t xml:space="preserve"> (metr kwadratowy) wykonanego chodnika z brukowej kostki betonowej.</w:t>
      </w:r>
    </w:p>
    <w:p w14:paraId="14EF7F38"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8. ODBIÓR ROBÓT</w:t>
      </w:r>
    </w:p>
    <w:p w14:paraId="42F03427"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zasady odbioru robót podano w SST D-M-00.00.00 „Wymagania ogólne” pkt 8.</w:t>
      </w:r>
    </w:p>
    <w:p w14:paraId="140D8779"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Roboty uznaje się za wykonane zgodnie z dokumentacją projektową, SST i wymaganiami Inżyniera, jeżeli wszystkie pomiary i badania z zachowaniem tolerancji wg pkt 6 dały wyniki pozytywne.</w:t>
      </w:r>
    </w:p>
    <w:p w14:paraId="6612F57C"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9. PODSTAWA PŁATNOŚCI</w:t>
      </w:r>
    </w:p>
    <w:p w14:paraId="00608FA9"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9.1. Ogólne ustalenia dotyczące podstawy płatności</w:t>
      </w:r>
    </w:p>
    <w:p w14:paraId="1373F24E"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ustalenia dotyczące podstawy płatności podano w SST D-M-00.00.00 „Wymagania ogólne” pkt 9.</w:t>
      </w:r>
    </w:p>
    <w:p w14:paraId="62235EBF"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9.2. Cena jednostki obmiarowej</w:t>
      </w:r>
    </w:p>
    <w:p w14:paraId="01F6A761"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Cena wykonania 1 m</w:t>
      </w:r>
      <w:r w:rsidRPr="006431C4">
        <w:rPr>
          <w:rFonts w:cs="Arial"/>
          <w:szCs w:val="20"/>
          <w:vertAlign w:val="superscript"/>
        </w:rPr>
        <w:t>2</w:t>
      </w:r>
      <w:r w:rsidRPr="006431C4">
        <w:rPr>
          <w:rFonts w:cs="Arial"/>
          <w:szCs w:val="20"/>
        </w:rPr>
        <w:t xml:space="preserve"> chodnika z brukowej kostki betonowej obejmuje:</w:t>
      </w:r>
    </w:p>
    <w:p w14:paraId="6E7FDFB2"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prace pomiarowe i roboty przygotowawcze,</w:t>
      </w:r>
    </w:p>
    <w:p w14:paraId="3AB596FE"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dostarczenie materiałów na miejsce wbudowania,</w:t>
      </w:r>
    </w:p>
    <w:p w14:paraId="636E6B42"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wykonanie koryta,</w:t>
      </w:r>
    </w:p>
    <w:p w14:paraId="1E15ACC7"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ew. wykonanie warstwy odsączającej,</w:t>
      </w:r>
    </w:p>
    <w:p w14:paraId="4092140D"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wykonanie podsypki,</w:t>
      </w:r>
    </w:p>
    <w:p w14:paraId="3F1814AF"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lastRenderedPageBreak/>
        <w:t>ułożenie kostki brukowej wraz z zagęszczeniem i wypełnieniem szczelin,</w:t>
      </w:r>
    </w:p>
    <w:p w14:paraId="19DE4EE0"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przeprowadzenie badań i pomiarów wymaganych w specyfikacji technicznej.</w:t>
      </w:r>
    </w:p>
    <w:p w14:paraId="00849DED"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10. przepisy związane</w:t>
      </w:r>
    </w:p>
    <w:p w14:paraId="7AAB4990" w14:textId="77777777" w:rsidR="00B060F9" w:rsidRPr="006431C4" w:rsidRDefault="00B060F9" w:rsidP="00270120">
      <w:pPr>
        <w:keepNext/>
        <w:numPr>
          <w:ilvl w:val="12"/>
          <w:numId w:val="0"/>
        </w:numPr>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1842"/>
        <w:gridCol w:w="7727"/>
      </w:tblGrid>
      <w:tr w:rsidR="00B060F9" w:rsidRPr="006431C4" w14:paraId="42BFD327" w14:textId="77777777" w:rsidTr="00D032BE">
        <w:tc>
          <w:tcPr>
            <w:tcW w:w="496" w:type="dxa"/>
          </w:tcPr>
          <w:p w14:paraId="1832098F"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1.</w:t>
            </w:r>
          </w:p>
        </w:tc>
        <w:tc>
          <w:tcPr>
            <w:tcW w:w="1842" w:type="dxa"/>
          </w:tcPr>
          <w:p w14:paraId="52A575B6"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PN-B-04111</w:t>
            </w:r>
          </w:p>
        </w:tc>
        <w:tc>
          <w:tcPr>
            <w:tcW w:w="7727" w:type="dxa"/>
          </w:tcPr>
          <w:p w14:paraId="30A19AE3"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Materiały kamienne. Oznaczanie ścieralności na tarczy Boehmego</w:t>
            </w:r>
          </w:p>
        </w:tc>
      </w:tr>
      <w:tr w:rsidR="00B060F9" w:rsidRPr="006431C4" w14:paraId="485CB866" w14:textId="77777777" w:rsidTr="00D032BE">
        <w:tc>
          <w:tcPr>
            <w:tcW w:w="496" w:type="dxa"/>
          </w:tcPr>
          <w:p w14:paraId="54144D18"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2.</w:t>
            </w:r>
          </w:p>
        </w:tc>
        <w:tc>
          <w:tcPr>
            <w:tcW w:w="1842" w:type="dxa"/>
          </w:tcPr>
          <w:p w14:paraId="29DE67F7"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PN-B-06250</w:t>
            </w:r>
          </w:p>
        </w:tc>
        <w:tc>
          <w:tcPr>
            <w:tcW w:w="7727" w:type="dxa"/>
          </w:tcPr>
          <w:p w14:paraId="544724D4"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Beton zwykły</w:t>
            </w:r>
          </w:p>
        </w:tc>
      </w:tr>
      <w:tr w:rsidR="00B060F9" w:rsidRPr="006431C4" w14:paraId="3B56B1CC" w14:textId="77777777" w:rsidTr="00D032BE">
        <w:tc>
          <w:tcPr>
            <w:tcW w:w="496" w:type="dxa"/>
          </w:tcPr>
          <w:p w14:paraId="281B03A9"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3.</w:t>
            </w:r>
          </w:p>
        </w:tc>
        <w:tc>
          <w:tcPr>
            <w:tcW w:w="1842" w:type="dxa"/>
          </w:tcPr>
          <w:p w14:paraId="2F6845BC"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PN-B-06712</w:t>
            </w:r>
          </w:p>
        </w:tc>
        <w:tc>
          <w:tcPr>
            <w:tcW w:w="7727" w:type="dxa"/>
          </w:tcPr>
          <w:p w14:paraId="4E4800E2"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Kruszywa mineralne do betonu zwykłego</w:t>
            </w:r>
          </w:p>
        </w:tc>
      </w:tr>
      <w:tr w:rsidR="00B060F9" w:rsidRPr="006431C4" w14:paraId="653D7531" w14:textId="77777777" w:rsidTr="00D032BE">
        <w:tc>
          <w:tcPr>
            <w:tcW w:w="496" w:type="dxa"/>
          </w:tcPr>
          <w:p w14:paraId="07EFB4D5"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lang w:val="en-US"/>
              </w:rPr>
            </w:pPr>
            <w:r w:rsidRPr="006431C4">
              <w:rPr>
                <w:rFonts w:cs="Arial"/>
                <w:szCs w:val="20"/>
                <w:lang w:val="en-US"/>
              </w:rPr>
              <w:t>4.</w:t>
            </w:r>
          </w:p>
        </w:tc>
        <w:tc>
          <w:tcPr>
            <w:tcW w:w="1842" w:type="dxa"/>
          </w:tcPr>
          <w:p w14:paraId="11F8FB11"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lang w:val="en-US"/>
              </w:rPr>
            </w:pPr>
            <w:r w:rsidRPr="006431C4">
              <w:rPr>
                <w:rFonts w:cs="Arial"/>
                <w:szCs w:val="20"/>
                <w:lang w:val="en-US"/>
              </w:rPr>
              <w:t>PN-B-19701</w:t>
            </w:r>
          </w:p>
        </w:tc>
        <w:tc>
          <w:tcPr>
            <w:tcW w:w="7727" w:type="dxa"/>
          </w:tcPr>
          <w:p w14:paraId="17C46AAF"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Cement. Cement powszechnego użytku. Skład, wymagania i ocena zgodności</w:t>
            </w:r>
          </w:p>
        </w:tc>
      </w:tr>
      <w:tr w:rsidR="00B060F9" w:rsidRPr="006431C4" w14:paraId="3ECF4692" w14:textId="77777777" w:rsidTr="00D032BE">
        <w:tc>
          <w:tcPr>
            <w:tcW w:w="496" w:type="dxa"/>
          </w:tcPr>
          <w:p w14:paraId="01C5CCCB"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5.</w:t>
            </w:r>
          </w:p>
        </w:tc>
        <w:tc>
          <w:tcPr>
            <w:tcW w:w="1842" w:type="dxa"/>
          </w:tcPr>
          <w:p w14:paraId="1C4E421E"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PN-B-32250</w:t>
            </w:r>
          </w:p>
        </w:tc>
        <w:tc>
          <w:tcPr>
            <w:tcW w:w="7727" w:type="dxa"/>
          </w:tcPr>
          <w:p w14:paraId="014B3F7D"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Materiały budowlane. Woda do betonów i zapraw</w:t>
            </w:r>
          </w:p>
        </w:tc>
      </w:tr>
      <w:tr w:rsidR="00B060F9" w:rsidRPr="006431C4" w14:paraId="469EBE93" w14:textId="77777777" w:rsidTr="00D032BE">
        <w:tc>
          <w:tcPr>
            <w:tcW w:w="496" w:type="dxa"/>
          </w:tcPr>
          <w:p w14:paraId="30D336AB"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6.</w:t>
            </w:r>
          </w:p>
        </w:tc>
        <w:tc>
          <w:tcPr>
            <w:tcW w:w="1842" w:type="dxa"/>
          </w:tcPr>
          <w:p w14:paraId="31E50514"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BN-68/8931-01</w:t>
            </w:r>
          </w:p>
        </w:tc>
        <w:tc>
          <w:tcPr>
            <w:tcW w:w="7727" w:type="dxa"/>
          </w:tcPr>
          <w:p w14:paraId="3A00AAA1"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Drogi samochodowe. Oznaczenie wskaźnika piaskowego.</w:t>
            </w:r>
          </w:p>
        </w:tc>
      </w:tr>
      <w:tr w:rsidR="00B060F9" w:rsidRPr="006431C4" w14:paraId="21B1D5F7" w14:textId="77777777" w:rsidTr="00D032BE">
        <w:tc>
          <w:tcPr>
            <w:tcW w:w="496" w:type="dxa"/>
          </w:tcPr>
          <w:p w14:paraId="5301F04F"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7</w:t>
            </w:r>
          </w:p>
        </w:tc>
        <w:tc>
          <w:tcPr>
            <w:tcW w:w="1842" w:type="dxa"/>
          </w:tcPr>
          <w:p w14:paraId="0C6CD78D"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r w:rsidRPr="006431C4">
              <w:rPr>
                <w:rFonts w:cs="Arial"/>
                <w:szCs w:val="20"/>
              </w:rPr>
              <w:t>PN-EN 1338:2005</w:t>
            </w:r>
          </w:p>
        </w:tc>
        <w:tc>
          <w:tcPr>
            <w:tcW w:w="7727" w:type="dxa"/>
          </w:tcPr>
          <w:p w14:paraId="4695EF53" w14:textId="77777777" w:rsidR="00B060F9" w:rsidRPr="006431C4" w:rsidRDefault="00B060F9" w:rsidP="00270120">
            <w:pPr>
              <w:shd w:val="clear" w:color="auto" w:fill="FFFFFF" w:themeFill="background1"/>
              <w:tabs>
                <w:tab w:val="left" w:pos="142"/>
              </w:tabs>
              <w:overflowPunct w:val="0"/>
              <w:autoSpaceDE w:val="0"/>
              <w:autoSpaceDN w:val="0"/>
              <w:adjustRightInd w:val="0"/>
              <w:spacing w:line="240" w:lineRule="auto"/>
              <w:jc w:val="both"/>
              <w:rPr>
                <w:rFonts w:cs="Arial"/>
                <w:szCs w:val="20"/>
              </w:rPr>
            </w:pPr>
            <w:r w:rsidRPr="006431C4">
              <w:rPr>
                <w:rFonts w:cs="Arial"/>
                <w:szCs w:val="20"/>
              </w:rPr>
              <w:t>Betonowe kostki brukowe - Wymagania i metody badań</w:t>
            </w:r>
          </w:p>
          <w:p w14:paraId="010B185A" w14:textId="77777777" w:rsidR="00B060F9" w:rsidRPr="006431C4" w:rsidRDefault="00B060F9" w:rsidP="00270120">
            <w:pPr>
              <w:numPr>
                <w:ilvl w:val="12"/>
                <w:numId w:val="0"/>
              </w:numPr>
              <w:shd w:val="clear" w:color="auto" w:fill="FFFFFF" w:themeFill="background1"/>
              <w:tabs>
                <w:tab w:val="left" w:pos="142"/>
              </w:tabs>
              <w:spacing w:line="240" w:lineRule="auto"/>
              <w:jc w:val="both"/>
              <w:rPr>
                <w:rFonts w:cs="Arial"/>
                <w:szCs w:val="20"/>
              </w:rPr>
            </w:pPr>
          </w:p>
        </w:tc>
      </w:tr>
    </w:tbl>
    <w:p w14:paraId="0AE9DB7F" w14:textId="77777777" w:rsidR="00B060F9" w:rsidRPr="006431C4" w:rsidRDefault="00B060F9" w:rsidP="00270120">
      <w:pPr>
        <w:pStyle w:val="Nagwek4"/>
        <w:shd w:val="clear" w:color="auto" w:fill="FFFFFF" w:themeFill="background1"/>
        <w:spacing w:line="240" w:lineRule="auto"/>
        <w:jc w:val="both"/>
        <w:rPr>
          <w:rFonts w:cs="Arial"/>
        </w:rPr>
      </w:pPr>
      <w:bookmarkStart w:id="1078" w:name="_Toc465277793"/>
      <w:bookmarkStart w:id="1079" w:name="_Toc111635995"/>
      <w:r w:rsidRPr="006431C4">
        <w:rPr>
          <w:rFonts w:cs="Arial"/>
        </w:rPr>
        <w:t>D-08.03.01 - BETONOWE  OBRZEŻA  CHODNIKOWE</w:t>
      </w:r>
      <w:bookmarkEnd w:id="1078"/>
      <w:bookmarkEnd w:id="1079"/>
    </w:p>
    <w:p w14:paraId="48963F4C"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bookmarkStart w:id="1080" w:name="_Toc426531382"/>
      <w:r w:rsidRPr="006431C4">
        <w:rPr>
          <w:rFonts w:cs="Arial"/>
          <w:b/>
          <w:bCs/>
          <w:szCs w:val="20"/>
        </w:rPr>
        <w:t>1. WSTĘP</w:t>
      </w:r>
      <w:bookmarkEnd w:id="1080"/>
    </w:p>
    <w:p w14:paraId="47072E3C"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1.1. Przedmiot SST</w:t>
      </w:r>
    </w:p>
    <w:p w14:paraId="798595A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Przedmiotem niniejszej szczegółowej specyfikacji technicznej są wymagania dotyczące wykonania i odbioru robót związanych z ustawieniem betonowego obrzeża chodnikowego.</w:t>
      </w:r>
    </w:p>
    <w:p w14:paraId="14CB0A0D"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1.2. Zakres stosowania SST</w:t>
      </w:r>
    </w:p>
    <w:p w14:paraId="4C4D5B3B"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460005343"/>
        <w:placeholder>
          <w:docPart w:val="70D6A397E119408C882F398C3B546AFE"/>
        </w:placeholder>
        <w:dataBinding w:prefixMappings="xmlns:ns0='http://purl.org/dc/elements/1.1/' xmlns:ns1='http://schemas.openxmlformats.org/package/2006/metadata/core-properties' " w:xpath="/ns1:coreProperties[1]/ns0:subject[1]" w:storeItemID="{6C3C8BC8-F283-45AE-878A-BAB7291924A1}"/>
        <w:text/>
      </w:sdtPr>
      <w:sdtEndPr/>
      <w:sdtContent>
        <w:p w14:paraId="4EB1BD5A" w14:textId="60985617" w:rsidR="00B060F9" w:rsidRPr="006431C4" w:rsidRDefault="00484E05" w:rsidP="00270120">
          <w:pPr>
            <w:shd w:val="clear" w:color="auto" w:fill="FFFFFF" w:themeFill="background1"/>
            <w:tabs>
              <w:tab w:val="left" w:pos="142"/>
            </w:tabs>
            <w:spacing w:line="240" w:lineRule="auto"/>
            <w:jc w:val="both"/>
            <w:rPr>
              <w:rFonts w:cs="Arial"/>
              <w:szCs w:val="20"/>
            </w:rPr>
          </w:pPr>
          <w:r>
            <w:rPr>
              <w:rFonts w:cs="Arial"/>
              <w:szCs w:val="20"/>
            </w:rPr>
            <w:t>„Przebudowa drogi wojewódzkiej nr 957 w miejscowości Jabłonka odc. referencyjny 100 w km 9+073.78 - 9+279.58 (budowa chodnika) "</w:t>
          </w:r>
        </w:p>
      </w:sdtContent>
    </w:sdt>
    <w:p w14:paraId="13B9F426"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1.3. Zakres robót objętych SST</w:t>
      </w:r>
    </w:p>
    <w:p w14:paraId="5FD81019"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Ustalenia zawarte w niniejszej szczegółowej specyfikacji dotyczą zasad prowadzenia robót związanych z ustawieniem betonowego obrzeża chodnikowego.</w:t>
      </w:r>
    </w:p>
    <w:p w14:paraId="7EEE750E"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1.4. Określenia podstawowe</w:t>
      </w:r>
    </w:p>
    <w:p w14:paraId="1D0DA275"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b/>
          <w:szCs w:val="20"/>
        </w:rPr>
        <w:t>1.4.1.</w:t>
      </w:r>
      <w:r w:rsidRPr="006431C4">
        <w:rPr>
          <w:rFonts w:cs="Arial"/>
          <w:b/>
          <w:szCs w:val="20"/>
        </w:rPr>
        <w:tab/>
      </w:r>
      <w:r w:rsidRPr="006431C4">
        <w:rPr>
          <w:rFonts w:cs="Arial"/>
          <w:szCs w:val="20"/>
        </w:rPr>
        <w:t>Obrzeża chodnikowe - prefabrykowane belki betonowe rozgraniczające jednostronnie lub dwustronnie ciągi komunikacyjne od terenów nie przeznaczonych do komunikacji.</w:t>
      </w:r>
    </w:p>
    <w:p w14:paraId="2F1E2C76"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b/>
          <w:szCs w:val="20"/>
        </w:rPr>
        <w:t>1.4.2.</w:t>
      </w:r>
      <w:r w:rsidRPr="006431C4">
        <w:rPr>
          <w:rFonts w:cs="Arial"/>
          <w:b/>
          <w:szCs w:val="20"/>
        </w:rPr>
        <w:tab/>
      </w:r>
      <w:r w:rsidRPr="006431C4">
        <w:rPr>
          <w:rFonts w:cs="Arial"/>
          <w:szCs w:val="20"/>
        </w:rPr>
        <w:t>Pozostałe określenia podstawowe są zgodne z obowiązującymi, odpowiednimi polskimi normami  i definicjami podanymi w SST D-M-00.00.00 „Wymagania ogólne”        pkt 1.4.</w:t>
      </w:r>
    </w:p>
    <w:p w14:paraId="339C690F"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1.5. Ogólne wymagania dotyczące robót</w:t>
      </w:r>
    </w:p>
    <w:p w14:paraId="12773526"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wymagania dotyczące robót podano w SST D-M-00.00.00 „Wymagania ogólne” pkt 1.5.</w:t>
      </w:r>
    </w:p>
    <w:p w14:paraId="023EBE56"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bookmarkStart w:id="1081" w:name="_Toc425567015"/>
      <w:bookmarkStart w:id="1082" w:name="_Toc426531383"/>
      <w:r w:rsidRPr="006431C4">
        <w:rPr>
          <w:rFonts w:cs="Arial"/>
          <w:b/>
          <w:bCs/>
          <w:szCs w:val="20"/>
        </w:rPr>
        <w:t>2. MATERIAŁY</w:t>
      </w:r>
      <w:bookmarkEnd w:id="1081"/>
      <w:bookmarkEnd w:id="1082"/>
    </w:p>
    <w:p w14:paraId="3C18A051"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2.1. Ogólne wymagania dotyczące materiałów</w:t>
      </w:r>
    </w:p>
    <w:p w14:paraId="17CB0A50"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wymagania dotyczące materiałów, ich pozyskiwania i składowania podano w SST D-M-00.00.00 „Wymagania ogólne” pkt 2.</w:t>
      </w:r>
    </w:p>
    <w:p w14:paraId="63576318"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bookmarkStart w:id="1083" w:name="_Toc426531384"/>
      <w:r w:rsidRPr="006431C4">
        <w:rPr>
          <w:rFonts w:cs="Arial"/>
          <w:szCs w:val="20"/>
        </w:rPr>
        <w:t>2.2.1.</w:t>
      </w:r>
      <w:r w:rsidRPr="006431C4">
        <w:rPr>
          <w:rFonts w:cs="Arial"/>
          <w:szCs w:val="20"/>
        </w:rPr>
        <w:tab/>
        <w:t>Obrzeża betonowe</w:t>
      </w:r>
    </w:p>
    <w:p w14:paraId="2A818D3A"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Obrze</w:t>
      </w:r>
      <w:r w:rsidRPr="006431C4">
        <w:rPr>
          <w:rFonts w:eastAsia="TimesNewRoman" w:cs="Arial"/>
          <w:szCs w:val="20"/>
        </w:rPr>
        <w:t>ż</w:t>
      </w:r>
      <w:r w:rsidRPr="006431C4">
        <w:rPr>
          <w:rFonts w:cs="Arial"/>
          <w:szCs w:val="20"/>
        </w:rPr>
        <w:t>a betonowe o wymiarach 6x20x100 cm powinny odpowiada</w:t>
      </w:r>
      <w:r w:rsidRPr="006431C4">
        <w:rPr>
          <w:rFonts w:eastAsia="TimesNewRoman" w:cs="Arial"/>
          <w:szCs w:val="20"/>
        </w:rPr>
        <w:t xml:space="preserve">ć </w:t>
      </w:r>
      <w:r w:rsidRPr="006431C4">
        <w:rPr>
          <w:rFonts w:cs="Arial"/>
          <w:szCs w:val="20"/>
        </w:rPr>
        <w:t>wymaganiom normy PN-EN 1340 [6].</w:t>
      </w:r>
    </w:p>
    <w:p w14:paraId="4713A710"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Nasi</w:t>
      </w:r>
      <w:r w:rsidRPr="006431C4">
        <w:rPr>
          <w:rFonts w:eastAsia="TimesNewRoman" w:cs="Arial"/>
          <w:szCs w:val="20"/>
        </w:rPr>
        <w:t>ą</w:t>
      </w:r>
      <w:r w:rsidRPr="006431C4">
        <w:rPr>
          <w:rFonts w:cs="Arial"/>
          <w:szCs w:val="20"/>
        </w:rPr>
        <w:t>kliwo</w:t>
      </w:r>
      <w:r w:rsidRPr="006431C4">
        <w:rPr>
          <w:rFonts w:eastAsia="TimesNewRoman" w:cs="Arial"/>
          <w:szCs w:val="20"/>
        </w:rPr>
        <w:t xml:space="preserve">ść </w:t>
      </w:r>
      <w:r w:rsidRPr="006431C4">
        <w:rPr>
          <w:rFonts w:cs="Arial"/>
          <w:szCs w:val="20"/>
        </w:rPr>
        <w:t>wg PN-EN 1340 [6] nie powinna by</w:t>
      </w:r>
      <w:r w:rsidRPr="006431C4">
        <w:rPr>
          <w:rFonts w:eastAsia="TimesNewRoman" w:cs="Arial"/>
          <w:szCs w:val="20"/>
        </w:rPr>
        <w:t xml:space="preserve">ć </w:t>
      </w:r>
      <w:r w:rsidRPr="006431C4">
        <w:rPr>
          <w:rFonts w:cs="Arial"/>
          <w:szCs w:val="20"/>
        </w:rPr>
        <w:t>wi</w:t>
      </w:r>
      <w:r w:rsidRPr="006431C4">
        <w:rPr>
          <w:rFonts w:eastAsia="TimesNewRoman" w:cs="Arial"/>
          <w:szCs w:val="20"/>
        </w:rPr>
        <w:t>ę</w:t>
      </w:r>
      <w:r w:rsidRPr="006431C4">
        <w:rPr>
          <w:rFonts w:cs="Arial"/>
          <w:szCs w:val="20"/>
        </w:rPr>
        <w:t>ksza ni</w:t>
      </w:r>
      <w:r w:rsidRPr="006431C4">
        <w:rPr>
          <w:rFonts w:eastAsia="TimesNewRoman" w:cs="Arial"/>
          <w:szCs w:val="20"/>
        </w:rPr>
        <w:t xml:space="preserve">ż </w:t>
      </w:r>
      <w:r w:rsidRPr="006431C4">
        <w:rPr>
          <w:rFonts w:cs="Arial"/>
          <w:szCs w:val="20"/>
        </w:rPr>
        <w:t>5 %.</w:t>
      </w:r>
    </w:p>
    <w:p w14:paraId="57FCE51B"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Odporno</w:t>
      </w:r>
      <w:r w:rsidRPr="006431C4">
        <w:rPr>
          <w:rFonts w:eastAsia="TimesNewRoman" w:cs="Arial"/>
          <w:szCs w:val="20"/>
        </w:rPr>
        <w:t xml:space="preserve">ść </w:t>
      </w:r>
      <w:r w:rsidRPr="006431C4">
        <w:rPr>
          <w:rFonts w:cs="Arial"/>
          <w:szCs w:val="20"/>
        </w:rPr>
        <w:t>na zamra</w:t>
      </w:r>
      <w:r w:rsidRPr="006431C4">
        <w:rPr>
          <w:rFonts w:eastAsia="TimesNewRoman" w:cs="Arial"/>
          <w:szCs w:val="20"/>
        </w:rPr>
        <w:t>ż</w:t>
      </w:r>
      <w:r w:rsidRPr="006431C4">
        <w:rPr>
          <w:rFonts w:cs="Arial"/>
          <w:szCs w:val="20"/>
        </w:rPr>
        <w:t>anie/rozmra</w:t>
      </w:r>
      <w:r w:rsidRPr="006431C4">
        <w:rPr>
          <w:rFonts w:eastAsia="TimesNewRoman" w:cs="Arial"/>
          <w:szCs w:val="20"/>
        </w:rPr>
        <w:t>ż</w:t>
      </w:r>
      <w:r w:rsidRPr="006431C4">
        <w:rPr>
          <w:rFonts w:cs="Arial"/>
          <w:szCs w:val="20"/>
        </w:rPr>
        <w:t>anie z udziałem soli odladzaj</w:t>
      </w:r>
      <w:r w:rsidRPr="006431C4">
        <w:rPr>
          <w:rFonts w:eastAsia="TimesNewRoman" w:cs="Arial"/>
          <w:szCs w:val="20"/>
        </w:rPr>
        <w:t>ą</w:t>
      </w:r>
      <w:r w:rsidRPr="006431C4">
        <w:rPr>
          <w:rFonts w:cs="Arial"/>
          <w:szCs w:val="20"/>
        </w:rPr>
        <w:t xml:space="preserve">cych zgodnie z PN-EN 1340 [6] £ 1,0 kg/m2 przy czym </w:t>
      </w:r>
      <w:r w:rsidRPr="006431C4">
        <w:rPr>
          <w:rFonts w:eastAsia="TimesNewRoman" w:cs="Arial"/>
          <w:szCs w:val="20"/>
        </w:rPr>
        <w:t>ż</w:t>
      </w:r>
      <w:r w:rsidRPr="006431C4">
        <w:rPr>
          <w:rFonts w:cs="Arial"/>
          <w:szCs w:val="20"/>
        </w:rPr>
        <w:t>aden pojedynczy wynik nie powinien by</w:t>
      </w:r>
      <w:r w:rsidRPr="006431C4">
        <w:rPr>
          <w:rFonts w:eastAsia="TimesNewRoman" w:cs="Arial"/>
          <w:szCs w:val="20"/>
        </w:rPr>
        <w:t xml:space="preserve">ć </w:t>
      </w:r>
      <w:r w:rsidRPr="006431C4">
        <w:rPr>
          <w:rFonts w:cs="Arial"/>
          <w:szCs w:val="20"/>
        </w:rPr>
        <w:t>wi</w:t>
      </w:r>
      <w:r w:rsidRPr="006431C4">
        <w:rPr>
          <w:rFonts w:eastAsia="TimesNewRoman" w:cs="Arial"/>
          <w:szCs w:val="20"/>
        </w:rPr>
        <w:t>ę</w:t>
      </w:r>
      <w:r w:rsidRPr="006431C4">
        <w:rPr>
          <w:rFonts w:cs="Arial"/>
          <w:szCs w:val="20"/>
        </w:rPr>
        <w:t>kszy od 1,5 kg/m2.</w:t>
      </w:r>
    </w:p>
    <w:p w14:paraId="1BEE23EA"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Warto</w:t>
      </w:r>
      <w:r w:rsidRPr="006431C4">
        <w:rPr>
          <w:rFonts w:eastAsia="TimesNewRoman" w:cs="Arial"/>
          <w:szCs w:val="20"/>
        </w:rPr>
        <w:t xml:space="preserve">ść </w:t>
      </w:r>
      <w:r w:rsidRPr="006431C4">
        <w:rPr>
          <w:rFonts w:cs="Arial"/>
          <w:szCs w:val="20"/>
        </w:rPr>
        <w:t>charakterystycznej wytrzymało</w:t>
      </w:r>
      <w:r w:rsidRPr="006431C4">
        <w:rPr>
          <w:rFonts w:eastAsia="TimesNewRoman" w:cs="Arial"/>
          <w:szCs w:val="20"/>
        </w:rPr>
        <w:t>ś</w:t>
      </w:r>
      <w:r w:rsidRPr="006431C4">
        <w:rPr>
          <w:rFonts w:cs="Arial"/>
          <w:szCs w:val="20"/>
        </w:rPr>
        <w:t>ci na zginanie zgodnie z PN-EN 1340 [6] nie powinna by</w:t>
      </w:r>
      <w:r w:rsidRPr="006431C4">
        <w:rPr>
          <w:rFonts w:eastAsia="TimesNewRoman" w:cs="Arial"/>
          <w:szCs w:val="20"/>
        </w:rPr>
        <w:t xml:space="preserve">ć </w:t>
      </w:r>
      <w:r w:rsidRPr="006431C4">
        <w:rPr>
          <w:rFonts w:cs="Arial"/>
          <w:szCs w:val="20"/>
        </w:rPr>
        <w:t>mniejsza od 5,0 MPa.</w:t>
      </w:r>
    </w:p>
    <w:p w14:paraId="19E47917"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eastAsia="TimesNewRoman" w:cs="Arial"/>
          <w:szCs w:val="20"/>
        </w:rPr>
        <w:t>Ś</w:t>
      </w:r>
      <w:r w:rsidRPr="006431C4">
        <w:rPr>
          <w:rFonts w:cs="Arial"/>
          <w:szCs w:val="20"/>
        </w:rPr>
        <w:t>cieralno</w:t>
      </w:r>
      <w:r w:rsidRPr="006431C4">
        <w:rPr>
          <w:rFonts w:eastAsia="TimesNewRoman" w:cs="Arial"/>
          <w:szCs w:val="20"/>
        </w:rPr>
        <w:t xml:space="preserve">ść </w:t>
      </w:r>
      <w:r w:rsidRPr="006431C4">
        <w:rPr>
          <w:rFonts w:cs="Arial"/>
          <w:szCs w:val="20"/>
        </w:rPr>
        <w:t xml:space="preserve">na szerokiej tarczy </w:t>
      </w:r>
      <w:r w:rsidRPr="006431C4">
        <w:rPr>
          <w:rFonts w:eastAsia="TimesNewRoman" w:cs="Arial"/>
          <w:szCs w:val="20"/>
        </w:rPr>
        <w:t>ś</w:t>
      </w:r>
      <w:r w:rsidRPr="006431C4">
        <w:rPr>
          <w:rFonts w:cs="Arial"/>
          <w:szCs w:val="20"/>
        </w:rPr>
        <w:t>ciernej według PN-EN 1340 [6] nie powinna przekracza</w:t>
      </w:r>
      <w:r w:rsidRPr="006431C4">
        <w:rPr>
          <w:rFonts w:eastAsia="TimesNewRoman" w:cs="Arial"/>
          <w:szCs w:val="20"/>
        </w:rPr>
        <w:t xml:space="preserve">ć </w:t>
      </w:r>
      <w:r w:rsidRPr="006431C4">
        <w:rPr>
          <w:rFonts w:cs="Arial"/>
          <w:szCs w:val="20"/>
        </w:rPr>
        <w:t>20 mm /przy badaniu wykonywanym zgodnie z metod</w:t>
      </w:r>
      <w:r w:rsidRPr="006431C4">
        <w:rPr>
          <w:rFonts w:eastAsia="TimesNewRoman" w:cs="Arial"/>
          <w:szCs w:val="20"/>
        </w:rPr>
        <w:t xml:space="preserve">ą </w:t>
      </w:r>
      <w:r w:rsidRPr="006431C4">
        <w:rPr>
          <w:rFonts w:cs="Arial"/>
          <w:szCs w:val="20"/>
        </w:rPr>
        <w:t>z zał</w:t>
      </w:r>
      <w:r w:rsidRPr="006431C4">
        <w:rPr>
          <w:rFonts w:eastAsia="TimesNewRoman" w:cs="Arial"/>
          <w:szCs w:val="20"/>
        </w:rPr>
        <w:t>ą</w:t>
      </w:r>
      <w:r w:rsidRPr="006431C4">
        <w:rPr>
          <w:rFonts w:cs="Arial"/>
          <w:szCs w:val="20"/>
        </w:rPr>
        <w:t>cznika G/ lub 18000mm3/5000mm2 /przy badaniu wykonywanym zgodnie z metod</w:t>
      </w:r>
      <w:r w:rsidRPr="006431C4">
        <w:rPr>
          <w:rFonts w:eastAsia="TimesNewRoman" w:cs="Arial"/>
          <w:szCs w:val="20"/>
        </w:rPr>
        <w:t xml:space="preserve">ą </w:t>
      </w:r>
      <w:r w:rsidRPr="006431C4">
        <w:rPr>
          <w:rFonts w:cs="Arial"/>
          <w:szCs w:val="20"/>
        </w:rPr>
        <w:t>alternatywn</w:t>
      </w:r>
      <w:r w:rsidRPr="006431C4">
        <w:rPr>
          <w:rFonts w:eastAsia="TimesNewRoman" w:cs="Arial"/>
          <w:szCs w:val="20"/>
        </w:rPr>
        <w:t xml:space="preserve">ą </w:t>
      </w:r>
      <w:r w:rsidRPr="006431C4">
        <w:rPr>
          <w:rFonts w:cs="Arial"/>
          <w:szCs w:val="20"/>
        </w:rPr>
        <w:t>na tarczy Böhmego opisan</w:t>
      </w:r>
      <w:r w:rsidRPr="006431C4">
        <w:rPr>
          <w:rFonts w:eastAsia="TimesNewRoman" w:cs="Arial"/>
          <w:szCs w:val="20"/>
        </w:rPr>
        <w:t>ą</w:t>
      </w:r>
      <w:r w:rsidRPr="006431C4">
        <w:rPr>
          <w:rFonts w:cs="Arial"/>
          <w:szCs w:val="20"/>
        </w:rPr>
        <w:t xml:space="preserve"> w zał</w:t>
      </w:r>
      <w:r w:rsidRPr="006431C4">
        <w:rPr>
          <w:rFonts w:eastAsia="TimesNewRoman" w:cs="Arial"/>
          <w:szCs w:val="20"/>
        </w:rPr>
        <w:t>ą</w:t>
      </w:r>
      <w:r w:rsidRPr="006431C4">
        <w:rPr>
          <w:rFonts w:cs="Arial"/>
          <w:szCs w:val="20"/>
        </w:rPr>
        <w:t>czniku H/.</w:t>
      </w:r>
    </w:p>
    <w:p w14:paraId="6D0619DB"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2.2.1.1.</w:t>
      </w:r>
      <w:r w:rsidRPr="006431C4">
        <w:rPr>
          <w:rFonts w:cs="Arial"/>
          <w:b/>
          <w:bCs/>
          <w:szCs w:val="20"/>
        </w:rPr>
        <w:tab/>
        <w:t>Dopuszczalne odchyłki wymiarów obrzeży</w:t>
      </w:r>
    </w:p>
    <w:p w14:paraId="1E1AD0BC"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Dopuszczalne odchyłki wymiarów obrze</w:t>
      </w:r>
      <w:r w:rsidRPr="006431C4">
        <w:rPr>
          <w:rFonts w:eastAsia="TimesNewRoman" w:cs="Arial"/>
          <w:szCs w:val="20"/>
        </w:rPr>
        <w:t>ż</w:t>
      </w:r>
      <w:r w:rsidRPr="006431C4">
        <w:rPr>
          <w:rFonts w:cs="Arial"/>
          <w:szCs w:val="20"/>
        </w:rPr>
        <w:t>y betonowych, zgodnie z PN-EN 1340 [6] powinny wynosi</w:t>
      </w:r>
      <w:r w:rsidRPr="006431C4">
        <w:rPr>
          <w:rFonts w:eastAsia="TimesNewRoman" w:cs="Arial"/>
          <w:szCs w:val="20"/>
        </w:rPr>
        <w:t>ć</w:t>
      </w:r>
      <w:r w:rsidRPr="006431C4">
        <w:rPr>
          <w:rFonts w:cs="Arial"/>
          <w:szCs w:val="20"/>
        </w:rPr>
        <w:t>:</w:t>
      </w:r>
    </w:p>
    <w:p w14:paraId="05C67E9D"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długo</w:t>
      </w:r>
      <w:r w:rsidRPr="006431C4">
        <w:rPr>
          <w:rFonts w:eastAsia="TimesNewRoman" w:cs="Arial"/>
          <w:szCs w:val="20"/>
        </w:rPr>
        <w:t>ść</w:t>
      </w:r>
      <w:r w:rsidRPr="006431C4">
        <w:rPr>
          <w:rFonts w:cs="Arial"/>
          <w:szCs w:val="20"/>
        </w:rPr>
        <w:t>: ± 1% z dokładno</w:t>
      </w:r>
      <w:r w:rsidRPr="006431C4">
        <w:rPr>
          <w:rFonts w:eastAsia="TimesNewRoman" w:cs="Arial"/>
          <w:szCs w:val="20"/>
        </w:rPr>
        <w:t>ś</w:t>
      </w:r>
      <w:r w:rsidRPr="006431C4">
        <w:rPr>
          <w:rFonts w:cs="Arial"/>
          <w:szCs w:val="20"/>
        </w:rPr>
        <w:t>ci</w:t>
      </w:r>
      <w:r w:rsidRPr="006431C4">
        <w:rPr>
          <w:rFonts w:eastAsia="TimesNewRoman" w:cs="Arial"/>
          <w:szCs w:val="20"/>
        </w:rPr>
        <w:t xml:space="preserve">ą </w:t>
      </w:r>
      <w:r w:rsidRPr="006431C4">
        <w:rPr>
          <w:rFonts w:cs="Arial"/>
          <w:szCs w:val="20"/>
        </w:rPr>
        <w:t>do milimetra, nie mniej ni</w:t>
      </w:r>
      <w:r w:rsidRPr="006431C4">
        <w:rPr>
          <w:rFonts w:eastAsia="TimesNewRoman" w:cs="Arial"/>
          <w:szCs w:val="20"/>
        </w:rPr>
        <w:t xml:space="preserve">ż </w:t>
      </w:r>
      <w:r w:rsidRPr="006431C4">
        <w:rPr>
          <w:rFonts w:cs="Arial"/>
          <w:szCs w:val="20"/>
        </w:rPr>
        <w:t>4 mm i nie wi</w:t>
      </w:r>
      <w:r w:rsidRPr="006431C4">
        <w:rPr>
          <w:rFonts w:eastAsia="TimesNewRoman" w:cs="Arial"/>
          <w:szCs w:val="20"/>
        </w:rPr>
        <w:t>ę</w:t>
      </w:r>
      <w:r w:rsidRPr="006431C4">
        <w:rPr>
          <w:rFonts w:cs="Arial"/>
          <w:szCs w:val="20"/>
        </w:rPr>
        <w:t>cej ni</w:t>
      </w:r>
      <w:r w:rsidRPr="006431C4">
        <w:rPr>
          <w:rFonts w:eastAsia="TimesNewRoman" w:cs="Arial"/>
          <w:szCs w:val="20"/>
        </w:rPr>
        <w:t xml:space="preserve">ż </w:t>
      </w:r>
      <w:r w:rsidRPr="006431C4">
        <w:rPr>
          <w:rFonts w:cs="Arial"/>
          <w:szCs w:val="20"/>
        </w:rPr>
        <w:t>10 mm.</w:t>
      </w:r>
    </w:p>
    <w:p w14:paraId="2AF3F6FF"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Inne wymiary z wyj</w:t>
      </w:r>
      <w:r w:rsidRPr="006431C4">
        <w:rPr>
          <w:rFonts w:eastAsia="TimesNewRoman" w:cs="Arial"/>
          <w:szCs w:val="20"/>
        </w:rPr>
        <w:t>ą</w:t>
      </w:r>
      <w:r w:rsidRPr="006431C4">
        <w:rPr>
          <w:rFonts w:cs="Arial"/>
          <w:szCs w:val="20"/>
        </w:rPr>
        <w:t>tkiem promienia:</w:t>
      </w:r>
    </w:p>
    <w:p w14:paraId="6C5763AF"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dla powierzchni: ± 3% z dokładno</w:t>
      </w:r>
      <w:r w:rsidRPr="006431C4">
        <w:rPr>
          <w:rFonts w:eastAsia="TimesNewRoman" w:cs="Arial"/>
          <w:szCs w:val="20"/>
        </w:rPr>
        <w:t>ś</w:t>
      </w:r>
      <w:r w:rsidRPr="006431C4">
        <w:rPr>
          <w:rFonts w:cs="Arial"/>
          <w:szCs w:val="20"/>
        </w:rPr>
        <w:t>ci</w:t>
      </w:r>
      <w:r w:rsidRPr="006431C4">
        <w:rPr>
          <w:rFonts w:eastAsia="TimesNewRoman" w:cs="Arial"/>
          <w:szCs w:val="20"/>
        </w:rPr>
        <w:t xml:space="preserve">ą </w:t>
      </w:r>
      <w:r w:rsidRPr="006431C4">
        <w:rPr>
          <w:rFonts w:cs="Arial"/>
          <w:szCs w:val="20"/>
        </w:rPr>
        <w:t>do milimetra, nie mniej ni</w:t>
      </w:r>
      <w:r w:rsidRPr="006431C4">
        <w:rPr>
          <w:rFonts w:eastAsia="TimesNewRoman" w:cs="Arial"/>
          <w:szCs w:val="20"/>
        </w:rPr>
        <w:t xml:space="preserve">ż </w:t>
      </w:r>
      <w:r w:rsidRPr="006431C4">
        <w:rPr>
          <w:rFonts w:cs="Arial"/>
          <w:szCs w:val="20"/>
        </w:rPr>
        <w:t>3 mm i nie wi</w:t>
      </w:r>
      <w:r w:rsidRPr="006431C4">
        <w:rPr>
          <w:rFonts w:eastAsia="TimesNewRoman" w:cs="Arial"/>
          <w:szCs w:val="20"/>
        </w:rPr>
        <w:t>ę</w:t>
      </w:r>
      <w:r w:rsidRPr="006431C4">
        <w:rPr>
          <w:rFonts w:cs="Arial"/>
          <w:szCs w:val="20"/>
        </w:rPr>
        <w:t>cej ni</w:t>
      </w:r>
      <w:r w:rsidRPr="006431C4">
        <w:rPr>
          <w:rFonts w:eastAsia="TimesNewRoman" w:cs="Arial"/>
          <w:szCs w:val="20"/>
        </w:rPr>
        <w:t xml:space="preserve">ż </w:t>
      </w:r>
      <w:r w:rsidRPr="006431C4">
        <w:rPr>
          <w:rFonts w:cs="Arial"/>
          <w:szCs w:val="20"/>
        </w:rPr>
        <w:t>5 mm.</w:t>
      </w:r>
    </w:p>
    <w:p w14:paraId="6F98229D"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dla innych cz</w:t>
      </w:r>
      <w:r w:rsidRPr="006431C4">
        <w:rPr>
          <w:rFonts w:eastAsia="TimesNewRoman" w:cs="Arial"/>
          <w:szCs w:val="20"/>
        </w:rPr>
        <w:t>ęś</w:t>
      </w:r>
      <w:r w:rsidRPr="006431C4">
        <w:rPr>
          <w:rFonts w:cs="Arial"/>
          <w:szCs w:val="20"/>
        </w:rPr>
        <w:t>ci: ± 5% z dokładno</w:t>
      </w:r>
      <w:r w:rsidRPr="006431C4">
        <w:rPr>
          <w:rFonts w:eastAsia="TimesNewRoman" w:cs="Arial"/>
          <w:szCs w:val="20"/>
        </w:rPr>
        <w:t>ś</w:t>
      </w:r>
      <w:r w:rsidRPr="006431C4">
        <w:rPr>
          <w:rFonts w:cs="Arial"/>
          <w:szCs w:val="20"/>
        </w:rPr>
        <w:t>ci</w:t>
      </w:r>
      <w:r w:rsidRPr="006431C4">
        <w:rPr>
          <w:rFonts w:eastAsia="TimesNewRoman" w:cs="Arial"/>
          <w:szCs w:val="20"/>
        </w:rPr>
        <w:t xml:space="preserve">ą </w:t>
      </w:r>
      <w:r w:rsidRPr="006431C4">
        <w:rPr>
          <w:rFonts w:cs="Arial"/>
          <w:szCs w:val="20"/>
        </w:rPr>
        <w:t>do milimetra, nie mniej ni</w:t>
      </w:r>
      <w:r w:rsidRPr="006431C4">
        <w:rPr>
          <w:rFonts w:eastAsia="TimesNewRoman" w:cs="Arial"/>
          <w:szCs w:val="20"/>
        </w:rPr>
        <w:t xml:space="preserve">ż </w:t>
      </w:r>
      <w:r w:rsidRPr="006431C4">
        <w:rPr>
          <w:rFonts w:cs="Arial"/>
          <w:szCs w:val="20"/>
        </w:rPr>
        <w:t>3 mm i nie wi</w:t>
      </w:r>
      <w:r w:rsidRPr="006431C4">
        <w:rPr>
          <w:rFonts w:eastAsia="TimesNewRoman" w:cs="Arial"/>
          <w:szCs w:val="20"/>
        </w:rPr>
        <w:t>ę</w:t>
      </w:r>
      <w:r w:rsidRPr="006431C4">
        <w:rPr>
          <w:rFonts w:cs="Arial"/>
          <w:szCs w:val="20"/>
        </w:rPr>
        <w:t>cej ni</w:t>
      </w:r>
      <w:r w:rsidRPr="006431C4">
        <w:rPr>
          <w:rFonts w:eastAsia="TimesNewRoman" w:cs="Arial"/>
          <w:szCs w:val="20"/>
        </w:rPr>
        <w:t xml:space="preserve">ż </w:t>
      </w:r>
      <w:r w:rsidRPr="006431C4">
        <w:rPr>
          <w:rFonts w:cs="Arial"/>
          <w:szCs w:val="20"/>
        </w:rPr>
        <w:t>10 mm.</w:t>
      </w:r>
    </w:p>
    <w:p w14:paraId="3A74CC8F"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Ró</w:t>
      </w:r>
      <w:r w:rsidRPr="006431C4">
        <w:rPr>
          <w:rFonts w:eastAsia="TimesNewRoman" w:cs="Arial"/>
          <w:szCs w:val="20"/>
        </w:rPr>
        <w:t>ż</w:t>
      </w:r>
      <w:r w:rsidRPr="006431C4">
        <w:rPr>
          <w:rFonts w:cs="Arial"/>
          <w:szCs w:val="20"/>
        </w:rPr>
        <w:t>nica pomi</w:t>
      </w:r>
      <w:r w:rsidRPr="006431C4">
        <w:rPr>
          <w:rFonts w:eastAsia="TimesNewRoman" w:cs="Arial"/>
          <w:szCs w:val="20"/>
        </w:rPr>
        <w:t>ę</w:t>
      </w:r>
      <w:r w:rsidRPr="006431C4">
        <w:rPr>
          <w:rFonts w:cs="Arial"/>
          <w:szCs w:val="20"/>
        </w:rPr>
        <w:t>dzy wynikami pomiarów tego samego wymiaru obrze</w:t>
      </w:r>
      <w:r w:rsidRPr="006431C4">
        <w:rPr>
          <w:rFonts w:eastAsia="TimesNewRoman" w:cs="Arial"/>
          <w:szCs w:val="20"/>
        </w:rPr>
        <w:t>ż</w:t>
      </w:r>
      <w:r w:rsidRPr="006431C4">
        <w:rPr>
          <w:rFonts w:cs="Arial"/>
          <w:szCs w:val="20"/>
        </w:rPr>
        <w:t>a nie powinna przekracza</w:t>
      </w:r>
      <w:r w:rsidRPr="006431C4">
        <w:rPr>
          <w:rFonts w:eastAsia="TimesNewRoman" w:cs="Arial"/>
          <w:szCs w:val="20"/>
        </w:rPr>
        <w:t xml:space="preserve">ć </w:t>
      </w:r>
      <w:r w:rsidRPr="006431C4">
        <w:rPr>
          <w:rFonts w:cs="Arial"/>
          <w:szCs w:val="20"/>
        </w:rPr>
        <w:t>5 mm.</w:t>
      </w:r>
    </w:p>
    <w:p w14:paraId="2DD8569A"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Dla powierzchni okre</w:t>
      </w:r>
      <w:r w:rsidRPr="006431C4">
        <w:rPr>
          <w:rFonts w:eastAsia="TimesNewRoman" w:cs="Arial"/>
          <w:szCs w:val="20"/>
        </w:rPr>
        <w:t>ś</w:t>
      </w:r>
      <w:r w:rsidRPr="006431C4">
        <w:rPr>
          <w:rFonts w:cs="Arial"/>
          <w:szCs w:val="20"/>
        </w:rPr>
        <w:t>lonych jako płaskie i dla kraw</w:t>
      </w:r>
      <w:r w:rsidRPr="006431C4">
        <w:rPr>
          <w:rFonts w:eastAsia="TimesNewRoman" w:cs="Arial"/>
          <w:szCs w:val="20"/>
        </w:rPr>
        <w:t>ę</w:t>
      </w:r>
      <w:r w:rsidRPr="006431C4">
        <w:rPr>
          <w:rFonts w:cs="Arial"/>
          <w:szCs w:val="20"/>
        </w:rPr>
        <w:t>dzi okre</w:t>
      </w:r>
      <w:r w:rsidRPr="006431C4">
        <w:rPr>
          <w:rFonts w:eastAsia="TimesNewRoman" w:cs="Arial"/>
          <w:szCs w:val="20"/>
        </w:rPr>
        <w:t>ś</w:t>
      </w:r>
      <w:r w:rsidRPr="006431C4">
        <w:rPr>
          <w:rFonts w:cs="Arial"/>
          <w:szCs w:val="20"/>
        </w:rPr>
        <w:t>lonych jako proste dopuszczalne odchyłki od płasko</w:t>
      </w:r>
      <w:r w:rsidRPr="006431C4">
        <w:rPr>
          <w:rFonts w:eastAsia="TimesNewRoman" w:cs="Arial"/>
          <w:szCs w:val="20"/>
        </w:rPr>
        <w:t>ś</w:t>
      </w:r>
      <w:r w:rsidRPr="006431C4">
        <w:rPr>
          <w:rFonts w:cs="Arial"/>
          <w:szCs w:val="20"/>
        </w:rPr>
        <w:t>ci i prostoliniowo</w:t>
      </w:r>
      <w:r w:rsidRPr="006431C4">
        <w:rPr>
          <w:rFonts w:eastAsia="TimesNewRoman" w:cs="Arial"/>
          <w:szCs w:val="20"/>
        </w:rPr>
        <w:t>ś</w:t>
      </w:r>
      <w:r w:rsidRPr="006431C4">
        <w:rPr>
          <w:rFonts w:cs="Arial"/>
          <w:szCs w:val="20"/>
        </w:rPr>
        <w:t>ci podano w tablicy 1.</w:t>
      </w:r>
    </w:p>
    <w:p w14:paraId="5F7F24D0" w14:textId="77777777" w:rsidR="00B060F9" w:rsidRPr="006431C4" w:rsidRDefault="00B060F9" w:rsidP="00270120">
      <w:pPr>
        <w:keepNext/>
        <w:shd w:val="clear" w:color="auto" w:fill="FFFFFF" w:themeFill="background1"/>
        <w:tabs>
          <w:tab w:val="left" w:pos="142"/>
        </w:tabs>
        <w:spacing w:line="240" w:lineRule="auto"/>
        <w:jc w:val="both"/>
        <w:outlineLvl w:val="2"/>
        <w:rPr>
          <w:rFonts w:cs="Arial"/>
          <w:b/>
          <w:szCs w:val="20"/>
        </w:rPr>
      </w:pPr>
      <w:r w:rsidRPr="006431C4">
        <w:rPr>
          <w:rFonts w:cs="Arial"/>
          <w:b/>
          <w:szCs w:val="20"/>
        </w:rPr>
        <w:t>Tablica 1. Dopuszczalne odchyłki płaskości i prostoliniowości</w:t>
      </w:r>
    </w:p>
    <w:tbl>
      <w:tblPr>
        <w:tblStyle w:val="Tabela-Siatka"/>
        <w:tblW w:w="0" w:type="auto"/>
        <w:tblLook w:val="04A0" w:firstRow="1" w:lastRow="0" w:firstColumn="1" w:lastColumn="0" w:noHBand="0" w:noVBand="1"/>
      </w:tblPr>
      <w:tblGrid>
        <w:gridCol w:w="4943"/>
        <w:gridCol w:w="4943"/>
      </w:tblGrid>
      <w:tr w:rsidR="00B060F9" w:rsidRPr="006431C4" w14:paraId="5DCFFBAB" w14:textId="77777777" w:rsidTr="00D275E0">
        <w:tc>
          <w:tcPr>
            <w:tcW w:w="4943" w:type="dxa"/>
          </w:tcPr>
          <w:p w14:paraId="2BB43BB8"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Długość pomiarowa [mm]</w:t>
            </w:r>
          </w:p>
        </w:tc>
        <w:tc>
          <w:tcPr>
            <w:tcW w:w="4943" w:type="dxa"/>
          </w:tcPr>
          <w:p w14:paraId="3C63DADC"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Dopuszczalna odchyłka płaskości i prostoliniowości [mm]</w:t>
            </w:r>
          </w:p>
        </w:tc>
      </w:tr>
      <w:tr w:rsidR="00B060F9" w:rsidRPr="006431C4" w14:paraId="46DDD802" w14:textId="77777777" w:rsidTr="00D275E0">
        <w:tc>
          <w:tcPr>
            <w:tcW w:w="4943" w:type="dxa"/>
          </w:tcPr>
          <w:p w14:paraId="0EF6AF7B"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300</w:t>
            </w:r>
          </w:p>
          <w:p w14:paraId="28B6CBCA"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400</w:t>
            </w:r>
          </w:p>
          <w:p w14:paraId="07B4D084"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500</w:t>
            </w:r>
          </w:p>
          <w:p w14:paraId="3EAFFA0C"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800</w:t>
            </w:r>
          </w:p>
        </w:tc>
        <w:tc>
          <w:tcPr>
            <w:tcW w:w="4943" w:type="dxa"/>
          </w:tcPr>
          <w:p w14:paraId="00186AA4"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 1,5</w:t>
            </w:r>
          </w:p>
          <w:p w14:paraId="43BFC59B"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 2,0</w:t>
            </w:r>
          </w:p>
          <w:p w14:paraId="2F0CB5B6"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 2,5</w:t>
            </w:r>
          </w:p>
          <w:p w14:paraId="15A3C589"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r w:rsidRPr="006431C4">
              <w:rPr>
                <w:rFonts w:cs="Arial"/>
                <w:szCs w:val="20"/>
              </w:rPr>
              <w:t>± 4,0</w:t>
            </w:r>
          </w:p>
        </w:tc>
      </w:tr>
    </w:tbl>
    <w:p w14:paraId="47B4AA41" w14:textId="77777777" w:rsidR="00B060F9" w:rsidRPr="006431C4" w:rsidRDefault="00B060F9" w:rsidP="00270120">
      <w:pPr>
        <w:shd w:val="clear" w:color="auto" w:fill="FFFFFF" w:themeFill="background1"/>
        <w:tabs>
          <w:tab w:val="left" w:pos="142"/>
        </w:tabs>
        <w:autoSpaceDE w:val="0"/>
        <w:autoSpaceDN w:val="0"/>
        <w:adjustRightInd w:val="0"/>
        <w:spacing w:line="240" w:lineRule="auto"/>
        <w:jc w:val="both"/>
        <w:rPr>
          <w:rFonts w:cs="Arial"/>
          <w:szCs w:val="20"/>
        </w:rPr>
      </w:pPr>
    </w:p>
    <w:p w14:paraId="78F45E2B"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lastRenderedPageBreak/>
        <w:t>2.2.1.2.</w:t>
      </w:r>
      <w:r w:rsidRPr="006431C4">
        <w:rPr>
          <w:rFonts w:cs="Arial"/>
          <w:b/>
          <w:bCs/>
          <w:szCs w:val="20"/>
        </w:rPr>
        <w:tab/>
        <w:t>Wymagania normy PN-EN 1340 [6] w zakresie aspektów wizualnych</w:t>
      </w:r>
    </w:p>
    <w:p w14:paraId="51CDA0AA" w14:textId="77777777" w:rsidR="00B060F9" w:rsidRPr="006431C4" w:rsidRDefault="00B060F9" w:rsidP="00270120">
      <w:pPr>
        <w:keepNext/>
        <w:shd w:val="clear" w:color="auto" w:fill="FFFFFF" w:themeFill="background1"/>
        <w:tabs>
          <w:tab w:val="left" w:pos="142"/>
        </w:tabs>
        <w:spacing w:line="240" w:lineRule="auto"/>
        <w:jc w:val="both"/>
        <w:outlineLvl w:val="2"/>
        <w:rPr>
          <w:rFonts w:cs="Arial"/>
          <w:b/>
          <w:szCs w:val="20"/>
        </w:rPr>
      </w:pPr>
      <w:r w:rsidRPr="006431C4">
        <w:rPr>
          <w:rFonts w:cs="Arial"/>
          <w:b/>
          <w:szCs w:val="20"/>
        </w:rPr>
        <w:t>2.2.1.2.1.</w:t>
      </w:r>
      <w:r w:rsidRPr="006431C4">
        <w:rPr>
          <w:rFonts w:cs="Arial"/>
          <w:b/>
          <w:szCs w:val="20"/>
        </w:rPr>
        <w:tab/>
        <w:t>Wygląd</w:t>
      </w:r>
    </w:p>
    <w:p w14:paraId="58997C23"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Powierzchnia obrze</w:t>
      </w:r>
      <w:r w:rsidRPr="006431C4">
        <w:rPr>
          <w:rFonts w:eastAsia="TimesNewRoman" w:cs="Arial"/>
          <w:szCs w:val="20"/>
        </w:rPr>
        <w:t>ż</w:t>
      </w:r>
      <w:r w:rsidRPr="006431C4">
        <w:rPr>
          <w:rFonts w:cs="Arial"/>
          <w:szCs w:val="20"/>
        </w:rPr>
        <w:t>y oceniana zgodnie z zał</w:t>
      </w:r>
      <w:r w:rsidRPr="006431C4">
        <w:rPr>
          <w:rFonts w:eastAsia="TimesNewRoman" w:cs="Arial"/>
          <w:szCs w:val="20"/>
        </w:rPr>
        <w:t>ą</w:t>
      </w:r>
      <w:r w:rsidRPr="006431C4">
        <w:rPr>
          <w:rFonts w:cs="Arial"/>
          <w:szCs w:val="20"/>
        </w:rPr>
        <w:t>cznikiem J nie powinna wykazywa</w:t>
      </w:r>
      <w:r w:rsidRPr="006431C4">
        <w:rPr>
          <w:rFonts w:eastAsia="TimesNewRoman" w:cs="Arial"/>
          <w:szCs w:val="20"/>
        </w:rPr>
        <w:t xml:space="preserve">ć </w:t>
      </w:r>
      <w:r w:rsidRPr="006431C4">
        <w:rPr>
          <w:rFonts w:cs="Arial"/>
          <w:szCs w:val="20"/>
        </w:rPr>
        <w:t>defektów, takich jak rysy lub odpryski.</w:t>
      </w:r>
    </w:p>
    <w:p w14:paraId="133C3784"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W obrze</w:t>
      </w:r>
      <w:r w:rsidRPr="006431C4">
        <w:rPr>
          <w:rFonts w:eastAsia="TimesNewRoman" w:cs="Arial"/>
          <w:szCs w:val="20"/>
        </w:rPr>
        <w:t>ż</w:t>
      </w:r>
      <w:r w:rsidRPr="006431C4">
        <w:rPr>
          <w:rFonts w:cs="Arial"/>
          <w:szCs w:val="20"/>
        </w:rPr>
        <w:t>ach dwuwarstwowych, ocenianych zgodnie z zał</w:t>
      </w:r>
      <w:r w:rsidRPr="006431C4">
        <w:rPr>
          <w:rFonts w:eastAsia="TimesNewRoman" w:cs="Arial"/>
          <w:szCs w:val="20"/>
        </w:rPr>
        <w:t>ą</w:t>
      </w:r>
      <w:r w:rsidRPr="006431C4">
        <w:rPr>
          <w:rFonts w:cs="Arial"/>
          <w:szCs w:val="20"/>
        </w:rPr>
        <w:t>cznikiem J, nie dopuszcza si</w:t>
      </w:r>
      <w:r w:rsidRPr="006431C4">
        <w:rPr>
          <w:rFonts w:eastAsia="TimesNewRoman" w:cs="Arial"/>
          <w:szCs w:val="20"/>
        </w:rPr>
        <w:t xml:space="preserve">ę </w:t>
      </w:r>
      <w:r w:rsidRPr="006431C4">
        <w:rPr>
          <w:rFonts w:cs="Arial"/>
          <w:szCs w:val="20"/>
        </w:rPr>
        <w:t>wyst</w:t>
      </w:r>
      <w:r w:rsidRPr="006431C4">
        <w:rPr>
          <w:rFonts w:eastAsia="TimesNewRoman" w:cs="Arial"/>
          <w:szCs w:val="20"/>
        </w:rPr>
        <w:t>ę</w:t>
      </w:r>
      <w:r w:rsidRPr="006431C4">
        <w:rPr>
          <w:rFonts w:cs="Arial"/>
          <w:szCs w:val="20"/>
        </w:rPr>
        <w:t>powania rozwarstwienia.</w:t>
      </w:r>
    </w:p>
    <w:p w14:paraId="082A6C8B"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UWAGA: Ewentualne wykwity nie maj</w:t>
      </w:r>
      <w:r w:rsidRPr="006431C4">
        <w:rPr>
          <w:rFonts w:eastAsia="TimesNewRoman" w:cs="Arial"/>
          <w:szCs w:val="20"/>
        </w:rPr>
        <w:t xml:space="preserve">ą </w:t>
      </w:r>
      <w:r w:rsidRPr="006431C4">
        <w:rPr>
          <w:rFonts w:cs="Arial"/>
          <w:szCs w:val="20"/>
        </w:rPr>
        <w:t>szkodliwego wpływu na wła</w:t>
      </w:r>
      <w:r w:rsidRPr="006431C4">
        <w:rPr>
          <w:rFonts w:eastAsia="TimesNewRoman" w:cs="Arial"/>
          <w:szCs w:val="20"/>
        </w:rPr>
        <w:t>ś</w:t>
      </w:r>
      <w:r w:rsidRPr="006431C4">
        <w:rPr>
          <w:rFonts w:cs="Arial"/>
          <w:szCs w:val="20"/>
        </w:rPr>
        <w:t>ciwo</w:t>
      </w:r>
      <w:r w:rsidRPr="006431C4">
        <w:rPr>
          <w:rFonts w:eastAsia="TimesNewRoman" w:cs="Arial"/>
          <w:szCs w:val="20"/>
        </w:rPr>
        <w:t>ś</w:t>
      </w:r>
      <w:r w:rsidRPr="006431C4">
        <w:rPr>
          <w:rFonts w:cs="Arial"/>
          <w:szCs w:val="20"/>
        </w:rPr>
        <w:t>ci u</w:t>
      </w:r>
      <w:r w:rsidRPr="006431C4">
        <w:rPr>
          <w:rFonts w:eastAsia="TimesNewRoman" w:cs="Arial"/>
          <w:szCs w:val="20"/>
        </w:rPr>
        <w:t>ż</w:t>
      </w:r>
      <w:r w:rsidRPr="006431C4">
        <w:rPr>
          <w:rFonts w:cs="Arial"/>
          <w:szCs w:val="20"/>
        </w:rPr>
        <w:t>ytkowe obrze</w:t>
      </w:r>
      <w:r w:rsidRPr="006431C4">
        <w:rPr>
          <w:rFonts w:eastAsia="TimesNewRoman" w:cs="Arial"/>
          <w:szCs w:val="20"/>
        </w:rPr>
        <w:t>ż</w:t>
      </w:r>
      <w:r w:rsidRPr="006431C4">
        <w:rPr>
          <w:rFonts w:cs="Arial"/>
          <w:szCs w:val="20"/>
        </w:rPr>
        <w:t>y i nie s</w:t>
      </w:r>
      <w:r w:rsidRPr="006431C4">
        <w:rPr>
          <w:rFonts w:eastAsia="TimesNewRoman" w:cs="Arial"/>
          <w:szCs w:val="20"/>
        </w:rPr>
        <w:t xml:space="preserve">ą </w:t>
      </w:r>
      <w:r w:rsidRPr="006431C4">
        <w:rPr>
          <w:rFonts w:cs="Arial"/>
          <w:szCs w:val="20"/>
        </w:rPr>
        <w:t>uwa</w:t>
      </w:r>
      <w:r w:rsidRPr="006431C4">
        <w:rPr>
          <w:rFonts w:eastAsia="TimesNewRoman" w:cs="Arial"/>
          <w:szCs w:val="20"/>
        </w:rPr>
        <w:t>ż</w:t>
      </w:r>
      <w:r w:rsidRPr="006431C4">
        <w:rPr>
          <w:rFonts w:cs="Arial"/>
          <w:szCs w:val="20"/>
        </w:rPr>
        <w:t>ane za istotne.</w:t>
      </w:r>
    </w:p>
    <w:p w14:paraId="5E92BCB4" w14:textId="77777777" w:rsidR="00B060F9" w:rsidRPr="006431C4" w:rsidRDefault="00B060F9" w:rsidP="00270120">
      <w:pPr>
        <w:keepNext/>
        <w:shd w:val="clear" w:color="auto" w:fill="FFFFFF" w:themeFill="background1"/>
        <w:tabs>
          <w:tab w:val="left" w:pos="142"/>
        </w:tabs>
        <w:spacing w:line="240" w:lineRule="auto"/>
        <w:jc w:val="both"/>
        <w:outlineLvl w:val="2"/>
        <w:rPr>
          <w:rFonts w:cs="Arial"/>
          <w:b/>
          <w:szCs w:val="20"/>
        </w:rPr>
      </w:pPr>
      <w:r w:rsidRPr="006431C4">
        <w:rPr>
          <w:rFonts w:cs="Arial"/>
          <w:b/>
          <w:szCs w:val="20"/>
        </w:rPr>
        <w:t>2.2.1.2.2.</w:t>
      </w:r>
      <w:r w:rsidRPr="006431C4">
        <w:rPr>
          <w:rFonts w:cs="Arial"/>
          <w:b/>
          <w:szCs w:val="20"/>
        </w:rPr>
        <w:tab/>
        <w:t>Tekstura</w:t>
      </w:r>
    </w:p>
    <w:p w14:paraId="3E5E25AD"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Je</w:t>
      </w:r>
      <w:r w:rsidRPr="006431C4">
        <w:rPr>
          <w:rFonts w:eastAsia="TimesNewRoman" w:cs="Arial"/>
          <w:szCs w:val="20"/>
        </w:rPr>
        <w:t>ż</w:t>
      </w:r>
      <w:r w:rsidRPr="006431C4">
        <w:rPr>
          <w:rFonts w:cs="Arial"/>
          <w:szCs w:val="20"/>
        </w:rPr>
        <w:t>eli obrze</w:t>
      </w:r>
      <w:r w:rsidRPr="006431C4">
        <w:rPr>
          <w:rFonts w:eastAsia="TimesNewRoman" w:cs="Arial"/>
          <w:szCs w:val="20"/>
        </w:rPr>
        <w:t>ż</w:t>
      </w:r>
      <w:r w:rsidRPr="006431C4">
        <w:rPr>
          <w:rFonts w:cs="Arial"/>
          <w:szCs w:val="20"/>
        </w:rPr>
        <w:t>a produkowane s</w:t>
      </w:r>
      <w:r w:rsidRPr="006431C4">
        <w:rPr>
          <w:rFonts w:eastAsia="TimesNewRoman" w:cs="Arial"/>
          <w:szCs w:val="20"/>
        </w:rPr>
        <w:t xml:space="preserve">ą </w:t>
      </w:r>
      <w:r w:rsidRPr="006431C4">
        <w:rPr>
          <w:rFonts w:cs="Arial"/>
          <w:szCs w:val="20"/>
        </w:rPr>
        <w:t>z powierzchni</w:t>
      </w:r>
      <w:r w:rsidRPr="006431C4">
        <w:rPr>
          <w:rFonts w:eastAsia="TimesNewRoman" w:cs="Arial"/>
          <w:szCs w:val="20"/>
        </w:rPr>
        <w:t xml:space="preserve">ą </w:t>
      </w:r>
      <w:r w:rsidRPr="006431C4">
        <w:rPr>
          <w:rFonts w:cs="Arial"/>
          <w:szCs w:val="20"/>
        </w:rPr>
        <w:t>o specjalnej teksturze, to taka tekstura powinna by</w:t>
      </w:r>
      <w:r w:rsidRPr="006431C4">
        <w:rPr>
          <w:rFonts w:eastAsia="TimesNewRoman" w:cs="Arial"/>
          <w:szCs w:val="20"/>
        </w:rPr>
        <w:t xml:space="preserve">ć </w:t>
      </w:r>
      <w:r w:rsidRPr="006431C4">
        <w:rPr>
          <w:rFonts w:cs="Arial"/>
          <w:szCs w:val="20"/>
        </w:rPr>
        <w:t>okre</w:t>
      </w:r>
      <w:r w:rsidRPr="006431C4">
        <w:rPr>
          <w:rFonts w:eastAsia="TimesNewRoman" w:cs="Arial"/>
          <w:szCs w:val="20"/>
        </w:rPr>
        <w:t>ś</w:t>
      </w:r>
      <w:r w:rsidRPr="006431C4">
        <w:rPr>
          <w:rFonts w:cs="Arial"/>
          <w:szCs w:val="20"/>
        </w:rPr>
        <w:t>lona przez producenta.</w:t>
      </w:r>
    </w:p>
    <w:p w14:paraId="3CD820FC"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Zgodno</w:t>
      </w:r>
      <w:r w:rsidRPr="006431C4">
        <w:rPr>
          <w:rFonts w:eastAsia="TimesNewRoman" w:cs="Arial"/>
          <w:szCs w:val="20"/>
        </w:rPr>
        <w:t xml:space="preserve">ść </w:t>
      </w:r>
      <w:r w:rsidRPr="006431C4">
        <w:rPr>
          <w:rFonts w:cs="Arial"/>
          <w:szCs w:val="20"/>
        </w:rPr>
        <w:t>elementów ocenianych na podstawie zał</w:t>
      </w:r>
      <w:r w:rsidRPr="006431C4">
        <w:rPr>
          <w:rFonts w:eastAsia="TimesNewRoman" w:cs="Arial"/>
          <w:szCs w:val="20"/>
        </w:rPr>
        <w:t>ą</w:t>
      </w:r>
      <w:r w:rsidRPr="006431C4">
        <w:rPr>
          <w:rFonts w:cs="Arial"/>
          <w:szCs w:val="20"/>
        </w:rPr>
        <w:t>cznika J powinna by</w:t>
      </w:r>
      <w:r w:rsidRPr="006431C4">
        <w:rPr>
          <w:rFonts w:eastAsia="TimesNewRoman" w:cs="Arial"/>
          <w:szCs w:val="20"/>
        </w:rPr>
        <w:t xml:space="preserve">ć </w:t>
      </w:r>
      <w:r w:rsidRPr="006431C4">
        <w:rPr>
          <w:rFonts w:cs="Arial"/>
          <w:szCs w:val="20"/>
        </w:rPr>
        <w:t>ustalona, o ile nie ma znacz</w:t>
      </w:r>
      <w:r w:rsidRPr="006431C4">
        <w:rPr>
          <w:rFonts w:eastAsia="TimesNewRoman" w:cs="Arial"/>
          <w:szCs w:val="20"/>
        </w:rPr>
        <w:t>ą</w:t>
      </w:r>
      <w:r w:rsidRPr="006431C4">
        <w:rPr>
          <w:rFonts w:cs="Arial"/>
          <w:szCs w:val="20"/>
        </w:rPr>
        <w:t>cych ró</w:t>
      </w:r>
      <w:r w:rsidRPr="006431C4">
        <w:rPr>
          <w:rFonts w:eastAsia="TimesNewRoman" w:cs="Arial"/>
          <w:szCs w:val="20"/>
        </w:rPr>
        <w:t>ż</w:t>
      </w:r>
      <w:r w:rsidRPr="006431C4">
        <w:rPr>
          <w:rFonts w:cs="Arial"/>
          <w:szCs w:val="20"/>
        </w:rPr>
        <w:t>nic tekstury, przez</w:t>
      </w:r>
    </w:p>
    <w:p w14:paraId="4A7633CB"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porównanie z próbkami dostarczonymi przez producenta i zatwierdzonymi przez odbiorc</w:t>
      </w:r>
      <w:r w:rsidRPr="006431C4">
        <w:rPr>
          <w:rFonts w:eastAsia="TimesNewRoman" w:cs="Arial"/>
          <w:szCs w:val="20"/>
        </w:rPr>
        <w:t>ę</w:t>
      </w:r>
      <w:r w:rsidRPr="006431C4">
        <w:rPr>
          <w:rFonts w:cs="Arial"/>
          <w:szCs w:val="20"/>
        </w:rPr>
        <w:t>.</w:t>
      </w:r>
    </w:p>
    <w:p w14:paraId="33ADE131"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UWAGA: Ró</w:t>
      </w:r>
      <w:r w:rsidRPr="006431C4">
        <w:rPr>
          <w:rFonts w:eastAsia="TimesNewRoman" w:cs="Arial"/>
          <w:szCs w:val="20"/>
        </w:rPr>
        <w:t>ż</w:t>
      </w:r>
      <w:r w:rsidRPr="006431C4">
        <w:rPr>
          <w:rFonts w:cs="Arial"/>
          <w:szCs w:val="20"/>
        </w:rPr>
        <w:t>nice w jednolito</w:t>
      </w:r>
      <w:r w:rsidRPr="006431C4">
        <w:rPr>
          <w:rFonts w:eastAsia="TimesNewRoman" w:cs="Arial"/>
          <w:szCs w:val="20"/>
        </w:rPr>
        <w:t>ś</w:t>
      </w:r>
      <w:r w:rsidRPr="006431C4">
        <w:rPr>
          <w:rFonts w:cs="Arial"/>
          <w:szCs w:val="20"/>
        </w:rPr>
        <w:t>ci tekstury obrze</w:t>
      </w:r>
      <w:r w:rsidRPr="006431C4">
        <w:rPr>
          <w:rFonts w:eastAsia="TimesNewRoman" w:cs="Arial"/>
          <w:szCs w:val="20"/>
        </w:rPr>
        <w:t>ż</w:t>
      </w:r>
      <w:r w:rsidRPr="006431C4">
        <w:rPr>
          <w:rFonts w:cs="Arial"/>
          <w:szCs w:val="20"/>
        </w:rPr>
        <w:t>y, które mog</w:t>
      </w:r>
      <w:r w:rsidRPr="006431C4">
        <w:rPr>
          <w:rFonts w:eastAsia="TimesNewRoman" w:cs="Arial"/>
          <w:szCs w:val="20"/>
        </w:rPr>
        <w:t xml:space="preserve">ą </w:t>
      </w:r>
      <w:r w:rsidRPr="006431C4">
        <w:rPr>
          <w:rFonts w:cs="Arial"/>
          <w:szCs w:val="20"/>
        </w:rPr>
        <w:t>by</w:t>
      </w:r>
      <w:r w:rsidRPr="006431C4">
        <w:rPr>
          <w:rFonts w:eastAsia="TimesNewRoman" w:cs="Arial"/>
          <w:szCs w:val="20"/>
        </w:rPr>
        <w:t xml:space="preserve">ć </w:t>
      </w:r>
      <w:r w:rsidRPr="006431C4">
        <w:rPr>
          <w:rFonts w:cs="Arial"/>
          <w:szCs w:val="20"/>
        </w:rPr>
        <w:t>spowodowane nieuniknionymi zmianami we wła</w:t>
      </w:r>
      <w:r w:rsidRPr="006431C4">
        <w:rPr>
          <w:rFonts w:eastAsia="TimesNewRoman" w:cs="Arial"/>
          <w:szCs w:val="20"/>
        </w:rPr>
        <w:t>ś</w:t>
      </w:r>
      <w:r w:rsidRPr="006431C4">
        <w:rPr>
          <w:rFonts w:cs="Arial"/>
          <w:szCs w:val="20"/>
        </w:rPr>
        <w:t>ciwo</w:t>
      </w:r>
      <w:r w:rsidRPr="006431C4">
        <w:rPr>
          <w:rFonts w:eastAsia="TimesNewRoman" w:cs="Arial"/>
          <w:szCs w:val="20"/>
        </w:rPr>
        <w:t>ś</w:t>
      </w:r>
      <w:r w:rsidRPr="006431C4">
        <w:rPr>
          <w:rFonts w:cs="Arial"/>
          <w:szCs w:val="20"/>
        </w:rPr>
        <w:t>ciach</w:t>
      </w:r>
    </w:p>
    <w:p w14:paraId="30A4E49A"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surowców i warunków twardnienia, nie s</w:t>
      </w:r>
      <w:r w:rsidRPr="006431C4">
        <w:rPr>
          <w:rFonts w:eastAsia="TimesNewRoman" w:cs="Arial"/>
          <w:szCs w:val="20"/>
        </w:rPr>
        <w:t xml:space="preserve">ą </w:t>
      </w:r>
      <w:r w:rsidRPr="006431C4">
        <w:rPr>
          <w:rFonts w:cs="Arial"/>
          <w:szCs w:val="20"/>
        </w:rPr>
        <w:t>uwa</w:t>
      </w:r>
      <w:r w:rsidRPr="006431C4">
        <w:rPr>
          <w:rFonts w:eastAsia="TimesNewRoman" w:cs="Arial"/>
          <w:szCs w:val="20"/>
        </w:rPr>
        <w:t>ż</w:t>
      </w:r>
      <w:r w:rsidRPr="006431C4">
        <w:rPr>
          <w:rFonts w:cs="Arial"/>
          <w:szCs w:val="20"/>
        </w:rPr>
        <w:t>ane za istotne.</w:t>
      </w:r>
    </w:p>
    <w:p w14:paraId="40E2AC94" w14:textId="77777777" w:rsidR="00B060F9" w:rsidRPr="006431C4" w:rsidRDefault="00B060F9" w:rsidP="00270120">
      <w:pPr>
        <w:keepNext/>
        <w:shd w:val="clear" w:color="auto" w:fill="FFFFFF" w:themeFill="background1"/>
        <w:tabs>
          <w:tab w:val="left" w:pos="142"/>
        </w:tabs>
        <w:spacing w:line="240" w:lineRule="auto"/>
        <w:jc w:val="both"/>
        <w:outlineLvl w:val="2"/>
        <w:rPr>
          <w:rFonts w:cs="Arial"/>
          <w:b/>
          <w:szCs w:val="20"/>
        </w:rPr>
      </w:pPr>
      <w:r w:rsidRPr="006431C4">
        <w:rPr>
          <w:rFonts w:cs="Arial"/>
          <w:b/>
          <w:szCs w:val="20"/>
        </w:rPr>
        <w:t>2.2.1.2.3.</w:t>
      </w:r>
      <w:r w:rsidRPr="006431C4">
        <w:rPr>
          <w:rFonts w:cs="Arial"/>
          <w:b/>
          <w:szCs w:val="20"/>
        </w:rPr>
        <w:tab/>
        <w:t>Zabarwienie</w:t>
      </w:r>
    </w:p>
    <w:p w14:paraId="5303924A"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W zale</w:t>
      </w:r>
      <w:r w:rsidRPr="006431C4">
        <w:rPr>
          <w:rFonts w:eastAsia="TimesNewRoman" w:cs="Arial"/>
          <w:szCs w:val="20"/>
        </w:rPr>
        <w:t>ż</w:t>
      </w:r>
      <w:r w:rsidRPr="006431C4">
        <w:rPr>
          <w:rFonts w:cs="Arial"/>
          <w:szCs w:val="20"/>
        </w:rPr>
        <w:t>no</w:t>
      </w:r>
      <w:r w:rsidRPr="006431C4">
        <w:rPr>
          <w:rFonts w:eastAsia="TimesNewRoman" w:cs="Arial"/>
          <w:szCs w:val="20"/>
        </w:rPr>
        <w:t>ś</w:t>
      </w:r>
      <w:r w:rsidRPr="006431C4">
        <w:rPr>
          <w:rFonts w:cs="Arial"/>
          <w:szCs w:val="20"/>
        </w:rPr>
        <w:t>ci od decyzji producenta barwi</w:t>
      </w:r>
      <w:r w:rsidRPr="006431C4">
        <w:rPr>
          <w:rFonts w:eastAsia="TimesNewRoman" w:cs="Arial"/>
          <w:szCs w:val="20"/>
        </w:rPr>
        <w:t xml:space="preserve">ć </w:t>
      </w:r>
      <w:r w:rsidRPr="006431C4">
        <w:rPr>
          <w:rFonts w:cs="Arial"/>
          <w:szCs w:val="20"/>
        </w:rPr>
        <w:t>mo</w:t>
      </w:r>
      <w:r w:rsidRPr="006431C4">
        <w:rPr>
          <w:rFonts w:eastAsia="TimesNewRoman" w:cs="Arial"/>
          <w:szCs w:val="20"/>
        </w:rPr>
        <w:t>ż</w:t>
      </w:r>
      <w:r w:rsidRPr="006431C4">
        <w:rPr>
          <w:rFonts w:cs="Arial"/>
          <w:szCs w:val="20"/>
        </w:rPr>
        <w:t>na warstw</w:t>
      </w:r>
      <w:r w:rsidRPr="006431C4">
        <w:rPr>
          <w:rFonts w:eastAsia="TimesNewRoman" w:cs="Arial"/>
          <w:szCs w:val="20"/>
        </w:rPr>
        <w:t>ę ś</w:t>
      </w:r>
      <w:r w:rsidRPr="006431C4">
        <w:rPr>
          <w:rFonts w:cs="Arial"/>
          <w:szCs w:val="20"/>
        </w:rPr>
        <w:t>cieraln</w:t>
      </w:r>
      <w:r w:rsidRPr="006431C4">
        <w:rPr>
          <w:rFonts w:eastAsia="TimesNewRoman" w:cs="Arial"/>
          <w:szCs w:val="20"/>
        </w:rPr>
        <w:t xml:space="preserve">ą </w:t>
      </w:r>
      <w:r w:rsidRPr="006431C4">
        <w:rPr>
          <w:rFonts w:cs="Arial"/>
          <w:szCs w:val="20"/>
        </w:rPr>
        <w:t>lub cały element.</w:t>
      </w:r>
    </w:p>
    <w:p w14:paraId="4B1009A2"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Je</w:t>
      </w:r>
      <w:r w:rsidRPr="006431C4">
        <w:rPr>
          <w:rFonts w:eastAsia="TimesNewRoman" w:cs="Arial"/>
          <w:szCs w:val="20"/>
        </w:rPr>
        <w:t>ś</w:t>
      </w:r>
      <w:r w:rsidRPr="006431C4">
        <w:rPr>
          <w:rFonts w:cs="Arial"/>
          <w:szCs w:val="20"/>
        </w:rPr>
        <w:t>li nie ma znacz</w:t>
      </w:r>
      <w:r w:rsidRPr="006431C4">
        <w:rPr>
          <w:rFonts w:eastAsia="TimesNewRoman" w:cs="Arial"/>
          <w:szCs w:val="20"/>
        </w:rPr>
        <w:t>ą</w:t>
      </w:r>
      <w:r w:rsidRPr="006431C4">
        <w:rPr>
          <w:rFonts w:cs="Arial"/>
          <w:szCs w:val="20"/>
        </w:rPr>
        <w:t>cych ró</w:t>
      </w:r>
      <w:r w:rsidRPr="006431C4">
        <w:rPr>
          <w:rFonts w:eastAsia="TimesNewRoman" w:cs="Arial"/>
          <w:szCs w:val="20"/>
        </w:rPr>
        <w:t>ż</w:t>
      </w:r>
      <w:r w:rsidRPr="006431C4">
        <w:rPr>
          <w:rFonts w:cs="Arial"/>
          <w:szCs w:val="20"/>
        </w:rPr>
        <w:t>nic w zabarwieniu, zgodno</w:t>
      </w:r>
      <w:r w:rsidRPr="006431C4">
        <w:rPr>
          <w:rFonts w:eastAsia="TimesNewRoman" w:cs="Arial"/>
          <w:szCs w:val="20"/>
        </w:rPr>
        <w:t xml:space="preserve">ść </w:t>
      </w:r>
      <w:r w:rsidRPr="006431C4">
        <w:rPr>
          <w:rFonts w:cs="Arial"/>
          <w:szCs w:val="20"/>
        </w:rPr>
        <w:t>elementów ocenianych wg zał</w:t>
      </w:r>
      <w:r w:rsidRPr="006431C4">
        <w:rPr>
          <w:rFonts w:eastAsia="TimesNewRoman" w:cs="Arial"/>
          <w:szCs w:val="20"/>
        </w:rPr>
        <w:t>ą</w:t>
      </w:r>
      <w:r w:rsidRPr="006431C4">
        <w:rPr>
          <w:rFonts w:cs="Arial"/>
          <w:szCs w:val="20"/>
        </w:rPr>
        <w:t>cznika J powinna by</w:t>
      </w:r>
      <w:r w:rsidRPr="006431C4">
        <w:rPr>
          <w:rFonts w:eastAsia="TimesNewRoman" w:cs="Arial"/>
          <w:szCs w:val="20"/>
        </w:rPr>
        <w:t xml:space="preserve">ć </w:t>
      </w:r>
      <w:r w:rsidRPr="006431C4">
        <w:rPr>
          <w:rFonts w:cs="Arial"/>
          <w:szCs w:val="20"/>
        </w:rPr>
        <w:t>ustalona przez</w:t>
      </w:r>
    </w:p>
    <w:p w14:paraId="414E6325"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porównanie z próbkami dostarczonymi przez producenta i zatwierdzonymi przez odbiorc</w:t>
      </w:r>
      <w:r w:rsidRPr="006431C4">
        <w:rPr>
          <w:rFonts w:eastAsia="TimesNewRoman" w:cs="Arial"/>
          <w:szCs w:val="20"/>
        </w:rPr>
        <w:t>ę</w:t>
      </w:r>
      <w:r w:rsidRPr="006431C4">
        <w:rPr>
          <w:rFonts w:cs="Arial"/>
          <w:szCs w:val="20"/>
        </w:rPr>
        <w:t>.</w:t>
      </w:r>
    </w:p>
    <w:p w14:paraId="773E4D5E"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UWAGA: Ró</w:t>
      </w:r>
      <w:r w:rsidRPr="006431C4">
        <w:rPr>
          <w:rFonts w:eastAsia="TimesNewRoman" w:cs="Arial"/>
          <w:szCs w:val="20"/>
        </w:rPr>
        <w:t>ż</w:t>
      </w:r>
      <w:r w:rsidRPr="006431C4">
        <w:rPr>
          <w:rFonts w:cs="Arial"/>
          <w:szCs w:val="20"/>
        </w:rPr>
        <w:t>nice w jednolito</w:t>
      </w:r>
      <w:r w:rsidRPr="006431C4">
        <w:rPr>
          <w:rFonts w:eastAsia="TimesNewRoman" w:cs="Arial"/>
          <w:szCs w:val="20"/>
        </w:rPr>
        <w:t>ś</w:t>
      </w:r>
      <w:r w:rsidRPr="006431C4">
        <w:rPr>
          <w:rFonts w:cs="Arial"/>
          <w:szCs w:val="20"/>
        </w:rPr>
        <w:t>ci zabarwienia obrze</w:t>
      </w:r>
      <w:r w:rsidRPr="006431C4">
        <w:rPr>
          <w:rFonts w:eastAsia="TimesNewRoman" w:cs="Arial"/>
          <w:szCs w:val="20"/>
        </w:rPr>
        <w:t>ż</w:t>
      </w:r>
      <w:r w:rsidRPr="006431C4">
        <w:rPr>
          <w:rFonts w:cs="Arial"/>
          <w:szCs w:val="20"/>
        </w:rPr>
        <w:t>y, które mog</w:t>
      </w:r>
      <w:r w:rsidRPr="006431C4">
        <w:rPr>
          <w:rFonts w:eastAsia="TimesNewRoman" w:cs="Arial"/>
          <w:szCs w:val="20"/>
        </w:rPr>
        <w:t xml:space="preserve">ą </w:t>
      </w:r>
      <w:r w:rsidRPr="006431C4">
        <w:rPr>
          <w:rFonts w:cs="Arial"/>
          <w:szCs w:val="20"/>
        </w:rPr>
        <w:t>by</w:t>
      </w:r>
      <w:r w:rsidRPr="006431C4">
        <w:rPr>
          <w:rFonts w:eastAsia="TimesNewRoman" w:cs="Arial"/>
          <w:szCs w:val="20"/>
        </w:rPr>
        <w:t xml:space="preserve">ć </w:t>
      </w:r>
      <w:r w:rsidRPr="006431C4">
        <w:rPr>
          <w:rFonts w:cs="Arial"/>
          <w:szCs w:val="20"/>
        </w:rPr>
        <w:t>spowodowane nieuniknionymi zmianami wła</w:t>
      </w:r>
      <w:r w:rsidRPr="006431C4">
        <w:rPr>
          <w:rFonts w:eastAsia="TimesNewRoman" w:cs="Arial"/>
          <w:szCs w:val="20"/>
        </w:rPr>
        <w:t>ś</w:t>
      </w:r>
      <w:r w:rsidRPr="006431C4">
        <w:rPr>
          <w:rFonts w:cs="Arial"/>
          <w:szCs w:val="20"/>
        </w:rPr>
        <w:t>ciwo</w:t>
      </w:r>
      <w:r w:rsidRPr="006431C4">
        <w:rPr>
          <w:rFonts w:eastAsia="TimesNewRoman" w:cs="Arial"/>
          <w:szCs w:val="20"/>
        </w:rPr>
        <w:t>ś</w:t>
      </w:r>
      <w:r w:rsidRPr="006431C4">
        <w:rPr>
          <w:rFonts w:cs="Arial"/>
          <w:szCs w:val="20"/>
        </w:rPr>
        <w:t>ci</w:t>
      </w:r>
    </w:p>
    <w:p w14:paraId="2C2B0191"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surowców lub warunków dojrzewania betonu, nie s</w:t>
      </w:r>
      <w:r w:rsidRPr="006431C4">
        <w:rPr>
          <w:rFonts w:eastAsia="TimesNewRoman" w:cs="Arial"/>
          <w:szCs w:val="20"/>
        </w:rPr>
        <w:t xml:space="preserve">ą </w:t>
      </w:r>
      <w:r w:rsidRPr="006431C4">
        <w:rPr>
          <w:rFonts w:cs="Arial"/>
          <w:szCs w:val="20"/>
        </w:rPr>
        <w:t>uwa</w:t>
      </w:r>
      <w:r w:rsidRPr="006431C4">
        <w:rPr>
          <w:rFonts w:eastAsia="TimesNewRoman" w:cs="Arial"/>
          <w:szCs w:val="20"/>
        </w:rPr>
        <w:t>ż</w:t>
      </w:r>
      <w:r w:rsidRPr="006431C4">
        <w:rPr>
          <w:rFonts w:cs="Arial"/>
          <w:szCs w:val="20"/>
        </w:rPr>
        <w:t>ane za istotne.</w:t>
      </w:r>
    </w:p>
    <w:p w14:paraId="08E7D93E"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2.2.1.3.</w:t>
      </w:r>
      <w:r w:rsidRPr="006431C4">
        <w:rPr>
          <w:rFonts w:cs="Arial"/>
          <w:b/>
          <w:bCs/>
          <w:szCs w:val="20"/>
        </w:rPr>
        <w:tab/>
        <w:t>Składowanie</w:t>
      </w:r>
    </w:p>
    <w:p w14:paraId="4185D087"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Obrze</w:t>
      </w:r>
      <w:r w:rsidRPr="006431C4">
        <w:rPr>
          <w:rFonts w:eastAsia="TimesNewRoman" w:cs="Arial"/>
          <w:szCs w:val="20"/>
        </w:rPr>
        <w:t>ż</w:t>
      </w:r>
      <w:r w:rsidRPr="006431C4">
        <w:rPr>
          <w:rFonts w:cs="Arial"/>
          <w:szCs w:val="20"/>
        </w:rPr>
        <w:t>a betonowe powinny by</w:t>
      </w:r>
      <w:r w:rsidRPr="006431C4">
        <w:rPr>
          <w:rFonts w:eastAsia="TimesNewRoman" w:cs="Arial"/>
          <w:szCs w:val="20"/>
        </w:rPr>
        <w:t xml:space="preserve">ć </w:t>
      </w:r>
      <w:r w:rsidRPr="006431C4">
        <w:rPr>
          <w:rFonts w:cs="Arial"/>
          <w:szCs w:val="20"/>
        </w:rPr>
        <w:t>składowane w pozycji wbudowania na otwartej przestrzeni, na podło</w:t>
      </w:r>
      <w:r w:rsidRPr="006431C4">
        <w:rPr>
          <w:rFonts w:eastAsia="TimesNewRoman" w:cs="Arial"/>
          <w:szCs w:val="20"/>
        </w:rPr>
        <w:t>ż</w:t>
      </w:r>
      <w:r w:rsidRPr="006431C4">
        <w:rPr>
          <w:rFonts w:cs="Arial"/>
          <w:szCs w:val="20"/>
        </w:rPr>
        <w:t>u wyrównanym i odwodnionym z</w:t>
      </w:r>
    </w:p>
    <w:p w14:paraId="459D9CF1"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zastosowaniem podkładek i przekładek uło</w:t>
      </w:r>
      <w:r w:rsidRPr="006431C4">
        <w:rPr>
          <w:rFonts w:eastAsia="TimesNewRoman" w:cs="Arial"/>
          <w:szCs w:val="20"/>
        </w:rPr>
        <w:t>ż</w:t>
      </w:r>
      <w:r w:rsidRPr="006431C4">
        <w:rPr>
          <w:rFonts w:cs="Arial"/>
          <w:szCs w:val="20"/>
        </w:rPr>
        <w:t>onych w pionie jedna nad drug</w:t>
      </w:r>
      <w:r w:rsidRPr="006431C4">
        <w:rPr>
          <w:rFonts w:eastAsia="TimesNewRoman" w:cs="Arial"/>
          <w:szCs w:val="20"/>
        </w:rPr>
        <w:t>ą</w:t>
      </w:r>
      <w:r w:rsidRPr="006431C4">
        <w:rPr>
          <w:rFonts w:cs="Arial"/>
          <w:szCs w:val="20"/>
        </w:rPr>
        <w:t>.</w:t>
      </w:r>
    </w:p>
    <w:p w14:paraId="4A9A917B" w14:textId="77777777" w:rsidR="00B060F9" w:rsidRPr="006431C4" w:rsidRDefault="00B060F9" w:rsidP="00270120">
      <w:pPr>
        <w:shd w:val="clear" w:color="auto" w:fill="FFFFFF" w:themeFill="background1"/>
        <w:tabs>
          <w:tab w:val="left" w:pos="142"/>
        </w:tabs>
        <w:spacing w:line="240" w:lineRule="auto"/>
        <w:jc w:val="both"/>
        <w:rPr>
          <w:rFonts w:eastAsia="TimesNewRoman" w:cs="Arial"/>
          <w:szCs w:val="20"/>
        </w:rPr>
      </w:pPr>
      <w:r w:rsidRPr="006431C4">
        <w:rPr>
          <w:rFonts w:cs="Arial"/>
          <w:szCs w:val="20"/>
        </w:rPr>
        <w:t>Wymiary przekroju poprzecznego podkładek i przekładek nie powinny by</w:t>
      </w:r>
      <w:r w:rsidRPr="006431C4">
        <w:rPr>
          <w:rFonts w:eastAsia="TimesNewRoman" w:cs="Arial"/>
          <w:szCs w:val="20"/>
        </w:rPr>
        <w:t xml:space="preserve">ć </w:t>
      </w:r>
      <w:r w:rsidRPr="006431C4">
        <w:rPr>
          <w:rFonts w:cs="Arial"/>
          <w:szCs w:val="20"/>
        </w:rPr>
        <w:t>mniejsze ni</w:t>
      </w:r>
      <w:r w:rsidRPr="006431C4">
        <w:rPr>
          <w:rFonts w:eastAsia="TimesNewRoman" w:cs="Arial"/>
          <w:szCs w:val="20"/>
        </w:rPr>
        <w:t>ż</w:t>
      </w:r>
      <w:r w:rsidRPr="006431C4">
        <w:rPr>
          <w:rFonts w:cs="Arial"/>
          <w:szCs w:val="20"/>
        </w:rPr>
        <w:t>: grubo</w:t>
      </w:r>
      <w:r w:rsidRPr="006431C4">
        <w:rPr>
          <w:rFonts w:eastAsia="TimesNewRoman" w:cs="Arial"/>
          <w:szCs w:val="20"/>
        </w:rPr>
        <w:t xml:space="preserve">ść </w:t>
      </w:r>
      <w:r w:rsidRPr="006431C4">
        <w:rPr>
          <w:rFonts w:cs="Arial"/>
          <w:szCs w:val="20"/>
        </w:rPr>
        <w:t>2,5 cm, szeroko</w:t>
      </w:r>
      <w:r w:rsidRPr="006431C4">
        <w:rPr>
          <w:rFonts w:eastAsia="TimesNewRoman" w:cs="Arial"/>
          <w:szCs w:val="20"/>
        </w:rPr>
        <w:t xml:space="preserve">ść </w:t>
      </w:r>
      <w:r w:rsidRPr="006431C4">
        <w:rPr>
          <w:rFonts w:cs="Arial"/>
          <w:szCs w:val="20"/>
        </w:rPr>
        <w:t>5 cm, a długo</w:t>
      </w:r>
      <w:r w:rsidRPr="006431C4">
        <w:rPr>
          <w:rFonts w:eastAsia="TimesNewRoman" w:cs="Arial"/>
          <w:szCs w:val="20"/>
        </w:rPr>
        <w:t>ść</w:t>
      </w:r>
    </w:p>
    <w:p w14:paraId="26CC03E9"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przekładek powinna by</w:t>
      </w:r>
      <w:r w:rsidRPr="006431C4">
        <w:rPr>
          <w:rFonts w:eastAsia="TimesNewRoman" w:cs="Arial"/>
          <w:szCs w:val="20"/>
        </w:rPr>
        <w:t xml:space="preserve">ć </w:t>
      </w:r>
      <w:r w:rsidRPr="006431C4">
        <w:rPr>
          <w:rFonts w:cs="Arial"/>
          <w:szCs w:val="20"/>
        </w:rPr>
        <w:t>minimum 5 cm wi</w:t>
      </w:r>
      <w:r w:rsidRPr="006431C4">
        <w:rPr>
          <w:rFonts w:eastAsia="TimesNewRoman" w:cs="Arial"/>
          <w:szCs w:val="20"/>
        </w:rPr>
        <w:t>ę</w:t>
      </w:r>
      <w:r w:rsidRPr="006431C4">
        <w:rPr>
          <w:rFonts w:cs="Arial"/>
          <w:szCs w:val="20"/>
        </w:rPr>
        <w:t>ksza ni</w:t>
      </w:r>
      <w:r w:rsidRPr="006431C4">
        <w:rPr>
          <w:rFonts w:eastAsia="TimesNewRoman" w:cs="Arial"/>
          <w:szCs w:val="20"/>
        </w:rPr>
        <w:t xml:space="preserve">ż </w:t>
      </w:r>
      <w:r w:rsidRPr="006431C4">
        <w:rPr>
          <w:rFonts w:cs="Arial"/>
          <w:szCs w:val="20"/>
        </w:rPr>
        <w:t>szeroko</w:t>
      </w:r>
      <w:r w:rsidRPr="006431C4">
        <w:rPr>
          <w:rFonts w:eastAsia="TimesNewRoman" w:cs="Arial"/>
          <w:szCs w:val="20"/>
        </w:rPr>
        <w:t xml:space="preserve">ść </w:t>
      </w:r>
      <w:r w:rsidRPr="006431C4">
        <w:rPr>
          <w:rFonts w:cs="Arial"/>
          <w:szCs w:val="20"/>
        </w:rPr>
        <w:t>obrze</w:t>
      </w:r>
      <w:r w:rsidRPr="006431C4">
        <w:rPr>
          <w:rFonts w:eastAsia="TimesNewRoman" w:cs="Arial"/>
          <w:szCs w:val="20"/>
        </w:rPr>
        <w:t>ż</w:t>
      </w:r>
      <w:r w:rsidRPr="006431C4">
        <w:rPr>
          <w:rFonts w:cs="Arial"/>
          <w:szCs w:val="20"/>
        </w:rPr>
        <w:t>a.</w:t>
      </w:r>
    </w:p>
    <w:p w14:paraId="7BBECE85"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2.2.2.</w:t>
      </w:r>
      <w:r w:rsidRPr="006431C4">
        <w:rPr>
          <w:rFonts w:cs="Arial"/>
          <w:szCs w:val="20"/>
        </w:rPr>
        <w:tab/>
        <w:t>Piasek naturalny</w:t>
      </w:r>
    </w:p>
    <w:p w14:paraId="6205AC17"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Piasek do wykonania podsypki oraz wypełnienia spoin wg PN-EN 13043 [3].</w:t>
      </w:r>
    </w:p>
    <w:p w14:paraId="0EA7DE3A"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2.2.3.</w:t>
      </w:r>
      <w:r w:rsidRPr="006431C4">
        <w:rPr>
          <w:rFonts w:cs="Arial"/>
          <w:szCs w:val="20"/>
        </w:rPr>
        <w:tab/>
        <w:t>Woda</w:t>
      </w:r>
    </w:p>
    <w:p w14:paraId="590511D0" w14:textId="77777777" w:rsidR="00B060F9" w:rsidRPr="006431C4" w:rsidRDefault="00B060F9" w:rsidP="00270120">
      <w:pPr>
        <w:shd w:val="clear" w:color="auto" w:fill="FFFFFF" w:themeFill="background1"/>
        <w:tabs>
          <w:tab w:val="left" w:pos="142"/>
        </w:tabs>
        <w:spacing w:line="240" w:lineRule="auto"/>
        <w:contextualSpacing/>
        <w:jc w:val="both"/>
        <w:rPr>
          <w:rFonts w:cs="Arial"/>
          <w:b/>
          <w:bCs/>
          <w:szCs w:val="20"/>
        </w:rPr>
      </w:pPr>
      <w:r w:rsidRPr="006431C4">
        <w:rPr>
          <w:rFonts w:cs="Arial"/>
          <w:szCs w:val="20"/>
        </w:rPr>
        <w:t>Woda stosowana do podsypki powinna odpowiada</w:t>
      </w:r>
      <w:r w:rsidRPr="006431C4">
        <w:rPr>
          <w:rFonts w:eastAsia="TimesNewRoman" w:cs="Arial"/>
          <w:szCs w:val="20"/>
        </w:rPr>
        <w:t xml:space="preserve">ć </w:t>
      </w:r>
      <w:r w:rsidRPr="006431C4">
        <w:rPr>
          <w:rFonts w:cs="Arial"/>
          <w:szCs w:val="20"/>
        </w:rPr>
        <w:t>wymaganiom normy PN-EN 1008 [4].</w:t>
      </w:r>
    </w:p>
    <w:p w14:paraId="328941FD"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r w:rsidRPr="006431C4">
        <w:rPr>
          <w:rFonts w:cs="Arial"/>
          <w:b/>
          <w:bCs/>
          <w:szCs w:val="20"/>
        </w:rPr>
        <w:t>3. Sprzęt</w:t>
      </w:r>
      <w:bookmarkEnd w:id="1083"/>
    </w:p>
    <w:p w14:paraId="56B55030"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3.1. Ogólne wymagania dotyczące sprzętu</w:t>
      </w:r>
    </w:p>
    <w:p w14:paraId="04D23402"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wymagania dotyczące sprzętu podano w SST D-M-00.00.00 „Wymagania ogólne” pkt 3.</w:t>
      </w:r>
    </w:p>
    <w:p w14:paraId="0F21D9CA"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3.2. Sprzęt do ustawiania obrzeży</w:t>
      </w:r>
    </w:p>
    <w:p w14:paraId="20ACE28A"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Roboty wykonuje się ręcznie przy zastosowaniu drobnego sprzętu pomocniczego.</w:t>
      </w:r>
    </w:p>
    <w:p w14:paraId="237B9EE7"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bookmarkStart w:id="1084" w:name="_Toc426531385"/>
      <w:r w:rsidRPr="006431C4">
        <w:rPr>
          <w:rFonts w:cs="Arial"/>
          <w:b/>
          <w:bCs/>
          <w:szCs w:val="20"/>
        </w:rPr>
        <w:t>4. Transport</w:t>
      </w:r>
      <w:bookmarkEnd w:id="1084"/>
    </w:p>
    <w:p w14:paraId="588BC46E"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4.1. Ogólne wymagania dotyczące transportu</w:t>
      </w:r>
    </w:p>
    <w:p w14:paraId="04FB98DD"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wymagania dotyczące transportu podano w SST D-M-00.00.00 „Wymagania ogólne” pkt 4.</w:t>
      </w:r>
    </w:p>
    <w:p w14:paraId="43241526"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4.2. Transport obrzeży betonowych</w:t>
      </w:r>
    </w:p>
    <w:p w14:paraId="5A4C3BDA"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Betonowe obrzeża chodnikowe mogą być przewożone dowolnymi środkami transportu po osiągnięciu przez beton wytrzymałości minimum 0,7 wytrzymałości projektowanej.</w:t>
      </w:r>
    </w:p>
    <w:p w14:paraId="39A10D5C"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Obrzeża powinny być zabezpieczone przed przemieszczeniem się i uszkodzeniami w czasie transportu.</w:t>
      </w:r>
    </w:p>
    <w:p w14:paraId="728A633A"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4.3. Transport pozostałych materiałów</w:t>
      </w:r>
    </w:p>
    <w:p w14:paraId="420D9BFC"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Transport pozostałych materiałów podano w SST D-08.01.01 „Krawężniki betonowe”.</w:t>
      </w:r>
    </w:p>
    <w:p w14:paraId="1F25EC63"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bookmarkStart w:id="1085" w:name="_Toc426531386"/>
      <w:r w:rsidRPr="006431C4">
        <w:rPr>
          <w:rFonts w:cs="Arial"/>
          <w:b/>
          <w:bCs/>
          <w:szCs w:val="20"/>
        </w:rPr>
        <w:t>5. wykonanie robót</w:t>
      </w:r>
      <w:bookmarkEnd w:id="1085"/>
    </w:p>
    <w:p w14:paraId="0CEA63A4"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5.1. Ogólne zasady wykonania robót</w:t>
      </w:r>
    </w:p>
    <w:p w14:paraId="16FD3D9B"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zasady wykonania robót podano w SST D-M-00.00.00 „Wymagania ogólne” pkt 5.</w:t>
      </w:r>
    </w:p>
    <w:p w14:paraId="0C31318A"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5.2. Wykonanie koryta</w:t>
      </w:r>
    </w:p>
    <w:p w14:paraId="56462085"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Koryto pod podsypkę (ławę) należy wykonywać zgodnie z PN-B-06050 [1].</w:t>
      </w:r>
    </w:p>
    <w:p w14:paraId="5B5A80A8"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Wymiary wykopu powinny odpowiadać wymiarom ławy w planie z uwzględnieniem w szerokości dna wykopu ew. konstrukcji szalunku.</w:t>
      </w:r>
    </w:p>
    <w:p w14:paraId="3A068DEA"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5.3. Podłoże lub podsypka (ława)</w:t>
      </w:r>
    </w:p>
    <w:p w14:paraId="287F1E87"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Podłoże pod ustawienie obrzeża może stanowić rodzimy grunt piaszczysty lub podsypka (ława) ze żwiru lub piasku, o grubości warstwy od 3 do 5 cm po zagęszczeniu. Podsypkę (ławę) wykonuje się przez zasypanie koryta żwirem lub piaskiem i zagęszczenie z polewaniem wodą.</w:t>
      </w:r>
    </w:p>
    <w:p w14:paraId="2FC2F6B0"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5.4. Ustawienie betonowych obrzeży chodnikowych</w:t>
      </w:r>
    </w:p>
    <w:p w14:paraId="657E8904"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Betonowe obrzeża chodnikowe należy ustawiać na wykonanym podłożu w miejscu i ze światłem (odległością górnej powierzchni obrzeża od ciągu komunikacyjnego) zgodnym z ustaleniami dokumentacji projektowej.</w:t>
      </w:r>
    </w:p>
    <w:p w14:paraId="425B3871"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Zewnętrzna ściana obrzeża powinna być obsypana piaskiem, żwirem lub miejscowym gruntem przepuszczalnym, starannie ubitym.</w:t>
      </w:r>
    </w:p>
    <w:p w14:paraId="409126A9"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lastRenderedPageBreak/>
        <w:t>Spoiny nie powinny przekraczać szerokości 1 cm. Należy wypełnić je piaskiem lub zaprawą cementowo-piaskową w stosunku 1:2. Spoiny przed zalaniem należy oczyścić i zmyć wodą. Spoiny muszą być wypełnione całkowicie na pełną głębokość.</w:t>
      </w:r>
    </w:p>
    <w:p w14:paraId="1B84F28B"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bookmarkStart w:id="1086" w:name="_Toc426531387"/>
      <w:r w:rsidRPr="006431C4">
        <w:rPr>
          <w:rFonts w:cs="Arial"/>
          <w:b/>
          <w:bCs/>
          <w:szCs w:val="20"/>
        </w:rPr>
        <w:t>6. Kontrola jakości robót</w:t>
      </w:r>
      <w:bookmarkEnd w:id="1086"/>
    </w:p>
    <w:p w14:paraId="56598D78"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6.1. Ogólne zasady kontroli jakości robót</w:t>
      </w:r>
    </w:p>
    <w:p w14:paraId="44951FAB"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zasady kontroli jakości robót podano w SST D-M-00.00.00 „Wymagania ogólne” pkt 6.</w:t>
      </w:r>
    </w:p>
    <w:p w14:paraId="27ECAC41"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6.2. Badania przed przystąpieniem do robót</w:t>
      </w:r>
    </w:p>
    <w:p w14:paraId="3D98F7E1"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Przed przystąpieniem do robót Wykonawca powinien wykonać badania materiałów przeznaczonych do ustawienia betonowych obrzeży chodnikowych i przedstawić wyniki tych badań Inżynierowi do akceptacji.</w:t>
      </w:r>
    </w:p>
    <w:p w14:paraId="306A4A68"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14:paraId="78B53F2F"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14:paraId="5C45F23F"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Badania pozostałych materiałów powinny obejmować wszystkie właściwości określone w normach podanych dla odpowiednich materiałów wymienionych w pkt 2.</w:t>
      </w:r>
    </w:p>
    <w:p w14:paraId="026B449D"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6.3. Badania w czasie robót</w:t>
      </w:r>
    </w:p>
    <w:p w14:paraId="6833F9D3"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W czasie robót należy sprawdzać wykonanie:</w:t>
      </w:r>
    </w:p>
    <w:p w14:paraId="2D03F5BD" w14:textId="77777777" w:rsidR="00B060F9" w:rsidRPr="006431C4" w:rsidRDefault="00B060F9" w:rsidP="00270120">
      <w:pPr>
        <w:numPr>
          <w:ilvl w:val="0"/>
          <w:numId w:val="3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koryta pod podsypkę (ławę) - zgodnie z wymaganiami pkt 5.2,</w:t>
      </w:r>
    </w:p>
    <w:p w14:paraId="0BF7153A" w14:textId="77777777" w:rsidR="00B060F9" w:rsidRPr="006431C4" w:rsidRDefault="00B060F9" w:rsidP="00270120">
      <w:pPr>
        <w:numPr>
          <w:ilvl w:val="0"/>
          <w:numId w:val="3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podłoża z rodzimego gruntu piaszczystego lub podsypki (ławy) ze żwiru lub piasku - zgodnie z wymaganiami pkt 5.3,</w:t>
      </w:r>
    </w:p>
    <w:p w14:paraId="20F60313" w14:textId="77777777" w:rsidR="00B060F9" w:rsidRPr="006431C4" w:rsidRDefault="00B060F9" w:rsidP="00270120">
      <w:pPr>
        <w:numPr>
          <w:ilvl w:val="0"/>
          <w:numId w:val="3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ustawienia betonowego obrzeża chodnikowego - zgodnie z wymaganiami pkt 5.4, przy dopuszczalnych odchyleniach:</w:t>
      </w:r>
    </w:p>
    <w:p w14:paraId="18E0C1CD"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 xml:space="preserve">linii obrzeża w planie, które może wynosić </w:t>
      </w:r>
      <w:r w:rsidRPr="006431C4">
        <w:rPr>
          <w:rFonts w:cs="Arial"/>
          <w:szCs w:val="20"/>
        </w:rPr>
        <w:sym w:font="Symbol" w:char="F0B1"/>
      </w:r>
      <w:r w:rsidRPr="006431C4">
        <w:rPr>
          <w:rFonts w:cs="Arial"/>
          <w:szCs w:val="20"/>
        </w:rPr>
        <w:t xml:space="preserve"> 2 cm na każde 100 m długości obrzeża,</w:t>
      </w:r>
    </w:p>
    <w:p w14:paraId="01779D68"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 xml:space="preserve">niwelety górnej płaszczyzny obrzeża , które może wynosić </w:t>
      </w:r>
      <w:r w:rsidRPr="006431C4">
        <w:rPr>
          <w:rFonts w:cs="Arial"/>
          <w:szCs w:val="20"/>
        </w:rPr>
        <w:sym w:font="Symbol" w:char="F0B1"/>
      </w:r>
      <w:r w:rsidRPr="006431C4">
        <w:rPr>
          <w:rFonts w:cs="Arial"/>
          <w:szCs w:val="20"/>
        </w:rPr>
        <w:t>1 cm na każde 100 m długości obrzeża,</w:t>
      </w:r>
    </w:p>
    <w:p w14:paraId="64DE60A4"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wypełnienia spoin, sprawdzane co 10 metrów, które powinno wykazywać całkowite wypełnienie badanej spoiny na pełną głębokość.</w:t>
      </w:r>
    </w:p>
    <w:p w14:paraId="422E66D2"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bookmarkStart w:id="1087" w:name="_Toc426531388"/>
      <w:r w:rsidRPr="006431C4">
        <w:rPr>
          <w:rFonts w:cs="Arial"/>
          <w:b/>
          <w:bCs/>
          <w:szCs w:val="20"/>
        </w:rPr>
        <w:t>7. Obmiar robót</w:t>
      </w:r>
      <w:bookmarkEnd w:id="1087"/>
    </w:p>
    <w:p w14:paraId="092B532B"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7.1. Ogólne zasady obmiaru robót</w:t>
      </w:r>
    </w:p>
    <w:p w14:paraId="5E225A08"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zasady obmiaru robót podano w SST D-M-00.00.00 „Wymagania ogólne” pkt 7.</w:t>
      </w:r>
    </w:p>
    <w:p w14:paraId="66E4D4B2"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7.2. Jednostka obmiarowa</w:t>
      </w:r>
    </w:p>
    <w:p w14:paraId="73C0B12A"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Jednostką obmiarową jest m (metr) ustawionego betonowego obrzeża chodnikowego.</w:t>
      </w:r>
    </w:p>
    <w:p w14:paraId="425985CE"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bookmarkStart w:id="1088" w:name="_Toc426435744"/>
      <w:bookmarkStart w:id="1089" w:name="_Toc426531389"/>
      <w:r w:rsidRPr="006431C4">
        <w:rPr>
          <w:rFonts w:cs="Arial"/>
          <w:b/>
          <w:bCs/>
          <w:szCs w:val="20"/>
        </w:rPr>
        <w:t>8. ODBIÓR ROBÓT</w:t>
      </w:r>
      <w:bookmarkEnd w:id="1088"/>
      <w:bookmarkEnd w:id="1089"/>
    </w:p>
    <w:p w14:paraId="7F6EF8E3"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8.1. Ogólne zasady odbioru robót</w:t>
      </w:r>
    </w:p>
    <w:p w14:paraId="5F4F207D"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zasady odbioru robót podano w SST D-M-00.00.00 „Wymagania ogólne” pkt 8.</w:t>
      </w:r>
    </w:p>
    <w:p w14:paraId="799E3758"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Roboty uznaje się za wykonane zgodnie z dokumentacją projektową, SST i wymaganiami Inżyniera, jeżeli wszystkie pomiary i badania z zachowaniem tolerancji wg pkt 6 dały wyniki pozytywne.</w:t>
      </w:r>
    </w:p>
    <w:p w14:paraId="45BE264D"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8.2. Odbiór robót zanikających i ulegających zakryciu</w:t>
      </w:r>
    </w:p>
    <w:p w14:paraId="2AD03137"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Odbiorowi robót zanikających i ulegających zakryciu podlegają:</w:t>
      </w:r>
    </w:p>
    <w:p w14:paraId="0FFCCB46"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wykonane koryto,</w:t>
      </w:r>
    </w:p>
    <w:p w14:paraId="700EEA0F"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wykonana podsypka.</w:t>
      </w:r>
    </w:p>
    <w:p w14:paraId="0736330B"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bookmarkStart w:id="1090" w:name="_Toc426435745"/>
      <w:bookmarkStart w:id="1091" w:name="_Toc426531390"/>
      <w:r w:rsidRPr="006431C4">
        <w:rPr>
          <w:rFonts w:cs="Arial"/>
          <w:b/>
          <w:bCs/>
          <w:szCs w:val="20"/>
        </w:rPr>
        <w:t>9. PODSTAWA PŁATNOŚCI</w:t>
      </w:r>
      <w:bookmarkEnd w:id="1090"/>
      <w:bookmarkEnd w:id="1091"/>
    </w:p>
    <w:p w14:paraId="4550EE8F"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9.1. Ogólne ustalenia dotyczące podstawy płatności</w:t>
      </w:r>
    </w:p>
    <w:p w14:paraId="4CDCBB51" w14:textId="77777777" w:rsidR="00B060F9" w:rsidRPr="006431C4" w:rsidRDefault="00B060F9" w:rsidP="00270120">
      <w:pPr>
        <w:shd w:val="clear" w:color="auto" w:fill="FFFFFF" w:themeFill="background1"/>
        <w:tabs>
          <w:tab w:val="left" w:pos="142"/>
        </w:tabs>
        <w:spacing w:line="240" w:lineRule="auto"/>
        <w:jc w:val="both"/>
        <w:rPr>
          <w:rFonts w:cs="Arial"/>
          <w:szCs w:val="20"/>
        </w:rPr>
      </w:pPr>
      <w:r w:rsidRPr="006431C4">
        <w:rPr>
          <w:rFonts w:cs="Arial"/>
          <w:szCs w:val="20"/>
        </w:rPr>
        <w:t>Ogólne ustalenia dotyczące podstawy płatności podano w SST D-M-00.00.00 „Wymagania ogólne” pkt 9.</w:t>
      </w:r>
    </w:p>
    <w:p w14:paraId="4B0AE452"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9.2. Cena jednostki obmiarowej</w:t>
      </w:r>
    </w:p>
    <w:p w14:paraId="7BE60C15"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Cena wykonania 1 m betonowego obrzeża chodnikowego obejmuje:</w:t>
      </w:r>
    </w:p>
    <w:p w14:paraId="436A69DB"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prace pomiarowe i roboty przygotowawcze,</w:t>
      </w:r>
    </w:p>
    <w:p w14:paraId="646BC382"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dostarczenie materiałów,</w:t>
      </w:r>
    </w:p>
    <w:p w14:paraId="153840F9"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wykonanie koryta,</w:t>
      </w:r>
    </w:p>
    <w:p w14:paraId="2A2155C4"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rozścielenie i ubicie podsypki,</w:t>
      </w:r>
    </w:p>
    <w:p w14:paraId="5BE41AB7"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ustawienie obrzeża,</w:t>
      </w:r>
    </w:p>
    <w:p w14:paraId="58E1C881"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wypełnienie spoin,</w:t>
      </w:r>
    </w:p>
    <w:p w14:paraId="68D5D786"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obsypanie zewnętrznej ściany obrzeża,</w:t>
      </w:r>
    </w:p>
    <w:p w14:paraId="6EBA27A3" w14:textId="77777777" w:rsidR="00B060F9" w:rsidRPr="006431C4" w:rsidRDefault="00B060F9" w:rsidP="00270120">
      <w:pPr>
        <w:numPr>
          <w:ilvl w:val="0"/>
          <w:numId w:val="4"/>
        </w:numPr>
        <w:shd w:val="clear" w:color="auto" w:fill="FFFFFF" w:themeFill="background1"/>
        <w:tabs>
          <w:tab w:val="left" w:pos="142"/>
        </w:tabs>
        <w:spacing w:line="240" w:lineRule="auto"/>
        <w:ind w:left="0" w:firstLine="0"/>
        <w:contextualSpacing/>
        <w:jc w:val="both"/>
        <w:rPr>
          <w:rFonts w:cs="Arial"/>
          <w:szCs w:val="20"/>
        </w:rPr>
      </w:pPr>
      <w:r w:rsidRPr="006431C4">
        <w:rPr>
          <w:rFonts w:cs="Arial"/>
          <w:szCs w:val="20"/>
        </w:rPr>
        <w:t>wykonanie badań i pomiarów wymaganych w specyfikacji technicznej.</w:t>
      </w:r>
    </w:p>
    <w:p w14:paraId="768F90FF"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
          <w:bCs/>
          <w:szCs w:val="20"/>
        </w:rPr>
      </w:pPr>
      <w:bookmarkStart w:id="1092" w:name="_Toc426531391"/>
      <w:r w:rsidRPr="006431C4">
        <w:rPr>
          <w:rFonts w:cs="Arial"/>
          <w:b/>
          <w:bCs/>
          <w:szCs w:val="20"/>
        </w:rPr>
        <w:t>10. Przepisy związane</w:t>
      </w:r>
      <w:bookmarkEnd w:id="1092"/>
    </w:p>
    <w:p w14:paraId="7CBA7F58" w14:textId="77777777" w:rsidR="00B060F9" w:rsidRPr="006431C4" w:rsidRDefault="00B060F9" w:rsidP="00270120">
      <w:pPr>
        <w:keepNext/>
        <w:shd w:val="clear" w:color="auto" w:fill="FFFFFF" w:themeFill="background1"/>
        <w:tabs>
          <w:tab w:val="left" w:pos="142"/>
        </w:tabs>
        <w:spacing w:line="240" w:lineRule="auto"/>
        <w:jc w:val="both"/>
        <w:outlineLvl w:val="1"/>
        <w:rPr>
          <w:rFonts w:cs="Arial"/>
          <w:b/>
          <w:bCs/>
          <w:szCs w:val="20"/>
        </w:rPr>
      </w:pPr>
      <w:r w:rsidRPr="006431C4">
        <w:rPr>
          <w:rFonts w:cs="Arial"/>
          <w:b/>
          <w:bCs/>
          <w:szCs w:val="20"/>
        </w:rPr>
        <w:t>Normy</w:t>
      </w:r>
    </w:p>
    <w:p w14:paraId="19B444CA"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1.</w:t>
      </w:r>
      <w:r w:rsidRPr="006431C4">
        <w:rPr>
          <w:rFonts w:cs="Arial"/>
          <w:szCs w:val="20"/>
        </w:rPr>
        <w:tab/>
        <w:t>PN-B-06050 Geotechnika. Roboty ziemne. Wymagania ogólne.</w:t>
      </w:r>
    </w:p>
    <w:p w14:paraId="33BFA990"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2.</w:t>
      </w:r>
      <w:r w:rsidRPr="006431C4">
        <w:rPr>
          <w:rFonts w:cs="Arial"/>
          <w:szCs w:val="20"/>
        </w:rPr>
        <w:tab/>
        <w:t>PN-EN 206-1 Beton. Cz</w:t>
      </w:r>
      <w:r w:rsidRPr="006431C4">
        <w:rPr>
          <w:rFonts w:eastAsia="TimesNewRoman" w:cs="Arial"/>
          <w:szCs w:val="20"/>
        </w:rPr>
        <w:t xml:space="preserve">ęść </w:t>
      </w:r>
      <w:r w:rsidRPr="006431C4">
        <w:rPr>
          <w:rFonts w:cs="Arial"/>
          <w:szCs w:val="20"/>
        </w:rPr>
        <w:t>1:Wymagania, wła</w:t>
      </w:r>
      <w:r w:rsidRPr="006431C4">
        <w:rPr>
          <w:rFonts w:eastAsia="TimesNewRoman" w:cs="Arial"/>
          <w:szCs w:val="20"/>
        </w:rPr>
        <w:t>ś</w:t>
      </w:r>
      <w:r w:rsidRPr="006431C4">
        <w:rPr>
          <w:rFonts w:cs="Arial"/>
          <w:szCs w:val="20"/>
        </w:rPr>
        <w:t>ciwo</w:t>
      </w:r>
      <w:r w:rsidRPr="006431C4">
        <w:rPr>
          <w:rFonts w:eastAsia="TimesNewRoman" w:cs="Arial"/>
          <w:szCs w:val="20"/>
        </w:rPr>
        <w:t>ś</w:t>
      </w:r>
      <w:r w:rsidRPr="006431C4">
        <w:rPr>
          <w:rFonts w:cs="Arial"/>
          <w:szCs w:val="20"/>
        </w:rPr>
        <w:t>ci, produkcja i zgodno</w:t>
      </w:r>
      <w:r w:rsidRPr="006431C4">
        <w:rPr>
          <w:rFonts w:eastAsia="TimesNewRoman" w:cs="Arial"/>
          <w:szCs w:val="20"/>
        </w:rPr>
        <w:t>ść</w:t>
      </w:r>
      <w:r w:rsidRPr="006431C4">
        <w:rPr>
          <w:rFonts w:cs="Arial"/>
          <w:szCs w:val="20"/>
        </w:rPr>
        <w:t>.</w:t>
      </w:r>
    </w:p>
    <w:p w14:paraId="5AD8CB48"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3.</w:t>
      </w:r>
      <w:r w:rsidRPr="006431C4">
        <w:rPr>
          <w:rFonts w:cs="Arial"/>
          <w:szCs w:val="20"/>
        </w:rPr>
        <w:tab/>
        <w:t>PN-EN 13043 Kruszywa do mieszanek bitumicznych i powierzchniowych utrwale</w:t>
      </w:r>
      <w:r w:rsidRPr="006431C4">
        <w:rPr>
          <w:rFonts w:eastAsia="TimesNewRoman" w:cs="Arial"/>
          <w:szCs w:val="20"/>
        </w:rPr>
        <w:t xml:space="preserve">ń </w:t>
      </w:r>
      <w:r w:rsidRPr="006431C4">
        <w:rPr>
          <w:rFonts w:cs="Arial"/>
          <w:szCs w:val="20"/>
        </w:rPr>
        <w:t>stosowanych na drogach,</w:t>
      </w:r>
    </w:p>
    <w:p w14:paraId="49FB7E6B"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lotniskach i innych powierzchniach przeznaczonych do ruchu.</w:t>
      </w:r>
    </w:p>
    <w:p w14:paraId="502DB2FA"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4.</w:t>
      </w:r>
      <w:r w:rsidRPr="006431C4">
        <w:rPr>
          <w:rFonts w:cs="Arial"/>
          <w:szCs w:val="20"/>
        </w:rPr>
        <w:tab/>
        <w:t>PN-EN 1008 Woda zarobowa do betonu. Specyfikacja pobierania próbek, badanie i ocena przydatno</w:t>
      </w:r>
      <w:r w:rsidRPr="006431C4">
        <w:rPr>
          <w:rFonts w:eastAsia="TimesNewRoman" w:cs="Arial"/>
          <w:szCs w:val="20"/>
        </w:rPr>
        <w:t>ś</w:t>
      </w:r>
      <w:r w:rsidRPr="006431C4">
        <w:rPr>
          <w:rFonts w:cs="Arial"/>
          <w:szCs w:val="20"/>
        </w:rPr>
        <w:t>ci wody</w:t>
      </w:r>
    </w:p>
    <w:p w14:paraId="0437EE13"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zarobowej do betonu, w tym wody odzyskanej z procesów produkcji betonu.</w:t>
      </w:r>
    </w:p>
    <w:p w14:paraId="70B50CCA"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t>5.</w:t>
      </w:r>
      <w:r w:rsidRPr="006431C4">
        <w:rPr>
          <w:rFonts w:cs="Arial"/>
          <w:szCs w:val="20"/>
        </w:rPr>
        <w:tab/>
        <w:t>PN-N-03010 Statystyczna kontrola jako</w:t>
      </w:r>
      <w:r w:rsidRPr="006431C4">
        <w:rPr>
          <w:rFonts w:eastAsia="TimesNewRoman" w:cs="Arial"/>
          <w:szCs w:val="20"/>
        </w:rPr>
        <w:t>ś</w:t>
      </w:r>
      <w:r w:rsidRPr="006431C4">
        <w:rPr>
          <w:rFonts w:cs="Arial"/>
          <w:szCs w:val="20"/>
        </w:rPr>
        <w:t>ci. Losowy wybór jednostek produktu do próbki.</w:t>
      </w:r>
    </w:p>
    <w:p w14:paraId="6CB8A2EE" w14:textId="77777777" w:rsidR="00B060F9" w:rsidRPr="006431C4" w:rsidRDefault="00B060F9" w:rsidP="00270120">
      <w:pPr>
        <w:shd w:val="clear" w:color="auto" w:fill="FFFFFF" w:themeFill="background1"/>
        <w:tabs>
          <w:tab w:val="left" w:pos="142"/>
        </w:tabs>
        <w:spacing w:line="240" w:lineRule="auto"/>
        <w:contextualSpacing/>
        <w:jc w:val="both"/>
        <w:rPr>
          <w:rFonts w:cs="Arial"/>
          <w:szCs w:val="20"/>
        </w:rPr>
      </w:pPr>
      <w:r w:rsidRPr="006431C4">
        <w:rPr>
          <w:rFonts w:cs="Arial"/>
          <w:szCs w:val="20"/>
        </w:rPr>
        <w:lastRenderedPageBreak/>
        <w:t>6.</w:t>
      </w:r>
      <w:r w:rsidRPr="006431C4">
        <w:rPr>
          <w:rFonts w:cs="Arial"/>
          <w:szCs w:val="20"/>
        </w:rPr>
        <w:tab/>
        <w:t>PN-EN 1340 Kraw</w:t>
      </w:r>
      <w:r w:rsidRPr="006431C4">
        <w:rPr>
          <w:rFonts w:eastAsia="TimesNewRoman" w:cs="Arial"/>
          <w:szCs w:val="20"/>
        </w:rPr>
        <w:t>ęż</w:t>
      </w:r>
      <w:r w:rsidRPr="006431C4">
        <w:rPr>
          <w:rFonts w:cs="Arial"/>
          <w:szCs w:val="20"/>
        </w:rPr>
        <w:t>niki betonowe. Wymagania i metody bada</w:t>
      </w:r>
      <w:r w:rsidRPr="006431C4">
        <w:rPr>
          <w:rFonts w:eastAsia="TimesNewRoman" w:cs="Arial"/>
          <w:szCs w:val="20"/>
        </w:rPr>
        <w:t>ń</w:t>
      </w:r>
      <w:r w:rsidRPr="006431C4">
        <w:rPr>
          <w:rFonts w:cs="Arial"/>
          <w:szCs w:val="20"/>
        </w:rPr>
        <w:t>.</w:t>
      </w:r>
    </w:p>
    <w:p w14:paraId="024F86EA" w14:textId="77777777" w:rsidR="00B060F9" w:rsidRPr="006431C4" w:rsidRDefault="00B060F9" w:rsidP="00270120">
      <w:pPr>
        <w:keepNext/>
        <w:shd w:val="clear" w:color="auto" w:fill="FFFFFF" w:themeFill="background1"/>
        <w:tabs>
          <w:tab w:val="left" w:pos="142"/>
        </w:tabs>
        <w:spacing w:line="240" w:lineRule="auto"/>
        <w:jc w:val="both"/>
        <w:outlineLvl w:val="0"/>
        <w:rPr>
          <w:rFonts w:cs="Arial"/>
          <w:bCs/>
          <w:szCs w:val="20"/>
        </w:rPr>
      </w:pPr>
      <w:r w:rsidRPr="006431C4">
        <w:rPr>
          <w:rFonts w:cs="Arial"/>
          <w:bCs/>
          <w:szCs w:val="20"/>
        </w:rPr>
        <w:t>7. PN/EN 45014 Ogólne kryteria dotycz</w:t>
      </w:r>
      <w:r w:rsidRPr="006431C4">
        <w:rPr>
          <w:rFonts w:eastAsia="TimesNewRoman" w:cs="Arial"/>
          <w:bCs/>
          <w:szCs w:val="20"/>
        </w:rPr>
        <w:t>ą</w:t>
      </w:r>
      <w:r w:rsidRPr="006431C4">
        <w:rPr>
          <w:rFonts w:cs="Arial"/>
          <w:bCs/>
          <w:szCs w:val="20"/>
        </w:rPr>
        <w:t>ce deklaracji zgodno</w:t>
      </w:r>
      <w:r w:rsidRPr="006431C4">
        <w:rPr>
          <w:rFonts w:eastAsia="TimesNewRoman" w:cs="Arial"/>
          <w:bCs/>
          <w:szCs w:val="20"/>
        </w:rPr>
        <w:t>ś</w:t>
      </w:r>
      <w:r w:rsidRPr="006431C4">
        <w:rPr>
          <w:rFonts w:cs="Arial"/>
          <w:bCs/>
          <w:szCs w:val="20"/>
        </w:rPr>
        <w:t>ci wydawanej przez dostawców.</w:t>
      </w:r>
    </w:p>
    <w:p w14:paraId="08FE4808" w14:textId="77777777" w:rsidR="005B0CB0" w:rsidRPr="006431C4" w:rsidRDefault="005B0CB0" w:rsidP="00270120">
      <w:pPr>
        <w:pStyle w:val="Nagwek4"/>
        <w:shd w:val="clear" w:color="auto" w:fill="FFFFFF" w:themeFill="background1"/>
        <w:tabs>
          <w:tab w:val="left" w:pos="142"/>
        </w:tabs>
        <w:spacing w:before="240" w:line="240" w:lineRule="auto"/>
        <w:jc w:val="both"/>
        <w:rPr>
          <w:rFonts w:cs="Arial"/>
          <w:szCs w:val="20"/>
        </w:rPr>
      </w:pPr>
      <w:bookmarkStart w:id="1093" w:name="_Toc111635996"/>
      <w:r w:rsidRPr="006431C4">
        <w:rPr>
          <w:rFonts w:cs="Arial"/>
          <w:szCs w:val="20"/>
        </w:rPr>
        <w:t xml:space="preserve">D-09.01.01 – </w:t>
      </w:r>
      <w:r w:rsidR="00551B7B" w:rsidRPr="006431C4">
        <w:rPr>
          <w:rFonts w:cs="Arial"/>
          <w:szCs w:val="20"/>
        </w:rPr>
        <w:t>ZIELEŃ PRZYDROŻNA</w:t>
      </w:r>
      <w:bookmarkEnd w:id="1093"/>
    </w:p>
    <w:p w14:paraId="1E1E1FFE" w14:textId="77777777" w:rsidR="005B0CB0" w:rsidRPr="006431C4" w:rsidRDefault="005B0CB0" w:rsidP="00270120">
      <w:pPr>
        <w:pStyle w:val="Nagwek1"/>
        <w:shd w:val="clear" w:color="auto" w:fill="FFFFFF" w:themeFill="background1"/>
        <w:tabs>
          <w:tab w:val="left" w:pos="142"/>
        </w:tabs>
        <w:spacing w:line="240" w:lineRule="auto"/>
        <w:jc w:val="both"/>
        <w:rPr>
          <w:rFonts w:cs="Arial"/>
          <w:szCs w:val="20"/>
        </w:rPr>
      </w:pPr>
      <w:r w:rsidRPr="006431C4">
        <w:rPr>
          <w:rFonts w:cs="Arial"/>
          <w:szCs w:val="20"/>
        </w:rPr>
        <w:t>1. Wstęp</w:t>
      </w:r>
    </w:p>
    <w:p w14:paraId="04BE18E3" w14:textId="77777777" w:rsidR="005B0CB0" w:rsidRPr="006431C4" w:rsidRDefault="005B0CB0"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1.1. Przedmiot SST</w:t>
      </w:r>
    </w:p>
    <w:p w14:paraId="0BCD6621" w14:textId="77777777" w:rsidR="005B0CB0" w:rsidRPr="006431C4" w:rsidRDefault="005B0CB0" w:rsidP="00270120">
      <w:pPr>
        <w:pStyle w:val="Standardowytekst"/>
        <w:shd w:val="clear" w:color="auto" w:fill="FFFFFF" w:themeFill="background1"/>
        <w:tabs>
          <w:tab w:val="left" w:pos="142"/>
        </w:tabs>
        <w:rPr>
          <w:rFonts w:ascii="Arial" w:hAnsi="Arial" w:cs="Arial"/>
        </w:rPr>
      </w:pPr>
      <w:r w:rsidRPr="006431C4">
        <w:rPr>
          <w:rFonts w:ascii="Arial" w:hAnsi="Arial" w:cs="Arial"/>
        </w:rPr>
        <w:t>Przedmiotem niniejszej szczegółowej specyfikacji technicznej są wymagania dotyczące wykonania i odbioru robót związanych z założeniem i pielęgnacją zieleni drogowej.</w:t>
      </w:r>
    </w:p>
    <w:p w14:paraId="61D3B32A" w14:textId="77777777" w:rsidR="005B0CB0" w:rsidRPr="006431C4" w:rsidRDefault="005B0CB0"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1.2. Zakres stosowania SST</w:t>
      </w:r>
    </w:p>
    <w:p w14:paraId="118D2E6C" w14:textId="77777777" w:rsidR="005B0CB0" w:rsidRPr="006431C4" w:rsidRDefault="005B0CB0"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1361704080"/>
        <w:placeholder>
          <w:docPart w:val="27C16B53F83B49D9AD10192E57CA23C1"/>
        </w:placeholder>
        <w:dataBinding w:prefixMappings="xmlns:ns0='http://purl.org/dc/elements/1.1/' xmlns:ns1='http://schemas.openxmlformats.org/package/2006/metadata/core-properties' " w:xpath="/ns1:coreProperties[1]/ns0:subject[1]" w:storeItemID="{6C3C8BC8-F283-45AE-878A-BAB7291924A1}"/>
        <w:text/>
      </w:sdtPr>
      <w:sdtEndPr/>
      <w:sdtContent>
        <w:p w14:paraId="703AA8BE" w14:textId="769BA95A" w:rsidR="005B0CB0" w:rsidRPr="006431C4" w:rsidRDefault="00484E05" w:rsidP="00270120">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1568741E" w14:textId="77777777" w:rsidR="005B0CB0" w:rsidRPr="006431C4" w:rsidRDefault="005B0CB0" w:rsidP="00270120">
      <w:pPr>
        <w:pStyle w:val="tekstost"/>
        <w:shd w:val="clear" w:color="auto" w:fill="FFFFFF" w:themeFill="background1"/>
        <w:tabs>
          <w:tab w:val="left" w:pos="142"/>
        </w:tabs>
        <w:rPr>
          <w:rFonts w:ascii="Arial" w:hAnsi="Arial" w:cs="Arial"/>
          <w:b/>
        </w:rPr>
      </w:pPr>
      <w:r w:rsidRPr="006431C4">
        <w:rPr>
          <w:rFonts w:ascii="Arial" w:hAnsi="Arial" w:cs="Arial"/>
          <w:b/>
        </w:rPr>
        <w:t>1.3. Zakres robót objętych SST</w:t>
      </w:r>
    </w:p>
    <w:p w14:paraId="633B565F" w14:textId="77777777" w:rsidR="006E43C8" w:rsidRPr="006E43C8" w:rsidRDefault="005B0CB0" w:rsidP="00270120">
      <w:pPr>
        <w:pStyle w:val="tekstost"/>
        <w:shd w:val="clear" w:color="auto" w:fill="FFFFFF" w:themeFill="background1"/>
        <w:tabs>
          <w:tab w:val="left" w:pos="142"/>
        </w:tabs>
        <w:rPr>
          <w:rFonts w:ascii="Arial" w:hAnsi="Arial" w:cs="Arial"/>
        </w:rPr>
      </w:pPr>
      <w:r w:rsidRPr="006431C4">
        <w:rPr>
          <w:rFonts w:ascii="Arial" w:hAnsi="Arial" w:cs="Arial"/>
        </w:rPr>
        <w:tab/>
        <w:t xml:space="preserve">Ustalenia zawarte w niniejszej szczegółowej specyfikacji </w:t>
      </w:r>
      <w:r w:rsidR="006E43C8" w:rsidRPr="006E43C8">
        <w:rPr>
          <w:rFonts w:ascii="Arial" w:hAnsi="Arial" w:cs="Arial"/>
        </w:rPr>
        <w:t>dotyczą zasad prowadzenia robót związanych z:</w:t>
      </w:r>
    </w:p>
    <w:p w14:paraId="766D728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zakładaniem i pielęgnacją trawników na terenie płaskim i na skarpach,</w:t>
      </w:r>
    </w:p>
    <w:p w14:paraId="5FD03E3F"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sadzeniem drzew i krzewów na terenie płaskim i na skarpach,</w:t>
      </w:r>
    </w:p>
    <w:p w14:paraId="52F0EB8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wykonaniem rabat i kwietników.</w:t>
      </w:r>
      <w:r w:rsidRPr="006E43C8">
        <w:rPr>
          <w:rFonts w:cs="Arial"/>
          <w:b/>
          <w:bCs/>
          <w:szCs w:val="20"/>
        </w:rPr>
        <w:tab/>
      </w:r>
    </w:p>
    <w:p w14:paraId="7F8952F1"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1.4. Określenia podstawowe</w:t>
      </w:r>
    </w:p>
    <w:p w14:paraId="523FD5C5"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1.4.1.</w:t>
      </w:r>
      <w:r w:rsidRPr="006E43C8">
        <w:rPr>
          <w:rFonts w:cs="Arial"/>
          <w:szCs w:val="20"/>
        </w:rPr>
        <w:t xml:space="preserve"> Zieleń przydrożna -  rośliny umieszczane w pasie drogowym oraz wokół i na wszystkich elementach infrastruktury drogowej.</w:t>
      </w:r>
    </w:p>
    <w:p w14:paraId="75F8C7E5" w14:textId="77777777" w:rsidR="006E43C8" w:rsidRPr="006E43C8" w:rsidRDefault="006E43C8" w:rsidP="00270120">
      <w:pPr>
        <w:overflowPunct w:val="0"/>
        <w:autoSpaceDE w:val="0"/>
        <w:autoSpaceDN w:val="0"/>
        <w:adjustRightInd w:val="0"/>
        <w:spacing w:line="240" w:lineRule="auto"/>
        <w:jc w:val="both"/>
        <w:textAlignment w:val="baseline"/>
        <w:rPr>
          <w:rFonts w:cs="Arial"/>
          <w:b/>
          <w:bCs/>
          <w:szCs w:val="20"/>
        </w:rPr>
      </w:pPr>
      <w:r w:rsidRPr="006E43C8">
        <w:rPr>
          <w:rFonts w:cs="Arial"/>
          <w:b/>
          <w:bCs/>
          <w:szCs w:val="20"/>
        </w:rPr>
        <w:t xml:space="preserve">1.4.2. </w:t>
      </w:r>
      <w:r w:rsidRPr="006E43C8">
        <w:rPr>
          <w:rFonts w:cs="Arial"/>
          <w:szCs w:val="20"/>
        </w:rPr>
        <w:t>Ziemia rodzima (gleba, grunt rodzimy) – wierzchnia warstwa gruntu, pochodząca z terenu przeznaczonego do budowy drogi.</w:t>
      </w:r>
    </w:p>
    <w:p w14:paraId="64199A85"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1.4.3. </w:t>
      </w:r>
      <w:r w:rsidRPr="006E43C8">
        <w:rPr>
          <w:rFonts w:cs="Arial"/>
          <w:szCs w:val="20"/>
        </w:rPr>
        <w:t>Ziemia urodzajna - ziemia posiadająca właściwości zapewniające roślinom prawidłowy rozwój.</w:t>
      </w:r>
    </w:p>
    <w:p w14:paraId="4549C3B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1.4.4.</w:t>
      </w:r>
      <w:r w:rsidRPr="006E43C8">
        <w:rPr>
          <w:rFonts w:cs="Arial"/>
          <w:szCs w:val="20"/>
        </w:rPr>
        <w:t xml:space="preserve"> Ziemia kompostowa (ziemia roślinna, ziemia ogrodnicza) - </w:t>
      </w:r>
      <w:r w:rsidRPr="006E43C8">
        <w:rPr>
          <w:rFonts w:cs="Arial"/>
          <w:szCs w:val="20"/>
        </w:rPr>
        <w:tab/>
        <w:t>ziemia bardzo bogata w składniki pokarmowe o dużym udziale czynnej próchnicy wyprodukowana najczęściej z przekompostowanych różnego rodzaju odpadów roślinnych.</w:t>
      </w:r>
    </w:p>
    <w:p w14:paraId="39E751A6"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bCs/>
          <w:szCs w:val="20"/>
        </w:rPr>
        <w:t xml:space="preserve">1.4.5. </w:t>
      </w:r>
      <w:r w:rsidRPr="006E43C8">
        <w:rPr>
          <w:rFonts w:cs="Arial"/>
          <w:szCs w:val="20"/>
        </w:rPr>
        <w:t>Humusowanie – zespół czynności przygotowujących powierzchnię gruntu do obudowy roślinnej, obejmujący naniesienie ziemi urodzajnej z jej wyrównaniem i dogęszczeniem.</w:t>
      </w:r>
    </w:p>
    <w:p w14:paraId="7A343048"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bCs/>
          <w:szCs w:val="20"/>
        </w:rPr>
        <w:t>1.4.6</w:t>
      </w:r>
      <w:r w:rsidRPr="006E43C8">
        <w:rPr>
          <w:rFonts w:cs="Arial"/>
          <w:szCs w:val="20"/>
        </w:rPr>
        <w:t>. Ściółkowanie (mulczowanie) – pokrywanie powierzchni gleby zrębkami lub mieloną korą w celu zmniejszenia parowania wody, niedopuszczenia do rozwoju chwastów, poprawy sprawności roli oraz zapobieżenia erozji wodnej i wietrznej.</w:t>
      </w:r>
    </w:p>
    <w:p w14:paraId="3F2D3856"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1.4.7. </w:t>
      </w:r>
      <w:r w:rsidRPr="006E43C8">
        <w:rPr>
          <w:rFonts w:cs="Arial"/>
          <w:szCs w:val="20"/>
        </w:rPr>
        <w:t>Materiał roślinny - sadzonki drzew, krzewów, pnączy, bylin, kwiatów jednorocznych i wieloletnich.</w:t>
      </w:r>
    </w:p>
    <w:p w14:paraId="44D71096"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1.4.8.</w:t>
      </w:r>
      <w:r w:rsidRPr="006E43C8">
        <w:rPr>
          <w:rFonts w:cs="Arial"/>
          <w:szCs w:val="20"/>
        </w:rPr>
        <w:t xml:space="preserve"> System korzeniowy – podziemna część rośliny.</w:t>
      </w:r>
    </w:p>
    <w:p w14:paraId="09A42010"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1.4.9. </w:t>
      </w:r>
      <w:r w:rsidRPr="006E43C8">
        <w:rPr>
          <w:rFonts w:cs="Arial"/>
          <w:szCs w:val="20"/>
        </w:rPr>
        <w:t>Bryła korzeniowa – bryła ziemi z częścią systemu korzeniowego uformowanego przez szkółkowanie.</w:t>
      </w:r>
    </w:p>
    <w:p w14:paraId="786EC9EB"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bCs/>
          <w:szCs w:val="20"/>
        </w:rPr>
        <w:t>1.4.10.</w:t>
      </w:r>
      <w:r w:rsidRPr="006E43C8">
        <w:rPr>
          <w:rFonts w:cs="Arial"/>
          <w:szCs w:val="20"/>
        </w:rPr>
        <w:t xml:space="preserve"> Drzewo – wieloletnia zdrewniała roślina posiadająca jeden lub więcej pni, które na pewnej wysokości rozgałęziają się w koronę.</w:t>
      </w:r>
    </w:p>
    <w:p w14:paraId="4D4540D8"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bCs/>
          <w:szCs w:val="20"/>
        </w:rPr>
        <w:t>1.4.11.</w:t>
      </w:r>
      <w:r w:rsidRPr="006E43C8">
        <w:rPr>
          <w:rFonts w:cs="Arial"/>
          <w:szCs w:val="20"/>
        </w:rPr>
        <w:t xml:space="preserve"> Krzew – wieloletnia, wielopędowa zdrewniała roślina bez wykształconego przewodnika z krótkim pędem głównym (do </w:t>
      </w:r>
      <w:smartTag w:uri="urn:schemas-microsoft-com:office:smarttags" w:element="metricconverter">
        <w:smartTagPr>
          <w:attr w:name="ProductID" w:val="10 cm"/>
        </w:smartTagPr>
        <w:r w:rsidRPr="006E43C8">
          <w:rPr>
            <w:rFonts w:cs="Arial"/>
            <w:szCs w:val="20"/>
          </w:rPr>
          <w:t>10 cm od szyjki korzeniowej</w:t>
        </w:r>
      </w:smartTag>
      <w:r w:rsidRPr="006E43C8">
        <w:rPr>
          <w:rFonts w:cs="Arial"/>
          <w:szCs w:val="20"/>
        </w:rPr>
        <w:t>), z którego wyrastają równorzędne, rozgałęziające się pędy boczne.</w:t>
      </w:r>
    </w:p>
    <w:p w14:paraId="74D57DB3"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1.4.12. </w:t>
      </w:r>
      <w:r w:rsidRPr="006E43C8">
        <w:rPr>
          <w:rFonts w:cs="Arial"/>
          <w:szCs w:val="20"/>
        </w:rPr>
        <w:t>Forma naturalna - forma roślin zgodna z naturalnymi cechami wzrostu danego gatunku; w przypadku drzew z wyraźnie wykształconym przewodnikiem.</w:t>
      </w:r>
    </w:p>
    <w:p w14:paraId="3D44370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1.4.13. </w:t>
      </w:r>
      <w:r w:rsidRPr="006E43C8">
        <w:rPr>
          <w:rFonts w:cs="Arial"/>
          <w:szCs w:val="20"/>
        </w:rPr>
        <w:t>Forma pienna - forma krzewu lub drzewa z wyraźnie uformowanym pniem i koroną.</w:t>
      </w:r>
    </w:p>
    <w:p w14:paraId="7D011E2D"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1.4.14. </w:t>
      </w:r>
      <w:r w:rsidRPr="006E43C8">
        <w:rPr>
          <w:rFonts w:cs="Arial"/>
          <w:szCs w:val="20"/>
        </w:rPr>
        <w:t>Forma krzewiasta - forma właściwa dla krzewów lub forma drzewa utworzona w szkółce przez niskie przycięcie przewodnika celem uzyskania wielopędowości (minimum 3 rozgałęziające się pędy, ew. 2 dla gatunków słabo krzewiących się).</w:t>
      </w:r>
    </w:p>
    <w:p w14:paraId="2EEF9B7C"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bCs/>
          <w:szCs w:val="20"/>
        </w:rPr>
        <w:t>1.4.15.</w:t>
      </w:r>
      <w:r w:rsidRPr="006E43C8">
        <w:rPr>
          <w:rFonts w:cs="Arial"/>
          <w:szCs w:val="20"/>
        </w:rPr>
        <w:t xml:space="preserve"> Przewodnik – pęd główny stanowiący oś drzewa.</w:t>
      </w:r>
    </w:p>
    <w:p w14:paraId="392CB6B2"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1.4.16.</w:t>
      </w:r>
      <w:r w:rsidRPr="006E43C8">
        <w:rPr>
          <w:rFonts w:cs="Arial"/>
          <w:szCs w:val="20"/>
        </w:rPr>
        <w:t xml:space="preserve"> Pień – nierozgałęziona dolna część przewodnika pomiędzy powierzchnią ziemi a początkiem korony.</w:t>
      </w:r>
    </w:p>
    <w:p w14:paraId="03698B8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1.4.17.</w:t>
      </w:r>
      <w:r w:rsidRPr="006E43C8">
        <w:rPr>
          <w:rFonts w:cs="Arial"/>
          <w:szCs w:val="20"/>
        </w:rPr>
        <w:t xml:space="preserve"> Korona – zespół konarów i gałęzi przybierający różne kształty w sposób naturalny, uzależniony od gatunku i odmiany. Wyróżniamy korony koliste, jajowate, stożkowate, kolumnowe lub formowane – szpalerowe, dachowe, kuliste.</w:t>
      </w:r>
    </w:p>
    <w:p w14:paraId="031B859B"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1.4.18.</w:t>
      </w:r>
      <w:r w:rsidRPr="006E43C8">
        <w:rPr>
          <w:rFonts w:cs="Arial"/>
          <w:szCs w:val="20"/>
        </w:rPr>
        <w:t xml:space="preserve"> Szkółkowanie – przesadzanie roślin w trakcie produkcji mające na celu rozwinięcie przez nie zwartego systemu korzeniowego zapewniającego korzystne warunki przyjęcia się rośliny po posadzeniu na miejscu stałym.</w:t>
      </w:r>
    </w:p>
    <w:p w14:paraId="51E13591"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1.4.19.</w:t>
      </w:r>
      <w:r w:rsidRPr="006E43C8">
        <w:rPr>
          <w:rFonts w:cs="Arial"/>
          <w:szCs w:val="20"/>
        </w:rPr>
        <w:t xml:space="preserve"> Soliter – krzew lub drzewo szkółkowane co najmniej 3 razy w odpowiednio dużym rozstawie.</w:t>
      </w:r>
    </w:p>
    <w:p w14:paraId="47D0E69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1.4.20. </w:t>
      </w:r>
      <w:r w:rsidRPr="006E43C8">
        <w:rPr>
          <w:rFonts w:cs="Arial"/>
          <w:szCs w:val="20"/>
        </w:rPr>
        <w:t>Pozostałe określenia podstawowe są zgodne z obowiązującymi, odpowiednimi polskimi normami i z definicjami podanymi w SST D-M-00.00.00 „Wymagania ogólne” pkt 1.4.</w:t>
      </w:r>
    </w:p>
    <w:p w14:paraId="342B7425"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1.5. Ogólne wymagania dotyczące robót</w:t>
      </w:r>
    </w:p>
    <w:p w14:paraId="02136CE3"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Ogólne wymagania dotyczące robót podano w SST D-M-00.00.00 „Wymagania ogólne” [1] pkt 1.5.</w:t>
      </w:r>
    </w:p>
    <w:p w14:paraId="3E44F1D8" w14:textId="77777777" w:rsidR="006E43C8" w:rsidRPr="006E43C8" w:rsidRDefault="006E43C8"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94" w:name="_Toc428677174"/>
      <w:r w:rsidRPr="006E43C8">
        <w:rPr>
          <w:rFonts w:cs="Arial"/>
          <w:b/>
          <w:caps/>
          <w:kern w:val="28"/>
          <w:szCs w:val="20"/>
        </w:rPr>
        <w:t xml:space="preserve">2. </w:t>
      </w:r>
      <w:bookmarkEnd w:id="1094"/>
      <w:r w:rsidRPr="006E43C8">
        <w:rPr>
          <w:rFonts w:cs="Arial"/>
          <w:b/>
          <w:caps/>
          <w:kern w:val="28"/>
          <w:szCs w:val="20"/>
        </w:rPr>
        <w:t>Materiały</w:t>
      </w:r>
    </w:p>
    <w:p w14:paraId="75FEB9D8"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2.1. Ogólne wymagania dotyczące materiałów</w:t>
      </w:r>
    </w:p>
    <w:p w14:paraId="482C8429"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Ogólne wymagania dotyczące materiałów, ich pozyskiwania i składowania, podano w  SST D-M-00.00.00 „Wymagania ogólne” [1] pkt 2.</w:t>
      </w:r>
    </w:p>
    <w:p w14:paraId="6ED6F9ED"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2.2. Ziemia urodzajna</w:t>
      </w:r>
    </w:p>
    <w:p w14:paraId="483EDB8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Ziemia urodzajna dla zapewnienia roślinom prawidłowego rozwoju musi zawierać odpowiednie składniki mineralne, co najmniej 2% części organicznych, być wilgotna i  pozbawiona kamieni większych niż 5 cm oraz obcych zanieczyszczeń [7].</w:t>
      </w:r>
    </w:p>
    <w:p w14:paraId="2E79A423"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W zależności od miejsca pozyskania, stawia się ziemi urodzajnej następujące wymagania ogólne:</w:t>
      </w:r>
    </w:p>
    <w:p w14:paraId="0B9AAC7C"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lastRenderedPageBreak/>
        <w:t xml:space="preserve">ziemia rodzima - powinna być zdjęta przed rozpoczęciem robót budowlanych i zmagazynowana w pryzmach nie przekraczających 2 m wysokości zgodnie z wymaganiami określonymi w SST D-01.02.02a [2]  </w:t>
      </w:r>
    </w:p>
    <w:p w14:paraId="47D7B56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ziemia pozyskana w innym miejscu i dostarczona na plac budowy - nie może być zagruzowana, przerośnięta korzeniami, zasolona lub zanieczyszczona chemicznie (co określa rozporządzenie Ministra Środowiska w sprawie sposobu prowadzenia oceny zanieczyszczenia powierzchni ziemi [8]).</w:t>
      </w:r>
    </w:p>
    <w:p w14:paraId="3956747A" w14:textId="77777777" w:rsidR="006E43C8" w:rsidRPr="006E43C8" w:rsidRDefault="006E43C8" w:rsidP="00270120">
      <w:pPr>
        <w:overflowPunct w:val="0"/>
        <w:autoSpaceDE w:val="0"/>
        <w:autoSpaceDN w:val="0"/>
        <w:adjustRightInd w:val="0"/>
        <w:spacing w:line="240" w:lineRule="auto"/>
        <w:ind w:left="709"/>
        <w:jc w:val="both"/>
        <w:textAlignment w:val="baseline"/>
        <w:rPr>
          <w:rFonts w:cs="Arial"/>
          <w:szCs w:val="20"/>
        </w:rPr>
      </w:pPr>
      <w:r w:rsidRPr="006E43C8">
        <w:rPr>
          <w:rFonts w:cs="Arial"/>
          <w:szCs w:val="20"/>
        </w:rPr>
        <w:t>Ziemia urodzajna powinna mieć następującą charakterystykę [6, 7]:</w:t>
      </w:r>
    </w:p>
    <w:p w14:paraId="44BF3A2C" w14:textId="77777777" w:rsidR="006E43C8" w:rsidRPr="006E43C8" w:rsidRDefault="006E43C8" w:rsidP="00CF1E7D">
      <w:pPr>
        <w:numPr>
          <w:ilvl w:val="0"/>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Optymalny skład granulometryczny:</w:t>
      </w:r>
    </w:p>
    <w:p w14:paraId="77277941"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frakcja ilasta – wielkość poniżej 0,002 mm – zawartość 12 – 18%,</w:t>
      </w:r>
    </w:p>
    <w:p w14:paraId="4063B98F"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frakcja pylasta – wielkość 0,002-0,05 mm – zawartość 20 – 30%,</w:t>
      </w:r>
    </w:p>
    <w:p w14:paraId="4CD28208"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frakcja piaszczysta – wielkość 0,05 -2,0 mm – zawartość 45 – 70%,</w:t>
      </w:r>
    </w:p>
    <w:p w14:paraId="42D35A01"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frakcja żwirowa i kamienista – zawartość poniżej 5%.</w:t>
      </w:r>
    </w:p>
    <w:p w14:paraId="41309DD2" w14:textId="77777777" w:rsidR="006E43C8" w:rsidRPr="006E43C8" w:rsidRDefault="006E43C8" w:rsidP="00CF1E7D">
      <w:pPr>
        <w:numPr>
          <w:ilvl w:val="0"/>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Najkorzystniejszy skład objętościowy:</w:t>
      </w:r>
    </w:p>
    <w:p w14:paraId="012369BE"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twarde cząstki – 45%,</w:t>
      </w:r>
    </w:p>
    <w:p w14:paraId="469C5971"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wolne przestrzenie dla zmagazynowania wody-  25%</w:t>
      </w:r>
    </w:p>
    <w:p w14:paraId="77201F76"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wolne przestrzenie dla powietrza – 25%.</w:t>
      </w:r>
    </w:p>
    <w:p w14:paraId="2663EE40" w14:textId="77777777" w:rsidR="006E43C8" w:rsidRPr="006E43C8" w:rsidRDefault="006E43C8" w:rsidP="00CF1E7D">
      <w:pPr>
        <w:numPr>
          <w:ilvl w:val="0"/>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Parametry fizyczne i chemiczne:</w:t>
      </w:r>
    </w:p>
    <w:p w14:paraId="62B7D4CE"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ciężar objętościowy – 1,3 – 1,6 Mg/m</w:t>
      </w:r>
      <w:r w:rsidRPr="006E43C8">
        <w:rPr>
          <w:rFonts w:cs="Arial"/>
          <w:szCs w:val="20"/>
          <w:vertAlign w:val="superscript"/>
        </w:rPr>
        <w:t>3</w:t>
      </w:r>
      <w:r w:rsidRPr="006E43C8">
        <w:rPr>
          <w:rFonts w:cs="Arial"/>
          <w:szCs w:val="20"/>
        </w:rPr>
        <w:t>,</w:t>
      </w:r>
    </w:p>
    <w:p w14:paraId="416BCE95"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zawartość materii organicznej – 2-5% (w stosunku C:N poniżej 30:1),</w:t>
      </w:r>
    </w:p>
    <w:p w14:paraId="5FE10B9C"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odczyn </w:t>
      </w:r>
      <w:proofErr w:type="spellStart"/>
      <w:r w:rsidRPr="006E43C8">
        <w:rPr>
          <w:rFonts w:cs="Arial"/>
          <w:szCs w:val="20"/>
        </w:rPr>
        <w:t>ph</w:t>
      </w:r>
      <w:proofErr w:type="spellEnd"/>
      <w:r w:rsidRPr="006E43C8">
        <w:rPr>
          <w:rFonts w:cs="Arial"/>
          <w:szCs w:val="20"/>
        </w:rPr>
        <w:t xml:space="preserve"> – 5,7 – 6,5,</w:t>
      </w:r>
    </w:p>
    <w:p w14:paraId="57874593"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zawartość minerałów na 100 g gleby – N 25-50 mg, P</w:t>
      </w:r>
      <w:r w:rsidRPr="006E43C8">
        <w:rPr>
          <w:rFonts w:cs="Arial"/>
          <w:szCs w:val="20"/>
          <w:vertAlign w:val="subscript"/>
        </w:rPr>
        <w:t>2</w:t>
      </w:r>
      <w:r w:rsidRPr="006E43C8">
        <w:rPr>
          <w:rFonts w:cs="Arial"/>
          <w:szCs w:val="20"/>
        </w:rPr>
        <w:t>O</w:t>
      </w:r>
      <w:r w:rsidRPr="006E43C8">
        <w:rPr>
          <w:rFonts w:cs="Arial"/>
          <w:szCs w:val="20"/>
          <w:vertAlign w:val="subscript"/>
        </w:rPr>
        <w:t>2</w:t>
      </w:r>
      <w:r w:rsidRPr="006E43C8">
        <w:rPr>
          <w:rFonts w:cs="Arial"/>
          <w:szCs w:val="20"/>
        </w:rPr>
        <w:t xml:space="preserve"> 10-29 mg, K 20-49 mg, Mg 10-15 mg</w:t>
      </w:r>
    </w:p>
    <w:p w14:paraId="7B84F370" w14:textId="77777777" w:rsidR="006E43C8" w:rsidRPr="006E43C8" w:rsidRDefault="006E43C8" w:rsidP="00CF1E7D">
      <w:pPr>
        <w:numPr>
          <w:ilvl w:val="1"/>
          <w:numId w:val="226"/>
        </w:numPr>
        <w:overflowPunct w:val="0"/>
        <w:autoSpaceDE w:val="0"/>
        <w:autoSpaceDN w:val="0"/>
        <w:adjustRightInd w:val="0"/>
        <w:spacing w:line="240" w:lineRule="auto"/>
        <w:jc w:val="both"/>
        <w:textAlignment w:val="baseline"/>
        <w:rPr>
          <w:rFonts w:cs="Arial"/>
          <w:szCs w:val="20"/>
        </w:rPr>
      </w:pPr>
      <w:r w:rsidRPr="006E43C8">
        <w:rPr>
          <w:rFonts w:cs="Arial"/>
          <w:szCs w:val="20"/>
        </w:rPr>
        <w:t>zasolenie – poniżej 1 g/dm</w:t>
      </w:r>
      <w:r w:rsidRPr="006E43C8">
        <w:rPr>
          <w:rFonts w:cs="Arial"/>
          <w:szCs w:val="20"/>
          <w:vertAlign w:val="superscript"/>
        </w:rPr>
        <w:t>3</w:t>
      </w:r>
      <w:r w:rsidRPr="006E43C8">
        <w:rPr>
          <w:rFonts w:cs="Arial"/>
          <w:szCs w:val="20"/>
        </w:rPr>
        <w:t>.</w:t>
      </w:r>
    </w:p>
    <w:p w14:paraId="367C0421"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Należy dokonać uzupełnienia składu ziemi urodzajnej pod przewidziane zasadzenia na podstawie zaleceń uzyskanych w wyniku badań składu fizycznego i chemicznego próbek podłoża  z ziemi rodzimej lub dostarczonej z innego miejsca w laboratorium okręgowej stacji chemiczno-rolniczej lub innego laboratorium mogącego się wykazać wiarygodnymi referencjami.</w:t>
      </w:r>
    </w:p>
    <w:p w14:paraId="4EB723F4"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2.3. Ziemia kompostowa</w:t>
      </w:r>
    </w:p>
    <w:p w14:paraId="62EB29CB"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 celu uzupełnienia składu ziemi urodzajnej oraz do zaprawienia dołów pod nasadzenia należy stosować ziemię kompostową o zadeklarowanych przez dostawcę właściwościach odpowiednich do przewidzianego zastosowania i wymagań gatunkowych roślin. Wskazany odczyn pH to 6,0 – 7,5 dla roślin liściastych i poniżej 5,5 dla roślin iglastych.</w:t>
      </w:r>
    </w:p>
    <w:p w14:paraId="72AF4EFF"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2.4. Materiał roślinny</w:t>
      </w:r>
    </w:p>
    <w:p w14:paraId="4A768F50"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2.4.1.</w:t>
      </w:r>
      <w:r w:rsidRPr="006E43C8">
        <w:rPr>
          <w:rFonts w:cs="Arial"/>
          <w:szCs w:val="20"/>
        </w:rPr>
        <w:t xml:space="preserve"> Wymagania ogólne dla materiału roślinnego</w:t>
      </w:r>
    </w:p>
    <w:p w14:paraId="4164C183"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Materiał roślinny powinien być zgodny pod względem gatunku, z dokumentacją projektową i SST. Nie powinien pochodzić z innego regionu przyrodniczego o odmiennym w stosunku do miejsca zastosowania okresie wegetacyjnym i uwarunkowaniach klimatycznych.</w:t>
      </w:r>
    </w:p>
    <w:p w14:paraId="51608313"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2.4.2. </w:t>
      </w:r>
      <w:r w:rsidRPr="006E43C8">
        <w:rPr>
          <w:rFonts w:cs="Arial"/>
          <w:szCs w:val="20"/>
        </w:rPr>
        <w:t>Drzewa i krzewy</w:t>
      </w:r>
    </w:p>
    <w:p w14:paraId="7E914A7D"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Dostarczone sadzonki powinny być zdrowe, bez oznak chorób i uszkodzeń. Materiał roślinny powinien być właściwie oznaczony, tzn. musi być zaopatrzony w etykiety, na których podana będzie co najmniej nazwa łacińska, forma wzrostu, wysokość pnia, numer normy jeżeli jest wymagana. Wskazane jest stosowanie rekomendowanych przez Ministerstwo Rolnictwa i Rozwoju Wsi – „Zaleceń jakościowych dla ozdobnego materiału szkółkarskiego” [5].</w:t>
      </w:r>
    </w:p>
    <w:p w14:paraId="26E38E67"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 SST należy podać parametry jakościowe spełniające co najmniej następujące wymagania:</w:t>
      </w:r>
    </w:p>
    <w:p w14:paraId="02DADBF7"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wysokość pnia drzew liściastych formy piennej (przy ciągach komunikacyjnych nie powinna być mniejsza niż 220 cm),</w:t>
      </w:r>
    </w:p>
    <w:p w14:paraId="21353E57"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wysokość drzew formy naturalnej mierzonych od powierzchni ziemi do pąka szczytowego (dla drzew liściastych min. 2,0 m i dla drzew iglastych min. 1,25 m)</w:t>
      </w:r>
    </w:p>
    <w:p w14:paraId="12A55E8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obwód pnia drzew na wysokości 1 m (wskazany 16-18 cm w terenie zabudowanym, 14-16 cm poza miejscowościami),</w:t>
      </w:r>
    </w:p>
    <w:p w14:paraId="6D2775F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liczbę </w:t>
      </w:r>
      <w:proofErr w:type="spellStart"/>
      <w:r w:rsidRPr="006E43C8">
        <w:rPr>
          <w:rFonts w:cs="Arial"/>
          <w:szCs w:val="20"/>
        </w:rPr>
        <w:t>szkółkowań</w:t>
      </w:r>
      <w:proofErr w:type="spellEnd"/>
      <w:r w:rsidRPr="006E43C8">
        <w:rPr>
          <w:rFonts w:cs="Arial"/>
          <w:szCs w:val="20"/>
        </w:rPr>
        <w:t xml:space="preserve"> (minimum 2x, wskazane 3-4x tzw. soliter),</w:t>
      </w:r>
    </w:p>
    <w:p w14:paraId="1DE595A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 przypadku form krzewiastych lub wielopiennych wysokość rośliny i ewentualnie liczbę pędów lub pni (zalecana wysokość w zależności od gatunku min. 30-60 cm, ilość pędów 3, a dla gatunków słabo krzewiących się 2) ,</w:t>
      </w:r>
    </w:p>
    <w:p w14:paraId="0BAA99CF"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sposób zabezpieczenia systemu korzeniowego - wielkość bryły korzeniowej lub pojemnika (średnica bryły korzeniowej powinna być 10-12 razy większa od średnicy pnia mierzonej na wysokości 15 cm, wielkość pojemnika min. 2 dm</w:t>
      </w:r>
      <w:r w:rsidRPr="006E43C8">
        <w:rPr>
          <w:rFonts w:cs="Arial"/>
          <w:szCs w:val="20"/>
          <w:vertAlign w:val="superscript"/>
        </w:rPr>
        <w:t>3</w:t>
      </w:r>
      <w:r w:rsidRPr="006E43C8">
        <w:rPr>
          <w:rFonts w:cs="Arial"/>
          <w:szCs w:val="20"/>
        </w:rPr>
        <w:t>) i rodzaj zabezpieczenia – balotowania (tkanina rozkładająca się do 1,5 roku od posadzenia, dodatkowa siatka z drutu ocynkowanego), ew. goły korzeń [6].</w:t>
      </w:r>
    </w:p>
    <w:p w14:paraId="2ADB5CE3"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Wiek rośliny nie jest parametrem jakościowym.</w:t>
      </w:r>
    </w:p>
    <w:p w14:paraId="3C873D44"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Sadzonki drzew i krzewów powinny być prawidłowo uformowane z zachowaniem pokroju charakterystycznego dla gatunku i odmiany oraz posiadać następujące cechy:</w:t>
      </w:r>
    </w:p>
    <w:p w14:paraId="2B463A8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pąk szczytowy przewodnika powinien być wyraźnie uformowany,</w:t>
      </w:r>
    </w:p>
    <w:p w14:paraId="403F812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przyrost ostatniego roku powinien wyraźnie i prosto przedłużać przewodnik,</w:t>
      </w:r>
    </w:p>
    <w:p w14:paraId="5F4A1BD7"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system korzeniowy powinien być skupiony i prawidłowo rozwinięty, na korzeniach szkieletowych powinny występować liczne korzenie drobne,</w:t>
      </w:r>
    </w:p>
    <w:p w14:paraId="391AF82C"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u roślin sadzonych z bryłą korzeniową, np. drzew i krzewów iglastych, bryła korzeniowa powinna być prawidłowo uformowana i nie uszkodzona,</w:t>
      </w:r>
    </w:p>
    <w:p w14:paraId="5AAF8D7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pień, korona i bryła korzeniowa powinny wykazywać odpowiednie proporcje właściwe dla gatunku,</w:t>
      </w:r>
    </w:p>
    <w:p w14:paraId="1BD40EF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pędy korony u drzew i krzewów nie powinny być przycięte, chyba że jest to cięcie formujące, np. u form kulistych,</w:t>
      </w:r>
    </w:p>
    <w:p w14:paraId="314FCF2F"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pędy boczne korony drzewa powinny być równomiernie rozmieszczone,</w:t>
      </w:r>
    </w:p>
    <w:p w14:paraId="5DCC1EA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lastRenderedPageBreak/>
        <w:t>przewodnik powinien być praktycznie prosty,</w:t>
      </w:r>
    </w:p>
    <w:p w14:paraId="7AC0F209"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blizny na przewodniku powinny być dobrze zarośnięte,  dopuszcza się 4 niecałkowicie zarośnięte blizny na przewodniku w II wyborze u form naturalnych drzew,</w:t>
      </w:r>
    </w:p>
    <w:p w14:paraId="57124FC2"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brak  oznak uszkodzeń mechanicznych (złamań, otarć), objawów będących skutkiem niewłaściwego nawożenia i agrotechniki oraz odrostów podkładki.</w:t>
      </w:r>
    </w:p>
    <w:p w14:paraId="748AB57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Wady niedopuszczalne:</w:t>
      </w:r>
    </w:p>
    <w:p w14:paraId="086191D2"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silne uszkodzenia mechaniczne roślin,</w:t>
      </w:r>
    </w:p>
    <w:p w14:paraId="2223E04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odrosty podkładki poniżej miejsca szczepienia,</w:t>
      </w:r>
    </w:p>
    <w:p w14:paraId="555F1BF1"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ślady żerowania szkodników,</w:t>
      </w:r>
    </w:p>
    <w:p w14:paraId="3CBFCFD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oznaki chorobowe (nienaturalne zmiany zabarwienia liści, wycieki żywicy, pęknięcia i martwice kory, żery owadzie),</w:t>
      </w:r>
    </w:p>
    <w:p w14:paraId="2594EBB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uszkodzenie pąka szczytowego przewodnika,</w:t>
      </w:r>
    </w:p>
    <w:p w14:paraId="5D23439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dwupędowe korony drzew formy piennej,</w:t>
      </w:r>
    </w:p>
    <w:p w14:paraId="2CE5B51A"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uszkodzenie lub przesuszenie bryły korzeniowej,</w:t>
      </w:r>
    </w:p>
    <w:p w14:paraId="036182D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więcej niż 4 nie w pełni zaleczone blizny na przewodniku,</w:t>
      </w:r>
    </w:p>
    <w:p w14:paraId="4EE4FDC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złe zrośnięcie odmiany szczepionej z podkładką.</w:t>
      </w:r>
    </w:p>
    <w:p w14:paraId="41E93B79" w14:textId="4EDFF66E" w:rsidR="006E43C8" w:rsidRPr="006E43C8" w:rsidRDefault="006E43C8" w:rsidP="00270120">
      <w:pPr>
        <w:overflowPunct w:val="0"/>
        <w:autoSpaceDE w:val="0"/>
        <w:autoSpaceDN w:val="0"/>
        <w:adjustRightInd w:val="0"/>
        <w:spacing w:line="240" w:lineRule="auto"/>
        <w:jc w:val="both"/>
        <w:textAlignment w:val="baseline"/>
        <w:rPr>
          <w:rFonts w:cs="Arial"/>
          <w:bCs/>
          <w:szCs w:val="20"/>
        </w:rPr>
      </w:pPr>
      <w:r w:rsidRPr="006E43C8">
        <w:rPr>
          <w:rFonts w:cs="Arial"/>
          <w:bCs/>
          <w:szCs w:val="20"/>
        </w:rPr>
        <w:t xml:space="preserve">Tabela </w:t>
      </w:r>
      <w:r w:rsidRPr="006E43C8">
        <w:rPr>
          <w:rFonts w:cs="Arial"/>
          <w:bCs/>
          <w:szCs w:val="20"/>
        </w:rPr>
        <w:fldChar w:fldCharType="begin"/>
      </w:r>
      <w:r w:rsidRPr="006E43C8">
        <w:rPr>
          <w:rFonts w:cs="Arial"/>
          <w:bCs/>
          <w:szCs w:val="20"/>
        </w:rPr>
        <w:instrText xml:space="preserve"> SEQ Tabela \* ARABIC </w:instrText>
      </w:r>
      <w:r w:rsidRPr="006E43C8">
        <w:rPr>
          <w:rFonts w:cs="Arial"/>
          <w:bCs/>
          <w:szCs w:val="20"/>
        </w:rPr>
        <w:fldChar w:fldCharType="separate"/>
      </w:r>
      <w:r w:rsidR="008D66D8">
        <w:rPr>
          <w:rFonts w:cs="Arial"/>
          <w:bCs/>
          <w:noProof/>
          <w:szCs w:val="20"/>
        </w:rPr>
        <w:t>12</w:t>
      </w:r>
      <w:r w:rsidRPr="006E43C8">
        <w:rPr>
          <w:rFonts w:cs="Arial"/>
          <w:bCs/>
          <w:szCs w:val="20"/>
        </w:rPr>
        <w:fldChar w:fldCharType="end"/>
      </w:r>
      <w:r w:rsidRPr="006E43C8">
        <w:rPr>
          <w:rFonts w:cs="Arial"/>
          <w:bCs/>
          <w:szCs w:val="20"/>
        </w:rPr>
        <w:t>. Przykładowe symbole parametrów jakościowych sadzonek drzew i krzewów [5]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3"/>
        <w:gridCol w:w="6305"/>
      </w:tblGrid>
      <w:tr w:rsidR="006E43C8" w:rsidRPr="006E43C8" w14:paraId="71083767" w14:textId="77777777" w:rsidTr="00551B7B">
        <w:tc>
          <w:tcPr>
            <w:tcW w:w="4463" w:type="dxa"/>
          </w:tcPr>
          <w:p w14:paraId="2B9B6BEC"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Symbol</w:t>
            </w:r>
          </w:p>
        </w:tc>
        <w:tc>
          <w:tcPr>
            <w:tcW w:w="6305" w:type="dxa"/>
          </w:tcPr>
          <w:p w14:paraId="048803D8"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Znaczenie</w:t>
            </w:r>
          </w:p>
        </w:tc>
      </w:tr>
      <w:tr w:rsidR="006E43C8" w:rsidRPr="006E43C8" w14:paraId="7F546F54" w14:textId="77777777" w:rsidTr="00551B7B">
        <w:tc>
          <w:tcPr>
            <w:tcW w:w="4463" w:type="dxa"/>
            <w:vAlign w:val="center"/>
          </w:tcPr>
          <w:p w14:paraId="634264A0"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proofErr w:type="spellStart"/>
            <w:r w:rsidRPr="006E43C8">
              <w:rPr>
                <w:rFonts w:cs="Arial"/>
                <w:szCs w:val="20"/>
              </w:rPr>
              <w:t>bB</w:t>
            </w:r>
            <w:proofErr w:type="spellEnd"/>
          </w:p>
        </w:tc>
        <w:tc>
          <w:tcPr>
            <w:tcW w:w="6305" w:type="dxa"/>
          </w:tcPr>
          <w:p w14:paraId="051B31DC"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Roślina bez bryły korzeniowej (z gołym korzeniem)</w:t>
            </w:r>
          </w:p>
        </w:tc>
      </w:tr>
      <w:tr w:rsidR="006E43C8" w:rsidRPr="006E43C8" w14:paraId="45E63CEE" w14:textId="77777777" w:rsidTr="00551B7B">
        <w:tc>
          <w:tcPr>
            <w:tcW w:w="4463" w:type="dxa"/>
            <w:vAlign w:val="center"/>
          </w:tcPr>
          <w:p w14:paraId="653FE25F"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B</w:t>
            </w:r>
          </w:p>
        </w:tc>
        <w:tc>
          <w:tcPr>
            <w:tcW w:w="6305" w:type="dxa"/>
          </w:tcPr>
          <w:p w14:paraId="5EDC5643"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Roślina z bryłą korzeniową</w:t>
            </w:r>
          </w:p>
        </w:tc>
      </w:tr>
      <w:tr w:rsidR="006E43C8" w:rsidRPr="006E43C8" w14:paraId="6BB5AEE2" w14:textId="77777777" w:rsidTr="00551B7B">
        <w:tc>
          <w:tcPr>
            <w:tcW w:w="4463" w:type="dxa"/>
            <w:vAlign w:val="center"/>
          </w:tcPr>
          <w:p w14:paraId="2CBC4237"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B+S</w:t>
            </w:r>
          </w:p>
        </w:tc>
        <w:tc>
          <w:tcPr>
            <w:tcW w:w="6305" w:type="dxa"/>
          </w:tcPr>
          <w:p w14:paraId="4D4503F5" w14:textId="77777777" w:rsidR="006E43C8" w:rsidRPr="006E43C8" w:rsidRDefault="006E43C8" w:rsidP="00270120">
            <w:pPr>
              <w:overflowPunct w:val="0"/>
              <w:autoSpaceDE w:val="0"/>
              <w:autoSpaceDN w:val="0"/>
              <w:adjustRightInd w:val="0"/>
              <w:spacing w:line="240" w:lineRule="auto"/>
              <w:textAlignment w:val="baseline"/>
              <w:rPr>
                <w:rFonts w:cs="Arial"/>
                <w:szCs w:val="20"/>
              </w:rPr>
            </w:pPr>
            <w:r w:rsidRPr="006E43C8">
              <w:rPr>
                <w:rFonts w:cs="Arial"/>
                <w:szCs w:val="20"/>
              </w:rPr>
              <w:t>Roślina z bryłą korzeniową i siatką drucianą</w:t>
            </w:r>
          </w:p>
        </w:tc>
      </w:tr>
      <w:tr w:rsidR="006E43C8" w:rsidRPr="006E43C8" w14:paraId="08E7B5E2" w14:textId="77777777" w:rsidTr="00551B7B">
        <w:tc>
          <w:tcPr>
            <w:tcW w:w="4463" w:type="dxa"/>
            <w:vAlign w:val="center"/>
          </w:tcPr>
          <w:p w14:paraId="34030EFC"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C v</w:t>
            </w:r>
          </w:p>
        </w:tc>
        <w:tc>
          <w:tcPr>
            <w:tcW w:w="6305" w:type="dxa"/>
          </w:tcPr>
          <w:p w14:paraId="7462AF30"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Pojemnik o objętości minimum 2 litrów, gdzie v oznacza objętość w litrach, przy czym v ≥2</w:t>
            </w:r>
          </w:p>
        </w:tc>
      </w:tr>
      <w:tr w:rsidR="006E43C8" w:rsidRPr="006E43C8" w14:paraId="2A534EA4" w14:textId="77777777" w:rsidTr="00551B7B">
        <w:tc>
          <w:tcPr>
            <w:tcW w:w="4463" w:type="dxa"/>
            <w:vAlign w:val="center"/>
          </w:tcPr>
          <w:p w14:paraId="3C3952E1"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C v f</w:t>
            </w:r>
          </w:p>
        </w:tc>
        <w:tc>
          <w:tcPr>
            <w:tcW w:w="6305" w:type="dxa"/>
          </w:tcPr>
          <w:p w14:paraId="7E2D48EB"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Pojemnik o objętości v wykonany z elastycznego materiału (polietylen, polipropylen itp.)</w:t>
            </w:r>
          </w:p>
        </w:tc>
      </w:tr>
      <w:tr w:rsidR="006E43C8" w:rsidRPr="006E43C8" w14:paraId="7B898D89" w14:textId="77777777" w:rsidTr="00551B7B">
        <w:tc>
          <w:tcPr>
            <w:tcW w:w="4463" w:type="dxa"/>
            <w:vAlign w:val="center"/>
          </w:tcPr>
          <w:p w14:paraId="58FCB960"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x 2, x 3 itp.</w:t>
            </w:r>
          </w:p>
        </w:tc>
        <w:tc>
          <w:tcPr>
            <w:tcW w:w="6305" w:type="dxa"/>
          </w:tcPr>
          <w:p w14:paraId="726082D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Oznaczenie liczby </w:t>
            </w:r>
            <w:proofErr w:type="spellStart"/>
            <w:r w:rsidRPr="006E43C8">
              <w:rPr>
                <w:rFonts w:cs="Arial"/>
                <w:szCs w:val="20"/>
              </w:rPr>
              <w:t>szkółkowań</w:t>
            </w:r>
            <w:proofErr w:type="spellEnd"/>
            <w:r w:rsidRPr="006E43C8">
              <w:rPr>
                <w:rFonts w:cs="Arial"/>
                <w:szCs w:val="20"/>
              </w:rPr>
              <w:t xml:space="preserve"> (dwukrotne, trzykrotne itp.)</w:t>
            </w:r>
          </w:p>
        </w:tc>
      </w:tr>
      <w:tr w:rsidR="006E43C8" w:rsidRPr="006E43C8" w14:paraId="655BB75C" w14:textId="77777777" w:rsidTr="00551B7B">
        <w:tc>
          <w:tcPr>
            <w:tcW w:w="4463" w:type="dxa"/>
            <w:vAlign w:val="center"/>
          </w:tcPr>
          <w:p w14:paraId="6707A998"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N</w:t>
            </w:r>
          </w:p>
        </w:tc>
        <w:tc>
          <w:tcPr>
            <w:tcW w:w="6305" w:type="dxa"/>
          </w:tcPr>
          <w:p w14:paraId="2C020A8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Forma naturalna drzewa. Po symbolu N podawana jest liczba </w:t>
            </w:r>
            <w:proofErr w:type="spellStart"/>
            <w:r w:rsidRPr="006E43C8">
              <w:rPr>
                <w:rFonts w:cs="Arial"/>
                <w:szCs w:val="20"/>
              </w:rPr>
              <w:t>szkółkowań</w:t>
            </w:r>
            <w:proofErr w:type="spellEnd"/>
            <w:r w:rsidRPr="006E43C8">
              <w:rPr>
                <w:rFonts w:cs="Arial"/>
                <w:szCs w:val="20"/>
              </w:rPr>
              <w:t xml:space="preserve"> oraz wysokość w cm np.: N x3 80-100 (drzewo w formie naturalnej trzykrotnie szkółkowane o wysokości od 80 do 100 cm).</w:t>
            </w:r>
          </w:p>
        </w:tc>
      </w:tr>
      <w:tr w:rsidR="006E43C8" w:rsidRPr="006E43C8" w14:paraId="1D7DC416" w14:textId="77777777" w:rsidTr="00551B7B">
        <w:tc>
          <w:tcPr>
            <w:tcW w:w="4463" w:type="dxa"/>
            <w:vAlign w:val="center"/>
          </w:tcPr>
          <w:p w14:paraId="0A963318"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Pa</w:t>
            </w:r>
          </w:p>
        </w:tc>
        <w:tc>
          <w:tcPr>
            <w:tcW w:w="6305" w:type="dxa"/>
          </w:tcPr>
          <w:p w14:paraId="3F32DE0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Forma pienna krzewu lub drzewa. Po symbolu Pa podawana jest wysokość pnia w cm, liczba </w:t>
            </w:r>
            <w:proofErr w:type="spellStart"/>
            <w:r w:rsidRPr="006E43C8">
              <w:rPr>
                <w:rFonts w:cs="Arial"/>
                <w:szCs w:val="20"/>
              </w:rPr>
              <w:t>szkółkowań</w:t>
            </w:r>
            <w:proofErr w:type="spellEnd"/>
            <w:r w:rsidRPr="006E43C8">
              <w:rPr>
                <w:rFonts w:cs="Arial"/>
                <w:szCs w:val="20"/>
              </w:rPr>
              <w:t xml:space="preserve"> oraz obwód pnia* np.: Pa x3 220, 14-16 (forma pienna drzewa o wysokości pnia 220 cm i obwodzie od 14 do 16 cm, trzykrotnie szkółkowanego).</w:t>
            </w:r>
          </w:p>
        </w:tc>
      </w:tr>
      <w:tr w:rsidR="006E43C8" w:rsidRPr="006E43C8" w14:paraId="1C25D51A" w14:textId="77777777" w:rsidTr="00551B7B">
        <w:tc>
          <w:tcPr>
            <w:tcW w:w="4463" w:type="dxa"/>
            <w:vAlign w:val="center"/>
          </w:tcPr>
          <w:p w14:paraId="7CD84346"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proofErr w:type="spellStart"/>
            <w:r w:rsidRPr="006E43C8">
              <w:rPr>
                <w:rFonts w:cs="Arial"/>
                <w:szCs w:val="20"/>
              </w:rPr>
              <w:t>WPa</w:t>
            </w:r>
            <w:proofErr w:type="spellEnd"/>
          </w:p>
        </w:tc>
        <w:tc>
          <w:tcPr>
            <w:tcW w:w="6305" w:type="dxa"/>
          </w:tcPr>
          <w:p w14:paraId="0F99D8FB"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Drzewo w formie wielopiennej. Po symbolu </w:t>
            </w:r>
            <w:proofErr w:type="spellStart"/>
            <w:r w:rsidRPr="006E43C8">
              <w:rPr>
                <w:rFonts w:cs="Arial"/>
                <w:szCs w:val="20"/>
              </w:rPr>
              <w:t>WPa</w:t>
            </w:r>
            <w:proofErr w:type="spellEnd"/>
            <w:r w:rsidRPr="006E43C8">
              <w:rPr>
                <w:rFonts w:cs="Arial"/>
                <w:szCs w:val="20"/>
              </w:rPr>
              <w:t xml:space="preserve"> podawana jest liczba pni, obwód  pnia*  najcieńszego i najgrubszego np.: </w:t>
            </w:r>
            <w:r w:rsidRPr="006E43C8">
              <w:rPr>
                <w:rFonts w:cs="Arial"/>
                <w:szCs w:val="20"/>
              </w:rPr>
              <w:br/>
            </w:r>
            <w:proofErr w:type="spellStart"/>
            <w:r w:rsidRPr="006E43C8">
              <w:rPr>
                <w:rFonts w:cs="Arial"/>
                <w:szCs w:val="20"/>
              </w:rPr>
              <w:t>WPa</w:t>
            </w:r>
            <w:proofErr w:type="spellEnd"/>
            <w:r w:rsidRPr="006E43C8">
              <w:rPr>
                <w:rFonts w:cs="Arial"/>
                <w:szCs w:val="20"/>
              </w:rPr>
              <w:t xml:space="preserve"> 3 6-8 – 12-14 (drzewo o 3 pniach, z których najcieńszy ma obwód 6-8 cm, a najgrubszy 12-14 cm).</w:t>
            </w:r>
          </w:p>
        </w:tc>
      </w:tr>
      <w:tr w:rsidR="006E43C8" w:rsidRPr="006E43C8" w14:paraId="5A7530A2" w14:textId="77777777" w:rsidTr="00551B7B">
        <w:tc>
          <w:tcPr>
            <w:tcW w:w="4463" w:type="dxa"/>
            <w:vAlign w:val="center"/>
          </w:tcPr>
          <w:p w14:paraId="726CF798"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K</w:t>
            </w:r>
          </w:p>
        </w:tc>
        <w:tc>
          <w:tcPr>
            <w:tcW w:w="6305" w:type="dxa"/>
          </w:tcPr>
          <w:p w14:paraId="5963886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Drzewo w formie krzewiastej lub krzew. Po symbolu K podawana jest wysokość w cm najwyższego pędu np.: K 120 (drzewo w formie krzewiastej lub krzew o wysokości 120 cm).</w:t>
            </w:r>
          </w:p>
        </w:tc>
      </w:tr>
    </w:tbl>
    <w:p w14:paraId="5CD7A6CB"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 Obwód pnia podawany w cm, mierzony na wysokości 100 cm nad powierzchnią ziemi.</w:t>
      </w:r>
    </w:p>
    <w:p w14:paraId="5826A1D2" w14:textId="77777777" w:rsidR="006E43C8" w:rsidRPr="006E43C8" w:rsidRDefault="006E43C8" w:rsidP="00270120">
      <w:pPr>
        <w:keepNext/>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2.4.3. </w:t>
      </w:r>
      <w:r w:rsidRPr="006E43C8">
        <w:rPr>
          <w:rFonts w:cs="Arial"/>
          <w:szCs w:val="20"/>
        </w:rPr>
        <w:t>Pnącza</w:t>
      </w:r>
    </w:p>
    <w:p w14:paraId="5D1ADA97"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Sadzonki pnączy powinny być oznaczone etykietą zawierającą co najmniej nazwę łacińską.</w:t>
      </w:r>
    </w:p>
    <w:p w14:paraId="6A40C2D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Podstawowe wymagania dla sadzonek pnączy to:</w:t>
      </w:r>
    </w:p>
    <w:p w14:paraId="5180D40E" w14:textId="77777777" w:rsidR="006E43C8" w:rsidRPr="006E43C8" w:rsidRDefault="006E43C8" w:rsidP="00CF1E7D">
      <w:pPr>
        <w:numPr>
          <w:ilvl w:val="0"/>
          <w:numId w:val="228"/>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minimum 2 silne pędy wyrastające 10 cm od podstawy,</w:t>
      </w:r>
    </w:p>
    <w:p w14:paraId="5653FE44" w14:textId="77777777" w:rsidR="006E43C8" w:rsidRPr="006E43C8" w:rsidRDefault="006E43C8" w:rsidP="00CF1E7D">
      <w:pPr>
        <w:numPr>
          <w:ilvl w:val="0"/>
          <w:numId w:val="228"/>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bryła korzeniowa dobrze przerośnięta korzeniami, wilgotna i nieuszkodzona, w pojemniku o objętości minimum 2 dm</w:t>
      </w:r>
      <w:r w:rsidRPr="006E43C8">
        <w:rPr>
          <w:rFonts w:cs="Arial"/>
          <w:szCs w:val="20"/>
          <w:vertAlign w:val="superscript"/>
        </w:rPr>
        <w:t>3</w:t>
      </w:r>
      <w:r w:rsidRPr="006E43C8">
        <w:rPr>
          <w:rFonts w:cs="Arial"/>
          <w:szCs w:val="20"/>
        </w:rPr>
        <w:t>,</w:t>
      </w:r>
    </w:p>
    <w:p w14:paraId="6F4E6718" w14:textId="77777777" w:rsidR="006E43C8" w:rsidRPr="006E43C8" w:rsidRDefault="006E43C8" w:rsidP="00CF1E7D">
      <w:pPr>
        <w:numPr>
          <w:ilvl w:val="0"/>
          <w:numId w:val="228"/>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roślina przywiązana do palika np. bambusowego.</w:t>
      </w:r>
    </w:p>
    <w:p w14:paraId="2DD5EF3E"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Niedopuszczalne wady:</w:t>
      </w:r>
    </w:p>
    <w:p w14:paraId="0347EA2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zwiędnięcie liści i kwiatów,</w:t>
      </w:r>
    </w:p>
    <w:p w14:paraId="78EF9337"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uszkodzenie pędów i korzeni,</w:t>
      </w:r>
    </w:p>
    <w:p w14:paraId="19EFA12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oznaki chorobowe,</w:t>
      </w:r>
    </w:p>
    <w:p w14:paraId="1905ABBC"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ślady żerowania szkodników,</w:t>
      </w:r>
    </w:p>
    <w:p w14:paraId="099A13F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przesuszenie bryły korzeniowej.</w:t>
      </w:r>
    </w:p>
    <w:p w14:paraId="76FD3F00" w14:textId="77777777" w:rsidR="006E43C8" w:rsidRPr="006E43C8" w:rsidRDefault="006E43C8" w:rsidP="00270120">
      <w:pPr>
        <w:keepNext/>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2.4.4. </w:t>
      </w:r>
      <w:r w:rsidRPr="006E43C8">
        <w:rPr>
          <w:rFonts w:cs="Arial"/>
          <w:szCs w:val="20"/>
        </w:rPr>
        <w:t>Rośliny kwietnikowe jednoroczne i dwuletnie oraz byliny</w:t>
      </w:r>
    </w:p>
    <w:p w14:paraId="6C66D364"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Sadzonki powinny być oznaczone etykietką z nazwą łacińską.</w:t>
      </w:r>
    </w:p>
    <w:p w14:paraId="3FC88ED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Wymagania ogólne dla roślin kwietnikowych:</w:t>
      </w:r>
    </w:p>
    <w:p w14:paraId="0C1D0DDA"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rośliny powinny być dojrzałe technicznie, tzn. nadające się do wysadzenia, jednolite w całej partii, zdrowe i niezwiędnięte,</w:t>
      </w:r>
    </w:p>
    <w:p w14:paraId="51A910B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pokrój roślin, barwa kwiatów i liści powinny być charakterystyczne dla gatunku i odmiany,</w:t>
      </w:r>
    </w:p>
    <w:p w14:paraId="5DF29F2F"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bryła korzeniowa powinna być dobrze przerośnięta korzeniami, wilgotna i nieuszkodzona.</w:t>
      </w:r>
    </w:p>
    <w:p w14:paraId="3FD1A717"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Niedopuszczalne wady:</w:t>
      </w:r>
    </w:p>
    <w:p w14:paraId="6903EF1A"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zwiędnięcie liści i kwiatów,</w:t>
      </w:r>
    </w:p>
    <w:p w14:paraId="56F898C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uszkodzenie pąków kwiatowych, łodyg, liści i korzeni,</w:t>
      </w:r>
    </w:p>
    <w:p w14:paraId="1A0AE0F1"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lastRenderedPageBreak/>
        <w:t>oznaki chorobowe,</w:t>
      </w:r>
    </w:p>
    <w:p w14:paraId="2E6449A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ślady żerowania szkodników.</w:t>
      </w:r>
    </w:p>
    <w:p w14:paraId="586B60A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Rośliny powinny być dostarczone w skrzynkach lub doniczkach.</w:t>
      </w:r>
    </w:p>
    <w:p w14:paraId="2A684C66"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Rośliny w postaci rozsady powinny być wyjęte z ziemi na okres możliwie jak najkrótszy, najlepiej bezpośrednio przed sadzeniem.</w:t>
      </w:r>
    </w:p>
    <w:p w14:paraId="7E47BB72"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Do czasu wysadzenia rośliny powinny być ocienione, osłonięte od wiatru i zabezpieczone przed wyschnięciem.</w:t>
      </w:r>
    </w:p>
    <w:p w14:paraId="20EEEED1"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2.5. Nasiona traw</w:t>
      </w:r>
    </w:p>
    <w:p w14:paraId="094C78B5"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Należy stosować mieszanki z nasion traw różnych gatunków dostarczane na miejsce robót w formie gotowej. Przy doborze składu mieszanki należy uwzględnić warunki miejscowe, przeznaczenie oraz przewidziany sposób pielęgnacji. Skład mieszanki podlega zatwierdzeniu przez Inżyniera.</w:t>
      </w:r>
    </w:p>
    <w:p w14:paraId="55BF74B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Gotowa mieszanka traw powinna mieć oznaczony procentowy skład gatunkowy z nazwami co najmniej w języku łacińskim, klasę, numer normy lub dokumentu odniesienia wg której została wyprodukowana, zdolność kiełkowania (minimum 60%), a dane te powinny być zamieszczone na opakowaniu, etykiecie lub towarzyszącym dokumencie.</w:t>
      </w:r>
    </w:p>
    <w:p w14:paraId="2CEE97A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Mieszanki traw powinny być chronione przed zawilgoceniem podczas transportu i przechowywania.</w:t>
      </w:r>
    </w:p>
    <w:p w14:paraId="583DD550"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2.6. Nawozy mineralne</w:t>
      </w:r>
    </w:p>
    <w:p w14:paraId="572D3581"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Nawozy mineralne powinny być w opakowaniu, z podanym składem chemicznym (zawartość azotu, fosforu, potasu - NPK). Doboru mieszanki nawozów należy dokonać na podstawie zaleceń uzyskanych w wyniku badań składu fizycznego i chemicznego próbek ziemi urodzajnej zgodnie z pkt 2.2.</w:t>
      </w:r>
    </w:p>
    <w:p w14:paraId="7C6A6EBA"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Nawozy należy zabezpieczyć przed zawilgoceniem i zbryleniem w czasie transportu i przechowywania.</w:t>
      </w:r>
    </w:p>
    <w:p w14:paraId="1A26BFBF" w14:textId="77777777" w:rsidR="006E43C8" w:rsidRPr="006E43C8" w:rsidRDefault="006E43C8" w:rsidP="00270120">
      <w:pPr>
        <w:keepNext/>
        <w:overflowPunct w:val="0"/>
        <w:autoSpaceDE w:val="0"/>
        <w:autoSpaceDN w:val="0"/>
        <w:adjustRightInd w:val="0"/>
        <w:spacing w:line="240" w:lineRule="auto"/>
        <w:ind w:left="567" w:hanging="567"/>
        <w:jc w:val="both"/>
        <w:textAlignment w:val="baseline"/>
        <w:outlineLvl w:val="1"/>
        <w:rPr>
          <w:rFonts w:cs="Arial"/>
          <w:b/>
          <w:szCs w:val="20"/>
        </w:rPr>
      </w:pPr>
      <w:r w:rsidRPr="006E43C8">
        <w:rPr>
          <w:rFonts w:cs="Arial"/>
          <w:b/>
          <w:szCs w:val="20"/>
        </w:rPr>
        <w:t>2.7. Materiały zwiększające zdolność podłoża do gromadzenia wody i składników pokarmowych oraz zapobiegające zachwaszczeniu</w:t>
      </w:r>
    </w:p>
    <w:p w14:paraId="5B96C4B2"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Do ściółkowania (mulczowania) zaleca się stosowanie przekompostowanych przez minimum 12 miesięcy: zrębków drzewnych, trocin, włóknistego torfu, kory sosnowej, skoszonej trawy i liści.</w:t>
      </w:r>
    </w:p>
    <w:p w14:paraId="4204D75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 xml:space="preserve">W celu poprawy warunków wzrostu roślin w niekorzystnym środowisku wynikającym z podwyższonych temperatur, zasolenia gleby, zanieczyszczenia metalami ciężkimi i związkami ropopochodnymi można stosować preparaty </w:t>
      </w:r>
      <w:proofErr w:type="spellStart"/>
      <w:r w:rsidRPr="006E43C8">
        <w:rPr>
          <w:rFonts w:cs="Arial"/>
          <w:szCs w:val="20"/>
        </w:rPr>
        <w:t>mikoryzowe</w:t>
      </w:r>
      <w:proofErr w:type="spellEnd"/>
      <w:r w:rsidRPr="006E43C8">
        <w:rPr>
          <w:rFonts w:cs="Arial"/>
          <w:szCs w:val="20"/>
        </w:rPr>
        <w:t xml:space="preserve"> (w celu zaszczepienia grzybni współżyjącej z systemem korzeniowym) oraz hydrożele (polimery wiążące wodę i zapewniające wilgotność gleby pomiędzy opadami lub nawadnianiem). Dodatki te należy stosować zgodnie z zaleceniami producentów.</w:t>
      </w:r>
    </w:p>
    <w:p w14:paraId="4EC666BE"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2.8. Materiały do mocowania posadzonych drzew</w:t>
      </w:r>
    </w:p>
    <w:p w14:paraId="2C607911"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 celu zapewnienia pionowej pozycji oraz ochrony posadzonych drzew przed silnymi podmuchami wiatru stosuje się paliki, taśmy elastyczne do mocowania, odciągi itp. zgodnie z przyjętym systemem. Najczęściej do mocowania drzewa stosuje się połączone poprzeczkami 3 paliki o średnicy min. 6 cm i długości równej wysokości pnia powiększonej o odcinek 1 m do wkopania, elastyczne taśmy  ogrodnicze o szer. 40 mm, jutę do zabezpieczeń przed otarciami pnia w miejscach mocowania taśmą.</w:t>
      </w:r>
    </w:p>
    <w:p w14:paraId="0C114630"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 xml:space="preserve">W przypadkach, gdy niewskazane jest palikowanie należy zastosować </w:t>
      </w:r>
      <w:proofErr w:type="spellStart"/>
      <w:r w:rsidRPr="006E43C8">
        <w:rPr>
          <w:rFonts w:cs="Arial"/>
          <w:szCs w:val="20"/>
        </w:rPr>
        <w:t>bezpalikowe</w:t>
      </w:r>
      <w:proofErr w:type="spellEnd"/>
      <w:r w:rsidRPr="006E43C8">
        <w:rPr>
          <w:rFonts w:cs="Arial"/>
          <w:szCs w:val="20"/>
        </w:rPr>
        <w:t xml:space="preserve"> systemy mocowania drzew poprzez zastosowanie systemu balastowego, pasów i kotew mocujących bryłę korzeniową lub sztucznego korzenia palowego.[6]</w:t>
      </w:r>
    </w:p>
    <w:p w14:paraId="0DBE5E15"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 xml:space="preserve">2.9. Systemy </w:t>
      </w:r>
      <w:proofErr w:type="spellStart"/>
      <w:r w:rsidRPr="006E43C8">
        <w:rPr>
          <w:rFonts w:cs="Arial"/>
          <w:b/>
          <w:szCs w:val="20"/>
        </w:rPr>
        <w:t>zasadzeń</w:t>
      </w:r>
      <w:proofErr w:type="spellEnd"/>
      <w:r w:rsidRPr="006E43C8">
        <w:rPr>
          <w:rFonts w:cs="Arial"/>
          <w:b/>
          <w:szCs w:val="20"/>
        </w:rPr>
        <w:t xml:space="preserve"> drzew w warunkach miejskich</w:t>
      </w:r>
    </w:p>
    <w:p w14:paraId="5B2BF969"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 xml:space="preserve">W celu wprowadzenia zadrzewień w terenach silnie zurbanizowanych, w ciągach ulic, na terenach zabrukowanych mogą być stosowane odpowiednie technologie na podstawie dokumentacji projektowej i oferowanych przez producentów systemów. Mogą to być na przykład [6]: </w:t>
      </w:r>
    </w:p>
    <w:p w14:paraId="410C0A4F" w14:textId="77777777" w:rsidR="006E43C8" w:rsidRPr="006E43C8" w:rsidRDefault="006E43C8" w:rsidP="00CF1E7D">
      <w:pPr>
        <w:numPr>
          <w:ilvl w:val="0"/>
          <w:numId w:val="227"/>
        </w:numPr>
        <w:overflowPunct w:val="0"/>
        <w:autoSpaceDE w:val="0"/>
        <w:autoSpaceDN w:val="0"/>
        <w:adjustRightInd w:val="0"/>
        <w:spacing w:line="240" w:lineRule="auto"/>
        <w:jc w:val="both"/>
        <w:textAlignment w:val="baseline"/>
        <w:rPr>
          <w:rFonts w:cs="Arial"/>
          <w:szCs w:val="20"/>
        </w:rPr>
      </w:pPr>
      <w:r w:rsidRPr="006E43C8">
        <w:rPr>
          <w:rFonts w:cs="Arial"/>
          <w:szCs w:val="20"/>
        </w:rPr>
        <w:t>gleby strukturalne tj. mieszanki kamienno-glebowe stanowiące podłoże pod nawierzchnie chodnikowe, wymagające stałego zasilania wodą i składnikami pokarmowymi,</w:t>
      </w:r>
    </w:p>
    <w:p w14:paraId="05F45863" w14:textId="77777777" w:rsidR="006E43C8" w:rsidRPr="006E43C8" w:rsidRDefault="006E43C8" w:rsidP="00CF1E7D">
      <w:pPr>
        <w:numPr>
          <w:ilvl w:val="0"/>
          <w:numId w:val="227"/>
        </w:num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systemy </w:t>
      </w:r>
      <w:proofErr w:type="spellStart"/>
      <w:r w:rsidRPr="006E43C8">
        <w:rPr>
          <w:rFonts w:cs="Arial"/>
          <w:szCs w:val="20"/>
        </w:rPr>
        <w:t>antykompresyjne</w:t>
      </w:r>
      <w:proofErr w:type="spellEnd"/>
      <w:r w:rsidRPr="006E43C8">
        <w:rPr>
          <w:rFonts w:cs="Arial"/>
          <w:szCs w:val="20"/>
        </w:rPr>
        <w:t xml:space="preserve"> tj. konstrukcje szkieletowe przenoszące nacisk nawierzchni poniżej strefy korzeniowej,</w:t>
      </w:r>
    </w:p>
    <w:p w14:paraId="09EF7FB9" w14:textId="77777777" w:rsidR="006E43C8" w:rsidRPr="006E43C8" w:rsidRDefault="006E43C8" w:rsidP="00CF1E7D">
      <w:pPr>
        <w:numPr>
          <w:ilvl w:val="0"/>
          <w:numId w:val="227"/>
        </w:numPr>
        <w:overflowPunct w:val="0"/>
        <w:autoSpaceDE w:val="0"/>
        <w:autoSpaceDN w:val="0"/>
        <w:adjustRightInd w:val="0"/>
        <w:spacing w:line="240" w:lineRule="auto"/>
        <w:jc w:val="both"/>
        <w:textAlignment w:val="baseline"/>
        <w:rPr>
          <w:rFonts w:cs="Arial"/>
          <w:szCs w:val="20"/>
        </w:rPr>
      </w:pPr>
      <w:r w:rsidRPr="006E43C8">
        <w:rPr>
          <w:rFonts w:cs="Arial"/>
          <w:szCs w:val="20"/>
        </w:rPr>
        <w:t>chodniki podwieszone (nadwieszone) tj. konstrukcje pozwalające na montaż chodnika z prześwitem nad glebą,</w:t>
      </w:r>
    </w:p>
    <w:p w14:paraId="440380B2" w14:textId="77777777" w:rsidR="006E43C8" w:rsidRPr="006E43C8" w:rsidRDefault="006E43C8" w:rsidP="00CF1E7D">
      <w:pPr>
        <w:numPr>
          <w:ilvl w:val="0"/>
          <w:numId w:val="227"/>
        </w:numPr>
        <w:overflowPunct w:val="0"/>
        <w:autoSpaceDE w:val="0"/>
        <w:autoSpaceDN w:val="0"/>
        <w:adjustRightInd w:val="0"/>
        <w:spacing w:line="240" w:lineRule="auto"/>
        <w:jc w:val="both"/>
        <w:textAlignment w:val="baseline"/>
        <w:rPr>
          <w:rFonts w:cs="Arial"/>
          <w:szCs w:val="20"/>
        </w:rPr>
      </w:pPr>
      <w:r w:rsidRPr="006E43C8">
        <w:rPr>
          <w:rFonts w:cs="Arial"/>
          <w:szCs w:val="20"/>
        </w:rPr>
        <w:t>systemy ukierunkowujące wzrost korzeni takie jak ekrany, kanały korzeniowe itp.</w:t>
      </w:r>
    </w:p>
    <w:p w14:paraId="556D181C"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2.10. Pozostałe materiały używane przy sadzeniu i pielęgnacji</w:t>
      </w:r>
    </w:p>
    <w:p w14:paraId="5542D624"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Wyszczególnienie, rodzaj oraz szczegółowe wymagania dotyczące pozostałych materiałów wynikają z dokumentacji projektowej i powinny być określone w ST.</w:t>
      </w:r>
    </w:p>
    <w:p w14:paraId="001E1978"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 xml:space="preserve">W celu zabezpieczenia nasadzeń, głównie krzewów i pnączy można stosować maty </w:t>
      </w:r>
      <w:proofErr w:type="spellStart"/>
      <w:r w:rsidRPr="006E43C8">
        <w:rPr>
          <w:rFonts w:cs="Arial"/>
          <w:szCs w:val="20"/>
        </w:rPr>
        <w:t>przeciwchwastowe</w:t>
      </w:r>
      <w:proofErr w:type="spellEnd"/>
      <w:r w:rsidRPr="006E43C8">
        <w:rPr>
          <w:rFonts w:cs="Arial"/>
          <w:szCs w:val="20"/>
        </w:rPr>
        <w:t xml:space="preserve"> przepuszczalne dla wody i powietrza, odporne na promieniowanie UV, o trwałości minimum 5 lat.</w:t>
      </w:r>
    </w:p>
    <w:p w14:paraId="1DC3C3C6"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 miejscach, gdzie konieczna jest ochrona pni drzew przed zwierzyną należy stosować osłony opaskowe dostosowane do wielkości pni, zapewniające prawidłowy wzrost i brak uszkodzeń oraz cyrkulację powietrza. Rodzaj zastosowanych osłon podlega zatwierdzeniu przez Inżyniera.</w:t>
      </w:r>
    </w:p>
    <w:p w14:paraId="7A3A38B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 przypadkach tego wymagających należy stosować dopuszczone do obrotu środki ochrony roślin i herbicydy nie powodujące zagrożenia dla człowieka, zwierząt i środowiska.</w:t>
      </w:r>
    </w:p>
    <w:p w14:paraId="269F2FD5" w14:textId="77777777" w:rsidR="006E43C8" w:rsidRPr="006E43C8" w:rsidRDefault="006E43C8"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95" w:name="_Toc428677175"/>
      <w:r w:rsidRPr="006E43C8">
        <w:rPr>
          <w:rFonts w:cs="Arial"/>
          <w:b/>
          <w:caps/>
          <w:kern w:val="28"/>
          <w:szCs w:val="20"/>
        </w:rPr>
        <w:t xml:space="preserve">3. </w:t>
      </w:r>
      <w:bookmarkEnd w:id="1095"/>
      <w:r w:rsidRPr="006E43C8">
        <w:rPr>
          <w:rFonts w:cs="Arial"/>
          <w:b/>
          <w:caps/>
          <w:kern w:val="28"/>
          <w:szCs w:val="20"/>
        </w:rPr>
        <w:t>Sprzęt</w:t>
      </w:r>
    </w:p>
    <w:p w14:paraId="43FAC663"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3.1. Ogólne wymagania dotyczące sprzętu</w:t>
      </w:r>
    </w:p>
    <w:p w14:paraId="06998CCD"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Ogólne wymagania dotyczące sprzętu podano w SST „Wymagania ogólne” [1] pkt 3.</w:t>
      </w:r>
    </w:p>
    <w:p w14:paraId="4BBB36DD"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3.2. Sprzęt stosowany do wykonania zieleni drogowej</w:t>
      </w:r>
    </w:p>
    <w:p w14:paraId="6834A46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Wykonawca przystępujący do wykonania zieleni drogowej powinien wykazać się możliwością korzystania z następującego sprzętu z ew. dostosowaniem do zakresu i rodzaju robót:</w:t>
      </w:r>
    </w:p>
    <w:p w14:paraId="4695229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glebogryzarek, pługów, kultywatorów, bron do uprawy gleby,</w:t>
      </w:r>
    </w:p>
    <w:p w14:paraId="625D0D1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świdrów ręcznych lub mechanicznych do wykonywania otworów w glebie pod nasadzenia,</w:t>
      </w:r>
    </w:p>
    <w:p w14:paraId="26CD00F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lastRenderedPageBreak/>
        <w:t>siewników,</w:t>
      </w:r>
    </w:p>
    <w:p w14:paraId="21AA6E4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wału kolczatki oraz wału gładkiego do zakładania trawników,</w:t>
      </w:r>
    </w:p>
    <w:p w14:paraId="22565BC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kosiarki mechanicznej do pielęgnacji trawników,</w:t>
      </w:r>
    </w:p>
    <w:p w14:paraId="660B0EDF"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sprzętu do pozyskiwania ziemi urodzajnej (np. spycharki gąsiennicowej, koparki),</w:t>
      </w:r>
    </w:p>
    <w:p w14:paraId="5146625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cystern na wodę wraz ze środkiem transportu, węży do zraszania i podlewania,</w:t>
      </w:r>
    </w:p>
    <w:p w14:paraId="1437A1F0"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opryskiwaczy plecakowych,</w:t>
      </w:r>
    </w:p>
    <w:p w14:paraId="354C311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ręcznych narzędzi ogrodniczych (łopaty, grabie, sekatory, nożyce, siekiery, młotki, drabiny)</w:t>
      </w:r>
    </w:p>
    <w:p w14:paraId="4704A622"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 ponadto do pielęgnacji zadrzewień:</w:t>
      </w:r>
    </w:p>
    <w:p w14:paraId="1866519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pił mechanicznych i ręcznych,</w:t>
      </w:r>
    </w:p>
    <w:p w14:paraId="28544B79"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nożyc mechanicznych do żywopłotów, </w:t>
      </w:r>
    </w:p>
    <w:p w14:paraId="44E016F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drabin,</w:t>
      </w:r>
    </w:p>
    <w:p w14:paraId="63DE7399"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podnośników hydraulicznych.</w:t>
      </w:r>
    </w:p>
    <w:p w14:paraId="68059B4E" w14:textId="77777777" w:rsidR="006E43C8" w:rsidRPr="006E43C8" w:rsidRDefault="006E43C8"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96" w:name="_Toc428677176"/>
      <w:r w:rsidRPr="006E43C8">
        <w:rPr>
          <w:rFonts w:cs="Arial"/>
          <w:b/>
          <w:caps/>
          <w:kern w:val="28"/>
          <w:szCs w:val="20"/>
        </w:rPr>
        <w:t xml:space="preserve">4. </w:t>
      </w:r>
      <w:bookmarkEnd w:id="1096"/>
      <w:r w:rsidRPr="006E43C8">
        <w:rPr>
          <w:rFonts w:cs="Arial"/>
          <w:b/>
          <w:caps/>
          <w:kern w:val="28"/>
          <w:szCs w:val="20"/>
        </w:rPr>
        <w:t>Transport</w:t>
      </w:r>
    </w:p>
    <w:p w14:paraId="3A2400AA"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4.1. Ogólne wymagania dotyczące transportu</w:t>
      </w:r>
    </w:p>
    <w:p w14:paraId="123A40D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Ogólne wymagania dotyczące transportu podano w SST D-M-00.00.00 „Wymagania ogólne” [1] pkt 4.</w:t>
      </w:r>
    </w:p>
    <w:p w14:paraId="5FD74695"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Dopuszcza się dobór przez wykonawcę dowolnych środków transportu adekwatnych do wykonywanego zadania pod warunkiem zapewnienia ochrony przed uszkodzeniem lub pogorszeniem jakości przewożonych towarów.</w:t>
      </w:r>
    </w:p>
    <w:p w14:paraId="60BBBC56"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4.2. Transport materiałów do wykonania nasadzeń</w:t>
      </w:r>
    </w:p>
    <w:p w14:paraId="1D3512E6"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Drzewa i krzewy mogą być przewożone wszystkimi środkami transportowymi. W czasie transportu należy zabezpieczyć je przed wyschnięciem i przemarznięciem oraz przed uszkodzeniem bryły korzeniowej lub korzeni i pędów. Rośliny z bryłą korzeniową muszą mieć ją zabezpieczoną, ewentualnie opakowaną lub być w pojemnikach.</w:t>
      </w:r>
    </w:p>
    <w:p w14:paraId="1822CB5D"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Drzewa i krzewy po dostarczeniu na miejsce przeznaczenia powinny być natychmiast sadzone. Jeśli jest to niemożliwe, należy je zadołować w miejscu ocienionym i nieprzewiewnym, a w razie potrzeby podlewać, zwłaszcza podczas suszy.</w:t>
      </w:r>
    </w:p>
    <w:p w14:paraId="09E05F0B"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4.3. Transport roślin kwietnikowych</w:t>
      </w:r>
    </w:p>
    <w:p w14:paraId="7FAADB92"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Rośliny przygotowane do wysyłki po wyjęciu z ziemi należy przechowywać w miejscach osłoniętych i zacienionych. W przypadku niewysyłania roślin w ciągu kilku godzin od wyjęcia z ziemi, należy je spryskać wodą (pędy roślin pakowanych nie powinny być jednak mokre, aby uniknąć zaparzenia).</w:t>
      </w:r>
    </w:p>
    <w:p w14:paraId="58B6612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Rośliny należy przewozić w warunkach zabezpieczających je przed wstrząsami, uszkodzeniami i wyschnięciem. Przy przesyłaniu na dalsze odległości, rośliny należy przewozić szybkimi, zakrytymi środkami transportowymi.</w:t>
      </w:r>
    </w:p>
    <w:p w14:paraId="67BB0656"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 okresie wysokich temperatur przewóz powinien być w miarę możliwości dokonywany nocą.</w:t>
      </w:r>
    </w:p>
    <w:p w14:paraId="0CEF0F46" w14:textId="77777777" w:rsidR="006E43C8" w:rsidRPr="006E43C8" w:rsidRDefault="006E43C8"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97" w:name="_Toc428677177"/>
      <w:r w:rsidRPr="006E43C8">
        <w:rPr>
          <w:rFonts w:cs="Arial"/>
          <w:b/>
          <w:caps/>
          <w:kern w:val="28"/>
          <w:szCs w:val="20"/>
        </w:rPr>
        <w:t xml:space="preserve">5. </w:t>
      </w:r>
      <w:bookmarkEnd w:id="1097"/>
      <w:r w:rsidRPr="006E43C8">
        <w:rPr>
          <w:rFonts w:cs="Arial"/>
          <w:b/>
          <w:caps/>
          <w:kern w:val="28"/>
          <w:szCs w:val="20"/>
        </w:rPr>
        <w:t>Wykonanie robót</w:t>
      </w:r>
    </w:p>
    <w:p w14:paraId="4A29B7D6"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5.1. Ogólne zasady wykonania robót</w:t>
      </w:r>
    </w:p>
    <w:p w14:paraId="3D7E6A8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Ogólne zasady wykonania robót podano w SST D-M-00.00.00 „Wymagania ogólne” [1]pkt 5.</w:t>
      </w:r>
    </w:p>
    <w:p w14:paraId="35CA8CF3"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5.2. Trawniki</w:t>
      </w:r>
    </w:p>
    <w:p w14:paraId="368E0511" w14:textId="77777777" w:rsidR="006E43C8" w:rsidRPr="006E43C8" w:rsidRDefault="006E43C8" w:rsidP="00270120">
      <w:pPr>
        <w:keepNext/>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5.2.1. </w:t>
      </w:r>
      <w:r w:rsidRPr="006E43C8">
        <w:rPr>
          <w:rFonts w:cs="Arial"/>
          <w:szCs w:val="20"/>
        </w:rPr>
        <w:t>Wymagania dotyczące wykonania trawników</w:t>
      </w:r>
    </w:p>
    <w:p w14:paraId="01653F43"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Teren pod trawniki musi być oczyszczony z gruzu i zanieczyszczeń.</w:t>
      </w:r>
    </w:p>
    <w:p w14:paraId="243897E7"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Roboty wstępne przy zakładaniu trawników na gruncie rodzimym, bez jego wymiany, obejmują:</w:t>
      </w:r>
    </w:p>
    <w:p w14:paraId="2A2832FD" w14:textId="77777777" w:rsidR="006E43C8" w:rsidRPr="006E43C8" w:rsidRDefault="006E43C8" w:rsidP="00CF1E7D">
      <w:pPr>
        <w:numPr>
          <w:ilvl w:val="0"/>
          <w:numId w:val="229"/>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 xml:space="preserve">skoszenie istniejącej roślinności, </w:t>
      </w:r>
    </w:p>
    <w:p w14:paraId="6338F07B" w14:textId="77777777" w:rsidR="006E43C8" w:rsidRPr="006E43C8" w:rsidRDefault="006E43C8" w:rsidP="00CF1E7D">
      <w:pPr>
        <w:numPr>
          <w:ilvl w:val="0"/>
          <w:numId w:val="229"/>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usunięcie darniny,</w:t>
      </w:r>
    </w:p>
    <w:p w14:paraId="1A6E9BB4" w14:textId="77777777" w:rsidR="006E43C8" w:rsidRPr="006E43C8" w:rsidRDefault="006E43C8" w:rsidP="00CF1E7D">
      <w:pPr>
        <w:numPr>
          <w:ilvl w:val="0"/>
          <w:numId w:val="229"/>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przekopanie lub orkę na głębokość do 20 cm,</w:t>
      </w:r>
    </w:p>
    <w:p w14:paraId="205811AC" w14:textId="77777777" w:rsidR="006E43C8" w:rsidRPr="006E43C8" w:rsidRDefault="006E43C8" w:rsidP="00CF1E7D">
      <w:pPr>
        <w:numPr>
          <w:ilvl w:val="0"/>
          <w:numId w:val="229"/>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wykonanie niwelacji z uwzględnieniem przewidywanego rozłożenia ziemi urodzajnej w miejscach tego wymagających,</w:t>
      </w:r>
    </w:p>
    <w:p w14:paraId="6DAABFAF" w14:textId="77777777" w:rsidR="006E43C8" w:rsidRPr="006E43C8" w:rsidRDefault="006E43C8" w:rsidP="00CF1E7D">
      <w:pPr>
        <w:numPr>
          <w:ilvl w:val="0"/>
          <w:numId w:val="229"/>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zniszczenie ewentualnych chwastów z użyciem odpowiednich herbicydów,</w:t>
      </w:r>
    </w:p>
    <w:p w14:paraId="4A88925C" w14:textId="77777777" w:rsidR="006E43C8" w:rsidRPr="006E43C8" w:rsidRDefault="006E43C8" w:rsidP="00CF1E7D">
      <w:pPr>
        <w:numPr>
          <w:ilvl w:val="0"/>
          <w:numId w:val="229"/>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wykonanie nawożenia i uzupełnienia składu ziemi rodzimej lub urodzajnej w celu doprowadzenie do stanu zaleconego przez stację chemiczno-rolniczą zgodnie z pkt. 2.2. niniejszej SST,</w:t>
      </w:r>
    </w:p>
    <w:p w14:paraId="7463C1F0" w14:textId="77777777" w:rsidR="006E43C8" w:rsidRPr="006E43C8" w:rsidRDefault="006E43C8" w:rsidP="00CF1E7D">
      <w:pPr>
        <w:numPr>
          <w:ilvl w:val="0"/>
          <w:numId w:val="229"/>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rozłożenie ziemi urodzajnej, jej wyrównanie i zagęszczenie.</w:t>
      </w:r>
    </w:p>
    <w:p w14:paraId="32141152" w14:textId="77777777" w:rsidR="006E43C8" w:rsidRPr="006E43C8" w:rsidRDefault="006E43C8" w:rsidP="00270120">
      <w:pPr>
        <w:overflowPunct w:val="0"/>
        <w:autoSpaceDE w:val="0"/>
        <w:autoSpaceDN w:val="0"/>
        <w:adjustRightInd w:val="0"/>
        <w:spacing w:line="240" w:lineRule="auto"/>
        <w:ind w:left="426" w:firstLine="283"/>
        <w:jc w:val="both"/>
        <w:textAlignment w:val="baseline"/>
        <w:rPr>
          <w:rFonts w:cs="Arial"/>
          <w:szCs w:val="20"/>
        </w:rPr>
      </w:pPr>
      <w:r w:rsidRPr="006E43C8">
        <w:rPr>
          <w:rFonts w:cs="Arial"/>
          <w:szCs w:val="20"/>
        </w:rPr>
        <w:t>Wymagania przy zakładaniu trawników z wymianą gruntu rodzimego lub na powierzchniach po rozbiórkach:</w:t>
      </w:r>
    </w:p>
    <w:p w14:paraId="46E93774" w14:textId="77777777" w:rsidR="006E43C8" w:rsidRPr="006E43C8" w:rsidRDefault="006E43C8" w:rsidP="00CF1E7D">
      <w:pPr>
        <w:numPr>
          <w:ilvl w:val="0"/>
          <w:numId w:val="230"/>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teren powinien być obniżony  w stosunku do poziomu docelowego o grubość przewidzianej warstwy ziemi urodzajnej po zagęszczeniu (najczęściej o ok. 10 – 15 cm),</w:t>
      </w:r>
    </w:p>
    <w:p w14:paraId="7C012D9C" w14:textId="77777777" w:rsidR="006E43C8" w:rsidRPr="006E43C8" w:rsidRDefault="006E43C8" w:rsidP="00CF1E7D">
      <w:pPr>
        <w:numPr>
          <w:ilvl w:val="0"/>
          <w:numId w:val="230"/>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teren powinien być wyrównany i splantowany,</w:t>
      </w:r>
    </w:p>
    <w:p w14:paraId="543FBD05" w14:textId="77777777" w:rsidR="006E43C8" w:rsidRPr="006E43C8" w:rsidRDefault="006E43C8" w:rsidP="00CF1E7D">
      <w:pPr>
        <w:numPr>
          <w:ilvl w:val="0"/>
          <w:numId w:val="230"/>
        </w:numPr>
        <w:overflowPunct w:val="0"/>
        <w:autoSpaceDE w:val="0"/>
        <w:autoSpaceDN w:val="0"/>
        <w:adjustRightInd w:val="0"/>
        <w:spacing w:line="240" w:lineRule="auto"/>
        <w:ind w:left="425" w:hanging="357"/>
        <w:jc w:val="both"/>
        <w:textAlignment w:val="baseline"/>
        <w:rPr>
          <w:rFonts w:cs="Arial"/>
          <w:szCs w:val="20"/>
        </w:rPr>
      </w:pPr>
      <w:r w:rsidRPr="006E43C8">
        <w:rPr>
          <w:rFonts w:cs="Arial"/>
          <w:szCs w:val="20"/>
        </w:rPr>
        <w:t>ziemia urodzajna powinna być rozścielona równą warstwą, wymieszana z kompostem i nawozami mineralnymi, o ile jest to wymagane oraz starannie wyrównana.</w:t>
      </w:r>
    </w:p>
    <w:p w14:paraId="2C4352B1"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Wymagania dotyczące podłoża trawników są następujące:</w:t>
      </w:r>
    </w:p>
    <w:p w14:paraId="2DC81D07"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ziemia urodzajna musi spełniać zalecenia stacji chemiczno-rolniczej,</w:t>
      </w:r>
    </w:p>
    <w:p w14:paraId="710E6F61"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ziemia powinna być wolna od chwastów,</w:t>
      </w:r>
    </w:p>
    <w:p w14:paraId="51D3D44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grubość warstwy ziemi urodzajnej po zagęszczeniu powinna wynosić minimum 10 cm,</w:t>
      </w:r>
    </w:p>
    <w:p w14:paraId="46835AF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zagęszczenie powinno być do takiego stanu, aby stopy dorosłego człowieka nie pozostawiały śladów,</w:t>
      </w:r>
    </w:p>
    <w:p w14:paraId="3845B842"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krawężnik (obrzeże) powinien znajdować się  2 do 3 cm nad terenem.</w:t>
      </w:r>
    </w:p>
    <w:p w14:paraId="65BA7F7C" w14:textId="77777777" w:rsidR="006E43C8" w:rsidRPr="006E43C8" w:rsidRDefault="006E43C8" w:rsidP="00270120">
      <w:pPr>
        <w:overflowPunct w:val="0"/>
        <w:autoSpaceDE w:val="0"/>
        <w:autoSpaceDN w:val="0"/>
        <w:adjustRightInd w:val="0"/>
        <w:spacing w:line="240" w:lineRule="auto"/>
        <w:ind w:left="709"/>
        <w:jc w:val="both"/>
        <w:textAlignment w:val="baseline"/>
        <w:rPr>
          <w:rFonts w:cs="Arial"/>
          <w:szCs w:val="20"/>
        </w:rPr>
      </w:pPr>
      <w:r w:rsidRPr="006E43C8">
        <w:rPr>
          <w:rFonts w:cs="Arial"/>
          <w:szCs w:val="20"/>
        </w:rPr>
        <w:t>Wymagania dotyczące wysiewu traw:</w:t>
      </w:r>
    </w:p>
    <w:p w14:paraId="3EB9AB2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przed siewem nasion trawy ziemię należy wałować wałem gładkim, a potem wałem - kolczatką lub zagrabić,</w:t>
      </w:r>
    </w:p>
    <w:p w14:paraId="73E7378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siew powinien być dokonany w dni bezwietrzne,</w:t>
      </w:r>
    </w:p>
    <w:p w14:paraId="084B144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lastRenderedPageBreak/>
        <w:t>okres siewu - najlepszy okres wiosenny od połowy kwietnia do połowy czerwca i od połowy sierpnia do połowy września. Odstępstwa od tych terminów wymagają zgody Inżyniera,</w:t>
      </w:r>
    </w:p>
    <w:p w14:paraId="4355018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na terenie płaskim nasiona traw wysiewane są w ilości od 2 do 4 kg na 100 m</w:t>
      </w:r>
      <w:r w:rsidRPr="006E43C8">
        <w:rPr>
          <w:rFonts w:cs="Arial"/>
          <w:szCs w:val="20"/>
          <w:vertAlign w:val="superscript"/>
        </w:rPr>
        <w:t>2</w:t>
      </w:r>
      <w:r w:rsidRPr="006E43C8">
        <w:rPr>
          <w:rFonts w:cs="Arial"/>
          <w:szCs w:val="20"/>
        </w:rPr>
        <w:t>, chyba że SST przewiduje inaczej,</w:t>
      </w:r>
    </w:p>
    <w:p w14:paraId="2F28011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na skarpach nasiona traw wysiewane są w ilości 4 kg na 100 m</w:t>
      </w:r>
      <w:r w:rsidRPr="006E43C8">
        <w:rPr>
          <w:rFonts w:cs="Arial"/>
          <w:szCs w:val="20"/>
          <w:vertAlign w:val="superscript"/>
        </w:rPr>
        <w:t>2</w:t>
      </w:r>
      <w:r w:rsidRPr="006E43C8">
        <w:rPr>
          <w:rFonts w:cs="Arial"/>
          <w:szCs w:val="20"/>
        </w:rPr>
        <w:t>, chyba że SST przewiduje inaczej,</w:t>
      </w:r>
    </w:p>
    <w:p w14:paraId="2CBF9F69"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przykrycie nasion – wykonywane przez przemieszanie z ziemią grabiami lub wałem kolczatką, bądź pokrycie warstwą 1 cm ziemi urodzajnej z ewentualnym dodatkiem hydrożelu, jeśli SST to przewiduje,</w:t>
      </w:r>
    </w:p>
    <w:p w14:paraId="4E534BDF"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 wysiewie nasion ziemia powinna być wałowana lekkim wałem w celu ostatecznego wyrównania i stworzenia dobrych warunków dla podsiąkania wody. Jeżeli przykrycie nasion nastąpiło przez wałowanie kolczatką, można już nie stosować wału gładkiego,</w:t>
      </w:r>
    </w:p>
    <w:p w14:paraId="6C9283D9"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 okresie do dwóch tygodni od siewu teren należy systematycznie zraszać,</w:t>
      </w:r>
    </w:p>
    <w:p w14:paraId="4BD913D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 miejscach, gdzie trawy nie wzeszły należy dokonać siewu uzupełniającego.</w:t>
      </w:r>
    </w:p>
    <w:p w14:paraId="61DC0530"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5.2.2. </w:t>
      </w:r>
      <w:r w:rsidRPr="006E43C8">
        <w:rPr>
          <w:rFonts w:cs="Arial"/>
          <w:szCs w:val="20"/>
        </w:rPr>
        <w:t>Pielęgnacja trawników</w:t>
      </w:r>
    </w:p>
    <w:p w14:paraId="50BFDE99"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Najważniejszym zabiegiem w pielęgnacji trawników jest koszenie:</w:t>
      </w:r>
    </w:p>
    <w:p w14:paraId="6BCB7D7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pierwsze koszenie powinno być przeprowadzone, gdy trawa osiągnie wysokość około  10 cm,</w:t>
      </w:r>
    </w:p>
    <w:p w14:paraId="7898BE3A"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następne koszenia powinny się odbywać w takich odstępach czasu, aby wysokość trawy przed kolejnym koszeniem nie przekraczała wysokości 10 do 12 cm,</w:t>
      </w:r>
    </w:p>
    <w:p w14:paraId="16C6B747"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ostatnie, przedzimowe koszenie trawników powinno być wykonane z 1-miesięcznym wyprzedzeniem spodziewanego nastania mrozów (dla warunków klimatycznych Polski można przyjąć pierwszą połowę października),</w:t>
      </w:r>
    </w:p>
    <w:p w14:paraId="6071CA2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koszenia trawników w całym okresie pielęgnacji powinny się odbywać często i w regularnych odstępach czasu, przy czym częstość koszenia i wysokość cięcia, należy uzależniać od gatunku wysianej trawy,</w:t>
      </w:r>
    </w:p>
    <w:p w14:paraId="086600B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chwasty trwałe w pierwszym okresie należy usuwać ręcznie; środki chwastobójcze o selektywnym działaniu należy stosować z dużą ostrożnością i dopiero po okresie  6 miesięcy od założenia trawnika.</w:t>
      </w:r>
    </w:p>
    <w:p w14:paraId="4C35E9DC"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Trawniki wymagają nawożenia mineralnego - około 3 kg NPK na 1 ar w ciągu roku. Mieszanki nawozów należy przygotowywać tak, aby trawom zapewnić składniki wymagane w poszczególnych porach roku:</w:t>
      </w:r>
    </w:p>
    <w:p w14:paraId="4B59690C"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wiosną, trawnik wymaga mieszanki z przewagą azotu,</w:t>
      </w:r>
    </w:p>
    <w:p w14:paraId="401FE02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od połowy lata należy ograniczyć azot, zwiększając dawki potasu i fosforu,</w:t>
      </w:r>
    </w:p>
    <w:p w14:paraId="21E810F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ostatnie nawożenie nie powinno zawierać azotu, lecz tylko fosfor i potas.</w:t>
      </w:r>
    </w:p>
    <w:p w14:paraId="5EE0904D"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5.3. Drzewa, krzewy i pnącza</w:t>
      </w:r>
    </w:p>
    <w:p w14:paraId="680CC45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5.3.1. </w:t>
      </w:r>
      <w:r w:rsidRPr="006E43C8">
        <w:rPr>
          <w:rFonts w:cs="Arial"/>
          <w:szCs w:val="20"/>
        </w:rPr>
        <w:t xml:space="preserve"> Wymagania dotyczące sadzenia drzew, krzewów i pnączy</w:t>
      </w:r>
    </w:p>
    <w:p w14:paraId="4CD647A7"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Teren przeznaczony pod nasadzenie drzew, krzewów i pnączy powinien być wolny od zanieczyszczeń, gruzu i odpadów budowlanych oraz odchwaszczony, a trawy powinny być wykoszone.</w:t>
      </w:r>
    </w:p>
    <w:p w14:paraId="5387B506"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Miejsce sadzenia i rozmieszczenie poszczególnych roślin powinno być wyznaczone w terenie, zgodnie z dokumentacją projektową.</w:t>
      </w:r>
    </w:p>
    <w:p w14:paraId="18387B7A"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 xml:space="preserve">Teren pod sadzenie krzewów i pnączy, o ile dokumentacja to przewiduje, może być przykryty matą </w:t>
      </w:r>
      <w:proofErr w:type="spellStart"/>
      <w:r w:rsidRPr="006E43C8">
        <w:rPr>
          <w:rFonts w:cs="Arial"/>
          <w:szCs w:val="20"/>
        </w:rPr>
        <w:t>przeciwchwastową</w:t>
      </w:r>
      <w:proofErr w:type="spellEnd"/>
      <w:r w:rsidRPr="006E43C8">
        <w:rPr>
          <w:rFonts w:cs="Arial"/>
          <w:szCs w:val="20"/>
        </w:rPr>
        <w:t xml:space="preserve"> odpowiednio zamocowaną do podłoża. W miejscach wyznaczonych pod sadzenie roślin należy wykonać w macie nacięcia krzyżowe. Po posadzeniu roślin mata powinna być należycie dodatkowo umocowana do podłoża w sąsiedztwie roślin, a na jej powierzchni należy wykonać ściółkowanie na grubość ok. 5 cm.</w:t>
      </w:r>
    </w:p>
    <w:p w14:paraId="49E5B80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Pora sadzenia:</w:t>
      </w:r>
    </w:p>
    <w:p w14:paraId="0CD2EEE5" w14:textId="77777777" w:rsidR="006E43C8" w:rsidRPr="006E43C8" w:rsidRDefault="006E43C8" w:rsidP="00CF1E7D">
      <w:pPr>
        <w:numPr>
          <w:ilvl w:val="0"/>
          <w:numId w:val="231"/>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rośliny w pojemnikach - przez cały rok, o ile pozwalają na to warunki atmosferyczne, z wyłączeniem okresu zimowego i z ujemnymi temperaturami,</w:t>
      </w:r>
    </w:p>
    <w:p w14:paraId="132379B2" w14:textId="77777777" w:rsidR="006E43C8" w:rsidRPr="006E43C8" w:rsidRDefault="006E43C8" w:rsidP="00CF1E7D">
      <w:pPr>
        <w:numPr>
          <w:ilvl w:val="0"/>
          <w:numId w:val="231"/>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drzewa i krzewy liściaste  – wczesną wiosną po rozmarznięciu gruntu lub jesienią w stanie bezlistnym,</w:t>
      </w:r>
    </w:p>
    <w:p w14:paraId="53006579" w14:textId="77777777" w:rsidR="006E43C8" w:rsidRPr="006E43C8" w:rsidRDefault="006E43C8" w:rsidP="00CF1E7D">
      <w:pPr>
        <w:numPr>
          <w:ilvl w:val="0"/>
          <w:numId w:val="231"/>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drzewa oraz krzewy iglaste i zimozielone – przed rozpoczęciem przyrostu w końcu kwietnia i maju lub po zakończeniu przyrostu od końca sierpnia,</w:t>
      </w:r>
    </w:p>
    <w:p w14:paraId="5141BB8E" w14:textId="77777777" w:rsidR="006E43C8" w:rsidRPr="006E43C8" w:rsidRDefault="006E43C8" w:rsidP="00CF1E7D">
      <w:pPr>
        <w:numPr>
          <w:ilvl w:val="0"/>
          <w:numId w:val="231"/>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sadzenia nie należy wykonywać w upalne i silnie nasłonecznione dni.</w:t>
      </w:r>
    </w:p>
    <w:p w14:paraId="61C5264D"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Wymagania dotyczące sadzenia drzew, krzewów i pnączy:</w:t>
      </w:r>
    </w:p>
    <w:p w14:paraId="635B5181"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wielkość dołów do sadzenia powinna być zgodna ze wskazaną w dokumentacji projektowej, przy czym powinny one być głębsze i szersze co najmniej o 30-40 cm w stosunku do wielkości bryły korzeniowej, </w:t>
      </w:r>
    </w:p>
    <w:p w14:paraId="4152B38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doły powinny być zaprawione ziemią kompostową odpowiednią dla sadzonych roślin,</w:t>
      </w:r>
    </w:p>
    <w:p w14:paraId="1CBE30F0"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 przypadku roślin dostarczonych w pojemnikach, pojemniki należy ostrożnie usunąć,</w:t>
      </w:r>
    </w:p>
    <w:p w14:paraId="47683A6F"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zabezpieczeń bryły korzeniowej z juty lub siatki drucianej nie należy usuwać lub przecinać, ewentualnie rozluźnić przy szyjce korzeniowej,</w:t>
      </w:r>
    </w:p>
    <w:p w14:paraId="04968699"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korzenie złamane i uszkodzone należy przed sadzeniem przyciąć i zabezpieczyć fungicydem,</w:t>
      </w:r>
    </w:p>
    <w:p w14:paraId="1DB65FF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roślina w miejscu sadzenia powinna znaleźć się do 5 cm głębiej niż, gdy rosła w szkółce. Zbyt głębokie lub płytkie sadzenie utrudnia prawidłowy rozwój rośliny,</w:t>
      </w:r>
    </w:p>
    <w:p w14:paraId="788D66E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 przypadku odkrytych korzeni roślin należy zasypywać je sypką ziemią, a następnie prawidłowo ubić, podlać, uformować miskę i ponownie podlać,</w:t>
      </w:r>
    </w:p>
    <w:p w14:paraId="63B12DF0"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przy sadzeniu drzew formy piennej należy przed zasypaniem dołów wbić w paliki (w przypadku, gdy nie są stosowane inne systemy mocowania), zamontować poprzeczki i ustabilizować pień za pomocą taśmy ogrodniczej,</w:t>
      </w:r>
    </w:p>
    <w:p w14:paraId="1F3C4CCC"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wysokość palików wbitych w grunt powinna być równa wysokości pnia posadzonego drzewa, tak aby nie powodować otarć gałęzi najniższego okółka,</w:t>
      </w:r>
    </w:p>
    <w:p w14:paraId="675AE43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drzewa formy piennej należy przywiązać do palika tuż pod koroną,</w:t>
      </w:r>
    </w:p>
    <w:p w14:paraId="24F1A4A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lastRenderedPageBreak/>
        <w:t>należy zwrócić uwagę, aby taśma mocująca nie powodowała otarć oraz pozwalała na przyrost grubości pnia w okresie stosowania palikowania (nie dłużej jak 3 lata),</w:t>
      </w:r>
    </w:p>
    <w:p w14:paraId="6545E3D2"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w przypadku pojedynczych palików powinny one być umieszczone od strony najczęściej wiejących wiatrów, </w:t>
      </w:r>
    </w:p>
    <w:p w14:paraId="4541CAA0"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 przypadku pnączy pędy należy rozprowadzić i podwiązać do konstrukcji wsporczej (jeśli taką przewidziano),</w:t>
      </w:r>
    </w:p>
    <w:p w14:paraId="0807461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uszkodzone w trakcie sadzenia pędy lub gałęzie należy przyciąć z zabezpieczyć fungicydem,</w:t>
      </w:r>
    </w:p>
    <w:p w14:paraId="1A181A9A"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posadzone rośliny należy niezwłocznie obficie podlać,</w:t>
      </w:r>
    </w:p>
    <w:p w14:paraId="29C1354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 pierwszym podlaniu należy uzupełnić osiadłą ziemię i uformować misy.</w:t>
      </w:r>
    </w:p>
    <w:p w14:paraId="74269D04"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W przypadku zastosowania systemowego sposobu mocowania sadzonek drzew należy przestrzegać zaleceń producenta.</w:t>
      </w:r>
    </w:p>
    <w:p w14:paraId="08629EB0"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5.3.2. </w:t>
      </w:r>
      <w:r w:rsidRPr="006E43C8">
        <w:rPr>
          <w:rFonts w:cs="Arial"/>
          <w:szCs w:val="20"/>
        </w:rPr>
        <w:t>Pielęgnacja po posadzeniu</w:t>
      </w:r>
    </w:p>
    <w:p w14:paraId="4A6E7FB5"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Pielęgnacja w okresie gwarancyjnym (w ciągu roku po posadzeniu) polega na:</w:t>
      </w:r>
    </w:p>
    <w:p w14:paraId="0C261E52"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podlewaniu,</w:t>
      </w:r>
    </w:p>
    <w:p w14:paraId="2D65E1E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odchwaszczaniu,</w:t>
      </w:r>
    </w:p>
    <w:p w14:paraId="3898BBB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nawożeniu,</w:t>
      </w:r>
    </w:p>
    <w:p w14:paraId="5665BF3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usuwaniu odrostów korzeniowych,</w:t>
      </w:r>
    </w:p>
    <w:p w14:paraId="1866284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poprawianiu misek,</w:t>
      </w:r>
    </w:p>
    <w:p w14:paraId="2224109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proofErr w:type="spellStart"/>
      <w:r w:rsidRPr="006E43C8">
        <w:rPr>
          <w:rFonts w:cs="Arial"/>
          <w:szCs w:val="20"/>
        </w:rPr>
        <w:t>okopczykowaniu</w:t>
      </w:r>
      <w:proofErr w:type="spellEnd"/>
      <w:r w:rsidRPr="006E43C8">
        <w:rPr>
          <w:rFonts w:cs="Arial"/>
          <w:szCs w:val="20"/>
        </w:rPr>
        <w:t xml:space="preserve"> roślin jesienią,</w:t>
      </w:r>
    </w:p>
    <w:p w14:paraId="5C9C96A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rozgarnięciu kopczyków wiosną i uformowaniu misek,</w:t>
      </w:r>
    </w:p>
    <w:p w14:paraId="7E4BF71A"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wymianie uschniętych i uszkodzonych roślin,</w:t>
      </w:r>
    </w:p>
    <w:p w14:paraId="4353A55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wymianie zniszczonych palików i wiązadeł,</w:t>
      </w:r>
    </w:p>
    <w:p w14:paraId="7AFBE9FA"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przycięciu złamanych, chorych lub krzyżujących się gałęzi (cięcia pielęgnacyjne i formujące).</w:t>
      </w:r>
    </w:p>
    <w:p w14:paraId="2D4C0C10"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5.3.3. </w:t>
      </w:r>
      <w:r w:rsidRPr="006E43C8">
        <w:rPr>
          <w:rFonts w:cs="Arial"/>
          <w:szCs w:val="20"/>
        </w:rPr>
        <w:t>Pielęgnacja istniejących (starszych) drzew i krzewów</w:t>
      </w:r>
    </w:p>
    <w:p w14:paraId="59779F8C"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Najczęściej stosowanym zabiegiem w pielęgnacji drzew i krzewów jest cięcie, które powinno uwzględniać cechy poszczególnych gatunków roślin, a mianowicie:</w:t>
      </w:r>
    </w:p>
    <w:p w14:paraId="5D30A09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sposób wzrostu,</w:t>
      </w:r>
    </w:p>
    <w:p w14:paraId="2D8E9050"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rozgałęzienie i zagęszczenie gałęzi,</w:t>
      </w:r>
    </w:p>
    <w:p w14:paraId="5143086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konstrukcję korony.</w:t>
      </w:r>
    </w:p>
    <w:p w14:paraId="13A6523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Projektując cięcia zmierzające do usunięcia znacznej części gałęzi lub konarów, należy unikać ich jako jednorazowego zabiegu. Cięcie takie lepiej przeprowadzić stopniowo, przez 2 do 3 lat.</w:t>
      </w:r>
    </w:p>
    <w:p w14:paraId="6EAD49B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 zależności od określonego celu, stosuje się następujące rodzaje cięcia:</w:t>
      </w:r>
    </w:p>
    <w:p w14:paraId="08F2F397" w14:textId="77777777" w:rsidR="006E43C8" w:rsidRPr="006E43C8" w:rsidRDefault="006E43C8" w:rsidP="00CF1E7D">
      <w:pPr>
        <w:numPr>
          <w:ilvl w:val="0"/>
          <w:numId w:val="224"/>
        </w:numPr>
        <w:overflowPunct w:val="0"/>
        <w:autoSpaceDE w:val="0"/>
        <w:autoSpaceDN w:val="0"/>
        <w:adjustRightInd w:val="0"/>
        <w:spacing w:line="240" w:lineRule="auto"/>
        <w:jc w:val="both"/>
        <w:textAlignment w:val="baseline"/>
        <w:rPr>
          <w:rFonts w:cs="Arial"/>
          <w:szCs w:val="20"/>
        </w:rPr>
      </w:pPr>
      <w:r w:rsidRPr="006E43C8">
        <w:rPr>
          <w:rFonts w:cs="Arial"/>
          <w:szCs w:val="20"/>
        </w:rPr>
        <w:t>cięcia drzew dla zapewnienia bezpieczeństwa pojazdów, przechodniów lub mieszkańców, drzew rosnących na koronie dróg i ulic oraz w pobliżu budynków mieszkalnych. Dla uniknięcia kolizji z pojazdami usuwa się gałęzie zwisające poniżej 4,50 m nad jezdnię dróg i poniżej 2,20 m nad chodnikami;</w:t>
      </w:r>
    </w:p>
    <w:p w14:paraId="6B779B2E" w14:textId="77777777" w:rsidR="006E43C8" w:rsidRPr="006E43C8" w:rsidRDefault="006E43C8" w:rsidP="00CF1E7D">
      <w:pPr>
        <w:numPr>
          <w:ilvl w:val="0"/>
          <w:numId w:val="224"/>
        </w:numPr>
        <w:overflowPunct w:val="0"/>
        <w:autoSpaceDE w:val="0"/>
        <w:autoSpaceDN w:val="0"/>
        <w:adjustRightInd w:val="0"/>
        <w:spacing w:line="240" w:lineRule="auto"/>
        <w:jc w:val="both"/>
        <w:textAlignment w:val="baseline"/>
        <w:rPr>
          <w:rFonts w:cs="Arial"/>
          <w:szCs w:val="20"/>
        </w:rPr>
      </w:pPr>
      <w:r w:rsidRPr="006E43C8">
        <w:rPr>
          <w:rFonts w:cs="Arial"/>
          <w:szCs w:val="20"/>
        </w:rPr>
        <w:t>cięcia krzewów lub gałęzi drzew ograniczających widoczność na skrzyżowaniach dróg;</w:t>
      </w:r>
    </w:p>
    <w:p w14:paraId="66891DCF" w14:textId="77777777" w:rsidR="006E43C8" w:rsidRPr="006E43C8" w:rsidRDefault="006E43C8" w:rsidP="00CF1E7D">
      <w:pPr>
        <w:numPr>
          <w:ilvl w:val="0"/>
          <w:numId w:val="224"/>
        </w:numPr>
        <w:overflowPunct w:val="0"/>
        <w:autoSpaceDE w:val="0"/>
        <w:autoSpaceDN w:val="0"/>
        <w:adjustRightInd w:val="0"/>
        <w:spacing w:line="240" w:lineRule="auto"/>
        <w:jc w:val="both"/>
        <w:textAlignment w:val="baseline"/>
        <w:rPr>
          <w:rFonts w:cs="Arial"/>
          <w:szCs w:val="20"/>
        </w:rPr>
      </w:pPr>
      <w:r w:rsidRPr="006E43C8">
        <w:rPr>
          <w:rFonts w:cs="Arial"/>
          <w:szCs w:val="20"/>
        </w:rPr>
        <w:t>cięcia drzew i krzewów przesadzonych dla doprowadzenia do równowagi między zmniejszonym systemem korzeniowym a koroną, co może mieć również miejsce przy naruszeniu systemu korzeniowego w trakcie prowadzenia robót ziemnych. Usuwa się wtedy - w zależności od stopnia zmniejszenia systemu korzeniowego od 20 do 50% gałęzi;</w:t>
      </w:r>
    </w:p>
    <w:p w14:paraId="35496FD5" w14:textId="77777777" w:rsidR="006E43C8" w:rsidRPr="006E43C8" w:rsidRDefault="006E43C8" w:rsidP="00CF1E7D">
      <w:pPr>
        <w:numPr>
          <w:ilvl w:val="0"/>
          <w:numId w:val="224"/>
        </w:numPr>
        <w:overflowPunct w:val="0"/>
        <w:autoSpaceDE w:val="0"/>
        <w:autoSpaceDN w:val="0"/>
        <w:adjustRightInd w:val="0"/>
        <w:spacing w:line="240" w:lineRule="auto"/>
        <w:jc w:val="both"/>
        <w:textAlignment w:val="baseline"/>
        <w:rPr>
          <w:rFonts w:cs="Arial"/>
          <w:szCs w:val="20"/>
        </w:rPr>
      </w:pPr>
      <w:r w:rsidRPr="006E43C8">
        <w:rPr>
          <w:rFonts w:cs="Arial"/>
          <w:szCs w:val="20"/>
        </w:rPr>
        <w:t>cięcia odmładzające krzewów, których gałęzie wykazują małą żywotność, powodują niepożądane zagęszczenie, zbyt duże rozmiary krzewu. Zabieg odmładzania można przeprowadzać na krzewach rosnących w warunkach normalnego oświetlenia, z odpowiednim nawożeniem i podlewaniem;</w:t>
      </w:r>
    </w:p>
    <w:p w14:paraId="5D540BDA" w14:textId="77777777" w:rsidR="006E43C8" w:rsidRPr="006E43C8" w:rsidRDefault="006E43C8" w:rsidP="00CF1E7D">
      <w:pPr>
        <w:numPr>
          <w:ilvl w:val="0"/>
          <w:numId w:val="224"/>
        </w:numPr>
        <w:overflowPunct w:val="0"/>
        <w:autoSpaceDE w:val="0"/>
        <w:autoSpaceDN w:val="0"/>
        <w:adjustRightInd w:val="0"/>
        <w:spacing w:line="240" w:lineRule="auto"/>
        <w:jc w:val="both"/>
        <w:textAlignment w:val="baseline"/>
        <w:rPr>
          <w:rFonts w:cs="Arial"/>
          <w:szCs w:val="20"/>
        </w:rPr>
      </w:pPr>
      <w:r w:rsidRPr="006E43C8">
        <w:rPr>
          <w:rFonts w:cs="Arial"/>
          <w:szCs w:val="20"/>
        </w:rPr>
        <w:t>cięcia sanitarne, zapobiegające rozprzestrzenianiu czynnika chorobotwórczego, poprzez usuwanie gałęzi porażonych przez chorobę lub martwych;</w:t>
      </w:r>
    </w:p>
    <w:p w14:paraId="7C57A35A" w14:textId="77777777" w:rsidR="006E43C8" w:rsidRPr="006E43C8" w:rsidRDefault="006E43C8" w:rsidP="00CF1E7D">
      <w:pPr>
        <w:numPr>
          <w:ilvl w:val="0"/>
          <w:numId w:val="224"/>
        </w:numPr>
        <w:overflowPunct w:val="0"/>
        <w:autoSpaceDE w:val="0"/>
        <w:autoSpaceDN w:val="0"/>
        <w:adjustRightInd w:val="0"/>
        <w:spacing w:line="240" w:lineRule="auto"/>
        <w:jc w:val="both"/>
        <w:textAlignment w:val="baseline"/>
        <w:rPr>
          <w:rFonts w:cs="Arial"/>
          <w:szCs w:val="20"/>
        </w:rPr>
      </w:pPr>
      <w:r w:rsidRPr="006E43C8">
        <w:rPr>
          <w:rFonts w:cs="Arial"/>
          <w:szCs w:val="20"/>
        </w:rPr>
        <w:t>cięcia żywopłotów powinny być intensywne od pierwszych lat po posadzeniu. Cięcie po posadzeniu powinno być możliwie krótkie i wykonywane na każdym krzewie osobno, dopiero w następnych latach po uzyskaniu zagęszczenia pędów, cięcia dokonuje się w określonej płaszczyźnie. Najczęściej stosowane są płaskie cięcia górnej powierzchni żywopłotu.</w:t>
      </w:r>
    </w:p>
    <w:p w14:paraId="4922A8E2"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5.3.4. </w:t>
      </w:r>
      <w:r w:rsidRPr="006E43C8">
        <w:rPr>
          <w:rFonts w:cs="Arial"/>
          <w:szCs w:val="20"/>
        </w:rPr>
        <w:t>Przesadzanie drzew starszych</w:t>
      </w:r>
    </w:p>
    <w:p w14:paraId="51B5C33D"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Konieczność przesadzania drzew starszych (istniejących) wynika najczęściej tam, gdzie prowadzone są roboty modernizacyjne dróg i ulic.</w:t>
      </w:r>
    </w:p>
    <w:p w14:paraId="450FCC88"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Warunki przesadzania drzew starszych powinny być określone w SST  i uwzględniać:</w:t>
      </w:r>
    </w:p>
    <w:p w14:paraId="0A26614A"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gatunek drzewa,</w:t>
      </w:r>
    </w:p>
    <w:p w14:paraId="7D6F0C3A"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wiek i rozmiary drzewa,</w:t>
      </w:r>
    </w:p>
    <w:p w14:paraId="2834FDB0"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przewidywaną masę drzewa i ziemi tworzącej bryłę korzeniową,</w:t>
      </w:r>
    </w:p>
    <w:p w14:paraId="13F5231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warunki transportu przesadzanych drzew,</w:t>
      </w:r>
    </w:p>
    <w:p w14:paraId="3E4F7D7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warunki pielęgnacji po przesadzeniu.</w:t>
      </w:r>
    </w:p>
    <w:p w14:paraId="0A8C6DB0"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Przesadzanie drzew starszych powinno się zlecać wykwalifikowanej firmie.</w:t>
      </w:r>
    </w:p>
    <w:p w14:paraId="4858A24C"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5.3.5. </w:t>
      </w:r>
      <w:r w:rsidRPr="006E43C8">
        <w:rPr>
          <w:rFonts w:cs="Arial"/>
          <w:szCs w:val="20"/>
        </w:rPr>
        <w:t>Pielęgnacja drzew starszych po przesadzeniu</w:t>
      </w:r>
    </w:p>
    <w:p w14:paraId="0B5721A4"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Pielęgnacja polega na następujących zabiegach:</w:t>
      </w:r>
    </w:p>
    <w:p w14:paraId="28B256D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uzupełnieniu strat wody przez staranne podlewanie, nie dopuszczając jednak do nadmiernego nawilgocenia, zwłaszcza na glebach ciężkich (grunty spoiste). Nie stosuje się podlewania w czasie chłodnej i wilgotnej pogody,</w:t>
      </w:r>
    </w:p>
    <w:p w14:paraId="5CBB1E4C"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lastRenderedPageBreak/>
        <w:t>ograniczeniu strat wody przez duże drzewa w czasie nagrzewania się pnia i konarów oraz działania wiatrów, poprzez stosowanie owijania pni i konarów (np. papierem lub tkaninami) lub spryskiwania kory pnia i konarów emulsjami (np. emulsje parafinowe, lateksowe),</w:t>
      </w:r>
    </w:p>
    <w:p w14:paraId="1186246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ściółkowania powierzchni wokół świeżo przesadzonego drzewa,</w:t>
      </w:r>
    </w:p>
    <w:p w14:paraId="623022C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usuwaniu chwastów.</w:t>
      </w:r>
    </w:p>
    <w:p w14:paraId="6BB2A9BE" w14:textId="77777777" w:rsidR="006E43C8" w:rsidRPr="006E43C8" w:rsidRDefault="006E43C8" w:rsidP="00270120">
      <w:pPr>
        <w:keepNext/>
        <w:overflowPunct w:val="0"/>
        <w:autoSpaceDE w:val="0"/>
        <w:autoSpaceDN w:val="0"/>
        <w:adjustRightInd w:val="0"/>
        <w:spacing w:line="240" w:lineRule="auto"/>
        <w:jc w:val="both"/>
        <w:textAlignment w:val="baseline"/>
        <w:rPr>
          <w:rFonts w:cs="Arial"/>
          <w:szCs w:val="20"/>
        </w:rPr>
      </w:pPr>
      <w:r w:rsidRPr="006E43C8">
        <w:rPr>
          <w:rFonts w:cs="Arial"/>
          <w:b/>
          <w:szCs w:val="20"/>
        </w:rPr>
        <w:t xml:space="preserve">5.3.6. </w:t>
      </w:r>
      <w:r w:rsidRPr="006E43C8">
        <w:rPr>
          <w:rFonts w:cs="Arial"/>
          <w:szCs w:val="20"/>
        </w:rPr>
        <w:t>Zabezpieczenie drzew podczas budowy</w:t>
      </w:r>
    </w:p>
    <w:p w14:paraId="4026D77C"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 czasie trwania budowy lub przebudowy dróg, ulic, placów, parkingów itp. w sąsiedztwie istniejących drzew, następuje pogorszenie warunków glebowych, co niekorzystnie wpływa na wzrost i rozwój tych drzew.</w:t>
      </w:r>
    </w:p>
    <w:p w14:paraId="2D257475"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Jeżeli istniejące drzewa nie będą wycinane lub przesadzane, to w SST powinny być określone warunki zabezpieczenia drzew na czas trwania budowy oraz po wykonaniu tych robót. Zasady zabezpieczania drzew przed uszkodzeniami mechanicznymi określono w SST D-01.02.01a [3].</w:t>
      </w:r>
    </w:p>
    <w:p w14:paraId="10F18021"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5.4. Kwietniki i rabaty</w:t>
      </w:r>
    </w:p>
    <w:p w14:paraId="1BCD1A61"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Wymagania dotyczące założenia i pielęgnacji kwietników są następujące:</w:t>
      </w:r>
    </w:p>
    <w:p w14:paraId="2679AB0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gleba przed założeniem kwietników powinna być starannie uprawiona. Jeżeli ziemia rodzima jest jałowa i uboga, należy ją wymienić na glebę urodzajną na głębokość od 10 do 25 cm, w zależności od rodzaju sadzonych roślin,</w:t>
      </w:r>
    </w:p>
    <w:p w14:paraId="24A39A7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jeśli SST to przewiduje należy zastosować matę </w:t>
      </w:r>
      <w:proofErr w:type="spellStart"/>
      <w:r w:rsidRPr="006E43C8">
        <w:rPr>
          <w:rFonts w:cs="Arial"/>
          <w:szCs w:val="20"/>
        </w:rPr>
        <w:t>przeciwchwastową</w:t>
      </w:r>
      <w:proofErr w:type="spellEnd"/>
      <w:r w:rsidRPr="006E43C8">
        <w:rPr>
          <w:rFonts w:cs="Arial"/>
          <w:szCs w:val="20"/>
        </w:rPr>
        <w:t>,</w:t>
      </w:r>
    </w:p>
    <w:p w14:paraId="336A90E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ilość roślin, rozstawa ich sadzenia powinna być wskazana w dokumentacji projektowej,</w:t>
      </w:r>
    </w:p>
    <w:p w14:paraId="1A46433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 posadzeniu roślin ziemia musi być wyrównana, rośliny podlane na głębokość sadzenia,</w:t>
      </w:r>
    </w:p>
    <w:p w14:paraId="148E5A0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pielęgnacja polega na usuwaniu chwastów, podlewaniu, nawożeniu, usuwaniu przekwitłych kwiatów.</w:t>
      </w:r>
    </w:p>
    <w:p w14:paraId="34204A02" w14:textId="77777777" w:rsidR="006E43C8" w:rsidRPr="006E43C8" w:rsidRDefault="006E43C8"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98" w:name="_Toc428677178"/>
      <w:r w:rsidRPr="006E43C8">
        <w:rPr>
          <w:rFonts w:cs="Arial"/>
          <w:b/>
          <w:caps/>
          <w:kern w:val="28"/>
          <w:szCs w:val="20"/>
        </w:rPr>
        <w:t xml:space="preserve">6. </w:t>
      </w:r>
      <w:bookmarkEnd w:id="1098"/>
      <w:r w:rsidRPr="006E43C8">
        <w:rPr>
          <w:rFonts w:cs="Arial"/>
          <w:b/>
          <w:caps/>
          <w:kern w:val="28"/>
          <w:szCs w:val="20"/>
        </w:rPr>
        <w:t>Kontrola jakości robót</w:t>
      </w:r>
    </w:p>
    <w:p w14:paraId="55C4008C"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6.1. Ogólne zasady kontroli jakości robót</w:t>
      </w:r>
    </w:p>
    <w:p w14:paraId="5B55E22F"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Ogólne zasady kontroli jakości robót podano w SST D-M-00.00.00 „Wymagania ogólne” [1] pkt 6.</w:t>
      </w:r>
    </w:p>
    <w:p w14:paraId="08D3116D"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6.2. Trawniki</w:t>
      </w:r>
    </w:p>
    <w:p w14:paraId="245028BD"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Kontrola w czasie wykonywania trawników polega na sprawdzeniu:</w:t>
      </w:r>
    </w:p>
    <w:p w14:paraId="32379F9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oczyszczenia terenu z gruzu i zanieczyszczeń,</w:t>
      </w:r>
    </w:p>
    <w:p w14:paraId="1AF26842"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określenia ilości zanieczyszczeń (w m</w:t>
      </w:r>
      <w:r w:rsidRPr="006E43C8">
        <w:rPr>
          <w:rFonts w:cs="Arial"/>
          <w:szCs w:val="20"/>
          <w:vertAlign w:val="superscript"/>
        </w:rPr>
        <w:t>3</w:t>
      </w:r>
      <w:r w:rsidRPr="006E43C8">
        <w:rPr>
          <w:rFonts w:cs="Arial"/>
          <w:szCs w:val="20"/>
        </w:rPr>
        <w:t>),</w:t>
      </w:r>
    </w:p>
    <w:p w14:paraId="60965DE1"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wymiany gleby jałowej na ziemię urodzajną z kontrolą grubości warstwy rozścielonej ziemi,</w:t>
      </w:r>
    </w:p>
    <w:p w14:paraId="039C598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ilości rozłożonej ziemi kompostowej lub kompostu i zastosowanych nawozów zgodnie z ustaleniami wg pkt. 2.2.,</w:t>
      </w:r>
    </w:p>
    <w:p w14:paraId="20237340"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prawidłowego uwałowania terenu,</w:t>
      </w:r>
    </w:p>
    <w:p w14:paraId="0B09249C"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zgodności składu mieszanki traw z ustaleniami dokumentacji projektowej,</w:t>
      </w:r>
    </w:p>
    <w:p w14:paraId="78CE3DA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gęstości zasiewu nasion,</w:t>
      </w:r>
    </w:p>
    <w:p w14:paraId="1B20065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prawidłowej częstotliwości koszenia trawników i ich odchwaszczania,</w:t>
      </w:r>
    </w:p>
    <w:p w14:paraId="36A0D76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podlewania, zwłaszcza w pierwszym okresie po siewie,</w:t>
      </w:r>
    </w:p>
    <w:p w14:paraId="53747E6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dosiewania płaszczyzn trawników o zbyt małej gęstości wykiełkowanych </w:t>
      </w:r>
      <w:proofErr w:type="spellStart"/>
      <w:r w:rsidRPr="006E43C8">
        <w:rPr>
          <w:rFonts w:cs="Arial"/>
          <w:szCs w:val="20"/>
        </w:rPr>
        <w:t>zdziebeł</w:t>
      </w:r>
      <w:proofErr w:type="spellEnd"/>
      <w:r w:rsidRPr="006E43C8">
        <w:rPr>
          <w:rFonts w:cs="Arial"/>
          <w:szCs w:val="20"/>
        </w:rPr>
        <w:t xml:space="preserve"> trawy.</w:t>
      </w:r>
    </w:p>
    <w:p w14:paraId="37223C84"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Kontrola robót przy odbiorze trawników dotyczy:</w:t>
      </w:r>
    </w:p>
    <w:p w14:paraId="37785A89"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prawidłowej gęstości trawy (trawniki bez tzw. „łysin”),</w:t>
      </w:r>
    </w:p>
    <w:p w14:paraId="1F3617A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obecności gatunków niewysiewanych oraz chwastów.</w:t>
      </w:r>
    </w:p>
    <w:p w14:paraId="7936525B"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6.3. Drzewa i krzewy</w:t>
      </w:r>
    </w:p>
    <w:p w14:paraId="34027474"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Kontrola robót w trakcie sadzenia i pielęgnacji drzew i krzewów polega na sprawdzeniu:</w:t>
      </w:r>
    </w:p>
    <w:p w14:paraId="5D3A68A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wielkości dołów pod drzewa i krzewy,</w:t>
      </w:r>
    </w:p>
    <w:p w14:paraId="24CE62D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zaprawienia dołów ziemią urodzajną,</w:t>
      </w:r>
    </w:p>
    <w:p w14:paraId="1CB3334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zgodności realizacji obsadzenia z dokumentacją projektową w zakresie miejsc sadzenia, gatunków i odmian, odległości sadzonych roślin,</w:t>
      </w:r>
    </w:p>
    <w:p w14:paraId="21C28B07"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materiału roślinnego w zakresie wymagań jakościowych systemu korzeniowego, pokroju,  zgodności z SST oraz normą: PN-R-67026 Materiał sadzeniowy – Sadzonki drzew i krzewów do </w:t>
      </w:r>
      <w:proofErr w:type="spellStart"/>
      <w:r w:rsidRPr="006E43C8">
        <w:rPr>
          <w:rFonts w:cs="Arial"/>
          <w:szCs w:val="20"/>
        </w:rPr>
        <w:t>zadrzewień</w:t>
      </w:r>
      <w:proofErr w:type="spellEnd"/>
      <w:r w:rsidRPr="006E43C8">
        <w:rPr>
          <w:rFonts w:cs="Arial"/>
          <w:szCs w:val="20"/>
        </w:rPr>
        <w:t xml:space="preserve"> i </w:t>
      </w:r>
      <w:proofErr w:type="spellStart"/>
      <w:r w:rsidRPr="006E43C8">
        <w:rPr>
          <w:rFonts w:cs="Arial"/>
          <w:szCs w:val="20"/>
        </w:rPr>
        <w:t>zakrzewień</w:t>
      </w:r>
      <w:proofErr w:type="spellEnd"/>
      <w:r w:rsidRPr="006E43C8">
        <w:rPr>
          <w:rFonts w:cs="Arial"/>
          <w:szCs w:val="20"/>
        </w:rPr>
        <w:t xml:space="preserve"> [4],</w:t>
      </w:r>
    </w:p>
    <w:p w14:paraId="3F5C3E6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opakowania, przechowywania i transportu materiału roślinnego,</w:t>
      </w:r>
    </w:p>
    <w:p w14:paraId="50D3758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prawidłowości osadzenia pali drewnianych przy drzewach formy piennej (ew. innych systemów mocowania) i przymocowania do nich drzew,</w:t>
      </w:r>
    </w:p>
    <w:p w14:paraId="5B5069AC"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odpowiednich terminów sadzenia,</w:t>
      </w:r>
    </w:p>
    <w:p w14:paraId="36F2DD1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podlania po posadzeniu i uformowania misek,</w:t>
      </w:r>
    </w:p>
    <w:p w14:paraId="1E1809D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zasilania nawozami mineralnymi.</w:t>
      </w:r>
    </w:p>
    <w:p w14:paraId="1B3DE162"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Kontrola robót przy odbiorze posadzonych drzew i krzewów dotyczy:</w:t>
      </w:r>
    </w:p>
    <w:p w14:paraId="2FFC3E80"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zgodności realizacji obsadzenia z dokumentacją projektową,</w:t>
      </w:r>
    </w:p>
    <w:p w14:paraId="7AF67C6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zgodności posadzonych gatunków i odmian oraz ilości drzew i krzewów z dokumentacją projektową,</w:t>
      </w:r>
    </w:p>
    <w:p w14:paraId="5D10702F"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wykonania misek przy drzewach i krzewach, jeśli odbiór jest na wiosnę lub wykonaniu kopczyków, jeżeli odbiór jest na jesieni,</w:t>
      </w:r>
    </w:p>
    <w:p w14:paraId="5AACAE6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prawidłowości osadzenia palików do drzew i przywiązania do nich pni drzew (paliki prosto i mocno osadzone, mocowanie nie naruszone),</w:t>
      </w:r>
    </w:p>
    <w:p w14:paraId="2DAAFAB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prawidłowości przymocowania pnączy do podpór,</w:t>
      </w:r>
    </w:p>
    <w:p w14:paraId="1360DD6E"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jakości posadzonego materiału,</w:t>
      </w:r>
    </w:p>
    <w:p w14:paraId="061B791D"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wymiany chorych, uszkodzonych, suchych i zdeformowanych drzew i krzewów,</w:t>
      </w:r>
    </w:p>
    <w:p w14:paraId="67021131"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grubości warstwy wykonanego ściółkowania.</w:t>
      </w:r>
    </w:p>
    <w:p w14:paraId="555A85D4"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lastRenderedPageBreak/>
        <w:t>6.4. Kwietniki i rabaty</w:t>
      </w:r>
    </w:p>
    <w:p w14:paraId="0CCCE79E"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Kontrola robót w zakresie wykonywania kwietników i rabat polega na sprawdzeniu:</w:t>
      </w:r>
    </w:p>
    <w:p w14:paraId="2BDE447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zgodności założenia z dokumentacją projektową pod względem wymiarów, rozmieszczenia poszczególnych gatunków i odmian, odległości sadzenia,</w:t>
      </w:r>
    </w:p>
    <w:p w14:paraId="08F50ED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jakości sadzonego materiału roślinnego (bez uszkodzeń fizjologicznych i mechanicznych, z zachowaniem jednolitości pokroju, zabarwienia i stopnia rozwoju),</w:t>
      </w:r>
    </w:p>
    <w:p w14:paraId="3C478C9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przygotowania ziemi tzn. grubości warstwy ziemi urodzajnej, ilości zastosowanej ziemi kompostowej lub kompostu,</w:t>
      </w:r>
    </w:p>
    <w:p w14:paraId="1FE8B2E7"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prawidłowości zabiegów pielęgnacyjnych (podlewania, odchwaszczania, nawożenia, przycinania przekwitłych i uschniętych kwiatostanów, wymiany uschniętych roślin).</w:t>
      </w:r>
    </w:p>
    <w:p w14:paraId="3D24170B"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Kontrola robót przy odbiorze wykonanych kwietników i rabat polega na:</w:t>
      </w:r>
    </w:p>
    <w:p w14:paraId="2C94D3A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zgodności wykonania z dokumentacją projektową pod względem położenia oraz rozmieszczenia, gatunków i odmian posadzonych roślin,</w:t>
      </w:r>
    </w:p>
    <w:p w14:paraId="648821D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jakości posadzonych roślin (jednolitości barw, pokroju, stopnia rozwoju),</w:t>
      </w:r>
    </w:p>
    <w:p w14:paraId="5586A76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przy odbiorze jesienią rabat z roślinami wieloletnimi należy sprawdzić zabezpieczenie na okres zimy.</w:t>
      </w:r>
    </w:p>
    <w:p w14:paraId="29D09E51" w14:textId="77777777" w:rsidR="006E43C8" w:rsidRPr="006E43C8" w:rsidRDefault="006E43C8"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099" w:name="_Toc428677179"/>
      <w:r w:rsidRPr="006E43C8">
        <w:rPr>
          <w:rFonts w:cs="Arial"/>
          <w:b/>
          <w:caps/>
          <w:kern w:val="28"/>
          <w:szCs w:val="20"/>
        </w:rPr>
        <w:t xml:space="preserve">7. </w:t>
      </w:r>
      <w:bookmarkEnd w:id="1099"/>
      <w:r w:rsidRPr="006E43C8">
        <w:rPr>
          <w:rFonts w:cs="Arial"/>
          <w:b/>
          <w:caps/>
          <w:kern w:val="28"/>
          <w:szCs w:val="20"/>
        </w:rPr>
        <w:t>Obmiar robót</w:t>
      </w:r>
    </w:p>
    <w:p w14:paraId="43564DFC"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7.1. Ogólne zasady obmiaru robót</w:t>
      </w:r>
    </w:p>
    <w:p w14:paraId="60FA9E1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Ogólne zasady obmiaru robót podano w SST D-M-00.00.00 „Wymagania ogólne” [1] pkt 7.</w:t>
      </w:r>
    </w:p>
    <w:p w14:paraId="09903852"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7.2. Jednostka obmiarowa</w:t>
      </w:r>
    </w:p>
    <w:p w14:paraId="7CCD5257"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Jednostką obmiarową jest:</w:t>
      </w:r>
    </w:p>
    <w:p w14:paraId="6BDCC86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m</w:t>
      </w:r>
      <w:r w:rsidRPr="006E43C8">
        <w:rPr>
          <w:rFonts w:cs="Arial"/>
          <w:szCs w:val="20"/>
          <w:vertAlign w:val="superscript"/>
        </w:rPr>
        <w:t>2</w:t>
      </w:r>
      <w:r w:rsidRPr="006E43C8">
        <w:rPr>
          <w:rFonts w:cs="Arial"/>
          <w:szCs w:val="20"/>
        </w:rPr>
        <w:t xml:space="preserve"> (metr kwadratowy) wykonania: trawników, rabat i kwietników z roślin jednorocznych, dwuletnich i wieloletnich (oprócz roślin cebulkowych i róż),</w:t>
      </w:r>
    </w:p>
    <w:p w14:paraId="1001919B"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szt. (sztuka) wykonania posadzenia drzewa, krzewu lub pnącza oraz roślin cebulkowych i róż na kwietnikach.</w:t>
      </w:r>
    </w:p>
    <w:p w14:paraId="273BADF8" w14:textId="77777777" w:rsidR="006E43C8" w:rsidRPr="006E43C8" w:rsidRDefault="006E43C8"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100" w:name="_Toc428677180"/>
      <w:r w:rsidRPr="006E43C8">
        <w:rPr>
          <w:rFonts w:cs="Arial"/>
          <w:b/>
          <w:caps/>
          <w:kern w:val="28"/>
          <w:szCs w:val="20"/>
        </w:rPr>
        <w:t xml:space="preserve">8. </w:t>
      </w:r>
      <w:bookmarkEnd w:id="1100"/>
      <w:r w:rsidRPr="006E43C8">
        <w:rPr>
          <w:rFonts w:cs="Arial"/>
          <w:b/>
          <w:caps/>
          <w:kern w:val="28"/>
          <w:szCs w:val="20"/>
        </w:rPr>
        <w:t>Odbiór robót</w:t>
      </w:r>
    </w:p>
    <w:p w14:paraId="378DC196"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Ogólne zasady odbioru robót podano w SST D-M-00.00.00 „Wymagania ogólne” [1] pkt 8.</w:t>
      </w:r>
    </w:p>
    <w:p w14:paraId="54485DB3"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Roboty uznaje się za wykonane zgodnie z dokumentacją projektową, SST i wymaganiami Inżyniera, jeżeli wszystkie pomiary i badania z zachowaniem tolerancji wg pkt 6 dały wyniki pozytywne.</w:t>
      </w:r>
    </w:p>
    <w:p w14:paraId="773F7D6E" w14:textId="77777777" w:rsidR="006E43C8" w:rsidRPr="006E43C8" w:rsidRDefault="006E43C8"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101" w:name="_Toc428677181"/>
      <w:r w:rsidRPr="006E43C8">
        <w:rPr>
          <w:rFonts w:cs="Arial"/>
          <w:b/>
          <w:caps/>
          <w:kern w:val="28"/>
          <w:szCs w:val="20"/>
        </w:rPr>
        <w:t xml:space="preserve">9. </w:t>
      </w:r>
      <w:bookmarkEnd w:id="1101"/>
      <w:r w:rsidRPr="006E43C8">
        <w:rPr>
          <w:rFonts w:cs="Arial"/>
          <w:b/>
          <w:caps/>
          <w:kern w:val="28"/>
          <w:szCs w:val="20"/>
        </w:rPr>
        <w:t>Podstawa płatności</w:t>
      </w:r>
    </w:p>
    <w:p w14:paraId="59BBEA42"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9.1. Ogólne ustalenia dotyczące podstawy płatności</w:t>
      </w:r>
    </w:p>
    <w:p w14:paraId="1916C537"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Ogólne ustalenia dotyczące podstawy płatności podano w SST D-M-00.00.00 „Wymagania ogólne” [1] pkt 9.</w:t>
      </w:r>
    </w:p>
    <w:p w14:paraId="19987D4A"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9.2. Cena jednostki obmiarowej</w:t>
      </w:r>
    </w:p>
    <w:p w14:paraId="0A0B3D1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Ceny jednostek obmiarowych obejmują obejmuje wszystkie czynności określone w SST do końca okresu gwarancyjnego, a w szczególności podane poniżej.</w:t>
      </w:r>
    </w:p>
    <w:p w14:paraId="6C33D147" w14:textId="77777777" w:rsidR="006E43C8" w:rsidRPr="006E43C8" w:rsidRDefault="006E43C8" w:rsidP="00270120">
      <w:pPr>
        <w:overflowPunct w:val="0"/>
        <w:autoSpaceDE w:val="0"/>
        <w:autoSpaceDN w:val="0"/>
        <w:adjustRightInd w:val="0"/>
        <w:spacing w:line="240" w:lineRule="auto"/>
        <w:ind w:firstLine="709"/>
        <w:jc w:val="both"/>
        <w:textAlignment w:val="baseline"/>
        <w:rPr>
          <w:rFonts w:cs="Arial"/>
          <w:szCs w:val="20"/>
        </w:rPr>
      </w:pPr>
      <w:r w:rsidRPr="006E43C8">
        <w:rPr>
          <w:rFonts w:cs="Arial"/>
          <w:szCs w:val="20"/>
        </w:rPr>
        <w:t>Cena wykonania 1 m</w:t>
      </w:r>
      <w:r w:rsidRPr="006E43C8">
        <w:rPr>
          <w:rFonts w:cs="Arial"/>
          <w:szCs w:val="20"/>
          <w:vertAlign w:val="superscript"/>
        </w:rPr>
        <w:t>2</w:t>
      </w:r>
      <w:r w:rsidRPr="006E43C8">
        <w:rPr>
          <w:rFonts w:cs="Arial"/>
          <w:szCs w:val="20"/>
        </w:rPr>
        <w:t xml:space="preserve"> trawnika obejmuje:</w:t>
      </w:r>
    </w:p>
    <w:p w14:paraId="1AF091E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roboty przygotowawcze: oczyszczenie terenu, dowóz ziemi urodzajnej, rozścielenie ziemi urodzajnej, rozrzucenie ziemi kompostowej lub kompostu, nawożenie,</w:t>
      </w:r>
    </w:p>
    <w:p w14:paraId="1A19D6D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dostarczenie mieszanki i siew traw wraz z czynnościami towarzyszącymi,</w:t>
      </w:r>
    </w:p>
    <w:p w14:paraId="6C537EA5"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pielęgnację trawników: podlewanie, koszenie, nawożenie, odchwaszczanie.</w:t>
      </w:r>
    </w:p>
    <w:p w14:paraId="5A2E74E7"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Cena wykonania 1 m</w:t>
      </w:r>
      <w:r w:rsidRPr="006E43C8">
        <w:rPr>
          <w:rFonts w:cs="Arial"/>
          <w:szCs w:val="20"/>
          <w:vertAlign w:val="superscript"/>
        </w:rPr>
        <w:t>2</w:t>
      </w:r>
      <w:r w:rsidRPr="006E43C8">
        <w:rPr>
          <w:rFonts w:cs="Arial"/>
          <w:szCs w:val="20"/>
        </w:rPr>
        <w:t xml:space="preserve"> kwietnika i rabaty obejmuje:</w:t>
      </w:r>
    </w:p>
    <w:p w14:paraId="4347B096"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przygotowanie podłoża (wymiana gleby, dodanie ziemi kompostowej lub kompostu, nawożenie),</w:t>
      </w:r>
    </w:p>
    <w:p w14:paraId="304E4F32"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dostarczenie i zasadzenie materiału roślinnego zgodnie z dokumentacją projektową,</w:t>
      </w:r>
    </w:p>
    <w:p w14:paraId="47410FCC"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zasadzenie materiału roślinnego,</w:t>
      </w:r>
    </w:p>
    <w:p w14:paraId="2607EEC3"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pielęgnację: podlewanie, odchwaszczanie, nawożenie, zabezpieczenie na okres zimy.</w:t>
      </w:r>
    </w:p>
    <w:p w14:paraId="195F66AA"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ab/>
        <w:t>Cena posadzenia 1 sztuki drzewa lub krzewu obejmuje:</w:t>
      </w:r>
    </w:p>
    <w:p w14:paraId="7BF24798"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roboty przygotowawcze: oczyszczenie i odchwaszczenie terenu, wyznaczenie miejsc sadzenia, wykopanie i zaprawienie dołów,</w:t>
      </w:r>
    </w:p>
    <w:p w14:paraId="18B18922"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dostarczenie materiału roślinnego,</w:t>
      </w:r>
    </w:p>
    <w:p w14:paraId="6DE69B04"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zasadzenie i wykonanie mocowania,</w:t>
      </w:r>
    </w:p>
    <w:p w14:paraId="42D5D519" w14:textId="77777777" w:rsidR="006E43C8" w:rsidRPr="006E43C8" w:rsidRDefault="006E43C8" w:rsidP="00270120">
      <w:pPr>
        <w:numPr>
          <w:ilvl w:val="0"/>
          <w:numId w:val="4"/>
        </w:numPr>
        <w:overflowPunct w:val="0"/>
        <w:autoSpaceDE w:val="0"/>
        <w:autoSpaceDN w:val="0"/>
        <w:adjustRightInd w:val="0"/>
        <w:spacing w:line="240" w:lineRule="auto"/>
        <w:jc w:val="both"/>
        <w:textAlignment w:val="baseline"/>
        <w:rPr>
          <w:rFonts w:cs="Arial"/>
          <w:szCs w:val="20"/>
        </w:rPr>
      </w:pPr>
      <w:r w:rsidRPr="006E43C8">
        <w:rPr>
          <w:rFonts w:cs="Arial"/>
          <w:szCs w:val="20"/>
        </w:rPr>
        <w:t>pielęgnację posadzonych drzew i krzewów: podlewanie, odchwaszczanie, nawożenie.</w:t>
      </w:r>
    </w:p>
    <w:p w14:paraId="205D089C" w14:textId="77777777" w:rsidR="006E43C8" w:rsidRPr="006E43C8" w:rsidRDefault="006E43C8" w:rsidP="00270120">
      <w:pPr>
        <w:keepNext/>
        <w:keepLines/>
        <w:suppressAutoHyphens/>
        <w:overflowPunct w:val="0"/>
        <w:autoSpaceDE w:val="0"/>
        <w:autoSpaceDN w:val="0"/>
        <w:adjustRightInd w:val="0"/>
        <w:spacing w:line="240" w:lineRule="auto"/>
        <w:jc w:val="both"/>
        <w:textAlignment w:val="baseline"/>
        <w:outlineLvl w:val="0"/>
        <w:rPr>
          <w:rFonts w:cs="Arial"/>
          <w:b/>
          <w:caps/>
          <w:kern w:val="28"/>
          <w:szCs w:val="20"/>
        </w:rPr>
      </w:pPr>
      <w:bookmarkStart w:id="1102" w:name="_Toc428677182"/>
      <w:r w:rsidRPr="006E43C8">
        <w:rPr>
          <w:rFonts w:cs="Arial"/>
          <w:b/>
          <w:caps/>
          <w:kern w:val="28"/>
          <w:szCs w:val="20"/>
        </w:rPr>
        <w:t xml:space="preserve">10. </w:t>
      </w:r>
      <w:bookmarkEnd w:id="1102"/>
      <w:r w:rsidRPr="006E43C8">
        <w:rPr>
          <w:rFonts w:cs="Arial"/>
          <w:b/>
          <w:caps/>
          <w:kern w:val="28"/>
          <w:szCs w:val="20"/>
        </w:rPr>
        <w:t>Przepisy związane</w:t>
      </w:r>
    </w:p>
    <w:p w14:paraId="2C200B0F"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10.1. Ogólne specyfikacje techniczne</w:t>
      </w:r>
    </w:p>
    <w:p w14:paraId="645515BD" w14:textId="77777777" w:rsidR="006E43C8" w:rsidRPr="006E43C8" w:rsidRDefault="006E43C8" w:rsidP="00CF1E7D">
      <w:pPr>
        <w:numPr>
          <w:ilvl w:val="0"/>
          <w:numId w:val="225"/>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D-M-00.00.00 Wymagania ogólne</w:t>
      </w:r>
    </w:p>
    <w:p w14:paraId="2F2FE4F4" w14:textId="77777777" w:rsidR="006E43C8" w:rsidRPr="006E43C8" w:rsidRDefault="006E43C8" w:rsidP="00CF1E7D">
      <w:pPr>
        <w:numPr>
          <w:ilvl w:val="0"/>
          <w:numId w:val="225"/>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D-01.02.02a Zdjęcie warstwy ziemi urodzajnej</w:t>
      </w:r>
    </w:p>
    <w:p w14:paraId="5B6F30B1" w14:textId="77777777" w:rsidR="006E43C8" w:rsidRPr="006E43C8" w:rsidRDefault="006E43C8" w:rsidP="00CF1E7D">
      <w:pPr>
        <w:numPr>
          <w:ilvl w:val="0"/>
          <w:numId w:val="225"/>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D-01.02.01a Ochrona istniejących drzew w okresie budowy drogi</w:t>
      </w:r>
    </w:p>
    <w:p w14:paraId="53ABDE27"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10.2. Polskie normy</w:t>
      </w:r>
    </w:p>
    <w:tbl>
      <w:tblPr>
        <w:tblW w:w="0" w:type="auto"/>
        <w:tblLayout w:type="fixed"/>
        <w:tblCellMar>
          <w:left w:w="70" w:type="dxa"/>
          <w:right w:w="70" w:type="dxa"/>
        </w:tblCellMar>
        <w:tblLook w:val="0000" w:firstRow="0" w:lastRow="0" w:firstColumn="0" w:lastColumn="0" w:noHBand="0" w:noVBand="0"/>
      </w:tblPr>
      <w:tblGrid>
        <w:gridCol w:w="496"/>
        <w:gridCol w:w="1701"/>
        <w:gridCol w:w="8009"/>
      </w:tblGrid>
      <w:tr w:rsidR="006E43C8" w:rsidRPr="006E43C8" w14:paraId="5E550A2A" w14:textId="77777777" w:rsidTr="00551B7B">
        <w:tc>
          <w:tcPr>
            <w:tcW w:w="496" w:type="dxa"/>
          </w:tcPr>
          <w:p w14:paraId="03764E92" w14:textId="77777777" w:rsidR="006E43C8" w:rsidRPr="006E43C8" w:rsidRDefault="006E43C8" w:rsidP="00270120">
            <w:pPr>
              <w:overflowPunct w:val="0"/>
              <w:autoSpaceDE w:val="0"/>
              <w:autoSpaceDN w:val="0"/>
              <w:adjustRightInd w:val="0"/>
              <w:spacing w:line="240" w:lineRule="auto"/>
              <w:jc w:val="center"/>
              <w:textAlignment w:val="baseline"/>
              <w:rPr>
                <w:rFonts w:cs="Arial"/>
                <w:szCs w:val="20"/>
              </w:rPr>
            </w:pPr>
            <w:r w:rsidRPr="006E43C8">
              <w:rPr>
                <w:rFonts w:cs="Arial"/>
                <w:szCs w:val="20"/>
              </w:rPr>
              <w:t>4.</w:t>
            </w:r>
          </w:p>
        </w:tc>
        <w:tc>
          <w:tcPr>
            <w:tcW w:w="1701" w:type="dxa"/>
          </w:tcPr>
          <w:p w14:paraId="6CB0E6B1"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PN-R-67026</w:t>
            </w:r>
          </w:p>
        </w:tc>
        <w:tc>
          <w:tcPr>
            <w:tcW w:w="8009" w:type="dxa"/>
          </w:tcPr>
          <w:p w14:paraId="598F0238" w14:textId="77777777" w:rsidR="006E43C8" w:rsidRPr="006E43C8" w:rsidRDefault="006E43C8" w:rsidP="00270120">
            <w:pPr>
              <w:overflowPunct w:val="0"/>
              <w:autoSpaceDE w:val="0"/>
              <w:autoSpaceDN w:val="0"/>
              <w:adjustRightInd w:val="0"/>
              <w:spacing w:line="240" w:lineRule="auto"/>
              <w:jc w:val="both"/>
              <w:textAlignment w:val="baseline"/>
              <w:rPr>
                <w:rFonts w:cs="Arial"/>
                <w:szCs w:val="20"/>
              </w:rPr>
            </w:pPr>
            <w:r w:rsidRPr="006E43C8">
              <w:rPr>
                <w:rFonts w:cs="Arial"/>
                <w:szCs w:val="20"/>
              </w:rPr>
              <w:t xml:space="preserve">Materiał sadzeniowy – Sadzonki drzew i krzewów do </w:t>
            </w:r>
            <w:proofErr w:type="spellStart"/>
            <w:r w:rsidRPr="006E43C8">
              <w:rPr>
                <w:rFonts w:cs="Arial"/>
                <w:szCs w:val="20"/>
              </w:rPr>
              <w:t>zadrzewień</w:t>
            </w:r>
            <w:proofErr w:type="spellEnd"/>
            <w:r w:rsidRPr="006E43C8">
              <w:rPr>
                <w:rFonts w:cs="Arial"/>
                <w:szCs w:val="20"/>
              </w:rPr>
              <w:t xml:space="preserve"> i </w:t>
            </w:r>
            <w:proofErr w:type="spellStart"/>
            <w:r w:rsidRPr="006E43C8">
              <w:rPr>
                <w:rFonts w:cs="Arial"/>
                <w:szCs w:val="20"/>
              </w:rPr>
              <w:t>zakrzewień</w:t>
            </w:r>
            <w:proofErr w:type="spellEnd"/>
          </w:p>
        </w:tc>
      </w:tr>
    </w:tbl>
    <w:p w14:paraId="7F73D5B4" w14:textId="77777777" w:rsidR="006E43C8" w:rsidRPr="006E43C8" w:rsidRDefault="006E43C8" w:rsidP="00270120">
      <w:pPr>
        <w:keepNext/>
        <w:overflowPunct w:val="0"/>
        <w:autoSpaceDE w:val="0"/>
        <w:autoSpaceDN w:val="0"/>
        <w:adjustRightInd w:val="0"/>
        <w:spacing w:line="240" w:lineRule="auto"/>
        <w:jc w:val="both"/>
        <w:textAlignment w:val="baseline"/>
        <w:outlineLvl w:val="1"/>
        <w:rPr>
          <w:rFonts w:cs="Arial"/>
          <w:b/>
          <w:szCs w:val="20"/>
        </w:rPr>
      </w:pPr>
      <w:r w:rsidRPr="006E43C8">
        <w:rPr>
          <w:rFonts w:cs="Arial"/>
          <w:b/>
          <w:szCs w:val="20"/>
        </w:rPr>
        <w:t xml:space="preserve"> 10.3. Inne dokumenty</w:t>
      </w:r>
    </w:p>
    <w:p w14:paraId="19DA628A" w14:textId="77777777" w:rsidR="006E43C8" w:rsidRPr="006E43C8" w:rsidRDefault="006E43C8" w:rsidP="00CF1E7D">
      <w:pPr>
        <w:numPr>
          <w:ilvl w:val="0"/>
          <w:numId w:val="232"/>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 xml:space="preserve">Zalecenia jakościowe dla ozdobnego materiału szkółkarskiego, Wydanie III, Związek Szkółkarzy Polskich, Warszawa 2018 [10], [Internet: </w:t>
      </w:r>
      <w:hyperlink r:id="rId107" w:history="1">
        <w:r w:rsidRPr="006E43C8">
          <w:rPr>
            <w:rFonts w:cs="Arial"/>
            <w:szCs w:val="20"/>
          </w:rPr>
          <w:t>https://zszp.pl/wp-content/uploads/2018/10/zalecenia2018.pdf</w:t>
        </w:r>
      </w:hyperlink>
      <w:r w:rsidRPr="006E43C8">
        <w:rPr>
          <w:rFonts w:cs="Arial"/>
          <w:szCs w:val="20"/>
        </w:rPr>
        <w:t>,</w:t>
      </w:r>
      <w:r w:rsidRPr="006E43C8">
        <w:rPr>
          <w:rFonts w:cs="Arial"/>
          <w:szCs w:val="20"/>
        </w:rPr>
        <w:br/>
        <w:t>dostęp 29.05.2019 ]</w:t>
      </w:r>
    </w:p>
    <w:p w14:paraId="6A02FD41" w14:textId="77777777" w:rsidR="006E43C8" w:rsidRPr="006E43C8" w:rsidRDefault="006E43C8" w:rsidP="00CF1E7D">
      <w:pPr>
        <w:numPr>
          <w:ilvl w:val="0"/>
          <w:numId w:val="232"/>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 xml:space="preserve"> Zieleń przy ulicach, Agnieszka Szulc, Agencja Promocji Zieleni Sp. z o.o., Warszawa 2013</w:t>
      </w:r>
    </w:p>
    <w:p w14:paraId="0FBA9E80" w14:textId="77777777" w:rsidR="006E43C8" w:rsidRPr="006E43C8" w:rsidRDefault="006E43C8" w:rsidP="00CF1E7D">
      <w:pPr>
        <w:numPr>
          <w:ilvl w:val="0"/>
          <w:numId w:val="232"/>
        </w:numPr>
        <w:overflowPunct w:val="0"/>
        <w:autoSpaceDE w:val="0"/>
        <w:autoSpaceDN w:val="0"/>
        <w:adjustRightInd w:val="0"/>
        <w:spacing w:line="240" w:lineRule="auto"/>
        <w:ind w:left="426"/>
        <w:jc w:val="both"/>
        <w:textAlignment w:val="baseline"/>
        <w:rPr>
          <w:rFonts w:cs="Arial"/>
          <w:szCs w:val="20"/>
        </w:rPr>
      </w:pPr>
      <w:r w:rsidRPr="006E43C8">
        <w:rPr>
          <w:rFonts w:cs="Arial"/>
          <w:szCs w:val="20"/>
        </w:rPr>
        <w:t>Roboty ziemne i rekultywacyjne w budownictwie komunikacyjnym, Marian Głażewski i inni, WKŁ, Warszawa 2010</w:t>
      </w:r>
    </w:p>
    <w:p w14:paraId="055F5FF5" w14:textId="77777777" w:rsidR="006E43C8" w:rsidRDefault="006E43C8" w:rsidP="00CF1E7D">
      <w:pPr>
        <w:numPr>
          <w:ilvl w:val="0"/>
          <w:numId w:val="232"/>
        </w:numPr>
        <w:overflowPunct w:val="0"/>
        <w:autoSpaceDE w:val="0"/>
        <w:autoSpaceDN w:val="0"/>
        <w:adjustRightInd w:val="0"/>
        <w:spacing w:after="240" w:line="240" w:lineRule="auto"/>
        <w:ind w:left="426"/>
        <w:jc w:val="both"/>
        <w:textAlignment w:val="baseline"/>
        <w:rPr>
          <w:rFonts w:cs="Arial"/>
          <w:szCs w:val="20"/>
        </w:rPr>
      </w:pPr>
      <w:r w:rsidRPr="006E43C8">
        <w:rPr>
          <w:rFonts w:cs="Arial"/>
          <w:szCs w:val="20"/>
        </w:rPr>
        <w:lastRenderedPageBreak/>
        <w:t>Rozporządzenie Ministra Środowiska z dnia 1 września 2016 r. w sprawie sposobu prowadzenia oceny zanieczyszczenia powierzchni ziemi (Dz.U. 2016, poz. 1395)</w:t>
      </w:r>
    </w:p>
    <w:p w14:paraId="0E60DDE2" w14:textId="77777777" w:rsidR="00AB2A30" w:rsidRPr="006431C4" w:rsidRDefault="00AB2A30" w:rsidP="00270120">
      <w:pPr>
        <w:pStyle w:val="Nagwek4"/>
        <w:shd w:val="clear" w:color="auto" w:fill="FFFFFF" w:themeFill="background1"/>
        <w:tabs>
          <w:tab w:val="left" w:pos="142"/>
        </w:tabs>
        <w:spacing w:before="240" w:line="240" w:lineRule="auto"/>
        <w:jc w:val="both"/>
        <w:rPr>
          <w:rFonts w:cs="Arial"/>
          <w:szCs w:val="20"/>
        </w:rPr>
      </w:pPr>
      <w:bookmarkStart w:id="1103" w:name="_Toc111635997"/>
      <w:r w:rsidRPr="006431C4">
        <w:rPr>
          <w:rFonts w:cs="Arial"/>
          <w:szCs w:val="20"/>
        </w:rPr>
        <w:t>D-10.07.01 – ZJAZDY DO GOSPODARSTW I NA DROGI BOCZNE</w:t>
      </w:r>
      <w:bookmarkEnd w:id="1103"/>
    </w:p>
    <w:p w14:paraId="352CD183" w14:textId="77777777" w:rsidR="00AB2A30" w:rsidRPr="006431C4" w:rsidRDefault="00AB2A30" w:rsidP="00270120">
      <w:pPr>
        <w:pStyle w:val="Nagwek1"/>
        <w:shd w:val="clear" w:color="auto" w:fill="FFFFFF" w:themeFill="background1"/>
        <w:tabs>
          <w:tab w:val="left" w:pos="142"/>
        </w:tabs>
        <w:spacing w:line="240" w:lineRule="auto"/>
        <w:jc w:val="both"/>
        <w:rPr>
          <w:rFonts w:cs="Arial"/>
          <w:szCs w:val="20"/>
        </w:rPr>
      </w:pPr>
      <w:r w:rsidRPr="006431C4">
        <w:rPr>
          <w:rFonts w:cs="Arial"/>
          <w:szCs w:val="20"/>
        </w:rPr>
        <w:t>1. Wstęp</w:t>
      </w:r>
    </w:p>
    <w:p w14:paraId="136E6117" w14:textId="77777777" w:rsidR="00AB2A30" w:rsidRPr="006431C4" w:rsidRDefault="00AB2A30"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1.1. Przedmiot</w:t>
      </w:r>
      <w:r w:rsidR="00180A26" w:rsidRPr="006431C4">
        <w:rPr>
          <w:rFonts w:cs="Arial"/>
          <w:szCs w:val="20"/>
        </w:rPr>
        <w:t xml:space="preserve"> SST</w:t>
      </w:r>
    </w:p>
    <w:p w14:paraId="0C8F624F" w14:textId="77777777" w:rsidR="00AB2A30" w:rsidRPr="006431C4" w:rsidRDefault="00E06E12" w:rsidP="00270120">
      <w:pPr>
        <w:pStyle w:val="Standardowytekst"/>
        <w:shd w:val="clear" w:color="auto" w:fill="FFFFFF" w:themeFill="background1"/>
        <w:tabs>
          <w:tab w:val="left" w:pos="142"/>
        </w:tabs>
        <w:rPr>
          <w:rFonts w:ascii="Arial" w:hAnsi="Arial" w:cs="Arial"/>
        </w:rPr>
      </w:pPr>
      <w:r w:rsidRPr="006431C4">
        <w:rPr>
          <w:rFonts w:ascii="Arial" w:hAnsi="Arial" w:cs="Arial"/>
        </w:rPr>
        <w:t xml:space="preserve">Przedmiotem </w:t>
      </w:r>
      <w:r w:rsidR="00BA62A8" w:rsidRPr="006431C4">
        <w:rPr>
          <w:rFonts w:ascii="Arial" w:hAnsi="Arial" w:cs="Arial"/>
        </w:rPr>
        <w:t xml:space="preserve">niniejszej szczegółowej specyfikacji </w:t>
      </w:r>
      <w:r w:rsidR="0038166D" w:rsidRPr="006431C4">
        <w:rPr>
          <w:rFonts w:ascii="Arial" w:hAnsi="Arial" w:cs="Arial"/>
        </w:rPr>
        <w:t xml:space="preserve">technicznej </w:t>
      </w:r>
      <w:r w:rsidRPr="006431C4">
        <w:rPr>
          <w:rFonts w:ascii="Arial" w:hAnsi="Arial" w:cs="Arial"/>
        </w:rPr>
        <w:t>są wymagania ogólne dotyczące wykonania i odbioru zjazdów do gospodarstw i na drogi boczne</w:t>
      </w:r>
      <w:r w:rsidR="00AB2A30" w:rsidRPr="006431C4">
        <w:rPr>
          <w:rFonts w:ascii="Arial" w:hAnsi="Arial" w:cs="Arial"/>
        </w:rPr>
        <w:t>.</w:t>
      </w:r>
    </w:p>
    <w:p w14:paraId="73BB37F4" w14:textId="77777777" w:rsidR="00AB2A30" w:rsidRPr="006431C4" w:rsidRDefault="00AB2A30"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1.2. Zakres stosowania</w:t>
      </w:r>
      <w:r w:rsidR="00180A26" w:rsidRPr="006431C4">
        <w:rPr>
          <w:rFonts w:cs="Arial"/>
          <w:szCs w:val="20"/>
        </w:rPr>
        <w:t xml:space="preserve"> SST</w:t>
      </w:r>
    </w:p>
    <w:p w14:paraId="705E81E0" w14:textId="77777777" w:rsidR="00AB2A30" w:rsidRPr="006431C4" w:rsidRDefault="006A5A86"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Niniejsza szczegółowa specyfikacja techniczna </w:t>
      </w:r>
      <w:r w:rsidR="00AB2A30" w:rsidRPr="006431C4">
        <w:rPr>
          <w:rFonts w:cs="Arial"/>
          <w:szCs w:val="20"/>
        </w:rPr>
        <w:t xml:space="preserve">stanowi Dokument Przetargowy i Kontraktowy przy zlecaniu i realizacji robót dla inwestycji </w:t>
      </w:r>
      <w:r w:rsidR="00296959" w:rsidRPr="006431C4">
        <w:rPr>
          <w:rFonts w:cs="Arial"/>
          <w:szCs w:val="20"/>
        </w:rPr>
        <w:t>pn.:</w:t>
      </w:r>
      <w:r w:rsidR="00AB2A30" w:rsidRPr="006431C4">
        <w:rPr>
          <w:rFonts w:cs="Arial"/>
          <w:szCs w:val="20"/>
        </w:rPr>
        <w:t xml:space="preserve"> </w:t>
      </w:r>
    </w:p>
    <w:sdt>
      <w:sdtPr>
        <w:rPr>
          <w:rFonts w:cs="Arial"/>
          <w:szCs w:val="20"/>
        </w:rPr>
        <w:alias w:val="Temat"/>
        <w:tag w:val=""/>
        <w:id w:val="-591391872"/>
        <w:placeholder>
          <w:docPart w:val="8255F0DDE9EB4EB4B33D041ADE198D9E"/>
        </w:placeholder>
        <w:dataBinding w:prefixMappings="xmlns:ns0='http://purl.org/dc/elements/1.1/' xmlns:ns1='http://schemas.openxmlformats.org/package/2006/metadata/core-properties' " w:xpath="/ns1:coreProperties[1]/ns0:subject[1]" w:storeItemID="{6C3C8BC8-F283-45AE-878A-BAB7291924A1}"/>
        <w:text/>
      </w:sdtPr>
      <w:sdtEndPr/>
      <w:sdtContent>
        <w:p w14:paraId="74A9607D" w14:textId="54CCF022" w:rsidR="00E06E12" w:rsidRPr="006431C4" w:rsidRDefault="00484E05" w:rsidP="00270120">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20E78DD4"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1.3. Zakres robót objętych</w:t>
      </w:r>
      <w:r w:rsidR="00180A26" w:rsidRPr="006431C4">
        <w:rPr>
          <w:rFonts w:ascii="Arial" w:hAnsi="Arial" w:cs="Arial"/>
          <w:b/>
        </w:rPr>
        <w:t xml:space="preserve"> SST</w:t>
      </w:r>
    </w:p>
    <w:p w14:paraId="6E38BF93" w14:textId="77777777" w:rsidR="00E06E12" w:rsidRPr="006431C4" w:rsidRDefault="00E06E12" w:rsidP="00CF1E7D">
      <w:pPr>
        <w:pStyle w:val="tekstost"/>
        <w:numPr>
          <w:ilvl w:val="0"/>
          <w:numId w:val="85"/>
        </w:numPr>
        <w:shd w:val="clear" w:color="auto" w:fill="FFFFFF" w:themeFill="background1"/>
        <w:tabs>
          <w:tab w:val="left" w:pos="142"/>
        </w:tabs>
        <w:ind w:left="0" w:firstLine="0"/>
        <w:rPr>
          <w:rFonts w:ascii="Arial" w:hAnsi="Arial" w:cs="Arial"/>
        </w:rPr>
      </w:pPr>
      <w:r w:rsidRPr="006431C4">
        <w:rPr>
          <w:rFonts w:ascii="Arial" w:hAnsi="Arial" w:cs="Arial"/>
        </w:rPr>
        <w:t>Zakres stosowania zjazdów</w:t>
      </w:r>
    </w:p>
    <w:p w14:paraId="121A6823"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 xml:space="preserve">Ustalenia zawarte w </w:t>
      </w:r>
      <w:r w:rsidR="00BA62A8" w:rsidRPr="006431C4">
        <w:rPr>
          <w:rFonts w:ascii="Arial" w:hAnsi="Arial" w:cs="Arial"/>
        </w:rPr>
        <w:t xml:space="preserve">niniejszej szczegółowej specyfikacji </w:t>
      </w:r>
      <w:r w:rsidRPr="006431C4">
        <w:rPr>
          <w:rFonts w:ascii="Arial" w:hAnsi="Arial" w:cs="Arial"/>
        </w:rPr>
        <w:t>dotyczą wykonywania zjazdów do gospodarstw i na drogi boczne.</w:t>
      </w:r>
    </w:p>
    <w:p w14:paraId="1A19B267" w14:textId="77777777" w:rsidR="00E06E12" w:rsidRPr="006431C4" w:rsidRDefault="00E06E12" w:rsidP="00CF1E7D">
      <w:pPr>
        <w:pStyle w:val="tekstost"/>
        <w:numPr>
          <w:ilvl w:val="0"/>
          <w:numId w:val="86"/>
        </w:numPr>
        <w:shd w:val="clear" w:color="auto" w:fill="FFFFFF" w:themeFill="background1"/>
        <w:tabs>
          <w:tab w:val="left" w:pos="142"/>
        </w:tabs>
        <w:ind w:left="0" w:firstLine="0"/>
        <w:rPr>
          <w:rFonts w:ascii="Arial" w:hAnsi="Arial" w:cs="Arial"/>
        </w:rPr>
      </w:pPr>
      <w:r w:rsidRPr="006431C4">
        <w:rPr>
          <w:rFonts w:ascii="Arial" w:hAnsi="Arial" w:cs="Arial"/>
        </w:rPr>
        <w:t>Rodzaje nawierzchni stosowanych na zjazdach</w:t>
      </w:r>
    </w:p>
    <w:p w14:paraId="66DDC8EC"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Niniejsza</w:t>
      </w:r>
      <w:r w:rsidR="00180A26" w:rsidRPr="006431C4">
        <w:rPr>
          <w:rFonts w:ascii="Arial" w:hAnsi="Arial" w:cs="Arial"/>
        </w:rPr>
        <w:t xml:space="preserve"> SST </w:t>
      </w:r>
      <w:r w:rsidRPr="006431C4">
        <w:rPr>
          <w:rFonts w:ascii="Arial" w:hAnsi="Arial" w:cs="Arial"/>
        </w:rPr>
        <w:t>dotyczy konstrukcji nawierzchni najczęściej stosowanych przy wykonywaniu zjazdów (KPED - typowe konstrukcje nawierzchni na zjazdach) [1].</w:t>
      </w:r>
    </w:p>
    <w:p w14:paraId="6571E5B7"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1.4. Określenia podstawowe</w:t>
      </w:r>
    </w:p>
    <w:p w14:paraId="5D869178" w14:textId="77777777" w:rsidR="00E06E12" w:rsidRPr="006431C4" w:rsidRDefault="00E06E12" w:rsidP="00CF1E7D">
      <w:pPr>
        <w:pStyle w:val="tekstost"/>
        <w:numPr>
          <w:ilvl w:val="0"/>
          <w:numId w:val="87"/>
        </w:numPr>
        <w:shd w:val="clear" w:color="auto" w:fill="FFFFFF" w:themeFill="background1"/>
        <w:tabs>
          <w:tab w:val="left" w:pos="142"/>
        </w:tabs>
        <w:ind w:left="0" w:firstLine="0"/>
        <w:rPr>
          <w:rFonts w:ascii="Arial" w:hAnsi="Arial" w:cs="Arial"/>
        </w:rPr>
      </w:pPr>
      <w:r w:rsidRPr="006431C4">
        <w:rPr>
          <w:rFonts w:ascii="Arial" w:hAnsi="Arial" w:cs="Arial"/>
        </w:rPr>
        <w:t>Zjazd - urządzone miejsce dostępu do drogi, którego lokalizacja wynika z potrzeb obsługi przyległego terenu i jest uzgodniona z zarządem drogi. W zależności od pełnionej funkcji, rozróżnia się dwa typy zjazdów: publiczne i indywidualne.</w:t>
      </w:r>
    </w:p>
    <w:p w14:paraId="0E878954" w14:textId="77777777" w:rsidR="00E06E12" w:rsidRPr="006431C4" w:rsidRDefault="00E06E12" w:rsidP="00CF1E7D">
      <w:pPr>
        <w:pStyle w:val="tekstost"/>
        <w:numPr>
          <w:ilvl w:val="0"/>
          <w:numId w:val="87"/>
        </w:numPr>
        <w:shd w:val="clear" w:color="auto" w:fill="FFFFFF" w:themeFill="background1"/>
        <w:tabs>
          <w:tab w:val="left" w:pos="142"/>
        </w:tabs>
        <w:ind w:left="0" w:firstLine="0"/>
        <w:rPr>
          <w:rFonts w:ascii="Arial" w:hAnsi="Arial" w:cs="Arial"/>
        </w:rPr>
      </w:pPr>
      <w:r w:rsidRPr="006431C4">
        <w:rPr>
          <w:rFonts w:ascii="Arial" w:hAnsi="Arial" w:cs="Arial"/>
        </w:rPr>
        <w:t>Zjazd publiczny - urządzone miejsce dostępu do drogi z drogi bocznej lub obiektu, w którym jest prowadzona działalność gospodarcza. Zjazd publiczny zapewnia dostęp z/do parkingu, stacji paliw, obiektów gastronomicznych, obiektów przemysłowych lub innych obiektów ogólnodostępnych.</w:t>
      </w:r>
    </w:p>
    <w:p w14:paraId="00AC221A" w14:textId="77777777" w:rsidR="00E06E12" w:rsidRPr="006431C4" w:rsidRDefault="00E06E12" w:rsidP="00CF1E7D">
      <w:pPr>
        <w:pStyle w:val="tekstost"/>
        <w:numPr>
          <w:ilvl w:val="0"/>
          <w:numId w:val="87"/>
        </w:numPr>
        <w:shd w:val="clear" w:color="auto" w:fill="FFFFFF" w:themeFill="background1"/>
        <w:tabs>
          <w:tab w:val="left" w:pos="142"/>
        </w:tabs>
        <w:ind w:left="0" w:firstLine="0"/>
        <w:rPr>
          <w:rFonts w:ascii="Arial" w:hAnsi="Arial" w:cs="Arial"/>
        </w:rPr>
      </w:pPr>
      <w:r w:rsidRPr="006431C4">
        <w:rPr>
          <w:rFonts w:ascii="Arial" w:hAnsi="Arial" w:cs="Arial"/>
        </w:rPr>
        <w:t>Zjazd indywidualny (do gospodarstw) - miejsce dostępu do drogi z obiektu, który jest użytkowany indywidualnie. Zjazd indywidualny zapewnia dostęp do pojedynczych posesji, zabudowań gospodarczych, na pole lub do innych obiektów użytkowanych indywidualnie.</w:t>
      </w:r>
    </w:p>
    <w:p w14:paraId="66A4F6F7" w14:textId="77777777" w:rsidR="00E06E12" w:rsidRPr="006431C4" w:rsidRDefault="00E06E12" w:rsidP="00CF1E7D">
      <w:pPr>
        <w:pStyle w:val="tekstost"/>
        <w:numPr>
          <w:ilvl w:val="0"/>
          <w:numId w:val="87"/>
        </w:numPr>
        <w:shd w:val="clear" w:color="auto" w:fill="FFFFFF" w:themeFill="background1"/>
        <w:tabs>
          <w:tab w:val="left" w:pos="142"/>
        </w:tabs>
        <w:ind w:left="0" w:firstLine="0"/>
        <w:rPr>
          <w:rFonts w:ascii="Arial" w:hAnsi="Arial" w:cs="Arial"/>
        </w:rPr>
      </w:pPr>
      <w:r w:rsidRPr="006431C4">
        <w:rPr>
          <w:rFonts w:ascii="Arial" w:hAnsi="Arial" w:cs="Arial"/>
        </w:rPr>
        <w:t>.Pozostałe określenia podstawowe są zgodne z obowiązującymi odpowiednimi polskimi normami i definicjami podanymi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 xml:space="preserve">M-00.00.00 „Wymagania ogólne”.       </w:t>
      </w:r>
    </w:p>
    <w:p w14:paraId="61A3526C"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1.5. Ogólne wymagania dotyczące robót</w:t>
      </w:r>
    </w:p>
    <w:p w14:paraId="519DE5BB"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Ogólne wymagania dotyczące robót podano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M-00.00.00 „Wymagania ogólne”.</w:t>
      </w:r>
    </w:p>
    <w:p w14:paraId="31831160" w14:textId="77777777" w:rsidR="00E06E12" w:rsidRPr="006431C4" w:rsidRDefault="00E06E12" w:rsidP="00270120">
      <w:pPr>
        <w:pStyle w:val="tekstost"/>
        <w:shd w:val="clear" w:color="auto" w:fill="FFFFFF" w:themeFill="background1"/>
        <w:tabs>
          <w:tab w:val="left" w:pos="142"/>
        </w:tabs>
        <w:rPr>
          <w:rFonts w:ascii="Arial" w:hAnsi="Arial" w:cs="Arial"/>
          <w:b/>
        </w:rPr>
      </w:pPr>
      <w:bookmarkStart w:id="1104" w:name="_Toc451660796"/>
      <w:r w:rsidRPr="006431C4">
        <w:rPr>
          <w:rFonts w:ascii="Arial" w:hAnsi="Arial" w:cs="Arial"/>
          <w:b/>
        </w:rPr>
        <w:t>2. MATERIAŁY</w:t>
      </w:r>
      <w:bookmarkEnd w:id="1104"/>
    </w:p>
    <w:p w14:paraId="0C3E4C92"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2.1. Ogólne wymagania dotyczące materiałów</w:t>
      </w:r>
    </w:p>
    <w:p w14:paraId="4D0C3576"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Ogólne wymagania dotyczące materiałów, ich pozyskiwania i składowania, podano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M-00.00.00 „Wymagania ogólne”.</w:t>
      </w:r>
    </w:p>
    <w:p w14:paraId="686BC116"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2.2. Materiały do konstrukcji nawierzchni zjazdów</w:t>
      </w:r>
    </w:p>
    <w:p w14:paraId="08DB654D"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Materiały użyte do wykonywania nawierzchni i podbudowy na zjazdach powinny odpowiadać wymaganiom zawartym w punkcie 2 odpowiednich</w:t>
      </w:r>
      <w:r w:rsidR="00180A26" w:rsidRPr="006431C4">
        <w:rPr>
          <w:rFonts w:ascii="Arial" w:hAnsi="Arial" w:cs="Arial"/>
        </w:rPr>
        <w:t xml:space="preserve"> SST</w:t>
      </w:r>
      <w:r w:rsidR="00E875CF" w:rsidRPr="006431C4">
        <w:rPr>
          <w:rFonts w:ascii="Arial" w:hAnsi="Arial" w:cs="Arial"/>
        </w:rPr>
        <w:t>:</w:t>
      </w:r>
    </w:p>
    <w:p w14:paraId="63C9FB8F"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materiały do nawierzchni z mieszanek mineralno-bitumicznych, wymagania wg</w:t>
      </w:r>
      <w:r w:rsidR="00180A26" w:rsidRPr="006431C4">
        <w:rPr>
          <w:rFonts w:ascii="Arial" w:hAnsi="Arial" w:cs="Arial"/>
        </w:rPr>
        <w:t xml:space="preserve"> SST </w:t>
      </w:r>
      <w:r w:rsidRPr="006431C4">
        <w:rPr>
          <w:rFonts w:ascii="Arial" w:hAnsi="Arial" w:cs="Arial"/>
        </w:rPr>
        <w:t xml:space="preserve">       D-05.03.05 „Nawierzchnie z mieszanek mineralno-bitumicznych wytwarzanych na gorąco”,</w:t>
      </w:r>
    </w:p>
    <w:p w14:paraId="56C48CD1"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materiały do nawierzchni tłuczniowej, wymagania wg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05.02.01 „Nawierzchnie tłuczniowe”,</w:t>
      </w:r>
    </w:p>
    <w:p w14:paraId="4D5B0F08"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 xml:space="preserve">materiały do nawierzchni </w:t>
      </w:r>
      <w:proofErr w:type="spellStart"/>
      <w:r w:rsidRPr="006431C4">
        <w:rPr>
          <w:rFonts w:ascii="Arial" w:hAnsi="Arial" w:cs="Arial"/>
        </w:rPr>
        <w:t>brukowcowej</w:t>
      </w:r>
      <w:proofErr w:type="spellEnd"/>
      <w:r w:rsidRPr="006431C4">
        <w:rPr>
          <w:rFonts w:ascii="Arial" w:hAnsi="Arial" w:cs="Arial"/>
        </w:rPr>
        <w:t>, wymagania wg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 xml:space="preserve">05.02.02 „Nawierzchnie </w:t>
      </w:r>
      <w:proofErr w:type="spellStart"/>
      <w:r w:rsidRPr="006431C4">
        <w:rPr>
          <w:rFonts w:ascii="Arial" w:hAnsi="Arial" w:cs="Arial"/>
        </w:rPr>
        <w:t>brukowcowe</w:t>
      </w:r>
      <w:proofErr w:type="spellEnd"/>
      <w:r w:rsidRPr="006431C4">
        <w:rPr>
          <w:rFonts w:ascii="Arial" w:hAnsi="Arial" w:cs="Arial"/>
        </w:rPr>
        <w:t>”,</w:t>
      </w:r>
    </w:p>
    <w:p w14:paraId="395C8F55"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materiały do nawierzchni powierzchniowo pojedynczo utrwalanej, wymagania wg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05.03.09 „Nawierzchnia pojedynczo powierzchniowo utrwalana”,</w:t>
      </w:r>
    </w:p>
    <w:p w14:paraId="2EF37929"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materiały do podbudowy z gruntu stabilizowanego cementem, wymagania wg</w:t>
      </w:r>
      <w:r w:rsidR="00180A26" w:rsidRPr="006431C4">
        <w:rPr>
          <w:rFonts w:ascii="Arial" w:hAnsi="Arial" w:cs="Arial"/>
        </w:rPr>
        <w:t xml:space="preserve"> SST </w:t>
      </w:r>
      <w:r w:rsidRPr="006431C4">
        <w:rPr>
          <w:rFonts w:ascii="Arial" w:hAnsi="Arial" w:cs="Arial"/>
        </w:rPr>
        <w:t xml:space="preserve">        D-04.05.01 „Podbudowa z gruntu lub kruszywa stabilizowanego cementem”,</w:t>
      </w:r>
    </w:p>
    <w:p w14:paraId="4D7BE619"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materiały do podbudowy z chudego betonu, wymagania wg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04.06.00 „Podbudowa z chudego betonu”,</w:t>
      </w:r>
    </w:p>
    <w:p w14:paraId="25371C82"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materiały do podbudowy z tłucznia, wymagania wg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04.04.04 „Podbudowa z tłucznia”,</w:t>
      </w:r>
    </w:p>
    <w:p w14:paraId="4E4D6F62"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materiały do podbudowy z kruszywa naturalnego stabilizowanego mechanicznie, wymagania wg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04.04.01 „Podbudowa z kruszywa naturalnego”,</w:t>
      </w:r>
    </w:p>
    <w:p w14:paraId="0BB6D95F"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materiały do podbudowy z kruszywa łamanego stabilizowanego mechanicznie, wymagania wg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04.04.02 „Podbudowa z kruszywa łamanego”.</w:t>
      </w:r>
    </w:p>
    <w:p w14:paraId="00BDD207"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2.3. Materiały do wykonania przepustów</w:t>
      </w:r>
    </w:p>
    <w:p w14:paraId="0D2F1915"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Jeżeli w dokumentacji projektowej lub SST przewidziano wykonanie przepustów pod zjazdami, to materiały użyte do ich wykonania powinny odpowiadać wymaganiom</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06.02.01 „Przepusty pod zjazdami”.</w:t>
      </w:r>
    </w:p>
    <w:p w14:paraId="62E1F97E"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2.4. Materiały do robót wykończeniowych</w:t>
      </w:r>
    </w:p>
    <w:p w14:paraId="122D4B54"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Materiały do umocnienia skarp i rowów przy wykonywaniu zjazdów powinny odpowiadać wymaganiom</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06.01.01 „Umocnienie skarp i rowów przez humusowanie, obsianie, darniowanie”.</w:t>
      </w:r>
    </w:p>
    <w:p w14:paraId="6EAF8A90" w14:textId="77777777" w:rsidR="00E06E12" w:rsidRPr="006431C4" w:rsidRDefault="00E06E12" w:rsidP="00270120">
      <w:pPr>
        <w:pStyle w:val="tekstost"/>
        <w:shd w:val="clear" w:color="auto" w:fill="FFFFFF" w:themeFill="background1"/>
        <w:tabs>
          <w:tab w:val="left" w:pos="142"/>
        </w:tabs>
        <w:rPr>
          <w:rFonts w:ascii="Arial" w:hAnsi="Arial" w:cs="Arial"/>
          <w:b/>
        </w:rPr>
      </w:pPr>
      <w:bookmarkStart w:id="1105" w:name="_Toc451660797"/>
      <w:r w:rsidRPr="006431C4">
        <w:rPr>
          <w:rFonts w:ascii="Arial" w:hAnsi="Arial" w:cs="Arial"/>
          <w:b/>
        </w:rPr>
        <w:t>3. sprzęt</w:t>
      </w:r>
      <w:bookmarkEnd w:id="1105"/>
    </w:p>
    <w:p w14:paraId="5F63A73A"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Wymagania ogólne dotyczące sprzętu podano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M-00.00.00 „Wymagania ogólne”.</w:t>
      </w:r>
    </w:p>
    <w:p w14:paraId="0D135216"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Do wykonania zjazdów należy stosować ten rodzaj sprzętu, który został podany w punkcie 3 odpowiednich</w:t>
      </w:r>
      <w:r w:rsidR="00180A26" w:rsidRPr="006431C4">
        <w:rPr>
          <w:rFonts w:ascii="Arial" w:hAnsi="Arial" w:cs="Arial"/>
        </w:rPr>
        <w:t xml:space="preserve"> SST</w:t>
      </w:r>
      <w:r w:rsidR="00E875CF" w:rsidRPr="006431C4">
        <w:rPr>
          <w:rFonts w:ascii="Arial" w:hAnsi="Arial" w:cs="Arial"/>
        </w:rPr>
        <w:t>:</w:t>
      </w:r>
    </w:p>
    <w:p w14:paraId="3940CCB1"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lastRenderedPageBreak/>
        <w:t>sprzęt do wykonania robót ziemnych, według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02.00.00 „Roboty ziemne”,</w:t>
      </w:r>
    </w:p>
    <w:p w14:paraId="05F96CB5"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sprzęt do wykonania robót nawierzchniowych, według odpowiednich</w:t>
      </w:r>
      <w:r w:rsidR="00180A26" w:rsidRPr="006431C4">
        <w:rPr>
          <w:rFonts w:ascii="Arial" w:hAnsi="Arial" w:cs="Arial"/>
        </w:rPr>
        <w:t xml:space="preserve"> SST</w:t>
      </w:r>
      <w:r w:rsidR="00E875CF" w:rsidRPr="006431C4">
        <w:rPr>
          <w:rFonts w:ascii="Arial" w:hAnsi="Arial" w:cs="Arial"/>
        </w:rPr>
        <w:t>,</w:t>
      </w:r>
      <w:r w:rsidRPr="006431C4">
        <w:rPr>
          <w:rFonts w:ascii="Arial" w:hAnsi="Arial" w:cs="Arial"/>
        </w:rPr>
        <w:t xml:space="preserve"> wymienionych w punkcie 2.2 </w:t>
      </w:r>
      <w:r w:rsidR="00BA62A8" w:rsidRPr="006431C4">
        <w:rPr>
          <w:rFonts w:ascii="Arial" w:hAnsi="Arial" w:cs="Arial"/>
        </w:rPr>
        <w:t xml:space="preserve">niniejszej szczegółowej specyfikacji </w:t>
      </w:r>
      <w:r w:rsidRPr="006431C4">
        <w:rPr>
          <w:rFonts w:ascii="Arial" w:hAnsi="Arial" w:cs="Arial"/>
        </w:rPr>
        <w:t>technicznej,</w:t>
      </w:r>
    </w:p>
    <w:p w14:paraId="4CCC1D64"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sprzęt do wykonywania przepustów pod zjazdami, według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06.02.01 „Przepusty pod zjazdami”,</w:t>
      </w:r>
    </w:p>
    <w:p w14:paraId="4D9063AA"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sprzęt do wykonania umocnienia skarp i rowów, według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06.01.01 „Umocnienie skarp i rowów przez humusowanie, obsianie, darniowanie”.</w:t>
      </w:r>
    </w:p>
    <w:p w14:paraId="374C3E89" w14:textId="77777777" w:rsidR="00E06E12" w:rsidRPr="006431C4" w:rsidRDefault="00E06E12" w:rsidP="00270120">
      <w:pPr>
        <w:pStyle w:val="tekstost"/>
        <w:shd w:val="clear" w:color="auto" w:fill="FFFFFF" w:themeFill="background1"/>
        <w:tabs>
          <w:tab w:val="left" w:pos="142"/>
        </w:tabs>
        <w:rPr>
          <w:rFonts w:ascii="Arial" w:hAnsi="Arial" w:cs="Arial"/>
          <w:b/>
        </w:rPr>
      </w:pPr>
      <w:bookmarkStart w:id="1106" w:name="_Toc451660798"/>
      <w:r w:rsidRPr="006431C4">
        <w:rPr>
          <w:rFonts w:ascii="Arial" w:hAnsi="Arial" w:cs="Arial"/>
          <w:b/>
        </w:rPr>
        <w:t>4. transport</w:t>
      </w:r>
      <w:bookmarkEnd w:id="1106"/>
    </w:p>
    <w:p w14:paraId="0307D614"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Wymagania ogólne dotyczące transportu podano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M-00.00.00 „Wymagania ogólne”.</w:t>
      </w:r>
    </w:p>
    <w:p w14:paraId="5EAC7B9B"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Transport materiałów stosowanych do wykonania zjazdów powinien odpowiadać wymaganiom według punktu 4 odpowiednich</w:t>
      </w:r>
      <w:r w:rsidR="00180A26" w:rsidRPr="006431C4">
        <w:rPr>
          <w:rFonts w:ascii="Arial" w:hAnsi="Arial" w:cs="Arial"/>
        </w:rPr>
        <w:t xml:space="preserve"> SST</w:t>
      </w:r>
      <w:r w:rsidR="00E875CF" w:rsidRPr="006431C4">
        <w:rPr>
          <w:rFonts w:ascii="Arial" w:hAnsi="Arial" w:cs="Arial"/>
        </w:rPr>
        <w:t>,</w:t>
      </w:r>
      <w:r w:rsidRPr="006431C4">
        <w:rPr>
          <w:rFonts w:ascii="Arial" w:hAnsi="Arial" w:cs="Arial"/>
        </w:rPr>
        <w:t xml:space="preserve"> wymienionych w punktach 2.2 - 2.4 </w:t>
      </w:r>
      <w:r w:rsidR="00BA62A8" w:rsidRPr="006431C4">
        <w:rPr>
          <w:rFonts w:ascii="Arial" w:hAnsi="Arial" w:cs="Arial"/>
        </w:rPr>
        <w:t xml:space="preserve">niniejszej szczegółowej specyfikacji </w:t>
      </w:r>
      <w:r w:rsidRPr="006431C4">
        <w:rPr>
          <w:rFonts w:ascii="Arial" w:hAnsi="Arial" w:cs="Arial"/>
        </w:rPr>
        <w:t>technicznej.</w:t>
      </w:r>
    </w:p>
    <w:p w14:paraId="1A0EC7F3" w14:textId="77777777" w:rsidR="00E06E12" w:rsidRPr="006431C4" w:rsidRDefault="00E06E12" w:rsidP="00270120">
      <w:pPr>
        <w:pStyle w:val="tekstost"/>
        <w:shd w:val="clear" w:color="auto" w:fill="FFFFFF" w:themeFill="background1"/>
        <w:tabs>
          <w:tab w:val="left" w:pos="142"/>
        </w:tabs>
        <w:rPr>
          <w:rFonts w:ascii="Arial" w:hAnsi="Arial" w:cs="Arial"/>
          <w:b/>
        </w:rPr>
      </w:pPr>
      <w:bookmarkStart w:id="1107" w:name="_Toc451660799"/>
      <w:r w:rsidRPr="006431C4">
        <w:rPr>
          <w:rFonts w:ascii="Arial" w:hAnsi="Arial" w:cs="Arial"/>
          <w:b/>
        </w:rPr>
        <w:t>5. wykonanie robót</w:t>
      </w:r>
      <w:bookmarkEnd w:id="1107"/>
    </w:p>
    <w:p w14:paraId="44196934"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5.1. Ogólne zasady wykonania robót</w:t>
      </w:r>
    </w:p>
    <w:p w14:paraId="1DE5C503"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Ogólne wymagania wykonania robót podano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M-00.00.00 „Wymagania ogólne”.</w:t>
      </w:r>
    </w:p>
    <w:p w14:paraId="12C3C4C2"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5.2. Roboty przygotowawcze</w:t>
      </w:r>
    </w:p>
    <w:p w14:paraId="7B5FF095"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Przed przystąpieniem do właściwych robót należy wykonać roboty przygotowawcze zgodnie z wymogami podanymi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01.00.00 „Roboty przygotowawcze”.</w:t>
      </w:r>
    </w:p>
    <w:p w14:paraId="2A9D877B"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5.3. Wykonanie przepustów pod zjazdami</w:t>
      </w:r>
    </w:p>
    <w:p w14:paraId="78633D31"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Przepusty pod zjazdami należy wykonać zgodnie z wymaganiami zawartymi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06.02.01 „Przepusty pod zjazdami”.</w:t>
      </w:r>
    </w:p>
    <w:p w14:paraId="122F73E5"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5.4. Roboty ziemne</w:t>
      </w:r>
    </w:p>
    <w:p w14:paraId="417DCBAB"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Roboty ziemne przy budowie zjazdów na drogi boczne powinny być z zasady wykonywane mechanicznie. Przy budowie zjazdów do gospodarstw, gdzie występuje niewielki zakres robót, roboty ziemne mogą być wykonywane ręcznie.</w:t>
      </w:r>
    </w:p>
    <w:p w14:paraId="11FB30CC"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Wykonanie robót ziemnych powinno odpowiadać wymaganiom</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02.00.00 „Roboty ziemne”.</w:t>
      </w:r>
    </w:p>
    <w:p w14:paraId="6C8BB522"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5.5. Wykonanie nawierzchni zjazdów</w:t>
      </w:r>
    </w:p>
    <w:p w14:paraId="46B0CDF1"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Wykonanie nawierzchni zjazdów powinno odpowiadać wymaganiom według odpowiednich</w:t>
      </w:r>
      <w:r w:rsidR="00180A26" w:rsidRPr="006431C4">
        <w:rPr>
          <w:rFonts w:ascii="Arial" w:hAnsi="Arial" w:cs="Arial"/>
        </w:rPr>
        <w:t xml:space="preserve"> SST</w:t>
      </w:r>
      <w:r w:rsidR="00E875CF" w:rsidRPr="006431C4">
        <w:rPr>
          <w:rFonts w:ascii="Arial" w:hAnsi="Arial" w:cs="Arial"/>
        </w:rPr>
        <w:t>,</w:t>
      </w:r>
      <w:r w:rsidRPr="006431C4">
        <w:rPr>
          <w:rFonts w:ascii="Arial" w:hAnsi="Arial" w:cs="Arial"/>
        </w:rPr>
        <w:t xml:space="preserve"> wymienionych w punkcie 2.2.</w:t>
      </w:r>
    </w:p>
    <w:p w14:paraId="07D9624F"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5.6. Umocnienie skarp</w:t>
      </w:r>
    </w:p>
    <w:p w14:paraId="399D1650"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Wykonanie umocnienia skarp i rowów przez humusowanie, obsianie i ewentualne darniowanie powinno odpowiadać wymaganiom</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06.01.01 „Umocnienie skarp i rowów przez humusowanie, obsianie, darniowanie”.</w:t>
      </w:r>
    </w:p>
    <w:p w14:paraId="5A6DDBF2" w14:textId="77777777" w:rsidR="00E06E12" w:rsidRPr="006431C4" w:rsidRDefault="00E06E12" w:rsidP="00270120">
      <w:pPr>
        <w:pStyle w:val="tekstost"/>
        <w:shd w:val="clear" w:color="auto" w:fill="FFFFFF" w:themeFill="background1"/>
        <w:tabs>
          <w:tab w:val="left" w:pos="142"/>
        </w:tabs>
        <w:rPr>
          <w:rFonts w:ascii="Arial" w:hAnsi="Arial" w:cs="Arial"/>
          <w:b/>
        </w:rPr>
      </w:pPr>
      <w:bookmarkStart w:id="1108" w:name="_Toc451660800"/>
      <w:r w:rsidRPr="006431C4">
        <w:rPr>
          <w:rFonts w:ascii="Arial" w:hAnsi="Arial" w:cs="Arial"/>
          <w:b/>
        </w:rPr>
        <w:t>6. kontrola jakości robót</w:t>
      </w:r>
      <w:bookmarkEnd w:id="1108"/>
    </w:p>
    <w:p w14:paraId="439BA76F"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6.1. Sprawdzenie prawidłowości robót przygotowawczych</w:t>
      </w:r>
    </w:p>
    <w:p w14:paraId="457322F8"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Kontrola jakości robót przygotowawczych polega na sprawdzeniu ich zgodności z:</w:t>
      </w:r>
    </w:p>
    <w:p w14:paraId="6D114F2B" w14:textId="77777777" w:rsidR="00E06E12" w:rsidRPr="006431C4" w:rsidRDefault="00E06E12" w:rsidP="00CF1E7D">
      <w:pPr>
        <w:pStyle w:val="tekstost"/>
        <w:numPr>
          <w:ilvl w:val="0"/>
          <w:numId w:val="88"/>
        </w:numPr>
        <w:shd w:val="clear" w:color="auto" w:fill="FFFFFF" w:themeFill="background1"/>
        <w:tabs>
          <w:tab w:val="left" w:pos="142"/>
        </w:tabs>
        <w:ind w:left="0" w:firstLine="0"/>
        <w:rPr>
          <w:rFonts w:ascii="Arial" w:hAnsi="Arial" w:cs="Arial"/>
        </w:rPr>
      </w:pPr>
      <w:r w:rsidRPr="006431C4">
        <w:rPr>
          <w:rFonts w:ascii="Arial" w:hAnsi="Arial" w:cs="Arial"/>
        </w:rPr>
        <w:t>dokumentacją projektową - na podstawie oględzin i pomiarów,</w:t>
      </w:r>
    </w:p>
    <w:p w14:paraId="4C1724F9" w14:textId="77777777" w:rsidR="00E06E12" w:rsidRPr="006431C4" w:rsidRDefault="00E06E12" w:rsidP="00CF1E7D">
      <w:pPr>
        <w:pStyle w:val="tekstost"/>
        <w:numPr>
          <w:ilvl w:val="0"/>
          <w:numId w:val="88"/>
        </w:numPr>
        <w:shd w:val="clear" w:color="auto" w:fill="FFFFFF" w:themeFill="background1"/>
        <w:tabs>
          <w:tab w:val="left" w:pos="142"/>
        </w:tabs>
        <w:ind w:left="0" w:firstLine="0"/>
        <w:rPr>
          <w:rFonts w:ascii="Arial" w:hAnsi="Arial" w:cs="Arial"/>
        </w:rPr>
      </w:pPr>
      <w:r w:rsidRPr="006431C4">
        <w:rPr>
          <w:rFonts w:ascii="Arial" w:hAnsi="Arial" w:cs="Arial"/>
        </w:rPr>
        <w:t>wymaganiami podanymi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01.00.00 „Roboty przygotowawcze”.</w:t>
      </w:r>
    </w:p>
    <w:p w14:paraId="2EF24424"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6.2. Sprawdzenie prawidłowości wykonania przepustów pod zjazdami</w:t>
      </w:r>
    </w:p>
    <w:p w14:paraId="1F2CF132"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Kontrola jakości wykonania przepustów pod zjazdami polega na sprawdzeniu zgodności z dokumentacją projektową  na podstawie oględzin i pomiarów oraz zgodności z wymaganiami wg</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06.02.01 „Przepusty pod zjazdami”.</w:t>
      </w:r>
    </w:p>
    <w:p w14:paraId="1A2DD605"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6.3. Sprawdzenie prawidłowości wykonania robót ziemnych</w:t>
      </w:r>
    </w:p>
    <w:p w14:paraId="6B7842E6"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Kontrola jakości robót ziemnych polega na sprawdzeniu ich zgodności z:</w:t>
      </w:r>
    </w:p>
    <w:p w14:paraId="7FAB5D86" w14:textId="77777777" w:rsidR="00E06E12" w:rsidRPr="006431C4" w:rsidRDefault="00E06E12" w:rsidP="00CF1E7D">
      <w:pPr>
        <w:pStyle w:val="tekstost"/>
        <w:numPr>
          <w:ilvl w:val="0"/>
          <w:numId w:val="89"/>
        </w:numPr>
        <w:shd w:val="clear" w:color="auto" w:fill="FFFFFF" w:themeFill="background1"/>
        <w:tabs>
          <w:tab w:val="left" w:pos="142"/>
        </w:tabs>
        <w:ind w:left="0" w:firstLine="0"/>
        <w:rPr>
          <w:rFonts w:ascii="Arial" w:hAnsi="Arial" w:cs="Arial"/>
        </w:rPr>
      </w:pPr>
      <w:r w:rsidRPr="006431C4">
        <w:rPr>
          <w:rFonts w:ascii="Arial" w:hAnsi="Arial" w:cs="Arial"/>
        </w:rPr>
        <w:t>dokumentacją projektową - na podstawie oględzin i pomiarów,</w:t>
      </w:r>
    </w:p>
    <w:p w14:paraId="6C2FD424" w14:textId="77777777" w:rsidR="00E06E12" w:rsidRPr="006431C4" w:rsidRDefault="00E06E12" w:rsidP="00CF1E7D">
      <w:pPr>
        <w:pStyle w:val="tekstost"/>
        <w:numPr>
          <w:ilvl w:val="0"/>
          <w:numId w:val="89"/>
        </w:numPr>
        <w:shd w:val="clear" w:color="auto" w:fill="FFFFFF" w:themeFill="background1"/>
        <w:tabs>
          <w:tab w:val="left" w:pos="142"/>
        </w:tabs>
        <w:ind w:left="0" w:firstLine="0"/>
        <w:rPr>
          <w:rFonts w:ascii="Arial" w:hAnsi="Arial" w:cs="Arial"/>
        </w:rPr>
      </w:pPr>
      <w:r w:rsidRPr="006431C4">
        <w:rPr>
          <w:rFonts w:ascii="Arial" w:hAnsi="Arial" w:cs="Arial"/>
        </w:rPr>
        <w:t>wymaganiami podanymi w</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02.01.01 „Wykonanie wykopów w gruntach I - V kat.” i</w:t>
      </w:r>
      <w:r w:rsidR="00180A26" w:rsidRPr="006431C4">
        <w:rPr>
          <w:rFonts w:ascii="Arial" w:hAnsi="Arial" w:cs="Arial"/>
        </w:rPr>
        <w:t xml:space="preserve"> SST </w:t>
      </w:r>
      <w:r w:rsidR="0038166D" w:rsidRPr="006431C4">
        <w:rPr>
          <w:rFonts w:ascii="Arial" w:hAnsi="Arial" w:cs="Arial"/>
        </w:rPr>
        <w:t>D-</w:t>
      </w:r>
      <w:r w:rsidRPr="006431C4">
        <w:rPr>
          <w:rFonts w:ascii="Arial" w:hAnsi="Arial" w:cs="Arial"/>
        </w:rPr>
        <w:t>02.03.01 „Wykonanie nasypów”.</w:t>
      </w:r>
    </w:p>
    <w:p w14:paraId="01EA49AA"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6.4. Sprawdzenie wykonania nawierzchni zjazdów</w:t>
      </w:r>
    </w:p>
    <w:p w14:paraId="1418B77B"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Kontrola jakości wykonania nawierzchni polega na sprawdzeniu ich zgodności z:</w:t>
      </w:r>
    </w:p>
    <w:p w14:paraId="1343B06C" w14:textId="77777777" w:rsidR="00E06E12" w:rsidRPr="006431C4" w:rsidRDefault="00E06E12" w:rsidP="00CF1E7D">
      <w:pPr>
        <w:pStyle w:val="tekstost"/>
        <w:numPr>
          <w:ilvl w:val="0"/>
          <w:numId w:val="90"/>
        </w:numPr>
        <w:shd w:val="clear" w:color="auto" w:fill="FFFFFF" w:themeFill="background1"/>
        <w:tabs>
          <w:tab w:val="left" w:pos="142"/>
        </w:tabs>
        <w:ind w:left="0" w:firstLine="0"/>
        <w:rPr>
          <w:rFonts w:ascii="Arial" w:hAnsi="Arial" w:cs="Arial"/>
        </w:rPr>
      </w:pPr>
      <w:r w:rsidRPr="006431C4">
        <w:rPr>
          <w:rFonts w:ascii="Arial" w:hAnsi="Arial" w:cs="Arial"/>
        </w:rPr>
        <w:t>dokumentacją projektową w zakresie: grubości konstrukcji nawierzchni, szerokości, rzędnych wysokościowych i spadków poprzecznych,</w:t>
      </w:r>
    </w:p>
    <w:p w14:paraId="26D3D556" w14:textId="77777777" w:rsidR="00E06E12" w:rsidRPr="006431C4" w:rsidRDefault="00E06E12" w:rsidP="00CF1E7D">
      <w:pPr>
        <w:pStyle w:val="tekstost"/>
        <w:numPr>
          <w:ilvl w:val="0"/>
          <w:numId w:val="90"/>
        </w:numPr>
        <w:shd w:val="clear" w:color="auto" w:fill="FFFFFF" w:themeFill="background1"/>
        <w:tabs>
          <w:tab w:val="left" w:pos="142"/>
        </w:tabs>
        <w:ind w:left="0" w:firstLine="0"/>
        <w:rPr>
          <w:rFonts w:ascii="Arial" w:hAnsi="Arial" w:cs="Arial"/>
        </w:rPr>
      </w:pPr>
      <w:r w:rsidRPr="006431C4">
        <w:rPr>
          <w:rFonts w:ascii="Arial" w:hAnsi="Arial" w:cs="Arial"/>
        </w:rPr>
        <w:t>wymaganiami podanymi wg odpowiednich</w:t>
      </w:r>
      <w:r w:rsidR="00180A26" w:rsidRPr="006431C4">
        <w:rPr>
          <w:rFonts w:ascii="Arial" w:hAnsi="Arial" w:cs="Arial"/>
        </w:rPr>
        <w:t xml:space="preserve"> SST</w:t>
      </w:r>
      <w:r w:rsidR="00E875CF" w:rsidRPr="006431C4">
        <w:rPr>
          <w:rFonts w:ascii="Arial" w:hAnsi="Arial" w:cs="Arial"/>
        </w:rPr>
        <w:t>.</w:t>
      </w:r>
    </w:p>
    <w:p w14:paraId="27ABFD44"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6.5. Pomiary cech geometrycznych zjazdów</w:t>
      </w:r>
    </w:p>
    <w:p w14:paraId="0C1FD5F3"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Przeprowadzone pomiary nie powinny wykazywać większych odchyleń w zakresie cech geometrycznych zjazdów niż to podano w tablicy 1.</w:t>
      </w:r>
    </w:p>
    <w:p w14:paraId="3C5F8041"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Tablica 1. Dopuszczalne odchylenia dla nawierzchni zjazdów</w:t>
      </w:r>
    </w:p>
    <w:tbl>
      <w:tblPr>
        <w:tblW w:w="0" w:type="auto"/>
        <w:tblLayout w:type="fixed"/>
        <w:tblCellMar>
          <w:left w:w="70" w:type="dxa"/>
          <w:right w:w="70" w:type="dxa"/>
        </w:tblCellMar>
        <w:tblLook w:val="04A0" w:firstRow="1" w:lastRow="0" w:firstColumn="1" w:lastColumn="0" w:noHBand="0" w:noVBand="1"/>
      </w:tblPr>
      <w:tblGrid>
        <w:gridCol w:w="5379"/>
        <w:gridCol w:w="1665"/>
        <w:gridCol w:w="1665"/>
      </w:tblGrid>
      <w:tr w:rsidR="00E06E12" w:rsidRPr="006431C4" w14:paraId="661AC16C" w14:textId="77777777" w:rsidTr="00D032BE">
        <w:tc>
          <w:tcPr>
            <w:tcW w:w="5379" w:type="dxa"/>
            <w:tcBorders>
              <w:top w:val="single" w:sz="6" w:space="0" w:color="auto"/>
              <w:left w:val="single" w:sz="6" w:space="0" w:color="auto"/>
              <w:bottom w:val="nil"/>
              <w:right w:val="single" w:sz="6" w:space="0" w:color="auto"/>
            </w:tcBorders>
          </w:tcPr>
          <w:p w14:paraId="36C80133" w14:textId="77777777" w:rsidR="00E06E12" w:rsidRPr="006431C4" w:rsidRDefault="00E06E12" w:rsidP="00270120">
            <w:pPr>
              <w:pStyle w:val="tekstost"/>
              <w:shd w:val="clear" w:color="auto" w:fill="FFFFFF" w:themeFill="background1"/>
              <w:tabs>
                <w:tab w:val="left" w:pos="142"/>
              </w:tabs>
              <w:rPr>
                <w:rFonts w:ascii="Arial" w:hAnsi="Arial" w:cs="Arial"/>
              </w:rPr>
            </w:pPr>
          </w:p>
        </w:tc>
        <w:tc>
          <w:tcPr>
            <w:tcW w:w="3330" w:type="dxa"/>
            <w:gridSpan w:val="2"/>
            <w:tcBorders>
              <w:top w:val="single" w:sz="6" w:space="0" w:color="auto"/>
              <w:left w:val="nil"/>
              <w:bottom w:val="single" w:sz="6" w:space="0" w:color="auto"/>
              <w:right w:val="single" w:sz="6" w:space="0" w:color="auto"/>
            </w:tcBorders>
            <w:hideMark/>
          </w:tcPr>
          <w:p w14:paraId="31E2D539"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Dopuszczalne odchylenia</w:t>
            </w:r>
          </w:p>
        </w:tc>
      </w:tr>
      <w:tr w:rsidR="00E06E12" w:rsidRPr="006431C4" w14:paraId="6C9CA4B3" w14:textId="77777777" w:rsidTr="00D032BE">
        <w:tc>
          <w:tcPr>
            <w:tcW w:w="5379" w:type="dxa"/>
            <w:tcBorders>
              <w:top w:val="nil"/>
              <w:left w:val="single" w:sz="6" w:space="0" w:color="auto"/>
              <w:bottom w:val="nil"/>
              <w:right w:val="nil"/>
            </w:tcBorders>
            <w:hideMark/>
          </w:tcPr>
          <w:p w14:paraId="2B7B44A5"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Cechy geometryczne nawierzchni zjazdu</w:t>
            </w:r>
          </w:p>
        </w:tc>
        <w:tc>
          <w:tcPr>
            <w:tcW w:w="1665" w:type="dxa"/>
            <w:tcBorders>
              <w:top w:val="single" w:sz="6" w:space="0" w:color="auto"/>
              <w:left w:val="single" w:sz="6" w:space="0" w:color="auto"/>
              <w:bottom w:val="nil"/>
              <w:right w:val="single" w:sz="6" w:space="0" w:color="auto"/>
            </w:tcBorders>
            <w:hideMark/>
          </w:tcPr>
          <w:p w14:paraId="330543CF"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Nawierzchnia ulepszona</w:t>
            </w:r>
          </w:p>
        </w:tc>
        <w:tc>
          <w:tcPr>
            <w:tcW w:w="1665" w:type="dxa"/>
            <w:tcBorders>
              <w:top w:val="single" w:sz="6" w:space="0" w:color="auto"/>
              <w:left w:val="single" w:sz="6" w:space="0" w:color="auto"/>
              <w:bottom w:val="nil"/>
              <w:right w:val="single" w:sz="6" w:space="0" w:color="auto"/>
            </w:tcBorders>
            <w:hideMark/>
          </w:tcPr>
          <w:p w14:paraId="6C073C2E"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Nawierzchnia nieulepszona</w:t>
            </w:r>
          </w:p>
        </w:tc>
      </w:tr>
      <w:tr w:rsidR="00E06E12" w:rsidRPr="006431C4" w14:paraId="0F8C2C7C" w14:textId="77777777" w:rsidTr="00D032BE">
        <w:tc>
          <w:tcPr>
            <w:tcW w:w="5379" w:type="dxa"/>
            <w:tcBorders>
              <w:top w:val="single" w:sz="6" w:space="0" w:color="auto"/>
              <w:left w:val="single" w:sz="6" w:space="0" w:color="auto"/>
              <w:bottom w:val="single" w:sz="6" w:space="0" w:color="auto"/>
              <w:right w:val="single" w:sz="6" w:space="0" w:color="auto"/>
            </w:tcBorders>
            <w:hideMark/>
          </w:tcPr>
          <w:p w14:paraId="506747C2"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Szerokość, cm</w:t>
            </w:r>
          </w:p>
        </w:tc>
        <w:tc>
          <w:tcPr>
            <w:tcW w:w="1665" w:type="dxa"/>
            <w:tcBorders>
              <w:top w:val="single" w:sz="6" w:space="0" w:color="auto"/>
              <w:left w:val="single" w:sz="6" w:space="0" w:color="auto"/>
              <w:bottom w:val="single" w:sz="6" w:space="0" w:color="auto"/>
              <w:right w:val="single" w:sz="6" w:space="0" w:color="auto"/>
            </w:tcBorders>
            <w:hideMark/>
          </w:tcPr>
          <w:p w14:paraId="2538CA80"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sym w:font="Symbol" w:char="F0B1"/>
            </w:r>
            <w:r w:rsidRPr="006431C4">
              <w:rPr>
                <w:rFonts w:ascii="Arial" w:hAnsi="Arial" w:cs="Arial"/>
              </w:rPr>
              <w:t xml:space="preserve"> 5</w:t>
            </w:r>
          </w:p>
        </w:tc>
        <w:tc>
          <w:tcPr>
            <w:tcW w:w="1665" w:type="dxa"/>
            <w:tcBorders>
              <w:top w:val="single" w:sz="6" w:space="0" w:color="auto"/>
              <w:left w:val="single" w:sz="6" w:space="0" w:color="auto"/>
              <w:bottom w:val="single" w:sz="6" w:space="0" w:color="auto"/>
              <w:right w:val="single" w:sz="6" w:space="0" w:color="auto"/>
            </w:tcBorders>
            <w:hideMark/>
          </w:tcPr>
          <w:p w14:paraId="0EBD4EFE"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+10  i  -5</w:t>
            </w:r>
          </w:p>
        </w:tc>
      </w:tr>
      <w:tr w:rsidR="00E06E12" w:rsidRPr="006431C4" w14:paraId="4123E6B2" w14:textId="77777777" w:rsidTr="00D032BE">
        <w:tc>
          <w:tcPr>
            <w:tcW w:w="5379" w:type="dxa"/>
            <w:tcBorders>
              <w:top w:val="single" w:sz="6" w:space="0" w:color="auto"/>
              <w:left w:val="single" w:sz="6" w:space="0" w:color="auto"/>
              <w:bottom w:val="single" w:sz="6" w:space="0" w:color="auto"/>
              <w:right w:val="single" w:sz="6" w:space="0" w:color="auto"/>
            </w:tcBorders>
            <w:hideMark/>
          </w:tcPr>
          <w:p w14:paraId="0F934C18"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Równość podłużna, mm</w:t>
            </w:r>
          </w:p>
        </w:tc>
        <w:tc>
          <w:tcPr>
            <w:tcW w:w="1665" w:type="dxa"/>
            <w:tcBorders>
              <w:top w:val="single" w:sz="6" w:space="0" w:color="auto"/>
              <w:left w:val="single" w:sz="6" w:space="0" w:color="auto"/>
              <w:bottom w:val="single" w:sz="6" w:space="0" w:color="auto"/>
              <w:right w:val="single" w:sz="6" w:space="0" w:color="auto"/>
            </w:tcBorders>
            <w:hideMark/>
          </w:tcPr>
          <w:p w14:paraId="20DAED4B"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9</w:t>
            </w:r>
          </w:p>
        </w:tc>
        <w:tc>
          <w:tcPr>
            <w:tcW w:w="1665" w:type="dxa"/>
            <w:tcBorders>
              <w:top w:val="single" w:sz="6" w:space="0" w:color="auto"/>
              <w:left w:val="single" w:sz="6" w:space="0" w:color="auto"/>
              <w:bottom w:val="single" w:sz="6" w:space="0" w:color="auto"/>
              <w:right w:val="single" w:sz="6" w:space="0" w:color="auto"/>
            </w:tcBorders>
            <w:hideMark/>
          </w:tcPr>
          <w:p w14:paraId="09CE0F0C"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12</w:t>
            </w:r>
          </w:p>
        </w:tc>
      </w:tr>
      <w:tr w:rsidR="00E06E12" w:rsidRPr="006431C4" w14:paraId="69595FA1" w14:textId="77777777" w:rsidTr="00D032BE">
        <w:tc>
          <w:tcPr>
            <w:tcW w:w="5379" w:type="dxa"/>
            <w:tcBorders>
              <w:top w:val="single" w:sz="6" w:space="0" w:color="auto"/>
              <w:left w:val="single" w:sz="6" w:space="0" w:color="auto"/>
              <w:bottom w:val="single" w:sz="6" w:space="0" w:color="auto"/>
              <w:right w:val="single" w:sz="6" w:space="0" w:color="auto"/>
            </w:tcBorders>
            <w:hideMark/>
          </w:tcPr>
          <w:p w14:paraId="1956225E"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Równość poprzeczna, mm</w:t>
            </w:r>
          </w:p>
        </w:tc>
        <w:tc>
          <w:tcPr>
            <w:tcW w:w="1665" w:type="dxa"/>
            <w:tcBorders>
              <w:top w:val="single" w:sz="6" w:space="0" w:color="auto"/>
              <w:left w:val="single" w:sz="6" w:space="0" w:color="auto"/>
              <w:bottom w:val="single" w:sz="6" w:space="0" w:color="auto"/>
              <w:right w:val="single" w:sz="6" w:space="0" w:color="auto"/>
            </w:tcBorders>
            <w:hideMark/>
          </w:tcPr>
          <w:p w14:paraId="1871329D"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9</w:t>
            </w:r>
          </w:p>
        </w:tc>
        <w:tc>
          <w:tcPr>
            <w:tcW w:w="1665" w:type="dxa"/>
            <w:tcBorders>
              <w:top w:val="single" w:sz="6" w:space="0" w:color="auto"/>
              <w:left w:val="single" w:sz="6" w:space="0" w:color="auto"/>
              <w:bottom w:val="single" w:sz="6" w:space="0" w:color="auto"/>
              <w:right w:val="single" w:sz="6" w:space="0" w:color="auto"/>
            </w:tcBorders>
            <w:hideMark/>
          </w:tcPr>
          <w:p w14:paraId="49AF68EE"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12</w:t>
            </w:r>
          </w:p>
        </w:tc>
      </w:tr>
      <w:tr w:rsidR="00E06E12" w:rsidRPr="006431C4" w14:paraId="2627A1C4" w14:textId="77777777" w:rsidTr="00D032BE">
        <w:tc>
          <w:tcPr>
            <w:tcW w:w="5379" w:type="dxa"/>
            <w:tcBorders>
              <w:top w:val="single" w:sz="6" w:space="0" w:color="auto"/>
              <w:left w:val="single" w:sz="6" w:space="0" w:color="auto"/>
              <w:bottom w:val="single" w:sz="6" w:space="0" w:color="auto"/>
              <w:right w:val="single" w:sz="6" w:space="0" w:color="auto"/>
            </w:tcBorders>
            <w:hideMark/>
          </w:tcPr>
          <w:p w14:paraId="24B69648"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Pochylenie poprzeczne, %</w:t>
            </w:r>
          </w:p>
        </w:tc>
        <w:tc>
          <w:tcPr>
            <w:tcW w:w="1665" w:type="dxa"/>
            <w:tcBorders>
              <w:top w:val="single" w:sz="6" w:space="0" w:color="auto"/>
              <w:left w:val="single" w:sz="6" w:space="0" w:color="auto"/>
              <w:bottom w:val="single" w:sz="6" w:space="0" w:color="auto"/>
              <w:right w:val="single" w:sz="6" w:space="0" w:color="auto"/>
            </w:tcBorders>
            <w:hideMark/>
          </w:tcPr>
          <w:p w14:paraId="0BB00620"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sym w:font="Symbol" w:char="F0B1"/>
            </w:r>
            <w:r w:rsidRPr="006431C4">
              <w:rPr>
                <w:rFonts w:ascii="Arial" w:hAnsi="Arial" w:cs="Arial"/>
              </w:rPr>
              <w:t xml:space="preserve"> 0,5</w:t>
            </w:r>
          </w:p>
        </w:tc>
        <w:tc>
          <w:tcPr>
            <w:tcW w:w="1665" w:type="dxa"/>
            <w:tcBorders>
              <w:top w:val="single" w:sz="6" w:space="0" w:color="auto"/>
              <w:left w:val="single" w:sz="6" w:space="0" w:color="auto"/>
              <w:bottom w:val="single" w:sz="6" w:space="0" w:color="auto"/>
              <w:right w:val="single" w:sz="6" w:space="0" w:color="auto"/>
            </w:tcBorders>
            <w:hideMark/>
          </w:tcPr>
          <w:p w14:paraId="7AE7B56A"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sym w:font="Symbol" w:char="F0B1"/>
            </w:r>
            <w:r w:rsidRPr="006431C4">
              <w:rPr>
                <w:rFonts w:ascii="Arial" w:hAnsi="Arial" w:cs="Arial"/>
              </w:rPr>
              <w:t xml:space="preserve"> 1,0</w:t>
            </w:r>
          </w:p>
        </w:tc>
      </w:tr>
      <w:tr w:rsidR="00E06E12" w:rsidRPr="006431C4" w14:paraId="7245A0E4" w14:textId="77777777" w:rsidTr="00D032BE">
        <w:tc>
          <w:tcPr>
            <w:tcW w:w="5379" w:type="dxa"/>
            <w:tcBorders>
              <w:top w:val="single" w:sz="6" w:space="0" w:color="auto"/>
              <w:left w:val="single" w:sz="6" w:space="0" w:color="auto"/>
              <w:bottom w:val="single" w:sz="6" w:space="0" w:color="auto"/>
              <w:right w:val="single" w:sz="6" w:space="0" w:color="auto"/>
            </w:tcBorders>
            <w:hideMark/>
          </w:tcPr>
          <w:p w14:paraId="5975923A"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Odchylenie osi zjazdu w planie, cm</w:t>
            </w:r>
          </w:p>
        </w:tc>
        <w:tc>
          <w:tcPr>
            <w:tcW w:w="1665" w:type="dxa"/>
            <w:tcBorders>
              <w:top w:val="single" w:sz="6" w:space="0" w:color="auto"/>
              <w:left w:val="single" w:sz="6" w:space="0" w:color="auto"/>
              <w:bottom w:val="single" w:sz="6" w:space="0" w:color="auto"/>
              <w:right w:val="single" w:sz="6" w:space="0" w:color="auto"/>
            </w:tcBorders>
            <w:hideMark/>
          </w:tcPr>
          <w:p w14:paraId="0E77937D"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sym w:font="Symbol" w:char="F0B1"/>
            </w:r>
            <w:r w:rsidRPr="006431C4">
              <w:rPr>
                <w:rFonts w:ascii="Arial" w:hAnsi="Arial" w:cs="Arial"/>
              </w:rPr>
              <w:t xml:space="preserve"> 5</w:t>
            </w:r>
          </w:p>
        </w:tc>
        <w:tc>
          <w:tcPr>
            <w:tcW w:w="1665" w:type="dxa"/>
            <w:tcBorders>
              <w:top w:val="single" w:sz="6" w:space="0" w:color="auto"/>
              <w:left w:val="single" w:sz="6" w:space="0" w:color="auto"/>
              <w:bottom w:val="single" w:sz="6" w:space="0" w:color="auto"/>
              <w:right w:val="single" w:sz="6" w:space="0" w:color="auto"/>
            </w:tcBorders>
            <w:hideMark/>
          </w:tcPr>
          <w:p w14:paraId="1C61E2C7"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sym w:font="Symbol" w:char="F0B1"/>
            </w:r>
            <w:r w:rsidRPr="006431C4">
              <w:rPr>
                <w:rFonts w:ascii="Arial" w:hAnsi="Arial" w:cs="Arial"/>
              </w:rPr>
              <w:t xml:space="preserve"> 10</w:t>
            </w:r>
          </w:p>
        </w:tc>
      </w:tr>
      <w:tr w:rsidR="00E06E12" w:rsidRPr="006431C4" w14:paraId="1349E9E7" w14:textId="77777777" w:rsidTr="00D032BE">
        <w:tc>
          <w:tcPr>
            <w:tcW w:w="5379" w:type="dxa"/>
            <w:tcBorders>
              <w:top w:val="single" w:sz="6" w:space="0" w:color="auto"/>
              <w:left w:val="single" w:sz="6" w:space="0" w:color="auto"/>
              <w:bottom w:val="single" w:sz="6" w:space="0" w:color="auto"/>
              <w:right w:val="single" w:sz="6" w:space="0" w:color="auto"/>
            </w:tcBorders>
            <w:hideMark/>
          </w:tcPr>
          <w:p w14:paraId="743A384C"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 xml:space="preserve">Grubość konstrukcji nawierzchni </w:t>
            </w:r>
            <w:r w:rsidRPr="006431C4">
              <w:rPr>
                <w:rFonts w:ascii="Arial" w:hAnsi="Arial" w:cs="Arial"/>
                <w:vertAlign w:val="superscript"/>
              </w:rPr>
              <w:t>*)</w:t>
            </w:r>
            <w:r w:rsidRPr="006431C4">
              <w:rPr>
                <w:rFonts w:ascii="Arial" w:hAnsi="Arial" w:cs="Arial"/>
              </w:rPr>
              <w:t>, cm</w:t>
            </w:r>
          </w:p>
        </w:tc>
        <w:tc>
          <w:tcPr>
            <w:tcW w:w="1665" w:type="dxa"/>
            <w:tcBorders>
              <w:top w:val="single" w:sz="6" w:space="0" w:color="auto"/>
              <w:left w:val="single" w:sz="6" w:space="0" w:color="auto"/>
              <w:bottom w:val="single" w:sz="6" w:space="0" w:color="auto"/>
              <w:right w:val="single" w:sz="6" w:space="0" w:color="auto"/>
            </w:tcBorders>
            <w:hideMark/>
          </w:tcPr>
          <w:p w14:paraId="788EA3FB"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sym w:font="Symbol" w:char="F0B1"/>
            </w:r>
            <w:r w:rsidRPr="006431C4">
              <w:rPr>
                <w:rFonts w:ascii="Arial" w:hAnsi="Arial" w:cs="Arial"/>
              </w:rPr>
              <w:t xml:space="preserve"> 0,5</w:t>
            </w:r>
          </w:p>
        </w:tc>
        <w:tc>
          <w:tcPr>
            <w:tcW w:w="1665" w:type="dxa"/>
            <w:tcBorders>
              <w:top w:val="single" w:sz="6" w:space="0" w:color="auto"/>
              <w:left w:val="single" w:sz="6" w:space="0" w:color="auto"/>
              <w:bottom w:val="single" w:sz="6" w:space="0" w:color="auto"/>
              <w:right w:val="single" w:sz="6" w:space="0" w:color="auto"/>
            </w:tcBorders>
            <w:hideMark/>
          </w:tcPr>
          <w:p w14:paraId="1335D570"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sym w:font="Symbol" w:char="F0B1"/>
            </w:r>
            <w:r w:rsidRPr="006431C4">
              <w:rPr>
                <w:rFonts w:ascii="Arial" w:hAnsi="Arial" w:cs="Arial"/>
              </w:rPr>
              <w:t xml:space="preserve"> 2,0</w:t>
            </w:r>
          </w:p>
        </w:tc>
      </w:tr>
      <w:tr w:rsidR="00E06E12" w:rsidRPr="006431C4" w14:paraId="12338644" w14:textId="77777777" w:rsidTr="00D032BE">
        <w:tc>
          <w:tcPr>
            <w:tcW w:w="8709" w:type="dxa"/>
            <w:gridSpan w:val="3"/>
            <w:tcBorders>
              <w:top w:val="single" w:sz="6" w:space="0" w:color="auto"/>
              <w:left w:val="single" w:sz="6" w:space="0" w:color="auto"/>
              <w:bottom w:val="single" w:sz="6" w:space="0" w:color="auto"/>
              <w:right w:val="single" w:sz="6" w:space="0" w:color="auto"/>
            </w:tcBorders>
            <w:hideMark/>
          </w:tcPr>
          <w:p w14:paraId="159F0FF2"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 Odchylenia grubości konstrukcji nawierzchni zjazdu liczone dla łącznej grubości warstw</w:t>
            </w:r>
          </w:p>
        </w:tc>
      </w:tr>
    </w:tbl>
    <w:p w14:paraId="5DB29FE4" w14:textId="77777777" w:rsidR="00E06E12" w:rsidRPr="006431C4" w:rsidRDefault="00E06E12" w:rsidP="00270120">
      <w:pPr>
        <w:pStyle w:val="tekstost"/>
        <w:shd w:val="clear" w:color="auto" w:fill="FFFFFF" w:themeFill="background1"/>
        <w:tabs>
          <w:tab w:val="left" w:pos="142"/>
        </w:tabs>
        <w:rPr>
          <w:rFonts w:ascii="Arial" w:hAnsi="Arial" w:cs="Arial"/>
          <w:b/>
        </w:rPr>
      </w:pPr>
      <w:r w:rsidRPr="006431C4">
        <w:rPr>
          <w:rFonts w:ascii="Arial" w:hAnsi="Arial" w:cs="Arial"/>
          <w:b/>
        </w:rPr>
        <w:t>6.6. Ocena wyników badań</w:t>
      </w:r>
    </w:p>
    <w:p w14:paraId="28ACC8B8"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Wszystkie materiały muszą spełniać wymagania podane w punkcie 2.</w:t>
      </w:r>
    </w:p>
    <w:p w14:paraId="079CFAFC"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lastRenderedPageBreak/>
        <w:tab/>
        <w:t>Wszystkie elementy robót, które wykazują odstępstwa od postanowień</w:t>
      </w:r>
      <w:r w:rsidR="00180A26" w:rsidRPr="006431C4">
        <w:rPr>
          <w:rFonts w:ascii="Arial" w:hAnsi="Arial" w:cs="Arial"/>
        </w:rPr>
        <w:t xml:space="preserve"> SST</w:t>
      </w:r>
      <w:r w:rsidR="00E875CF" w:rsidRPr="006431C4">
        <w:rPr>
          <w:rFonts w:ascii="Arial" w:hAnsi="Arial" w:cs="Arial"/>
        </w:rPr>
        <w:t>,</w:t>
      </w:r>
      <w:r w:rsidRPr="006431C4">
        <w:rPr>
          <w:rFonts w:ascii="Arial" w:hAnsi="Arial" w:cs="Arial"/>
        </w:rPr>
        <w:t xml:space="preserve"> powinny być doprowadzone na koszt Wykonawcy do stanu zgodności z</w:t>
      </w:r>
      <w:r w:rsidR="00180A26" w:rsidRPr="006431C4">
        <w:rPr>
          <w:rFonts w:ascii="Arial" w:hAnsi="Arial" w:cs="Arial"/>
        </w:rPr>
        <w:t xml:space="preserve"> SST</w:t>
      </w:r>
      <w:r w:rsidR="00E875CF" w:rsidRPr="006431C4">
        <w:rPr>
          <w:rFonts w:ascii="Arial" w:hAnsi="Arial" w:cs="Arial"/>
        </w:rPr>
        <w:t>,</w:t>
      </w:r>
      <w:r w:rsidRPr="006431C4">
        <w:rPr>
          <w:rFonts w:ascii="Arial" w:hAnsi="Arial" w:cs="Arial"/>
        </w:rPr>
        <w:t xml:space="preserve"> a po przeprowadzeniu badań i pomiarów mogą być ponownie przedstawione do akceptacji Inżyniera.</w:t>
      </w:r>
    </w:p>
    <w:p w14:paraId="2C555B9B" w14:textId="77777777" w:rsidR="00E06E12" w:rsidRPr="006431C4" w:rsidRDefault="00E06E12" w:rsidP="00270120">
      <w:pPr>
        <w:pStyle w:val="tekstost"/>
        <w:shd w:val="clear" w:color="auto" w:fill="FFFFFF" w:themeFill="background1"/>
        <w:tabs>
          <w:tab w:val="left" w:pos="142"/>
        </w:tabs>
        <w:rPr>
          <w:rFonts w:ascii="Arial" w:hAnsi="Arial" w:cs="Arial"/>
          <w:b/>
        </w:rPr>
      </w:pPr>
      <w:bookmarkStart w:id="1109" w:name="_Toc451660801"/>
      <w:r w:rsidRPr="006431C4">
        <w:rPr>
          <w:rFonts w:ascii="Arial" w:hAnsi="Arial" w:cs="Arial"/>
          <w:b/>
        </w:rPr>
        <w:t>7. obmiar robót</w:t>
      </w:r>
      <w:bookmarkEnd w:id="1109"/>
    </w:p>
    <w:p w14:paraId="61A81CC7"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Jednostką obmiarową jest m</w:t>
      </w:r>
      <w:r w:rsidRPr="006431C4">
        <w:rPr>
          <w:rFonts w:ascii="Arial" w:hAnsi="Arial" w:cs="Arial"/>
          <w:vertAlign w:val="superscript"/>
        </w:rPr>
        <w:t>2</w:t>
      </w:r>
      <w:r w:rsidRPr="006431C4">
        <w:rPr>
          <w:rFonts w:ascii="Arial" w:hAnsi="Arial" w:cs="Arial"/>
        </w:rPr>
        <w:t xml:space="preserve"> (metr kwadratowy) wykonanej nawierzchni zjazdu, zgodnie z  dokumentacją projektową i pomiarami w terenie.</w:t>
      </w:r>
    </w:p>
    <w:p w14:paraId="0964E579" w14:textId="77777777" w:rsidR="00E06E12" w:rsidRPr="006431C4" w:rsidRDefault="00E06E12" w:rsidP="00270120">
      <w:pPr>
        <w:pStyle w:val="tekstost"/>
        <w:shd w:val="clear" w:color="auto" w:fill="FFFFFF" w:themeFill="background1"/>
        <w:tabs>
          <w:tab w:val="left" w:pos="142"/>
        </w:tabs>
        <w:rPr>
          <w:rFonts w:ascii="Arial" w:hAnsi="Arial" w:cs="Arial"/>
          <w:b/>
        </w:rPr>
      </w:pPr>
      <w:bookmarkStart w:id="1110" w:name="_Toc451660802"/>
      <w:r w:rsidRPr="006431C4">
        <w:rPr>
          <w:rFonts w:ascii="Arial" w:hAnsi="Arial" w:cs="Arial"/>
          <w:b/>
        </w:rPr>
        <w:t>8. odbiór robót</w:t>
      </w:r>
      <w:bookmarkEnd w:id="1110"/>
    </w:p>
    <w:p w14:paraId="7EC40B00"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Roboty objęte niniejszą</w:t>
      </w:r>
      <w:r w:rsidR="00180A26" w:rsidRPr="006431C4">
        <w:rPr>
          <w:rFonts w:ascii="Arial" w:hAnsi="Arial" w:cs="Arial"/>
        </w:rPr>
        <w:t xml:space="preserve"> SST </w:t>
      </w:r>
      <w:r w:rsidRPr="006431C4">
        <w:rPr>
          <w:rFonts w:ascii="Arial" w:hAnsi="Arial" w:cs="Arial"/>
        </w:rPr>
        <w:t>podlegają:</w:t>
      </w:r>
    </w:p>
    <w:p w14:paraId="41E6FA1B" w14:textId="77777777" w:rsidR="00E06E12" w:rsidRPr="006431C4" w:rsidRDefault="00E06E12" w:rsidP="00CF1E7D">
      <w:pPr>
        <w:pStyle w:val="tekstost"/>
        <w:numPr>
          <w:ilvl w:val="0"/>
          <w:numId w:val="91"/>
        </w:numPr>
        <w:shd w:val="clear" w:color="auto" w:fill="FFFFFF" w:themeFill="background1"/>
        <w:tabs>
          <w:tab w:val="left" w:pos="142"/>
        </w:tabs>
        <w:ind w:left="0" w:firstLine="0"/>
        <w:rPr>
          <w:rFonts w:ascii="Arial" w:hAnsi="Arial" w:cs="Arial"/>
        </w:rPr>
      </w:pPr>
      <w:r w:rsidRPr="006431C4">
        <w:rPr>
          <w:rFonts w:ascii="Arial" w:hAnsi="Arial" w:cs="Arial"/>
        </w:rPr>
        <w:t>odbiorowi robót zanikających i ulegających zakryciu, który powinien być dokonany po wykonaniu:</w:t>
      </w:r>
    </w:p>
    <w:p w14:paraId="5515C86E"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prac pomiarowych,</w:t>
      </w:r>
    </w:p>
    <w:p w14:paraId="3FB71002"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robót przygotowawczych,</w:t>
      </w:r>
    </w:p>
    <w:p w14:paraId="6CEDF3B7"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robót ziemnych i ewentualnie przepustów,</w:t>
      </w:r>
    </w:p>
    <w:p w14:paraId="7FABAF42" w14:textId="77777777" w:rsidR="00E06E12" w:rsidRPr="006431C4" w:rsidRDefault="00E06E12" w:rsidP="00CF1E7D">
      <w:pPr>
        <w:pStyle w:val="tekstost"/>
        <w:numPr>
          <w:ilvl w:val="0"/>
          <w:numId w:val="91"/>
        </w:numPr>
        <w:shd w:val="clear" w:color="auto" w:fill="FFFFFF" w:themeFill="background1"/>
        <w:tabs>
          <w:tab w:val="left" w:pos="142"/>
        </w:tabs>
        <w:ind w:left="0" w:firstLine="0"/>
        <w:rPr>
          <w:rFonts w:ascii="Arial" w:hAnsi="Arial" w:cs="Arial"/>
        </w:rPr>
      </w:pPr>
      <w:r w:rsidRPr="006431C4">
        <w:rPr>
          <w:rFonts w:ascii="Arial" w:hAnsi="Arial" w:cs="Arial"/>
        </w:rPr>
        <w:t>odbiorowi końcowemu,</w:t>
      </w:r>
    </w:p>
    <w:p w14:paraId="786F79E0" w14:textId="77777777" w:rsidR="00E06E12" w:rsidRPr="006431C4" w:rsidRDefault="00E06E12" w:rsidP="00CF1E7D">
      <w:pPr>
        <w:pStyle w:val="tekstost"/>
        <w:numPr>
          <w:ilvl w:val="0"/>
          <w:numId w:val="91"/>
        </w:numPr>
        <w:shd w:val="clear" w:color="auto" w:fill="FFFFFF" w:themeFill="background1"/>
        <w:tabs>
          <w:tab w:val="left" w:pos="142"/>
        </w:tabs>
        <w:ind w:left="0" w:firstLine="0"/>
        <w:rPr>
          <w:rFonts w:ascii="Arial" w:hAnsi="Arial" w:cs="Arial"/>
        </w:rPr>
      </w:pPr>
      <w:r w:rsidRPr="006431C4">
        <w:rPr>
          <w:rFonts w:ascii="Arial" w:hAnsi="Arial" w:cs="Arial"/>
        </w:rPr>
        <w:t>odbiorowi ostatecznemu.</w:t>
      </w:r>
    </w:p>
    <w:p w14:paraId="67A36CCD" w14:textId="77777777" w:rsidR="00E06E12" w:rsidRPr="006431C4" w:rsidRDefault="00E06E12" w:rsidP="00270120">
      <w:pPr>
        <w:pStyle w:val="tekstost"/>
        <w:shd w:val="clear" w:color="auto" w:fill="FFFFFF" w:themeFill="background1"/>
        <w:tabs>
          <w:tab w:val="left" w:pos="142"/>
        </w:tabs>
        <w:rPr>
          <w:rFonts w:ascii="Arial" w:hAnsi="Arial" w:cs="Arial"/>
          <w:b/>
        </w:rPr>
      </w:pPr>
      <w:bookmarkStart w:id="1111" w:name="_Toc451660803"/>
      <w:r w:rsidRPr="006431C4">
        <w:rPr>
          <w:rFonts w:ascii="Arial" w:hAnsi="Arial" w:cs="Arial"/>
          <w:b/>
        </w:rPr>
        <w:t>9. podstawa płatności</w:t>
      </w:r>
      <w:bookmarkEnd w:id="1111"/>
    </w:p>
    <w:p w14:paraId="0391DA01"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Płatność za m</w:t>
      </w:r>
      <w:r w:rsidRPr="006431C4">
        <w:rPr>
          <w:rFonts w:ascii="Arial" w:hAnsi="Arial" w:cs="Arial"/>
          <w:vertAlign w:val="superscript"/>
        </w:rPr>
        <w:t>2</w:t>
      </w:r>
      <w:r w:rsidRPr="006431C4">
        <w:rPr>
          <w:rFonts w:ascii="Arial" w:hAnsi="Arial" w:cs="Arial"/>
        </w:rPr>
        <w:t xml:space="preserve"> (metr kwadratowy) zjazdu należy przyjmować zgodnie z obmiarem i oceną jakości wykonanych  robót na podstawie wyników pomiarów i badań laboratoryjnych.</w:t>
      </w:r>
    </w:p>
    <w:p w14:paraId="0D651090"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Cena wykonania robót obejmuje:</w:t>
      </w:r>
    </w:p>
    <w:p w14:paraId="793920A0"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prace pomiarowe i roboty przygotowawcze,</w:t>
      </w:r>
    </w:p>
    <w:p w14:paraId="1FA5A2CC"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dostarczenie potrzebnych materiałów,</w:t>
      </w:r>
    </w:p>
    <w:p w14:paraId="30632B93"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wykonanie robót ziemnych i ewentualnie przepustów,</w:t>
      </w:r>
    </w:p>
    <w:p w14:paraId="678B7A78"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wykonanie konstrukcji nawierzchni (nawierzchni i ewentualnie podbudowy),</w:t>
      </w:r>
    </w:p>
    <w:p w14:paraId="6CE64627"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wykonanie robót wykończeniowych,</w:t>
      </w:r>
    </w:p>
    <w:p w14:paraId="591E29F9" w14:textId="77777777" w:rsidR="00E06E12" w:rsidRPr="006431C4" w:rsidRDefault="00E06E12" w:rsidP="00270120">
      <w:pPr>
        <w:pStyle w:val="tekstost"/>
        <w:numPr>
          <w:ilvl w:val="0"/>
          <w:numId w:val="4"/>
        </w:numPr>
        <w:shd w:val="clear" w:color="auto" w:fill="FFFFFF" w:themeFill="background1"/>
        <w:tabs>
          <w:tab w:val="left" w:pos="142"/>
        </w:tabs>
        <w:ind w:left="0" w:firstLine="0"/>
        <w:rPr>
          <w:rFonts w:ascii="Arial" w:hAnsi="Arial" w:cs="Arial"/>
        </w:rPr>
      </w:pPr>
      <w:r w:rsidRPr="006431C4">
        <w:rPr>
          <w:rFonts w:ascii="Arial" w:hAnsi="Arial" w:cs="Arial"/>
        </w:rPr>
        <w:t>przeprowadzenie pomiarów i badań laboratoryjnych wymaganych w specyfikacji technicznej.</w:t>
      </w:r>
    </w:p>
    <w:p w14:paraId="753D0D32" w14:textId="77777777" w:rsidR="00E06E12" w:rsidRPr="006431C4" w:rsidRDefault="00E06E12" w:rsidP="00270120">
      <w:pPr>
        <w:pStyle w:val="tekstost"/>
        <w:shd w:val="clear" w:color="auto" w:fill="FFFFFF" w:themeFill="background1"/>
        <w:tabs>
          <w:tab w:val="left" w:pos="142"/>
        </w:tabs>
        <w:rPr>
          <w:rFonts w:ascii="Arial" w:hAnsi="Arial" w:cs="Arial"/>
          <w:b/>
        </w:rPr>
      </w:pPr>
      <w:bookmarkStart w:id="1112" w:name="_Toc451660804"/>
      <w:r w:rsidRPr="006431C4">
        <w:rPr>
          <w:rFonts w:ascii="Arial" w:hAnsi="Arial" w:cs="Arial"/>
          <w:b/>
        </w:rPr>
        <w:t>10. przepisy związane</w:t>
      </w:r>
      <w:bookmarkEnd w:id="1112"/>
    </w:p>
    <w:p w14:paraId="42302BE7"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Normy i inne dokumenty wg odpowiednich</w:t>
      </w:r>
      <w:r w:rsidR="00180A26" w:rsidRPr="006431C4">
        <w:rPr>
          <w:rFonts w:ascii="Arial" w:hAnsi="Arial" w:cs="Arial"/>
        </w:rPr>
        <w:t xml:space="preserve"> SST</w:t>
      </w:r>
      <w:r w:rsidR="00E875CF" w:rsidRPr="006431C4">
        <w:rPr>
          <w:rFonts w:ascii="Arial" w:hAnsi="Arial" w:cs="Arial"/>
        </w:rPr>
        <w:t>,</w:t>
      </w:r>
      <w:r w:rsidRPr="006431C4">
        <w:rPr>
          <w:rFonts w:ascii="Arial" w:hAnsi="Arial" w:cs="Arial"/>
        </w:rPr>
        <w:t xml:space="preserve"> pr</w:t>
      </w:r>
      <w:r w:rsidR="00A07DEE" w:rsidRPr="006431C4">
        <w:rPr>
          <w:rFonts w:ascii="Arial" w:hAnsi="Arial" w:cs="Arial"/>
        </w:rPr>
        <w:t xml:space="preserve">zywołanych w </w:t>
      </w:r>
      <w:r w:rsidR="00BA62A8" w:rsidRPr="006431C4">
        <w:rPr>
          <w:rFonts w:ascii="Arial" w:hAnsi="Arial" w:cs="Arial"/>
        </w:rPr>
        <w:t xml:space="preserve">niniejszej szczegółowej specyfikacji </w:t>
      </w:r>
      <w:r w:rsidRPr="006431C4">
        <w:rPr>
          <w:rFonts w:ascii="Arial" w:hAnsi="Arial" w:cs="Arial"/>
        </w:rPr>
        <w:t>technicznej.</w:t>
      </w:r>
    </w:p>
    <w:p w14:paraId="4D1116C2" w14:textId="77777777" w:rsidR="00E06E12" w:rsidRPr="006431C4" w:rsidRDefault="00E06E12" w:rsidP="00270120">
      <w:pPr>
        <w:pStyle w:val="tekstost"/>
        <w:shd w:val="clear" w:color="auto" w:fill="FFFFFF" w:themeFill="background1"/>
        <w:tabs>
          <w:tab w:val="left" w:pos="142"/>
        </w:tabs>
        <w:rPr>
          <w:rFonts w:ascii="Arial" w:hAnsi="Arial" w:cs="Arial"/>
        </w:rPr>
      </w:pPr>
      <w:r w:rsidRPr="006431C4">
        <w:rPr>
          <w:rFonts w:ascii="Arial" w:hAnsi="Arial" w:cs="Arial"/>
        </w:rPr>
        <w:tab/>
        <w:t>Dodatkowo obowiązuje:</w:t>
      </w:r>
    </w:p>
    <w:p w14:paraId="23A2E227" w14:textId="77777777" w:rsidR="00E06E12" w:rsidRPr="006431C4" w:rsidRDefault="00E06E12" w:rsidP="00CF1E7D">
      <w:pPr>
        <w:pStyle w:val="tekstost"/>
        <w:numPr>
          <w:ilvl w:val="0"/>
          <w:numId w:val="92"/>
        </w:numPr>
        <w:shd w:val="clear" w:color="auto" w:fill="FFFFFF" w:themeFill="background1"/>
        <w:tabs>
          <w:tab w:val="left" w:pos="142"/>
        </w:tabs>
        <w:ind w:left="0" w:firstLine="0"/>
        <w:rPr>
          <w:rFonts w:ascii="Arial" w:hAnsi="Arial" w:cs="Arial"/>
        </w:rPr>
      </w:pPr>
      <w:r w:rsidRPr="006431C4">
        <w:rPr>
          <w:rFonts w:ascii="Arial" w:hAnsi="Arial" w:cs="Arial"/>
        </w:rPr>
        <w:t xml:space="preserve">KPED - Katalog powtarzalnych elementów drogowych, </w:t>
      </w:r>
      <w:proofErr w:type="spellStart"/>
      <w:r w:rsidRPr="006431C4">
        <w:rPr>
          <w:rFonts w:ascii="Arial" w:hAnsi="Arial" w:cs="Arial"/>
        </w:rPr>
        <w:t>CBPBDiM</w:t>
      </w:r>
      <w:proofErr w:type="spellEnd"/>
      <w:r w:rsidRPr="006431C4">
        <w:rPr>
          <w:rFonts w:ascii="Arial" w:hAnsi="Arial" w:cs="Arial"/>
        </w:rPr>
        <w:t xml:space="preserve"> „</w:t>
      </w:r>
      <w:proofErr w:type="spellStart"/>
      <w:r w:rsidRPr="006431C4">
        <w:rPr>
          <w:rFonts w:ascii="Arial" w:hAnsi="Arial" w:cs="Arial"/>
        </w:rPr>
        <w:t>Transprojekt</w:t>
      </w:r>
      <w:proofErr w:type="spellEnd"/>
      <w:r w:rsidRPr="006431C4">
        <w:rPr>
          <w:rFonts w:ascii="Arial" w:hAnsi="Arial" w:cs="Arial"/>
        </w:rPr>
        <w:t>”, Warszawa 1979-82.</w:t>
      </w:r>
    </w:p>
    <w:p w14:paraId="3ACAA532" w14:textId="77777777" w:rsidR="00E06E12" w:rsidRPr="006431C4" w:rsidRDefault="00E06E12" w:rsidP="00270120">
      <w:pPr>
        <w:pStyle w:val="tekstost"/>
        <w:shd w:val="clear" w:color="auto" w:fill="FFFFFF" w:themeFill="background1"/>
        <w:tabs>
          <w:tab w:val="left" w:pos="142"/>
        </w:tabs>
        <w:rPr>
          <w:rFonts w:ascii="Arial" w:hAnsi="Arial" w:cs="Arial"/>
        </w:rPr>
      </w:pPr>
    </w:p>
    <w:p w14:paraId="0B303D65" w14:textId="77777777" w:rsidR="00E00D82" w:rsidRPr="006431C4" w:rsidRDefault="00E00D82" w:rsidP="00270120">
      <w:pPr>
        <w:shd w:val="clear" w:color="auto" w:fill="FFFFFF" w:themeFill="background1"/>
        <w:spacing w:line="240" w:lineRule="auto"/>
        <w:jc w:val="both"/>
        <w:rPr>
          <w:rFonts w:cs="Arial"/>
        </w:rPr>
      </w:pPr>
    </w:p>
    <w:p w14:paraId="7FC5E130" w14:textId="77777777" w:rsidR="006C740A" w:rsidRPr="006431C4" w:rsidRDefault="006C740A" w:rsidP="00270120">
      <w:pPr>
        <w:pStyle w:val="Nagwek4"/>
        <w:shd w:val="clear" w:color="auto" w:fill="FFFFFF" w:themeFill="background1"/>
        <w:tabs>
          <w:tab w:val="left" w:pos="142"/>
        </w:tabs>
        <w:spacing w:line="240" w:lineRule="auto"/>
        <w:jc w:val="both"/>
        <w:rPr>
          <w:rFonts w:cs="Arial"/>
          <w:szCs w:val="20"/>
        </w:rPr>
      </w:pPr>
      <w:bookmarkStart w:id="1113" w:name="_Toc111635998"/>
      <w:r w:rsidRPr="006431C4">
        <w:rPr>
          <w:rFonts w:cs="Arial"/>
          <w:szCs w:val="20"/>
        </w:rPr>
        <w:t>T-01.01.01 – KANAŁ TECHNOLOGICZNY</w:t>
      </w:r>
      <w:bookmarkEnd w:id="1113"/>
    </w:p>
    <w:p w14:paraId="655CE965" w14:textId="77777777" w:rsidR="006C740A" w:rsidRPr="006431C4" w:rsidRDefault="006C740A" w:rsidP="00270120">
      <w:pPr>
        <w:pStyle w:val="Nagwek1"/>
        <w:shd w:val="clear" w:color="auto" w:fill="FFFFFF" w:themeFill="background1"/>
        <w:tabs>
          <w:tab w:val="left" w:pos="142"/>
        </w:tabs>
        <w:spacing w:line="240" w:lineRule="auto"/>
        <w:jc w:val="both"/>
        <w:rPr>
          <w:rFonts w:cs="Arial"/>
          <w:szCs w:val="20"/>
        </w:rPr>
      </w:pPr>
      <w:r w:rsidRPr="006431C4">
        <w:rPr>
          <w:rFonts w:cs="Arial"/>
          <w:szCs w:val="20"/>
        </w:rPr>
        <w:t>1. Wstęp</w:t>
      </w:r>
    </w:p>
    <w:p w14:paraId="3872A461" w14:textId="77777777" w:rsidR="006C740A" w:rsidRPr="006431C4" w:rsidRDefault="006C740A"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1.1. Przedmiot SST</w:t>
      </w:r>
    </w:p>
    <w:p w14:paraId="2118EB2A" w14:textId="77777777" w:rsidR="006C740A" w:rsidRPr="006431C4" w:rsidRDefault="006C740A" w:rsidP="00270120">
      <w:pPr>
        <w:pStyle w:val="Standardowytekst"/>
        <w:shd w:val="clear" w:color="auto" w:fill="FFFFFF" w:themeFill="background1"/>
        <w:tabs>
          <w:tab w:val="left" w:pos="142"/>
        </w:tabs>
        <w:rPr>
          <w:rFonts w:ascii="Arial" w:hAnsi="Arial" w:cs="Arial"/>
        </w:rPr>
      </w:pPr>
      <w:r w:rsidRPr="006431C4">
        <w:rPr>
          <w:rFonts w:ascii="Arial" w:hAnsi="Arial" w:cs="Arial"/>
        </w:rPr>
        <w:t>Przedmiotem niniejszej szczegółowej specyfikacji technicznej są wymagania ogólne dotyczące wykonania i odbioru zjazdów do gospodarstw i na drogi boczne.</w:t>
      </w:r>
    </w:p>
    <w:p w14:paraId="54028080" w14:textId="77777777" w:rsidR="006C740A" w:rsidRPr="006431C4" w:rsidRDefault="006C740A" w:rsidP="00270120">
      <w:pPr>
        <w:pStyle w:val="Nagwek2"/>
        <w:shd w:val="clear" w:color="auto" w:fill="FFFFFF" w:themeFill="background1"/>
        <w:tabs>
          <w:tab w:val="left" w:pos="142"/>
        </w:tabs>
        <w:spacing w:line="240" w:lineRule="auto"/>
        <w:jc w:val="both"/>
        <w:rPr>
          <w:rFonts w:cs="Arial"/>
          <w:szCs w:val="20"/>
        </w:rPr>
      </w:pPr>
      <w:r w:rsidRPr="006431C4">
        <w:rPr>
          <w:rFonts w:cs="Arial"/>
          <w:szCs w:val="20"/>
        </w:rPr>
        <w:t>1.2. Zakres stosowania SST</w:t>
      </w:r>
    </w:p>
    <w:p w14:paraId="7F088AF5" w14:textId="77777777" w:rsidR="006C740A" w:rsidRPr="006431C4" w:rsidRDefault="006C740A" w:rsidP="00270120">
      <w:pPr>
        <w:pStyle w:val="Tekstpodstawowyzwciciem"/>
        <w:shd w:val="clear" w:color="auto" w:fill="FFFFFF" w:themeFill="background1"/>
        <w:tabs>
          <w:tab w:val="left" w:pos="142"/>
        </w:tabs>
        <w:spacing w:line="240" w:lineRule="auto"/>
        <w:ind w:firstLine="0"/>
        <w:jc w:val="both"/>
        <w:rPr>
          <w:rFonts w:cs="Arial"/>
          <w:szCs w:val="20"/>
        </w:rPr>
      </w:pPr>
      <w:r w:rsidRPr="006431C4">
        <w:rPr>
          <w:rFonts w:cs="Arial"/>
          <w:szCs w:val="20"/>
        </w:rPr>
        <w:t xml:space="preserve">Niniejsza szczegółowa specyfikacja techniczna stanowi Dokument Przetargowy i Kontraktowy przy zlecaniu i realizacji robót dla inwestycji pn.: </w:t>
      </w:r>
    </w:p>
    <w:sdt>
      <w:sdtPr>
        <w:rPr>
          <w:rFonts w:cs="Arial"/>
          <w:szCs w:val="20"/>
        </w:rPr>
        <w:alias w:val="Temat"/>
        <w:tag w:val=""/>
        <w:id w:val="-1000963567"/>
        <w:placeholder>
          <w:docPart w:val="C5DC506E75E04876BC7BF628FCCF4CDD"/>
        </w:placeholder>
        <w:dataBinding w:prefixMappings="xmlns:ns0='http://purl.org/dc/elements/1.1/' xmlns:ns1='http://schemas.openxmlformats.org/package/2006/metadata/core-properties' " w:xpath="/ns1:coreProperties[1]/ns0:subject[1]" w:storeItemID="{6C3C8BC8-F283-45AE-878A-BAB7291924A1}"/>
        <w:text/>
      </w:sdtPr>
      <w:sdtEndPr/>
      <w:sdtContent>
        <w:p w14:paraId="05C7DEC1" w14:textId="2238127A" w:rsidR="006C740A" w:rsidRPr="006431C4" w:rsidRDefault="00484E05" w:rsidP="00270120">
          <w:pPr>
            <w:pStyle w:val="Tekstpodstawowyzwciciem"/>
            <w:shd w:val="clear" w:color="auto" w:fill="FFFFFF" w:themeFill="background1"/>
            <w:tabs>
              <w:tab w:val="left" w:pos="142"/>
            </w:tabs>
            <w:spacing w:line="240" w:lineRule="auto"/>
            <w:ind w:firstLine="0"/>
            <w:jc w:val="both"/>
            <w:rPr>
              <w:rFonts w:cs="Arial"/>
              <w:szCs w:val="20"/>
            </w:rPr>
          </w:pPr>
          <w:r>
            <w:rPr>
              <w:rFonts w:cs="Arial"/>
              <w:szCs w:val="20"/>
            </w:rPr>
            <w:t>„Przebudowa drogi wojewódzkiej nr 957 w miejscowości Jabłonka odc. referencyjny 100 w km 9+073.78 - 9+279.58 (budowa chodnika) "</w:t>
          </w:r>
        </w:p>
      </w:sdtContent>
    </w:sdt>
    <w:p w14:paraId="5FB94E6E" w14:textId="77777777" w:rsidR="006C740A" w:rsidRPr="006431C4" w:rsidRDefault="006C740A" w:rsidP="00270120">
      <w:pPr>
        <w:pStyle w:val="tekstost"/>
        <w:shd w:val="clear" w:color="auto" w:fill="FFFFFF" w:themeFill="background1"/>
        <w:tabs>
          <w:tab w:val="left" w:pos="142"/>
        </w:tabs>
        <w:rPr>
          <w:rFonts w:ascii="Arial" w:hAnsi="Arial" w:cs="Arial"/>
          <w:b/>
        </w:rPr>
      </w:pPr>
      <w:r w:rsidRPr="006431C4">
        <w:rPr>
          <w:rFonts w:ascii="Arial" w:hAnsi="Arial" w:cs="Arial"/>
          <w:b/>
        </w:rPr>
        <w:t>1.3. Zakres robót objętych SST</w:t>
      </w:r>
    </w:p>
    <w:p w14:paraId="6302B444" w14:textId="77777777" w:rsidR="006C740A" w:rsidRPr="006431C4" w:rsidRDefault="006C740A" w:rsidP="00CF1E7D">
      <w:pPr>
        <w:pStyle w:val="tekstost"/>
        <w:numPr>
          <w:ilvl w:val="0"/>
          <w:numId w:val="85"/>
        </w:numPr>
        <w:shd w:val="clear" w:color="auto" w:fill="FFFFFF" w:themeFill="background1"/>
        <w:tabs>
          <w:tab w:val="left" w:pos="142"/>
        </w:tabs>
        <w:rPr>
          <w:rFonts w:ascii="Arial" w:hAnsi="Arial" w:cs="Arial"/>
        </w:rPr>
      </w:pPr>
      <w:r w:rsidRPr="006431C4">
        <w:rPr>
          <w:rFonts w:ascii="Arial" w:hAnsi="Arial" w:cs="Arial"/>
        </w:rPr>
        <w:t>Zakres stosowania zjazdów</w:t>
      </w:r>
    </w:p>
    <w:p w14:paraId="79CA7A87" w14:textId="77777777" w:rsidR="00F557BB" w:rsidRPr="00F557BB" w:rsidRDefault="006C740A" w:rsidP="00270120">
      <w:pPr>
        <w:pStyle w:val="tekstost"/>
        <w:shd w:val="clear" w:color="auto" w:fill="FFFFFF" w:themeFill="background1"/>
        <w:tabs>
          <w:tab w:val="left" w:pos="142"/>
        </w:tabs>
        <w:rPr>
          <w:rFonts w:ascii="Arial" w:hAnsi="Arial" w:cs="Arial"/>
        </w:rPr>
      </w:pPr>
      <w:r w:rsidRPr="006431C4">
        <w:rPr>
          <w:rFonts w:ascii="Arial" w:hAnsi="Arial" w:cs="Arial"/>
        </w:rPr>
        <w:tab/>
        <w:t xml:space="preserve">Ustalenia zawarte w niniejszej szczegółowej specyfikacji dotyczą </w:t>
      </w:r>
      <w:r w:rsidR="00F557BB" w:rsidRPr="00F557BB">
        <w:rPr>
          <w:rFonts w:ascii="Arial" w:eastAsia="Calibri" w:hAnsi="Arial" w:cs="Arial"/>
          <w:lang w:eastAsia="en-US"/>
        </w:rPr>
        <w:t>czynno</w:t>
      </w:r>
      <w:r w:rsidR="00F557BB" w:rsidRPr="00F557BB">
        <w:rPr>
          <w:rFonts w:ascii="Arial" w:eastAsia="TimesNewRoman" w:hAnsi="Arial" w:cs="Arial"/>
          <w:lang w:eastAsia="en-US"/>
        </w:rPr>
        <w:t>ś</w:t>
      </w:r>
      <w:r w:rsidR="00F557BB" w:rsidRPr="00F557BB">
        <w:rPr>
          <w:rFonts w:ascii="Arial" w:eastAsia="Calibri" w:hAnsi="Arial" w:cs="Arial"/>
          <w:lang w:eastAsia="en-US"/>
        </w:rPr>
        <w:t>ci umo</w:t>
      </w:r>
      <w:r w:rsidR="00F557BB" w:rsidRPr="00F557BB">
        <w:rPr>
          <w:rFonts w:ascii="Arial" w:eastAsia="TimesNewRoman" w:hAnsi="Arial" w:cs="Arial"/>
          <w:lang w:eastAsia="en-US"/>
        </w:rPr>
        <w:t>ż</w:t>
      </w:r>
      <w:r w:rsidR="00F557BB" w:rsidRPr="00F557BB">
        <w:rPr>
          <w:rFonts w:ascii="Arial" w:eastAsia="Calibri" w:hAnsi="Arial" w:cs="Arial"/>
          <w:lang w:eastAsia="en-US"/>
        </w:rPr>
        <w:t>liwiaj</w:t>
      </w:r>
      <w:r w:rsidR="00F557BB" w:rsidRPr="00F557BB">
        <w:rPr>
          <w:rFonts w:ascii="Arial" w:eastAsia="TimesNewRoman" w:hAnsi="Arial" w:cs="Arial"/>
          <w:lang w:eastAsia="en-US"/>
        </w:rPr>
        <w:t>ą</w:t>
      </w:r>
      <w:r w:rsidR="00F557BB" w:rsidRPr="00F557BB">
        <w:rPr>
          <w:rFonts w:ascii="Arial" w:eastAsia="Calibri" w:hAnsi="Arial" w:cs="Arial"/>
          <w:lang w:eastAsia="en-US"/>
        </w:rPr>
        <w:t>ce budow</w:t>
      </w:r>
      <w:r w:rsidR="00F557BB" w:rsidRPr="00F557BB">
        <w:rPr>
          <w:rFonts w:ascii="Arial" w:eastAsia="TimesNewRoman" w:hAnsi="Arial" w:cs="Arial"/>
          <w:lang w:eastAsia="en-US"/>
        </w:rPr>
        <w:t xml:space="preserve">ę </w:t>
      </w:r>
      <w:r w:rsidR="00F557BB" w:rsidRPr="00F557BB">
        <w:rPr>
          <w:rFonts w:ascii="Arial" w:eastAsia="Calibri" w:hAnsi="Arial" w:cs="Arial"/>
          <w:lang w:eastAsia="en-US"/>
        </w:rPr>
        <w:t>kanalizacji kablowej wraz z kanalizacj</w:t>
      </w:r>
      <w:r w:rsidR="00F557BB" w:rsidRPr="00F557BB">
        <w:rPr>
          <w:rFonts w:ascii="Arial" w:eastAsia="TimesNewRoman" w:hAnsi="Arial" w:cs="Arial"/>
          <w:lang w:eastAsia="en-US"/>
        </w:rPr>
        <w:t xml:space="preserve">ą </w:t>
      </w:r>
      <w:r w:rsidR="00F557BB" w:rsidRPr="00F557BB">
        <w:rPr>
          <w:rFonts w:ascii="Arial" w:eastAsia="Calibri" w:hAnsi="Arial" w:cs="Arial"/>
          <w:lang w:eastAsia="en-US"/>
        </w:rPr>
        <w:t>wtórn</w:t>
      </w:r>
      <w:r w:rsidR="00F557BB" w:rsidRPr="00F557BB">
        <w:rPr>
          <w:rFonts w:ascii="Arial" w:eastAsia="TimesNewRoman" w:hAnsi="Arial" w:cs="Arial"/>
          <w:lang w:eastAsia="en-US"/>
        </w:rPr>
        <w:t>ą</w:t>
      </w:r>
      <w:r w:rsidR="00F557BB" w:rsidRPr="00F557BB">
        <w:rPr>
          <w:rFonts w:ascii="Arial" w:eastAsia="Calibri" w:hAnsi="Arial" w:cs="Arial"/>
          <w:lang w:eastAsia="en-US"/>
        </w:rPr>
        <w:t>, a w szczególno</w:t>
      </w:r>
      <w:r w:rsidR="00F557BB" w:rsidRPr="00F557BB">
        <w:rPr>
          <w:rFonts w:ascii="Arial" w:eastAsia="TimesNewRoman" w:hAnsi="Arial" w:cs="Arial"/>
          <w:lang w:eastAsia="en-US"/>
        </w:rPr>
        <w:t>ś</w:t>
      </w:r>
      <w:r w:rsidR="00F557BB" w:rsidRPr="00F557BB">
        <w:rPr>
          <w:rFonts w:ascii="Arial" w:eastAsia="Calibri" w:hAnsi="Arial" w:cs="Arial"/>
          <w:lang w:eastAsia="en-US"/>
        </w:rPr>
        <w:t>ci:</w:t>
      </w:r>
    </w:p>
    <w:p w14:paraId="67CB877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wykonanie wykopu pod studnie kablowe</w:t>
      </w:r>
    </w:p>
    <w:p w14:paraId="061925A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wykonanie wykopu pod rury</w:t>
      </w:r>
    </w:p>
    <w:p w14:paraId="0DC6DC8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budowa studni kablowych</w:t>
      </w:r>
    </w:p>
    <w:p w14:paraId="2105EA0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uło</w:t>
      </w:r>
      <w:r w:rsidRPr="00F557BB">
        <w:rPr>
          <w:rFonts w:eastAsia="TimesNewRoman" w:cs="Arial"/>
          <w:szCs w:val="20"/>
          <w:lang w:eastAsia="en-US"/>
        </w:rPr>
        <w:t>ż</w:t>
      </w:r>
      <w:r w:rsidRPr="00F557BB">
        <w:rPr>
          <w:rFonts w:eastAsia="Calibri" w:cs="Arial"/>
          <w:szCs w:val="20"/>
          <w:lang w:eastAsia="en-US"/>
        </w:rPr>
        <w:t>enie rur pomi</w:t>
      </w:r>
      <w:r w:rsidRPr="00F557BB">
        <w:rPr>
          <w:rFonts w:eastAsia="TimesNewRoman" w:cs="Arial"/>
          <w:szCs w:val="20"/>
          <w:lang w:eastAsia="en-US"/>
        </w:rPr>
        <w:t>ę</w:t>
      </w:r>
      <w:r w:rsidRPr="00F557BB">
        <w:rPr>
          <w:rFonts w:eastAsia="Calibri" w:cs="Arial"/>
          <w:szCs w:val="20"/>
          <w:lang w:eastAsia="en-US"/>
        </w:rPr>
        <w:t>dzy studniami</w:t>
      </w:r>
    </w:p>
    <w:p w14:paraId="7AEED11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uło</w:t>
      </w:r>
      <w:r w:rsidRPr="00F557BB">
        <w:rPr>
          <w:rFonts w:eastAsia="TimesNewRoman" w:cs="Arial"/>
          <w:szCs w:val="20"/>
          <w:lang w:eastAsia="en-US"/>
        </w:rPr>
        <w:t>ż</w:t>
      </w:r>
      <w:r w:rsidRPr="00F557BB">
        <w:rPr>
          <w:rFonts w:eastAsia="Calibri" w:cs="Arial"/>
          <w:szCs w:val="20"/>
          <w:lang w:eastAsia="en-US"/>
        </w:rPr>
        <w:t>enie rur ochronnych</w:t>
      </w:r>
    </w:p>
    <w:p w14:paraId="36D98B4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zasypanie wykopu z rurami</w:t>
      </w:r>
    </w:p>
    <w:p w14:paraId="52C0BD6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zasypanie wykopu wokół studni</w:t>
      </w:r>
    </w:p>
    <w:p w14:paraId="472E91A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 wykonanie </w:t>
      </w:r>
      <w:proofErr w:type="spellStart"/>
      <w:r w:rsidRPr="00F557BB">
        <w:rPr>
          <w:rFonts w:eastAsia="Calibri" w:cs="Arial"/>
          <w:szCs w:val="20"/>
          <w:lang w:eastAsia="en-US"/>
        </w:rPr>
        <w:t>przecisków</w:t>
      </w:r>
      <w:proofErr w:type="spellEnd"/>
      <w:r w:rsidRPr="00F557BB">
        <w:rPr>
          <w:rFonts w:eastAsia="Calibri" w:cs="Arial"/>
          <w:szCs w:val="20"/>
          <w:lang w:eastAsia="en-US"/>
        </w:rPr>
        <w:t xml:space="preserve"> i przewiertów pod przeszkodami terenowymi</w:t>
      </w:r>
    </w:p>
    <w:p w14:paraId="60976659"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1.4. Informacje o terenie budowy</w:t>
      </w:r>
    </w:p>
    <w:p w14:paraId="2B3E4FA2"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Teren budowy zlokalizowany jest si</w:t>
      </w:r>
      <w:r w:rsidRPr="00F557BB">
        <w:rPr>
          <w:rFonts w:eastAsia="TimesNewRoman" w:cs="Arial"/>
          <w:szCs w:val="20"/>
          <w:lang w:eastAsia="en-US"/>
        </w:rPr>
        <w:t xml:space="preserve">ę </w:t>
      </w:r>
      <w:r w:rsidRPr="00F557BB">
        <w:rPr>
          <w:rFonts w:eastAsia="Calibri" w:cs="Arial"/>
          <w:szCs w:val="20"/>
          <w:lang w:eastAsia="en-US"/>
        </w:rPr>
        <w:t>w pasach drogowych ulic. Na obszarze obj</w:t>
      </w:r>
      <w:r w:rsidRPr="00F557BB">
        <w:rPr>
          <w:rFonts w:eastAsia="TimesNewRoman" w:cs="Arial"/>
          <w:szCs w:val="20"/>
          <w:lang w:eastAsia="en-US"/>
        </w:rPr>
        <w:t>ę</w:t>
      </w:r>
      <w:r w:rsidRPr="00F557BB">
        <w:rPr>
          <w:rFonts w:eastAsia="Calibri" w:cs="Arial"/>
          <w:szCs w:val="20"/>
          <w:lang w:eastAsia="en-US"/>
        </w:rPr>
        <w:t>tym inwestycj</w:t>
      </w:r>
      <w:r w:rsidRPr="00F557BB">
        <w:rPr>
          <w:rFonts w:eastAsia="TimesNewRoman" w:cs="Arial"/>
          <w:szCs w:val="20"/>
          <w:lang w:eastAsia="en-US"/>
        </w:rPr>
        <w:t>ą</w:t>
      </w:r>
    </w:p>
    <w:p w14:paraId="1081B18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wyst</w:t>
      </w:r>
      <w:r w:rsidRPr="00F557BB">
        <w:rPr>
          <w:rFonts w:eastAsia="TimesNewRoman" w:cs="Arial"/>
          <w:szCs w:val="20"/>
          <w:lang w:eastAsia="en-US"/>
        </w:rPr>
        <w:t>ę</w:t>
      </w:r>
      <w:r w:rsidRPr="00F557BB">
        <w:rPr>
          <w:rFonts w:eastAsia="Calibri" w:cs="Arial"/>
          <w:szCs w:val="20"/>
          <w:lang w:eastAsia="en-US"/>
        </w:rPr>
        <w:t>puje uzbrojenie podziemne w postaci linii elektroenergetycznych, sieci i kanalizacji</w:t>
      </w:r>
    </w:p>
    <w:p w14:paraId="5A8439F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teletechnicznych, kanalizacji sanitarnych i deszczowych, wodoci</w:t>
      </w:r>
      <w:r w:rsidRPr="00F557BB">
        <w:rPr>
          <w:rFonts w:eastAsia="TimesNewRoman" w:cs="Arial"/>
          <w:szCs w:val="20"/>
          <w:lang w:eastAsia="en-US"/>
        </w:rPr>
        <w:t>ą</w:t>
      </w:r>
      <w:r w:rsidRPr="00F557BB">
        <w:rPr>
          <w:rFonts w:eastAsia="Calibri" w:cs="Arial"/>
          <w:szCs w:val="20"/>
          <w:lang w:eastAsia="en-US"/>
        </w:rPr>
        <w:t>gów, gazoci</w:t>
      </w:r>
      <w:r w:rsidRPr="00F557BB">
        <w:rPr>
          <w:rFonts w:eastAsia="TimesNewRoman" w:cs="Arial"/>
          <w:szCs w:val="20"/>
          <w:lang w:eastAsia="en-US"/>
        </w:rPr>
        <w:t>ą</w:t>
      </w:r>
      <w:r w:rsidRPr="00F557BB">
        <w:rPr>
          <w:rFonts w:eastAsia="Calibri" w:cs="Arial"/>
          <w:szCs w:val="20"/>
          <w:lang w:eastAsia="en-US"/>
        </w:rPr>
        <w:t>gów.</w:t>
      </w:r>
    </w:p>
    <w:p w14:paraId="1DAFD1B5"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1.5. Nazwy i kody</w:t>
      </w:r>
    </w:p>
    <w:p w14:paraId="7D0CC99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CPV 45 232300-5 Roboty budowlane i pomocnicze w zakresie linii telefonicznych i ci</w:t>
      </w:r>
      <w:r w:rsidRPr="00F557BB">
        <w:rPr>
          <w:rFonts w:eastAsia="TimesNewRoman" w:cs="Arial"/>
          <w:szCs w:val="20"/>
          <w:lang w:eastAsia="en-US"/>
        </w:rPr>
        <w:t>ą</w:t>
      </w:r>
      <w:r w:rsidRPr="00F557BB">
        <w:rPr>
          <w:rFonts w:eastAsia="Calibri" w:cs="Arial"/>
          <w:szCs w:val="20"/>
          <w:lang w:eastAsia="en-US"/>
        </w:rPr>
        <w:t>gów</w:t>
      </w:r>
    </w:p>
    <w:p w14:paraId="6E9EB8F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komunikacyjnych.</w:t>
      </w:r>
    </w:p>
    <w:p w14:paraId="5A29BE9B"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1.6. Określenia podstawowe</w:t>
      </w:r>
    </w:p>
    <w:p w14:paraId="0E821E0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Okre</w:t>
      </w:r>
      <w:r w:rsidRPr="00F557BB">
        <w:rPr>
          <w:rFonts w:eastAsia="TimesNewRoman" w:cs="Arial"/>
          <w:szCs w:val="20"/>
          <w:lang w:eastAsia="en-US"/>
        </w:rPr>
        <w:t>ś</w:t>
      </w:r>
      <w:r w:rsidRPr="00F557BB">
        <w:rPr>
          <w:rFonts w:eastAsia="Calibri" w:cs="Arial"/>
          <w:szCs w:val="20"/>
          <w:lang w:eastAsia="en-US"/>
        </w:rPr>
        <w:t>lenia podane w niniejszej specyfikacji technicznej s</w:t>
      </w:r>
      <w:r w:rsidRPr="00F557BB">
        <w:rPr>
          <w:rFonts w:eastAsia="TimesNewRoman" w:cs="Arial"/>
          <w:szCs w:val="20"/>
          <w:lang w:eastAsia="en-US"/>
        </w:rPr>
        <w:t xml:space="preserve">ą </w:t>
      </w:r>
      <w:r w:rsidRPr="00F557BB">
        <w:rPr>
          <w:rFonts w:eastAsia="Calibri" w:cs="Arial"/>
          <w:szCs w:val="20"/>
          <w:lang w:eastAsia="en-US"/>
        </w:rPr>
        <w:t>zgodne z odpowiednimi normami</w:t>
      </w:r>
    </w:p>
    <w:p w14:paraId="30C76EC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oraz definicjami podanymi poni</w:t>
      </w:r>
      <w:r w:rsidRPr="00F557BB">
        <w:rPr>
          <w:rFonts w:eastAsia="TimesNewRoman" w:cs="Arial"/>
          <w:szCs w:val="20"/>
          <w:lang w:eastAsia="en-US"/>
        </w:rPr>
        <w:t>ż</w:t>
      </w:r>
      <w:r w:rsidRPr="00F557BB">
        <w:rPr>
          <w:rFonts w:eastAsia="Calibri" w:cs="Arial"/>
          <w:szCs w:val="20"/>
          <w:lang w:eastAsia="en-US"/>
        </w:rPr>
        <w:t>ej:</w:t>
      </w:r>
    </w:p>
    <w:p w14:paraId="6DF0A50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b/>
          <w:bCs/>
          <w:szCs w:val="20"/>
          <w:lang w:eastAsia="en-US"/>
        </w:rPr>
        <w:t>Przelot kanalizacji kablowej</w:t>
      </w:r>
      <w:r w:rsidRPr="00F557BB">
        <w:rPr>
          <w:rFonts w:eastAsia="Calibri" w:cs="Arial"/>
          <w:szCs w:val="20"/>
          <w:lang w:eastAsia="en-US"/>
        </w:rPr>
        <w:t>- cz</w:t>
      </w:r>
      <w:r w:rsidRPr="00F557BB">
        <w:rPr>
          <w:rFonts w:eastAsia="TimesNewRoman" w:cs="Arial"/>
          <w:szCs w:val="20"/>
          <w:lang w:eastAsia="en-US"/>
        </w:rPr>
        <w:t xml:space="preserve">ęść </w:t>
      </w:r>
      <w:r w:rsidRPr="00F557BB">
        <w:rPr>
          <w:rFonts w:eastAsia="Calibri" w:cs="Arial"/>
          <w:szCs w:val="20"/>
          <w:lang w:eastAsia="en-US"/>
        </w:rPr>
        <w:t>ci</w:t>
      </w:r>
      <w:r w:rsidRPr="00F557BB">
        <w:rPr>
          <w:rFonts w:eastAsia="TimesNewRoman" w:cs="Arial"/>
          <w:szCs w:val="20"/>
          <w:lang w:eastAsia="en-US"/>
        </w:rPr>
        <w:t>ą</w:t>
      </w:r>
      <w:r w:rsidRPr="00F557BB">
        <w:rPr>
          <w:rFonts w:eastAsia="Calibri" w:cs="Arial"/>
          <w:szCs w:val="20"/>
          <w:lang w:eastAsia="en-US"/>
        </w:rPr>
        <w:t>gu kanalizacji kablowej zawarta mi</w:t>
      </w:r>
      <w:r w:rsidRPr="00F557BB">
        <w:rPr>
          <w:rFonts w:eastAsia="TimesNewRoman" w:cs="Arial"/>
          <w:szCs w:val="20"/>
          <w:lang w:eastAsia="en-US"/>
        </w:rPr>
        <w:t>ę</w:t>
      </w:r>
      <w:r w:rsidRPr="00F557BB">
        <w:rPr>
          <w:rFonts w:eastAsia="Calibri" w:cs="Arial"/>
          <w:szCs w:val="20"/>
          <w:lang w:eastAsia="en-US"/>
        </w:rPr>
        <w:t>dzy s</w:t>
      </w:r>
      <w:r w:rsidRPr="00F557BB">
        <w:rPr>
          <w:rFonts w:eastAsia="TimesNewRoman" w:cs="Arial"/>
          <w:szCs w:val="20"/>
          <w:lang w:eastAsia="en-US"/>
        </w:rPr>
        <w:t>ą</w:t>
      </w:r>
      <w:r w:rsidRPr="00F557BB">
        <w:rPr>
          <w:rFonts w:eastAsia="Calibri" w:cs="Arial"/>
          <w:szCs w:val="20"/>
          <w:lang w:eastAsia="en-US"/>
        </w:rPr>
        <w:t>siednimi</w:t>
      </w:r>
    </w:p>
    <w:p w14:paraId="43F7B8E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studniami o długo</w:t>
      </w:r>
      <w:r w:rsidRPr="00F557BB">
        <w:rPr>
          <w:rFonts w:eastAsia="TimesNewRoman" w:cs="Arial"/>
          <w:szCs w:val="20"/>
          <w:lang w:eastAsia="en-US"/>
        </w:rPr>
        <w:t>ś</w:t>
      </w:r>
      <w:r w:rsidRPr="00F557BB">
        <w:rPr>
          <w:rFonts w:eastAsia="Calibri" w:cs="Arial"/>
          <w:szCs w:val="20"/>
          <w:lang w:eastAsia="en-US"/>
        </w:rPr>
        <w:t>ci mierzonej wzdłu</w:t>
      </w:r>
      <w:r w:rsidRPr="00F557BB">
        <w:rPr>
          <w:rFonts w:eastAsia="TimesNewRoman" w:cs="Arial"/>
          <w:szCs w:val="20"/>
          <w:lang w:eastAsia="en-US"/>
        </w:rPr>
        <w:t xml:space="preserve">ż </w:t>
      </w:r>
      <w:r w:rsidRPr="00F557BB">
        <w:rPr>
          <w:rFonts w:eastAsia="Calibri" w:cs="Arial"/>
          <w:szCs w:val="20"/>
          <w:lang w:eastAsia="en-US"/>
        </w:rPr>
        <w:t>ci</w:t>
      </w:r>
      <w:r w:rsidRPr="00F557BB">
        <w:rPr>
          <w:rFonts w:eastAsia="TimesNewRoman" w:cs="Arial"/>
          <w:szCs w:val="20"/>
          <w:lang w:eastAsia="en-US"/>
        </w:rPr>
        <w:t>ą</w:t>
      </w:r>
      <w:r w:rsidRPr="00F557BB">
        <w:rPr>
          <w:rFonts w:eastAsia="Calibri" w:cs="Arial"/>
          <w:szCs w:val="20"/>
          <w:lang w:eastAsia="en-US"/>
        </w:rPr>
        <w:t>gu rur, mi</w:t>
      </w:r>
      <w:r w:rsidRPr="00F557BB">
        <w:rPr>
          <w:rFonts w:eastAsia="TimesNewRoman" w:cs="Arial"/>
          <w:szCs w:val="20"/>
          <w:lang w:eastAsia="en-US"/>
        </w:rPr>
        <w:t>ę</w:t>
      </w:r>
      <w:r w:rsidRPr="00F557BB">
        <w:rPr>
          <w:rFonts w:eastAsia="Calibri" w:cs="Arial"/>
          <w:szCs w:val="20"/>
          <w:lang w:eastAsia="en-US"/>
        </w:rPr>
        <w:t xml:space="preserve">dzy </w:t>
      </w:r>
      <w:r w:rsidRPr="00F557BB">
        <w:rPr>
          <w:rFonts w:eastAsia="TimesNewRoman" w:cs="Arial"/>
          <w:szCs w:val="20"/>
          <w:lang w:eastAsia="en-US"/>
        </w:rPr>
        <w:t>ś</w:t>
      </w:r>
      <w:r w:rsidRPr="00F557BB">
        <w:rPr>
          <w:rFonts w:eastAsia="Calibri" w:cs="Arial"/>
          <w:szCs w:val="20"/>
          <w:lang w:eastAsia="en-US"/>
        </w:rPr>
        <w:t>rodkami pokryw studni.</w:t>
      </w:r>
    </w:p>
    <w:p w14:paraId="117CB0EA"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b/>
          <w:bCs/>
          <w:szCs w:val="20"/>
          <w:lang w:eastAsia="en-US"/>
        </w:rPr>
        <w:lastRenderedPageBreak/>
        <w:t>Ciąg kanalizacji kablowej</w:t>
      </w:r>
      <w:r w:rsidRPr="00F557BB">
        <w:rPr>
          <w:rFonts w:eastAsia="Calibri" w:cs="Arial"/>
          <w:szCs w:val="20"/>
          <w:lang w:eastAsia="en-US"/>
        </w:rPr>
        <w:t>- zespół uło</w:t>
      </w:r>
      <w:r w:rsidRPr="00F557BB">
        <w:rPr>
          <w:rFonts w:eastAsia="TimesNewRoman" w:cs="Arial"/>
          <w:szCs w:val="20"/>
          <w:lang w:eastAsia="en-US"/>
        </w:rPr>
        <w:t>ż</w:t>
      </w:r>
      <w:r w:rsidRPr="00F557BB">
        <w:rPr>
          <w:rFonts w:eastAsia="Calibri" w:cs="Arial"/>
          <w:szCs w:val="20"/>
          <w:lang w:eastAsia="en-US"/>
        </w:rPr>
        <w:t>onych jedna za drug</w:t>
      </w:r>
      <w:r w:rsidRPr="00F557BB">
        <w:rPr>
          <w:rFonts w:eastAsia="TimesNewRoman" w:cs="Arial"/>
          <w:szCs w:val="20"/>
          <w:lang w:eastAsia="en-US"/>
        </w:rPr>
        <w:t xml:space="preserve">ą </w:t>
      </w:r>
      <w:r w:rsidRPr="00F557BB">
        <w:rPr>
          <w:rFonts w:eastAsia="Calibri" w:cs="Arial"/>
          <w:szCs w:val="20"/>
          <w:lang w:eastAsia="en-US"/>
        </w:rPr>
        <w:t>i poł</w:t>
      </w:r>
      <w:r w:rsidRPr="00F557BB">
        <w:rPr>
          <w:rFonts w:eastAsia="TimesNewRoman" w:cs="Arial"/>
          <w:szCs w:val="20"/>
          <w:lang w:eastAsia="en-US"/>
        </w:rPr>
        <w:t>ą</w:t>
      </w:r>
      <w:r w:rsidRPr="00F557BB">
        <w:rPr>
          <w:rFonts w:eastAsia="Calibri" w:cs="Arial"/>
          <w:szCs w:val="20"/>
          <w:lang w:eastAsia="en-US"/>
        </w:rPr>
        <w:t>czonych ze sob</w:t>
      </w:r>
      <w:r w:rsidRPr="00F557BB">
        <w:rPr>
          <w:rFonts w:eastAsia="TimesNewRoman" w:cs="Arial"/>
          <w:szCs w:val="20"/>
          <w:lang w:eastAsia="en-US"/>
        </w:rPr>
        <w:t>ą</w:t>
      </w:r>
    </w:p>
    <w:p w14:paraId="779BA95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pojedynczych rur kanalizacyjnych tworz</w:t>
      </w:r>
      <w:r w:rsidRPr="00F557BB">
        <w:rPr>
          <w:rFonts w:eastAsia="TimesNewRoman" w:cs="Arial"/>
          <w:szCs w:val="20"/>
          <w:lang w:eastAsia="en-US"/>
        </w:rPr>
        <w:t>ą</w:t>
      </w:r>
      <w:r w:rsidRPr="00F557BB">
        <w:rPr>
          <w:rFonts w:eastAsia="Calibri" w:cs="Arial"/>
          <w:szCs w:val="20"/>
          <w:lang w:eastAsia="en-US"/>
        </w:rPr>
        <w:t>cych kanał do uło</w:t>
      </w:r>
      <w:r w:rsidRPr="00F557BB">
        <w:rPr>
          <w:rFonts w:eastAsia="TimesNewRoman" w:cs="Arial"/>
          <w:szCs w:val="20"/>
          <w:lang w:eastAsia="en-US"/>
        </w:rPr>
        <w:t>ż</w:t>
      </w:r>
      <w:r w:rsidRPr="00F557BB">
        <w:rPr>
          <w:rFonts w:eastAsia="Calibri" w:cs="Arial"/>
          <w:szCs w:val="20"/>
          <w:lang w:eastAsia="en-US"/>
        </w:rPr>
        <w:t>enia w nim kabli</w:t>
      </w:r>
    </w:p>
    <w:p w14:paraId="29BB7DF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telekomunikacyjnych.</w:t>
      </w:r>
    </w:p>
    <w:p w14:paraId="18DD2C9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b/>
          <w:bCs/>
          <w:szCs w:val="20"/>
          <w:lang w:eastAsia="en-US"/>
        </w:rPr>
        <w:t xml:space="preserve">Złączka rurowa </w:t>
      </w:r>
      <w:r w:rsidRPr="00F557BB">
        <w:rPr>
          <w:rFonts w:eastAsia="Calibri" w:cs="Arial"/>
          <w:szCs w:val="20"/>
          <w:lang w:eastAsia="en-US"/>
        </w:rPr>
        <w:t>– element osprz</w:t>
      </w:r>
      <w:r w:rsidRPr="00F557BB">
        <w:rPr>
          <w:rFonts w:eastAsia="TimesNewRoman" w:cs="Arial"/>
          <w:szCs w:val="20"/>
          <w:lang w:eastAsia="en-US"/>
        </w:rPr>
        <w:t>ę</w:t>
      </w:r>
      <w:r w:rsidRPr="00F557BB">
        <w:rPr>
          <w:rFonts w:eastAsia="Calibri" w:cs="Arial"/>
          <w:szCs w:val="20"/>
          <w:lang w:eastAsia="en-US"/>
        </w:rPr>
        <w:t>tu słu</w:t>
      </w:r>
      <w:r w:rsidRPr="00F557BB">
        <w:rPr>
          <w:rFonts w:eastAsia="TimesNewRoman" w:cs="Arial"/>
          <w:szCs w:val="20"/>
          <w:lang w:eastAsia="en-US"/>
        </w:rPr>
        <w:t>żą</w:t>
      </w:r>
      <w:r w:rsidRPr="00F557BB">
        <w:rPr>
          <w:rFonts w:eastAsia="Calibri" w:cs="Arial"/>
          <w:szCs w:val="20"/>
          <w:lang w:eastAsia="en-US"/>
        </w:rPr>
        <w:t>cy do poł</w:t>
      </w:r>
      <w:r w:rsidRPr="00F557BB">
        <w:rPr>
          <w:rFonts w:eastAsia="TimesNewRoman" w:cs="Arial"/>
          <w:szCs w:val="20"/>
          <w:lang w:eastAsia="en-US"/>
        </w:rPr>
        <w:t>ą</w:t>
      </w:r>
      <w:r w:rsidRPr="00F557BB">
        <w:rPr>
          <w:rFonts w:eastAsia="Calibri" w:cs="Arial"/>
          <w:szCs w:val="20"/>
          <w:lang w:eastAsia="en-US"/>
        </w:rPr>
        <w:t>czenia rur polietylenowych lub innych, z</w:t>
      </w:r>
    </w:p>
    <w:p w14:paraId="7804D3AD"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których budowana jest kanalizacja pierwotna, wtórna lub ruroci</w:t>
      </w:r>
      <w:r w:rsidRPr="00F557BB">
        <w:rPr>
          <w:rFonts w:eastAsia="TimesNewRoman" w:cs="Arial"/>
          <w:szCs w:val="20"/>
          <w:lang w:eastAsia="en-US"/>
        </w:rPr>
        <w:t>ą</w:t>
      </w:r>
      <w:r w:rsidRPr="00F557BB">
        <w:rPr>
          <w:rFonts w:eastAsia="Calibri" w:cs="Arial"/>
          <w:szCs w:val="20"/>
          <w:lang w:eastAsia="en-US"/>
        </w:rPr>
        <w:t>g kablowy.</w:t>
      </w:r>
    </w:p>
    <w:p w14:paraId="6C399BD7"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p>
    <w:p w14:paraId="791C7B04"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 Ogólne wymagania dotyczące robót</w:t>
      </w:r>
    </w:p>
    <w:p w14:paraId="54A848A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jest odpowiedzialny za jako</w:t>
      </w:r>
      <w:r w:rsidRPr="00F557BB">
        <w:rPr>
          <w:rFonts w:eastAsia="TimesNewRoman" w:cs="Arial"/>
          <w:szCs w:val="20"/>
          <w:lang w:eastAsia="en-US"/>
        </w:rPr>
        <w:t xml:space="preserve">ść </w:t>
      </w:r>
      <w:r w:rsidRPr="00F557BB">
        <w:rPr>
          <w:rFonts w:eastAsia="Calibri" w:cs="Arial"/>
          <w:szCs w:val="20"/>
          <w:lang w:eastAsia="en-US"/>
        </w:rPr>
        <w:t>wykonanych robót oraz za ich zgodno</w:t>
      </w:r>
      <w:r w:rsidRPr="00F557BB">
        <w:rPr>
          <w:rFonts w:eastAsia="TimesNewRoman" w:cs="Arial"/>
          <w:szCs w:val="20"/>
          <w:lang w:eastAsia="en-US"/>
        </w:rPr>
        <w:t xml:space="preserve">ść </w:t>
      </w:r>
      <w:r w:rsidRPr="00F557BB">
        <w:rPr>
          <w:rFonts w:eastAsia="Calibri" w:cs="Arial"/>
          <w:szCs w:val="20"/>
          <w:lang w:eastAsia="en-US"/>
        </w:rPr>
        <w:t>z</w:t>
      </w:r>
    </w:p>
    <w:p w14:paraId="56F826C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dokumentacj</w:t>
      </w:r>
      <w:r w:rsidRPr="00F557BB">
        <w:rPr>
          <w:rFonts w:eastAsia="TimesNewRoman" w:cs="Arial"/>
          <w:szCs w:val="20"/>
          <w:lang w:eastAsia="en-US"/>
        </w:rPr>
        <w:t xml:space="preserve">ą </w:t>
      </w:r>
      <w:r w:rsidRPr="00F557BB">
        <w:rPr>
          <w:rFonts w:eastAsia="Calibri" w:cs="Arial"/>
          <w:szCs w:val="20"/>
          <w:lang w:eastAsia="en-US"/>
        </w:rPr>
        <w:t>projektow</w:t>
      </w:r>
      <w:r w:rsidRPr="00F557BB">
        <w:rPr>
          <w:rFonts w:eastAsia="TimesNewRoman" w:cs="Arial"/>
          <w:szCs w:val="20"/>
          <w:lang w:eastAsia="en-US"/>
        </w:rPr>
        <w:t>ą</w:t>
      </w:r>
      <w:r w:rsidRPr="00F557BB">
        <w:rPr>
          <w:rFonts w:eastAsia="Calibri" w:cs="Arial"/>
          <w:szCs w:val="20"/>
          <w:lang w:eastAsia="en-US"/>
        </w:rPr>
        <w:t>, ST i poleceniami In</w:t>
      </w:r>
      <w:r w:rsidRPr="00F557BB">
        <w:rPr>
          <w:rFonts w:eastAsia="TimesNewRoman" w:cs="Arial"/>
          <w:szCs w:val="20"/>
          <w:lang w:eastAsia="en-US"/>
        </w:rPr>
        <w:t>ż</w:t>
      </w:r>
      <w:r w:rsidRPr="00F557BB">
        <w:rPr>
          <w:rFonts w:eastAsia="Calibri" w:cs="Arial"/>
          <w:szCs w:val="20"/>
          <w:lang w:eastAsia="en-US"/>
        </w:rPr>
        <w:t>yniera/Kierownika Projektu.</w:t>
      </w:r>
    </w:p>
    <w:p w14:paraId="08F480A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jest odpowiedzialny za bezpiecze</w:t>
      </w:r>
      <w:r w:rsidRPr="00F557BB">
        <w:rPr>
          <w:rFonts w:eastAsia="TimesNewRoman" w:cs="Arial"/>
          <w:szCs w:val="20"/>
          <w:lang w:eastAsia="en-US"/>
        </w:rPr>
        <w:t>ń</w:t>
      </w:r>
      <w:r w:rsidRPr="00F557BB">
        <w:rPr>
          <w:rFonts w:eastAsia="Calibri" w:cs="Arial"/>
          <w:szCs w:val="20"/>
          <w:lang w:eastAsia="en-US"/>
        </w:rPr>
        <w:t>stwo wszelkich czynno</w:t>
      </w:r>
      <w:r w:rsidRPr="00F557BB">
        <w:rPr>
          <w:rFonts w:eastAsia="TimesNewRoman" w:cs="Arial"/>
          <w:szCs w:val="20"/>
          <w:lang w:eastAsia="en-US"/>
        </w:rPr>
        <w:t>ś</w:t>
      </w:r>
      <w:r w:rsidRPr="00F557BB">
        <w:rPr>
          <w:rFonts w:eastAsia="Calibri" w:cs="Arial"/>
          <w:szCs w:val="20"/>
          <w:lang w:eastAsia="en-US"/>
        </w:rPr>
        <w:t>ci na terenie budowy i</w:t>
      </w:r>
    </w:p>
    <w:p w14:paraId="26F850C6"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terenie przyległym do budowy oraz bezpiecze</w:t>
      </w:r>
      <w:r w:rsidRPr="00F557BB">
        <w:rPr>
          <w:rFonts w:eastAsia="TimesNewRoman" w:cs="Arial"/>
          <w:szCs w:val="20"/>
          <w:lang w:eastAsia="en-US"/>
        </w:rPr>
        <w:t>ń</w:t>
      </w:r>
      <w:r w:rsidRPr="00F557BB">
        <w:rPr>
          <w:rFonts w:eastAsia="Calibri" w:cs="Arial"/>
          <w:szCs w:val="20"/>
          <w:lang w:eastAsia="en-US"/>
        </w:rPr>
        <w:t>stwo terenów, na których mog</w:t>
      </w:r>
      <w:r w:rsidRPr="00F557BB">
        <w:rPr>
          <w:rFonts w:eastAsia="TimesNewRoman" w:cs="Arial"/>
          <w:szCs w:val="20"/>
          <w:lang w:eastAsia="en-US"/>
        </w:rPr>
        <w:t xml:space="preserve">ą </w:t>
      </w:r>
      <w:r w:rsidRPr="00F557BB">
        <w:rPr>
          <w:rFonts w:eastAsia="Calibri" w:cs="Arial"/>
          <w:szCs w:val="20"/>
          <w:lang w:eastAsia="en-US"/>
        </w:rPr>
        <w:t>wyst</w:t>
      </w:r>
      <w:r w:rsidRPr="00F557BB">
        <w:rPr>
          <w:rFonts w:eastAsia="TimesNewRoman" w:cs="Arial"/>
          <w:szCs w:val="20"/>
          <w:lang w:eastAsia="en-US"/>
        </w:rPr>
        <w:t>ą</w:t>
      </w:r>
      <w:r w:rsidRPr="00F557BB">
        <w:rPr>
          <w:rFonts w:eastAsia="Calibri" w:cs="Arial"/>
          <w:szCs w:val="20"/>
          <w:lang w:eastAsia="en-US"/>
        </w:rPr>
        <w:t>pi</w:t>
      </w:r>
      <w:r w:rsidRPr="00F557BB">
        <w:rPr>
          <w:rFonts w:eastAsia="TimesNewRoman" w:cs="Arial"/>
          <w:szCs w:val="20"/>
          <w:lang w:eastAsia="en-US"/>
        </w:rPr>
        <w:t>ć</w:t>
      </w:r>
    </w:p>
    <w:p w14:paraId="1F3F880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zagro</w:t>
      </w:r>
      <w:r w:rsidRPr="00F557BB">
        <w:rPr>
          <w:rFonts w:eastAsia="TimesNewRoman" w:cs="Arial"/>
          <w:szCs w:val="20"/>
          <w:lang w:eastAsia="en-US"/>
        </w:rPr>
        <w:t>ż</w:t>
      </w:r>
      <w:r w:rsidRPr="00F557BB">
        <w:rPr>
          <w:rFonts w:eastAsia="Calibri" w:cs="Arial"/>
          <w:szCs w:val="20"/>
          <w:lang w:eastAsia="en-US"/>
        </w:rPr>
        <w:t>enia dla ludzi i mienia w zwi</w:t>
      </w:r>
      <w:r w:rsidRPr="00F557BB">
        <w:rPr>
          <w:rFonts w:eastAsia="TimesNewRoman" w:cs="Arial"/>
          <w:szCs w:val="20"/>
          <w:lang w:eastAsia="en-US"/>
        </w:rPr>
        <w:t>ą</w:t>
      </w:r>
      <w:r w:rsidRPr="00F557BB">
        <w:rPr>
          <w:rFonts w:eastAsia="Calibri" w:cs="Arial"/>
          <w:szCs w:val="20"/>
          <w:lang w:eastAsia="en-US"/>
        </w:rPr>
        <w:t>zku z prowadzonymi robotami.</w:t>
      </w:r>
    </w:p>
    <w:p w14:paraId="63536FE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Metody u</w:t>
      </w:r>
      <w:r w:rsidRPr="00F557BB">
        <w:rPr>
          <w:rFonts w:eastAsia="TimesNewRoman" w:cs="Arial"/>
          <w:szCs w:val="20"/>
          <w:lang w:eastAsia="en-US"/>
        </w:rPr>
        <w:t>ż</w:t>
      </w:r>
      <w:r w:rsidRPr="00F557BB">
        <w:rPr>
          <w:rFonts w:eastAsia="Calibri" w:cs="Arial"/>
          <w:szCs w:val="20"/>
          <w:lang w:eastAsia="en-US"/>
        </w:rPr>
        <w:t>yte przy budowie wyra</w:t>
      </w:r>
      <w:r w:rsidRPr="00F557BB">
        <w:rPr>
          <w:rFonts w:eastAsia="TimesNewRoman" w:cs="Arial"/>
          <w:szCs w:val="20"/>
          <w:lang w:eastAsia="en-US"/>
        </w:rPr>
        <w:t>ż</w:t>
      </w:r>
      <w:r w:rsidRPr="00F557BB">
        <w:rPr>
          <w:rFonts w:eastAsia="Calibri" w:cs="Arial"/>
          <w:szCs w:val="20"/>
          <w:lang w:eastAsia="en-US"/>
        </w:rPr>
        <w:t>aj</w:t>
      </w:r>
      <w:r w:rsidRPr="00F557BB">
        <w:rPr>
          <w:rFonts w:eastAsia="TimesNewRoman" w:cs="Arial"/>
          <w:szCs w:val="20"/>
          <w:lang w:eastAsia="en-US"/>
        </w:rPr>
        <w:t>ą</w:t>
      </w:r>
      <w:r w:rsidRPr="00F557BB">
        <w:rPr>
          <w:rFonts w:eastAsia="Calibri" w:cs="Arial"/>
          <w:szCs w:val="20"/>
          <w:lang w:eastAsia="en-US"/>
        </w:rPr>
        <w:t>ce si</w:t>
      </w:r>
      <w:r w:rsidRPr="00F557BB">
        <w:rPr>
          <w:rFonts w:eastAsia="TimesNewRoman" w:cs="Arial"/>
          <w:szCs w:val="20"/>
          <w:lang w:eastAsia="en-US"/>
        </w:rPr>
        <w:t xml:space="preserve">ę </w:t>
      </w:r>
      <w:r w:rsidRPr="00F557BB">
        <w:rPr>
          <w:rFonts w:eastAsia="Calibri" w:cs="Arial"/>
          <w:szCs w:val="20"/>
          <w:lang w:eastAsia="en-US"/>
        </w:rPr>
        <w:t>rodzajem zastosowanej technologii, maszyn,</w:t>
      </w:r>
    </w:p>
    <w:p w14:paraId="12F8E39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 xml:space="preserve">ń </w:t>
      </w:r>
      <w:r w:rsidRPr="00F557BB">
        <w:rPr>
          <w:rFonts w:eastAsia="Calibri" w:cs="Arial"/>
          <w:szCs w:val="20"/>
          <w:lang w:eastAsia="en-US"/>
        </w:rPr>
        <w:t>i sprz</w:t>
      </w:r>
      <w:r w:rsidRPr="00F557BB">
        <w:rPr>
          <w:rFonts w:eastAsia="TimesNewRoman" w:cs="Arial"/>
          <w:szCs w:val="20"/>
          <w:lang w:eastAsia="en-US"/>
        </w:rPr>
        <w:t>ę</w:t>
      </w:r>
      <w:r w:rsidRPr="00F557BB">
        <w:rPr>
          <w:rFonts w:eastAsia="Calibri" w:cs="Arial"/>
          <w:szCs w:val="20"/>
          <w:lang w:eastAsia="en-US"/>
        </w:rPr>
        <w:t>tu musz</w:t>
      </w:r>
      <w:r w:rsidRPr="00F557BB">
        <w:rPr>
          <w:rFonts w:eastAsia="TimesNewRoman" w:cs="Arial"/>
          <w:szCs w:val="20"/>
          <w:lang w:eastAsia="en-US"/>
        </w:rPr>
        <w:t xml:space="preserve">ą </w:t>
      </w:r>
      <w:r w:rsidRPr="00F557BB">
        <w:rPr>
          <w:rFonts w:eastAsia="Calibri" w:cs="Arial"/>
          <w:szCs w:val="20"/>
          <w:lang w:eastAsia="en-US"/>
        </w:rPr>
        <w:t>zapewnia</w:t>
      </w:r>
      <w:r w:rsidRPr="00F557BB">
        <w:rPr>
          <w:rFonts w:eastAsia="TimesNewRoman" w:cs="Arial"/>
          <w:szCs w:val="20"/>
          <w:lang w:eastAsia="en-US"/>
        </w:rPr>
        <w:t xml:space="preserve">ć </w:t>
      </w:r>
      <w:r w:rsidRPr="00F557BB">
        <w:rPr>
          <w:rFonts w:eastAsia="Calibri" w:cs="Arial"/>
          <w:szCs w:val="20"/>
          <w:lang w:eastAsia="en-US"/>
        </w:rPr>
        <w:t>skuteczn</w:t>
      </w:r>
      <w:r w:rsidRPr="00F557BB">
        <w:rPr>
          <w:rFonts w:eastAsia="TimesNewRoman" w:cs="Arial"/>
          <w:szCs w:val="20"/>
          <w:lang w:eastAsia="en-US"/>
        </w:rPr>
        <w:t xml:space="preserve">ą </w:t>
      </w:r>
      <w:r w:rsidRPr="00F557BB">
        <w:rPr>
          <w:rFonts w:eastAsia="Calibri" w:cs="Arial"/>
          <w:szCs w:val="20"/>
          <w:lang w:eastAsia="en-US"/>
        </w:rPr>
        <w:t>ochron</w:t>
      </w:r>
      <w:r w:rsidRPr="00F557BB">
        <w:rPr>
          <w:rFonts w:eastAsia="TimesNewRoman" w:cs="Arial"/>
          <w:szCs w:val="20"/>
          <w:lang w:eastAsia="en-US"/>
        </w:rPr>
        <w:t xml:space="preserve">ę </w:t>
      </w:r>
      <w:r w:rsidRPr="00F557BB">
        <w:rPr>
          <w:rFonts w:eastAsia="Calibri" w:cs="Arial"/>
          <w:szCs w:val="20"/>
          <w:lang w:eastAsia="en-US"/>
        </w:rPr>
        <w:t xml:space="preserve">ludzi, </w:t>
      </w:r>
      <w:r w:rsidRPr="00F557BB">
        <w:rPr>
          <w:rFonts w:eastAsia="TimesNewRoman" w:cs="Arial"/>
          <w:szCs w:val="20"/>
          <w:lang w:eastAsia="en-US"/>
        </w:rPr>
        <w:t>ś</w:t>
      </w:r>
      <w:r w:rsidRPr="00F557BB">
        <w:rPr>
          <w:rFonts w:eastAsia="Calibri" w:cs="Arial"/>
          <w:szCs w:val="20"/>
          <w:lang w:eastAsia="en-US"/>
        </w:rPr>
        <w:t>rodowiska budynków i budowli</w:t>
      </w:r>
    </w:p>
    <w:p w14:paraId="713EBB5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na tych obszarach w szczególno</w:t>
      </w:r>
      <w:r w:rsidRPr="00F557BB">
        <w:rPr>
          <w:rFonts w:eastAsia="TimesNewRoman" w:cs="Arial"/>
          <w:szCs w:val="20"/>
          <w:lang w:eastAsia="en-US"/>
        </w:rPr>
        <w:t>ś</w:t>
      </w:r>
      <w:r w:rsidRPr="00F557BB">
        <w:rPr>
          <w:rFonts w:eastAsia="Calibri" w:cs="Arial"/>
          <w:szCs w:val="20"/>
          <w:lang w:eastAsia="en-US"/>
        </w:rPr>
        <w:t>ci przed:</w:t>
      </w:r>
    </w:p>
    <w:p w14:paraId="0EA5E30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hałasem</w:t>
      </w:r>
    </w:p>
    <w:p w14:paraId="0D027482"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 wibracj</w:t>
      </w:r>
      <w:r w:rsidRPr="00F557BB">
        <w:rPr>
          <w:rFonts w:eastAsia="TimesNewRoman" w:cs="Arial"/>
          <w:szCs w:val="20"/>
          <w:lang w:eastAsia="en-US"/>
        </w:rPr>
        <w:t>ą</w:t>
      </w:r>
    </w:p>
    <w:p w14:paraId="323C5C3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drganiami i wstrz</w:t>
      </w:r>
      <w:r w:rsidRPr="00F557BB">
        <w:rPr>
          <w:rFonts w:eastAsia="TimesNewRoman" w:cs="Arial"/>
          <w:szCs w:val="20"/>
          <w:lang w:eastAsia="en-US"/>
        </w:rPr>
        <w:t>ą</w:t>
      </w:r>
      <w:r w:rsidRPr="00F557BB">
        <w:rPr>
          <w:rFonts w:eastAsia="Calibri" w:cs="Arial"/>
          <w:szCs w:val="20"/>
          <w:lang w:eastAsia="en-US"/>
        </w:rPr>
        <w:t>sami</w:t>
      </w:r>
    </w:p>
    <w:p w14:paraId="50AAA4A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zanieczyszczeniem odpadami poprodukcyjnymi i komunalnymi gleb wód i powietrza</w:t>
      </w:r>
    </w:p>
    <w:p w14:paraId="3D7AE85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zanieczyszczeniem powietrza emisj</w:t>
      </w:r>
      <w:r w:rsidRPr="00F557BB">
        <w:rPr>
          <w:rFonts w:eastAsia="TimesNewRoman" w:cs="Arial"/>
          <w:szCs w:val="20"/>
          <w:lang w:eastAsia="en-US"/>
        </w:rPr>
        <w:t xml:space="preserve">ą </w:t>
      </w:r>
      <w:r w:rsidRPr="00F557BB">
        <w:rPr>
          <w:rFonts w:eastAsia="Calibri" w:cs="Arial"/>
          <w:szCs w:val="20"/>
          <w:lang w:eastAsia="en-US"/>
        </w:rPr>
        <w:t>gazów, pyłów i dymów</w:t>
      </w:r>
    </w:p>
    <w:p w14:paraId="2F2F42D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 zanieczyszczeniem </w:t>
      </w:r>
      <w:r w:rsidRPr="00F557BB">
        <w:rPr>
          <w:rFonts w:eastAsia="TimesNewRoman" w:cs="Arial"/>
          <w:szCs w:val="20"/>
          <w:lang w:eastAsia="en-US"/>
        </w:rPr>
        <w:t>ś</w:t>
      </w:r>
      <w:r w:rsidRPr="00F557BB">
        <w:rPr>
          <w:rFonts w:eastAsia="Calibri" w:cs="Arial"/>
          <w:szCs w:val="20"/>
          <w:lang w:eastAsia="en-US"/>
        </w:rPr>
        <w:t>rodowiska przetrwalnikami zarazków chorobotwórczych i metalami</w:t>
      </w:r>
    </w:p>
    <w:p w14:paraId="4325178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ci</w:t>
      </w:r>
      <w:r w:rsidRPr="00F557BB">
        <w:rPr>
          <w:rFonts w:eastAsia="TimesNewRoman" w:cs="Arial"/>
          <w:szCs w:val="20"/>
          <w:lang w:eastAsia="en-US"/>
        </w:rPr>
        <w:t>ęż</w:t>
      </w:r>
      <w:r w:rsidRPr="00F557BB">
        <w:rPr>
          <w:rFonts w:eastAsia="Calibri" w:cs="Arial"/>
          <w:szCs w:val="20"/>
          <w:lang w:eastAsia="en-US"/>
        </w:rPr>
        <w:t>kimi</w:t>
      </w:r>
    </w:p>
    <w:p w14:paraId="0103E6C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znacz</w:t>
      </w:r>
      <w:r w:rsidRPr="00F557BB">
        <w:rPr>
          <w:rFonts w:eastAsia="TimesNewRoman" w:cs="Arial"/>
          <w:szCs w:val="20"/>
          <w:lang w:eastAsia="en-US"/>
        </w:rPr>
        <w:t>ą</w:t>
      </w:r>
      <w:r w:rsidRPr="00F557BB">
        <w:rPr>
          <w:rFonts w:eastAsia="Calibri" w:cs="Arial"/>
          <w:szCs w:val="20"/>
          <w:lang w:eastAsia="en-US"/>
        </w:rPr>
        <w:t>cymi lub gwałtownymi zmianami poziomu wód gruntowych.</w:t>
      </w:r>
    </w:p>
    <w:p w14:paraId="0DB8AF71"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1.7.1. Przekazanie terenu budowy</w:t>
      </w:r>
    </w:p>
    <w:p w14:paraId="012F4B6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Zamawiaj</w:t>
      </w:r>
      <w:r w:rsidRPr="00F557BB">
        <w:rPr>
          <w:rFonts w:eastAsia="TimesNewRoman" w:cs="Arial"/>
          <w:szCs w:val="20"/>
          <w:lang w:eastAsia="en-US"/>
        </w:rPr>
        <w:t>ą</w:t>
      </w:r>
      <w:r w:rsidRPr="00F557BB">
        <w:rPr>
          <w:rFonts w:eastAsia="Calibri" w:cs="Arial"/>
          <w:szCs w:val="20"/>
          <w:lang w:eastAsia="en-US"/>
        </w:rPr>
        <w:t>cy w terminie okre</w:t>
      </w:r>
      <w:r w:rsidRPr="00F557BB">
        <w:rPr>
          <w:rFonts w:eastAsia="TimesNewRoman" w:cs="Arial"/>
          <w:szCs w:val="20"/>
          <w:lang w:eastAsia="en-US"/>
        </w:rPr>
        <w:t>ś</w:t>
      </w:r>
      <w:r w:rsidRPr="00F557BB">
        <w:rPr>
          <w:rFonts w:eastAsia="Calibri" w:cs="Arial"/>
          <w:szCs w:val="20"/>
          <w:lang w:eastAsia="en-US"/>
        </w:rPr>
        <w:t>lonym w dokumentach kontraktowych przeka</w:t>
      </w:r>
      <w:r w:rsidRPr="00F557BB">
        <w:rPr>
          <w:rFonts w:eastAsia="TimesNewRoman" w:cs="Arial"/>
          <w:szCs w:val="20"/>
          <w:lang w:eastAsia="en-US"/>
        </w:rPr>
        <w:t>ż</w:t>
      </w:r>
      <w:r w:rsidRPr="00F557BB">
        <w:rPr>
          <w:rFonts w:eastAsia="Calibri" w:cs="Arial"/>
          <w:szCs w:val="20"/>
          <w:lang w:eastAsia="en-US"/>
        </w:rPr>
        <w:t>e Wykonawcy</w:t>
      </w:r>
    </w:p>
    <w:p w14:paraId="0E6CB37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teren budowy wraz ze wszystkimi wymaganymi uzgodnieniami prawnymi i administracyjnymi</w:t>
      </w:r>
    </w:p>
    <w:p w14:paraId="7B2D431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oraz okre</w:t>
      </w:r>
      <w:r w:rsidRPr="00F557BB">
        <w:rPr>
          <w:rFonts w:eastAsia="TimesNewRoman" w:cs="Arial"/>
          <w:szCs w:val="20"/>
          <w:lang w:eastAsia="en-US"/>
        </w:rPr>
        <w:t>ś</w:t>
      </w:r>
      <w:r w:rsidRPr="00F557BB">
        <w:rPr>
          <w:rFonts w:eastAsia="Calibri" w:cs="Arial"/>
          <w:szCs w:val="20"/>
          <w:lang w:eastAsia="en-US"/>
        </w:rPr>
        <w:t>lon</w:t>
      </w:r>
      <w:r w:rsidRPr="00F557BB">
        <w:rPr>
          <w:rFonts w:eastAsia="TimesNewRoman" w:cs="Arial"/>
          <w:szCs w:val="20"/>
          <w:lang w:eastAsia="en-US"/>
        </w:rPr>
        <w:t xml:space="preserve">ą </w:t>
      </w:r>
      <w:r w:rsidRPr="00F557BB">
        <w:rPr>
          <w:rFonts w:eastAsia="Calibri" w:cs="Arial"/>
          <w:szCs w:val="20"/>
          <w:lang w:eastAsia="en-US"/>
        </w:rPr>
        <w:t>w umowie ilo</w:t>
      </w:r>
      <w:r w:rsidRPr="00F557BB">
        <w:rPr>
          <w:rFonts w:eastAsia="TimesNewRoman" w:cs="Arial"/>
          <w:szCs w:val="20"/>
          <w:lang w:eastAsia="en-US"/>
        </w:rPr>
        <w:t xml:space="preserve">ść </w:t>
      </w:r>
      <w:r w:rsidRPr="00F557BB">
        <w:rPr>
          <w:rFonts w:eastAsia="Calibri" w:cs="Arial"/>
          <w:szCs w:val="20"/>
          <w:lang w:eastAsia="en-US"/>
        </w:rPr>
        <w:t>egzemplarzy dokumentacji projektowej i ST, kopi</w:t>
      </w:r>
      <w:r w:rsidRPr="00F557BB">
        <w:rPr>
          <w:rFonts w:eastAsia="TimesNewRoman" w:cs="Arial"/>
          <w:szCs w:val="20"/>
          <w:lang w:eastAsia="en-US"/>
        </w:rPr>
        <w:t xml:space="preserve">ę </w:t>
      </w:r>
      <w:r w:rsidRPr="00F557BB">
        <w:rPr>
          <w:rFonts w:eastAsia="Calibri" w:cs="Arial"/>
          <w:szCs w:val="20"/>
          <w:lang w:eastAsia="en-US"/>
        </w:rPr>
        <w:t>decyzji</w:t>
      </w:r>
    </w:p>
    <w:p w14:paraId="1273C42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pozwolenia na budow</w:t>
      </w:r>
      <w:r w:rsidRPr="00F557BB">
        <w:rPr>
          <w:rFonts w:eastAsia="TimesNewRoman" w:cs="Arial"/>
          <w:szCs w:val="20"/>
          <w:lang w:eastAsia="en-US"/>
        </w:rPr>
        <w:t>ę</w:t>
      </w:r>
      <w:r w:rsidRPr="00F557BB">
        <w:rPr>
          <w:rFonts w:eastAsia="Calibri" w:cs="Arial"/>
          <w:szCs w:val="20"/>
          <w:lang w:eastAsia="en-US"/>
        </w:rPr>
        <w:t>.</w:t>
      </w:r>
    </w:p>
    <w:p w14:paraId="7E394E0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 przekazaniu placu budowy Wykonawca, przez uprawnionego geodet</w:t>
      </w:r>
      <w:r w:rsidRPr="00F557BB">
        <w:rPr>
          <w:rFonts w:eastAsia="TimesNewRoman" w:cs="Arial"/>
          <w:szCs w:val="20"/>
          <w:lang w:eastAsia="en-US"/>
        </w:rPr>
        <w:t>ę</w:t>
      </w:r>
      <w:r w:rsidRPr="00F557BB">
        <w:rPr>
          <w:rFonts w:eastAsia="Calibri" w:cs="Arial"/>
          <w:szCs w:val="20"/>
          <w:lang w:eastAsia="en-US"/>
        </w:rPr>
        <w:t>, wytyczy punkty</w:t>
      </w:r>
    </w:p>
    <w:p w14:paraId="777278E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główne trasy oraz zlokalizuje niezb</w:t>
      </w:r>
      <w:r w:rsidRPr="00F557BB">
        <w:rPr>
          <w:rFonts w:eastAsia="TimesNewRoman" w:cs="Arial"/>
          <w:szCs w:val="20"/>
          <w:lang w:eastAsia="en-US"/>
        </w:rPr>
        <w:t>ę</w:t>
      </w:r>
      <w:r w:rsidRPr="00F557BB">
        <w:rPr>
          <w:rFonts w:eastAsia="Calibri" w:cs="Arial"/>
          <w:szCs w:val="20"/>
          <w:lang w:eastAsia="en-US"/>
        </w:rPr>
        <w:t>dne repery.</w:t>
      </w:r>
    </w:p>
    <w:p w14:paraId="7D94BED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Na Wykonawcy spoczywa pozyskanie we własnym zakresie lokalizacji punktów głównych trasy</w:t>
      </w:r>
    </w:p>
    <w:p w14:paraId="4E69E2E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wraz ze współrz</w:t>
      </w:r>
      <w:r w:rsidRPr="00F557BB">
        <w:rPr>
          <w:rFonts w:eastAsia="TimesNewRoman" w:cs="Arial"/>
          <w:szCs w:val="20"/>
          <w:lang w:eastAsia="en-US"/>
        </w:rPr>
        <w:t>ę</w:t>
      </w:r>
      <w:r w:rsidRPr="00F557BB">
        <w:rPr>
          <w:rFonts w:eastAsia="Calibri" w:cs="Arial"/>
          <w:szCs w:val="20"/>
          <w:lang w:eastAsia="en-US"/>
        </w:rPr>
        <w:t>dnymi, reperów oraz ich ochrona do chwili odbioru ostatecznego (ko</w:t>
      </w:r>
      <w:r w:rsidRPr="00F557BB">
        <w:rPr>
          <w:rFonts w:eastAsia="TimesNewRoman" w:cs="Arial"/>
          <w:szCs w:val="20"/>
          <w:lang w:eastAsia="en-US"/>
        </w:rPr>
        <w:t>ń</w:t>
      </w:r>
      <w:r w:rsidRPr="00F557BB">
        <w:rPr>
          <w:rFonts w:eastAsia="Calibri" w:cs="Arial"/>
          <w:szCs w:val="20"/>
          <w:lang w:eastAsia="en-US"/>
        </w:rPr>
        <w:t>cowego)</w:t>
      </w:r>
    </w:p>
    <w:p w14:paraId="4F324C3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robót. W przypadku natrafienia na punkty poligonowe w ich rejonie roboty prowadzi</w:t>
      </w:r>
      <w:r w:rsidRPr="00F557BB">
        <w:rPr>
          <w:rFonts w:eastAsia="TimesNewRoman" w:cs="Arial"/>
          <w:szCs w:val="20"/>
          <w:lang w:eastAsia="en-US"/>
        </w:rPr>
        <w:t xml:space="preserve">ć </w:t>
      </w:r>
      <w:r w:rsidRPr="00F557BB">
        <w:rPr>
          <w:rFonts w:eastAsia="Calibri" w:cs="Arial"/>
          <w:szCs w:val="20"/>
          <w:lang w:eastAsia="en-US"/>
        </w:rPr>
        <w:t>r</w:t>
      </w:r>
      <w:r w:rsidRPr="00F557BB">
        <w:rPr>
          <w:rFonts w:eastAsia="TimesNewRoman" w:cs="Arial"/>
          <w:szCs w:val="20"/>
          <w:lang w:eastAsia="en-US"/>
        </w:rPr>
        <w:t>ę</w:t>
      </w:r>
      <w:r w:rsidRPr="00F557BB">
        <w:rPr>
          <w:rFonts w:eastAsia="Calibri" w:cs="Arial"/>
          <w:szCs w:val="20"/>
          <w:lang w:eastAsia="en-US"/>
        </w:rPr>
        <w:t>cznie.</w:t>
      </w:r>
    </w:p>
    <w:p w14:paraId="57A3092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Uszkodzone lub zniszczone znaki geodezyjne Wykonawca odtworzy i utrwali na własny koszt.</w:t>
      </w:r>
    </w:p>
    <w:p w14:paraId="24A35DA9"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1.7.2. Zgodność robót z dokumentacją projektową i SST</w:t>
      </w:r>
    </w:p>
    <w:p w14:paraId="2A4CE83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przypadku rozbie</w:t>
      </w:r>
      <w:r w:rsidRPr="00F557BB">
        <w:rPr>
          <w:rFonts w:eastAsia="TimesNewRoman" w:cs="Arial"/>
          <w:szCs w:val="20"/>
          <w:lang w:eastAsia="en-US"/>
        </w:rPr>
        <w:t>ż</w:t>
      </w:r>
      <w:r w:rsidRPr="00F557BB">
        <w:rPr>
          <w:rFonts w:eastAsia="Calibri" w:cs="Arial"/>
          <w:szCs w:val="20"/>
          <w:lang w:eastAsia="en-US"/>
        </w:rPr>
        <w:t>no</w:t>
      </w:r>
      <w:r w:rsidRPr="00F557BB">
        <w:rPr>
          <w:rFonts w:eastAsia="TimesNewRoman" w:cs="Arial"/>
          <w:szCs w:val="20"/>
          <w:lang w:eastAsia="en-US"/>
        </w:rPr>
        <w:t>ś</w:t>
      </w:r>
      <w:r w:rsidRPr="00F557BB">
        <w:rPr>
          <w:rFonts w:eastAsia="Calibri" w:cs="Arial"/>
          <w:szCs w:val="20"/>
          <w:lang w:eastAsia="en-US"/>
        </w:rPr>
        <w:t>ci w ustaleniach poszczególnych dokumentów obowi</w:t>
      </w:r>
      <w:r w:rsidRPr="00F557BB">
        <w:rPr>
          <w:rFonts w:eastAsia="TimesNewRoman" w:cs="Arial"/>
          <w:szCs w:val="20"/>
          <w:lang w:eastAsia="en-US"/>
        </w:rPr>
        <w:t>ą</w:t>
      </w:r>
      <w:r w:rsidRPr="00F557BB">
        <w:rPr>
          <w:rFonts w:eastAsia="Calibri" w:cs="Arial"/>
          <w:szCs w:val="20"/>
          <w:lang w:eastAsia="en-US"/>
        </w:rPr>
        <w:t>zuje kolejno</w:t>
      </w:r>
      <w:r w:rsidRPr="00F557BB">
        <w:rPr>
          <w:rFonts w:eastAsia="TimesNewRoman" w:cs="Arial"/>
          <w:szCs w:val="20"/>
          <w:lang w:eastAsia="en-US"/>
        </w:rPr>
        <w:t xml:space="preserve">ść </w:t>
      </w:r>
      <w:r w:rsidRPr="00F557BB">
        <w:rPr>
          <w:rFonts w:eastAsia="Calibri" w:cs="Arial"/>
          <w:szCs w:val="20"/>
          <w:lang w:eastAsia="en-US"/>
        </w:rPr>
        <w:t>ich</w:t>
      </w:r>
    </w:p>
    <w:p w14:paraId="6375A5A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wa</w:t>
      </w:r>
      <w:r w:rsidRPr="00F557BB">
        <w:rPr>
          <w:rFonts w:eastAsia="TimesNewRoman" w:cs="Arial"/>
          <w:szCs w:val="20"/>
          <w:lang w:eastAsia="en-US"/>
        </w:rPr>
        <w:t>ż</w:t>
      </w:r>
      <w:r w:rsidRPr="00F557BB">
        <w:rPr>
          <w:rFonts w:eastAsia="Calibri" w:cs="Arial"/>
          <w:szCs w:val="20"/>
          <w:lang w:eastAsia="en-US"/>
        </w:rPr>
        <w:t>no</w:t>
      </w:r>
      <w:r w:rsidRPr="00F557BB">
        <w:rPr>
          <w:rFonts w:eastAsia="TimesNewRoman" w:cs="Arial"/>
          <w:szCs w:val="20"/>
          <w:lang w:eastAsia="en-US"/>
        </w:rPr>
        <w:t>ś</w:t>
      </w:r>
      <w:r w:rsidRPr="00F557BB">
        <w:rPr>
          <w:rFonts w:eastAsia="Calibri" w:cs="Arial"/>
          <w:szCs w:val="20"/>
          <w:lang w:eastAsia="en-US"/>
        </w:rPr>
        <w:t>ci wymieniona w „Kontraktowych warunkach ogólnych” („Ogólnych warunkach</w:t>
      </w:r>
    </w:p>
    <w:p w14:paraId="3360D46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umowy”).</w:t>
      </w:r>
    </w:p>
    <w:p w14:paraId="24C254D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nie mo</w:t>
      </w:r>
      <w:r w:rsidRPr="00F557BB">
        <w:rPr>
          <w:rFonts w:eastAsia="TimesNewRoman" w:cs="Arial"/>
          <w:szCs w:val="20"/>
          <w:lang w:eastAsia="en-US"/>
        </w:rPr>
        <w:t>ż</w:t>
      </w:r>
      <w:r w:rsidRPr="00F557BB">
        <w:rPr>
          <w:rFonts w:eastAsia="Calibri" w:cs="Arial"/>
          <w:szCs w:val="20"/>
          <w:lang w:eastAsia="en-US"/>
        </w:rPr>
        <w:t>e wykorzystywa</w:t>
      </w:r>
      <w:r w:rsidRPr="00F557BB">
        <w:rPr>
          <w:rFonts w:eastAsia="TimesNewRoman" w:cs="Arial"/>
          <w:szCs w:val="20"/>
          <w:lang w:eastAsia="en-US"/>
        </w:rPr>
        <w:t xml:space="preserve">ć </w:t>
      </w:r>
      <w:r w:rsidRPr="00F557BB">
        <w:rPr>
          <w:rFonts w:eastAsia="Calibri" w:cs="Arial"/>
          <w:szCs w:val="20"/>
          <w:lang w:eastAsia="en-US"/>
        </w:rPr>
        <w:t>bł</w:t>
      </w:r>
      <w:r w:rsidRPr="00F557BB">
        <w:rPr>
          <w:rFonts w:eastAsia="TimesNewRoman" w:cs="Arial"/>
          <w:szCs w:val="20"/>
          <w:lang w:eastAsia="en-US"/>
        </w:rPr>
        <w:t>ę</w:t>
      </w:r>
      <w:r w:rsidRPr="00F557BB">
        <w:rPr>
          <w:rFonts w:eastAsia="Calibri" w:cs="Arial"/>
          <w:szCs w:val="20"/>
          <w:lang w:eastAsia="en-US"/>
        </w:rPr>
        <w:t>dów lub opuszcze</w:t>
      </w:r>
      <w:r w:rsidRPr="00F557BB">
        <w:rPr>
          <w:rFonts w:eastAsia="TimesNewRoman" w:cs="Arial"/>
          <w:szCs w:val="20"/>
          <w:lang w:eastAsia="en-US"/>
        </w:rPr>
        <w:t xml:space="preserve">ń </w:t>
      </w:r>
      <w:r w:rsidRPr="00F557BB">
        <w:rPr>
          <w:rFonts w:eastAsia="Calibri" w:cs="Arial"/>
          <w:szCs w:val="20"/>
          <w:lang w:eastAsia="en-US"/>
        </w:rPr>
        <w:t>w dokumentach kontraktowych, a</w:t>
      </w:r>
    </w:p>
    <w:p w14:paraId="4E3E27A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 ich wykryciu winien natychmiast powiadomi</w:t>
      </w:r>
      <w:r w:rsidRPr="00F557BB">
        <w:rPr>
          <w:rFonts w:eastAsia="TimesNewRoman" w:cs="Arial"/>
          <w:szCs w:val="20"/>
          <w:lang w:eastAsia="en-US"/>
        </w:rPr>
        <w:t xml:space="preserve">ć </w:t>
      </w:r>
      <w:r w:rsidRPr="00F557BB">
        <w:rPr>
          <w:rFonts w:eastAsia="Calibri" w:cs="Arial"/>
          <w:szCs w:val="20"/>
          <w:lang w:eastAsia="en-US"/>
        </w:rPr>
        <w:t>In</w:t>
      </w:r>
      <w:r w:rsidRPr="00F557BB">
        <w:rPr>
          <w:rFonts w:eastAsia="TimesNewRoman" w:cs="Arial"/>
          <w:szCs w:val="20"/>
          <w:lang w:eastAsia="en-US"/>
        </w:rPr>
        <w:t>ż</w:t>
      </w:r>
      <w:r w:rsidRPr="00F557BB">
        <w:rPr>
          <w:rFonts w:eastAsia="Calibri" w:cs="Arial"/>
          <w:szCs w:val="20"/>
          <w:lang w:eastAsia="en-US"/>
        </w:rPr>
        <w:t>yniera/Kierownika Projektu, który podejmie</w:t>
      </w:r>
    </w:p>
    <w:p w14:paraId="41851B0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decyzj</w:t>
      </w:r>
      <w:r w:rsidRPr="00F557BB">
        <w:rPr>
          <w:rFonts w:eastAsia="TimesNewRoman" w:cs="Arial"/>
          <w:szCs w:val="20"/>
          <w:lang w:eastAsia="en-US"/>
        </w:rPr>
        <w:t xml:space="preserve">ę </w:t>
      </w:r>
      <w:r w:rsidRPr="00F557BB">
        <w:rPr>
          <w:rFonts w:eastAsia="Calibri" w:cs="Arial"/>
          <w:szCs w:val="20"/>
          <w:lang w:eastAsia="en-US"/>
        </w:rPr>
        <w:t>o wprowadzeniu odpowiednich zmian i poprawek.</w:t>
      </w:r>
    </w:p>
    <w:p w14:paraId="2A6B773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Wszystkie wykonane roboty i dostarczone materiały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zgodne z dokumentacj</w:t>
      </w:r>
      <w:r w:rsidRPr="00F557BB">
        <w:rPr>
          <w:rFonts w:eastAsia="TimesNewRoman" w:cs="Arial"/>
          <w:szCs w:val="20"/>
          <w:lang w:eastAsia="en-US"/>
        </w:rPr>
        <w:t xml:space="preserve">ą </w:t>
      </w:r>
      <w:r w:rsidRPr="00F557BB">
        <w:rPr>
          <w:rFonts w:eastAsia="Calibri" w:cs="Arial"/>
          <w:szCs w:val="20"/>
          <w:lang w:eastAsia="en-US"/>
        </w:rPr>
        <w:t>projektow</w:t>
      </w:r>
      <w:r w:rsidRPr="00F557BB">
        <w:rPr>
          <w:rFonts w:eastAsia="TimesNewRoman" w:cs="Arial"/>
          <w:szCs w:val="20"/>
          <w:lang w:eastAsia="en-US"/>
        </w:rPr>
        <w:t xml:space="preserve">ą </w:t>
      </w:r>
      <w:r w:rsidRPr="00F557BB">
        <w:rPr>
          <w:rFonts w:eastAsia="Calibri" w:cs="Arial"/>
          <w:szCs w:val="20"/>
          <w:lang w:eastAsia="en-US"/>
        </w:rPr>
        <w:t>i</w:t>
      </w:r>
    </w:p>
    <w:p w14:paraId="77C993B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ST.</w:t>
      </w:r>
    </w:p>
    <w:p w14:paraId="0B3463F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Dane okre</w:t>
      </w:r>
      <w:r w:rsidRPr="00F557BB">
        <w:rPr>
          <w:rFonts w:eastAsia="TimesNewRoman" w:cs="Arial"/>
          <w:szCs w:val="20"/>
          <w:lang w:eastAsia="en-US"/>
        </w:rPr>
        <w:t>ś</w:t>
      </w:r>
      <w:r w:rsidRPr="00F557BB">
        <w:rPr>
          <w:rFonts w:eastAsia="Calibri" w:cs="Arial"/>
          <w:szCs w:val="20"/>
          <w:lang w:eastAsia="en-US"/>
        </w:rPr>
        <w:t>lone w dokumentacji projektowej i w SST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uwa</w:t>
      </w:r>
      <w:r w:rsidRPr="00F557BB">
        <w:rPr>
          <w:rFonts w:eastAsia="TimesNewRoman" w:cs="Arial"/>
          <w:szCs w:val="20"/>
          <w:lang w:eastAsia="en-US"/>
        </w:rPr>
        <w:t>ż</w:t>
      </w:r>
      <w:r w:rsidRPr="00F557BB">
        <w:rPr>
          <w:rFonts w:eastAsia="Calibri" w:cs="Arial"/>
          <w:szCs w:val="20"/>
          <w:lang w:eastAsia="en-US"/>
        </w:rPr>
        <w:t>ane za warto</w:t>
      </w:r>
      <w:r w:rsidRPr="00F557BB">
        <w:rPr>
          <w:rFonts w:eastAsia="TimesNewRoman" w:cs="Arial"/>
          <w:szCs w:val="20"/>
          <w:lang w:eastAsia="en-US"/>
        </w:rPr>
        <w:t>ś</w:t>
      </w:r>
      <w:r w:rsidRPr="00F557BB">
        <w:rPr>
          <w:rFonts w:eastAsia="Calibri" w:cs="Arial"/>
          <w:szCs w:val="20"/>
          <w:lang w:eastAsia="en-US"/>
        </w:rPr>
        <w:t>ci docelowe, od</w:t>
      </w:r>
    </w:p>
    <w:p w14:paraId="73EBD31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których dopuszczalne s</w:t>
      </w:r>
      <w:r w:rsidRPr="00F557BB">
        <w:rPr>
          <w:rFonts w:eastAsia="TimesNewRoman" w:cs="Arial"/>
          <w:szCs w:val="20"/>
          <w:lang w:eastAsia="en-US"/>
        </w:rPr>
        <w:t xml:space="preserve">ą </w:t>
      </w:r>
      <w:r w:rsidRPr="00F557BB">
        <w:rPr>
          <w:rFonts w:eastAsia="Calibri" w:cs="Arial"/>
          <w:szCs w:val="20"/>
          <w:lang w:eastAsia="en-US"/>
        </w:rPr>
        <w:t>odchylenia w ramach okre</w:t>
      </w:r>
      <w:r w:rsidRPr="00F557BB">
        <w:rPr>
          <w:rFonts w:eastAsia="TimesNewRoman" w:cs="Arial"/>
          <w:szCs w:val="20"/>
          <w:lang w:eastAsia="en-US"/>
        </w:rPr>
        <w:t>ś</w:t>
      </w:r>
      <w:r w:rsidRPr="00F557BB">
        <w:rPr>
          <w:rFonts w:eastAsia="Calibri" w:cs="Arial"/>
          <w:szCs w:val="20"/>
          <w:lang w:eastAsia="en-US"/>
        </w:rPr>
        <w:t>lonego przedziału tolerancji. Cechy</w:t>
      </w:r>
    </w:p>
    <w:p w14:paraId="390D394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materiałów i elementów budowli musz</w:t>
      </w:r>
      <w:r w:rsidRPr="00F557BB">
        <w:rPr>
          <w:rFonts w:eastAsia="TimesNewRoman" w:cs="Arial"/>
          <w:szCs w:val="20"/>
          <w:lang w:eastAsia="en-US"/>
        </w:rPr>
        <w:t xml:space="preserve">ą </w:t>
      </w:r>
      <w:r w:rsidRPr="00F557BB">
        <w:rPr>
          <w:rFonts w:eastAsia="Calibri" w:cs="Arial"/>
          <w:szCs w:val="20"/>
          <w:lang w:eastAsia="en-US"/>
        </w:rPr>
        <w:t>by</w:t>
      </w:r>
      <w:r w:rsidRPr="00F557BB">
        <w:rPr>
          <w:rFonts w:eastAsia="TimesNewRoman" w:cs="Arial"/>
          <w:szCs w:val="20"/>
          <w:lang w:eastAsia="en-US"/>
        </w:rPr>
        <w:t xml:space="preserve">ć </w:t>
      </w:r>
      <w:r w:rsidRPr="00F557BB">
        <w:rPr>
          <w:rFonts w:eastAsia="Calibri" w:cs="Arial"/>
          <w:szCs w:val="20"/>
          <w:lang w:eastAsia="en-US"/>
        </w:rPr>
        <w:t>jednorodne i wykazywa</w:t>
      </w:r>
      <w:r w:rsidRPr="00F557BB">
        <w:rPr>
          <w:rFonts w:eastAsia="TimesNewRoman" w:cs="Arial"/>
          <w:szCs w:val="20"/>
          <w:lang w:eastAsia="en-US"/>
        </w:rPr>
        <w:t xml:space="preserve">ć </w:t>
      </w:r>
      <w:r w:rsidRPr="00F557BB">
        <w:rPr>
          <w:rFonts w:eastAsia="Calibri" w:cs="Arial"/>
          <w:szCs w:val="20"/>
          <w:lang w:eastAsia="en-US"/>
        </w:rPr>
        <w:t>zgodno</w:t>
      </w:r>
      <w:r w:rsidRPr="00F557BB">
        <w:rPr>
          <w:rFonts w:eastAsia="TimesNewRoman" w:cs="Arial"/>
          <w:szCs w:val="20"/>
          <w:lang w:eastAsia="en-US"/>
        </w:rPr>
        <w:t xml:space="preserve">ść </w:t>
      </w:r>
      <w:r w:rsidRPr="00F557BB">
        <w:rPr>
          <w:rFonts w:eastAsia="Calibri" w:cs="Arial"/>
          <w:szCs w:val="20"/>
          <w:lang w:eastAsia="en-US"/>
        </w:rPr>
        <w:t>z okre</w:t>
      </w:r>
      <w:r w:rsidRPr="00F557BB">
        <w:rPr>
          <w:rFonts w:eastAsia="TimesNewRoman" w:cs="Arial"/>
          <w:szCs w:val="20"/>
          <w:lang w:eastAsia="en-US"/>
        </w:rPr>
        <w:t>ś</w:t>
      </w:r>
      <w:r w:rsidRPr="00F557BB">
        <w:rPr>
          <w:rFonts w:eastAsia="Calibri" w:cs="Arial"/>
          <w:szCs w:val="20"/>
          <w:lang w:eastAsia="en-US"/>
        </w:rPr>
        <w:t>lonymi</w:t>
      </w:r>
    </w:p>
    <w:p w14:paraId="4B5BF7D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wymaganiami, a rozrzuty tych cech nie mog</w:t>
      </w:r>
      <w:r w:rsidRPr="00F557BB">
        <w:rPr>
          <w:rFonts w:eastAsia="TimesNewRoman" w:cs="Arial"/>
          <w:szCs w:val="20"/>
          <w:lang w:eastAsia="en-US"/>
        </w:rPr>
        <w:t xml:space="preserve">ą </w:t>
      </w:r>
      <w:r w:rsidRPr="00F557BB">
        <w:rPr>
          <w:rFonts w:eastAsia="Calibri" w:cs="Arial"/>
          <w:szCs w:val="20"/>
          <w:lang w:eastAsia="en-US"/>
        </w:rPr>
        <w:t>przekracza</w:t>
      </w:r>
      <w:r w:rsidRPr="00F557BB">
        <w:rPr>
          <w:rFonts w:eastAsia="TimesNewRoman" w:cs="Arial"/>
          <w:szCs w:val="20"/>
          <w:lang w:eastAsia="en-US"/>
        </w:rPr>
        <w:t xml:space="preserve">ć </w:t>
      </w:r>
      <w:r w:rsidRPr="00F557BB">
        <w:rPr>
          <w:rFonts w:eastAsia="Calibri" w:cs="Arial"/>
          <w:szCs w:val="20"/>
          <w:lang w:eastAsia="en-US"/>
        </w:rPr>
        <w:t>dopuszczalnego przedziału tolerancji.</w:t>
      </w:r>
    </w:p>
    <w:p w14:paraId="223FEE2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przypadku, gdy dostarczone materiały lub wykonane roboty nie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w pełni zgodne z</w:t>
      </w:r>
    </w:p>
    <w:p w14:paraId="099F984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Dokumentacj</w:t>
      </w:r>
      <w:r w:rsidRPr="00F557BB">
        <w:rPr>
          <w:rFonts w:eastAsia="TimesNewRoman" w:cs="Arial"/>
          <w:szCs w:val="20"/>
          <w:lang w:eastAsia="en-US"/>
        </w:rPr>
        <w:t xml:space="preserve">ą </w:t>
      </w:r>
      <w:r w:rsidRPr="00F557BB">
        <w:rPr>
          <w:rFonts w:eastAsia="Calibri" w:cs="Arial"/>
          <w:szCs w:val="20"/>
          <w:lang w:eastAsia="en-US"/>
        </w:rPr>
        <w:t>Projektow</w:t>
      </w:r>
      <w:r w:rsidRPr="00F557BB">
        <w:rPr>
          <w:rFonts w:eastAsia="TimesNewRoman" w:cs="Arial"/>
          <w:szCs w:val="20"/>
          <w:lang w:eastAsia="en-US"/>
        </w:rPr>
        <w:t xml:space="preserve">ą </w:t>
      </w:r>
      <w:r w:rsidRPr="00F557BB">
        <w:rPr>
          <w:rFonts w:eastAsia="Calibri" w:cs="Arial"/>
          <w:szCs w:val="20"/>
          <w:lang w:eastAsia="en-US"/>
        </w:rPr>
        <w:t>lub SST i wpłynie to na niezadowalaj</w:t>
      </w:r>
      <w:r w:rsidRPr="00F557BB">
        <w:rPr>
          <w:rFonts w:eastAsia="TimesNewRoman" w:cs="Arial"/>
          <w:szCs w:val="20"/>
          <w:lang w:eastAsia="en-US"/>
        </w:rPr>
        <w:t>ą</w:t>
      </w:r>
      <w:r w:rsidRPr="00F557BB">
        <w:rPr>
          <w:rFonts w:eastAsia="Calibri" w:cs="Arial"/>
          <w:szCs w:val="20"/>
          <w:lang w:eastAsia="en-US"/>
        </w:rPr>
        <w:t>c</w:t>
      </w:r>
      <w:r w:rsidRPr="00F557BB">
        <w:rPr>
          <w:rFonts w:eastAsia="TimesNewRoman" w:cs="Arial"/>
          <w:szCs w:val="20"/>
          <w:lang w:eastAsia="en-US"/>
        </w:rPr>
        <w:t xml:space="preserve">ą </w:t>
      </w:r>
      <w:r w:rsidRPr="00F557BB">
        <w:rPr>
          <w:rFonts w:eastAsia="Calibri" w:cs="Arial"/>
          <w:szCs w:val="20"/>
          <w:lang w:eastAsia="en-US"/>
        </w:rPr>
        <w:t>jako</w:t>
      </w:r>
      <w:r w:rsidRPr="00F557BB">
        <w:rPr>
          <w:rFonts w:eastAsia="TimesNewRoman" w:cs="Arial"/>
          <w:szCs w:val="20"/>
          <w:lang w:eastAsia="en-US"/>
        </w:rPr>
        <w:t xml:space="preserve">ść </w:t>
      </w:r>
      <w:r w:rsidRPr="00F557BB">
        <w:rPr>
          <w:rFonts w:eastAsia="Calibri" w:cs="Arial"/>
          <w:szCs w:val="20"/>
          <w:lang w:eastAsia="en-US"/>
        </w:rPr>
        <w:t>elementu budowli, to</w:t>
      </w:r>
    </w:p>
    <w:p w14:paraId="4AA25E7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takie materiały zostan</w:t>
      </w:r>
      <w:r w:rsidRPr="00F557BB">
        <w:rPr>
          <w:rFonts w:eastAsia="TimesNewRoman" w:cs="Arial"/>
          <w:szCs w:val="20"/>
          <w:lang w:eastAsia="en-US"/>
        </w:rPr>
        <w:t xml:space="preserve">ą </w:t>
      </w:r>
      <w:r w:rsidRPr="00F557BB">
        <w:rPr>
          <w:rFonts w:eastAsia="Calibri" w:cs="Arial"/>
          <w:szCs w:val="20"/>
          <w:lang w:eastAsia="en-US"/>
        </w:rPr>
        <w:t>zast</w:t>
      </w:r>
      <w:r w:rsidRPr="00F557BB">
        <w:rPr>
          <w:rFonts w:eastAsia="TimesNewRoman" w:cs="Arial"/>
          <w:szCs w:val="20"/>
          <w:lang w:eastAsia="en-US"/>
        </w:rPr>
        <w:t>ą</w:t>
      </w:r>
      <w:r w:rsidRPr="00F557BB">
        <w:rPr>
          <w:rFonts w:eastAsia="Calibri" w:cs="Arial"/>
          <w:szCs w:val="20"/>
          <w:lang w:eastAsia="en-US"/>
        </w:rPr>
        <w:t>pione innymi, a elementy budowli zostan</w:t>
      </w:r>
      <w:r w:rsidRPr="00F557BB">
        <w:rPr>
          <w:rFonts w:eastAsia="TimesNewRoman" w:cs="Arial"/>
          <w:szCs w:val="20"/>
          <w:lang w:eastAsia="en-US"/>
        </w:rPr>
        <w:t xml:space="preserve">ą </w:t>
      </w:r>
      <w:r w:rsidRPr="00F557BB">
        <w:rPr>
          <w:rFonts w:eastAsia="Calibri" w:cs="Arial"/>
          <w:szCs w:val="20"/>
          <w:lang w:eastAsia="en-US"/>
        </w:rPr>
        <w:t>rozebrane i wykonane</w:t>
      </w:r>
    </w:p>
    <w:p w14:paraId="520E1627" w14:textId="77777777" w:rsidR="00F557BB" w:rsidRPr="00F557BB" w:rsidRDefault="00F557BB" w:rsidP="00270120">
      <w:pPr>
        <w:shd w:val="clear" w:color="auto" w:fill="FFFFFF"/>
        <w:tabs>
          <w:tab w:val="left" w:pos="142"/>
        </w:tabs>
        <w:spacing w:line="240" w:lineRule="auto"/>
        <w:contextualSpacing/>
        <w:jc w:val="both"/>
        <w:rPr>
          <w:rFonts w:cs="Arial"/>
          <w:szCs w:val="20"/>
        </w:rPr>
      </w:pPr>
      <w:r w:rsidRPr="00F557BB">
        <w:rPr>
          <w:rFonts w:eastAsia="Calibri" w:cs="Arial"/>
          <w:szCs w:val="20"/>
          <w:lang w:eastAsia="en-US"/>
        </w:rPr>
        <w:t>ponownie na koszt Wykonawcy.</w:t>
      </w:r>
    </w:p>
    <w:p w14:paraId="0174AEB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przypadku, gdy materiały lub roboty nie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w pełni zgodne z Dokumentacj</w:t>
      </w:r>
      <w:r w:rsidRPr="00F557BB">
        <w:rPr>
          <w:rFonts w:eastAsia="TimesNewRoman" w:cs="Arial"/>
          <w:szCs w:val="20"/>
          <w:lang w:eastAsia="en-US"/>
        </w:rPr>
        <w:t xml:space="preserve">ą </w:t>
      </w:r>
      <w:r w:rsidRPr="00F557BB">
        <w:rPr>
          <w:rFonts w:eastAsia="Calibri" w:cs="Arial"/>
          <w:szCs w:val="20"/>
          <w:lang w:eastAsia="en-US"/>
        </w:rPr>
        <w:t>Projektow</w:t>
      </w:r>
      <w:r w:rsidRPr="00F557BB">
        <w:rPr>
          <w:rFonts w:eastAsia="TimesNewRoman" w:cs="Arial"/>
          <w:szCs w:val="20"/>
          <w:lang w:eastAsia="en-US"/>
        </w:rPr>
        <w:t xml:space="preserve">ą </w:t>
      </w:r>
      <w:r w:rsidRPr="00F557BB">
        <w:rPr>
          <w:rFonts w:eastAsia="Calibri" w:cs="Arial"/>
          <w:szCs w:val="20"/>
          <w:lang w:eastAsia="en-US"/>
        </w:rPr>
        <w:t>lub</w:t>
      </w:r>
    </w:p>
    <w:p w14:paraId="7460309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ST ale osi</w:t>
      </w:r>
      <w:r w:rsidRPr="00F557BB">
        <w:rPr>
          <w:rFonts w:eastAsia="TimesNewRoman" w:cs="Arial"/>
          <w:szCs w:val="20"/>
          <w:lang w:eastAsia="en-US"/>
        </w:rPr>
        <w:t>ą</w:t>
      </w:r>
      <w:r w:rsidRPr="00F557BB">
        <w:rPr>
          <w:rFonts w:eastAsia="Calibri" w:cs="Arial"/>
          <w:szCs w:val="20"/>
          <w:lang w:eastAsia="en-US"/>
        </w:rPr>
        <w:t>gni</w:t>
      </w:r>
      <w:r w:rsidRPr="00F557BB">
        <w:rPr>
          <w:rFonts w:eastAsia="TimesNewRoman" w:cs="Arial"/>
          <w:szCs w:val="20"/>
          <w:lang w:eastAsia="en-US"/>
        </w:rPr>
        <w:t>ę</w:t>
      </w:r>
      <w:r w:rsidRPr="00F557BB">
        <w:rPr>
          <w:rFonts w:eastAsia="Calibri" w:cs="Arial"/>
          <w:szCs w:val="20"/>
          <w:lang w:eastAsia="en-US"/>
        </w:rPr>
        <w:t>ta zostanie mo</w:t>
      </w:r>
      <w:r w:rsidRPr="00F557BB">
        <w:rPr>
          <w:rFonts w:eastAsia="TimesNewRoman" w:cs="Arial"/>
          <w:szCs w:val="20"/>
          <w:lang w:eastAsia="en-US"/>
        </w:rPr>
        <w:t>ż</w:t>
      </w:r>
      <w:r w:rsidRPr="00F557BB">
        <w:rPr>
          <w:rFonts w:eastAsia="Calibri" w:cs="Arial"/>
          <w:szCs w:val="20"/>
          <w:lang w:eastAsia="en-US"/>
        </w:rPr>
        <w:t>liwa do zaakceptowania jako</w:t>
      </w:r>
      <w:r w:rsidRPr="00F557BB">
        <w:rPr>
          <w:rFonts w:eastAsia="TimesNewRoman" w:cs="Arial"/>
          <w:szCs w:val="20"/>
          <w:lang w:eastAsia="en-US"/>
        </w:rPr>
        <w:t xml:space="preserve">ść </w:t>
      </w:r>
      <w:r w:rsidRPr="00F557BB">
        <w:rPr>
          <w:rFonts w:eastAsia="Calibri" w:cs="Arial"/>
          <w:szCs w:val="20"/>
          <w:lang w:eastAsia="en-US"/>
        </w:rPr>
        <w:t>elementu to In</w:t>
      </w:r>
      <w:r w:rsidRPr="00F557BB">
        <w:rPr>
          <w:rFonts w:eastAsia="TimesNewRoman" w:cs="Arial"/>
          <w:szCs w:val="20"/>
          <w:lang w:eastAsia="en-US"/>
        </w:rPr>
        <w:t>ż</w:t>
      </w:r>
      <w:r w:rsidRPr="00F557BB">
        <w:rPr>
          <w:rFonts w:eastAsia="Calibri" w:cs="Arial"/>
          <w:szCs w:val="20"/>
          <w:lang w:eastAsia="en-US"/>
        </w:rPr>
        <w:t>ynier/Kierownik</w:t>
      </w:r>
    </w:p>
    <w:p w14:paraId="2935304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Projektu mo</w:t>
      </w:r>
      <w:r w:rsidRPr="00F557BB">
        <w:rPr>
          <w:rFonts w:eastAsia="TimesNewRoman" w:cs="Arial"/>
          <w:szCs w:val="20"/>
          <w:lang w:eastAsia="en-US"/>
        </w:rPr>
        <w:t>ż</w:t>
      </w:r>
      <w:r w:rsidRPr="00F557BB">
        <w:rPr>
          <w:rFonts w:eastAsia="Calibri" w:cs="Arial"/>
          <w:szCs w:val="20"/>
          <w:lang w:eastAsia="en-US"/>
        </w:rPr>
        <w:t>e zaakceptowa</w:t>
      </w:r>
      <w:r w:rsidRPr="00F557BB">
        <w:rPr>
          <w:rFonts w:eastAsia="TimesNewRoman" w:cs="Arial"/>
          <w:szCs w:val="20"/>
          <w:lang w:eastAsia="en-US"/>
        </w:rPr>
        <w:t xml:space="preserve">ć </w:t>
      </w:r>
      <w:r w:rsidRPr="00F557BB">
        <w:rPr>
          <w:rFonts w:eastAsia="Calibri" w:cs="Arial"/>
          <w:szCs w:val="20"/>
          <w:lang w:eastAsia="en-US"/>
        </w:rPr>
        <w:t>takie roboty i zgodzi</w:t>
      </w:r>
      <w:r w:rsidRPr="00F557BB">
        <w:rPr>
          <w:rFonts w:eastAsia="TimesNewRoman" w:cs="Arial"/>
          <w:szCs w:val="20"/>
          <w:lang w:eastAsia="en-US"/>
        </w:rPr>
        <w:t xml:space="preserve">ć </w:t>
      </w:r>
      <w:r w:rsidRPr="00F557BB">
        <w:rPr>
          <w:rFonts w:eastAsia="Calibri" w:cs="Arial"/>
          <w:szCs w:val="20"/>
          <w:lang w:eastAsia="en-US"/>
        </w:rPr>
        <w:t>si</w:t>
      </w:r>
      <w:r w:rsidRPr="00F557BB">
        <w:rPr>
          <w:rFonts w:eastAsia="TimesNewRoman" w:cs="Arial"/>
          <w:szCs w:val="20"/>
          <w:lang w:eastAsia="en-US"/>
        </w:rPr>
        <w:t xml:space="preserve">ę </w:t>
      </w:r>
      <w:r w:rsidRPr="00F557BB">
        <w:rPr>
          <w:rFonts w:eastAsia="Calibri" w:cs="Arial"/>
          <w:szCs w:val="20"/>
          <w:lang w:eastAsia="en-US"/>
        </w:rPr>
        <w:t>na ich pozostawienie, jednak zastosuje</w:t>
      </w:r>
    </w:p>
    <w:p w14:paraId="788AF3B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odpowiednie potr</w:t>
      </w:r>
      <w:r w:rsidRPr="00F557BB">
        <w:rPr>
          <w:rFonts w:eastAsia="TimesNewRoman" w:cs="Arial"/>
          <w:szCs w:val="20"/>
          <w:lang w:eastAsia="en-US"/>
        </w:rPr>
        <w:t>ą</w:t>
      </w:r>
      <w:r w:rsidRPr="00F557BB">
        <w:rPr>
          <w:rFonts w:eastAsia="Calibri" w:cs="Arial"/>
          <w:szCs w:val="20"/>
          <w:lang w:eastAsia="en-US"/>
        </w:rPr>
        <w:t>cenia od ceny kontraktowej.</w:t>
      </w:r>
    </w:p>
    <w:p w14:paraId="05B52D25"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1.7.3. Zabezpieczenie terenu budowy</w:t>
      </w:r>
    </w:p>
    <w:p w14:paraId="1291A09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jest zobowi</w:t>
      </w:r>
      <w:r w:rsidRPr="00F557BB">
        <w:rPr>
          <w:rFonts w:eastAsia="TimesNewRoman" w:cs="Arial"/>
          <w:szCs w:val="20"/>
          <w:lang w:eastAsia="en-US"/>
        </w:rPr>
        <w:t>ą</w:t>
      </w:r>
      <w:r w:rsidRPr="00F557BB">
        <w:rPr>
          <w:rFonts w:eastAsia="Calibri" w:cs="Arial"/>
          <w:szCs w:val="20"/>
          <w:lang w:eastAsia="en-US"/>
        </w:rPr>
        <w:t>zany do zabezpieczenia terenu budowy w okresie trwania realizacji</w:t>
      </w:r>
    </w:p>
    <w:p w14:paraId="77CB550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kontraktu a</w:t>
      </w:r>
      <w:r w:rsidRPr="00F557BB">
        <w:rPr>
          <w:rFonts w:eastAsia="TimesNewRoman" w:cs="Arial"/>
          <w:szCs w:val="20"/>
          <w:lang w:eastAsia="en-US"/>
        </w:rPr>
        <w:t xml:space="preserve">ż </w:t>
      </w:r>
      <w:r w:rsidRPr="00F557BB">
        <w:rPr>
          <w:rFonts w:eastAsia="Calibri" w:cs="Arial"/>
          <w:szCs w:val="20"/>
          <w:lang w:eastAsia="en-US"/>
        </w:rPr>
        <w:t>do zako</w:t>
      </w:r>
      <w:r w:rsidRPr="00F557BB">
        <w:rPr>
          <w:rFonts w:eastAsia="TimesNewRoman" w:cs="Arial"/>
          <w:szCs w:val="20"/>
          <w:lang w:eastAsia="en-US"/>
        </w:rPr>
        <w:t>ń</w:t>
      </w:r>
      <w:r w:rsidRPr="00F557BB">
        <w:rPr>
          <w:rFonts w:eastAsia="Calibri" w:cs="Arial"/>
          <w:szCs w:val="20"/>
          <w:lang w:eastAsia="en-US"/>
        </w:rPr>
        <w:t>czenia i odbioru ostatecznego robót.</w:t>
      </w:r>
    </w:p>
    <w:p w14:paraId="4E8A4EB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jest zobowi</w:t>
      </w:r>
      <w:r w:rsidRPr="00F557BB">
        <w:rPr>
          <w:rFonts w:eastAsia="TimesNewRoman" w:cs="Arial"/>
          <w:szCs w:val="20"/>
          <w:lang w:eastAsia="en-US"/>
        </w:rPr>
        <w:t>ą</w:t>
      </w:r>
      <w:r w:rsidRPr="00F557BB">
        <w:rPr>
          <w:rFonts w:eastAsia="Calibri" w:cs="Arial"/>
          <w:szCs w:val="20"/>
          <w:lang w:eastAsia="en-US"/>
        </w:rPr>
        <w:t>zany do utrzymania ruchu publicznego oraz utrzymania istniej</w:t>
      </w:r>
      <w:r w:rsidRPr="00F557BB">
        <w:rPr>
          <w:rFonts w:eastAsia="TimesNewRoman" w:cs="Arial"/>
          <w:szCs w:val="20"/>
          <w:lang w:eastAsia="en-US"/>
        </w:rPr>
        <w:t>ą</w:t>
      </w:r>
      <w:r w:rsidRPr="00F557BB">
        <w:rPr>
          <w:rFonts w:eastAsia="Calibri" w:cs="Arial"/>
          <w:szCs w:val="20"/>
          <w:lang w:eastAsia="en-US"/>
        </w:rPr>
        <w:t>cych</w:t>
      </w:r>
    </w:p>
    <w:p w14:paraId="2AFA22C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obiektów (jezdnie, </w:t>
      </w:r>
      <w:r w:rsidRPr="00F557BB">
        <w:rPr>
          <w:rFonts w:eastAsia="TimesNewRoman" w:cs="Arial"/>
          <w:szCs w:val="20"/>
          <w:lang w:eastAsia="en-US"/>
        </w:rPr>
        <w:t>ś</w:t>
      </w:r>
      <w:r w:rsidRPr="00F557BB">
        <w:rPr>
          <w:rFonts w:eastAsia="Calibri" w:cs="Arial"/>
          <w:szCs w:val="20"/>
          <w:lang w:eastAsia="en-US"/>
        </w:rPr>
        <w:t>cie</w:t>
      </w:r>
      <w:r w:rsidRPr="00F557BB">
        <w:rPr>
          <w:rFonts w:eastAsia="TimesNewRoman" w:cs="Arial"/>
          <w:szCs w:val="20"/>
          <w:lang w:eastAsia="en-US"/>
        </w:rPr>
        <w:t>ż</w:t>
      </w:r>
      <w:r w:rsidRPr="00F557BB">
        <w:rPr>
          <w:rFonts w:eastAsia="Calibri" w:cs="Arial"/>
          <w:szCs w:val="20"/>
          <w:lang w:eastAsia="en-US"/>
        </w:rPr>
        <w:t>ki rowerowe, ci</w:t>
      </w:r>
      <w:r w:rsidRPr="00F557BB">
        <w:rPr>
          <w:rFonts w:eastAsia="TimesNewRoman" w:cs="Arial"/>
          <w:szCs w:val="20"/>
          <w:lang w:eastAsia="en-US"/>
        </w:rPr>
        <w:t>ą</w:t>
      </w:r>
      <w:r w:rsidRPr="00F557BB">
        <w:rPr>
          <w:rFonts w:eastAsia="Calibri" w:cs="Arial"/>
          <w:szCs w:val="20"/>
          <w:lang w:eastAsia="en-US"/>
        </w:rPr>
        <w:t>gi piesze, znaki drogowe, bariery ochronne, urz</w:t>
      </w:r>
      <w:r w:rsidRPr="00F557BB">
        <w:rPr>
          <w:rFonts w:eastAsia="TimesNewRoman" w:cs="Arial"/>
          <w:szCs w:val="20"/>
          <w:lang w:eastAsia="en-US"/>
        </w:rPr>
        <w:t>ą</w:t>
      </w:r>
      <w:r w:rsidRPr="00F557BB">
        <w:rPr>
          <w:rFonts w:eastAsia="Calibri" w:cs="Arial"/>
          <w:szCs w:val="20"/>
          <w:lang w:eastAsia="en-US"/>
        </w:rPr>
        <w:t>dzenia</w:t>
      </w:r>
    </w:p>
    <w:p w14:paraId="5915593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odwodnienia itp.) na terenie budowy, w okresie trwania realizacji kontraktu, a</w:t>
      </w:r>
      <w:r w:rsidRPr="00F557BB">
        <w:rPr>
          <w:rFonts w:eastAsia="TimesNewRoman" w:cs="Arial"/>
          <w:szCs w:val="20"/>
          <w:lang w:eastAsia="en-US"/>
        </w:rPr>
        <w:t xml:space="preserve">ż </w:t>
      </w:r>
      <w:r w:rsidRPr="00F557BB">
        <w:rPr>
          <w:rFonts w:eastAsia="Calibri" w:cs="Arial"/>
          <w:szCs w:val="20"/>
          <w:lang w:eastAsia="en-US"/>
        </w:rPr>
        <w:t>do zako</w:t>
      </w:r>
      <w:r w:rsidRPr="00F557BB">
        <w:rPr>
          <w:rFonts w:eastAsia="TimesNewRoman" w:cs="Arial"/>
          <w:szCs w:val="20"/>
          <w:lang w:eastAsia="en-US"/>
        </w:rPr>
        <w:t>ń</w:t>
      </w:r>
      <w:r w:rsidRPr="00F557BB">
        <w:rPr>
          <w:rFonts w:eastAsia="Calibri" w:cs="Arial"/>
          <w:szCs w:val="20"/>
          <w:lang w:eastAsia="en-US"/>
        </w:rPr>
        <w:t>czenia i</w:t>
      </w:r>
    </w:p>
    <w:p w14:paraId="230CE89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odbioru ostatecznego robót.</w:t>
      </w:r>
    </w:p>
    <w:p w14:paraId="4144305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Przed przyst</w:t>
      </w:r>
      <w:r w:rsidRPr="00F557BB">
        <w:rPr>
          <w:rFonts w:eastAsia="TimesNewRoman" w:cs="Arial"/>
          <w:szCs w:val="20"/>
          <w:lang w:eastAsia="en-US"/>
        </w:rPr>
        <w:t>ą</w:t>
      </w:r>
      <w:r w:rsidRPr="00F557BB">
        <w:rPr>
          <w:rFonts w:eastAsia="Calibri" w:cs="Arial"/>
          <w:szCs w:val="20"/>
          <w:lang w:eastAsia="en-US"/>
        </w:rPr>
        <w:t>pieniem do robót Wykonawca przedstawi In</w:t>
      </w:r>
      <w:r w:rsidRPr="00F557BB">
        <w:rPr>
          <w:rFonts w:eastAsia="TimesNewRoman" w:cs="Arial"/>
          <w:szCs w:val="20"/>
          <w:lang w:eastAsia="en-US"/>
        </w:rPr>
        <w:t>ż</w:t>
      </w:r>
      <w:r w:rsidRPr="00F557BB">
        <w:rPr>
          <w:rFonts w:eastAsia="Calibri" w:cs="Arial"/>
          <w:szCs w:val="20"/>
          <w:lang w:eastAsia="en-US"/>
        </w:rPr>
        <w:t>ynierowi/Kierownikowi Projektu do</w:t>
      </w:r>
    </w:p>
    <w:p w14:paraId="6FFE5B2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zatwierdzenia, uzgodniony z odpowiednim zarz</w:t>
      </w:r>
      <w:r w:rsidRPr="00F557BB">
        <w:rPr>
          <w:rFonts w:eastAsia="TimesNewRoman" w:cs="Arial"/>
          <w:szCs w:val="20"/>
          <w:lang w:eastAsia="en-US"/>
        </w:rPr>
        <w:t>ą</w:t>
      </w:r>
      <w:r w:rsidRPr="00F557BB">
        <w:rPr>
          <w:rFonts w:eastAsia="Calibri" w:cs="Arial"/>
          <w:szCs w:val="20"/>
          <w:lang w:eastAsia="en-US"/>
        </w:rPr>
        <w:t>dem drogi i organem zarz</w:t>
      </w:r>
      <w:r w:rsidRPr="00F557BB">
        <w:rPr>
          <w:rFonts w:eastAsia="TimesNewRoman" w:cs="Arial"/>
          <w:szCs w:val="20"/>
          <w:lang w:eastAsia="en-US"/>
        </w:rPr>
        <w:t>ą</w:t>
      </w:r>
      <w:r w:rsidRPr="00F557BB">
        <w:rPr>
          <w:rFonts w:eastAsia="Calibri" w:cs="Arial"/>
          <w:szCs w:val="20"/>
          <w:lang w:eastAsia="en-US"/>
        </w:rPr>
        <w:t>dzaj</w:t>
      </w:r>
      <w:r w:rsidRPr="00F557BB">
        <w:rPr>
          <w:rFonts w:eastAsia="TimesNewRoman" w:cs="Arial"/>
          <w:szCs w:val="20"/>
          <w:lang w:eastAsia="en-US"/>
        </w:rPr>
        <w:t>ą</w:t>
      </w:r>
      <w:r w:rsidRPr="00F557BB">
        <w:rPr>
          <w:rFonts w:eastAsia="Calibri" w:cs="Arial"/>
          <w:szCs w:val="20"/>
          <w:lang w:eastAsia="en-US"/>
        </w:rPr>
        <w:t>cym ruchem,</w:t>
      </w:r>
    </w:p>
    <w:p w14:paraId="0BFAFAA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lastRenderedPageBreak/>
        <w:t>projekt organizacji ruchu i zabezpieczenia robót w okresie trwania budowy.</w:t>
      </w:r>
    </w:p>
    <w:p w14:paraId="366F71B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zale</w:t>
      </w:r>
      <w:r w:rsidRPr="00F557BB">
        <w:rPr>
          <w:rFonts w:eastAsia="TimesNewRoman" w:cs="Arial"/>
          <w:szCs w:val="20"/>
          <w:lang w:eastAsia="en-US"/>
        </w:rPr>
        <w:t>ż</w:t>
      </w:r>
      <w:r w:rsidRPr="00F557BB">
        <w:rPr>
          <w:rFonts w:eastAsia="Calibri" w:cs="Arial"/>
          <w:szCs w:val="20"/>
          <w:lang w:eastAsia="en-US"/>
        </w:rPr>
        <w:t>no</w:t>
      </w:r>
      <w:r w:rsidRPr="00F557BB">
        <w:rPr>
          <w:rFonts w:eastAsia="TimesNewRoman" w:cs="Arial"/>
          <w:szCs w:val="20"/>
          <w:lang w:eastAsia="en-US"/>
        </w:rPr>
        <w:t>ś</w:t>
      </w:r>
      <w:r w:rsidRPr="00F557BB">
        <w:rPr>
          <w:rFonts w:eastAsia="Calibri" w:cs="Arial"/>
          <w:szCs w:val="20"/>
          <w:lang w:eastAsia="en-US"/>
        </w:rPr>
        <w:t>ci od potrzeb i post</w:t>
      </w:r>
      <w:r w:rsidRPr="00F557BB">
        <w:rPr>
          <w:rFonts w:eastAsia="TimesNewRoman" w:cs="Arial"/>
          <w:szCs w:val="20"/>
          <w:lang w:eastAsia="en-US"/>
        </w:rPr>
        <w:t>ę</w:t>
      </w:r>
      <w:r w:rsidRPr="00F557BB">
        <w:rPr>
          <w:rFonts w:eastAsia="Calibri" w:cs="Arial"/>
          <w:szCs w:val="20"/>
          <w:lang w:eastAsia="en-US"/>
        </w:rPr>
        <w:t>pu robót projekt organizacji ruchu powinien by</w:t>
      </w:r>
      <w:r w:rsidRPr="00F557BB">
        <w:rPr>
          <w:rFonts w:eastAsia="TimesNewRoman" w:cs="Arial"/>
          <w:szCs w:val="20"/>
          <w:lang w:eastAsia="en-US"/>
        </w:rPr>
        <w:t xml:space="preserve">ć </w:t>
      </w:r>
      <w:r w:rsidRPr="00F557BB">
        <w:rPr>
          <w:rFonts w:eastAsia="Calibri" w:cs="Arial"/>
          <w:szCs w:val="20"/>
          <w:lang w:eastAsia="en-US"/>
        </w:rPr>
        <w:t>na bie</w:t>
      </w:r>
      <w:r w:rsidRPr="00F557BB">
        <w:rPr>
          <w:rFonts w:eastAsia="TimesNewRoman" w:cs="Arial"/>
          <w:szCs w:val="20"/>
          <w:lang w:eastAsia="en-US"/>
        </w:rPr>
        <w:t>żą</w:t>
      </w:r>
      <w:r w:rsidRPr="00F557BB">
        <w:rPr>
          <w:rFonts w:eastAsia="Calibri" w:cs="Arial"/>
          <w:szCs w:val="20"/>
          <w:lang w:eastAsia="en-US"/>
        </w:rPr>
        <w:t>co</w:t>
      </w:r>
    </w:p>
    <w:p w14:paraId="6C6AACD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aktualizowany przez Wykonawc</w:t>
      </w:r>
      <w:r w:rsidRPr="00F557BB">
        <w:rPr>
          <w:rFonts w:eastAsia="TimesNewRoman" w:cs="Arial"/>
          <w:szCs w:val="20"/>
          <w:lang w:eastAsia="en-US"/>
        </w:rPr>
        <w:t>ę</w:t>
      </w:r>
      <w:r w:rsidRPr="00F557BB">
        <w:rPr>
          <w:rFonts w:eastAsia="Calibri" w:cs="Arial"/>
          <w:szCs w:val="20"/>
          <w:lang w:eastAsia="en-US"/>
        </w:rPr>
        <w:t>. Ka</w:t>
      </w:r>
      <w:r w:rsidRPr="00F557BB">
        <w:rPr>
          <w:rFonts w:eastAsia="TimesNewRoman" w:cs="Arial"/>
          <w:szCs w:val="20"/>
          <w:lang w:eastAsia="en-US"/>
        </w:rPr>
        <w:t>ż</w:t>
      </w:r>
      <w:r w:rsidRPr="00F557BB">
        <w:rPr>
          <w:rFonts w:eastAsia="Calibri" w:cs="Arial"/>
          <w:szCs w:val="20"/>
          <w:lang w:eastAsia="en-US"/>
        </w:rPr>
        <w:t>da zmiana, w stosunku do zatwierdzonego projektu</w:t>
      </w:r>
    </w:p>
    <w:p w14:paraId="537647E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organizacji ruchu, wymaga ka</w:t>
      </w:r>
      <w:r w:rsidRPr="00F557BB">
        <w:rPr>
          <w:rFonts w:eastAsia="TimesNewRoman" w:cs="Arial"/>
          <w:szCs w:val="20"/>
          <w:lang w:eastAsia="en-US"/>
        </w:rPr>
        <w:t>ż</w:t>
      </w:r>
      <w:r w:rsidRPr="00F557BB">
        <w:rPr>
          <w:rFonts w:eastAsia="Calibri" w:cs="Arial"/>
          <w:szCs w:val="20"/>
          <w:lang w:eastAsia="en-US"/>
        </w:rPr>
        <w:t>dorazowo ponownego zatwierdzenia projektu.</w:t>
      </w:r>
    </w:p>
    <w:p w14:paraId="7BB1CDA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czasie wykonywania robót Wykonawca dostarczy, zainstaluje i b</w:t>
      </w:r>
      <w:r w:rsidRPr="00F557BB">
        <w:rPr>
          <w:rFonts w:eastAsia="TimesNewRoman" w:cs="Arial"/>
          <w:szCs w:val="20"/>
          <w:lang w:eastAsia="en-US"/>
        </w:rPr>
        <w:t>ę</w:t>
      </w:r>
      <w:r w:rsidRPr="00F557BB">
        <w:rPr>
          <w:rFonts w:eastAsia="Calibri" w:cs="Arial"/>
          <w:szCs w:val="20"/>
          <w:lang w:eastAsia="en-US"/>
        </w:rPr>
        <w:t>dzie obsługiwał wszystkie</w:t>
      </w:r>
    </w:p>
    <w:p w14:paraId="6F2C2E6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tymczasowe urz</w:t>
      </w:r>
      <w:r w:rsidRPr="00F557BB">
        <w:rPr>
          <w:rFonts w:eastAsia="TimesNewRoman" w:cs="Arial"/>
          <w:szCs w:val="20"/>
          <w:lang w:eastAsia="en-US"/>
        </w:rPr>
        <w:t>ą</w:t>
      </w:r>
      <w:r w:rsidRPr="00F557BB">
        <w:rPr>
          <w:rFonts w:eastAsia="Calibri" w:cs="Arial"/>
          <w:szCs w:val="20"/>
          <w:lang w:eastAsia="en-US"/>
        </w:rPr>
        <w:t>dzenia zabezpieczaj</w:t>
      </w:r>
      <w:r w:rsidRPr="00F557BB">
        <w:rPr>
          <w:rFonts w:eastAsia="TimesNewRoman" w:cs="Arial"/>
          <w:szCs w:val="20"/>
          <w:lang w:eastAsia="en-US"/>
        </w:rPr>
        <w:t>ą</w:t>
      </w:r>
      <w:r w:rsidRPr="00F557BB">
        <w:rPr>
          <w:rFonts w:eastAsia="Calibri" w:cs="Arial"/>
          <w:szCs w:val="20"/>
          <w:lang w:eastAsia="en-US"/>
        </w:rPr>
        <w:t xml:space="preserve">ce takie jak: zapory, </w:t>
      </w:r>
      <w:r w:rsidRPr="00F557BB">
        <w:rPr>
          <w:rFonts w:eastAsia="TimesNewRoman" w:cs="Arial"/>
          <w:szCs w:val="20"/>
          <w:lang w:eastAsia="en-US"/>
        </w:rPr>
        <w:t>ś</w:t>
      </w:r>
      <w:r w:rsidRPr="00F557BB">
        <w:rPr>
          <w:rFonts w:eastAsia="Calibri" w:cs="Arial"/>
          <w:szCs w:val="20"/>
          <w:lang w:eastAsia="en-US"/>
        </w:rPr>
        <w:t>wiatła ostrzegawcze, sygnały, itp.,</w:t>
      </w:r>
    </w:p>
    <w:p w14:paraId="0CFC127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zapewniaj</w:t>
      </w:r>
      <w:r w:rsidRPr="00F557BB">
        <w:rPr>
          <w:rFonts w:eastAsia="TimesNewRoman" w:cs="Arial"/>
          <w:szCs w:val="20"/>
          <w:lang w:eastAsia="en-US"/>
        </w:rPr>
        <w:t>ą</w:t>
      </w:r>
      <w:r w:rsidRPr="00F557BB">
        <w:rPr>
          <w:rFonts w:eastAsia="Calibri" w:cs="Arial"/>
          <w:szCs w:val="20"/>
          <w:lang w:eastAsia="en-US"/>
        </w:rPr>
        <w:t>c w ten sposób bezpiecze</w:t>
      </w:r>
      <w:r w:rsidRPr="00F557BB">
        <w:rPr>
          <w:rFonts w:eastAsia="TimesNewRoman" w:cs="Arial"/>
          <w:szCs w:val="20"/>
          <w:lang w:eastAsia="en-US"/>
        </w:rPr>
        <w:t>ń</w:t>
      </w:r>
      <w:r w:rsidRPr="00F557BB">
        <w:rPr>
          <w:rFonts w:eastAsia="Calibri" w:cs="Arial"/>
          <w:szCs w:val="20"/>
          <w:lang w:eastAsia="en-US"/>
        </w:rPr>
        <w:t>stwo pojazdów i pieszych.</w:t>
      </w:r>
    </w:p>
    <w:p w14:paraId="3D5DF16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zapewni stałe warunki widoczno</w:t>
      </w:r>
      <w:r w:rsidRPr="00F557BB">
        <w:rPr>
          <w:rFonts w:eastAsia="TimesNewRoman" w:cs="Arial"/>
          <w:szCs w:val="20"/>
          <w:lang w:eastAsia="en-US"/>
        </w:rPr>
        <w:t>ś</w:t>
      </w:r>
      <w:r w:rsidRPr="00F557BB">
        <w:rPr>
          <w:rFonts w:eastAsia="Calibri" w:cs="Arial"/>
          <w:szCs w:val="20"/>
          <w:lang w:eastAsia="en-US"/>
        </w:rPr>
        <w:t>ci w dzie</w:t>
      </w:r>
      <w:r w:rsidRPr="00F557BB">
        <w:rPr>
          <w:rFonts w:eastAsia="TimesNewRoman" w:cs="Arial"/>
          <w:szCs w:val="20"/>
          <w:lang w:eastAsia="en-US"/>
        </w:rPr>
        <w:t xml:space="preserve">ń </w:t>
      </w:r>
      <w:r w:rsidRPr="00F557BB">
        <w:rPr>
          <w:rFonts w:eastAsia="Calibri" w:cs="Arial"/>
          <w:szCs w:val="20"/>
          <w:lang w:eastAsia="en-US"/>
        </w:rPr>
        <w:t>i w nocy tych zapór i znaków, dla</w:t>
      </w:r>
    </w:p>
    <w:p w14:paraId="58027B1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których jest to nieodzowne ze wzgl</w:t>
      </w:r>
      <w:r w:rsidRPr="00F557BB">
        <w:rPr>
          <w:rFonts w:eastAsia="TimesNewRoman" w:cs="Arial"/>
          <w:szCs w:val="20"/>
          <w:lang w:eastAsia="en-US"/>
        </w:rPr>
        <w:t>ę</w:t>
      </w:r>
      <w:r w:rsidRPr="00F557BB">
        <w:rPr>
          <w:rFonts w:eastAsia="Calibri" w:cs="Arial"/>
          <w:szCs w:val="20"/>
          <w:lang w:eastAsia="en-US"/>
        </w:rPr>
        <w:t>dów bezpiecze</w:t>
      </w:r>
      <w:r w:rsidRPr="00F557BB">
        <w:rPr>
          <w:rFonts w:eastAsia="TimesNewRoman" w:cs="Arial"/>
          <w:szCs w:val="20"/>
          <w:lang w:eastAsia="en-US"/>
        </w:rPr>
        <w:t>ń</w:t>
      </w:r>
      <w:r w:rsidRPr="00F557BB">
        <w:rPr>
          <w:rFonts w:eastAsia="Calibri" w:cs="Arial"/>
          <w:szCs w:val="20"/>
          <w:lang w:eastAsia="en-US"/>
        </w:rPr>
        <w:t>stwa.</w:t>
      </w:r>
    </w:p>
    <w:p w14:paraId="7238310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Wszystkie znaki, zapory i inne urz</w:t>
      </w:r>
      <w:r w:rsidRPr="00F557BB">
        <w:rPr>
          <w:rFonts w:eastAsia="TimesNewRoman" w:cs="Arial"/>
          <w:szCs w:val="20"/>
          <w:lang w:eastAsia="en-US"/>
        </w:rPr>
        <w:t>ą</w:t>
      </w:r>
      <w:r w:rsidRPr="00F557BB">
        <w:rPr>
          <w:rFonts w:eastAsia="Calibri" w:cs="Arial"/>
          <w:szCs w:val="20"/>
          <w:lang w:eastAsia="en-US"/>
        </w:rPr>
        <w:t>dzenia zabezpieczaj</w:t>
      </w:r>
      <w:r w:rsidRPr="00F557BB">
        <w:rPr>
          <w:rFonts w:eastAsia="TimesNewRoman" w:cs="Arial"/>
          <w:szCs w:val="20"/>
          <w:lang w:eastAsia="en-US"/>
        </w:rPr>
        <w:t>ą</w:t>
      </w:r>
      <w:r w:rsidRPr="00F557BB">
        <w:rPr>
          <w:rFonts w:eastAsia="Calibri" w:cs="Arial"/>
          <w:szCs w:val="20"/>
          <w:lang w:eastAsia="en-US"/>
        </w:rPr>
        <w:t>ce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akceptowane przez</w:t>
      </w:r>
    </w:p>
    <w:p w14:paraId="70BE1BC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In</w:t>
      </w:r>
      <w:r w:rsidRPr="00F557BB">
        <w:rPr>
          <w:rFonts w:eastAsia="TimesNewRoman" w:cs="Arial"/>
          <w:szCs w:val="20"/>
          <w:lang w:eastAsia="en-US"/>
        </w:rPr>
        <w:t>ż</w:t>
      </w:r>
      <w:r w:rsidRPr="00F557BB">
        <w:rPr>
          <w:rFonts w:eastAsia="Calibri" w:cs="Arial"/>
          <w:szCs w:val="20"/>
          <w:lang w:eastAsia="en-US"/>
        </w:rPr>
        <w:t>yniera/Kierownika Projektu.</w:t>
      </w:r>
    </w:p>
    <w:p w14:paraId="483BB41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Fakt przyst</w:t>
      </w:r>
      <w:r w:rsidRPr="00F557BB">
        <w:rPr>
          <w:rFonts w:eastAsia="TimesNewRoman" w:cs="Arial"/>
          <w:szCs w:val="20"/>
          <w:lang w:eastAsia="en-US"/>
        </w:rPr>
        <w:t>ą</w:t>
      </w:r>
      <w:r w:rsidRPr="00F557BB">
        <w:rPr>
          <w:rFonts w:eastAsia="Calibri" w:cs="Arial"/>
          <w:szCs w:val="20"/>
          <w:lang w:eastAsia="en-US"/>
        </w:rPr>
        <w:t>pienia do robót Wykonawca obwie</w:t>
      </w:r>
      <w:r w:rsidRPr="00F557BB">
        <w:rPr>
          <w:rFonts w:eastAsia="TimesNewRoman" w:cs="Arial"/>
          <w:szCs w:val="20"/>
          <w:lang w:eastAsia="en-US"/>
        </w:rPr>
        <w:t>ś</w:t>
      </w:r>
      <w:r w:rsidRPr="00F557BB">
        <w:rPr>
          <w:rFonts w:eastAsia="Calibri" w:cs="Arial"/>
          <w:szCs w:val="20"/>
          <w:lang w:eastAsia="en-US"/>
        </w:rPr>
        <w:t>ci publicznie przed ich rozpocz</w:t>
      </w:r>
      <w:r w:rsidRPr="00F557BB">
        <w:rPr>
          <w:rFonts w:eastAsia="TimesNewRoman" w:cs="Arial"/>
          <w:szCs w:val="20"/>
          <w:lang w:eastAsia="en-US"/>
        </w:rPr>
        <w:t>ę</w:t>
      </w:r>
      <w:r w:rsidRPr="00F557BB">
        <w:rPr>
          <w:rFonts w:eastAsia="Calibri" w:cs="Arial"/>
          <w:szCs w:val="20"/>
          <w:lang w:eastAsia="en-US"/>
        </w:rPr>
        <w:t>ciem w sposób</w:t>
      </w:r>
    </w:p>
    <w:p w14:paraId="3579F09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uzgodniony z In</w:t>
      </w:r>
      <w:r w:rsidRPr="00F557BB">
        <w:rPr>
          <w:rFonts w:eastAsia="TimesNewRoman" w:cs="Arial"/>
          <w:szCs w:val="20"/>
          <w:lang w:eastAsia="en-US"/>
        </w:rPr>
        <w:t>ż</w:t>
      </w:r>
      <w:r w:rsidRPr="00F557BB">
        <w:rPr>
          <w:rFonts w:eastAsia="Calibri" w:cs="Arial"/>
          <w:szCs w:val="20"/>
          <w:lang w:eastAsia="en-US"/>
        </w:rPr>
        <w:t>ynierem/Kierownikiem projektu oraz przez umieszczenie, w miejscach i</w:t>
      </w:r>
    </w:p>
    <w:p w14:paraId="220F96D7"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ilo</w:t>
      </w:r>
      <w:r w:rsidRPr="00F557BB">
        <w:rPr>
          <w:rFonts w:eastAsia="TimesNewRoman" w:cs="Arial"/>
          <w:szCs w:val="20"/>
          <w:lang w:eastAsia="en-US"/>
        </w:rPr>
        <w:t>ś</w:t>
      </w:r>
      <w:r w:rsidRPr="00F557BB">
        <w:rPr>
          <w:rFonts w:eastAsia="Calibri" w:cs="Arial"/>
          <w:szCs w:val="20"/>
          <w:lang w:eastAsia="en-US"/>
        </w:rPr>
        <w:t>ciach okre</w:t>
      </w:r>
      <w:r w:rsidRPr="00F557BB">
        <w:rPr>
          <w:rFonts w:eastAsia="TimesNewRoman" w:cs="Arial"/>
          <w:szCs w:val="20"/>
          <w:lang w:eastAsia="en-US"/>
        </w:rPr>
        <w:t>ś</w:t>
      </w:r>
      <w:r w:rsidRPr="00F557BB">
        <w:rPr>
          <w:rFonts w:eastAsia="Calibri" w:cs="Arial"/>
          <w:szCs w:val="20"/>
          <w:lang w:eastAsia="en-US"/>
        </w:rPr>
        <w:t>lonych przez In</w:t>
      </w:r>
      <w:r w:rsidRPr="00F557BB">
        <w:rPr>
          <w:rFonts w:eastAsia="TimesNewRoman" w:cs="Arial"/>
          <w:szCs w:val="20"/>
          <w:lang w:eastAsia="en-US"/>
        </w:rPr>
        <w:t>ż</w:t>
      </w:r>
      <w:r w:rsidRPr="00F557BB">
        <w:rPr>
          <w:rFonts w:eastAsia="Calibri" w:cs="Arial"/>
          <w:szCs w:val="20"/>
          <w:lang w:eastAsia="en-US"/>
        </w:rPr>
        <w:t>yniera/Kierownika projektu, tablic informacyjnych, których tre</w:t>
      </w:r>
      <w:r w:rsidRPr="00F557BB">
        <w:rPr>
          <w:rFonts w:eastAsia="TimesNewRoman" w:cs="Arial"/>
          <w:szCs w:val="20"/>
          <w:lang w:eastAsia="en-US"/>
        </w:rPr>
        <w:t>ść</w:t>
      </w:r>
    </w:p>
    <w:p w14:paraId="4B1A829B"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b</w:t>
      </w:r>
      <w:r w:rsidRPr="00F557BB">
        <w:rPr>
          <w:rFonts w:eastAsia="TimesNewRoman" w:cs="Arial"/>
          <w:szCs w:val="20"/>
          <w:lang w:eastAsia="en-US"/>
        </w:rPr>
        <w:t>ę</w:t>
      </w:r>
      <w:r w:rsidRPr="00F557BB">
        <w:rPr>
          <w:rFonts w:eastAsia="Calibri" w:cs="Arial"/>
          <w:szCs w:val="20"/>
          <w:lang w:eastAsia="en-US"/>
        </w:rPr>
        <w:t>dzie zatwierdzona przez In</w:t>
      </w:r>
      <w:r w:rsidRPr="00F557BB">
        <w:rPr>
          <w:rFonts w:eastAsia="TimesNewRoman" w:cs="Arial"/>
          <w:szCs w:val="20"/>
          <w:lang w:eastAsia="en-US"/>
        </w:rPr>
        <w:t>ż</w:t>
      </w:r>
      <w:r w:rsidRPr="00F557BB">
        <w:rPr>
          <w:rFonts w:eastAsia="Calibri" w:cs="Arial"/>
          <w:szCs w:val="20"/>
          <w:lang w:eastAsia="en-US"/>
        </w:rPr>
        <w:t>yniera/Kierownika Projektu. Tablice informacyjne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ą</w:t>
      </w:r>
    </w:p>
    <w:p w14:paraId="53115F9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utrzymywane przez Wykonawc</w:t>
      </w:r>
      <w:r w:rsidRPr="00F557BB">
        <w:rPr>
          <w:rFonts w:eastAsia="TimesNewRoman" w:cs="Arial"/>
          <w:szCs w:val="20"/>
          <w:lang w:eastAsia="en-US"/>
        </w:rPr>
        <w:t xml:space="preserve">ę </w:t>
      </w:r>
      <w:r w:rsidRPr="00F557BB">
        <w:rPr>
          <w:rFonts w:eastAsia="Calibri" w:cs="Arial"/>
          <w:szCs w:val="20"/>
          <w:lang w:eastAsia="en-US"/>
        </w:rPr>
        <w:t>w dobrym stanie przez cały okres realizacji robót. Koszt</w:t>
      </w:r>
    </w:p>
    <w:p w14:paraId="5C8D9B5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zabezpieczenia terenu budowy nie podlega odr</w:t>
      </w:r>
      <w:r w:rsidRPr="00F557BB">
        <w:rPr>
          <w:rFonts w:eastAsia="TimesNewRoman" w:cs="Arial"/>
          <w:szCs w:val="20"/>
          <w:lang w:eastAsia="en-US"/>
        </w:rPr>
        <w:t>ę</w:t>
      </w:r>
      <w:r w:rsidRPr="00F557BB">
        <w:rPr>
          <w:rFonts w:eastAsia="Calibri" w:cs="Arial"/>
          <w:szCs w:val="20"/>
          <w:lang w:eastAsia="en-US"/>
        </w:rPr>
        <w:t>bnej zapłacie i przyjmuje si</w:t>
      </w:r>
      <w:r w:rsidRPr="00F557BB">
        <w:rPr>
          <w:rFonts w:eastAsia="TimesNewRoman" w:cs="Arial"/>
          <w:szCs w:val="20"/>
          <w:lang w:eastAsia="en-US"/>
        </w:rPr>
        <w:t>ę</w:t>
      </w:r>
      <w:r w:rsidRPr="00F557BB">
        <w:rPr>
          <w:rFonts w:eastAsia="Calibri" w:cs="Arial"/>
          <w:szCs w:val="20"/>
          <w:lang w:eastAsia="en-US"/>
        </w:rPr>
        <w:t xml:space="preserve">, </w:t>
      </w:r>
      <w:r w:rsidRPr="00F557BB">
        <w:rPr>
          <w:rFonts w:eastAsia="TimesNewRoman" w:cs="Arial"/>
          <w:szCs w:val="20"/>
          <w:lang w:eastAsia="en-US"/>
        </w:rPr>
        <w:t>ż</w:t>
      </w:r>
      <w:r w:rsidRPr="00F557BB">
        <w:rPr>
          <w:rFonts w:eastAsia="Calibri" w:cs="Arial"/>
          <w:szCs w:val="20"/>
          <w:lang w:eastAsia="en-US"/>
        </w:rPr>
        <w:t>e jest wł</w:t>
      </w:r>
      <w:r w:rsidRPr="00F557BB">
        <w:rPr>
          <w:rFonts w:eastAsia="TimesNewRoman" w:cs="Arial"/>
          <w:szCs w:val="20"/>
          <w:lang w:eastAsia="en-US"/>
        </w:rPr>
        <w:t>ą</w:t>
      </w:r>
      <w:r w:rsidRPr="00F557BB">
        <w:rPr>
          <w:rFonts w:eastAsia="Calibri" w:cs="Arial"/>
          <w:szCs w:val="20"/>
          <w:lang w:eastAsia="en-US"/>
        </w:rPr>
        <w:t>czony w</w:t>
      </w:r>
    </w:p>
    <w:p w14:paraId="3F8D573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cen</w:t>
      </w:r>
      <w:r w:rsidRPr="00F557BB">
        <w:rPr>
          <w:rFonts w:eastAsia="TimesNewRoman" w:cs="Arial"/>
          <w:szCs w:val="20"/>
          <w:lang w:eastAsia="en-US"/>
        </w:rPr>
        <w:t xml:space="preserve">ę </w:t>
      </w:r>
      <w:r w:rsidRPr="00F557BB">
        <w:rPr>
          <w:rFonts w:eastAsia="Calibri" w:cs="Arial"/>
          <w:szCs w:val="20"/>
          <w:lang w:eastAsia="en-US"/>
        </w:rPr>
        <w:t>kontraktow</w:t>
      </w:r>
      <w:r w:rsidRPr="00F557BB">
        <w:rPr>
          <w:rFonts w:eastAsia="TimesNewRoman" w:cs="Arial"/>
          <w:szCs w:val="20"/>
          <w:lang w:eastAsia="en-US"/>
        </w:rPr>
        <w:t>ą</w:t>
      </w:r>
      <w:r w:rsidRPr="00F557BB">
        <w:rPr>
          <w:rFonts w:eastAsia="Calibri" w:cs="Arial"/>
          <w:szCs w:val="20"/>
          <w:lang w:eastAsia="en-US"/>
        </w:rPr>
        <w:t>.</w:t>
      </w:r>
    </w:p>
    <w:p w14:paraId="2C587197"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1.7.4. Ochrona środowiska w czasie wykonywania robót</w:t>
      </w:r>
    </w:p>
    <w:p w14:paraId="580A6AB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ma obowi</w:t>
      </w:r>
      <w:r w:rsidRPr="00F557BB">
        <w:rPr>
          <w:rFonts w:eastAsia="TimesNewRoman" w:cs="Arial"/>
          <w:szCs w:val="20"/>
          <w:lang w:eastAsia="en-US"/>
        </w:rPr>
        <w:t>ą</w:t>
      </w:r>
      <w:r w:rsidRPr="00F557BB">
        <w:rPr>
          <w:rFonts w:eastAsia="Calibri" w:cs="Arial"/>
          <w:szCs w:val="20"/>
          <w:lang w:eastAsia="en-US"/>
        </w:rPr>
        <w:t>zek zna</w:t>
      </w:r>
      <w:r w:rsidRPr="00F557BB">
        <w:rPr>
          <w:rFonts w:eastAsia="TimesNewRoman" w:cs="Arial"/>
          <w:szCs w:val="20"/>
          <w:lang w:eastAsia="en-US"/>
        </w:rPr>
        <w:t xml:space="preserve">ć </w:t>
      </w:r>
      <w:r w:rsidRPr="00F557BB">
        <w:rPr>
          <w:rFonts w:eastAsia="Calibri" w:cs="Arial"/>
          <w:szCs w:val="20"/>
          <w:lang w:eastAsia="en-US"/>
        </w:rPr>
        <w:t>i stosowa</w:t>
      </w:r>
      <w:r w:rsidRPr="00F557BB">
        <w:rPr>
          <w:rFonts w:eastAsia="TimesNewRoman" w:cs="Arial"/>
          <w:szCs w:val="20"/>
          <w:lang w:eastAsia="en-US"/>
        </w:rPr>
        <w:t xml:space="preserve">ć </w:t>
      </w:r>
      <w:r w:rsidRPr="00F557BB">
        <w:rPr>
          <w:rFonts w:eastAsia="Calibri" w:cs="Arial"/>
          <w:szCs w:val="20"/>
          <w:lang w:eastAsia="en-US"/>
        </w:rPr>
        <w:t>w czasie prowadzenia robót wszelkie przepisy</w:t>
      </w:r>
    </w:p>
    <w:p w14:paraId="22AC1B6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dotycz</w:t>
      </w:r>
      <w:r w:rsidRPr="00F557BB">
        <w:rPr>
          <w:rFonts w:eastAsia="TimesNewRoman" w:cs="Arial"/>
          <w:szCs w:val="20"/>
          <w:lang w:eastAsia="en-US"/>
        </w:rPr>
        <w:t>ą</w:t>
      </w:r>
      <w:r w:rsidRPr="00F557BB">
        <w:rPr>
          <w:rFonts w:eastAsia="Calibri" w:cs="Arial"/>
          <w:szCs w:val="20"/>
          <w:lang w:eastAsia="en-US"/>
        </w:rPr>
        <w:t xml:space="preserve">ce ochrony </w:t>
      </w:r>
      <w:r w:rsidRPr="00F557BB">
        <w:rPr>
          <w:rFonts w:eastAsia="TimesNewRoman" w:cs="Arial"/>
          <w:szCs w:val="20"/>
          <w:lang w:eastAsia="en-US"/>
        </w:rPr>
        <w:t>ś</w:t>
      </w:r>
      <w:r w:rsidRPr="00F557BB">
        <w:rPr>
          <w:rFonts w:eastAsia="Calibri" w:cs="Arial"/>
          <w:szCs w:val="20"/>
          <w:lang w:eastAsia="en-US"/>
        </w:rPr>
        <w:t>rodowiska naturalnego.</w:t>
      </w:r>
    </w:p>
    <w:p w14:paraId="3FA36DF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okresie trwania budowy i wykonywania robót Wykonawca b</w:t>
      </w:r>
      <w:r w:rsidRPr="00F557BB">
        <w:rPr>
          <w:rFonts w:eastAsia="TimesNewRoman" w:cs="Arial"/>
          <w:szCs w:val="20"/>
          <w:lang w:eastAsia="en-US"/>
        </w:rPr>
        <w:t>ę</w:t>
      </w:r>
      <w:r w:rsidRPr="00F557BB">
        <w:rPr>
          <w:rFonts w:eastAsia="Calibri" w:cs="Arial"/>
          <w:szCs w:val="20"/>
          <w:lang w:eastAsia="en-US"/>
        </w:rPr>
        <w:t>dzie:</w:t>
      </w:r>
    </w:p>
    <w:p w14:paraId="7BBDB39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a) utrzymywa</w:t>
      </w:r>
      <w:r w:rsidRPr="00F557BB">
        <w:rPr>
          <w:rFonts w:eastAsia="TimesNewRoman" w:cs="Arial"/>
          <w:szCs w:val="20"/>
          <w:lang w:eastAsia="en-US"/>
        </w:rPr>
        <w:t xml:space="preserve">ć </w:t>
      </w:r>
      <w:r w:rsidRPr="00F557BB">
        <w:rPr>
          <w:rFonts w:eastAsia="Calibri" w:cs="Arial"/>
          <w:szCs w:val="20"/>
          <w:lang w:eastAsia="en-US"/>
        </w:rPr>
        <w:t>teren budowy i wykopy w stanie bez wody stoj</w:t>
      </w:r>
      <w:r w:rsidRPr="00F557BB">
        <w:rPr>
          <w:rFonts w:eastAsia="TimesNewRoman" w:cs="Arial"/>
          <w:szCs w:val="20"/>
          <w:lang w:eastAsia="en-US"/>
        </w:rPr>
        <w:t>ą</w:t>
      </w:r>
      <w:r w:rsidRPr="00F557BB">
        <w:rPr>
          <w:rFonts w:eastAsia="Calibri" w:cs="Arial"/>
          <w:szCs w:val="20"/>
          <w:lang w:eastAsia="en-US"/>
        </w:rPr>
        <w:t>cej,</w:t>
      </w:r>
    </w:p>
    <w:p w14:paraId="37A0213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 podejmowa</w:t>
      </w:r>
      <w:r w:rsidRPr="00F557BB">
        <w:rPr>
          <w:rFonts w:eastAsia="TimesNewRoman" w:cs="Arial"/>
          <w:szCs w:val="20"/>
          <w:lang w:eastAsia="en-US"/>
        </w:rPr>
        <w:t xml:space="preserve">ć </w:t>
      </w:r>
      <w:r w:rsidRPr="00F557BB">
        <w:rPr>
          <w:rFonts w:eastAsia="Calibri" w:cs="Arial"/>
          <w:szCs w:val="20"/>
          <w:lang w:eastAsia="en-US"/>
        </w:rPr>
        <w:t>wszelkie uzasadnione kroki maj</w:t>
      </w:r>
      <w:r w:rsidRPr="00F557BB">
        <w:rPr>
          <w:rFonts w:eastAsia="TimesNewRoman" w:cs="Arial"/>
          <w:szCs w:val="20"/>
          <w:lang w:eastAsia="en-US"/>
        </w:rPr>
        <w:t>ą</w:t>
      </w:r>
      <w:r w:rsidRPr="00F557BB">
        <w:rPr>
          <w:rFonts w:eastAsia="Calibri" w:cs="Arial"/>
          <w:szCs w:val="20"/>
          <w:lang w:eastAsia="en-US"/>
        </w:rPr>
        <w:t>ce na celu stosowanie si</w:t>
      </w:r>
      <w:r w:rsidRPr="00F557BB">
        <w:rPr>
          <w:rFonts w:eastAsia="TimesNewRoman" w:cs="Arial"/>
          <w:szCs w:val="20"/>
          <w:lang w:eastAsia="en-US"/>
        </w:rPr>
        <w:t xml:space="preserve">ę </w:t>
      </w:r>
      <w:r w:rsidRPr="00F557BB">
        <w:rPr>
          <w:rFonts w:eastAsia="Calibri" w:cs="Arial"/>
          <w:szCs w:val="20"/>
          <w:lang w:eastAsia="en-US"/>
        </w:rPr>
        <w:t>do przepisów i</w:t>
      </w:r>
    </w:p>
    <w:p w14:paraId="1527280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norm dotycz</w:t>
      </w:r>
      <w:r w:rsidRPr="00F557BB">
        <w:rPr>
          <w:rFonts w:eastAsia="TimesNewRoman" w:cs="Arial"/>
          <w:szCs w:val="20"/>
          <w:lang w:eastAsia="en-US"/>
        </w:rPr>
        <w:t>ą</w:t>
      </w:r>
      <w:r w:rsidRPr="00F557BB">
        <w:rPr>
          <w:rFonts w:eastAsia="Calibri" w:cs="Arial"/>
          <w:szCs w:val="20"/>
          <w:lang w:eastAsia="en-US"/>
        </w:rPr>
        <w:t xml:space="preserve">cych ochrony </w:t>
      </w:r>
      <w:r w:rsidRPr="00F557BB">
        <w:rPr>
          <w:rFonts w:eastAsia="TimesNewRoman" w:cs="Arial"/>
          <w:szCs w:val="20"/>
          <w:lang w:eastAsia="en-US"/>
        </w:rPr>
        <w:t>ś</w:t>
      </w:r>
      <w:r w:rsidRPr="00F557BB">
        <w:rPr>
          <w:rFonts w:eastAsia="Calibri" w:cs="Arial"/>
          <w:szCs w:val="20"/>
          <w:lang w:eastAsia="en-US"/>
        </w:rPr>
        <w:t>rodowiska na terenie i wokół terenu budowy oraz b</w:t>
      </w:r>
      <w:r w:rsidRPr="00F557BB">
        <w:rPr>
          <w:rFonts w:eastAsia="TimesNewRoman" w:cs="Arial"/>
          <w:szCs w:val="20"/>
          <w:lang w:eastAsia="en-US"/>
        </w:rPr>
        <w:t>ę</w:t>
      </w:r>
      <w:r w:rsidRPr="00F557BB">
        <w:rPr>
          <w:rFonts w:eastAsia="Calibri" w:cs="Arial"/>
          <w:szCs w:val="20"/>
          <w:lang w:eastAsia="en-US"/>
        </w:rPr>
        <w:t>dzie</w:t>
      </w:r>
    </w:p>
    <w:p w14:paraId="1A366CD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unika</w:t>
      </w:r>
      <w:r w:rsidRPr="00F557BB">
        <w:rPr>
          <w:rFonts w:eastAsia="TimesNewRoman" w:cs="Arial"/>
          <w:szCs w:val="20"/>
          <w:lang w:eastAsia="en-US"/>
        </w:rPr>
        <w:t xml:space="preserve">ć </w:t>
      </w:r>
      <w:r w:rsidRPr="00F557BB">
        <w:rPr>
          <w:rFonts w:eastAsia="Calibri" w:cs="Arial"/>
          <w:szCs w:val="20"/>
          <w:lang w:eastAsia="en-US"/>
        </w:rPr>
        <w:t>uszkodze</w:t>
      </w:r>
      <w:r w:rsidRPr="00F557BB">
        <w:rPr>
          <w:rFonts w:eastAsia="TimesNewRoman" w:cs="Arial"/>
          <w:szCs w:val="20"/>
          <w:lang w:eastAsia="en-US"/>
        </w:rPr>
        <w:t xml:space="preserve">ń </w:t>
      </w:r>
      <w:r w:rsidRPr="00F557BB">
        <w:rPr>
          <w:rFonts w:eastAsia="Calibri" w:cs="Arial"/>
          <w:szCs w:val="20"/>
          <w:lang w:eastAsia="en-US"/>
        </w:rPr>
        <w:t>lub uci</w:t>
      </w:r>
      <w:r w:rsidRPr="00F557BB">
        <w:rPr>
          <w:rFonts w:eastAsia="TimesNewRoman" w:cs="Arial"/>
          <w:szCs w:val="20"/>
          <w:lang w:eastAsia="en-US"/>
        </w:rPr>
        <w:t>ąż</w:t>
      </w:r>
      <w:r w:rsidRPr="00F557BB">
        <w:rPr>
          <w:rFonts w:eastAsia="Calibri" w:cs="Arial"/>
          <w:szCs w:val="20"/>
          <w:lang w:eastAsia="en-US"/>
        </w:rPr>
        <w:t>liwo</w:t>
      </w:r>
      <w:r w:rsidRPr="00F557BB">
        <w:rPr>
          <w:rFonts w:eastAsia="TimesNewRoman" w:cs="Arial"/>
          <w:szCs w:val="20"/>
          <w:lang w:eastAsia="en-US"/>
        </w:rPr>
        <w:t>ś</w:t>
      </w:r>
      <w:r w:rsidRPr="00F557BB">
        <w:rPr>
          <w:rFonts w:eastAsia="Calibri" w:cs="Arial"/>
          <w:szCs w:val="20"/>
          <w:lang w:eastAsia="en-US"/>
        </w:rPr>
        <w:t>ci dla osób lub dóbr publicznych i innych, a</w:t>
      </w:r>
    </w:p>
    <w:p w14:paraId="34FAD3C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wynikaj</w:t>
      </w:r>
      <w:r w:rsidRPr="00F557BB">
        <w:rPr>
          <w:rFonts w:eastAsia="TimesNewRoman" w:cs="Arial"/>
          <w:szCs w:val="20"/>
          <w:lang w:eastAsia="en-US"/>
        </w:rPr>
        <w:t>ą</w:t>
      </w:r>
      <w:r w:rsidRPr="00F557BB">
        <w:rPr>
          <w:rFonts w:eastAsia="Calibri" w:cs="Arial"/>
          <w:szCs w:val="20"/>
          <w:lang w:eastAsia="en-US"/>
        </w:rPr>
        <w:t>cych z nadmiernego hałasu, wibracji, zanieczyszczenia lub innych przyczyn</w:t>
      </w:r>
    </w:p>
    <w:p w14:paraId="159AE79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powstałych w nast</w:t>
      </w:r>
      <w:r w:rsidRPr="00F557BB">
        <w:rPr>
          <w:rFonts w:eastAsia="TimesNewRoman" w:cs="Arial"/>
          <w:szCs w:val="20"/>
          <w:lang w:eastAsia="en-US"/>
        </w:rPr>
        <w:t>ę</w:t>
      </w:r>
      <w:r w:rsidRPr="00F557BB">
        <w:rPr>
          <w:rFonts w:eastAsia="Calibri" w:cs="Arial"/>
          <w:szCs w:val="20"/>
          <w:lang w:eastAsia="en-US"/>
        </w:rPr>
        <w:t>pstwie jego sposobu działania.</w:t>
      </w:r>
    </w:p>
    <w:p w14:paraId="72B42A9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Stosuj</w:t>
      </w:r>
      <w:r w:rsidRPr="00F557BB">
        <w:rPr>
          <w:rFonts w:eastAsia="TimesNewRoman" w:cs="Arial"/>
          <w:szCs w:val="20"/>
          <w:lang w:eastAsia="en-US"/>
        </w:rPr>
        <w:t>ą</w:t>
      </w:r>
      <w:r w:rsidRPr="00F557BB">
        <w:rPr>
          <w:rFonts w:eastAsia="Calibri" w:cs="Arial"/>
          <w:szCs w:val="20"/>
          <w:lang w:eastAsia="en-US"/>
        </w:rPr>
        <w:t>c si</w:t>
      </w:r>
      <w:r w:rsidRPr="00F557BB">
        <w:rPr>
          <w:rFonts w:eastAsia="TimesNewRoman" w:cs="Arial"/>
          <w:szCs w:val="20"/>
          <w:lang w:eastAsia="en-US"/>
        </w:rPr>
        <w:t xml:space="preserve">ę </w:t>
      </w:r>
      <w:r w:rsidRPr="00F557BB">
        <w:rPr>
          <w:rFonts w:eastAsia="Calibri" w:cs="Arial"/>
          <w:szCs w:val="20"/>
          <w:lang w:eastAsia="en-US"/>
        </w:rPr>
        <w:t>do tych wymaga</w:t>
      </w:r>
      <w:r w:rsidRPr="00F557BB">
        <w:rPr>
          <w:rFonts w:eastAsia="TimesNewRoman" w:cs="Arial"/>
          <w:szCs w:val="20"/>
          <w:lang w:eastAsia="en-US"/>
        </w:rPr>
        <w:t xml:space="preserve">ń </w:t>
      </w:r>
      <w:r w:rsidRPr="00F557BB">
        <w:rPr>
          <w:rFonts w:eastAsia="Calibri" w:cs="Arial"/>
          <w:szCs w:val="20"/>
          <w:lang w:eastAsia="en-US"/>
        </w:rPr>
        <w:t>b</w:t>
      </w:r>
      <w:r w:rsidRPr="00F557BB">
        <w:rPr>
          <w:rFonts w:eastAsia="TimesNewRoman" w:cs="Arial"/>
          <w:szCs w:val="20"/>
          <w:lang w:eastAsia="en-US"/>
        </w:rPr>
        <w:t>ę</w:t>
      </w:r>
      <w:r w:rsidRPr="00F557BB">
        <w:rPr>
          <w:rFonts w:eastAsia="Calibri" w:cs="Arial"/>
          <w:szCs w:val="20"/>
          <w:lang w:eastAsia="en-US"/>
        </w:rPr>
        <w:t>dzie miał szczególny wzgl</w:t>
      </w:r>
      <w:r w:rsidRPr="00F557BB">
        <w:rPr>
          <w:rFonts w:eastAsia="TimesNewRoman" w:cs="Arial"/>
          <w:szCs w:val="20"/>
          <w:lang w:eastAsia="en-US"/>
        </w:rPr>
        <w:t>ą</w:t>
      </w:r>
      <w:r w:rsidRPr="00F557BB">
        <w:rPr>
          <w:rFonts w:eastAsia="Calibri" w:cs="Arial"/>
          <w:szCs w:val="20"/>
          <w:lang w:eastAsia="en-US"/>
        </w:rPr>
        <w:t>d na mi</w:t>
      </w:r>
      <w:r w:rsidRPr="00F557BB">
        <w:rPr>
          <w:rFonts w:eastAsia="TimesNewRoman" w:cs="Arial"/>
          <w:szCs w:val="20"/>
          <w:lang w:eastAsia="en-US"/>
        </w:rPr>
        <w:t>ę</w:t>
      </w:r>
      <w:r w:rsidRPr="00F557BB">
        <w:rPr>
          <w:rFonts w:eastAsia="Calibri" w:cs="Arial"/>
          <w:szCs w:val="20"/>
          <w:lang w:eastAsia="en-US"/>
        </w:rPr>
        <w:t>dzy innymi:</w:t>
      </w:r>
    </w:p>
    <w:p w14:paraId="04D35B7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1) lokalizacj</w:t>
      </w:r>
      <w:r w:rsidRPr="00F557BB">
        <w:rPr>
          <w:rFonts w:eastAsia="TimesNewRoman" w:cs="Arial"/>
          <w:szCs w:val="20"/>
          <w:lang w:eastAsia="en-US"/>
        </w:rPr>
        <w:t xml:space="preserve">ę </w:t>
      </w:r>
      <w:r w:rsidRPr="00F557BB">
        <w:rPr>
          <w:rFonts w:eastAsia="Calibri" w:cs="Arial"/>
          <w:szCs w:val="20"/>
          <w:lang w:eastAsia="en-US"/>
        </w:rPr>
        <w:t>baz, warsztatów, magazynów, składowisk, ukopów i dróg dojazdowych,</w:t>
      </w:r>
    </w:p>
    <w:p w14:paraId="3B68D87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2) </w:t>
      </w:r>
      <w:r w:rsidRPr="00F557BB">
        <w:rPr>
          <w:rFonts w:eastAsia="TimesNewRoman" w:cs="Arial"/>
          <w:szCs w:val="20"/>
          <w:lang w:eastAsia="en-US"/>
        </w:rPr>
        <w:t>ś</w:t>
      </w:r>
      <w:r w:rsidRPr="00F557BB">
        <w:rPr>
          <w:rFonts w:eastAsia="Calibri" w:cs="Arial"/>
          <w:szCs w:val="20"/>
          <w:lang w:eastAsia="en-US"/>
        </w:rPr>
        <w:t>rodki ostro</w:t>
      </w:r>
      <w:r w:rsidRPr="00F557BB">
        <w:rPr>
          <w:rFonts w:eastAsia="TimesNewRoman" w:cs="Arial"/>
          <w:szCs w:val="20"/>
          <w:lang w:eastAsia="en-US"/>
        </w:rPr>
        <w:t>ż</w:t>
      </w:r>
      <w:r w:rsidRPr="00F557BB">
        <w:rPr>
          <w:rFonts w:eastAsia="Calibri" w:cs="Arial"/>
          <w:szCs w:val="20"/>
          <w:lang w:eastAsia="en-US"/>
        </w:rPr>
        <w:t>no</w:t>
      </w:r>
      <w:r w:rsidRPr="00F557BB">
        <w:rPr>
          <w:rFonts w:eastAsia="TimesNewRoman" w:cs="Arial"/>
          <w:szCs w:val="20"/>
          <w:lang w:eastAsia="en-US"/>
        </w:rPr>
        <w:t>ś</w:t>
      </w:r>
      <w:r w:rsidRPr="00F557BB">
        <w:rPr>
          <w:rFonts w:eastAsia="Calibri" w:cs="Arial"/>
          <w:szCs w:val="20"/>
          <w:lang w:eastAsia="en-US"/>
        </w:rPr>
        <w:t>ci i zabezpieczenia przed mi</w:t>
      </w:r>
      <w:r w:rsidRPr="00F557BB">
        <w:rPr>
          <w:rFonts w:eastAsia="TimesNewRoman" w:cs="Arial"/>
          <w:szCs w:val="20"/>
          <w:lang w:eastAsia="en-US"/>
        </w:rPr>
        <w:t>ę</w:t>
      </w:r>
      <w:r w:rsidRPr="00F557BB">
        <w:rPr>
          <w:rFonts w:eastAsia="Calibri" w:cs="Arial"/>
          <w:szCs w:val="20"/>
          <w:lang w:eastAsia="en-US"/>
        </w:rPr>
        <w:t>dzy innymi:</w:t>
      </w:r>
    </w:p>
    <w:p w14:paraId="40445CB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a) zanieczyszczeniem zbiorników i cieków wodnych pyłami lub substancjami</w:t>
      </w:r>
    </w:p>
    <w:p w14:paraId="19A4AC8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toksycznymi,</w:t>
      </w:r>
    </w:p>
    <w:p w14:paraId="5D7B4953"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b) zanieczyszczeniem powietrza pyłami i gazami,</w:t>
      </w:r>
    </w:p>
    <w:p w14:paraId="5DB8DB4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c) mo</w:t>
      </w:r>
      <w:r w:rsidRPr="00F557BB">
        <w:rPr>
          <w:rFonts w:eastAsia="TimesNewRoman" w:cs="Arial"/>
          <w:szCs w:val="20"/>
          <w:lang w:eastAsia="en-US"/>
        </w:rPr>
        <w:t>ż</w:t>
      </w:r>
      <w:r w:rsidRPr="00F557BB">
        <w:rPr>
          <w:rFonts w:eastAsia="Calibri" w:cs="Arial"/>
          <w:szCs w:val="20"/>
          <w:lang w:eastAsia="en-US"/>
        </w:rPr>
        <w:t>liwo</w:t>
      </w:r>
      <w:r w:rsidRPr="00F557BB">
        <w:rPr>
          <w:rFonts w:eastAsia="TimesNewRoman" w:cs="Arial"/>
          <w:szCs w:val="20"/>
          <w:lang w:eastAsia="en-US"/>
        </w:rPr>
        <w:t>ś</w:t>
      </w:r>
      <w:r w:rsidRPr="00F557BB">
        <w:rPr>
          <w:rFonts w:eastAsia="Calibri" w:cs="Arial"/>
          <w:szCs w:val="20"/>
          <w:lang w:eastAsia="en-US"/>
        </w:rPr>
        <w:t>ci</w:t>
      </w:r>
      <w:r w:rsidRPr="00F557BB">
        <w:rPr>
          <w:rFonts w:eastAsia="TimesNewRoman" w:cs="Arial"/>
          <w:szCs w:val="20"/>
          <w:lang w:eastAsia="en-US"/>
        </w:rPr>
        <w:t xml:space="preserve">ą </w:t>
      </w:r>
      <w:r w:rsidRPr="00F557BB">
        <w:rPr>
          <w:rFonts w:eastAsia="Calibri" w:cs="Arial"/>
          <w:szCs w:val="20"/>
          <w:lang w:eastAsia="en-US"/>
        </w:rPr>
        <w:t>powstania po</w:t>
      </w:r>
      <w:r w:rsidRPr="00F557BB">
        <w:rPr>
          <w:rFonts w:eastAsia="TimesNewRoman" w:cs="Arial"/>
          <w:szCs w:val="20"/>
          <w:lang w:eastAsia="en-US"/>
        </w:rPr>
        <w:t>ż</w:t>
      </w:r>
      <w:r w:rsidRPr="00F557BB">
        <w:rPr>
          <w:rFonts w:eastAsia="Calibri" w:cs="Arial"/>
          <w:szCs w:val="20"/>
          <w:lang w:eastAsia="en-US"/>
        </w:rPr>
        <w:t>aru,</w:t>
      </w:r>
    </w:p>
    <w:p w14:paraId="17C122B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 uszkodzeniem istniej</w:t>
      </w:r>
      <w:r w:rsidRPr="00F557BB">
        <w:rPr>
          <w:rFonts w:eastAsia="TimesNewRoman" w:cs="Arial"/>
          <w:szCs w:val="20"/>
          <w:lang w:eastAsia="en-US"/>
        </w:rPr>
        <w:t>ą</w:t>
      </w:r>
      <w:r w:rsidRPr="00F557BB">
        <w:rPr>
          <w:rFonts w:eastAsia="Calibri" w:cs="Arial"/>
          <w:szCs w:val="20"/>
          <w:lang w:eastAsia="en-US"/>
        </w:rPr>
        <w:t>cej zieleni.</w:t>
      </w:r>
    </w:p>
    <w:p w14:paraId="675E6E5F"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1.7.5. Ochrona przeciwpożarowa</w:t>
      </w:r>
    </w:p>
    <w:p w14:paraId="2CBD17D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b</w:t>
      </w:r>
      <w:r w:rsidRPr="00F557BB">
        <w:rPr>
          <w:rFonts w:eastAsia="TimesNewRoman" w:cs="Arial"/>
          <w:szCs w:val="20"/>
          <w:lang w:eastAsia="en-US"/>
        </w:rPr>
        <w:t>ę</w:t>
      </w:r>
      <w:r w:rsidRPr="00F557BB">
        <w:rPr>
          <w:rFonts w:eastAsia="Calibri" w:cs="Arial"/>
          <w:szCs w:val="20"/>
          <w:lang w:eastAsia="en-US"/>
        </w:rPr>
        <w:t>dzie przestrzega</w:t>
      </w:r>
      <w:r w:rsidRPr="00F557BB">
        <w:rPr>
          <w:rFonts w:eastAsia="TimesNewRoman" w:cs="Arial"/>
          <w:szCs w:val="20"/>
          <w:lang w:eastAsia="en-US"/>
        </w:rPr>
        <w:t xml:space="preserve">ć </w:t>
      </w:r>
      <w:r w:rsidRPr="00F557BB">
        <w:rPr>
          <w:rFonts w:eastAsia="Calibri" w:cs="Arial"/>
          <w:szCs w:val="20"/>
          <w:lang w:eastAsia="en-US"/>
        </w:rPr>
        <w:t>przepisy ochrony przeciwpo</w:t>
      </w:r>
      <w:r w:rsidRPr="00F557BB">
        <w:rPr>
          <w:rFonts w:eastAsia="TimesNewRoman" w:cs="Arial"/>
          <w:szCs w:val="20"/>
          <w:lang w:eastAsia="en-US"/>
        </w:rPr>
        <w:t>ż</w:t>
      </w:r>
      <w:r w:rsidRPr="00F557BB">
        <w:rPr>
          <w:rFonts w:eastAsia="Calibri" w:cs="Arial"/>
          <w:szCs w:val="20"/>
          <w:lang w:eastAsia="en-US"/>
        </w:rPr>
        <w:t>arowej.</w:t>
      </w:r>
    </w:p>
    <w:p w14:paraId="6D47769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b</w:t>
      </w:r>
      <w:r w:rsidRPr="00F557BB">
        <w:rPr>
          <w:rFonts w:eastAsia="TimesNewRoman" w:cs="Arial"/>
          <w:szCs w:val="20"/>
          <w:lang w:eastAsia="en-US"/>
        </w:rPr>
        <w:t>ę</w:t>
      </w:r>
      <w:r w:rsidRPr="00F557BB">
        <w:rPr>
          <w:rFonts w:eastAsia="Calibri" w:cs="Arial"/>
          <w:szCs w:val="20"/>
          <w:lang w:eastAsia="en-US"/>
        </w:rPr>
        <w:t>dzie utrzymywa</w:t>
      </w:r>
      <w:r w:rsidRPr="00F557BB">
        <w:rPr>
          <w:rFonts w:eastAsia="TimesNewRoman" w:cs="Arial"/>
          <w:szCs w:val="20"/>
          <w:lang w:eastAsia="en-US"/>
        </w:rPr>
        <w:t xml:space="preserve">ć </w:t>
      </w:r>
      <w:r w:rsidRPr="00F557BB">
        <w:rPr>
          <w:rFonts w:eastAsia="Calibri" w:cs="Arial"/>
          <w:szCs w:val="20"/>
          <w:lang w:eastAsia="en-US"/>
        </w:rPr>
        <w:t>wymagany na podstawie odpowiednich przepisów sprawny</w:t>
      </w:r>
    </w:p>
    <w:p w14:paraId="699CFAC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sprz</w:t>
      </w:r>
      <w:r w:rsidRPr="00F557BB">
        <w:rPr>
          <w:rFonts w:eastAsia="TimesNewRoman" w:cs="Arial"/>
          <w:szCs w:val="20"/>
          <w:lang w:eastAsia="en-US"/>
        </w:rPr>
        <w:t>ę</w:t>
      </w:r>
      <w:r w:rsidRPr="00F557BB">
        <w:rPr>
          <w:rFonts w:eastAsia="Calibri" w:cs="Arial"/>
          <w:szCs w:val="20"/>
          <w:lang w:eastAsia="en-US"/>
        </w:rPr>
        <w:t>t przeciwpo</w:t>
      </w:r>
      <w:r w:rsidRPr="00F557BB">
        <w:rPr>
          <w:rFonts w:eastAsia="TimesNewRoman" w:cs="Arial"/>
          <w:szCs w:val="20"/>
          <w:lang w:eastAsia="en-US"/>
        </w:rPr>
        <w:t>ż</w:t>
      </w:r>
      <w:r w:rsidRPr="00F557BB">
        <w:rPr>
          <w:rFonts w:eastAsia="Calibri" w:cs="Arial"/>
          <w:szCs w:val="20"/>
          <w:lang w:eastAsia="en-US"/>
        </w:rPr>
        <w:t>arowy, na terenie baz produkcyjnych, w pomieszczeniach biurowych,</w:t>
      </w:r>
    </w:p>
    <w:p w14:paraId="464EB88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mieszkalnych, magazynach oraz w maszynach i pojazdach.</w:t>
      </w:r>
    </w:p>
    <w:p w14:paraId="550A115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Materiały łatwopalne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składowane w sposób zgodny z odpowiednimi przepisami i</w:t>
      </w:r>
    </w:p>
    <w:p w14:paraId="7E494CC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zabezpieczone przed dost</w:t>
      </w:r>
      <w:r w:rsidRPr="00F557BB">
        <w:rPr>
          <w:rFonts w:eastAsia="TimesNewRoman" w:cs="Arial"/>
          <w:szCs w:val="20"/>
          <w:lang w:eastAsia="en-US"/>
        </w:rPr>
        <w:t>ę</w:t>
      </w:r>
      <w:r w:rsidRPr="00F557BB">
        <w:rPr>
          <w:rFonts w:eastAsia="Calibri" w:cs="Arial"/>
          <w:szCs w:val="20"/>
          <w:lang w:eastAsia="en-US"/>
        </w:rPr>
        <w:t>pem osób trzecich.</w:t>
      </w:r>
    </w:p>
    <w:p w14:paraId="5D13D51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b</w:t>
      </w:r>
      <w:r w:rsidRPr="00F557BB">
        <w:rPr>
          <w:rFonts w:eastAsia="TimesNewRoman" w:cs="Arial"/>
          <w:szCs w:val="20"/>
          <w:lang w:eastAsia="en-US"/>
        </w:rPr>
        <w:t>ę</w:t>
      </w:r>
      <w:r w:rsidRPr="00F557BB">
        <w:rPr>
          <w:rFonts w:eastAsia="Calibri" w:cs="Arial"/>
          <w:szCs w:val="20"/>
          <w:lang w:eastAsia="en-US"/>
        </w:rPr>
        <w:t>dzie odpowiedzialny za wszelkie straty spowodowane po</w:t>
      </w:r>
      <w:r w:rsidRPr="00F557BB">
        <w:rPr>
          <w:rFonts w:eastAsia="TimesNewRoman" w:cs="Arial"/>
          <w:szCs w:val="20"/>
          <w:lang w:eastAsia="en-US"/>
        </w:rPr>
        <w:t>ż</w:t>
      </w:r>
      <w:r w:rsidRPr="00F557BB">
        <w:rPr>
          <w:rFonts w:eastAsia="Calibri" w:cs="Arial"/>
          <w:szCs w:val="20"/>
          <w:lang w:eastAsia="en-US"/>
        </w:rPr>
        <w:t>arem wywołanym jako</w:t>
      </w:r>
    </w:p>
    <w:p w14:paraId="5CE1FEC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rezultat realizacji robót albo przez personel Wykonawcy.</w:t>
      </w:r>
    </w:p>
    <w:p w14:paraId="64F755E8"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1.7.6. Materiały szkodliwe dla otoczenia</w:t>
      </w:r>
    </w:p>
    <w:p w14:paraId="7FA781A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Materiały, które w sposób trwały s</w:t>
      </w:r>
      <w:r w:rsidRPr="00F557BB">
        <w:rPr>
          <w:rFonts w:eastAsia="TimesNewRoman" w:cs="Arial"/>
          <w:szCs w:val="20"/>
          <w:lang w:eastAsia="en-US"/>
        </w:rPr>
        <w:t xml:space="preserve">ą </w:t>
      </w:r>
      <w:r w:rsidRPr="00F557BB">
        <w:rPr>
          <w:rFonts w:eastAsia="Calibri" w:cs="Arial"/>
          <w:szCs w:val="20"/>
          <w:lang w:eastAsia="en-US"/>
        </w:rPr>
        <w:t>szkodliwe dla otoczenia, nie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dopuszczone do u</w:t>
      </w:r>
      <w:r w:rsidRPr="00F557BB">
        <w:rPr>
          <w:rFonts w:eastAsia="TimesNewRoman" w:cs="Arial"/>
          <w:szCs w:val="20"/>
          <w:lang w:eastAsia="en-US"/>
        </w:rPr>
        <w:t>ż</w:t>
      </w:r>
      <w:r w:rsidRPr="00F557BB">
        <w:rPr>
          <w:rFonts w:eastAsia="Calibri" w:cs="Arial"/>
          <w:szCs w:val="20"/>
          <w:lang w:eastAsia="en-US"/>
        </w:rPr>
        <w:t>ycia.</w:t>
      </w:r>
    </w:p>
    <w:p w14:paraId="5826558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Nie dopuszcza si</w:t>
      </w:r>
      <w:r w:rsidRPr="00F557BB">
        <w:rPr>
          <w:rFonts w:eastAsia="TimesNewRoman" w:cs="Arial"/>
          <w:szCs w:val="20"/>
          <w:lang w:eastAsia="en-US"/>
        </w:rPr>
        <w:t xml:space="preserve">ę </w:t>
      </w:r>
      <w:r w:rsidRPr="00F557BB">
        <w:rPr>
          <w:rFonts w:eastAsia="Calibri" w:cs="Arial"/>
          <w:szCs w:val="20"/>
          <w:lang w:eastAsia="en-US"/>
        </w:rPr>
        <w:t>u</w:t>
      </w:r>
      <w:r w:rsidRPr="00F557BB">
        <w:rPr>
          <w:rFonts w:eastAsia="TimesNewRoman" w:cs="Arial"/>
          <w:szCs w:val="20"/>
          <w:lang w:eastAsia="en-US"/>
        </w:rPr>
        <w:t>ż</w:t>
      </w:r>
      <w:r w:rsidRPr="00F557BB">
        <w:rPr>
          <w:rFonts w:eastAsia="Calibri" w:cs="Arial"/>
          <w:szCs w:val="20"/>
          <w:lang w:eastAsia="en-US"/>
        </w:rPr>
        <w:t>ycia materiałów wywołuj</w:t>
      </w:r>
      <w:r w:rsidRPr="00F557BB">
        <w:rPr>
          <w:rFonts w:eastAsia="TimesNewRoman" w:cs="Arial"/>
          <w:szCs w:val="20"/>
          <w:lang w:eastAsia="en-US"/>
        </w:rPr>
        <w:t>ą</w:t>
      </w:r>
      <w:r w:rsidRPr="00F557BB">
        <w:rPr>
          <w:rFonts w:eastAsia="Calibri" w:cs="Arial"/>
          <w:szCs w:val="20"/>
          <w:lang w:eastAsia="en-US"/>
        </w:rPr>
        <w:t>cych szkodliwe promieniowanie o st</w:t>
      </w:r>
      <w:r w:rsidRPr="00F557BB">
        <w:rPr>
          <w:rFonts w:eastAsia="TimesNewRoman" w:cs="Arial"/>
          <w:szCs w:val="20"/>
          <w:lang w:eastAsia="en-US"/>
        </w:rPr>
        <w:t>ęż</w:t>
      </w:r>
      <w:r w:rsidRPr="00F557BB">
        <w:rPr>
          <w:rFonts w:eastAsia="Calibri" w:cs="Arial"/>
          <w:szCs w:val="20"/>
          <w:lang w:eastAsia="en-US"/>
        </w:rPr>
        <w:t>eniu</w:t>
      </w:r>
    </w:p>
    <w:p w14:paraId="51AC4F7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wi</w:t>
      </w:r>
      <w:r w:rsidRPr="00F557BB">
        <w:rPr>
          <w:rFonts w:eastAsia="TimesNewRoman" w:cs="Arial"/>
          <w:szCs w:val="20"/>
          <w:lang w:eastAsia="en-US"/>
        </w:rPr>
        <w:t>ę</w:t>
      </w:r>
      <w:r w:rsidRPr="00F557BB">
        <w:rPr>
          <w:rFonts w:eastAsia="Calibri" w:cs="Arial"/>
          <w:szCs w:val="20"/>
          <w:lang w:eastAsia="en-US"/>
        </w:rPr>
        <w:t>kszym od dopuszczalnego, okre</w:t>
      </w:r>
      <w:r w:rsidRPr="00F557BB">
        <w:rPr>
          <w:rFonts w:eastAsia="TimesNewRoman" w:cs="Arial"/>
          <w:szCs w:val="20"/>
          <w:lang w:eastAsia="en-US"/>
        </w:rPr>
        <w:t>ś</w:t>
      </w:r>
      <w:r w:rsidRPr="00F557BB">
        <w:rPr>
          <w:rFonts w:eastAsia="Calibri" w:cs="Arial"/>
          <w:szCs w:val="20"/>
          <w:lang w:eastAsia="en-US"/>
        </w:rPr>
        <w:t>lonego odpowiednimi przepisami.</w:t>
      </w:r>
    </w:p>
    <w:p w14:paraId="5A729619"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1.7.7. Ochrona własności publicznej i prywatnej</w:t>
      </w:r>
    </w:p>
    <w:p w14:paraId="78F52A8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jest zobowi</w:t>
      </w:r>
      <w:r w:rsidRPr="00F557BB">
        <w:rPr>
          <w:rFonts w:eastAsia="TimesNewRoman" w:cs="Arial"/>
          <w:szCs w:val="20"/>
          <w:lang w:eastAsia="en-US"/>
        </w:rPr>
        <w:t>ą</w:t>
      </w:r>
      <w:r w:rsidRPr="00F557BB">
        <w:rPr>
          <w:rFonts w:eastAsia="Calibri" w:cs="Arial"/>
          <w:szCs w:val="20"/>
          <w:lang w:eastAsia="en-US"/>
        </w:rPr>
        <w:t>zany do ochrony przed uszkodzeniem lub zniszczeniem własno</w:t>
      </w:r>
      <w:r w:rsidRPr="00F557BB">
        <w:rPr>
          <w:rFonts w:eastAsia="TimesNewRoman" w:cs="Arial"/>
          <w:szCs w:val="20"/>
          <w:lang w:eastAsia="en-US"/>
        </w:rPr>
        <w:t>ś</w:t>
      </w:r>
      <w:r w:rsidRPr="00F557BB">
        <w:rPr>
          <w:rFonts w:eastAsia="Calibri" w:cs="Arial"/>
          <w:szCs w:val="20"/>
          <w:lang w:eastAsia="en-US"/>
        </w:rPr>
        <w:t>ci</w:t>
      </w:r>
    </w:p>
    <w:p w14:paraId="706E4B8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publicznej i prywatnej.</w:t>
      </w:r>
    </w:p>
    <w:p w14:paraId="5254278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Je</w:t>
      </w:r>
      <w:r w:rsidRPr="00F557BB">
        <w:rPr>
          <w:rFonts w:eastAsia="TimesNewRoman" w:cs="Arial"/>
          <w:szCs w:val="20"/>
          <w:lang w:eastAsia="en-US"/>
        </w:rPr>
        <w:t>ż</w:t>
      </w:r>
      <w:r w:rsidRPr="00F557BB">
        <w:rPr>
          <w:rFonts w:eastAsia="Calibri" w:cs="Arial"/>
          <w:szCs w:val="20"/>
          <w:lang w:eastAsia="en-US"/>
        </w:rPr>
        <w:t>eli w zwi</w:t>
      </w:r>
      <w:r w:rsidRPr="00F557BB">
        <w:rPr>
          <w:rFonts w:eastAsia="TimesNewRoman" w:cs="Arial"/>
          <w:szCs w:val="20"/>
          <w:lang w:eastAsia="en-US"/>
        </w:rPr>
        <w:t>ą</w:t>
      </w:r>
      <w:r w:rsidRPr="00F557BB">
        <w:rPr>
          <w:rFonts w:eastAsia="Calibri" w:cs="Arial"/>
          <w:szCs w:val="20"/>
          <w:lang w:eastAsia="en-US"/>
        </w:rPr>
        <w:t>zku z zaniedbaniem, niewła</w:t>
      </w:r>
      <w:r w:rsidRPr="00F557BB">
        <w:rPr>
          <w:rFonts w:eastAsia="TimesNewRoman" w:cs="Arial"/>
          <w:szCs w:val="20"/>
          <w:lang w:eastAsia="en-US"/>
        </w:rPr>
        <w:t>ś</w:t>
      </w:r>
      <w:r w:rsidRPr="00F557BB">
        <w:rPr>
          <w:rFonts w:eastAsia="Calibri" w:cs="Arial"/>
          <w:szCs w:val="20"/>
          <w:lang w:eastAsia="en-US"/>
        </w:rPr>
        <w:t>ciwym prowadzeniem robót lub brakiem koniecznych</w:t>
      </w:r>
    </w:p>
    <w:p w14:paraId="017D236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działa</w:t>
      </w:r>
      <w:r w:rsidRPr="00F557BB">
        <w:rPr>
          <w:rFonts w:eastAsia="TimesNewRoman" w:cs="Arial"/>
          <w:szCs w:val="20"/>
          <w:lang w:eastAsia="en-US"/>
        </w:rPr>
        <w:t xml:space="preserve">ń </w:t>
      </w:r>
      <w:r w:rsidRPr="00F557BB">
        <w:rPr>
          <w:rFonts w:eastAsia="Calibri" w:cs="Arial"/>
          <w:szCs w:val="20"/>
          <w:lang w:eastAsia="en-US"/>
        </w:rPr>
        <w:t>ze strony Wykonawcy nast</w:t>
      </w:r>
      <w:r w:rsidRPr="00F557BB">
        <w:rPr>
          <w:rFonts w:eastAsia="TimesNewRoman" w:cs="Arial"/>
          <w:szCs w:val="20"/>
          <w:lang w:eastAsia="en-US"/>
        </w:rPr>
        <w:t>ą</w:t>
      </w:r>
      <w:r w:rsidRPr="00F557BB">
        <w:rPr>
          <w:rFonts w:eastAsia="Calibri" w:cs="Arial"/>
          <w:szCs w:val="20"/>
          <w:lang w:eastAsia="en-US"/>
        </w:rPr>
        <w:t>pi uszkodzenie lub zniszczenie własno</w:t>
      </w:r>
      <w:r w:rsidRPr="00F557BB">
        <w:rPr>
          <w:rFonts w:eastAsia="TimesNewRoman" w:cs="Arial"/>
          <w:szCs w:val="20"/>
          <w:lang w:eastAsia="en-US"/>
        </w:rPr>
        <w:t>ś</w:t>
      </w:r>
      <w:r w:rsidRPr="00F557BB">
        <w:rPr>
          <w:rFonts w:eastAsia="Calibri" w:cs="Arial"/>
          <w:szCs w:val="20"/>
          <w:lang w:eastAsia="en-US"/>
        </w:rPr>
        <w:t>ci publicznej lub</w:t>
      </w:r>
    </w:p>
    <w:p w14:paraId="38C443E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prywatnej, to Wykonawca na swój koszt naprawi lub odtworzy uszkodzon</w:t>
      </w:r>
      <w:r w:rsidRPr="00F557BB">
        <w:rPr>
          <w:rFonts w:eastAsia="TimesNewRoman" w:cs="Arial"/>
          <w:szCs w:val="20"/>
          <w:lang w:eastAsia="en-US"/>
        </w:rPr>
        <w:t xml:space="preserve">ą </w:t>
      </w:r>
      <w:r w:rsidRPr="00F557BB">
        <w:rPr>
          <w:rFonts w:eastAsia="Calibri" w:cs="Arial"/>
          <w:szCs w:val="20"/>
          <w:lang w:eastAsia="en-US"/>
        </w:rPr>
        <w:t>własno</w:t>
      </w:r>
      <w:r w:rsidRPr="00F557BB">
        <w:rPr>
          <w:rFonts w:eastAsia="TimesNewRoman" w:cs="Arial"/>
          <w:szCs w:val="20"/>
          <w:lang w:eastAsia="en-US"/>
        </w:rPr>
        <w:t>ść</w:t>
      </w:r>
      <w:r w:rsidRPr="00F557BB">
        <w:rPr>
          <w:rFonts w:eastAsia="Calibri" w:cs="Arial"/>
          <w:szCs w:val="20"/>
          <w:lang w:eastAsia="en-US"/>
        </w:rPr>
        <w:t>. Stan</w:t>
      </w:r>
    </w:p>
    <w:p w14:paraId="5C6E60D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naprawionej własno</w:t>
      </w:r>
      <w:r w:rsidRPr="00F557BB">
        <w:rPr>
          <w:rFonts w:eastAsia="TimesNewRoman" w:cs="Arial"/>
          <w:szCs w:val="20"/>
          <w:lang w:eastAsia="en-US"/>
        </w:rPr>
        <w:t>ś</w:t>
      </w:r>
      <w:r w:rsidRPr="00F557BB">
        <w:rPr>
          <w:rFonts w:eastAsia="Calibri" w:cs="Arial"/>
          <w:szCs w:val="20"/>
          <w:lang w:eastAsia="en-US"/>
        </w:rPr>
        <w:t>ci powinien nie by</w:t>
      </w:r>
      <w:r w:rsidRPr="00F557BB">
        <w:rPr>
          <w:rFonts w:eastAsia="TimesNewRoman" w:cs="Arial"/>
          <w:szCs w:val="20"/>
          <w:lang w:eastAsia="en-US"/>
        </w:rPr>
        <w:t xml:space="preserve">ć </w:t>
      </w:r>
      <w:r w:rsidRPr="00F557BB">
        <w:rPr>
          <w:rFonts w:eastAsia="Calibri" w:cs="Arial"/>
          <w:szCs w:val="20"/>
          <w:lang w:eastAsia="en-US"/>
        </w:rPr>
        <w:t>gorszy ni</w:t>
      </w:r>
      <w:r w:rsidRPr="00F557BB">
        <w:rPr>
          <w:rFonts w:eastAsia="TimesNewRoman" w:cs="Arial"/>
          <w:szCs w:val="20"/>
          <w:lang w:eastAsia="en-US"/>
        </w:rPr>
        <w:t xml:space="preserve">ż </w:t>
      </w:r>
      <w:r w:rsidRPr="00F557BB">
        <w:rPr>
          <w:rFonts w:eastAsia="Calibri" w:cs="Arial"/>
          <w:szCs w:val="20"/>
          <w:lang w:eastAsia="en-US"/>
        </w:rPr>
        <w:t>przed powstaniem uszkodzenia.</w:t>
      </w:r>
    </w:p>
    <w:p w14:paraId="1187096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jest w pełni odpowiedzialny za ochron</w:t>
      </w:r>
      <w:r w:rsidRPr="00F557BB">
        <w:rPr>
          <w:rFonts w:eastAsia="TimesNewRoman" w:cs="Arial"/>
          <w:szCs w:val="20"/>
          <w:lang w:eastAsia="en-US"/>
        </w:rPr>
        <w:t xml:space="preserve">ę </w:t>
      </w:r>
      <w:r w:rsidRPr="00F557BB">
        <w:rPr>
          <w:rFonts w:eastAsia="Calibri" w:cs="Arial"/>
          <w:szCs w:val="20"/>
          <w:lang w:eastAsia="en-US"/>
        </w:rPr>
        <w:t>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 xml:space="preserve">ń </w:t>
      </w:r>
      <w:r w:rsidRPr="00F557BB">
        <w:rPr>
          <w:rFonts w:eastAsia="Calibri" w:cs="Arial"/>
          <w:szCs w:val="20"/>
          <w:lang w:eastAsia="en-US"/>
        </w:rPr>
        <w:t>uzbrojenia terenu takich jak:</w:t>
      </w:r>
    </w:p>
    <w:p w14:paraId="0481803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przewody, ruroci</w:t>
      </w:r>
      <w:r w:rsidRPr="00F557BB">
        <w:rPr>
          <w:rFonts w:eastAsia="TimesNewRoman" w:cs="Arial"/>
          <w:szCs w:val="20"/>
          <w:lang w:eastAsia="en-US"/>
        </w:rPr>
        <w:t>ą</w:t>
      </w:r>
      <w:r w:rsidRPr="00F557BB">
        <w:rPr>
          <w:rFonts w:eastAsia="Calibri" w:cs="Arial"/>
          <w:szCs w:val="20"/>
          <w:lang w:eastAsia="en-US"/>
        </w:rPr>
        <w:t>gi, kable teletechniczne, itp. oraz uzyska u odpowiednich władz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ą</w:t>
      </w:r>
      <w:r w:rsidRPr="00F557BB">
        <w:rPr>
          <w:rFonts w:eastAsia="Calibri" w:cs="Arial"/>
          <w:szCs w:val="20"/>
          <w:lang w:eastAsia="en-US"/>
        </w:rPr>
        <w:t>cych</w:t>
      </w:r>
    </w:p>
    <w:p w14:paraId="77200A0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wła</w:t>
      </w:r>
      <w:r w:rsidRPr="00F557BB">
        <w:rPr>
          <w:rFonts w:eastAsia="TimesNewRoman" w:cs="Arial"/>
          <w:szCs w:val="20"/>
          <w:lang w:eastAsia="en-US"/>
        </w:rPr>
        <w:t>ś</w:t>
      </w:r>
      <w:r w:rsidRPr="00F557BB">
        <w:rPr>
          <w:rFonts w:eastAsia="Calibri" w:cs="Arial"/>
          <w:szCs w:val="20"/>
          <w:lang w:eastAsia="en-US"/>
        </w:rPr>
        <w:t>cicielami tych 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 xml:space="preserve">ń </w:t>
      </w:r>
      <w:r w:rsidRPr="00F557BB">
        <w:rPr>
          <w:rFonts w:eastAsia="Calibri" w:cs="Arial"/>
          <w:szCs w:val="20"/>
          <w:lang w:eastAsia="en-US"/>
        </w:rPr>
        <w:t>potwierdzenia informacji dostarczonych mu przez Zamawiaj</w:t>
      </w:r>
      <w:r w:rsidRPr="00F557BB">
        <w:rPr>
          <w:rFonts w:eastAsia="TimesNewRoman" w:cs="Arial"/>
          <w:szCs w:val="20"/>
          <w:lang w:eastAsia="en-US"/>
        </w:rPr>
        <w:t>ą</w:t>
      </w:r>
      <w:r w:rsidRPr="00F557BB">
        <w:rPr>
          <w:rFonts w:eastAsia="Calibri" w:cs="Arial"/>
          <w:szCs w:val="20"/>
          <w:lang w:eastAsia="en-US"/>
        </w:rPr>
        <w:t>cego</w:t>
      </w:r>
    </w:p>
    <w:p w14:paraId="232E99A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odno</w:t>
      </w:r>
      <w:r w:rsidRPr="00F557BB">
        <w:rPr>
          <w:rFonts w:eastAsia="TimesNewRoman" w:cs="Arial"/>
          <w:szCs w:val="20"/>
          <w:lang w:eastAsia="en-US"/>
        </w:rPr>
        <w:t>ś</w:t>
      </w:r>
      <w:r w:rsidRPr="00F557BB">
        <w:rPr>
          <w:rFonts w:eastAsia="Calibri" w:cs="Arial"/>
          <w:szCs w:val="20"/>
          <w:lang w:eastAsia="en-US"/>
        </w:rPr>
        <w:t>nie dokładnego poło</w:t>
      </w:r>
      <w:r w:rsidRPr="00F557BB">
        <w:rPr>
          <w:rFonts w:eastAsia="TimesNewRoman" w:cs="Arial"/>
          <w:szCs w:val="20"/>
          <w:lang w:eastAsia="en-US"/>
        </w:rPr>
        <w:t>ż</w:t>
      </w:r>
      <w:r w:rsidRPr="00F557BB">
        <w:rPr>
          <w:rFonts w:eastAsia="Calibri" w:cs="Arial"/>
          <w:szCs w:val="20"/>
          <w:lang w:eastAsia="en-US"/>
        </w:rPr>
        <w:t>enia tych 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 xml:space="preserve">ń </w:t>
      </w:r>
      <w:r w:rsidRPr="00F557BB">
        <w:rPr>
          <w:rFonts w:eastAsia="Calibri" w:cs="Arial"/>
          <w:szCs w:val="20"/>
          <w:lang w:eastAsia="en-US"/>
        </w:rPr>
        <w:t>w obr</w:t>
      </w:r>
      <w:r w:rsidRPr="00F557BB">
        <w:rPr>
          <w:rFonts w:eastAsia="TimesNewRoman" w:cs="Arial"/>
          <w:szCs w:val="20"/>
          <w:lang w:eastAsia="en-US"/>
        </w:rPr>
        <w:t>ę</w:t>
      </w:r>
      <w:r w:rsidRPr="00F557BB">
        <w:rPr>
          <w:rFonts w:eastAsia="Calibri" w:cs="Arial"/>
          <w:szCs w:val="20"/>
          <w:lang w:eastAsia="en-US"/>
        </w:rPr>
        <w:t>bie placu budowy.</w:t>
      </w:r>
    </w:p>
    <w:p w14:paraId="4DC931C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 zamiarze przyst</w:t>
      </w:r>
      <w:r w:rsidRPr="00F557BB">
        <w:rPr>
          <w:rFonts w:eastAsia="TimesNewRoman" w:cs="Arial"/>
          <w:szCs w:val="20"/>
          <w:lang w:eastAsia="en-US"/>
        </w:rPr>
        <w:t>ą</w:t>
      </w:r>
      <w:r w:rsidRPr="00F557BB">
        <w:rPr>
          <w:rFonts w:eastAsia="Calibri" w:cs="Arial"/>
          <w:szCs w:val="20"/>
          <w:lang w:eastAsia="en-US"/>
        </w:rPr>
        <w:t>pienia do robót w pobli</w:t>
      </w:r>
      <w:r w:rsidRPr="00F557BB">
        <w:rPr>
          <w:rFonts w:eastAsia="TimesNewRoman" w:cs="Arial"/>
          <w:szCs w:val="20"/>
          <w:lang w:eastAsia="en-US"/>
        </w:rPr>
        <w:t>ż</w:t>
      </w:r>
      <w:r w:rsidRPr="00F557BB">
        <w:rPr>
          <w:rFonts w:eastAsia="Calibri" w:cs="Arial"/>
          <w:szCs w:val="20"/>
          <w:lang w:eastAsia="en-US"/>
        </w:rPr>
        <w:t>u tych 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ń</w:t>
      </w:r>
      <w:r w:rsidRPr="00F557BB">
        <w:rPr>
          <w:rFonts w:eastAsia="Calibri" w:cs="Arial"/>
          <w:szCs w:val="20"/>
          <w:lang w:eastAsia="en-US"/>
        </w:rPr>
        <w:t>, b</w:t>
      </w:r>
      <w:r w:rsidRPr="00F557BB">
        <w:rPr>
          <w:rFonts w:eastAsia="TimesNewRoman" w:cs="Arial"/>
          <w:szCs w:val="20"/>
          <w:lang w:eastAsia="en-US"/>
        </w:rPr>
        <w:t>ą</w:t>
      </w:r>
      <w:r w:rsidRPr="00F557BB">
        <w:rPr>
          <w:rFonts w:eastAsia="Calibri" w:cs="Arial"/>
          <w:szCs w:val="20"/>
          <w:lang w:eastAsia="en-US"/>
        </w:rPr>
        <w:t>d</w:t>
      </w:r>
      <w:r w:rsidRPr="00F557BB">
        <w:rPr>
          <w:rFonts w:eastAsia="TimesNewRoman" w:cs="Arial"/>
          <w:szCs w:val="20"/>
          <w:lang w:eastAsia="en-US"/>
        </w:rPr>
        <w:t xml:space="preserve">ź </w:t>
      </w:r>
      <w:r w:rsidRPr="00F557BB">
        <w:rPr>
          <w:rFonts w:eastAsia="Calibri" w:cs="Arial"/>
          <w:szCs w:val="20"/>
          <w:lang w:eastAsia="en-US"/>
        </w:rPr>
        <w:t>ich poło</w:t>
      </w:r>
      <w:r w:rsidRPr="00F557BB">
        <w:rPr>
          <w:rFonts w:eastAsia="TimesNewRoman" w:cs="Arial"/>
          <w:szCs w:val="20"/>
          <w:lang w:eastAsia="en-US"/>
        </w:rPr>
        <w:t>ż</w:t>
      </w:r>
      <w:r w:rsidRPr="00F557BB">
        <w:rPr>
          <w:rFonts w:eastAsia="Calibri" w:cs="Arial"/>
          <w:szCs w:val="20"/>
          <w:lang w:eastAsia="en-US"/>
        </w:rPr>
        <w:t>enia, Wykonawca</w:t>
      </w:r>
    </w:p>
    <w:p w14:paraId="3A8742C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powinien zawiadomi</w:t>
      </w:r>
      <w:r w:rsidRPr="00F557BB">
        <w:rPr>
          <w:rFonts w:eastAsia="TimesNewRoman" w:cs="Arial"/>
          <w:szCs w:val="20"/>
          <w:lang w:eastAsia="en-US"/>
        </w:rPr>
        <w:t xml:space="preserve">ć </w:t>
      </w:r>
      <w:r w:rsidRPr="00F557BB">
        <w:rPr>
          <w:rFonts w:eastAsia="Calibri" w:cs="Arial"/>
          <w:szCs w:val="20"/>
          <w:lang w:eastAsia="en-US"/>
        </w:rPr>
        <w:t>wła</w:t>
      </w:r>
      <w:r w:rsidRPr="00F557BB">
        <w:rPr>
          <w:rFonts w:eastAsia="TimesNewRoman" w:cs="Arial"/>
          <w:szCs w:val="20"/>
          <w:lang w:eastAsia="en-US"/>
        </w:rPr>
        <w:t>ś</w:t>
      </w:r>
      <w:r w:rsidRPr="00F557BB">
        <w:rPr>
          <w:rFonts w:eastAsia="Calibri" w:cs="Arial"/>
          <w:szCs w:val="20"/>
          <w:lang w:eastAsia="en-US"/>
        </w:rPr>
        <w:t>cicieli 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 xml:space="preserve">ń </w:t>
      </w:r>
      <w:r w:rsidRPr="00F557BB">
        <w:rPr>
          <w:rFonts w:eastAsia="Calibri" w:cs="Arial"/>
          <w:szCs w:val="20"/>
          <w:lang w:eastAsia="en-US"/>
        </w:rPr>
        <w:t>i In</w:t>
      </w:r>
      <w:r w:rsidRPr="00F557BB">
        <w:rPr>
          <w:rFonts w:eastAsia="TimesNewRoman" w:cs="Arial"/>
          <w:szCs w:val="20"/>
          <w:lang w:eastAsia="en-US"/>
        </w:rPr>
        <w:t>ż</w:t>
      </w:r>
      <w:r w:rsidRPr="00F557BB">
        <w:rPr>
          <w:rFonts w:eastAsia="Calibri" w:cs="Arial"/>
          <w:szCs w:val="20"/>
          <w:lang w:eastAsia="en-US"/>
        </w:rPr>
        <w:t>yniera/Kierownika Projektu.</w:t>
      </w:r>
    </w:p>
    <w:p w14:paraId="721ADCC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jest zobowi</w:t>
      </w:r>
      <w:r w:rsidRPr="00F557BB">
        <w:rPr>
          <w:rFonts w:eastAsia="TimesNewRoman" w:cs="Arial"/>
          <w:szCs w:val="20"/>
          <w:lang w:eastAsia="en-US"/>
        </w:rPr>
        <w:t>ą</w:t>
      </w:r>
      <w:r w:rsidRPr="00F557BB">
        <w:rPr>
          <w:rFonts w:eastAsia="Calibri" w:cs="Arial"/>
          <w:szCs w:val="20"/>
          <w:lang w:eastAsia="en-US"/>
        </w:rPr>
        <w:t>zany w okresie trwania realizacji kontraktu do wła</w:t>
      </w:r>
      <w:r w:rsidRPr="00F557BB">
        <w:rPr>
          <w:rFonts w:eastAsia="TimesNewRoman" w:cs="Arial"/>
          <w:szCs w:val="20"/>
          <w:lang w:eastAsia="en-US"/>
        </w:rPr>
        <w:t>ś</w:t>
      </w:r>
      <w:r w:rsidRPr="00F557BB">
        <w:rPr>
          <w:rFonts w:eastAsia="Calibri" w:cs="Arial"/>
          <w:szCs w:val="20"/>
          <w:lang w:eastAsia="en-US"/>
        </w:rPr>
        <w:t>ciwego oznaczenia i</w:t>
      </w:r>
    </w:p>
    <w:p w14:paraId="0B94DFD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zabezpieczenia przed uszkodzeniem tych 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ń</w:t>
      </w:r>
      <w:r w:rsidRPr="00F557BB">
        <w:rPr>
          <w:rFonts w:eastAsia="Calibri" w:cs="Arial"/>
          <w:szCs w:val="20"/>
          <w:lang w:eastAsia="en-US"/>
        </w:rPr>
        <w:t>.</w:t>
      </w:r>
    </w:p>
    <w:p w14:paraId="695C064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lastRenderedPageBreak/>
        <w:t>O fakcie przypadkowego uszkodzenia instalacji i 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 xml:space="preserve">ń </w:t>
      </w:r>
      <w:r w:rsidRPr="00F557BB">
        <w:rPr>
          <w:rFonts w:eastAsia="Calibri" w:cs="Arial"/>
          <w:szCs w:val="20"/>
          <w:lang w:eastAsia="en-US"/>
        </w:rPr>
        <w:t>podziemnych Wykonawca</w:t>
      </w:r>
    </w:p>
    <w:p w14:paraId="0A68F2F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bezzwłocznie powiadomi In</w:t>
      </w:r>
      <w:r w:rsidRPr="00F557BB">
        <w:rPr>
          <w:rFonts w:eastAsia="TimesNewRoman" w:cs="Arial"/>
          <w:szCs w:val="20"/>
          <w:lang w:eastAsia="en-US"/>
        </w:rPr>
        <w:t>ż</w:t>
      </w:r>
      <w:r w:rsidRPr="00F557BB">
        <w:rPr>
          <w:rFonts w:eastAsia="Calibri" w:cs="Arial"/>
          <w:szCs w:val="20"/>
          <w:lang w:eastAsia="en-US"/>
        </w:rPr>
        <w:t>yniera/Kierownika Projektu i zainteresowane władze oraz b</w:t>
      </w:r>
      <w:r w:rsidRPr="00F557BB">
        <w:rPr>
          <w:rFonts w:eastAsia="TimesNewRoman" w:cs="Arial"/>
          <w:szCs w:val="20"/>
          <w:lang w:eastAsia="en-US"/>
        </w:rPr>
        <w:t>ę</w:t>
      </w:r>
      <w:r w:rsidRPr="00F557BB">
        <w:rPr>
          <w:rFonts w:eastAsia="Calibri" w:cs="Arial"/>
          <w:szCs w:val="20"/>
          <w:lang w:eastAsia="en-US"/>
        </w:rPr>
        <w:t>dzie z</w:t>
      </w:r>
    </w:p>
    <w:p w14:paraId="773C964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nimi współpracował dostarczaj</w:t>
      </w:r>
      <w:r w:rsidRPr="00F557BB">
        <w:rPr>
          <w:rFonts w:eastAsia="TimesNewRoman" w:cs="Arial"/>
          <w:szCs w:val="20"/>
          <w:lang w:eastAsia="en-US"/>
        </w:rPr>
        <w:t>ą</w:t>
      </w:r>
      <w:r w:rsidRPr="00F557BB">
        <w:rPr>
          <w:rFonts w:eastAsia="Calibri" w:cs="Arial"/>
          <w:szCs w:val="20"/>
          <w:lang w:eastAsia="en-US"/>
        </w:rPr>
        <w:t>c wszelkiej pomocy potrzebnej przy dokonywaniu napraw.</w:t>
      </w:r>
    </w:p>
    <w:p w14:paraId="6A5F4C9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Wykonawcza b</w:t>
      </w:r>
      <w:r w:rsidRPr="00F557BB">
        <w:rPr>
          <w:rFonts w:eastAsia="TimesNewRoman" w:cs="Arial"/>
          <w:szCs w:val="20"/>
          <w:lang w:eastAsia="en-US"/>
        </w:rPr>
        <w:t>ę</w:t>
      </w:r>
      <w:r w:rsidRPr="00F557BB">
        <w:rPr>
          <w:rFonts w:eastAsia="Calibri" w:cs="Arial"/>
          <w:szCs w:val="20"/>
          <w:lang w:eastAsia="en-US"/>
        </w:rPr>
        <w:t>dzie odpowiada</w:t>
      </w:r>
      <w:r w:rsidRPr="00F557BB">
        <w:rPr>
          <w:rFonts w:eastAsia="TimesNewRoman" w:cs="Arial"/>
          <w:szCs w:val="20"/>
          <w:lang w:eastAsia="en-US"/>
        </w:rPr>
        <w:t xml:space="preserve">ć </w:t>
      </w:r>
      <w:r w:rsidRPr="00F557BB">
        <w:rPr>
          <w:rFonts w:eastAsia="Calibri" w:cs="Arial"/>
          <w:szCs w:val="20"/>
          <w:lang w:eastAsia="en-US"/>
        </w:rPr>
        <w:t>za wszelkie spowodowane przez jego działania uszkodzenia</w:t>
      </w:r>
    </w:p>
    <w:p w14:paraId="6509E1F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 xml:space="preserve">ń </w:t>
      </w:r>
      <w:r w:rsidRPr="00F557BB">
        <w:rPr>
          <w:rFonts w:eastAsia="Calibri" w:cs="Arial"/>
          <w:szCs w:val="20"/>
          <w:lang w:eastAsia="en-US"/>
        </w:rPr>
        <w:t>uzbrojenia terenu wskazanych przez Zamawiaj</w:t>
      </w:r>
      <w:r w:rsidRPr="00F557BB">
        <w:rPr>
          <w:rFonts w:eastAsia="TimesNewRoman" w:cs="Arial"/>
          <w:szCs w:val="20"/>
          <w:lang w:eastAsia="en-US"/>
        </w:rPr>
        <w:t>ą</w:t>
      </w:r>
      <w:r w:rsidRPr="00F557BB">
        <w:rPr>
          <w:rFonts w:eastAsia="Calibri" w:cs="Arial"/>
          <w:szCs w:val="20"/>
          <w:lang w:eastAsia="en-US"/>
        </w:rPr>
        <w:t>cego.</w:t>
      </w:r>
    </w:p>
    <w:p w14:paraId="472DD762"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1.7.8. Ograniczenie obciążeń osi pojazdów</w:t>
      </w:r>
    </w:p>
    <w:p w14:paraId="44AC959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b</w:t>
      </w:r>
      <w:r w:rsidRPr="00F557BB">
        <w:rPr>
          <w:rFonts w:eastAsia="TimesNewRoman" w:cs="Arial"/>
          <w:szCs w:val="20"/>
          <w:lang w:eastAsia="en-US"/>
        </w:rPr>
        <w:t>ę</w:t>
      </w:r>
      <w:r w:rsidRPr="00F557BB">
        <w:rPr>
          <w:rFonts w:eastAsia="Calibri" w:cs="Arial"/>
          <w:szCs w:val="20"/>
          <w:lang w:eastAsia="en-US"/>
        </w:rPr>
        <w:t>dzie stosowa</w:t>
      </w:r>
      <w:r w:rsidRPr="00F557BB">
        <w:rPr>
          <w:rFonts w:eastAsia="TimesNewRoman" w:cs="Arial"/>
          <w:szCs w:val="20"/>
          <w:lang w:eastAsia="en-US"/>
        </w:rPr>
        <w:t xml:space="preserve">ć </w:t>
      </w:r>
      <w:r w:rsidRPr="00F557BB">
        <w:rPr>
          <w:rFonts w:eastAsia="Calibri" w:cs="Arial"/>
          <w:szCs w:val="20"/>
          <w:lang w:eastAsia="en-US"/>
        </w:rPr>
        <w:t>si</w:t>
      </w:r>
      <w:r w:rsidRPr="00F557BB">
        <w:rPr>
          <w:rFonts w:eastAsia="TimesNewRoman" w:cs="Arial"/>
          <w:szCs w:val="20"/>
          <w:lang w:eastAsia="en-US"/>
        </w:rPr>
        <w:t xml:space="preserve">ę </w:t>
      </w:r>
      <w:r w:rsidRPr="00F557BB">
        <w:rPr>
          <w:rFonts w:eastAsia="Calibri" w:cs="Arial"/>
          <w:szCs w:val="20"/>
          <w:lang w:eastAsia="en-US"/>
        </w:rPr>
        <w:t>do ustawowych ogranicze</w:t>
      </w:r>
      <w:r w:rsidRPr="00F557BB">
        <w:rPr>
          <w:rFonts w:eastAsia="TimesNewRoman" w:cs="Arial"/>
          <w:szCs w:val="20"/>
          <w:lang w:eastAsia="en-US"/>
        </w:rPr>
        <w:t xml:space="preserve">ń </w:t>
      </w:r>
      <w:r w:rsidRPr="00F557BB">
        <w:rPr>
          <w:rFonts w:eastAsia="Calibri" w:cs="Arial"/>
          <w:szCs w:val="20"/>
          <w:lang w:eastAsia="en-US"/>
        </w:rPr>
        <w:t>nacisków osi na drogach</w:t>
      </w:r>
    </w:p>
    <w:p w14:paraId="2BF42E5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publicznych przy transporcie materiałów i wyposa</w:t>
      </w:r>
      <w:r w:rsidRPr="00F557BB">
        <w:rPr>
          <w:rFonts w:eastAsia="TimesNewRoman" w:cs="Arial"/>
          <w:szCs w:val="20"/>
          <w:lang w:eastAsia="en-US"/>
        </w:rPr>
        <w:t>ż</w:t>
      </w:r>
      <w:r w:rsidRPr="00F557BB">
        <w:rPr>
          <w:rFonts w:eastAsia="Calibri" w:cs="Arial"/>
          <w:szCs w:val="20"/>
          <w:lang w:eastAsia="en-US"/>
        </w:rPr>
        <w:t>enia na i z terenu robót. Wykonawca uzyska</w:t>
      </w:r>
    </w:p>
    <w:p w14:paraId="51A2303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wszelkie niezb</w:t>
      </w:r>
      <w:r w:rsidRPr="00F557BB">
        <w:rPr>
          <w:rFonts w:eastAsia="TimesNewRoman" w:cs="Arial"/>
          <w:szCs w:val="20"/>
          <w:lang w:eastAsia="en-US"/>
        </w:rPr>
        <w:t>ę</w:t>
      </w:r>
      <w:r w:rsidRPr="00F557BB">
        <w:rPr>
          <w:rFonts w:eastAsia="Calibri" w:cs="Arial"/>
          <w:szCs w:val="20"/>
          <w:lang w:eastAsia="en-US"/>
        </w:rPr>
        <w:t>dne zezwolenia i uzgodnienia od wła</w:t>
      </w:r>
      <w:r w:rsidRPr="00F557BB">
        <w:rPr>
          <w:rFonts w:eastAsia="TimesNewRoman" w:cs="Arial"/>
          <w:szCs w:val="20"/>
          <w:lang w:eastAsia="en-US"/>
        </w:rPr>
        <w:t>ś</w:t>
      </w:r>
      <w:r w:rsidRPr="00F557BB">
        <w:rPr>
          <w:rFonts w:eastAsia="Calibri" w:cs="Arial"/>
          <w:szCs w:val="20"/>
          <w:lang w:eastAsia="en-US"/>
        </w:rPr>
        <w:t>ciwych władz co do przewozu</w:t>
      </w:r>
    </w:p>
    <w:p w14:paraId="5621B1A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nietypowych wagowo ładunków (ponadnormatywnych) i o ka</w:t>
      </w:r>
      <w:r w:rsidRPr="00F557BB">
        <w:rPr>
          <w:rFonts w:eastAsia="TimesNewRoman" w:cs="Arial"/>
          <w:szCs w:val="20"/>
          <w:lang w:eastAsia="en-US"/>
        </w:rPr>
        <w:t>ż</w:t>
      </w:r>
      <w:r w:rsidRPr="00F557BB">
        <w:rPr>
          <w:rFonts w:eastAsia="Calibri" w:cs="Arial"/>
          <w:szCs w:val="20"/>
          <w:lang w:eastAsia="en-US"/>
        </w:rPr>
        <w:t>dym takim przewozie b</w:t>
      </w:r>
      <w:r w:rsidRPr="00F557BB">
        <w:rPr>
          <w:rFonts w:eastAsia="TimesNewRoman" w:cs="Arial"/>
          <w:szCs w:val="20"/>
          <w:lang w:eastAsia="en-US"/>
        </w:rPr>
        <w:t>ę</w:t>
      </w:r>
      <w:r w:rsidRPr="00F557BB">
        <w:rPr>
          <w:rFonts w:eastAsia="Calibri" w:cs="Arial"/>
          <w:szCs w:val="20"/>
          <w:lang w:eastAsia="en-US"/>
        </w:rPr>
        <w:t>dzie</w:t>
      </w:r>
    </w:p>
    <w:p w14:paraId="65A972E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powiadamiał In</w:t>
      </w:r>
      <w:r w:rsidRPr="00F557BB">
        <w:rPr>
          <w:rFonts w:eastAsia="TimesNewRoman" w:cs="Arial"/>
          <w:szCs w:val="20"/>
          <w:lang w:eastAsia="en-US"/>
        </w:rPr>
        <w:t>ż</w:t>
      </w:r>
      <w:r w:rsidRPr="00F557BB">
        <w:rPr>
          <w:rFonts w:eastAsia="Calibri" w:cs="Arial"/>
          <w:szCs w:val="20"/>
          <w:lang w:eastAsia="en-US"/>
        </w:rPr>
        <w:t>yniera/Kierownika projektu. In</w:t>
      </w:r>
      <w:r w:rsidRPr="00F557BB">
        <w:rPr>
          <w:rFonts w:eastAsia="TimesNewRoman" w:cs="Arial"/>
          <w:szCs w:val="20"/>
          <w:lang w:eastAsia="en-US"/>
        </w:rPr>
        <w:t>ż</w:t>
      </w:r>
      <w:r w:rsidRPr="00F557BB">
        <w:rPr>
          <w:rFonts w:eastAsia="Calibri" w:cs="Arial"/>
          <w:szCs w:val="20"/>
          <w:lang w:eastAsia="en-US"/>
        </w:rPr>
        <w:t>ynier/Kierownik Projektu mo</w:t>
      </w:r>
      <w:r w:rsidRPr="00F557BB">
        <w:rPr>
          <w:rFonts w:eastAsia="TimesNewRoman" w:cs="Arial"/>
          <w:szCs w:val="20"/>
          <w:lang w:eastAsia="en-US"/>
        </w:rPr>
        <w:t>ż</w:t>
      </w:r>
      <w:r w:rsidRPr="00F557BB">
        <w:rPr>
          <w:rFonts w:eastAsia="Calibri" w:cs="Arial"/>
          <w:szCs w:val="20"/>
          <w:lang w:eastAsia="en-US"/>
        </w:rPr>
        <w:t>e poleci</w:t>
      </w:r>
      <w:r w:rsidRPr="00F557BB">
        <w:rPr>
          <w:rFonts w:eastAsia="TimesNewRoman" w:cs="Arial"/>
          <w:szCs w:val="20"/>
          <w:lang w:eastAsia="en-US"/>
        </w:rPr>
        <w:t>ć</w:t>
      </w:r>
      <w:r w:rsidRPr="00F557BB">
        <w:rPr>
          <w:rFonts w:eastAsia="Calibri" w:cs="Arial"/>
          <w:szCs w:val="20"/>
          <w:lang w:eastAsia="en-US"/>
        </w:rPr>
        <w:t>, aby</w:t>
      </w:r>
    </w:p>
    <w:p w14:paraId="30A96E2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pojazdy nie spełniaj</w:t>
      </w:r>
      <w:r w:rsidRPr="00F557BB">
        <w:rPr>
          <w:rFonts w:eastAsia="TimesNewRoman" w:cs="Arial"/>
          <w:szCs w:val="20"/>
          <w:lang w:eastAsia="en-US"/>
        </w:rPr>
        <w:t>ą</w:t>
      </w:r>
      <w:r w:rsidRPr="00F557BB">
        <w:rPr>
          <w:rFonts w:eastAsia="Calibri" w:cs="Arial"/>
          <w:szCs w:val="20"/>
          <w:lang w:eastAsia="en-US"/>
        </w:rPr>
        <w:t>ce tych warunków zostały usuni</w:t>
      </w:r>
      <w:r w:rsidRPr="00F557BB">
        <w:rPr>
          <w:rFonts w:eastAsia="TimesNewRoman" w:cs="Arial"/>
          <w:szCs w:val="20"/>
          <w:lang w:eastAsia="en-US"/>
        </w:rPr>
        <w:t>ę</w:t>
      </w:r>
      <w:r w:rsidRPr="00F557BB">
        <w:rPr>
          <w:rFonts w:eastAsia="Calibri" w:cs="Arial"/>
          <w:szCs w:val="20"/>
          <w:lang w:eastAsia="en-US"/>
        </w:rPr>
        <w:t>te z terenu budowy. Pojazdy powoduj</w:t>
      </w:r>
      <w:r w:rsidRPr="00F557BB">
        <w:rPr>
          <w:rFonts w:eastAsia="TimesNewRoman" w:cs="Arial"/>
          <w:szCs w:val="20"/>
          <w:lang w:eastAsia="en-US"/>
        </w:rPr>
        <w:t>ą</w:t>
      </w:r>
      <w:r w:rsidRPr="00F557BB">
        <w:rPr>
          <w:rFonts w:eastAsia="Calibri" w:cs="Arial"/>
          <w:szCs w:val="20"/>
          <w:lang w:eastAsia="en-US"/>
        </w:rPr>
        <w:t>ce</w:t>
      </w:r>
    </w:p>
    <w:p w14:paraId="6EF348B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nadmierne obci</w:t>
      </w:r>
      <w:r w:rsidRPr="00F557BB">
        <w:rPr>
          <w:rFonts w:eastAsia="TimesNewRoman" w:cs="Arial"/>
          <w:szCs w:val="20"/>
          <w:lang w:eastAsia="en-US"/>
        </w:rPr>
        <w:t>ąż</w:t>
      </w:r>
      <w:r w:rsidRPr="00F557BB">
        <w:rPr>
          <w:rFonts w:eastAsia="Calibri" w:cs="Arial"/>
          <w:szCs w:val="20"/>
          <w:lang w:eastAsia="en-US"/>
        </w:rPr>
        <w:t>enie osiowe nie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 xml:space="preserve">dopuszczone na </w:t>
      </w:r>
      <w:r w:rsidRPr="00F557BB">
        <w:rPr>
          <w:rFonts w:eastAsia="TimesNewRoman" w:cs="Arial"/>
          <w:szCs w:val="20"/>
          <w:lang w:eastAsia="en-US"/>
        </w:rPr>
        <w:t>ś</w:t>
      </w:r>
      <w:r w:rsidRPr="00F557BB">
        <w:rPr>
          <w:rFonts w:eastAsia="Calibri" w:cs="Arial"/>
          <w:szCs w:val="20"/>
          <w:lang w:eastAsia="en-US"/>
        </w:rPr>
        <w:t>wie</w:t>
      </w:r>
      <w:r w:rsidRPr="00F557BB">
        <w:rPr>
          <w:rFonts w:eastAsia="TimesNewRoman" w:cs="Arial"/>
          <w:szCs w:val="20"/>
          <w:lang w:eastAsia="en-US"/>
        </w:rPr>
        <w:t>ż</w:t>
      </w:r>
      <w:r w:rsidRPr="00F557BB">
        <w:rPr>
          <w:rFonts w:eastAsia="Calibri" w:cs="Arial"/>
          <w:szCs w:val="20"/>
          <w:lang w:eastAsia="en-US"/>
        </w:rPr>
        <w:t>o uko</w:t>
      </w:r>
      <w:r w:rsidRPr="00F557BB">
        <w:rPr>
          <w:rFonts w:eastAsia="TimesNewRoman" w:cs="Arial"/>
          <w:szCs w:val="20"/>
          <w:lang w:eastAsia="en-US"/>
        </w:rPr>
        <w:t>ń</w:t>
      </w:r>
      <w:r w:rsidRPr="00F557BB">
        <w:rPr>
          <w:rFonts w:eastAsia="Calibri" w:cs="Arial"/>
          <w:szCs w:val="20"/>
          <w:lang w:eastAsia="en-US"/>
        </w:rPr>
        <w:t>czony fragment budowy w obr</w:t>
      </w:r>
      <w:r w:rsidRPr="00F557BB">
        <w:rPr>
          <w:rFonts w:eastAsia="TimesNewRoman" w:cs="Arial"/>
          <w:szCs w:val="20"/>
          <w:lang w:eastAsia="en-US"/>
        </w:rPr>
        <w:t>ę</w:t>
      </w:r>
      <w:r w:rsidRPr="00F557BB">
        <w:rPr>
          <w:rFonts w:eastAsia="Calibri" w:cs="Arial"/>
          <w:szCs w:val="20"/>
          <w:lang w:eastAsia="en-US"/>
        </w:rPr>
        <w:t>bie terenu budowy i Wykonawca b</w:t>
      </w:r>
      <w:r w:rsidRPr="00F557BB">
        <w:rPr>
          <w:rFonts w:eastAsia="TimesNewRoman" w:cs="Arial"/>
          <w:szCs w:val="20"/>
          <w:lang w:eastAsia="en-US"/>
        </w:rPr>
        <w:t>ę</w:t>
      </w:r>
      <w:r w:rsidRPr="00F557BB">
        <w:rPr>
          <w:rFonts w:eastAsia="Calibri" w:cs="Arial"/>
          <w:szCs w:val="20"/>
          <w:lang w:eastAsia="en-US"/>
        </w:rPr>
        <w:t>dzie odpowiadał za napraw</w:t>
      </w:r>
      <w:r w:rsidRPr="00F557BB">
        <w:rPr>
          <w:rFonts w:eastAsia="TimesNewRoman" w:cs="Arial"/>
          <w:szCs w:val="20"/>
          <w:lang w:eastAsia="en-US"/>
        </w:rPr>
        <w:t xml:space="preserve">ę </w:t>
      </w:r>
      <w:r w:rsidRPr="00F557BB">
        <w:rPr>
          <w:rFonts w:eastAsia="Calibri" w:cs="Arial"/>
          <w:szCs w:val="20"/>
          <w:lang w:eastAsia="en-US"/>
        </w:rPr>
        <w:t>wszelkich robót w ten</w:t>
      </w:r>
    </w:p>
    <w:p w14:paraId="0638CAE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sposób uszkodzonych, zgodnie z poleceniami In</w:t>
      </w:r>
      <w:r w:rsidRPr="00F557BB">
        <w:rPr>
          <w:rFonts w:eastAsia="TimesNewRoman" w:cs="Arial"/>
          <w:szCs w:val="20"/>
          <w:lang w:eastAsia="en-US"/>
        </w:rPr>
        <w:t>ż</w:t>
      </w:r>
      <w:r w:rsidRPr="00F557BB">
        <w:rPr>
          <w:rFonts w:eastAsia="Calibri" w:cs="Arial"/>
          <w:szCs w:val="20"/>
          <w:lang w:eastAsia="en-US"/>
        </w:rPr>
        <w:t>yniera/Kierownika Projektu.</w:t>
      </w:r>
    </w:p>
    <w:p w14:paraId="4BCCCBAC"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1.7.9. Bezpieczeństwo i higiena pracy</w:t>
      </w:r>
    </w:p>
    <w:p w14:paraId="0AAE517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Podczas realizacji robót Wykonawca b</w:t>
      </w:r>
      <w:r w:rsidRPr="00F557BB">
        <w:rPr>
          <w:rFonts w:eastAsia="TimesNewRoman" w:cs="Arial"/>
          <w:szCs w:val="20"/>
          <w:lang w:eastAsia="en-US"/>
        </w:rPr>
        <w:t>ę</w:t>
      </w:r>
      <w:r w:rsidRPr="00F557BB">
        <w:rPr>
          <w:rFonts w:eastAsia="Calibri" w:cs="Arial"/>
          <w:szCs w:val="20"/>
          <w:lang w:eastAsia="en-US"/>
        </w:rPr>
        <w:t>dzie przestrzega</w:t>
      </w:r>
      <w:r w:rsidRPr="00F557BB">
        <w:rPr>
          <w:rFonts w:eastAsia="TimesNewRoman" w:cs="Arial"/>
          <w:szCs w:val="20"/>
          <w:lang w:eastAsia="en-US"/>
        </w:rPr>
        <w:t xml:space="preserve">ć </w:t>
      </w:r>
      <w:r w:rsidRPr="00F557BB">
        <w:rPr>
          <w:rFonts w:eastAsia="Calibri" w:cs="Arial"/>
          <w:szCs w:val="20"/>
          <w:lang w:eastAsia="en-US"/>
        </w:rPr>
        <w:t>przepisów dotycz</w:t>
      </w:r>
      <w:r w:rsidRPr="00F557BB">
        <w:rPr>
          <w:rFonts w:eastAsia="TimesNewRoman" w:cs="Arial"/>
          <w:szCs w:val="20"/>
          <w:lang w:eastAsia="en-US"/>
        </w:rPr>
        <w:t>ą</w:t>
      </w:r>
      <w:r w:rsidRPr="00F557BB">
        <w:rPr>
          <w:rFonts w:eastAsia="Calibri" w:cs="Arial"/>
          <w:szCs w:val="20"/>
          <w:lang w:eastAsia="en-US"/>
        </w:rPr>
        <w:t>cych</w:t>
      </w:r>
    </w:p>
    <w:p w14:paraId="5C77FCC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bezpiecze</w:t>
      </w:r>
      <w:r w:rsidRPr="00F557BB">
        <w:rPr>
          <w:rFonts w:eastAsia="TimesNewRoman" w:cs="Arial"/>
          <w:szCs w:val="20"/>
          <w:lang w:eastAsia="en-US"/>
        </w:rPr>
        <w:t>ń</w:t>
      </w:r>
      <w:r w:rsidRPr="00F557BB">
        <w:rPr>
          <w:rFonts w:eastAsia="Calibri" w:cs="Arial"/>
          <w:szCs w:val="20"/>
          <w:lang w:eastAsia="en-US"/>
        </w:rPr>
        <w:t>stwa i higieny pracy.</w:t>
      </w:r>
    </w:p>
    <w:p w14:paraId="0228264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szczególno</w:t>
      </w:r>
      <w:r w:rsidRPr="00F557BB">
        <w:rPr>
          <w:rFonts w:eastAsia="TimesNewRoman" w:cs="Arial"/>
          <w:szCs w:val="20"/>
          <w:lang w:eastAsia="en-US"/>
        </w:rPr>
        <w:t>ś</w:t>
      </w:r>
      <w:r w:rsidRPr="00F557BB">
        <w:rPr>
          <w:rFonts w:eastAsia="Calibri" w:cs="Arial"/>
          <w:szCs w:val="20"/>
          <w:lang w:eastAsia="en-US"/>
        </w:rPr>
        <w:t>ci Wykonawca ma obowi</w:t>
      </w:r>
      <w:r w:rsidRPr="00F557BB">
        <w:rPr>
          <w:rFonts w:eastAsia="TimesNewRoman" w:cs="Arial"/>
          <w:szCs w:val="20"/>
          <w:lang w:eastAsia="en-US"/>
        </w:rPr>
        <w:t>ą</w:t>
      </w:r>
      <w:r w:rsidRPr="00F557BB">
        <w:rPr>
          <w:rFonts w:eastAsia="Calibri" w:cs="Arial"/>
          <w:szCs w:val="20"/>
          <w:lang w:eastAsia="en-US"/>
        </w:rPr>
        <w:t>zek zadba</w:t>
      </w:r>
      <w:r w:rsidRPr="00F557BB">
        <w:rPr>
          <w:rFonts w:eastAsia="TimesNewRoman" w:cs="Arial"/>
          <w:szCs w:val="20"/>
          <w:lang w:eastAsia="en-US"/>
        </w:rPr>
        <w:t>ć</w:t>
      </w:r>
      <w:r w:rsidRPr="00F557BB">
        <w:rPr>
          <w:rFonts w:eastAsia="Calibri" w:cs="Arial"/>
          <w:szCs w:val="20"/>
          <w:lang w:eastAsia="en-US"/>
        </w:rPr>
        <w:t>, aby personel nie wykonywał pracy w</w:t>
      </w:r>
    </w:p>
    <w:p w14:paraId="5950FAB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warunkach niebezpiecznych, szkodliwych dla zdrowia oraz nie spełniaj</w:t>
      </w:r>
      <w:r w:rsidRPr="00F557BB">
        <w:rPr>
          <w:rFonts w:eastAsia="TimesNewRoman" w:cs="Arial"/>
          <w:szCs w:val="20"/>
          <w:lang w:eastAsia="en-US"/>
        </w:rPr>
        <w:t>ą</w:t>
      </w:r>
      <w:r w:rsidRPr="00F557BB">
        <w:rPr>
          <w:rFonts w:eastAsia="Calibri" w:cs="Arial"/>
          <w:szCs w:val="20"/>
          <w:lang w:eastAsia="en-US"/>
        </w:rPr>
        <w:t>cych odpowiednich</w:t>
      </w:r>
    </w:p>
    <w:p w14:paraId="12AEE33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wymaga</w:t>
      </w:r>
      <w:r w:rsidRPr="00F557BB">
        <w:rPr>
          <w:rFonts w:eastAsia="TimesNewRoman" w:cs="Arial"/>
          <w:szCs w:val="20"/>
          <w:lang w:eastAsia="en-US"/>
        </w:rPr>
        <w:t xml:space="preserve">ń </w:t>
      </w:r>
      <w:r w:rsidRPr="00F557BB">
        <w:rPr>
          <w:rFonts w:eastAsia="Calibri" w:cs="Arial"/>
          <w:szCs w:val="20"/>
          <w:lang w:eastAsia="en-US"/>
        </w:rPr>
        <w:t>sanitarnych.</w:t>
      </w:r>
    </w:p>
    <w:p w14:paraId="5A4EE62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zapewni i b</w:t>
      </w:r>
      <w:r w:rsidRPr="00F557BB">
        <w:rPr>
          <w:rFonts w:eastAsia="TimesNewRoman" w:cs="Arial"/>
          <w:szCs w:val="20"/>
          <w:lang w:eastAsia="en-US"/>
        </w:rPr>
        <w:t>ę</w:t>
      </w:r>
      <w:r w:rsidRPr="00F557BB">
        <w:rPr>
          <w:rFonts w:eastAsia="Calibri" w:cs="Arial"/>
          <w:szCs w:val="20"/>
          <w:lang w:eastAsia="en-US"/>
        </w:rPr>
        <w:t>dzie utrzymywał wszelkie urz</w:t>
      </w:r>
      <w:r w:rsidRPr="00F557BB">
        <w:rPr>
          <w:rFonts w:eastAsia="TimesNewRoman" w:cs="Arial"/>
          <w:szCs w:val="20"/>
          <w:lang w:eastAsia="en-US"/>
        </w:rPr>
        <w:t>ą</w:t>
      </w:r>
      <w:r w:rsidRPr="00F557BB">
        <w:rPr>
          <w:rFonts w:eastAsia="Calibri" w:cs="Arial"/>
          <w:szCs w:val="20"/>
          <w:lang w:eastAsia="en-US"/>
        </w:rPr>
        <w:t>dzenia zabezpieczaj</w:t>
      </w:r>
      <w:r w:rsidRPr="00F557BB">
        <w:rPr>
          <w:rFonts w:eastAsia="TimesNewRoman" w:cs="Arial"/>
          <w:szCs w:val="20"/>
          <w:lang w:eastAsia="en-US"/>
        </w:rPr>
        <w:t>ą</w:t>
      </w:r>
      <w:r w:rsidRPr="00F557BB">
        <w:rPr>
          <w:rFonts w:eastAsia="Calibri" w:cs="Arial"/>
          <w:szCs w:val="20"/>
          <w:lang w:eastAsia="en-US"/>
        </w:rPr>
        <w:t>ce, socjalne oraz</w:t>
      </w:r>
    </w:p>
    <w:p w14:paraId="1FE0631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sprz</w:t>
      </w:r>
      <w:r w:rsidRPr="00F557BB">
        <w:rPr>
          <w:rFonts w:eastAsia="TimesNewRoman" w:cs="Arial"/>
          <w:szCs w:val="20"/>
          <w:lang w:eastAsia="en-US"/>
        </w:rPr>
        <w:t>ę</w:t>
      </w:r>
      <w:r w:rsidRPr="00F557BB">
        <w:rPr>
          <w:rFonts w:eastAsia="Calibri" w:cs="Arial"/>
          <w:szCs w:val="20"/>
          <w:lang w:eastAsia="en-US"/>
        </w:rPr>
        <w:t>t i odpowiedni</w:t>
      </w:r>
      <w:r w:rsidRPr="00F557BB">
        <w:rPr>
          <w:rFonts w:eastAsia="TimesNewRoman" w:cs="Arial"/>
          <w:szCs w:val="20"/>
          <w:lang w:eastAsia="en-US"/>
        </w:rPr>
        <w:t xml:space="preserve">ą </w:t>
      </w:r>
      <w:r w:rsidRPr="00F557BB">
        <w:rPr>
          <w:rFonts w:eastAsia="Calibri" w:cs="Arial"/>
          <w:szCs w:val="20"/>
          <w:lang w:eastAsia="en-US"/>
        </w:rPr>
        <w:t>odzie</w:t>
      </w:r>
      <w:r w:rsidRPr="00F557BB">
        <w:rPr>
          <w:rFonts w:eastAsia="TimesNewRoman" w:cs="Arial"/>
          <w:szCs w:val="20"/>
          <w:lang w:eastAsia="en-US"/>
        </w:rPr>
        <w:t xml:space="preserve">ż </w:t>
      </w:r>
      <w:r w:rsidRPr="00F557BB">
        <w:rPr>
          <w:rFonts w:eastAsia="Calibri" w:cs="Arial"/>
          <w:szCs w:val="20"/>
          <w:lang w:eastAsia="en-US"/>
        </w:rPr>
        <w:t xml:space="preserve">dla ochrony </w:t>
      </w:r>
      <w:r w:rsidRPr="00F557BB">
        <w:rPr>
          <w:rFonts w:eastAsia="TimesNewRoman" w:cs="Arial"/>
          <w:szCs w:val="20"/>
          <w:lang w:eastAsia="en-US"/>
        </w:rPr>
        <w:t>ż</w:t>
      </w:r>
      <w:r w:rsidRPr="00F557BB">
        <w:rPr>
          <w:rFonts w:eastAsia="Calibri" w:cs="Arial"/>
          <w:szCs w:val="20"/>
          <w:lang w:eastAsia="en-US"/>
        </w:rPr>
        <w:t>ycia i zdrowia osób zatrudnionych na budowie oraz</w:t>
      </w:r>
    </w:p>
    <w:p w14:paraId="7E45A1D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dla zapewnienia bezpiecze</w:t>
      </w:r>
      <w:r w:rsidRPr="00F557BB">
        <w:rPr>
          <w:rFonts w:eastAsia="TimesNewRoman" w:cs="Arial"/>
          <w:szCs w:val="20"/>
          <w:lang w:eastAsia="en-US"/>
        </w:rPr>
        <w:t>ń</w:t>
      </w:r>
      <w:r w:rsidRPr="00F557BB">
        <w:rPr>
          <w:rFonts w:eastAsia="Calibri" w:cs="Arial"/>
          <w:szCs w:val="20"/>
          <w:lang w:eastAsia="en-US"/>
        </w:rPr>
        <w:t>stwa publicznego.</w:t>
      </w:r>
    </w:p>
    <w:p w14:paraId="505FDD4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Uznaje si</w:t>
      </w:r>
      <w:r w:rsidRPr="00F557BB">
        <w:rPr>
          <w:rFonts w:eastAsia="TimesNewRoman" w:cs="Arial"/>
          <w:szCs w:val="20"/>
          <w:lang w:eastAsia="en-US"/>
        </w:rPr>
        <w:t>ę</w:t>
      </w:r>
      <w:r w:rsidRPr="00F557BB">
        <w:rPr>
          <w:rFonts w:eastAsia="Calibri" w:cs="Arial"/>
          <w:szCs w:val="20"/>
          <w:lang w:eastAsia="en-US"/>
        </w:rPr>
        <w:t xml:space="preserve">, </w:t>
      </w:r>
      <w:r w:rsidRPr="00F557BB">
        <w:rPr>
          <w:rFonts w:eastAsia="TimesNewRoman" w:cs="Arial"/>
          <w:szCs w:val="20"/>
          <w:lang w:eastAsia="en-US"/>
        </w:rPr>
        <w:t>ż</w:t>
      </w:r>
      <w:r w:rsidRPr="00F557BB">
        <w:rPr>
          <w:rFonts w:eastAsia="Calibri" w:cs="Arial"/>
          <w:szCs w:val="20"/>
          <w:lang w:eastAsia="en-US"/>
        </w:rPr>
        <w:t>e wszelkie koszty zwi</w:t>
      </w:r>
      <w:r w:rsidRPr="00F557BB">
        <w:rPr>
          <w:rFonts w:eastAsia="TimesNewRoman" w:cs="Arial"/>
          <w:szCs w:val="20"/>
          <w:lang w:eastAsia="en-US"/>
        </w:rPr>
        <w:t>ą</w:t>
      </w:r>
      <w:r w:rsidRPr="00F557BB">
        <w:rPr>
          <w:rFonts w:eastAsia="Calibri" w:cs="Arial"/>
          <w:szCs w:val="20"/>
          <w:lang w:eastAsia="en-US"/>
        </w:rPr>
        <w:t>zane z wypełnieniem wymaga</w:t>
      </w:r>
      <w:r w:rsidRPr="00F557BB">
        <w:rPr>
          <w:rFonts w:eastAsia="TimesNewRoman" w:cs="Arial"/>
          <w:szCs w:val="20"/>
          <w:lang w:eastAsia="en-US"/>
        </w:rPr>
        <w:t xml:space="preserve">ń </w:t>
      </w:r>
      <w:r w:rsidRPr="00F557BB">
        <w:rPr>
          <w:rFonts w:eastAsia="Calibri" w:cs="Arial"/>
          <w:szCs w:val="20"/>
          <w:lang w:eastAsia="en-US"/>
        </w:rPr>
        <w:t>okre</w:t>
      </w:r>
      <w:r w:rsidRPr="00F557BB">
        <w:rPr>
          <w:rFonts w:eastAsia="TimesNewRoman" w:cs="Arial"/>
          <w:szCs w:val="20"/>
          <w:lang w:eastAsia="en-US"/>
        </w:rPr>
        <w:t>ś</w:t>
      </w:r>
      <w:r w:rsidRPr="00F557BB">
        <w:rPr>
          <w:rFonts w:eastAsia="Calibri" w:cs="Arial"/>
          <w:szCs w:val="20"/>
          <w:lang w:eastAsia="en-US"/>
        </w:rPr>
        <w:t>lonych powy</w:t>
      </w:r>
      <w:r w:rsidRPr="00F557BB">
        <w:rPr>
          <w:rFonts w:eastAsia="TimesNewRoman" w:cs="Arial"/>
          <w:szCs w:val="20"/>
          <w:lang w:eastAsia="en-US"/>
        </w:rPr>
        <w:t>ż</w:t>
      </w:r>
      <w:r w:rsidRPr="00F557BB">
        <w:rPr>
          <w:rFonts w:eastAsia="Calibri" w:cs="Arial"/>
          <w:szCs w:val="20"/>
          <w:lang w:eastAsia="en-US"/>
        </w:rPr>
        <w:t>ej nie</w:t>
      </w:r>
    </w:p>
    <w:p w14:paraId="08B8AA9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podlegaj</w:t>
      </w:r>
      <w:r w:rsidRPr="00F557BB">
        <w:rPr>
          <w:rFonts w:eastAsia="TimesNewRoman" w:cs="Arial"/>
          <w:szCs w:val="20"/>
          <w:lang w:eastAsia="en-US"/>
        </w:rPr>
        <w:t xml:space="preserve">ą </w:t>
      </w:r>
      <w:r w:rsidRPr="00F557BB">
        <w:rPr>
          <w:rFonts w:eastAsia="Calibri" w:cs="Arial"/>
          <w:szCs w:val="20"/>
          <w:lang w:eastAsia="en-US"/>
        </w:rPr>
        <w:t>odr</w:t>
      </w:r>
      <w:r w:rsidRPr="00F557BB">
        <w:rPr>
          <w:rFonts w:eastAsia="TimesNewRoman" w:cs="Arial"/>
          <w:szCs w:val="20"/>
          <w:lang w:eastAsia="en-US"/>
        </w:rPr>
        <w:t>ę</w:t>
      </w:r>
      <w:r w:rsidRPr="00F557BB">
        <w:rPr>
          <w:rFonts w:eastAsia="Calibri" w:cs="Arial"/>
          <w:szCs w:val="20"/>
          <w:lang w:eastAsia="en-US"/>
        </w:rPr>
        <w:t>bnej zapłacie i s</w:t>
      </w:r>
      <w:r w:rsidRPr="00F557BB">
        <w:rPr>
          <w:rFonts w:eastAsia="TimesNewRoman" w:cs="Arial"/>
          <w:szCs w:val="20"/>
          <w:lang w:eastAsia="en-US"/>
        </w:rPr>
        <w:t xml:space="preserve">ą </w:t>
      </w:r>
      <w:r w:rsidRPr="00F557BB">
        <w:rPr>
          <w:rFonts w:eastAsia="Calibri" w:cs="Arial"/>
          <w:szCs w:val="20"/>
          <w:lang w:eastAsia="en-US"/>
        </w:rPr>
        <w:t>uwzgl</w:t>
      </w:r>
      <w:r w:rsidRPr="00F557BB">
        <w:rPr>
          <w:rFonts w:eastAsia="TimesNewRoman" w:cs="Arial"/>
          <w:szCs w:val="20"/>
          <w:lang w:eastAsia="en-US"/>
        </w:rPr>
        <w:t>ę</w:t>
      </w:r>
      <w:r w:rsidRPr="00F557BB">
        <w:rPr>
          <w:rFonts w:eastAsia="Calibri" w:cs="Arial"/>
          <w:szCs w:val="20"/>
          <w:lang w:eastAsia="en-US"/>
        </w:rPr>
        <w:t>dnione w cenie kontraktowej.</w:t>
      </w:r>
    </w:p>
    <w:p w14:paraId="2F75F6E5"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1.7.10. Ochrona i utrzymanie robót</w:t>
      </w:r>
    </w:p>
    <w:p w14:paraId="5B8D68F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b</w:t>
      </w:r>
      <w:r w:rsidRPr="00F557BB">
        <w:rPr>
          <w:rFonts w:eastAsia="TimesNewRoman" w:cs="Arial"/>
          <w:szCs w:val="20"/>
          <w:lang w:eastAsia="en-US"/>
        </w:rPr>
        <w:t>ę</w:t>
      </w:r>
      <w:r w:rsidRPr="00F557BB">
        <w:rPr>
          <w:rFonts w:eastAsia="Calibri" w:cs="Arial"/>
          <w:szCs w:val="20"/>
          <w:lang w:eastAsia="en-US"/>
        </w:rPr>
        <w:t>dzie odpowiadał za ochron</w:t>
      </w:r>
      <w:r w:rsidRPr="00F557BB">
        <w:rPr>
          <w:rFonts w:eastAsia="TimesNewRoman" w:cs="Arial"/>
          <w:szCs w:val="20"/>
          <w:lang w:eastAsia="en-US"/>
        </w:rPr>
        <w:t xml:space="preserve">ę </w:t>
      </w:r>
      <w:r w:rsidRPr="00F557BB">
        <w:rPr>
          <w:rFonts w:eastAsia="Calibri" w:cs="Arial"/>
          <w:szCs w:val="20"/>
          <w:lang w:eastAsia="en-US"/>
        </w:rPr>
        <w:t>robót i za wszelkie materiały i urz</w:t>
      </w:r>
      <w:r w:rsidRPr="00F557BB">
        <w:rPr>
          <w:rFonts w:eastAsia="TimesNewRoman" w:cs="Arial"/>
          <w:szCs w:val="20"/>
          <w:lang w:eastAsia="en-US"/>
        </w:rPr>
        <w:t>ą</w:t>
      </w:r>
      <w:r w:rsidRPr="00F557BB">
        <w:rPr>
          <w:rFonts w:eastAsia="Calibri" w:cs="Arial"/>
          <w:szCs w:val="20"/>
          <w:lang w:eastAsia="en-US"/>
        </w:rPr>
        <w:t>dzenia u</w:t>
      </w:r>
      <w:r w:rsidRPr="00F557BB">
        <w:rPr>
          <w:rFonts w:eastAsia="TimesNewRoman" w:cs="Arial"/>
          <w:szCs w:val="20"/>
          <w:lang w:eastAsia="en-US"/>
        </w:rPr>
        <w:t>ż</w:t>
      </w:r>
      <w:r w:rsidRPr="00F557BB">
        <w:rPr>
          <w:rFonts w:eastAsia="Calibri" w:cs="Arial"/>
          <w:szCs w:val="20"/>
          <w:lang w:eastAsia="en-US"/>
        </w:rPr>
        <w:t>ywane</w:t>
      </w:r>
    </w:p>
    <w:p w14:paraId="5B0080E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 robót od daty rozpocz</w:t>
      </w:r>
      <w:r w:rsidRPr="00F557BB">
        <w:rPr>
          <w:rFonts w:eastAsia="TimesNewRoman" w:cs="Arial"/>
          <w:szCs w:val="20"/>
          <w:lang w:eastAsia="en-US"/>
        </w:rPr>
        <w:t>ę</w:t>
      </w:r>
      <w:r w:rsidRPr="00F557BB">
        <w:rPr>
          <w:rFonts w:eastAsia="Calibri" w:cs="Arial"/>
          <w:szCs w:val="20"/>
          <w:lang w:eastAsia="en-US"/>
        </w:rPr>
        <w:t>cia do daty wydania potwierdzenia zako</w:t>
      </w:r>
      <w:r w:rsidRPr="00F557BB">
        <w:rPr>
          <w:rFonts w:eastAsia="TimesNewRoman" w:cs="Arial"/>
          <w:szCs w:val="20"/>
          <w:lang w:eastAsia="en-US"/>
        </w:rPr>
        <w:t>ń</w:t>
      </w:r>
      <w:r w:rsidRPr="00F557BB">
        <w:rPr>
          <w:rFonts w:eastAsia="Calibri" w:cs="Arial"/>
          <w:szCs w:val="20"/>
          <w:lang w:eastAsia="en-US"/>
        </w:rPr>
        <w:t>czenia robót przez</w:t>
      </w:r>
    </w:p>
    <w:p w14:paraId="3D5F02F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In</w:t>
      </w:r>
      <w:r w:rsidRPr="00F557BB">
        <w:rPr>
          <w:rFonts w:eastAsia="TimesNewRoman" w:cs="Arial"/>
          <w:szCs w:val="20"/>
          <w:lang w:eastAsia="en-US"/>
        </w:rPr>
        <w:t>ż</w:t>
      </w:r>
      <w:r w:rsidRPr="00F557BB">
        <w:rPr>
          <w:rFonts w:eastAsia="Calibri" w:cs="Arial"/>
          <w:szCs w:val="20"/>
          <w:lang w:eastAsia="en-US"/>
        </w:rPr>
        <w:t>yniera/Kierownika projektu.</w:t>
      </w:r>
    </w:p>
    <w:p w14:paraId="010111F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b</w:t>
      </w:r>
      <w:r w:rsidRPr="00F557BB">
        <w:rPr>
          <w:rFonts w:eastAsia="TimesNewRoman" w:cs="Arial"/>
          <w:szCs w:val="20"/>
          <w:lang w:eastAsia="en-US"/>
        </w:rPr>
        <w:t>ę</w:t>
      </w:r>
      <w:r w:rsidRPr="00F557BB">
        <w:rPr>
          <w:rFonts w:eastAsia="Calibri" w:cs="Arial"/>
          <w:szCs w:val="20"/>
          <w:lang w:eastAsia="en-US"/>
        </w:rPr>
        <w:t>dzie utrzymywa</w:t>
      </w:r>
      <w:r w:rsidRPr="00F557BB">
        <w:rPr>
          <w:rFonts w:eastAsia="TimesNewRoman" w:cs="Arial"/>
          <w:szCs w:val="20"/>
          <w:lang w:eastAsia="en-US"/>
        </w:rPr>
        <w:t xml:space="preserve">ć </w:t>
      </w:r>
      <w:r w:rsidRPr="00F557BB">
        <w:rPr>
          <w:rFonts w:eastAsia="Calibri" w:cs="Arial"/>
          <w:szCs w:val="20"/>
          <w:lang w:eastAsia="en-US"/>
        </w:rPr>
        <w:t>roboty do czasu odbioru ostatecznego. Utrzymanie powinno</w:t>
      </w:r>
    </w:p>
    <w:p w14:paraId="211B544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by</w:t>
      </w:r>
      <w:r w:rsidRPr="00F557BB">
        <w:rPr>
          <w:rFonts w:eastAsia="TimesNewRoman" w:cs="Arial"/>
          <w:szCs w:val="20"/>
          <w:lang w:eastAsia="en-US"/>
        </w:rPr>
        <w:t xml:space="preserve">ć </w:t>
      </w:r>
      <w:r w:rsidRPr="00F557BB">
        <w:rPr>
          <w:rFonts w:eastAsia="Calibri" w:cs="Arial"/>
          <w:szCs w:val="20"/>
          <w:lang w:eastAsia="en-US"/>
        </w:rPr>
        <w:t>prowadzone w taki sposób, aby budowla drogowa lub jej elementy były w zadowalaj</w:t>
      </w:r>
      <w:r w:rsidRPr="00F557BB">
        <w:rPr>
          <w:rFonts w:eastAsia="TimesNewRoman" w:cs="Arial"/>
          <w:szCs w:val="20"/>
          <w:lang w:eastAsia="en-US"/>
        </w:rPr>
        <w:t>ą</w:t>
      </w:r>
      <w:r w:rsidRPr="00F557BB">
        <w:rPr>
          <w:rFonts w:eastAsia="Calibri" w:cs="Arial"/>
          <w:szCs w:val="20"/>
          <w:lang w:eastAsia="en-US"/>
        </w:rPr>
        <w:t>cym</w:t>
      </w:r>
    </w:p>
    <w:p w14:paraId="307DD57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stanie przez cały czas, do momentu odbioru ostatecznego.</w:t>
      </w:r>
    </w:p>
    <w:p w14:paraId="6672B36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Je</w:t>
      </w:r>
      <w:r w:rsidRPr="00F557BB">
        <w:rPr>
          <w:rFonts w:eastAsia="TimesNewRoman" w:cs="Arial"/>
          <w:szCs w:val="20"/>
          <w:lang w:eastAsia="en-US"/>
        </w:rPr>
        <w:t>ś</w:t>
      </w:r>
      <w:r w:rsidRPr="00F557BB">
        <w:rPr>
          <w:rFonts w:eastAsia="Calibri" w:cs="Arial"/>
          <w:szCs w:val="20"/>
          <w:lang w:eastAsia="en-US"/>
        </w:rPr>
        <w:t>li Wykonawca w jakimkolwiek czasie zaniedba utrzymanie, to na polecenie</w:t>
      </w:r>
    </w:p>
    <w:p w14:paraId="595A041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In</w:t>
      </w:r>
      <w:r w:rsidRPr="00F557BB">
        <w:rPr>
          <w:rFonts w:eastAsia="TimesNewRoman" w:cs="Arial"/>
          <w:szCs w:val="20"/>
          <w:lang w:eastAsia="en-US"/>
        </w:rPr>
        <w:t>ż</w:t>
      </w:r>
      <w:r w:rsidRPr="00F557BB">
        <w:rPr>
          <w:rFonts w:eastAsia="Calibri" w:cs="Arial"/>
          <w:szCs w:val="20"/>
          <w:lang w:eastAsia="en-US"/>
        </w:rPr>
        <w:t>yniera/Kierownika Projektu powinien rozpocz</w:t>
      </w:r>
      <w:r w:rsidRPr="00F557BB">
        <w:rPr>
          <w:rFonts w:eastAsia="TimesNewRoman" w:cs="Arial"/>
          <w:szCs w:val="20"/>
          <w:lang w:eastAsia="en-US"/>
        </w:rPr>
        <w:t xml:space="preserve">ąć </w:t>
      </w:r>
      <w:r w:rsidRPr="00F557BB">
        <w:rPr>
          <w:rFonts w:eastAsia="Calibri" w:cs="Arial"/>
          <w:szCs w:val="20"/>
          <w:lang w:eastAsia="en-US"/>
        </w:rPr>
        <w:t>roboty utrzymaniowe nie pó</w:t>
      </w:r>
      <w:r w:rsidRPr="00F557BB">
        <w:rPr>
          <w:rFonts w:eastAsia="TimesNewRoman" w:cs="Arial"/>
          <w:szCs w:val="20"/>
          <w:lang w:eastAsia="en-US"/>
        </w:rPr>
        <w:t>ź</w:t>
      </w:r>
      <w:r w:rsidRPr="00F557BB">
        <w:rPr>
          <w:rFonts w:eastAsia="Calibri" w:cs="Arial"/>
          <w:szCs w:val="20"/>
          <w:lang w:eastAsia="en-US"/>
        </w:rPr>
        <w:t>niej ni</w:t>
      </w:r>
      <w:r w:rsidRPr="00F557BB">
        <w:rPr>
          <w:rFonts w:eastAsia="TimesNewRoman" w:cs="Arial"/>
          <w:szCs w:val="20"/>
          <w:lang w:eastAsia="en-US"/>
        </w:rPr>
        <w:t xml:space="preserve">ż </w:t>
      </w:r>
      <w:r w:rsidRPr="00F557BB">
        <w:rPr>
          <w:rFonts w:eastAsia="Calibri" w:cs="Arial"/>
          <w:szCs w:val="20"/>
          <w:lang w:eastAsia="en-US"/>
        </w:rPr>
        <w:t>w 24</w:t>
      </w:r>
    </w:p>
    <w:p w14:paraId="6D5CFF2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godziny po otrzymaniu tego polecenia.</w:t>
      </w:r>
    </w:p>
    <w:p w14:paraId="23B5C94C"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1.7.11. Wykopaliska</w:t>
      </w:r>
    </w:p>
    <w:p w14:paraId="0FF836C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Wszelkie wykopaliska, monety, przedmioty warto</w:t>
      </w:r>
      <w:r w:rsidRPr="00F557BB">
        <w:rPr>
          <w:rFonts w:eastAsia="TimesNewRoman" w:cs="Arial"/>
          <w:szCs w:val="20"/>
          <w:lang w:eastAsia="en-US"/>
        </w:rPr>
        <w:t>ś</w:t>
      </w:r>
      <w:r w:rsidRPr="00F557BB">
        <w:rPr>
          <w:rFonts w:eastAsia="Calibri" w:cs="Arial"/>
          <w:szCs w:val="20"/>
          <w:lang w:eastAsia="en-US"/>
        </w:rPr>
        <w:t>ciowe, budowle oraz inne pozostało</w:t>
      </w:r>
      <w:r w:rsidRPr="00F557BB">
        <w:rPr>
          <w:rFonts w:eastAsia="TimesNewRoman" w:cs="Arial"/>
          <w:szCs w:val="20"/>
          <w:lang w:eastAsia="en-US"/>
        </w:rPr>
        <w:t>ś</w:t>
      </w:r>
      <w:r w:rsidRPr="00F557BB">
        <w:rPr>
          <w:rFonts w:eastAsia="Calibri" w:cs="Arial"/>
          <w:szCs w:val="20"/>
          <w:lang w:eastAsia="en-US"/>
        </w:rPr>
        <w:t>ci o</w:t>
      </w:r>
    </w:p>
    <w:p w14:paraId="40599BA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znaczeniu geologicznym lub archeologicznym odkryte na terenie budowy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uwa</w:t>
      </w:r>
      <w:r w:rsidRPr="00F557BB">
        <w:rPr>
          <w:rFonts w:eastAsia="TimesNewRoman" w:cs="Arial"/>
          <w:szCs w:val="20"/>
          <w:lang w:eastAsia="en-US"/>
        </w:rPr>
        <w:t>ż</w:t>
      </w:r>
      <w:r w:rsidRPr="00F557BB">
        <w:rPr>
          <w:rFonts w:eastAsia="Calibri" w:cs="Arial"/>
          <w:szCs w:val="20"/>
          <w:lang w:eastAsia="en-US"/>
        </w:rPr>
        <w:t>ane za</w:t>
      </w:r>
    </w:p>
    <w:p w14:paraId="48B4193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własno</w:t>
      </w:r>
      <w:r w:rsidRPr="00F557BB">
        <w:rPr>
          <w:rFonts w:eastAsia="TimesNewRoman" w:cs="Arial"/>
          <w:szCs w:val="20"/>
          <w:lang w:eastAsia="en-US"/>
        </w:rPr>
        <w:t xml:space="preserve">ść </w:t>
      </w:r>
      <w:r w:rsidRPr="00F557BB">
        <w:rPr>
          <w:rFonts w:eastAsia="Calibri" w:cs="Arial"/>
          <w:szCs w:val="20"/>
          <w:lang w:eastAsia="en-US"/>
        </w:rPr>
        <w:t>Zamawiaj</w:t>
      </w:r>
      <w:r w:rsidRPr="00F557BB">
        <w:rPr>
          <w:rFonts w:eastAsia="TimesNewRoman" w:cs="Arial"/>
          <w:szCs w:val="20"/>
          <w:lang w:eastAsia="en-US"/>
        </w:rPr>
        <w:t>ą</w:t>
      </w:r>
      <w:r w:rsidRPr="00F557BB">
        <w:rPr>
          <w:rFonts w:eastAsia="Calibri" w:cs="Arial"/>
          <w:szCs w:val="20"/>
          <w:lang w:eastAsia="en-US"/>
        </w:rPr>
        <w:t>cego. Wykonawca zobowi</w:t>
      </w:r>
      <w:r w:rsidRPr="00F557BB">
        <w:rPr>
          <w:rFonts w:eastAsia="TimesNewRoman" w:cs="Arial"/>
          <w:szCs w:val="20"/>
          <w:lang w:eastAsia="en-US"/>
        </w:rPr>
        <w:t>ą</w:t>
      </w:r>
      <w:r w:rsidRPr="00F557BB">
        <w:rPr>
          <w:rFonts w:eastAsia="Calibri" w:cs="Arial"/>
          <w:szCs w:val="20"/>
          <w:lang w:eastAsia="en-US"/>
        </w:rPr>
        <w:t>zany jest powiadomi</w:t>
      </w:r>
      <w:r w:rsidRPr="00F557BB">
        <w:rPr>
          <w:rFonts w:eastAsia="TimesNewRoman" w:cs="Arial"/>
          <w:szCs w:val="20"/>
          <w:lang w:eastAsia="en-US"/>
        </w:rPr>
        <w:t xml:space="preserve">ć </w:t>
      </w:r>
      <w:r w:rsidRPr="00F557BB">
        <w:rPr>
          <w:rFonts w:eastAsia="Calibri" w:cs="Arial"/>
          <w:szCs w:val="20"/>
          <w:lang w:eastAsia="en-US"/>
        </w:rPr>
        <w:t>In</w:t>
      </w:r>
      <w:r w:rsidRPr="00F557BB">
        <w:rPr>
          <w:rFonts w:eastAsia="TimesNewRoman" w:cs="Arial"/>
          <w:szCs w:val="20"/>
          <w:lang w:eastAsia="en-US"/>
        </w:rPr>
        <w:t>ż</w:t>
      </w:r>
      <w:r w:rsidRPr="00F557BB">
        <w:rPr>
          <w:rFonts w:eastAsia="Calibri" w:cs="Arial"/>
          <w:szCs w:val="20"/>
          <w:lang w:eastAsia="en-US"/>
        </w:rPr>
        <w:t>yniera/Kierownika</w:t>
      </w:r>
    </w:p>
    <w:p w14:paraId="4038803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Projektu i post</w:t>
      </w:r>
      <w:r w:rsidRPr="00F557BB">
        <w:rPr>
          <w:rFonts w:eastAsia="TimesNewRoman" w:cs="Arial"/>
          <w:szCs w:val="20"/>
          <w:lang w:eastAsia="en-US"/>
        </w:rPr>
        <w:t>ę</w:t>
      </w:r>
      <w:r w:rsidRPr="00F557BB">
        <w:rPr>
          <w:rFonts w:eastAsia="Calibri" w:cs="Arial"/>
          <w:szCs w:val="20"/>
          <w:lang w:eastAsia="en-US"/>
        </w:rPr>
        <w:t>powa</w:t>
      </w:r>
      <w:r w:rsidRPr="00F557BB">
        <w:rPr>
          <w:rFonts w:eastAsia="TimesNewRoman" w:cs="Arial"/>
          <w:szCs w:val="20"/>
          <w:lang w:eastAsia="en-US"/>
        </w:rPr>
        <w:t xml:space="preserve">ć </w:t>
      </w:r>
      <w:r w:rsidRPr="00F557BB">
        <w:rPr>
          <w:rFonts w:eastAsia="Calibri" w:cs="Arial"/>
          <w:szCs w:val="20"/>
          <w:lang w:eastAsia="en-US"/>
        </w:rPr>
        <w:t>zgodnie z jego poleceniami. Je</w:t>
      </w:r>
      <w:r w:rsidRPr="00F557BB">
        <w:rPr>
          <w:rFonts w:eastAsia="TimesNewRoman" w:cs="Arial"/>
          <w:szCs w:val="20"/>
          <w:lang w:eastAsia="en-US"/>
        </w:rPr>
        <w:t>ż</w:t>
      </w:r>
      <w:r w:rsidRPr="00F557BB">
        <w:rPr>
          <w:rFonts w:eastAsia="Calibri" w:cs="Arial"/>
          <w:szCs w:val="20"/>
          <w:lang w:eastAsia="en-US"/>
        </w:rPr>
        <w:t>eli w wyniku tych polece</w:t>
      </w:r>
      <w:r w:rsidRPr="00F557BB">
        <w:rPr>
          <w:rFonts w:eastAsia="TimesNewRoman" w:cs="Arial"/>
          <w:szCs w:val="20"/>
          <w:lang w:eastAsia="en-US"/>
        </w:rPr>
        <w:t xml:space="preserve">ń </w:t>
      </w:r>
      <w:r w:rsidRPr="00F557BB">
        <w:rPr>
          <w:rFonts w:eastAsia="Calibri" w:cs="Arial"/>
          <w:szCs w:val="20"/>
          <w:lang w:eastAsia="en-US"/>
        </w:rPr>
        <w:t>Wykonawca</w:t>
      </w:r>
    </w:p>
    <w:p w14:paraId="529B960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poniesie koszty i/lub wyst</w:t>
      </w:r>
      <w:r w:rsidRPr="00F557BB">
        <w:rPr>
          <w:rFonts w:eastAsia="TimesNewRoman" w:cs="Arial"/>
          <w:szCs w:val="20"/>
          <w:lang w:eastAsia="en-US"/>
        </w:rPr>
        <w:t>ą</w:t>
      </w:r>
      <w:r w:rsidRPr="00F557BB">
        <w:rPr>
          <w:rFonts w:eastAsia="Calibri" w:cs="Arial"/>
          <w:szCs w:val="20"/>
          <w:lang w:eastAsia="en-US"/>
        </w:rPr>
        <w:t>pi</w:t>
      </w:r>
      <w:r w:rsidRPr="00F557BB">
        <w:rPr>
          <w:rFonts w:eastAsia="TimesNewRoman" w:cs="Arial"/>
          <w:szCs w:val="20"/>
          <w:lang w:eastAsia="en-US"/>
        </w:rPr>
        <w:t xml:space="preserve">ą </w:t>
      </w:r>
      <w:r w:rsidRPr="00F557BB">
        <w:rPr>
          <w:rFonts w:eastAsia="Calibri" w:cs="Arial"/>
          <w:szCs w:val="20"/>
          <w:lang w:eastAsia="en-US"/>
        </w:rPr>
        <w:t>opó</w:t>
      </w:r>
      <w:r w:rsidRPr="00F557BB">
        <w:rPr>
          <w:rFonts w:eastAsia="TimesNewRoman" w:cs="Arial"/>
          <w:szCs w:val="20"/>
          <w:lang w:eastAsia="en-US"/>
        </w:rPr>
        <w:t>ź</w:t>
      </w:r>
      <w:r w:rsidRPr="00F557BB">
        <w:rPr>
          <w:rFonts w:eastAsia="Calibri" w:cs="Arial"/>
          <w:szCs w:val="20"/>
          <w:lang w:eastAsia="en-US"/>
        </w:rPr>
        <w:t>nienia w robotach, In</w:t>
      </w:r>
      <w:r w:rsidRPr="00F557BB">
        <w:rPr>
          <w:rFonts w:eastAsia="TimesNewRoman" w:cs="Arial"/>
          <w:szCs w:val="20"/>
          <w:lang w:eastAsia="en-US"/>
        </w:rPr>
        <w:t>ż</w:t>
      </w:r>
      <w:r w:rsidRPr="00F557BB">
        <w:rPr>
          <w:rFonts w:eastAsia="Calibri" w:cs="Arial"/>
          <w:szCs w:val="20"/>
          <w:lang w:eastAsia="en-US"/>
        </w:rPr>
        <w:t>ynier/Kierownik Projektu po</w:t>
      </w:r>
    </w:p>
    <w:p w14:paraId="35D7281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uzgodnieniu z Zamawiaj</w:t>
      </w:r>
      <w:r w:rsidRPr="00F557BB">
        <w:rPr>
          <w:rFonts w:eastAsia="TimesNewRoman" w:cs="Arial"/>
          <w:szCs w:val="20"/>
          <w:lang w:eastAsia="en-US"/>
        </w:rPr>
        <w:t>ą</w:t>
      </w:r>
      <w:r w:rsidRPr="00F557BB">
        <w:rPr>
          <w:rFonts w:eastAsia="Calibri" w:cs="Arial"/>
          <w:szCs w:val="20"/>
          <w:lang w:eastAsia="en-US"/>
        </w:rPr>
        <w:t>cym i Wykonawc</w:t>
      </w:r>
      <w:r w:rsidRPr="00F557BB">
        <w:rPr>
          <w:rFonts w:eastAsia="TimesNewRoman" w:cs="Arial"/>
          <w:szCs w:val="20"/>
          <w:lang w:eastAsia="en-US"/>
        </w:rPr>
        <w:t xml:space="preserve">ą </w:t>
      </w:r>
      <w:r w:rsidRPr="00F557BB">
        <w:rPr>
          <w:rFonts w:eastAsia="Calibri" w:cs="Arial"/>
          <w:szCs w:val="20"/>
          <w:lang w:eastAsia="en-US"/>
        </w:rPr>
        <w:t>ustali wydłu</w:t>
      </w:r>
      <w:r w:rsidRPr="00F557BB">
        <w:rPr>
          <w:rFonts w:eastAsia="TimesNewRoman" w:cs="Arial"/>
          <w:szCs w:val="20"/>
          <w:lang w:eastAsia="en-US"/>
        </w:rPr>
        <w:t>ż</w:t>
      </w:r>
      <w:r w:rsidRPr="00F557BB">
        <w:rPr>
          <w:rFonts w:eastAsia="Calibri" w:cs="Arial"/>
          <w:szCs w:val="20"/>
          <w:lang w:eastAsia="en-US"/>
        </w:rPr>
        <w:t>enie czasu wykonania robót i/lub</w:t>
      </w:r>
    </w:p>
    <w:p w14:paraId="1A28DD6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wysoko</w:t>
      </w:r>
      <w:r w:rsidRPr="00F557BB">
        <w:rPr>
          <w:rFonts w:eastAsia="TimesNewRoman" w:cs="Arial"/>
          <w:szCs w:val="20"/>
          <w:lang w:eastAsia="en-US"/>
        </w:rPr>
        <w:t xml:space="preserve">ść </w:t>
      </w:r>
      <w:r w:rsidRPr="00F557BB">
        <w:rPr>
          <w:rFonts w:eastAsia="Calibri" w:cs="Arial"/>
          <w:szCs w:val="20"/>
          <w:lang w:eastAsia="en-US"/>
        </w:rPr>
        <w:t>kwoty, o któr</w:t>
      </w:r>
      <w:r w:rsidRPr="00F557BB">
        <w:rPr>
          <w:rFonts w:eastAsia="TimesNewRoman" w:cs="Arial"/>
          <w:szCs w:val="20"/>
          <w:lang w:eastAsia="en-US"/>
        </w:rPr>
        <w:t xml:space="preserve">ą </w:t>
      </w:r>
      <w:r w:rsidRPr="00F557BB">
        <w:rPr>
          <w:rFonts w:eastAsia="Calibri" w:cs="Arial"/>
          <w:szCs w:val="20"/>
          <w:lang w:eastAsia="en-US"/>
        </w:rPr>
        <w:t>nale</w:t>
      </w:r>
      <w:r w:rsidRPr="00F557BB">
        <w:rPr>
          <w:rFonts w:eastAsia="TimesNewRoman" w:cs="Arial"/>
          <w:szCs w:val="20"/>
          <w:lang w:eastAsia="en-US"/>
        </w:rPr>
        <w:t>ż</w:t>
      </w:r>
      <w:r w:rsidRPr="00F557BB">
        <w:rPr>
          <w:rFonts w:eastAsia="Calibri" w:cs="Arial"/>
          <w:szCs w:val="20"/>
          <w:lang w:eastAsia="en-US"/>
        </w:rPr>
        <w:t>y zwi</w:t>
      </w:r>
      <w:r w:rsidRPr="00F557BB">
        <w:rPr>
          <w:rFonts w:eastAsia="TimesNewRoman" w:cs="Arial"/>
          <w:szCs w:val="20"/>
          <w:lang w:eastAsia="en-US"/>
        </w:rPr>
        <w:t>ę</w:t>
      </w:r>
      <w:r w:rsidRPr="00F557BB">
        <w:rPr>
          <w:rFonts w:eastAsia="Calibri" w:cs="Arial"/>
          <w:szCs w:val="20"/>
          <w:lang w:eastAsia="en-US"/>
        </w:rPr>
        <w:t>kszy</w:t>
      </w:r>
      <w:r w:rsidRPr="00F557BB">
        <w:rPr>
          <w:rFonts w:eastAsia="TimesNewRoman" w:cs="Arial"/>
          <w:szCs w:val="20"/>
          <w:lang w:eastAsia="en-US"/>
        </w:rPr>
        <w:t xml:space="preserve">ć </w:t>
      </w:r>
      <w:r w:rsidRPr="00F557BB">
        <w:rPr>
          <w:rFonts w:eastAsia="Calibri" w:cs="Arial"/>
          <w:szCs w:val="20"/>
          <w:lang w:eastAsia="en-US"/>
        </w:rPr>
        <w:t>cen</w:t>
      </w:r>
      <w:r w:rsidRPr="00F557BB">
        <w:rPr>
          <w:rFonts w:eastAsia="TimesNewRoman" w:cs="Arial"/>
          <w:szCs w:val="20"/>
          <w:lang w:eastAsia="en-US"/>
        </w:rPr>
        <w:t xml:space="preserve">ę </w:t>
      </w:r>
      <w:r w:rsidRPr="00F557BB">
        <w:rPr>
          <w:rFonts w:eastAsia="Calibri" w:cs="Arial"/>
          <w:szCs w:val="20"/>
          <w:lang w:eastAsia="en-US"/>
        </w:rPr>
        <w:t>kontraktow</w:t>
      </w:r>
      <w:r w:rsidRPr="00F557BB">
        <w:rPr>
          <w:rFonts w:eastAsia="TimesNewRoman" w:cs="Arial"/>
          <w:szCs w:val="20"/>
          <w:lang w:eastAsia="en-US"/>
        </w:rPr>
        <w:t>ą</w:t>
      </w:r>
      <w:r w:rsidRPr="00F557BB">
        <w:rPr>
          <w:rFonts w:eastAsia="Calibri" w:cs="Arial"/>
          <w:szCs w:val="20"/>
          <w:lang w:eastAsia="en-US"/>
        </w:rPr>
        <w:t>.</w:t>
      </w:r>
    </w:p>
    <w:p w14:paraId="2CC1BDD6"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1.7.12. Zabezpieczenie wykopów</w:t>
      </w:r>
    </w:p>
    <w:p w14:paraId="1F9C8E4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Miejsca niebezpieczne przy wykopach nale</w:t>
      </w:r>
      <w:r w:rsidRPr="00F557BB">
        <w:rPr>
          <w:rFonts w:eastAsia="TimesNewRoman" w:cs="Arial"/>
          <w:szCs w:val="20"/>
          <w:lang w:eastAsia="en-US"/>
        </w:rPr>
        <w:t>ż</w:t>
      </w:r>
      <w:r w:rsidRPr="00F557BB">
        <w:rPr>
          <w:rFonts w:eastAsia="Calibri" w:cs="Arial"/>
          <w:szCs w:val="20"/>
          <w:lang w:eastAsia="en-US"/>
        </w:rPr>
        <w:t>y zabezpieczy</w:t>
      </w:r>
      <w:r w:rsidRPr="00F557BB">
        <w:rPr>
          <w:rFonts w:eastAsia="TimesNewRoman" w:cs="Arial"/>
          <w:szCs w:val="20"/>
          <w:lang w:eastAsia="en-US"/>
        </w:rPr>
        <w:t xml:space="preserve">ć </w:t>
      </w:r>
      <w:r w:rsidRPr="00F557BB">
        <w:rPr>
          <w:rFonts w:eastAsia="Calibri" w:cs="Arial"/>
          <w:szCs w:val="20"/>
          <w:lang w:eastAsia="en-US"/>
        </w:rPr>
        <w:t>balustradami ochronnymi wys. 1,1m</w:t>
      </w:r>
    </w:p>
    <w:p w14:paraId="540B74A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odległo</w:t>
      </w:r>
      <w:r w:rsidRPr="00F557BB">
        <w:rPr>
          <w:rFonts w:eastAsia="TimesNewRoman" w:cs="Arial"/>
          <w:szCs w:val="20"/>
          <w:lang w:eastAsia="en-US"/>
        </w:rPr>
        <w:t>ś</w:t>
      </w:r>
      <w:r w:rsidRPr="00F557BB">
        <w:rPr>
          <w:rFonts w:eastAsia="Calibri" w:cs="Arial"/>
          <w:szCs w:val="20"/>
          <w:lang w:eastAsia="en-US"/>
        </w:rPr>
        <w:t>ci 1,0m od kraw</w:t>
      </w:r>
      <w:r w:rsidRPr="00F557BB">
        <w:rPr>
          <w:rFonts w:eastAsia="TimesNewRoman" w:cs="Arial"/>
          <w:szCs w:val="20"/>
          <w:lang w:eastAsia="en-US"/>
        </w:rPr>
        <w:t>ę</w:t>
      </w:r>
      <w:r w:rsidRPr="00F557BB">
        <w:rPr>
          <w:rFonts w:eastAsia="Calibri" w:cs="Arial"/>
          <w:szCs w:val="20"/>
          <w:lang w:eastAsia="en-US"/>
        </w:rPr>
        <w:t>dzi wykopu i oznaczy</w:t>
      </w:r>
      <w:r w:rsidRPr="00F557BB">
        <w:rPr>
          <w:rFonts w:eastAsia="TimesNewRoman" w:cs="Arial"/>
          <w:szCs w:val="20"/>
          <w:lang w:eastAsia="en-US"/>
        </w:rPr>
        <w:t xml:space="preserve">ć </w:t>
      </w:r>
      <w:r w:rsidRPr="00F557BB">
        <w:rPr>
          <w:rFonts w:eastAsia="Calibri" w:cs="Arial"/>
          <w:szCs w:val="20"/>
          <w:lang w:eastAsia="en-US"/>
        </w:rPr>
        <w:t>napisami ostrzegawczymi, a w porze nocnej i</w:t>
      </w:r>
    </w:p>
    <w:p w14:paraId="5687780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przypadku niedostatecznej widoczno</w:t>
      </w:r>
      <w:r w:rsidRPr="00F557BB">
        <w:rPr>
          <w:rFonts w:eastAsia="TimesNewRoman" w:cs="Arial"/>
          <w:szCs w:val="20"/>
          <w:lang w:eastAsia="en-US"/>
        </w:rPr>
        <w:t>ś</w:t>
      </w:r>
      <w:r w:rsidRPr="00F557BB">
        <w:rPr>
          <w:rFonts w:eastAsia="Calibri" w:cs="Arial"/>
          <w:szCs w:val="20"/>
          <w:lang w:eastAsia="en-US"/>
        </w:rPr>
        <w:t>ci umie</w:t>
      </w:r>
      <w:r w:rsidRPr="00F557BB">
        <w:rPr>
          <w:rFonts w:eastAsia="TimesNewRoman" w:cs="Arial"/>
          <w:szCs w:val="20"/>
          <w:lang w:eastAsia="en-US"/>
        </w:rPr>
        <w:t>ś</w:t>
      </w:r>
      <w:r w:rsidRPr="00F557BB">
        <w:rPr>
          <w:rFonts w:eastAsia="Calibri" w:cs="Arial"/>
          <w:szCs w:val="20"/>
          <w:lang w:eastAsia="en-US"/>
        </w:rPr>
        <w:t>ci</w:t>
      </w:r>
      <w:r w:rsidRPr="00F557BB">
        <w:rPr>
          <w:rFonts w:eastAsia="TimesNewRoman" w:cs="Arial"/>
          <w:szCs w:val="20"/>
          <w:lang w:eastAsia="en-US"/>
        </w:rPr>
        <w:t>ć ś</w:t>
      </w:r>
      <w:r w:rsidRPr="00F557BB">
        <w:rPr>
          <w:rFonts w:eastAsia="Calibri" w:cs="Arial"/>
          <w:szCs w:val="20"/>
          <w:lang w:eastAsia="en-US"/>
        </w:rPr>
        <w:t>wiatła ostrzegawcze.</w:t>
      </w:r>
    </w:p>
    <w:p w14:paraId="2615397B"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1.7.13. Zabezpieczenie chodnika i jezdni</w:t>
      </w:r>
    </w:p>
    <w:p w14:paraId="174AE45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zapewni kładki dla pieszych w celu zabezpieczenia ruchu pieszych nad</w:t>
      </w:r>
    </w:p>
    <w:p w14:paraId="2F26FACE"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wykonanymi wykopami tak aby zapewni</w:t>
      </w:r>
      <w:r w:rsidRPr="00F557BB">
        <w:rPr>
          <w:rFonts w:eastAsia="TimesNewRoman" w:cs="Arial"/>
          <w:szCs w:val="20"/>
          <w:lang w:eastAsia="en-US"/>
        </w:rPr>
        <w:t xml:space="preserve">ć </w:t>
      </w:r>
      <w:r w:rsidRPr="00F557BB">
        <w:rPr>
          <w:rFonts w:eastAsia="Calibri" w:cs="Arial"/>
          <w:szCs w:val="20"/>
          <w:lang w:eastAsia="en-US"/>
        </w:rPr>
        <w:t>bezpiecze</w:t>
      </w:r>
      <w:r w:rsidRPr="00F557BB">
        <w:rPr>
          <w:rFonts w:eastAsia="TimesNewRoman" w:cs="Arial"/>
          <w:szCs w:val="20"/>
          <w:lang w:eastAsia="en-US"/>
        </w:rPr>
        <w:t>ń</w:t>
      </w:r>
      <w:r w:rsidRPr="00F557BB">
        <w:rPr>
          <w:rFonts w:eastAsia="Calibri" w:cs="Arial"/>
          <w:szCs w:val="20"/>
          <w:lang w:eastAsia="en-US"/>
        </w:rPr>
        <w:t>stwo i ci</w:t>
      </w:r>
      <w:r w:rsidRPr="00F557BB">
        <w:rPr>
          <w:rFonts w:eastAsia="TimesNewRoman" w:cs="Arial"/>
          <w:szCs w:val="20"/>
          <w:lang w:eastAsia="en-US"/>
        </w:rPr>
        <w:t>ą</w:t>
      </w:r>
      <w:r w:rsidRPr="00F557BB">
        <w:rPr>
          <w:rFonts w:eastAsia="Calibri" w:cs="Arial"/>
          <w:szCs w:val="20"/>
          <w:lang w:eastAsia="en-US"/>
        </w:rPr>
        <w:t>gło</w:t>
      </w:r>
      <w:r w:rsidRPr="00F557BB">
        <w:rPr>
          <w:rFonts w:eastAsia="TimesNewRoman" w:cs="Arial"/>
          <w:szCs w:val="20"/>
          <w:lang w:eastAsia="en-US"/>
        </w:rPr>
        <w:t xml:space="preserve">ść </w:t>
      </w:r>
      <w:r w:rsidRPr="00F557BB">
        <w:rPr>
          <w:rFonts w:eastAsia="Calibri" w:cs="Arial"/>
          <w:szCs w:val="20"/>
          <w:lang w:eastAsia="en-US"/>
        </w:rPr>
        <w:t>ruchu bez utrudnie</w:t>
      </w:r>
      <w:r w:rsidRPr="00F557BB">
        <w:rPr>
          <w:rFonts w:eastAsia="TimesNewRoman" w:cs="Arial"/>
          <w:szCs w:val="20"/>
          <w:lang w:eastAsia="en-US"/>
        </w:rPr>
        <w:t>ń</w:t>
      </w:r>
      <w:r w:rsidRPr="00F557BB">
        <w:rPr>
          <w:rFonts w:eastAsia="Calibri" w:cs="Arial"/>
          <w:szCs w:val="20"/>
          <w:lang w:eastAsia="en-US"/>
        </w:rPr>
        <w:t>.</w:t>
      </w:r>
    </w:p>
    <w:p w14:paraId="05708DD3"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1.7.14. Stosowanie się do prawa i innych przepisów</w:t>
      </w:r>
    </w:p>
    <w:p w14:paraId="49FD9B1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zobowi</w:t>
      </w:r>
      <w:r w:rsidRPr="00F557BB">
        <w:rPr>
          <w:rFonts w:eastAsia="TimesNewRoman" w:cs="Arial"/>
          <w:szCs w:val="20"/>
          <w:lang w:eastAsia="en-US"/>
        </w:rPr>
        <w:t>ą</w:t>
      </w:r>
      <w:r w:rsidRPr="00F557BB">
        <w:rPr>
          <w:rFonts w:eastAsia="Calibri" w:cs="Arial"/>
          <w:szCs w:val="20"/>
          <w:lang w:eastAsia="en-US"/>
        </w:rPr>
        <w:t>zany jest zna</w:t>
      </w:r>
      <w:r w:rsidRPr="00F557BB">
        <w:rPr>
          <w:rFonts w:eastAsia="TimesNewRoman" w:cs="Arial"/>
          <w:szCs w:val="20"/>
          <w:lang w:eastAsia="en-US"/>
        </w:rPr>
        <w:t xml:space="preserve">ć </w:t>
      </w:r>
      <w:r w:rsidRPr="00F557BB">
        <w:rPr>
          <w:rFonts w:eastAsia="Calibri" w:cs="Arial"/>
          <w:szCs w:val="20"/>
          <w:lang w:eastAsia="en-US"/>
        </w:rPr>
        <w:t>przepisy, regulaminy i wytyczne, które s</w:t>
      </w:r>
      <w:r w:rsidRPr="00F557BB">
        <w:rPr>
          <w:rFonts w:eastAsia="TimesNewRoman" w:cs="Arial"/>
          <w:szCs w:val="20"/>
          <w:lang w:eastAsia="en-US"/>
        </w:rPr>
        <w:t xml:space="preserve">ą </w:t>
      </w:r>
      <w:r w:rsidRPr="00F557BB">
        <w:rPr>
          <w:rFonts w:eastAsia="Calibri" w:cs="Arial"/>
          <w:szCs w:val="20"/>
          <w:lang w:eastAsia="en-US"/>
        </w:rPr>
        <w:t>w jakikolwiek</w:t>
      </w:r>
    </w:p>
    <w:p w14:paraId="2133871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sposób zwi</w:t>
      </w:r>
      <w:r w:rsidRPr="00F557BB">
        <w:rPr>
          <w:rFonts w:eastAsia="TimesNewRoman" w:cs="Arial"/>
          <w:szCs w:val="20"/>
          <w:lang w:eastAsia="en-US"/>
        </w:rPr>
        <w:t>ą</w:t>
      </w:r>
      <w:r w:rsidRPr="00F557BB">
        <w:rPr>
          <w:rFonts w:eastAsia="Calibri" w:cs="Arial"/>
          <w:szCs w:val="20"/>
          <w:lang w:eastAsia="en-US"/>
        </w:rPr>
        <w:t>zane z wykonywanymi robotami i b</w:t>
      </w:r>
      <w:r w:rsidRPr="00F557BB">
        <w:rPr>
          <w:rFonts w:eastAsia="TimesNewRoman" w:cs="Arial"/>
          <w:szCs w:val="20"/>
          <w:lang w:eastAsia="en-US"/>
        </w:rPr>
        <w:t>ę</w:t>
      </w:r>
      <w:r w:rsidRPr="00F557BB">
        <w:rPr>
          <w:rFonts w:eastAsia="Calibri" w:cs="Arial"/>
          <w:szCs w:val="20"/>
          <w:lang w:eastAsia="en-US"/>
        </w:rPr>
        <w:t>dzie w pełni odpowiedzialny za przestrzeganie</w:t>
      </w:r>
    </w:p>
    <w:p w14:paraId="50D3417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tych postanowie</w:t>
      </w:r>
      <w:r w:rsidRPr="00F557BB">
        <w:rPr>
          <w:rFonts w:eastAsia="TimesNewRoman" w:cs="Arial"/>
          <w:szCs w:val="20"/>
          <w:lang w:eastAsia="en-US"/>
        </w:rPr>
        <w:t xml:space="preserve">ń </w:t>
      </w:r>
      <w:r w:rsidRPr="00F557BB">
        <w:rPr>
          <w:rFonts w:eastAsia="Calibri" w:cs="Arial"/>
          <w:szCs w:val="20"/>
          <w:lang w:eastAsia="en-US"/>
        </w:rPr>
        <w:t>podczas prowadzenia robót.</w:t>
      </w:r>
    </w:p>
    <w:p w14:paraId="5384766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b</w:t>
      </w:r>
      <w:r w:rsidRPr="00F557BB">
        <w:rPr>
          <w:rFonts w:eastAsia="TimesNewRoman" w:cs="Arial"/>
          <w:szCs w:val="20"/>
          <w:lang w:eastAsia="en-US"/>
        </w:rPr>
        <w:t>ę</w:t>
      </w:r>
      <w:r w:rsidRPr="00F557BB">
        <w:rPr>
          <w:rFonts w:eastAsia="Calibri" w:cs="Arial"/>
          <w:szCs w:val="20"/>
          <w:lang w:eastAsia="en-US"/>
        </w:rPr>
        <w:t>dzie przestrzega</w:t>
      </w:r>
      <w:r w:rsidRPr="00F557BB">
        <w:rPr>
          <w:rFonts w:eastAsia="TimesNewRoman" w:cs="Arial"/>
          <w:szCs w:val="20"/>
          <w:lang w:eastAsia="en-US"/>
        </w:rPr>
        <w:t xml:space="preserve">ć </w:t>
      </w:r>
      <w:r w:rsidRPr="00F557BB">
        <w:rPr>
          <w:rFonts w:eastAsia="Calibri" w:cs="Arial"/>
          <w:szCs w:val="20"/>
          <w:lang w:eastAsia="en-US"/>
        </w:rPr>
        <w:t>praw patentowych i b</w:t>
      </w:r>
      <w:r w:rsidRPr="00F557BB">
        <w:rPr>
          <w:rFonts w:eastAsia="TimesNewRoman" w:cs="Arial"/>
          <w:szCs w:val="20"/>
          <w:lang w:eastAsia="en-US"/>
        </w:rPr>
        <w:t>ę</w:t>
      </w:r>
      <w:r w:rsidRPr="00F557BB">
        <w:rPr>
          <w:rFonts w:eastAsia="Calibri" w:cs="Arial"/>
          <w:szCs w:val="20"/>
          <w:lang w:eastAsia="en-US"/>
        </w:rPr>
        <w:t>dzie w pełni odpowiedzialny za</w:t>
      </w:r>
    </w:p>
    <w:p w14:paraId="1BC05D3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wypełnienie wszelkich wymaga</w:t>
      </w:r>
      <w:r w:rsidRPr="00F557BB">
        <w:rPr>
          <w:rFonts w:eastAsia="TimesNewRoman" w:cs="Arial"/>
          <w:szCs w:val="20"/>
          <w:lang w:eastAsia="en-US"/>
        </w:rPr>
        <w:t xml:space="preserve">ń </w:t>
      </w:r>
      <w:r w:rsidRPr="00F557BB">
        <w:rPr>
          <w:rFonts w:eastAsia="Calibri" w:cs="Arial"/>
          <w:szCs w:val="20"/>
          <w:lang w:eastAsia="en-US"/>
        </w:rPr>
        <w:t>prawnych odno</w:t>
      </w:r>
      <w:r w:rsidRPr="00F557BB">
        <w:rPr>
          <w:rFonts w:eastAsia="TimesNewRoman" w:cs="Arial"/>
          <w:szCs w:val="20"/>
          <w:lang w:eastAsia="en-US"/>
        </w:rPr>
        <w:t>ś</w:t>
      </w:r>
      <w:r w:rsidRPr="00F557BB">
        <w:rPr>
          <w:rFonts w:eastAsia="Calibri" w:cs="Arial"/>
          <w:szCs w:val="20"/>
          <w:lang w:eastAsia="en-US"/>
        </w:rPr>
        <w:t>nie znaków firmowych, nazw lub innych</w:t>
      </w:r>
    </w:p>
    <w:p w14:paraId="3DC5A9A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chronionych praw w odniesieniu do sprz</w:t>
      </w:r>
      <w:r w:rsidRPr="00F557BB">
        <w:rPr>
          <w:rFonts w:eastAsia="TimesNewRoman" w:cs="Arial"/>
          <w:szCs w:val="20"/>
          <w:lang w:eastAsia="en-US"/>
        </w:rPr>
        <w:t>ę</w:t>
      </w:r>
      <w:r w:rsidRPr="00F557BB">
        <w:rPr>
          <w:rFonts w:eastAsia="Calibri" w:cs="Arial"/>
          <w:szCs w:val="20"/>
          <w:lang w:eastAsia="en-US"/>
        </w:rPr>
        <w:t>tu, materiałów lub urz</w:t>
      </w:r>
      <w:r w:rsidRPr="00F557BB">
        <w:rPr>
          <w:rFonts w:eastAsia="TimesNewRoman" w:cs="Arial"/>
          <w:szCs w:val="20"/>
          <w:lang w:eastAsia="en-US"/>
        </w:rPr>
        <w:t>ą</w:t>
      </w:r>
      <w:r w:rsidRPr="00F557BB">
        <w:rPr>
          <w:rFonts w:eastAsia="Calibri" w:cs="Arial"/>
          <w:szCs w:val="20"/>
          <w:lang w:eastAsia="en-US"/>
        </w:rPr>
        <w:t>dze</w:t>
      </w:r>
      <w:r w:rsidRPr="00F557BB">
        <w:rPr>
          <w:rFonts w:eastAsia="TimesNewRoman" w:cs="Arial"/>
          <w:szCs w:val="20"/>
          <w:lang w:eastAsia="en-US"/>
        </w:rPr>
        <w:t xml:space="preserve">ń </w:t>
      </w:r>
      <w:r w:rsidRPr="00F557BB">
        <w:rPr>
          <w:rFonts w:eastAsia="Calibri" w:cs="Arial"/>
          <w:szCs w:val="20"/>
          <w:lang w:eastAsia="en-US"/>
        </w:rPr>
        <w:t>u</w:t>
      </w:r>
      <w:r w:rsidRPr="00F557BB">
        <w:rPr>
          <w:rFonts w:eastAsia="TimesNewRoman" w:cs="Arial"/>
          <w:szCs w:val="20"/>
          <w:lang w:eastAsia="en-US"/>
        </w:rPr>
        <w:t>ż</w:t>
      </w:r>
      <w:r w:rsidRPr="00F557BB">
        <w:rPr>
          <w:rFonts w:eastAsia="Calibri" w:cs="Arial"/>
          <w:szCs w:val="20"/>
          <w:lang w:eastAsia="en-US"/>
        </w:rPr>
        <w:t>ytych lub zwi</w:t>
      </w:r>
      <w:r w:rsidRPr="00F557BB">
        <w:rPr>
          <w:rFonts w:eastAsia="TimesNewRoman" w:cs="Arial"/>
          <w:szCs w:val="20"/>
          <w:lang w:eastAsia="en-US"/>
        </w:rPr>
        <w:t>ą</w:t>
      </w:r>
      <w:r w:rsidRPr="00F557BB">
        <w:rPr>
          <w:rFonts w:eastAsia="Calibri" w:cs="Arial"/>
          <w:szCs w:val="20"/>
          <w:lang w:eastAsia="en-US"/>
        </w:rPr>
        <w:t>zanych z</w:t>
      </w:r>
    </w:p>
    <w:p w14:paraId="63094F5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wykonywaniem robót i w sposób ci</w:t>
      </w:r>
      <w:r w:rsidRPr="00F557BB">
        <w:rPr>
          <w:rFonts w:eastAsia="TimesNewRoman" w:cs="Arial"/>
          <w:szCs w:val="20"/>
          <w:lang w:eastAsia="en-US"/>
        </w:rPr>
        <w:t>ą</w:t>
      </w:r>
      <w:r w:rsidRPr="00F557BB">
        <w:rPr>
          <w:rFonts w:eastAsia="Calibri" w:cs="Arial"/>
          <w:szCs w:val="20"/>
          <w:lang w:eastAsia="en-US"/>
        </w:rPr>
        <w:t>gły b</w:t>
      </w:r>
      <w:r w:rsidRPr="00F557BB">
        <w:rPr>
          <w:rFonts w:eastAsia="TimesNewRoman" w:cs="Arial"/>
          <w:szCs w:val="20"/>
          <w:lang w:eastAsia="en-US"/>
        </w:rPr>
        <w:t>ę</w:t>
      </w:r>
      <w:r w:rsidRPr="00F557BB">
        <w:rPr>
          <w:rFonts w:eastAsia="Calibri" w:cs="Arial"/>
          <w:szCs w:val="20"/>
          <w:lang w:eastAsia="en-US"/>
        </w:rPr>
        <w:t>dzie informowa</w:t>
      </w:r>
      <w:r w:rsidRPr="00F557BB">
        <w:rPr>
          <w:rFonts w:eastAsia="TimesNewRoman" w:cs="Arial"/>
          <w:szCs w:val="20"/>
          <w:lang w:eastAsia="en-US"/>
        </w:rPr>
        <w:t xml:space="preserve">ć </w:t>
      </w:r>
      <w:r w:rsidRPr="00F557BB">
        <w:rPr>
          <w:rFonts w:eastAsia="Calibri" w:cs="Arial"/>
          <w:szCs w:val="20"/>
          <w:lang w:eastAsia="en-US"/>
        </w:rPr>
        <w:t>In</w:t>
      </w:r>
      <w:r w:rsidRPr="00F557BB">
        <w:rPr>
          <w:rFonts w:eastAsia="TimesNewRoman" w:cs="Arial"/>
          <w:szCs w:val="20"/>
          <w:lang w:eastAsia="en-US"/>
        </w:rPr>
        <w:t>ż</w:t>
      </w:r>
      <w:r w:rsidRPr="00F557BB">
        <w:rPr>
          <w:rFonts w:eastAsia="Calibri" w:cs="Arial"/>
          <w:szCs w:val="20"/>
          <w:lang w:eastAsia="en-US"/>
        </w:rPr>
        <w:t>yniera/Kierownika Projektu o</w:t>
      </w:r>
    </w:p>
    <w:p w14:paraId="7736A6B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swoich działaniach, przedstawiaj</w:t>
      </w:r>
      <w:r w:rsidRPr="00F557BB">
        <w:rPr>
          <w:rFonts w:eastAsia="TimesNewRoman" w:cs="Arial"/>
          <w:szCs w:val="20"/>
          <w:lang w:eastAsia="en-US"/>
        </w:rPr>
        <w:t>ą</w:t>
      </w:r>
      <w:r w:rsidRPr="00F557BB">
        <w:rPr>
          <w:rFonts w:eastAsia="Calibri" w:cs="Arial"/>
          <w:szCs w:val="20"/>
          <w:lang w:eastAsia="en-US"/>
        </w:rPr>
        <w:t>c kopie zezwole</w:t>
      </w:r>
      <w:r w:rsidRPr="00F557BB">
        <w:rPr>
          <w:rFonts w:eastAsia="TimesNewRoman" w:cs="Arial"/>
          <w:szCs w:val="20"/>
          <w:lang w:eastAsia="en-US"/>
        </w:rPr>
        <w:t xml:space="preserve">ń </w:t>
      </w:r>
      <w:r w:rsidRPr="00F557BB">
        <w:rPr>
          <w:rFonts w:eastAsia="Calibri" w:cs="Arial"/>
          <w:szCs w:val="20"/>
          <w:lang w:eastAsia="en-US"/>
        </w:rPr>
        <w:t>i inne odno</w:t>
      </w:r>
      <w:r w:rsidRPr="00F557BB">
        <w:rPr>
          <w:rFonts w:eastAsia="TimesNewRoman" w:cs="Arial"/>
          <w:szCs w:val="20"/>
          <w:lang w:eastAsia="en-US"/>
        </w:rPr>
        <w:t>ś</w:t>
      </w:r>
      <w:r w:rsidRPr="00F557BB">
        <w:rPr>
          <w:rFonts w:eastAsia="Calibri" w:cs="Arial"/>
          <w:szCs w:val="20"/>
          <w:lang w:eastAsia="en-US"/>
        </w:rPr>
        <w:t>ne dokumenty. Wszelkie straty,</w:t>
      </w:r>
    </w:p>
    <w:p w14:paraId="06A74F1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koszty post</w:t>
      </w:r>
      <w:r w:rsidRPr="00F557BB">
        <w:rPr>
          <w:rFonts w:eastAsia="TimesNewRoman" w:cs="Arial"/>
          <w:szCs w:val="20"/>
          <w:lang w:eastAsia="en-US"/>
        </w:rPr>
        <w:t>ę</w:t>
      </w:r>
      <w:r w:rsidRPr="00F557BB">
        <w:rPr>
          <w:rFonts w:eastAsia="Calibri" w:cs="Arial"/>
          <w:szCs w:val="20"/>
          <w:lang w:eastAsia="en-US"/>
        </w:rPr>
        <w:t>powania, obci</w:t>
      </w:r>
      <w:r w:rsidRPr="00F557BB">
        <w:rPr>
          <w:rFonts w:eastAsia="TimesNewRoman" w:cs="Arial"/>
          <w:szCs w:val="20"/>
          <w:lang w:eastAsia="en-US"/>
        </w:rPr>
        <w:t>ąż</w:t>
      </w:r>
      <w:r w:rsidRPr="00F557BB">
        <w:rPr>
          <w:rFonts w:eastAsia="Calibri" w:cs="Arial"/>
          <w:szCs w:val="20"/>
          <w:lang w:eastAsia="en-US"/>
        </w:rPr>
        <w:t>enia i wydatki wynikłe z lub zwi</w:t>
      </w:r>
      <w:r w:rsidRPr="00F557BB">
        <w:rPr>
          <w:rFonts w:eastAsia="TimesNewRoman" w:cs="Arial"/>
          <w:szCs w:val="20"/>
          <w:lang w:eastAsia="en-US"/>
        </w:rPr>
        <w:t>ą</w:t>
      </w:r>
      <w:r w:rsidRPr="00F557BB">
        <w:rPr>
          <w:rFonts w:eastAsia="Calibri" w:cs="Arial"/>
          <w:szCs w:val="20"/>
          <w:lang w:eastAsia="en-US"/>
        </w:rPr>
        <w:t>zane z naruszeniem jakichkolwiek</w:t>
      </w:r>
    </w:p>
    <w:p w14:paraId="5B92FD0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praw patentowych pokryje Wykonawca.</w:t>
      </w:r>
    </w:p>
    <w:p w14:paraId="3102BCAE"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1.7.15. Nie zastosowanie się do poleceń Inżyniera/Kierownika Projektu</w:t>
      </w:r>
    </w:p>
    <w:p w14:paraId="510D3AB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Polecenia In</w:t>
      </w:r>
      <w:r w:rsidRPr="00F557BB">
        <w:rPr>
          <w:rFonts w:eastAsia="TimesNewRoman" w:cs="Arial"/>
          <w:szCs w:val="20"/>
          <w:lang w:eastAsia="en-US"/>
        </w:rPr>
        <w:t>ż</w:t>
      </w:r>
      <w:r w:rsidRPr="00F557BB">
        <w:rPr>
          <w:rFonts w:eastAsia="Calibri" w:cs="Arial"/>
          <w:szCs w:val="20"/>
          <w:lang w:eastAsia="en-US"/>
        </w:rPr>
        <w:t>yniera/Kierownika Projektu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wykonywane nie pó</w:t>
      </w:r>
      <w:r w:rsidRPr="00F557BB">
        <w:rPr>
          <w:rFonts w:eastAsia="TimesNewRoman" w:cs="Arial"/>
          <w:szCs w:val="20"/>
          <w:lang w:eastAsia="en-US"/>
        </w:rPr>
        <w:t>ź</w:t>
      </w:r>
      <w:r w:rsidRPr="00F557BB">
        <w:rPr>
          <w:rFonts w:eastAsia="Calibri" w:cs="Arial"/>
          <w:szCs w:val="20"/>
          <w:lang w:eastAsia="en-US"/>
        </w:rPr>
        <w:t>niej ni</w:t>
      </w:r>
      <w:r w:rsidRPr="00F557BB">
        <w:rPr>
          <w:rFonts w:eastAsia="TimesNewRoman" w:cs="Arial"/>
          <w:szCs w:val="20"/>
          <w:lang w:eastAsia="en-US"/>
        </w:rPr>
        <w:t xml:space="preserve">ż </w:t>
      </w:r>
      <w:r w:rsidRPr="00F557BB">
        <w:rPr>
          <w:rFonts w:eastAsia="Calibri" w:cs="Arial"/>
          <w:szCs w:val="20"/>
          <w:lang w:eastAsia="en-US"/>
        </w:rPr>
        <w:t>w czasie przez niego</w:t>
      </w:r>
    </w:p>
    <w:p w14:paraId="0391B68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lastRenderedPageBreak/>
        <w:t>wyznaczonym, po ich otrzymaniu przez Wykonawc</w:t>
      </w:r>
      <w:r w:rsidRPr="00F557BB">
        <w:rPr>
          <w:rFonts w:eastAsia="TimesNewRoman" w:cs="Arial"/>
          <w:szCs w:val="20"/>
          <w:lang w:eastAsia="en-US"/>
        </w:rPr>
        <w:t>ę</w:t>
      </w:r>
      <w:r w:rsidRPr="00F557BB">
        <w:rPr>
          <w:rFonts w:eastAsia="Calibri" w:cs="Arial"/>
          <w:szCs w:val="20"/>
          <w:lang w:eastAsia="en-US"/>
        </w:rPr>
        <w:t>, pod gro</w:t>
      </w:r>
      <w:r w:rsidRPr="00F557BB">
        <w:rPr>
          <w:rFonts w:eastAsia="TimesNewRoman" w:cs="Arial"/>
          <w:szCs w:val="20"/>
          <w:lang w:eastAsia="en-US"/>
        </w:rPr>
        <w:t>ź</w:t>
      </w:r>
      <w:r w:rsidRPr="00F557BB">
        <w:rPr>
          <w:rFonts w:eastAsia="Calibri" w:cs="Arial"/>
          <w:szCs w:val="20"/>
          <w:lang w:eastAsia="en-US"/>
        </w:rPr>
        <w:t>b</w:t>
      </w:r>
      <w:r w:rsidRPr="00F557BB">
        <w:rPr>
          <w:rFonts w:eastAsia="TimesNewRoman" w:cs="Arial"/>
          <w:szCs w:val="20"/>
          <w:lang w:eastAsia="en-US"/>
        </w:rPr>
        <w:t xml:space="preserve">ą </w:t>
      </w:r>
      <w:r w:rsidRPr="00F557BB">
        <w:rPr>
          <w:rFonts w:eastAsia="Calibri" w:cs="Arial"/>
          <w:szCs w:val="20"/>
          <w:lang w:eastAsia="en-US"/>
        </w:rPr>
        <w:t>zatrzymania robót. Skutki</w:t>
      </w:r>
    </w:p>
    <w:p w14:paraId="08150AA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finansowe z tego tytułu ponosi Wykonawca.</w:t>
      </w:r>
    </w:p>
    <w:p w14:paraId="2A476551"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1.7.16. Równoważność norm i zbiorów przepisów prawnych</w:t>
      </w:r>
    </w:p>
    <w:p w14:paraId="10069F6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Gdziekolwiek w dokumentach kontraktowych powołane s</w:t>
      </w:r>
      <w:r w:rsidRPr="00F557BB">
        <w:rPr>
          <w:rFonts w:eastAsia="TimesNewRoman" w:cs="Arial"/>
          <w:szCs w:val="20"/>
          <w:lang w:eastAsia="en-US"/>
        </w:rPr>
        <w:t xml:space="preserve">ą </w:t>
      </w:r>
      <w:r w:rsidRPr="00F557BB">
        <w:rPr>
          <w:rFonts w:eastAsia="Calibri" w:cs="Arial"/>
          <w:szCs w:val="20"/>
          <w:lang w:eastAsia="en-US"/>
        </w:rPr>
        <w:t>konkretne normy i przepisy, które</w:t>
      </w:r>
    </w:p>
    <w:p w14:paraId="691F11FB"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spełnia</w:t>
      </w:r>
      <w:r w:rsidRPr="00F557BB">
        <w:rPr>
          <w:rFonts w:eastAsia="TimesNewRoman" w:cs="Arial"/>
          <w:szCs w:val="20"/>
          <w:lang w:eastAsia="en-US"/>
        </w:rPr>
        <w:t xml:space="preserve">ć </w:t>
      </w:r>
      <w:r w:rsidRPr="00F557BB">
        <w:rPr>
          <w:rFonts w:eastAsia="Calibri" w:cs="Arial"/>
          <w:szCs w:val="20"/>
          <w:lang w:eastAsia="en-US"/>
        </w:rPr>
        <w:t>maj</w:t>
      </w:r>
      <w:r w:rsidRPr="00F557BB">
        <w:rPr>
          <w:rFonts w:eastAsia="TimesNewRoman" w:cs="Arial"/>
          <w:szCs w:val="20"/>
          <w:lang w:eastAsia="en-US"/>
        </w:rPr>
        <w:t xml:space="preserve">ą </w:t>
      </w:r>
      <w:r w:rsidRPr="00F557BB">
        <w:rPr>
          <w:rFonts w:eastAsia="Calibri" w:cs="Arial"/>
          <w:szCs w:val="20"/>
          <w:lang w:eastAsia="en-US"/>
        </w:rPr>
        <w:t>materiały, sprz</w:t>
      </w:r>
      <w:r w:rsidRPr="00F557BB">
        <w:rPr>
          <w:rFonts w:eastAsia="TimesNewRoman" w:cs="Arial"/>
          <w:szCs w:val="20"/>
          <w:lang w:eastAsia="en-US"/>
        </w:rPr>
        <w:t>ę</w:t>
      </w:r>
      <w:r w:rsidRPr="00F557BB">
        <w:rPr>
          <w:rFonts w:eastAsia="Calibri" w:cs="Arial"/>
          <w:szCs w:val="20"/>
          <w:lang w:eastAsia="en-US"/>
        </w:rPr>
        <w:t>t i inne towary oraz wykonane i zbadane roboty,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ą</w:t>
      </w:r>
    </w:p>
    <w:p w14:paraId="6801ADE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obowi</w:t>
      </w:r>
      <w:r w:rsidRPr="00F557BB">
        <w:rPr>
          <w:rFonts w:eastAsia="TimesNewRoman" w:cs="Arial"/>
          <w:szCs w:val="20"/>
          <w:lang w:eastAsia="en-US"/>
        </w:rPr>
        <w:t>ą</w:t>
      </w:r>
      <w:r w:rsidRPr="00F557BB">
        <w:rPr>
          <w:rFonts w:eastAsia="Calibri" w:cs="Arial"/>
          <w:szCs w:val="20"/>
          <w:lang w:eastAsia="en-US"/>
        </w:rPr>
        <w:t>zywa</w:t>
      </w:r>
      <w:r w:rsidRPr="00F557BB">
        <w:rPr>
          <w:rFonts w:eastAsia="TimesNewRoman" w:cs="Arial"/>
          <w:szCs w:val="20"/>
          <w:lang w:eastAsia="en-US"/>
        </w:rPr>
        <w:t xml:space="preserve">ć </w:t>
      </w:r>
      <w:r w:rsidRPr="00F557BB">
        <w:rPr>
          <w:rFonts w:eastAsia="Calibri" w:cs="Arial"/>
          <w:szCs w:val="20"/>
          <w:lang w:eastAsia="en-US"/>
        </w:rPr>
        <w:t>postanowienia najnowszego wydania lub poprawionego wydania powołanych</w:t>
      </w:r>
    </w:p>
    <w:p w14:paraId="2379BAC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norm i przepisów o ile w warunkach kontraktu nie postanowiono inaczej. W przypadku gdy</w:t>
      </w:r>
    </w:p>
    <w:p w14:paraId="0FFF5D2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powołane normy i przepisy s</w:t>
      </w:r>
      <w:r w:rsidRPr="00F557BB">
        <w:rPr>
          <w:rFonts w:eastAsia="TimesNewRoman" w:cs="Arial"/>
          <w:szCs w:val="20"/>
          <w:lang w:eastAsia="en-US"/>
        </w:rPr>
        <w:t xml:space="preserve">ą </w:t>
      </w:r>
      <w:r w:rsidRPr="00F557BB">
        <w:rPr>
          <w:rFonts w:eastAsia="Calibri" w:cs="Arial"/>
          <w:szCs w:val="20"/>
          <w:lang w:eastAsia="en-US"/>
        </w:rPr>
        <w:t>pa</w:t>
      </w:r>
      <w:r w:rsidRPr="00F557BB">
        <w:rPr>
          <w:rFonts w:eastAsia="TimesNewRoman" w:cs="Arial"/>
          <w:szCs w:val="20"/>
          <w:lang w:eastAsia="en-US"/>
        </w:rPr>
        <w:t>ń</w:t>
      </w:r>
      <w:r w:rsidRPr="00F557BB">
        <w:rPr>
          <w:rFonts w:eastAsia="Calibri" w:cs="Arial"/>
          <w:szCs w:val="20"/>
          <w:lang w:eastAsia="en-US"/>
        </w:rPr>
        <w:t>stwowe lub odnosz</w:t>
      </w:r>
      <w:r w:rsidRPr="00F557BB">
        <w:rPr>
          <w:rFonts w:eastAsia="TimesNewRoman" w:cs="Arial"/>
          <w:szCs w:val="20"/>
          <w:lang w:eastAsia="en-US"/>
        </w:rPr>
        <w:t xml:space="preserve">ą </w:t>
      </w:r>
      <w:r w:rsidRPr="00F557BB">
        <w:rPr>
          <w:rFonts w:eastAsia="Calibri" w:cs="Arial"/>
          <w:szCs w:val="20"/>
          <w:lang w:eastAsia="en-US"/>
        </w:rPr>
        <w:t>si</w:t>
      </w:r>
      <w:r w:rsidRPr="00F557BB">
        <w:rPr>
          <w:rFonts w:eastAsia="TimesNewRoman" w:cs="Arial"/>
          <w:szCs w:val="20"/>
          <w:lang w:eastAsia="en-US"/>
        </w:rPr>
        <w:t xml:space="preserve">ę </w:t>
      </w:r>
      <w:r w:rsidRPr="00F557BB">
        <w:rPr>
          <w:rFonts w:eastAsia="Calibri" w:cs="Arial"/>
          <w:szCs w:val="20"/>
          <w:lang w:eastAsia="en-US"/>
        </w:rPr>
        <w:t>do konkretnego kraju lub regionu,</w:t>
      </w:r>
    </w:p>
    <w:p w14:paraId="52A57A7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mog</w:t>
      </w:r>
      <w:r w:rsidRPr="00F557BB">
        <w:rPr>
          <w:rFonts w:eastAsia="TimesNewRoman" w:cs="Arial"/>
          <w:szCs w:val="20"/>
          <w:lang w:eastAsia="en-US"/>
        </w:rPr>
        <w:t xml:space="preserve">ą </w:t>
      </w:r>
      <w:r w:rsidRPr="00F557BB">
        <w:rPr>
          <w:rFonts w:eastAsia="Calibri" w:cs="Arial"/>
          <w:szCs w:val="20"/>
          <w:lang w:eastAsia="en-US"/>
        </w:rPr>
        <w:t>by</w:t>
      </w:r>
      <w:r w:rsidRPr="00F557BB">
        <w:rPr>
          <w:rFonts w:eastAsia="TimesNewRoman" w:cs="Arial"/>
          <w:szCs w:val="20"/>
          <w:lang w:eastAsia="en-US"/>
        </w:rPr>
        <w:t xml:space="preserve">ć </w:t>
      </w:r>
      <w:r w:rsidRPr="00F557BB">
        <w:rPr>
          <w:rFonts w:eastAsia="Calibri" w:cs="Arial"/>
          <w:szCs w:val="20"/>
          <w:lang w:eastAsia="en-US"/>
        </w:rPr>
        <w:t>równie</w:t>
      </w:r>
      <w:r w:rsidRPr="00F557BB">
        <w:rPr>
          <w:rFonts w:eastAsia="TimesNewRoman" w:cs="Arial"/>
          <w:szCs w:val="20"/>
          <w:lang w:eastAsia="en-US"/>
        </w:rPr>
        <w:t xml:space="preserve">ż </w:t>
      </w:r>
      <w:r w:rsidRPr="00F557BB">
        <w:rPr>
          <w:rFonts w:eastAsia="Calibri" w:cs="Arial"/>
          <w:szCs w:val="20"/>
          <w:lang w:eastAsia="en-US"/>
        </w:rPr>
        <w:t>stosowane inne odpowiednie normy zapewniaj</w:t>
      </w:r>
      <w:r w:rsidRPr="00F557BB">
        <w:rPr>
          <w:rFonts w:eastAsia="TimesNewRoman" w:cs="Arial"/>
          <w:szCs w:val="20"/>
          <w:lang w:eastAsia="en-US"/>
        </w:rPr>
        <w:t>ą</w:t>
      </w:r>
      <w:r w:rsidRPr="00F557BB">
        <w:rPr>
          <w:rFonts w:eastAsia="Calibri" w:cs="Arial"/>
          <w:szCs w:val="20"/>
          <w:lang w:eastAsia="en-US"/>
        </w:rPr>
        <w:t>ce równy lub wy</w:t>
      </w:r>
      <w:r w:rsidRPr="00F557BB">
        <w:rPr>
          <w:rFonts w:eastAsia="TimesNewRoman" w:cs="Arial"/>
          <w:szCs w:val="20"/>
          <w:lang w:eastAsia="en-US"/>
        </w:rPr>
        <w:t>ż</w:t>
      </w:r>
      <w:r w:rsidRPr="00F557BB">
        <w:rPr>
          <w:rFonts w:eastAsia="Calibri" w:cs="Arial"/>
          <w:szCs w:val="20"/>
          <w:lang w:eastAsia="en-US"/>
        </w:rPr>
        <w:t>szy poziom</w:t>
      </w:r>
    </w:p>
    <w:p w14:paraId="3158AE4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wykonania ni</w:t>
      </w:r>
      <w:r w:rsidRPr="00F557BB">
        <w:rPr>
          <w:rFonts w:eastAsia="TimesNewRoman" w:cs="Arial"/>
          <w:szCs w:val="20"/>
          <w:lang w:eastAsia="en-US"/>
        </w:rPr>
        <w:t xml:space="preserve">ż </w:t>
      </w:r>
      <w:r w:rsidRPr="00F557BB">
        <w:rPr>
          <w:rFonts w:eastAsia="Calibri" w:cs="Arial"/>
          <w:szCs w:val="20"/>
          <w:lang w:eastAsia="en-US"/>
        </w:rPr>
        <w:t>powołane normy lub przepisy, pod warunkiem ich sprawdzenia i pisemnego</w:t>
      </w:r>
    </w:p>
    <w:p w14:paraId="3223B63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zatwierdzenia przez In</w:t>
      </w:r>
      <w:r w:rsidRPr="00F557BB">
        <w:rPr>
          <w:rFonts w:eastAsia="TimesNewRoman" w:cs="Arial"/>
          <w:szCs w:val="20"/>
          <w:lang w:eastAsia="en-US"/>
        </w:rPr>
        <w:t>ż</w:t>
      </w:r>
      <w:r w:rsidRPr="00F557BB">
        <w:rPr>
          <w:rFonts w:eastAsia="Calibri" w:cs="Arial"/>
          <w:szCs w:val="20"/>
          <w:lang w:eastAsia="en-US"/>
        </w:rPr>
        <w:t>yniera/Kierownika Projektu. Ró</w:t>
      </w:r>
      <w:r w:rsidRPr="00F557BB">
        <w:rPr>
          <w:rFonts w:eastAsia="TimesNewRoman" w:cs="Arial"/>
          <w:szCs w:val="20"/>
          <w:lang w:eastAsia="en-US"/>
        </w:rPr>
        <w:t>ż</w:t>
      </w:r>
      <w:r w:rsidRPr="00F557BB">
        <w:rPr>
          <w:rFonts w:eastAsia="Calibri" w:cs="Arial"/>
          <w:szCs w:val="20"/>
          <w:lang w:eastAsia="en-US"/>
        </w:rPr>
        <w:t>nice pomi</w:t>
      </w:r>
      <w:r w:rsidRPr="00F557BB">
        <w:rPr>
          <w:rFonts w:eastAsia="TimesNewRoman" w:cs="Arial"/>
          <w:szCs w:val="20"/>
          <w:lang w:eastAsia="en-US"/>
        </w:rPr>
        <w:t>ę</w:t>
      </w:r>
      <w:r w:rsidRPr="00F557BB">
        <w:rPr>
          <w:rFonts w:eastAsia="Calibri" w:cs="Arial"/>
          <w:szCs w:val="20"/>
          <w:lang w:eastAsia="en-US"/>
        </w:rPr>
        <w:t>dzy powołanymi normami a</w:t>
      </w:r>
    </w:p>
    <w:p w14:paraId="1F12013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ich proponowanymi zamiennikami musz</w:t>
      </w:r>
      <w:r w:rsidRPr="00F557BB">
        <w:rPr>
          <w:rFonts w:eastAsia="TimesNewRoman" w:cs="Arial"/>
          <w:szCs w:val="20"/>
          <w:lang w:eastAsia="en-US"/>
        </w:rPr>
        <w:t xml:space="preserve">ą </w:t>
      </w:r>
      <w:r w:rsidRPr="00F557BB">
        <w:rPr>
          <w:rFonts w:eastAsia="Calibri" w:cs="Arial"/>
          <w:szCs w:val="20"/>
          <w:lang w:eastAsia="en-US"/>
        </w:rPr>
        <w:t>by</w:t>
      </w:r>
      <w:r w:rsidRPr="00F557BB">
        <w:rPr>
          <w:rFonts w:eastAsia="TimesNewRoman" w:cs="Arial"/>
          <w:szCs w:val="20"/>
          <w:lang w:eastAsia="en-US"/>
        </w:rPr>
        <w:t xml:space="preserve">ć </w:t>
      </w:r>
      <w:r w:rsidRPr="00F557BB">
        <w:rPr>
          <w:rFonts w:eastAsia="Calibri" w:cs="Arial"/>
          <w:szCs w:val="20"/>
          <w:lang w:eastAsia="en-US"/>
        </w:rPr>
        <w:t>dokładnie opisane przez Wykonawc</w:t>
      </w:r>
      <w:r w:rsidRPr="00F557BB">
        <w:rPr>
          <w:rFonts w:eastAsia="TimesNewRoman" w:cs="Arial"/>
          <w:szCs w:val="20"/>
          <w:lang w:eastAsia="en-US"/>
        </w:rPr>
        <w:t xml:space="preserve">ę </w:t>
      </w:r>
      <w:r w:rsidRPr="00F557BB">
        <w:rPr>
          <w:rFonts w:eastAsia="Calibri" w:cs="Arial"/>
          <w:szCs w:val="20"/>
          <w:lang w:eastAsia="en-US"/>
        </w:rPr>
        <w:t>i</w:t>
      </w:r>
    </w:p>
    <w:p w14:paraId="10C5A5C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przedło</w:t>
      </w:r>
      <w:r w:rsidRPr="00F557BB">
        <w:rPr>
          <w:rFonts w:eastAsia="TimesNewRoman" w:cs="Arial"/>
          <w:szCs w:val="20"/>
          <w:lang w:eastAsia="en-US"/>
        </w:rPr>
        <w:t>ż</w:t>
      </w:r>
      <w:r w:rsidRPr="00F557BB">
        <w:rPr>
          <w:rFonts w:eastAsia="Calibri" w:cs="Arial"/>
          <w:szCs w:val="20"/>
          <w:lang w:eastAsia="en-US"/>
        </w:rPr>
        <w:t>one In</w:t>
      </w:r>
      <w:r w:rsidRPr="00F557BB">
        <w:rPr>
          <w:rFonts w:eastAsia="TimesNewRoman" w:cs="Arial"/>
          <w:szCs w:val="20"/>
          <w:lang w:eastAsia="en-US"/>
        </w:rPr>
        <w:t>ż</w:t>
      </w:r>
      <w:r w:rsidRPr="00F557BB">
        <w:rPr>
          <w:rFonts w:eastAsia="Calibri" w:cs="Arial"/>
          <w:szCs w:val="20"/>
          <w:lang w:eastAsia="en-US"/>
        </w:rPr>
        <w:t>ynierowi/Kierownikowi Projektu do zatwierdzenia.</w:t>
      </w:r>
    </w:p>
    <w:p w14:paraId="09747984"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2. MATERIAŁY</w:t>
      </w:r>
    </w:p>
    <w:p w14:paraId="54666A5C"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2.1. Źródło pochodzenia materiałów</w:t>
      </w:r>
    </w:p>
    <w:p w14:paraId="780B281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Na </w:t>
      </w:r>
      <w:r w:rsidRPr="00F557BB">
        <w:rPr>
          <w:rFonts w:eastAsia="TimesNewRoman" w:cs="Arial"/>
          <w:szCs w:val="20"/>
          <w:lang w:eastAsia="en-US"/>
        </w:rPr>
        <w:t>żą</w:t>
      </w:r>
      <w:r w:rsidRPr="00F557BB">
        <w:rPr>
          <w:rFonts w:eastAsia="Calibri" w:cs="Arial"/>
          <w:szCs w:val="20"/>
          <w:lang w:eastAsia="en-US"/>
        </w:rPr>
        <w:t>danie In</w:t>
      </w:r>
      <w:r w:rsidRPr="00F557BB">
        <w:rPr>
          <w:rFonts w:eastAsia="TimesNewRoman" w:cs="Arial"/>
          <w:szCs w:val="20"/>
          <w:lang w:eastAsia="en-US"/>
        </w:rPr>
        <w:t>ż</w:t>
      </w:r>
      <w:r w:rsidRPr="00F557BB">
        <w:rPr>
          <w:rFonts w:eastAsia="Calibri" w:cs="Arial"/>
          <w:szCs w:val="20"/>
          <w:lang w:eastAsia="en-US"/>
        </w:rPr>
        <w:t>yniera/Kierownika Projektu, co najmniej na 7 dni przed planowanym</w:t>
      </w:r>
    </w:p>
    <w:p w14:paraId="5F0E881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wykorzystaniem materiałów przeznaczonych do robót, Wykonawca przedstawi do zatwierdzenia</w:t>
      </w:r>
    </w:p>
    <w:p w14:paraId="4B87FD5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szczegółowe informacje dotycz</w:t>
      </w:r>
      <w:r w:rsidRPr="00F557BB">
        <w:rPr>
          <w:rFonts w:eastAsia="TimesNewRoman" w:cs="Arial"/>
          <w:szCs w:val="20"/>
          <w:lang w:eastAsia="en-US"/>
        </w:rPr>
        <w:t>ą</w:t>
      </w:r>
      <w:r w:rsidRPr="00F557BB">
        <w:rPr>
          <w:rFonts w:eastAsia="Calibri" w:cs="Arial"/>
          <w:szCs w:val="20"/>
          <w:lang w:eastAsia="en-US"/>
        </w:rPr>
        <w:t xml:space="preserve">ce proponowanego </w:t>
      </w:r>
      <w:r w:rsidRPr="00F557BB">
        <w:rPr>
          <w:rFonts w:eastAsia="TimesNewRoman" w:cs="Arial"/>
          <w:szCs w:val="20"/>
          <w:lang w:eastAsia="en-US"/>
        </w:rPr>
        <w:t>ź</w:t>
      </w:r>
      <w:r w:rsidRPr="00F557BB">
        <w:rPr>
          <w:rFonts w:eastAsia="Calibri" w:cs="Arial"/>
          <w:szCs w:val="20"/>
          <w:lang w:eastAsia="en-US"/>
        </w:rPr>
        <w:t>ródła wytwarzania, zamawiania lub</w:t>
      </w:r>
    </w:p>
    <w:p w14:paraId="3B0E359D"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wydobywania tych materiałów jak równie</w:t>
      </w:r>
      <w:r w:rsidRPr="00F557BB">
        <w:rPr>
          <w:rFonts w:eastAsia="TimesNewRoman" w:cs="Arial"/>
          <w:szCs w:val="20"/>
          <w:lang w:eastAsia="en-US"/>
        </w:rPr>
        <w:t xml:space="preserve">ż </w:t>
      </w:r>
      <w:r w:rsidRPr="00F557BB">
        <w:rPr>
          <w:rFonts w:eastAsia="Calibri" w:cs="Arial"/>
          <w:szCs w:val="20"/>
          <w:lang w:eastAsia="en-US"/>
        </w:rPr>
        <w:t xml:space="preserve">odpowiednie atesty, certyfikaty, </w:t>
      </w:r>
      <w:r w:rsidRPr="00F557BB">
        <w:rPr>
          <w:rFonts w:eastAsia="TimesNewRoman" w:cs="Arial"/>
          <w:szCs w:val="20"/>
          <w:lang w:eastAsia="en-US"/>
        </w:rPr>
        <w:t>ś</w:t>
      </w:r>
      <w:r w:rsidRPr="00F557BB">
        <w:rPr>
          <w:rFonts w:eastAsia="Calibri" w:cs="Arial"/>
          <w:szCs w:val="20"/>
          <w:lang w:eastAsia="en-US"/>
        </w:rPr>
        <w:t>wiadectwa bada</w:t>
      </w:r>
      <w:r w:rsidRPr="00F557BB">
        <w:rPr>
          <w:rFonts w:eastAsia="TimesNewRoman" w:cs="Arial"/>
          <w:szCs w:val="20"/>
          <w:lang w:eastAsia="en-US"/>
        </w:rPr>
        <w:t>ń</w:t>
      </w:r>
    </w:p>
    <w:p w14:paraId="2B2BA76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laboratoryjnych oraz próbki materiałów.</w:t>
      </w:r>
    </w:p>
    <w:p w14:paraId="44C2967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Zatwierdzenie partii (cz</w:t>
      </w:r>
      <w:r w:rsidRPr="00F557BB">
        <w:rPr>
          <w:rFonts w:eastAsia="TimesNewRoman" w:cs="Arial"/>
          <w:szCs w:val="20"/>
          <w:lang w:eastAsia="en-US"/>
        </w:rPr>
        <w:t>ęś</w:t>
      </w:r>
      <w:r w:rsidRPr="00F557BB">
        <w:rPr>
          <w:rFonts w:eastAsia="Calibri" w:cs="Arial"/>
          <w:szCs w:val="20"/>
          <w:lang w:eastAsia="en-US"/>
        </w:rPr>
        <w:t xml:space="preserve">ci) materiałów z danego </w:t>
      </w:r>
      <w:r w:rsidRPr="00F557BB">
        <w:rPr>
          <w:rFonts w:eastAsia="TimesNewRoman" w:cs="Arial"/>
          <w:szCs w:val="20"/>
          <w:lang w:eastAsia="en-US"/>
        </w:rPr>
        <w:t>ź</w:t>
      </w:r>
      <w:r w:rsidRPr="00F557BB">
        <w:rPr>
          <w:rFonts w:eastAsia="Calibri" w:cs="Arial"/>
          <w:szCs w:val="20"/>
          <w:lang w:eastAsia="en-US"/>
        </w:rPr>
        <w:t xml:space="preserve">ródła nie oznacza automatycznie, </w:t>
      </w:r>
      <w:r w:rsidRPr="00F557BB">
        <w:rPr>
          <w:rFonts w:eastAsia="TimesNewRoman" w:cs="Arial"/>
          <w:szCs w:val="20"/>
          <w:lang w:eastAsia="en-US"/>
        </w:rPr>
        <w:t>ż</w:t>
      </w:r>
      <w:r w:rsidRPr="00F557BB">
        <w:rPr>
          <w:rFonts w:eastAsia="Calibri" w:cs="Arial"/>
          <w:szCs w:val="20"/>
          <w:lang w:eastAsia="en-US"/>
        </w:rPr>
        <w:t>e wszelkie</w:t>
      </w:r>
    </w:p>
    <w:p w14:paraId="7813A1A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materiały z danego </w:t>
      </w:r>
      <w:r w:rsidRPr="00F557BB">
        <w:rPr>
          <w:rFonts w:eastAsia="TimesNewRoman" w:cs="Arial"/>
          <w:szCs w:val="20"/>
          <w:lang w:eastAsia="en-US"/>
        </w:rPr>
        <w:t>ź</w:t>
      </w:r>
      <w:r w:rsidRPr="00F557BB">
        <w:rPr>
          <w:rFonts w:eastAsia="Calibri" w:cs="Arial"/>
          <w:szCs w:val="20"/>
          <w:lang w:eastAsia="en-US"/>
        </w:rPr>
        <w:t>ródła uzyskaj</w:t>
      </w:r>
      <w:r w:rsidRPr="00F557BB">
        <w:rPr>
          <w:rFonts w:eastAsia="TimesNewRoman" w:cs="Arial"/>
          <w:szCs w:val="20"/>
          <w:lang w:eastAsia="en-US"/>
        </w:rPr>
        <w:t xml:space="preserve">ą </w:t>
      </w:r>
      <w:r w:rsidRPr="00F557BB">
        <w:rPr>
          <w:rFonts w:eastAsia="Calibri" w:cs="Arial"/>
          <w:szCs w:val="20"/>
          <w:lang w:eastAsia="en-US"/>
        </w:rPr>
        <w:t>zatwierdzenie.</w:t>
      </w:r>
    </w:p>
    <w:p w14:paraId="242D93FB"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 xml:space="preserve">Na </w:t>
      </w:r>
      <w:r w:rsidRPr="00F557BB">
        <w:rPr>
          <w:rFonts w:eastAsia="TimesNewRoman" w:cs="Arial"/>
          <w:szCs w:val="20"/>
          <w:lang w:eastAsia="en-US"/>
        </w:rPr>
        <w:t>żą</w:t>
      </w:r>
      <w:r w:rsidRPr="00F557BB">
        <w:rPr>
          <w:rFonts w:eastAsia="Calibri" w:cs="Arial"/>
          <w:szCs w:val="20"/>
          <w:lang w:eastAsia="en-US"/>
        </w:rPr>
        <w:t>danie In</w:t>
      </w:r>
      <w:r w:rsidRPr="00F557BB">
        <w:rPr>
          <w:rFonts w:eastAsia="TimesNewRoman" w:cs="Arial"/>
          <w:szCs w:val="20"/>
          <w:lang w:eastAsia="en-US"/>
        </w:rPr>
        <w:t>ż</w:t>
      </w:r>
      <w:r w:rsidRPr="00F557BB">
        <w:rPr>
          <w:rFonts w:eastAsia="Calibri" w:cs="Arial"/>
          <w:szCs w:val="20"/>
          <w:lang w:eastAsia="en-US"/>
        </w:rPr>
        <w:t>yniera/Kierownika Projektu Wykonawca zobowi</w:t>
      </w:r>
      <w:r w:rsidRPr="00F557BB">
        <w:rPr>
          <w:rFonts w:eastAsia="TimesNewRoman" w:cs="Arial"/>
          <w:szCs w:val="20"/>
          <w:lang w:eastAsia="en-US"/>
        </w:rPr>
        <w:t>ą</w:t>
      </w:r>
      <w:r w:rsidRPr="00F557BB">
        <w:rPr>
          <w:rFonts w:eastAsia="Calibri" w:cs="Arial"/>
          <w:szCs w:val="20"/>
          <w:lang w:eastAsia="en-US"/>
        </w:rPr>
        <w:t>zany jest do prowadzenia bada</w:t>
      </w:r>
      <w:r w:rsidRPr="00F557BB">
        <w:rPr>
          <w:rFonts w:eastAsia="TimesNewRoman" w:cs="Arial"/>
          <w:szCs w:val="20"/>
          <w:lang w:eastAsia="en-US"/>
        </w:rPr>
        <w:t>ń</w:t>
      </w:r>
    </w:p>
    <w:p w14:paraId="0392D80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w celu udokumentowania, </w:t>
      </w:r>
      <w:r w:rsidRPr="00F557BB">
        <w:rPr>
          <w:rFonts w:eastAsia="TimesNewRoman" w:cs="Arial"/>
          <w:szCs w:val="20"/>
          <w:lang w:eastAsia="en-US"/>
        </w:rPr>
        <w:t>ż</w:t>
      </w:r>
      <w:r w:rsidRPr="00F557BB">
        <w:rPr>
          <w:rFonts w:eastAsia="Calibri" w:cs="Arial"/>
          <w:szCs w:val="20"/>
          <w:lang w:eastAsia="en-US"/>
        </w:rPr>
        <w:t xml:space="preserve">e materiały uzyskane z dopuszczonego </w:t>
      </w:r>
      <w:r w:rsidRPr="00F557BB">
        <w:rPr>
          <w:rFonts w:eastAsia="TimesNewRoman" w:cs="Arial"/>
          <w:szCs w:val="20"/>
          <w:lang w:eastAsia="en-US"/>
        </w:rPr>
        <w:t>ź</w:t>
      </w:r>
      <w:r w:rsidRPr="00F557BB">
        <w:rPr>
          <w:rFonts w:eastAsia="Calibri" w:cs="Arial"/>
          <w:szCs w:val="20"/>
          <w:lang w:eastAsia="en-US"/>
        </w:rPr>
        <w:t>ródła w sposób ci</w:t>
      </w:r>
      <w:r w:rsidRPr="00F557BB">
        <w:rPr>
          <w:rFonts w:eastAsia="TimesNewRoman" w:cs="Arial"/>
          <w:szCs w:val="20"/>
          <w:lang w:eastAsia="en-US"/>
        </w:rPr>
        <w:t>ą</w:t>
      </w:r>
      <w:r w:rsidRPr="00F557BB">
        <w:rPr>
          <w:rFonts w:eastAsia="Calibri" w:cs="Arial"/>
          <w:szCs w:val="20"/>
          <w:lang w:eastAsia="en-US"/>
        </w:rPr>
        <w:t>gły</w:t>
      </w:r>
    </w:p>
    <w:p w14:paraId="3376683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spełniaj</w:t>
      </w:r>
      <w:r w:rsidRPr="00F557BB">
        <w:rPr>
          <w:rFonts w:eastAsia="TimesNewRoman" w:cs="Arial"/>
          <w:szCs w:val="20"/>
          <w:lang w:eastAsia="en-US"/>
        </w:rPr>
        <w:t xml:space="preserve">ą </w:t>
      </w:r>
      <w:r w:rsidRPr="00F557BB">
        <w:rPr>
          <w:rFonts w:eastAsia="Calibri" w:cs="Arial"/>
          <w:szCs w:val="20"/>
          <w:lang w:eastAsia="en-US"/>
        </w:rPr>
        <w:t>wymagania Specyfikacji Technicznych Wykonania i Odbioru Robót Budowlanych w</w:t>
      </w:r>
    </w:p>
    <w:p w14:paraId="60883654"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czasie realizacji robót.</w:t>
      </w:r>
    </w:p>
    <w:p w14:paraId="6499317E"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2.2. Elementy prefabrykowane</w:t>
      </w:r>
    </w:p>
    <w:p w14:paraId="640CAE13"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2.2.1. Prefabrykowane studnie kablowe</w:t>
      </w:r>
    </w:p>
    <w:p w14:paraId="557F000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Prefabrykowane studnie kablowe powinny by</w:t>
      </w:r>
      <w:r w:rsidRPr="00F557BB">
        <w:rPr>
          <w:rFonts w:eastAsia="TimesNewRoman" w:cs="Arial"/>
          <w:szCs w:val="20"/>
          <w:lang w:eastAsia="en-US"/>
        </w:rPr>
        <w:t xml:space="preserve">ć </w:t>
      </w:r>
      <w:r w:rsidRPr="00F557BB">
        <w:rPr>
          <w:rFonts w:eastAsia="Calibri" w:cs="Arial"/>
          <w:szCs w:val="20"/>
          <w:lang w:eastAsia="en-US"/>
        </w:rPr>
        <w:t>wykonane zgodnie z norm</w:t>
      </w:r>
      <w:r w:rsidRPr="00F557BB">
        <w:rPr>
          <w:rFonts w:eastAsia="TimesNewRoman" w:cs="Arial"/>
          <w:szCs w:val="20"/>
          <w:lang w:eastAsia="en-US"/>
        </w:rPr>
        <w:t xml:space="preserve">ą </w:t>
      </w:r>
      <w:r w:rsidRPr="00F557BB">
        <w:rPr>
          <w:rFonts w:eastAsia="Calibri" w:cs="Arial"/>
          <w:szCs w:val="20"/>
          <w:lang w:eastAsia="en-US"/>
        </w:rPr>
        <w:t>BN-73/8984-01 [21]</w:t>
      </w:r>
    </w:p>
    <w:p w14:paraId="04318A7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 betonu klasy B 20 zgodnego z norm</w:t>
      </w:r>
      <w:r w:rsidRPr="00F557BB">
        <w:rPr>
          <w:rFonts w:eastAsia="TimesNewRoman" w:cs="Arial"/>
          <w:szCs w:val="20"/>
          <w:lang w:eastAsia="en-US"/>
        </w:rPr>
        <w:t xml:space="preserve">ą </w:t>
      </w:r>
      <w:r w:rsidRPr="00F557BB">
        <w:rPr>
          <w:rFonts w:eastAsia="Calibri" w:cs="Arial"/>
          <w:szCs w:val="20"/>
          <w:lang w:eastAsia="en-US"/>
        </w:rPr>
        <w:t>PN-88/B-06250 [7]. Studnie kablowe i jej</w:t>
      </w:r>
    </w:p>
    <w:p w14:paraId="7B9A340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prefabrykowane elementy mog</w:t>
      </w:r>
      <w:r w:rsidRPr="00F557BB">
        <w:rPr>
          <w:rFonts w:eastAsia="TimesNewRoman" w:cs="Arial"/>
          <w:szCs w:val="20"/>
          <w:lang w:eastAsia="en-US"/>
        </w:rPr>
        <w:t xml:space="preserve">ą </w:t>
      </w:r>
      <w:r w:rsidRPr="00F557BB">
        <w:rPr>
          <w:rFonts w:eastAsia="Calibri" w:cs="Arial"/>
          <w:szCs w:val="20"/>
          <w:lang w:eastAsia="en-US"/>
        </w:rPr>
        <w:t>by</w:t>
      </w:r>
      <w:r w:rsidRPr="00F557BB">
        <w:rPr>
          <w:rFonts w:eastAsia="TimesNewRoman" w:cs="Arial"/>
          <w:szCs w:val="20"/>
          <w:lang w:eastAsia="en-US"/>
        </w:rPr>
        <w:t xml:space="preserve">ć </w:t>
      </w:r>
      <w:r w:rsidRPr="00F557BB">
        <w:rPr>
          <w:rFonts w:eastAsia="Calibri" w:cs="Arial"/>
          <w:szCs w:val="20"/>
          <w:lang w:eastAsia="en-US"/>
        </w:rPr>
        <w:t>składowane na polu składowym nie zabezpieczonym przed</w:t>
      </w:r>
    </w:p>
    <w:p w14:paraId="65CBA65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wpływami atmosferycznymi.</w:t>
      </w:r>
    </w:p>
    <w:p w14:paraId="50BA67A6"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2.2.2. Bloczki betonowe</w:t>
      </w:r>
    </w:p>
    <w:p w14:paraId="1A271CA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Bloczki betonowe (do budowy studni wykonywanych na miejscu budowy) powinny by</w:t>
      </w:r>
      <w:r w:rsidRPr="00F557BB">
        <w:rPr>
          <w:rFonts w:eastAsia="TimesNewRoman" w:cs="Arial"/>
          <w:szCs w:val="20"/>
          <w:lang w:eastAsia="en-US"/>
        </w:rPr>
        <w:t xml:space="preserve">ć </w:t>
      </w:r>
      <w:r w:rsidRPr="00F557BB">
        <w:rPr>
          <w:rFonts w:eastAsia="Calibri" w:cs="Arial"/>
          <w:szCs w:val="20"/>
          <w:lang w:eastAsia="en-US"/>
        </w:rPr>
        <w:t>z</w:t>
      </w:r>
    </w:p>
    <w:p w14:paraId="6983FCB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betonu klasy B 20 zgodnego z norm</w:t>
      </w:r>
      <w:r w:rsidRPr="00F557BB">
        <w:rPr>
          <w:rFonts w:eastAsia="TimesNewRoman" w:cs="Arial"/>
          <w:szCs w:val="20"/>
          <w:lang w:eastAsia="en-US"/>
        </w:rPr>
        <w:t xml:space="preserve">ą </w:t>
      </w:r>
      <w:r w:rsidRPr="00F557BB">
        <w:rPr>
          <w:rFonts w:eastAsia="Calibri" w:cs="Arial"/>
          <w:szCs w:val="20"/>
          <w:lang w:eastAsia="en-US"/>
        </w:rPr>
        <w:t>PN-88/B-06250 [7].</w:t>
      </w:r>
    </w:p>
    <w:p w14:paraId="07834A49"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2.3. Materiały gotowe</w:t>
      </w:r>
    </w:p>
    <w:p w14:paraId="52C57669"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2.3.1. Rury kanalizacji kablowej pierwotnej</w:t>
      </w:r>
    </w:p>
    <w:p w14:paraId="7C5C743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Stosowane do budowy ci</w:t>
      </w:r>
      <w:r w:rsidRPr="00F557BB">
        <w:rPr>
          <w:rFonts w:eastAsia="TimesNewRoman" w:cs="Arial"/>
          <w:szCs w:val="20"/>
          <w:lang w:eastAsia="en-US"/>
        </w:rPr>
        <w:t>ą</w:t>
      </w:r>
      <w:r w:rsidRPr="00F557BB">
        <w:rPr>
          <w:rFonts w:eastAsia="Calibri" w:cs="Arial"/>
          <w:szCs w:val="20"/>
          <w:lang w:eastAsia="en-US"/>
        </w:rPr>
        <w:t>gów kanalizacyjnych rury powinny odpowiada</w:t>
      </w:r>
      <w:r w:rsidRPr="00F557BB">
        <w:rPr>
          <w:rFonts w:eastAsia="TimesNewRoman" w:cs="Arial"/>
          <w:szCs w:val="20"/>
          <w:lang w:eastAsia="en-US"/>
        </w:rPr>
        <w:t xml:space="preserve">ć </w:t>
      </w:r>
      <w:r w:rsidRPr="00F557BB">
        <w:rPr>
          <w:rFonts w:eastAsia="Calibri" w:cs="Arial"/>
          <w:szCs w:val="20"/>
          <w:lang w:eastAsia="en-US"/>
        </w:rPr>
        <w:t>normom:</w:t>
      </w:r>
    </w:p>
    <w:p w14:paraId="01E2FBD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rury z polichlorku winylu (PCW) – ZN-96/TPSA-014 [35]</w:t>
      </w:r>
    </w:p>
    <w:p w14:paraId="7BE3E77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polipropylenowe (PP) - ZN-96/TPSA-015 [36]</w:t>
      </w:r>
    </w:p>
    <w:p w14:paraId="7134300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karbowane dwuwarstwowe - ZN-96/TPSA-016 [37]</w:t>
      </w:r>
    </w:p>
    <w:p w14:paraId="7A226A8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polietylenowe (RHDPE) - ZN-96/TPSA-017 [38]</w:t>
      </w:r>
    </w:p>
    <w:p w14:paraId="155CD67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specjalne - ZN-96/TPSA-018 [39]</w:t>
      </w:r>
    </w:p>
    <w:p w14:paraId="259C79F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trudnopalne - ZN-96/TPSA-019 [40]</w:t>
      </w:r>
    </w:p>
    <w:p w14:paraId="7EFF86F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Rury nale</w:t>
      </w:r>
      <w:r w:rsidRPr="00F557BB">
        <w:rPr>
          <w:rFonts w:eastAsia="TimesNewRoman" w:cs="Arial"/>
          <w:szCs w:val="20"/>
          <w:lang w:eastAsia="en-US"/>
        </w:rPr>
        <w:t>ż</w:t>
      </w:r>
      <w:r w:rsidRPr="00F557BB">
        <w:rPr>
          <w:rFonts w:eastAsia="Calibri" w:cs="Arial"/>
          <w:szCs w:val="20"/>
          <w:lang w:eastAsia="en-US"/>
        </w:rPr>
        <w:t>y przechowywa</w:t>
      </w:r>
      <w:r w:rsidRPr="00F557BB">
        <w:rPr>
          <w:rFonts w:eastAsia="TimesNewRoman" w:cs="Arial"/>
          <w:szCs w:val="20"/>
          <w:lang w:eastAsia="en-US"/>
        </w:rPr>
        <w:t xml:space="preserve">ć </w:t>
      </w:r>
      <w:r w:rsidRPr="00F557BB">
        <w:rPr>
          <w:rFonts w:eastAsia="Calibri" w:cs="Arial"/>
          <w:szCs w:val="20"/>
          <w:lang w:eastAsia="en-US"/>
        </w:rPr>
        <w:t>na utwardzonym placu, w nienasłonecznionych miejscach</w:t>
      </w:r>
    </w:p>
    <w:p w14:paraId="2BE99F3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zabezpieczonych przed działaniem sił mechanicznych.</w:t>
      </w:r>
    </w:p>
    <w:p w14:paraId="3C8D4FE7"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2.3.2. Elementy studni kablowych</w:t>
      </w:r>
    </w:p>
    <w:p w14:paraId="143F2BB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 budowy studni kablowych nale</w:t>
      </w:r>
      <w:r w:rsidRPr="00F557BB">
        <w:rPr>
          <w:rFonts w:eastAsia="TimesNewRoman" w:cs="Arial"/>
          <w:szCs w:val="20"/>
          <w:lang w:eastAsia="en-US"/>
        </w:rPr>
        <w:t>ż</w:t>
      </w:r>
      <w:r w:rsidRPr="00F557BB">
        <w:rPr>
          <w:rFonts w:eastAsia="Calibri" w:cs="Arial"/>
          <w:szCs w:val="20"/>
          <w:lang w:eastAsia="en-US"/>
        </w:rPr>
        <w:t>y stosowa</w:t>
      </w:r>
      <w:r w:rsidRPr="00F557BB">
        <w:rPr>
          <w:rFonts w:eastAsia="TimesNewRoman" w:cs="Arial"/>
          <w:szCs w:val="20"/>
          <w:lang w:eastAsia="en-US"/>
        </w:rPr>
        <w:t xml:space="preserve">ć </w:t>
      </w:r>
      <w:r w:rsidRPr="00F557BB">
        <w:rPr>
          <w:rFonts w:eastAsia="Calibri" w:cs="Arial"/>
          <w:szCs w:val="20"/>
          <w:lang w:eastAsia="en-US"/>
        </w:rPr>
        <w:t>nast</w:t>
      </w:r>
      <w:r w:rsidRPr="00F557BB">
        <w:rPr>
          <w:rFonts w:eastAsia="TimesNewRoman" w:cs="Arial"/>
          <w:szCs w:val="20"/>
          <w:lang w:eastAsia="en-US"/>
        </w:rPr>
        <w:t>ę</w:t>
      </w:r>
      <w:r w:rsidRPr="00F557BB">
        <w:rPr>
          <w:rFonts w:eastAsia="Calibri" w:cs="Arial"/>
          <w:szCs w:val="20"/>
          <w:lang w:eastAsia="en-US"/>
        </w:rPr>
        <w:t>puj</w:t>
      </w:r>
      <w:r w:rsidRPr="00F557BB">
        <w:rPr>
          <w:rFonts w:eastAsia="TimesNewRoman" w:cs="Arial"/>
          <w:szCs w:val="20"/>
          <w:lang w:eastAsia="en-US"/>
        </w:rPr>
        <w:t>ą</w:t>
      </w:r>
      <w:r w:rsidRPr="00F557BB">
        <w:rPr>
          <w:rFonts w:eastAsia="Calibri" w:cs="Arial"/>
          <w:szCs w:val="20"/>
          <w:lang w:eastAsia="en-US"/>
        </w:rPr>
        <w:t>ce ich cz</w:t>
      </w:r>
      <w:r w:rsidRPr="00F557BB">
        <w:rPr>
          <w:rFonts w:eastAsia="TimesNewRoman" w:cs="Arial"/>
          <w:szCs w:val="20"/>
          <w:lang w:eastAsia="en-US"/>
        </w:rPr>
        <w:t>ęś</w:t>
      </w:r>
      <w:r w:rsidRPr="00F557BB">
        <w:rPr>
          <w:rFonts w:eastAsia="Calibri" w:cs="Arial"/>
          <w:szCs w:val="20"/>
          <w:lang w:eastAsia="en-US"/>
        </w:rPr>
        <w:t>ci:</w:t>
      </w:r>
    </w:p>
    <w:p w14:paraId="567D847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korpus betonowy,</w:t>
      </w:r>
    </w:p>
    <w:p w14:paraId="284FB9C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wietrznik do pokryw odpowiadaj</w:t>
      </w:r>
      <w:r w:rsidRPr="00F557BB">
        <w:rPr>
          <w:rFonts w:eastAsia="TimesNewRoman" w:cs="Arial"/>
          <w:szCs w:val="20"/>
          <w:lang w:eastAsia="en-US"/>
        </w:rPr>
        <w:t>ą</w:t>
      </w:r>
      <w:r w:rsidRPr="00F557BB">
        <w:rPr>
          <w:rFonts w:eastAsia="Calibri" w:cs="Arial"/>
          <w:szCs w:val="20"/>
          <w:lang w:eastAsia="en-US"/>
        </w:rPr>
        <w:t>cy BN-73/3233-02 [15],</w:t>
      </w:r>
    </w:p>
    <w:p w14:paraId="1596B40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ramy i pokrywy odpowiadaj</w:t>
      </w:r>
      <w:r w:rsidRPr="00F557BB">
        <w:rPr>
          <w:rFonts w:eastAsia="TimesNewRoman" w:cs="Arial"/>
          <w:szCs w:val="20"/>
          <w:lang w:eastAsia="en-US"/>
        </w:rPr>
        <w:t>ą</w:t>
      </w:r>
      <w:r w:rsidRPr="00F557BB">
        <w:rPr>
          <w:rFonts w:eastAsia="Calibri" w:cs="Arial"/>
          <w:szCs w:val="20"/>
          <w:lang w:eastAsia="en-US"/>
        </w:rPr>
        <w:t>ce BN-73/3233-03 [16],</w:t>
      </w:r>
    </w:p>
    <w:p w14:paraId="518534E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wsporniki kablowe odpowiadaj</w:t>
      </w:r>
      <w:r w:rsidRPr="00F557BB">
        <w:rPr>
          <w:rFonts w:eastAsia="TimesNewRoman" w:cs="Arial"/>
          <w:szCs w:val="20"/>
          <w:lang w:eastAsia="en-US"/>
        </w:rPr>
        <w:t>ą</w:t>
      </w:r>
      <w:r w:rsidRPr="00F557BB">
        <w:rPr>
          <w:rFonts w:eastAsia="Calibri" w:cs="Arial"/>
          <w:szCs w:val="20"/>
          <w:lang w:eastAsia="en-US"/>
        </w:rPr>
        <w:t>ce BN-74/3233-19 [17]</w:t>
      </w:r>
    </w:p>
    <w:p w14:paraId="7E4A686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zabezpieczenie pokrywy włazu przed ingerencj</w:t>
      </w:r>
      <w:r w:rsidRPr="00F557BB">
        <w:rPr>
          <w:rFonts w:eastAsia="TimesNewRoman" w:cs="Arial"/>
          <w:szCs w:val="20"/>
          <w:lang w:eastAsia="en-US"/>
        </w:rPr>
        <w:t xml:space="preserve">ą </w:t>
      </w:r>
      <w:r w:rsidRPr="00F557BB">
        <w:rPr>
          <w:rFonts w:eastAsia="Calibri" w:cs="Arial"/>
          <w:szCs w:val="20"/>
          <w:lang w:eastAsia="en-US"/>
        </w:rPr>
        <w:t>osób nieuprawnionych wg ZN-</w:t>
      </w:r>
    </w:p>
    <w:p w14:paraId="0793973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96/TPSA-041 [54].</w:t>
      </w:r>
    </w:p>
    <w:p w14:paraId="441C557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Powy</w:t>
      </w:r>
      <w:r w:rsidRPr="00F557BB">
        <w:rPr>
          <w:rFonts w:eastAsia="TimesNewRoman" w:cs="Arial"/>
          <w:szCs w:val="20"/>
          <w:lang w:eastAsia="en-US"/>
        </w:rPr>
        <w:t>ż</w:t>
      </w:r>
      <w:r w:rsidRPr="00F557BB">
        <w:rPr>
          <w:rFonts w:eastAsia="Calibri" w:cs="Arial"/>
          <w:szCs w:val="20"/>
          <w:lang w:eastAsia="en-US"/>
        </w:rPr>
        <w:t>sze elementy powinny by</w:t>
      </w:r>
      <w:r w:rsidRPr="00F557BB">
        <w:rPr>
          <w:rFonts w:eastAsia="TimesNewRoman" w:cs="Arial"/>
          <w:szCs w:val="20"/>
          <w:lang w:eastAsia="en-US"/>
        </w:rPr>
        <w:t xml:space="preserve">ć </w:t>
      </w:r>
      <w:r w:rsidRPr="00F557BB">
        <w:rPr>
          <w:rFonts w:eastAsia="Calibri" w:cs="Arial"/>
          <w:szCs w:val="20"/>
          <w:lang w:eastAsia="en-US"/>
        </w:rPr>
        <w:t>składowane w pomieszczeniach suchych i zadaszonych.</w:t>
      </w:r>
    </w:p>
    <w:p w14:paraId="0E07C38C"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3. SPRZĘT</w:t>
      </w:r>
    </w:p>
    <w:p w14:paraId="5AE59B5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przyst</w:t>
      </w:r>
      <w:r w:rsidRPr="00F557BB">
        <w:rPr>
          <w:rFonts w:eastAsia="TimesNewRoman" w:cs="Arial"/>
          <w:szCs w:val="20"/>
          <w:lang w:eastAsia="en-US"/>
        </w:rPr>
        <w:t>ę</w:t>
      </w:r>
      <w:r w:rsidRPr="00F557BB">
        <w:rPr>
          <w:rFonts w:eastAsia="Calibri" w:cs="Arial"/>
          <w:szCs w:val="20"/>
          <w:lang w:eastAsia="en-US"/>
        </w:rPr>
        <w:t>puj</w:t>
      </w:r>
      <w:r w:rsidRPr="00F557BB">
        <w:rPr>
          <w:rFonts w:eastAsia="TimesNewRoman" w:cs="Arial"/>
          <w:szCs w:val="20"/>
          <w:lang w:eastAsia="en-US"/>
        </w:rPr>
        <w:t>ą</w:t>
      </w:r>
      <w:r w:rsidRPr="00F557BB">
        <w:rPr>
          <w:rFonts w:eastAsia="Calibri" w:cs="Arial"/>
          <w:szCs w:val="20"/>
          <w:lang w:eastAsia="en-US"/>
        </w:rPr>
        <w:t>cy do wykonania przebudowy kablowych linii telekomunikacyjnych</w:t>
      </w:r>
    </w:p>
    <w:p w14:paraId="35861FE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powinien wykaza</w:t>
      </w:r>
      <w:r w:rsidRPr="00F557BB">
        <w:rPr>
          <w:rFonts w:eastAsia="TimesNewRoman" w:cs="Arial"/>
          <w:szCs w:val="20"/>
          <w:lang w:eastAsia="en-US"/>
        </w:rPr>
        <w:t xml:space="preserve">ć </w:t>
      </w:r>
      <w:r w:rsidRPr="00F557BB">
        <w:rPr>
          <w:rFonts w:eastAsia="Calibri" w:cs="Arial"/>
          <w:szCs w:val="20"/>
          <w:lang w:eastAsia="en-US"/>
        </w:rPr>
        <w:t>si</w:t>
      </w:r>
      <w:r w:rsidRPr="00F557BB">
        <w:rPr>
          <w:rFonts w:eastAsia="TimesNewRoman" w:cs="Arial"/>
          <w:szCs w:val="20"/>
          <w:lang w:eastAsia="en-US"/>
        </w:rPr>
        <w:t xml:space="preserve">ę </w:t>
      </w:r>
      <w:r w:rsidRPr="00F557BB">
        <w:rPr>
          <w:rFonts w:eastAsia="Calibri" w:cs="Arial"/>
          <w:szCs w:val="20"/>
          <w:lang w:eastAsia="en-US"/>
        </w:rPr>
        <w:t>mo</w:t>
      </w:r>
      <w:r w:rsidRPr="00F557BB">
        <w:rPr>
          <w:rFonts w:eastAsia="TimesNewRoman" w:cs="Arial"/>
          <w:szCs w:val="20"/>
          <w:lang w:eastAsia="en-US"/>
        </w:rPr>
        <w:t>ż</w:t>
      </w:r>
      <w:r w:rsidRPr="00F557BB">
        <w:rPr>
          <w:rFonts w:eastAsia="Calibri" w:cs="Arial"/>
          <w:szCs w:val="20"/>
          <w:lang w:eastAsia="en-US"/>
        </w:rPr>
        <w:t>liwo</w:t>
      </w:r>
      <w:r w:rsidRPr="00F557BB">
        <w:rPr>
          <w:rFonts w:eastAsia="TimesNewRoman" w:cs="Arial"/>
          <w:szCs w:val="20"/>
          <w:lang w:eastAsia="en-US"/>
        </w:rPr>
        <w:t>ś</w:t>
      </w:r>
      <w:r w:rsidRPr="00F557BB">
        <w:rPr>
          <w:rFonts w:eastAsia="Calibri" w:cs="Arial"/>
          <w:szCs w:val="20"/>
          <w:lang w:eastAsia="en-US"/>
        </w:rPr>
        <w:t>ci</w:t>
      </w:r>
      <w:r w:rsidRPr="00F557BB">
        <w:rPr>
          <w:rFonts w:eastAsia="TimesNewRoman" w:cs="Arial"/>
          <w:szCs w:val="20"/>
          <w:lang w:eastAsia="en-US"/>
        </w:rPr>
        <w:t xml:space="preserve">ą </w:t>
      </w:r>
      <w:r w:rsidRPr="00F557BB">
        <w:rPr>
          <w:rFonts w:eastAsia="Calibri" w:cs="Arial"/>
          <w:szCs w:val="20"/>
          <w:lang w:eastAsia="en-US"/>
        </w:rPr>
        <w:t>korzystania z nast</w:t>
      </w:r>
      <w:r w:rsidRPr="00F557BB">
        <w:rPr>
          <w:rFonts w:eastAsia="TimesNewRoman" w:cs="Arial"/>
          <w:szCs w:val="20"/>
          <w:lang w:eastAsia="en-US"/>
        </w:rPr>
        <w:t>ę</w:t>
      </w:r>
      <w:r w:rsidRPr="00F557BB">
        <w:rPr>
          <w:rFonts w:eastAsia="Calibri" w:cs="Arial"/>
          <w:szCs w:val="20"/>
          <w:lang w:eastAsia="en-US"/>
        </w:rPr>
        <w:t>puj</w:t>
      </w:r>
      <w:r w:rsidRPr="00F557BB">
        <w:rPr>
          <w:rFonts w:eastAsia="TimesNewRoman" w:cs="Arial"/>
          <w:szCs w:val="20"/>
          <w:lang w:eastAsia="en-US"/>
        </w:rPr>
        <w:t>ą</w:t>
      </w:r>
      <w:r w:rsidRPr="00F557BB">
        <w:rPr>
          <w:rFonts w:eastAsia="Calibri" w:cs="Arial"/>
          <w:szCs w:val="20"/>
          <w:lang w:eastAsia="en-US"/>
        </w:rPr>
        <w:t>cych maszyn i sprz</w:t>
      </w:r>
      <w:r w:rsidRPr="00F557BB">
        <w:rPr>
          <w:rFonts w:eastAsia="TimesNewRoman" w:cs="Arial"/>
          <w:szCs w:val="20"/>
          <w:lang w:eastAsia="en-US"/>
        </w:rPr>
        <w:t>ę</w:t>
      </w:r>
      <w:r w:rsidRPr="00F557BB">
        <w:rPr>
          <w:rFonts w:eastAsia="Calibri" w:cs="Arial"/>
          <w:szCs w:val="20"/>
          <w:lang w:eastAsia="en-US"/>
        </w:rPr>
        <w:t>tu, w zale</w:t>
      </w:r>
      <w:r w:rsidRPr="00F557BB">
        <w:rPr>
          <w:rFonts w:eastAsia="TimesNewRoman" w:cs="Arial"/>
          <w:szCs w:val="20"/>
          <w:lang w:eastAsia="en-US"/>
        </w:rPr>
        <w:t>ż</w:t>
      </w:r>
      <w:r w:rsidRPr="00F557BB">
        <w:rPr>
          <w:rFonts w:eastAsia="Calibri" w:cs="Arial"/>
          <w:szCs w:val="20"/>
          <w:lang w:eastAsia="en-US"/>
        </w:rPr>
        <w:t>no</w:t>
      </w:r>
      <w:r w:rsidRPr="00F557BB">
        <w:rPr>
          <w:rFonts w:eastAsia="TimesNewRoman" w:cs="Arial"/>
          <w:szCs w:val="20"/>
          <w:lang w:eastAsia="en-US"/>
        </w:rPr>
        <w:t>ś</w:t>
      </w:r>
      <w:r w:rsidRPr="00F557BB">
        <w:rPr>
          <w:rFonts w:eastAsia="Calibri" w:cs="Arial"/>
          <w:szCs w:val="20"/>
          <w:lang w:eastAsia="en-US"/>
        </w:rPr>
        <w:t>ci</w:t>
      </w:r>
    </w:p>
    <w:p w14:paraId="7582574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od zakresu robót gwarantuj</w:t>
      </w:r>
      <w:r w:rsidRPr="00F557BB">
        <w:rPr>
          <w:rFonts w:eastAsia="TimesNewRoman" w:cs="Arial"/>
          <w:szCs w:val="20"/>
          <w:lang w:eastAsia="en-US"/>
        </w:rPr>
        <w:t>ą</w:t>
      </w:r>
      <w:r w:rsidRPr="00F557BB">
        <w:rPr>
          <w:rFonts w:eastAsia="Calibri" w:cs="Arial"/>
          <w:szCs w:val="20"/>
          <w:lang w:eastAsia="en-US"/>
        </w:rPr>
        <w:t>cych wła</w:t>
      </w:r>
      <w:r w:rsidRPr="00F557BB">
        <w:rPr>
          <w:rFonts w:eastAsia="TimesNewRoman" w:cs="Arial"/>
          <w:szCs w:val="20"/>
          <w:lang w:eastAsia="en-US"/>
        </w:rPr>
        <w:t>ś</w:t>
      </w:r>
      <w:r w:rsidRPr="00F557BB">
        <w:rPr>
          <w:rFonts w:eastAsia="Calibri" w:cs="Arial"/>
          <w:szCs w:val="20"/>
          <w:lang w:eastAsia="en-US"/>
        </w:rPr>
        <w:t>ciw</w:t>
      </w:r>
      <w:r w:rsidRPr="00F557BB">
        <w:rPr>
          <w:rFonts w:eastAsia="TimesNewRoman" w:cs="Arial"/>
          <w:szCs w:val="20"/>
          <w:lang w:eastAsia="en-US"/>
        </w:rPr>
        <w:t xml:space="preserve">ą </w:t>
      </w:r>
      <w:r w:rsidRPr="00F557BB">
        <w:rPr>
          <w:rFonts w:eastAsia="Calibri" w:cs="Arial"/>
          <w:szCs w:val="20"/>
          <w:lang w:eastAsia="en-US"/>
        </w:rPr>
        <w:t>jako</w:t>
      </w:r>
      <w:r w:rsidRPr="00F557BB">
        <w:rPr>
          <w:rFonts w:eastAsia="TimesNewRoman" w:cs="Arial"/>
          <w:szCs w:val="20"/>
          <w:lang w:eastAsia="en-US"/>
        </w:rPr>
        <w:t xml:space="preserve">ść </w:t>
      </w:r>
      <w:r w:rsidRPr="00F557BB">
        <w:rPr>
          <w:rFonts w:eastAsia="Calibri" w:cs="Arial"/>
          <w:szCs w:val="20"/>
          <w:lang w:eastAsia="en-US"/>
        </w:rPr>
        <w:t>robót:</w:t>
      </w:r>
    </w:p>
    <w:p w14:paraId="245A21E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spr</w:t>
      </w:r>
      <w:r w:rsidRPr="00F557BB">
        <w:rPr>
          <w:rFonts w:eastAsia="TimesNewRoman" w:cs="Arial"/>
          <w:szCs w:val="20"/>
          <w:lang w:eastAsia="en-US"/>
        </w:rPr>
        <w:t>ęż</w:t>
      </w:r>
      <w:r w:rsidRPr="00F557BB">
        <w:rPr>
          <w:rFonts w:eastAsia="Calibri" w:cs="Arial"/>
          <w:szCs w:val="20"/>
          <w:lang w:eastAsia="en-US"/>
        </w:rPr>
        <w:t>arka powietrzna, spalinowa, przewo</w:t>
      </w:r>
      <w:r w:rsidRPr="00F557BB">
        <w:rPr>
          <w:rFonts w:eastAsia="TimesNewRoman" w:cs="Arial"/>
          <w:szCs w:val="20"/>
          <w:lang w:eastAsia="en-US"/>
        </w:rPr>
        <w:t>ź</w:t>
      </w:r>
      <w:r w:rsidRPr="00F557BB">
        <w:rPr>
          <w:rFonts w:eastAsia="Calibri" w:cs="Arial"/>
          <w:szCs w:val="20"/>
          <w:lang w:eastAsia="en-US"/>
        </w:rPr>
        <w:t>na,</w:t>
      </w:r>
    </w:p>
    <w:p w14:paraId="30D31A8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urz</w:t>
      </w:r>
      <w:r w:rsidRPr="00F557BB">
        <w:rPr>
          <w:rFonts w:eastAsia="TimesNewRoman" w:cs="Arial"/>
          <w:szCs w:val="20"/>
          <w:lang w:eastAsia="en-US"/>
        </w:rPr>
        <w:t>ą</w:t>
      </w:r>
      <w:r w:rsidRPr="00F557BB">
        <w:rPr>
          <w:rFonts w:eastAsia="Calibri" w:cs="Arial"/>
          <w:szCs w:val="20"/>
          <w:lang w:eastAsia="en-US"/>
        </w:rPr>
        <w:t xml:space="preserve">dzenie </w:t>
      </w:r>
      <w:proofErr w:type="spellStart"/>
      <w:r w:rsidRPr="00F557BB">
        <w:rPr>
          <w:rFonts w:eastAsia="Calibri" w:cs="Arial"/>
          <w:szCs w:val="20"/>
          <w:lang w:eastAsia="en-US"/>
        </w:rPr>
        <w:t>przeciskowe</w:t>
      </w:r>
      <w:proofErr w:type="spellEnd"/>
      <w:r w:rsidRPr="00F557BB">
        <w:rPr>
          <w:rFonts w:eastAsia="Calibri" w:cs="Arial"/>
          <w:szCs w:val="20"/>
          <w:lang w:eastAsia="en-US"/>
        </w:rPr>
        <w:t>,</w:t>
      </w:r>
    </w:p>
    <w:p w14:paraId="2DAE23D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ubijak spalinowy,</w:t>
      </w:r>
    </w:p>
    <w:p w14:paraId="0CA26ED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zespół pr</w:t>
      </w:r>
      <w:r w:rsidRPr="00F557BB">
        <w:rPr>
          <w:rFonts w:eastAsia="TimesNewRoman" w:cs="Arial"/>
          <w:szCs w:val="20"/>
          <w:lang w:eastAsia="en-US"/>
        </w:rPr>
        <w:t>ą</w:t>
      </w:r>
      <w:r w:rsidRPr="00F557BB">
        <w:rPr>
          <w:rFonts w:eastAsia="Calibri" w:cs="Arial"/>
          <w:szCs w:val="20"/>
          <w:lang w:eastAsia="en-US"/>
        </w:rPr>
        <w:t>dotwórczy jednofazowy,</w:t>
      </w:r>
    </w:p>
    <w:p w14:paraId="4E82DF42"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 zgrzewarka do zgrzewania rur PE.</w:t>
      </w:r>
    </w:p>
    <w:p w14:paraId="0DBBC6D0"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lastRenderedPageBreak/>
        <w:t>4. TRANSPORT</w:t>
      </w:r>
    </w:p>
    <w:p w14:paraId="77C6D94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Wykonawca przyst</w:t>
      </w:r>
      <w:r w:rsidRPr="00F557BB">
        <w:rPr>
          <w:rFonts w:eastAsia="TimesNewRoman" w:cs="Arial"/>
          <w:szCs w:val="20"/>
          <w:lang w:eastAsia="en-US"/>
        </w:rPr>
        <w:t>ę</w:t>
      </w:r>
      <w:r w:rsidRPr="00F557BB">
        <w:rPr>
          <w:rFonts w:eastAsia="Calibri" w:cs="Arial"/>
          <w:szCs w:val="20"/>
          <w:lang w:eastAsia="en-US"/>
        </w:rPr>
        <w:t>puj</w:t>
      </w:r>
      <w:r w:rsidRPr="00F557BB">
        <w:rPr>
          <w:rFonts w:eastAsia="TimesNewRoman" w:cs="Arial"/>
          <w:szCs w:val="20"/>
          <w:lang w:eastAsia="en-US"/>
        </w:rPr>
        <w:t>ą</w:t>
      </w:r>
      <w:r w:rsidRPr="00F557BB">
        <w:rPr>
          <w:rFonts w:eastAsia="Calibri" w:cs="Arial"/>
          <w:szCs w:val="20"/>
          <w:lang w:eastAsia="en-US"/>
        </w:rPr>
        <w:t>cy do przebudowy kablowych linii telekomunikacyjnych powinien</w:t>
      </w:r>
    </w:p>
    <w:p w14:paraId="2289553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wykaza</w:t>
      </w:r>
      <w:r w:rsidRPr="00F557BB">
        <w:rPr>
          <w:rFonts w:eastAsia="TimesNewRoman" w:cs="Arial"/>
          <w:szCs w:val="20"/>
          <w:lang w:eastAsia="en-US"/>
        </w:rPr>
        <w:t xml:space="preserve">ć </w:t>
      </w:r>
      <w:r w:rsidRPr="00F557BB">
        <w:rPr>
          <w:rFonts w:eastAsia="Calibri" w:cs="Arial"/>
          <w:szCs w:val="20"/>
          <w:lang w:eastAsia="en-US"/>
        </w:rPr>
        <w:t>si</w:t>
      </w:r>
      <w:r w:rsidRPr="00F557BB">
        <w:rPr>
          <w:rFonts w:eastAsia="TimesNewRoman" w:cs="Arial"/>
          <w:szCs w:val="20"/>
          <w:lang w:eastAsia="en-US"/>
        </w:rPr>
        <w:t xml:space="preserve">ę </w:t>
      </w:r>
      <w:r w:rsidRPr="00F557BB">
        <w:rPr>
          <w:rFonts w:eastAsia="Calibri" w:cs="Arial"/>
          <w:szCs w:val="20"/>
          <w:lang w:eastAsia="en-US"/>
        </w:rPr>
        <w:t>mo</w:t>
      </w:r>
      <w:r w:rsidRPr="00F557BB">
        <w:rPr>
          <w:rFonts w:eastAsia="TimesNewRoman" w:cs="Arial"/>
          <w:szCs w:val="20"/>
          <w:lang w:eastAsia="en-US"/>
        </w:rPr>
        <w:t>ż</w:t>
      </w:r>
      <w:r w:rsidRPr="00F557BB">
        <w:rPr>
          <w:rFonts w:eastAsia="Calibri" w:cs="Arial"/>
          <w:szCs w:val="20"/>
          <w:lang w:eastAsia="en-US"/>
        </w:rPr>
        <w:t>liwo</w:t>
      </w:r>
      <w:r w:rsidRPr="00F557BB">
        <w:rPr>
          <w:rFonts w:eastAsia="TimesNewRoman" w:cs="Arial"/>
          <w:szCs w:val="20"/>
          <w:lang w:eastAsia="en-US"/>
        </w:rPr>
        <w:t>ś</w:t>
      </w:r>
      <w:r w:rsidRPr="00F557BB">
        <w:rPr>
          <w:rFonts w:eastAsia="Calibri" w:cs="Arial"/>
          <w:szCs w:val="20"/>
          <w:lang w:eastAsia="en-US"/>
        </w:rPr>
        <w:t>ci</w:t>
      </w:r>
      <w:r w:rsidRPr="00F557BB">
        <w:rPr>
          <w:rFonts w:eastAsia="TimesNewRoman" w:cs="Arial"/>
          <w:szCs w:val="20"/>
          <w:lang w:eastAsia="en-US"/>
        </w:rPr>
        <w:t xml:space="preserve">ą </w:t>
      </w:r>
      <w:r w:rsidRPr="00F557BB">
        <w:rPr>
          <w:rFonts w:eastAsia="Calibri" w:cs="Arial"/>
          <w:szCs w:val="20"/>
          <w:lang w:eastAsia="en-US"/>
        </w:rPr>
        <w:t>korzystania z nast</w:t>
      </w:r>
      <w:r w:rsidRPr="00F557BB">
        <w:rPr>
          <w:rFonts w:eastAsia="TimesNewRoman" w:cs="Arial"/>
          <w:szCs w:val="20"/>
          <w:lang w:eastAsia="en-US"/>
        </w:rPr>
        <w:t>ę</w:t>
      </w:r>
      <w:r w:rsidRPr="00F557BB">
        <w:rPr>
          <w:rFonts w:eastAsia="Calibri" w:cs="Arial"/>
          <w:szCs w:val="20"/>
          <w:lang w:eastAsia="en-US"/>
        </w:rPr>
        <w:t>puj</w:t>
      </w:r>
      <w:r w:rsidRPr="00F557BB">
        <w:rPr>
          <w:rFonts w:eastAsia="TimesNewRoman" w:cs="Arial"/>
          <w:szCs w:val="20"/>
          <w:lang w:eastAsia="en-US"/>
        </w:rPr>
        <w:t>ą</w:t>
      </w:r>
      <w:r w:rsidRPr="00F557BB">
        <w:rPr>
          <w:rFonts w:eastAsia="Calibri" w:cs="Arial"/>
          <w:szCs w:val="20"/>
          <w:lang w:eastAsia="en-US"/>
        </w:rPr>
        <w:t xml:space="preserve">cych </w:t>
      </w:r>
      <w:r w:rsidRPr="00F557BB">
        <w:rPr>
          <w:rFonts w:eastAsia="TimesNewRoman" w:cs="Arial"/>
          <w:szCs w:val="20"/>
          <w:lang w:eastAsia="en-US"/>
        </w:rPr>
        <w:t>ś</w:t>
      </w:r>
      <w:r w:rsidRPr="00F557BB">
        <w:rPr>
          <w:rFonts w:eastAsia="Calibri" w:cs="Arial"/>
          <w:szCs w:val="20"/>
          <w:lang w:eastAsia="en-US"/>
        </w:rPr>
        <w:t>rodków transportu, w zale</w:t>
      </w:r>
      <w:r w:rsidRPr="00F557BB">
        <w:rPr>
          <w:rFonts w:eastAsia="TimesNewRoman" w:cs="Arial"/>
          <w:szCs w:val="20"/>
          <w:lang w:eastAsia="en-US"/>
        </w:rPr>
        <w:t>ż</w:t>
      </w:r>
      <w:r w:rsidRPr="00F557BB">
        <w:rPr>
          <w:rFonts w:eastAsia="Calibri" w:cs="Arial"/>
          <w:szCs w:val="20"/>
          <w:lang w:eastAsia="en-US"/>
        </w:rPr>
        <w:t>no</w:t>
      </w:r>
      <w:r w:rsidRPr="00F557BB">
        <w:rPr>
          <w:rFonts w:eastAsia="TimesNewRoman" w:cs="Arial"/>
          <w:szCs w:val="20"/>
          <w:lang w:eastAsia="en-US"/>
        </w:rPr>
        <w:t>ś</w:t>
      </w:r>
      <w:r w:rsidRPr="00F557BB">
        <w:rPr>
          <w:rFonts w:eastAsia="Calibri" w:cs="Arial"/>
          <w:szCs w:val="20"/>
          <w:lang w:eastAsia="en-US"/>
        </w:rPr>
        <w:t>ci od</w:t>
      </w:r>
    </w:p>
    <w:p w14:paraId="099757F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zakresu robót:</w:t>
      </w:r>
    </w:p>
    <w:p w14:paraId="0E16FDB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samochód skrzyniowy,</w:t>
      </w:r>
    </w:p>
    <w:p w14:paraId="231044E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samochód samowyładowczy,</w:t>
      </w:r>
    </w:p>
    <w:p w14:paraId="4230093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samochód dostawczy,</w:t>
      </w:r>
    </w:p>
    <w:p w14:paraId="47DE5EC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przyczepa do przewozu kabli,</w:t>
      </w:r>
    </w:p>
    <w:p w14:paraId="38E6729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Na </w:t>
      </w:r>
      <w:r w:rsidRPr="00F557BB">
        <w:rPr>
          <w:rFonts w:eastAsia="TimesNewRoman" w:cs="Arial"/>
          <w:szCs w:val="20"/>
          <w:lang w:eastAsia="en-US"/>
        </w:rPr>
        <w:t>ś</w:t>
      </w:r>
      <w:r w:rsidRPr="00F557BB">
        <w:rPr>
          <w:rFonts w:eastAsia="Calibri" w:cs="Arial"/>
          <w:szCs w:val="20"/>
          <w:lang w:eastAsia="en-US"/>
        </w:rPr>
        <w:t>rodkach transportu przewo</w:t>
      </w:r>
      <w:r w:rsidRPr="00F557BB">
        <w:rPr>
          <w:rFonts w:eastAsia="TimesNewRoman" w:cs="Arial"/>
          <w:szCs w:val="20"/>
          <w:lang w:eastAsia="en-US"/>
        </w:rPr>
        <w:t>ż</w:t>
      </w:r>
      <w:r w:rsidRPr="00F557BB">
        <w:rPr>
          <w:rFonts w:eastAsia="Calibri" w:cs="Arial"/>
          <w:szCs w:val="20"/>
          <w:lang w:eastAsia="en-US"/>
        </w:rPr>
        <w:t>one materiały i elementy powinny by</w:t>
      </w:r>
      <w:r w:rsidRPr="00F557BB">
        <w:rPr>
          <w:rFonts w:eastAsia="TimesNewRoman" w:cs="Arial"/>
          <w:szCs w:val="20"/>
          <w:lang w:eastAsia="en-US"/>
        </w:rPr>
        <w:t xml:space="preserve">ć </w:t>
      </w:r>
      <w:r w:rsidRPr="00F557BB">
        <w:rPr>
          <w:rFonts w:eastAsia="Calibri" w:cs="Arial"/>
          <w:szCs w:val="20"/>
          <w:lang w:eastAsia="en-US"/>
        </w:rPr>
        <w:t>zabezpieczone przed ich</w:t>
      </w:r>
    </w:p>
    <w:p w14:paraId="7BC738E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przemieszczaniem, układane zgodnie z warunkami transportu wydanymi przez wytwórc</w:t>
      </w:r>
      <w:r w:rsidRPr="00F557BB">
        <w:rPr>
          <w:rFonts w:eastAsia="TimesNewRoman" w:cs="Arial"/>
          <w:szCs w:val="20"/>
          <w:lang w:eastAsia="en-US"/>
        </w:rPr>
        <w:t xml:space="preserve">ę </w:t>
      </w:r>
      <w:r w:rsidRPr="00F557BB">
        <w:rPr>
          <w:rFonts w:eastAsia="Calibri" w:cs="Arial"/>
          <w:szCs w:val="20"/>
          <w:lang w:eastAsia="en-US"/>
        </w:rPr>
        <w:t>dla</w:t>
      </w:r>
    </w:p>
    <w:p w14:paraId="24DF40F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poszczególnych elementów.</w:t>
      </w:r>
    </w:p>
    <w:p w14:paraId="23CC73E4"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5. WYKONANIE ROBÓT</w:t>
      </w:r>
    </w:p>
    <w:p w14:paraId="7586A6B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Technologia budowy uzale</w:t>
      </w:r>
      <w:r w:rsidRPr="00F557BB">
        <w:rPr>
          <w:rFonts w:eastAsia="TimesNewRoman" w:cs="Arial"/>
          <w:szCs w:val="20"/>
          <w:lang w:eastAsia="en-US"/>
        </w:rPr>
        <w:t>ż</w:t>
      </w:r>
      <w:r w:rsidRPr="00F557BB">
        <w:rPr>
          <w:rFonts w:eastAsia="Calibri" w:cs="Arial"/>
          <w:szCs w:val="20"/>
          <w:lang w:eastAsia="en-US"/>
        </w:rPr>
        <w:t>niona jest od warunków technicznych wydawanych przez</w:t>
      </w:r>
    </w:p>
    <w:p w14:paraId="49B7108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w:t>
      </w:r>
      <w:r w:rsidRPr="00F557BB">
        <w:rPr>
          <w:rFonts w:eastAsia="TimesNewRoman" w:cs="Arial"/>
          <w:szCs w:val="20"/>
          <w:lang w:eastAsia="en-US"/>
        </w:rPr>
        <w:t>ż</w:t>
      </w:r>
      <w:r w:rsidRPr="00F557BB">
        <w:rPr>
          <w:rFonts w:eastAsia="Calibri" w:cs="Arial"/>
          <w:szCs w:val="20"/>
          <w:lang w:eastAsia="en-US"/>
        </w:rPr>
        <w:t>ytkownika linii, który w sposób ogólny okre</w:t>
      </w:r>
      <w:r w:rsidRPr="00F557BB">
        <w:rPr>
          <w:rFonts w:eastAsia="TimesNewRoman" w:cs="Arial"/>
          <w:szCs w:val="20"/>
          <w:lang w:eastAsia="en-US"/>
        </w:rPr>
        <w:t>ś</w:t>
      </w:r>
      <w:r w:rsidRPr="00F557BB">
        <w:rPr>
          <w:rFonts w:eastAsia="Calibri" w:cs="Arial"/>
          <w:szCs w:val="20"/>
          <w:lang w:eastAsia="en-US"/>
        </w:rPr>
        <w:t>la sposób budowy. Zasady wykonania tras</w:t>
      </w:r>
    </w:p>
    <w:p w14:paraId="0F02C91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kanalizacji kablowej pierwotnej zgodnie z Polska Norma PN-76/E-05125 oraz rozporz</w:t>
      </w:r>
      <w:r w:rsidRPr="00F557BB">
        <w:rPr>
          <w:rFonts w:eastAsia="TimesNewRoman" w:cs="Arial"/>
          <w:szCs w:val="20"/>
          <w:lang w:eastAsia="en-US"/>
        </w:rPr>
        <w:t>ą</w:t>
      </w:r>
      <w:r w:rsidRPr="00F557BB">
        <w:rPr>
          <w:rFonts w:eastAsia="Calibri" w:cs="Arial"/>
          <w:szCs w:val="20"/>
          <w:lang w:eastAsia="en-US"/>
        </w:rPr>
        <w:t>dzeniami</w:t>
      </w:r>
    </w:p>
    <w:p w14:paraId="78EA39D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Ministra Infrastruktury, w szczególno</w:t>
      </w:r>
      <w:r w:rsidRPr="00F557BB">
        <w:rPr>
          <w:rFonts w:eastAsia="TimesNewRoman" w:cs="Arial"/>
          <w:szCs w:val="20"/>
          <w:lang w:eastAsia="en-US"/>
        </w:rPr>
        <w:t>ś</w:t>
      </w:r>
      <w:r w:rsidRPr="00F557BB">
        <w:rPr>
          <w:rFonts w:eastAsia="Calibri" w:cs="Arial"/>
          <w:szCs w:val="20"/>
          <w:lang w:eastAsia="en-US"/>
        </w:rPr>
        <w:t>ci z Rozporz</w:t>
      </w:r>
      <w:r w:rsidRPr="00F557BB">
        <w:rPr>
          <w:rFonts w:eastAsia="TimesNewRoman" w:cs="Arial"/>
          <w:szCs w:val="20"/>
          <w:lang w:eastAsia="en-US"/>
        </w:rPr>
        <w:t>ą</w:t>
      </w:r>
      <w:r w:rsidRPr="00F557BB">
        <w:rPr>
          <w:rFonts w:eastAsia="Calibri" w:cs="Arial"/>
          <w:szCs w:val="20"/>
          <w:lang w:eastAsia="en-US"/>
        </w:rPr>
        <w:t>dzeniem Ministra Infrastruktury z dnia</w:t>
      </w:r>
    </w:p>
    <w:p w14:paraId="4CBA0B4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26.10.2005 r. w sprawie warunków technicznych jakim powinny odpowiada</w:t>
      </w:r>
      <w:r w:rsidRPr="00F557BB">
        <w:rPr>
          <w:rFonts w:eastAsia="TimesNewRoman" w:cs="Arial"/>
          <w:szCs w:val="20"/>
          <w:lang w:eastAsia="en-US"/>
        </w:rPr>
        <w:t xml:space="preserve">ć </w:t>
      </w:r>
      <w:r w:rsidRPr="00F557BB">
        <w:rPr>
          <w:rFonts w:eastAsia="Calibri" w:cs="Arial"/>
          <w:szCs w:val="20"/>
          <w:lang w:eastAsia="en-US"/>
        </w:rPr>
        <w:t>telekomunikacyjne</w:t>
      </w:r>
    </w:p>
    <w:p w14:paraId="184F8DB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obiekty budowlane i ich usytuowanie, dotycz</w:t>
      </w:r>
      <w:r w:rsidRPr="00F557BB">
        <w:rPr>
          <w:rFonts w:eastAsia="TimesNewRoman" w:cs="Arial"/>
          <w:szCs w:val="20"/>
          <w:lang w:eastAsia="en-US"/>
        </w:rPr>
        <w:t>ą</w:t>
      </w:r>
      <w:r w:rsidRPr="00F557BB">
        <w:rPr>
          <w:rFonts w:eastAsia="Calibri" w:cs="Arial"/>
          <w:szCs w:val="20"/>
          <w:lang w:eastAsia="en-US"/>
        </w:rPr>
        <w:t>cym równie</w:t>
      </w:r>
      <w:r w:rsidRPr="00F557BB">
        <w:rPr>
          <w:rFonts w:eastAsia="TimesNewRoman" w:cs="Arial"/>
          <w:szCs w:val="20"/>
          <w:lang w:eastAsia="en-US"/>
        </w:rPr>
        <w:t xml:space="preserve">ż </w:t>
      </w:r>
      <w:r w:rsidRPr="00F557BB">
        <w:rPr>
          <w:rFonts w:eastAsia="Calibri" w:cs="Arial"/>
          <w:szCs w:val="20"/>
          <w:lang w:eastAsia="en-US"/>
        </w:rPr>
        <w:t>prac wykonywanych we wspólnym</w:t>
      </w:r>
    </w:p>
    <w:p w14:paraId="3EFC870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wykopie. Roboty nale</w:t>
      </w:r>
      <w:r w:rsidRPr="00F557BB">
        <w:rPr>
          <w:rFonts w:eastAsia="TimesNewRoman" w:cs="Arial"/>
          <w:szCs w:val="20"/>
          <w:lang w:eastAsia="en-US"/>
        </w:rPr>
        <w:t>ż</w:t>
      </w:r>
      <w:r w:rsidRPr="00F557BB">
        <w:rPr>
          <w:rFonts w:eastAsia="Calibri" w:cs="Arial"/>
          <w:szCs w:val="20"/>
          <w:lang w:eastAsia="en-US"/>
        </w:rPr>
        <w:t>y wykona</w:t>
      </w:r>
      <w:r w:rsidRPr="00F557BB">
        <w:rPr>
          <w:rFonts w:eastAsia="TimesNewRoman" w:cs="Arial"/>
          <w:szCs w:val="20"/>
          <w:lang w:eastAsia="en-US"/>
        </w:rPr>
        <w:t xml:space="preserve">ć </w:t>
      </w:r>
      <w:r w:rsidRPr="00F557BB">
        <w:rPr>
          <w:rFonts w:eastAsia="Calibri" w:cs="Arial"/>
          <w:szCs w:val="20"/>
          <w:lang w:eastAsia="en-US"/>
        </w:rPr>
        <w:t>zgodnie z normami i przepisami budowy, bezpiecze</w:t>
      </w:r>
      <w:r w:rsidRPr="00F557BB">
        <w:rPr>
          <w:rFonts w:eastAsia="TimesNewRoman" w:cs="Arial"/>
          <w:szCs w:val="20"/>
          <w:lang w:eastAsia="en-US"/>
        </w:rPr>
        <w:t>ń</w:t>
      </w:r>
      <w:r w:rsidRPr="00F557BB">
        <w:rPr>
          <w:rFonts w:eastAsia="Calibri" w:cs="Arial"/>
          <w:szCs w:val="20"/>
          <w:lang w:eastAsia="en-US"/>
        </w:rPr>
        <w:t>stwa i</w:t>
      </w:r>
    </w:p>
    <w:p w14:paraId="78D55123"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higieny pracy. Budow</w:t>
      </w:r>
      <w:r w:rsidRPr="00F557BB">
        <w:rPr>
          <w:rFonts w:eastAsia="TimesNewRoman" w:cs="Arial"/>
          <w:szCs w:val="20"/>
          <w:lang w:eastAsia="en-US"/>
        </w:rPr>
        <w:t xml:space="preserve">ę </w:t>
      </w:r>
      <w:r w:rsidRPr="00F557BB">
        <w:rPr>
          <w:rFonts w:eastAsia="Calibri" w:cs="Arial"/>
          <w:szCs w:val="20"/>
          <w:lang w:eastAsia="en-US"/>
        </w:rPr>
        <w:t>kanalizacji teletechnicznej nale</w:t>
      </w:r>
      <w:r w:rsidRPr="00F557BB">
        <w:rPr>
          <w:rFonts w:eastAsia="TimesNewRoman" w:cs="Arial"/>
          <w:szCs w:val="20"/>
          <w:lang w:eastAsia="en-US"/>
        </w:rPr>
        <w:t>ż</w:t>
      </w:r>
      <w:r w:rsidRPr="00F557BB">
        <w:rPr>
          <w:rFonts w:eastAsia="Calibri" w:cs="Arial"/>
          <w:szCs w:val="20"/>
          <w:lang w:eastAsia="en-US"/>
        </w:rPr>
        <w:t>y wykona</w:t>
      </w:r>
      <w:r w:rsidRPr="00F557BB">
        <w:rPr>
          <w:rFonts w:eastAsia="TimesNewRoman" w:cs="Arial"/>
          <w:szCs w:val="20"/>
          <w:lang w:eastAsia="en-US"/>
        </w:rPr>
        <w:t xml:space="preserve">ć </w:t>
      </w:r>
      <w:r w:rsidRPr="00F557BB">
        <w:rPr>
          <w:rFonts w:eastAsia="Calibri" w:cs="Arial"/>
          <w:szCs w:val="20"/>
          <w:lang w:eastAsia="en-US"/>
        </w:rPr>
        <w:t>zgodnie z dokumentacj</w:t>
      </w:r>
      <w:r w:rsidRPr="00F557BB">
        <w:rPr>
          <w:rFonts w:eastAsia="TimesNewRoman" w:cs="Arial"/>
          <w:szCs w:val="20"/>
          <w:lang w:eastAsia="en-US"/>
        </w:rPr>
        <w:t>ą</w:t>
      </w:r>
    </w:p>
    <w:p w14:paraId="2A96A8F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projektow</w:t>
      </w:r>
      <w:r w:rsidRPr="00F557BB">
        <w:rPr>
          <w:rFonts w:eastAsia="TimesNewRoman" w:cs="Arial"/>
          <w:szCs w:val="20"/>
          <w:lang w:eastAsia="en-US"/>
        </w:rPr>
        <w:t xml:space="preserve">ą </w:t>
      </w:r>
      <w:r w:rsidRPr="00F557BB">
        <w:rPr>
          <w:rFonts w:eastAsia="Calibri" w:cs="Arial"/>
          <w:szCs w:val="20"/>
          <w:lang w:eastAsia="en-US"/>
        </w:rPr>
        <w:t>uwzgl</w:t>
      </w:r>
      <w:r w:rsidRPr="00F557BB">
        <w:rPr>
          <w:rFonts w:eastAsia="TimesNewRoman" w:cs="Arial"/>
          <w:szCs w:val="20"/>
          <w:lang w:eastAsia="en-US"/>
        </w:rPr>
        <w:t>ę</w:t>
      </w:r>
      <w:r w:rsidRPr="00F557BB">
        <w:rPr>
          <w:rFonts w:eastAsia="Calibri" w:cs="Arial"/>
          <w:szCs w:val="20"/>
          <w:lang w:eastAsia="en-US"/>
        </w:rPr>
        <w:t>dniaj</w:t>
      </w:r>
      <w:r w:rsidRPr="00F557BB">
        <w:rPr>
          <w:rFonts w:eastAsia="TimesNewRoman" w:cs="Arial"/>
          <w:szCs w:val="20"/>
          <w:lang w:eastAsia="en-US"/>
        </w:rPr>
        <w:t>ą</w:t>
      </w:r>
      <w:r w:rsidRPr="00F557BB">
        <w:rPr>
          <w:rFonts w:eastAsia="Calibri" w:cs="Arial"/>
          <w:szCs w:val="20"/>
          <w:lang w:eastAsia="en-US"/>
        </w:rPr>
        <w:t>c wszystkie czynno</w:t>
      </w:r>
      <w:r w:rsidRPr="00F557BB">
        <w:rPr>
          <w:rFonts w:eastAsia="TimesNewRoman" w:cs="Arial"/>
          <w:szCs w:val="20"/>
          <w:lang w:eastAsia="en-US"/>
        </w:rPr>
        <w:t>ś</w:t>
      </w:r>
      <w:r w:rsidRPr="00F557BB">
        <w:rPr>
          <w:rFonts w:eastAsia="Calibri" w:cs="Arial"/>
          <w:szCs w:val="20"/>
          <w:lang w:eastAsia="en-US"/>
        </w:rPr>
        <w:t>ci niezb</w:t>
      </w:r>
      <w:r w:rsidRPr="00F557BB">
        <w:rPr>
          <w:rFonts w:eastAsia="TimesNewRoman" w:cs="Arial"/>
          <w:szCs w:val="20"/>
          <w:lang w:eastAsia="en-US"/>
        </w:rPr>
        <w:t>ę</w:t>
      </w:r>
      <w:r w:rsidRPr="00F557BB">
        <w:rPr>
          <w:rFonts w:eastAsia="Calibri" w:cs="Arial"/>
          <w:szCs w:val="20"/>
          <w:lang w:eastAsia="en-US"/>
        </w:rPr>
        <w:t>dne do nale</w:t>
      </w:r>
      <w:r w:rsidRPr="00F557BB">
        <w:rPr>
          <w:rFonts w:eastAsia="TimesNewRoman" w:cs="Arial"/>
          <w:szCs w:val="20"/>
          <w:lang w:eastAsia="en-US"/>
        </w:rPr>
        <w:t>ż</w:t>
      </w:r>
      <w:r w:rsidRPr="00F557BB">
        <w:rPr>
          <w:rFonts w:eastAsia="Calibri" w:cs="Arial"/>
          <w:szCs w:val="20"/>
          <w:lang w:eastAsia="en-US"/>
        </w:rPr>
        <w:t>ytego wykonania i odbioru</w:t>
      </w:r>
    </w:p>
    <w:p w14:paraId="70DE0D1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robót.</w:t>
      </w:r>
    </w:p>
    <w:p w14:paraId="11A8E5A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Wykopy powstałe po budowie elementów linii powinny by</w:t>
      </w:r>
      <w:r w:rsidRPr="00F557BB">
        <w:rPr>
          <w:rFonts w:eastAsia="TimesNewRoman" w:cs="Arial"/>
          <w:szCs w:val="20"/>
          <w:lang w:eastAsia="en-US"/>
        </w:rPr>
        <w:t xml:space="preserve">ć </w:t>
      </w:r>
      <w:r w:rsidRPr="00F557BB">
        <w:rPr>
          <w:rFonts w:eastAsia="Calibri" w:cs="Arial"/>
          <w:szCs w:val="20"/>
          <w:lang w:eastAsia="en-US"/>
        </w:rPr>
        <w:t>zasypane zag</w:t>
      </w:r>
      <w:r w:rsidRPr="00F557BB">
        <w:rPr>
          <w:rFonts w:eastAsia="TimesNewRoman" w:cs="Arial"/>
          <w:szCs w:val="20"/>
          <w:lang w:eastAsia="en-US"/>
        </w:rPr>
        <w:t>ę</w:t>
      </w:r>
      <w:r w:rsidRPr="00F557BB">
        <w:rPr>
          <w:rFonts w:eastAsia="Calibri" w:cs="Arial"/>
          <w:szCs w:val="20"/>
          <w:lang w:eastAsia="en-US"/>
        </w:rPr>
        <w:t>szczonym gruntem i</w:t>
      </w:r>
    </w:p>
    <w:p w14:paraId="177EF76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wyrównane do poziomu terenu. Wska</w:t>
      </w:r>
      <w:r w:rsidRPr="00F557BB">
        <w:rPr>
          <w:rFonts w:eastAsia="TimesNewRoman" w:cs="Arial"/>
          <w:szCs w:val="20"/>
          <w:lang w:eastAsia="en-US"/>
        </w:rPr>
        <w:t>ź</w:t>
      </w:r>
      <w:r w:rsidRPr="00F557BB">
        <w:rPr>
          <w:rFonts w:eastAsia="Calibri" w:cs="Arial"/>
          <w:szCs w:val="20"/>
          <w:lang w:eastAsia="en-US"/>
        </w:rPr>
        <w:t>nik zag</w:t>
      </w:r>
      <w:r w:rsidRPr="00F557BB">
        <w:rPr>
          <w:rFonts w:eastAsia="TimesNewRoman" w:cs="Arial"/>
          <w:szCs w:val="20"/>
          <w:lang w:eastAsia="en-US"/>
        </w:rPr>
        <w:t>ę</w:t>
      </w:r>
      <w:r w:rsidRPr="00F557BB">
        <w:rPr>
          <w:rFonts w:eastAsia="Calibri" w:cs="Arial"/>
          <w:szCs w:val="20"/>
          <w:lang w:eastAsia="en-US"/>
        </w:rPr>
        <w:t>szczenia powinien by</w:t>
      </w:r>
      <w:r w:rsidRPr="00F557BB">
        <w:rPr>
          <w:rFonts w:eastAsia="TimesNewRoman" w:cs="Arial"/>
          <w:szCs w:val="20"/>
          <w:lang w:eastAsia="en-US"/>
        </w:rPr>
        <w:t xml:space="preserve">ć </w:t>
      </w:r>
      <w:r w:rsidRPr="00F557BB">
        <w:rPr>
          <w:rFonts w:eastAsia="Calibri" w:cs="Arial"/>
          <w:szCs w:val="20"/>
          <w:lang w:eastAsia="en-US"/>
        </w:rPr>
        <w:t>równy 0,85.</w:t>
      </w:r>
    </w:p>
    <w:p w14:paraId="7CE726E7"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5.1. Kanalizacja teletechniczna</w:t>
      </w:r>
    </w:p>
    <w:p w14:paraId="4ACC53F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Długo</w:t>
      </w:r>
      <w:r w:rsidRPr="00F557BB">
        <w:rPr>
          <w:rFonts w:eastAsia="TimesNewRoman" w:cs="Arial"/>
          <w:szCs w:val="20"/>
          <w:lang w:eastAsia="en-US"/>
        </w:rPr>
        <w:t xml:space="preserve">ść </w:t>
      </w:r>
      <w:r w:rsidRPr="00F557BB">
        <w:rPr>
          <w:rFonts w:eastAsia="Calibri" w:cs="Arial"/>
          <w:szCs w:val="20"/>
          <w:lang w:eastAsia="en-US"/>
        </w:rPr>
        <w:t>przelotów mi</w:t>
      </w:r>
      <w:r w:rsidRPr="00F557BB">
        <w:rPr>
          <w:rFonts w:eastAsia="TimesNewRoman" w:cs="Arial"/>
          <w:szCs w:val="20"/>
          <w:lang w:eastAsia="en-US"/>
        </w:rPr>
        <w:t>ę</w:t>
      </w:r>
      <w:r w:rsidRPr="00F557BB">
        <w:rPr>
          <w:rFonts w:eastAsia="Calibri" w:cs="Arial"/>
          <w:szCs w:val="20"/>
          <w:lang w:eastAsia="en-US"/>
        </w:rPr>
        <w:t>dzy studniami</w:t>
      </w:r>
    </w:p>
    <w:p w14:paraId="1BBF1CA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Długo</w:t>
      </w:r>
      <w:r w:rsidRPr="00F557BB">
        <w:rPr>
          <w:rFonts w:eastAsia="TimesNewRoman" w:cs="Arial"/>
          <w:szCs w:val="20"/>
          <w:lang w:eastAsia="en-US"/>
        </w:rPr>
        <w:t xml:space="preserve">ść </w:t>
      </w:r>
      <w:r w:rsidRPr="00F557BB">
        <w:rPr>
          <w:rFonts w:eastAsia="Calibri" w:cs="Arial"/>
          <w:szCs w:val="20"/>
          <w:lang w:eastAsia="en-US"/>
        </w:rPr>
        <w:t>przelotów mi</w:t>
      </w:r>
      <w:r w:rsidRPr="00F557BB">
        <w:rPr>
          <w:rFonts w:eastAsia="TimesNewRoman" w:cs="Arial"/>
          <w:szCs w:val="20"/>
          <w:lang w:eastAsia="en-US"/>
        </w:rPr>
        <w:t>ę</w:t>
      </w:r>
      <w:r w:rsidRPr="00F557BB">
        <w:rPr>
          <w:rFonts w:eastAsia="Calibri" w:cs="Arial"/>
          <w:szCs w:val="20"/>
          <w:lang w:eastAsia="en-US"/>
        </w:rPr>
        <w:t>dzy s</w:t>
      </w:r>
      <w:r w:rsidRPr="00F557BB">
        <w:rPr>
          <w:rFonts w:eastAsia="TimesNewRoman" w:cs="Arial"/>
          <w:szCs w:val="20"/>
          <w:lang w:eastAsia="en-US"/>
        </w:rPr>
        <w:t>ą</w:t>
      </w:r>
      <w:r w:rsidRPr="00F557BB">
        <w:rPr>
          <w:rFonts w:eastAsia="Calibri" w:cs="Arial"/>
          <w:szCs w:val="20"/>
          <w:lang w:eastAsia="en-US"/>
        </w:rPr>
        <w:t>siednimi studniami zachowa</w:t>
      </w:r>
      <w:r w:rsidRPr="00F557BB">
        <w:rPr>
          <w:rFonts w:eastAsia="TimesNewRoman" w:cs="Arial"/>
          <w:szCs w:val="20"/>
          <w:lang w:eastAsia="en-US"/>
        </w:rPr>
        <w:t xml:space="preserve">ć </w:t>
      </w:r>
      <w:r w:rsidRPr="00F557BB">
        <w:rPr>
          <w:rFonts w:eastAsia="Calibri" w:cs="Arial"/>
          <w:szCs w:val="20"/>
          <w:lang w:eastAsia="en-US"/>
        </w:rPr>
        <w:t>zgodnie z projektem wykonawczym.</w:t>
      </w:r>
    </w:p>
    <w:p w14:paraId="0DBB034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Gł</w:t>
      </w:r>
      <w:r w:rsidRPr="00F557BB">
        <w:rPr>
          <w:rFonts w:eastAsia="TimesNewRoman" w:cs="Arial"/>
          <w:szCs w:val="20"/>
          <w:lang w:eastAsia="en-US"/>
        </w:rPr>
        <w:t>ę</w:t>
      </w:r>
      <w:r w:rsidRPr="00F557BB">
        <w:rPr>
          <w:rFonts w:eastAsia="Calibri" w:cs="Arial"/>
          <w:szCs w:val="20"/>
          <w:lang w:eastAsia="en-US"/>
        </w:rPr>
        <w:t>boko</w:t>
      </w:r>
      <w:r w:rsidRPr="00F557BB">
        <w:rPr>
          <w:rFonts w:eastAsia="TimesNewRoman" w:cs="Arial"/>
          <w:szCs w:val="20"/>
          <w:lang w:eastAsia="en-US"/>
        </w:rPr>
        <w:t xml:space="preserve">ść </w:t>
      </w:r>
      <w:r w:rsidRPr="00F557BB">
        <w:rPr>
          <w:rFonts w:eastAsia="Calibri" w:cs="Arial"/>
          <w:szCs w:val="20"/>
          <w:lang w:eastAsia="en-US"/>
        </w:rPr>
        <w:t>uło</w:t>
      </w:r>
      <w:r w:rsidRPr="00F557BB">
        <w:rPr>
          <w:rFonts w:eastAsia="TimesNewRoman" w:cs="Arial"/>
          <w:szCs w:val="20"/>
          <w:lang w:eastAsia="en-US"/>
        </w:rPr>
        <w:t>ż</w:t>
      </w:r>
      <w:r w:rsidRPr="00F557BB">
        <w:rPr>
          <w:rFonts w:eastAsia="Calibri" w:cs="Arial"/>
          <w:szCs w:val="20"/>
          <w:lang w:eastAsia="en-US"/>
        </w:rPr>
        <w:t>enia kanalizacji</w:t>
      </w:r>
    </w:p>
    <w:p w14:paraId="5A7A18C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Gł</w:t>
      </w:r>
      <w:r w:rsidRPr="00F557BB">
        <w:rPr>
          <w:rFonts w:eastAsia="TimesNewRoman" w:cs="Arial"/>
          <w:szCs w:val="20"/>
          <w:lang w:eastAsia="en-US"/>
        </w:rPr>
        <w:t>ę</w:t>
      </w:r>
      <w:r w:rsidRPr="00F557BB">
        <w:rPr>
          <w:rFonts w:eastAsia="Calibri" w:cs="Arial"/>
          <w:szCs w:val="20"/>
          <w:lang w:eastAsia="en-US"/>
        </w:rPr>
        <w:t>boko</w:t>
      </w:r>
      <w:r w:rsidRPr="00F557BB">
        <w:rPr>
          <w:rFonts w:eastAsia="TimesNewRoman" w:cs="Arial"/>
          <w:szCs w:val="20"/>
          <w:lang w:eastAsia="en-US"/>
        </w:rPr>
        <w:t xml:space="preserve">ść </w:t>
      </w:r>
      <w:r w:rsidRPr="00F557BB">
        <w:rPr>
          <w:rFonts w:eastAsia="Calibri" w:cs="Arial"/>
          <w:szCs w:val="20"/>
          <w:lang w:eastAsia="en-US"/>
        </w:rPr>
        <w:t>uło</w:t>
      </w:r>
      <w:r w:rsidRPr="00F557BB">
        <w:rPr>
          <w:rFonts w:eastAsia="TimesNewRoman" w:cs="Arial"/>
          <w:szCs w:val="20"/>
          <w:lang w:eastAsia="en-US"/>
        </w:rPr>
        <w:t>ż</w:t>
      </w:r>
      <w:r w:rsidRPr="00F557BB">
        <w:rPr>
          <w:rFonts w:eastAsia="Calibri" w:cs="Arial"/>
          <w:szCs w:val="20"/>
          <w:lang w:eastAsia="en-US"/>
        </w:rPr>
        <w:t>enia kanalizacji powinna by</w:t>
      </w:r>
      <w:r w:rsidRPr="00F557BB">
        <w:rPr>
          <w:rFonts w:eastAsia="TimesNewRoman" w:cs="Arial"/>
          <w:szCs w:val="20"/>
          <w:lang w:eastAsia="en-US"/>
        </w:rPr>
        <w:t xml:space="preserve">ć </w:t>
      </w:r>
      <w:r w:rsidRPr="00F557BB">
        <w:rPr>
          <w:rFonts w:eastAsia="Calibri" w:cs="Arial"/>
          <w:szCs w:val="20"/>
          <w:lang w:eastAsia="en-US"/>
        </w:rPr>
        <w:t>taka, aby najmniejsze pokrycie liczone od poziomu</w:t>
      </w:r>
    </w:p>
    <w:p w14:paraId="1916786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terenu lub chodnika do górnej powierzchni kanalizacji wynosiło 0,7 m dla kanalizacji</w:t>
      </w:r>
    </w:p>
    <w:p w14:paraId="0E15813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magistralnej. Przy przej</w:t>
      </w:r>
      <w:r w:rsidRPr="00F557BB">
        <w:rPr>
          <w:rFonts w:eastAsia="TimesNewRoman" w:cs="Arial"/>
          <w:szCs w:val="20"/>
          <w:lang w:eastAsia="en-US"/>
        </w:rPr>
        <w:t>ś</w:t>
      </w:r>
      <w:r w:rsidRPr="00F557BB">
        <w:rPr>
          <w:rFonts w:eastAsia="Calibri" w:cs="Arial"/>
          <w:szCs w:val="20"/>
          <w:lang w:eastAsia="en-US"/>
        </w:rPr>
        <w:t>ciach pod jezdni</w:t>
      </w:r>
      <w:r w:rsidRPr="00F557BB">
        <w:rPr>
          <w:rFonts w:eastAsia="TimesNewRoman" w:cs="Arial"/>
          <w:szCs w:val="20"/>
          <w:lang w:eastAsia="en-US"/>
        </w:rPr>
        <w:t xml:space="preserve">ą </w:t>
      </w:r>
      <w:r w:rsidRPr="00F557BB">
        <w:rPr>
          <w:rFonts w:eastAsia="Calibri" w:cs="Arial"/>
          <w:szCs w:val="20"/>
          <w:lang w:eastAsia="en-US"/>
        </w:rPr>
        <w:t>gł</w:t>
      </w:r>
      <w:r w:rsidRPr="00F557BB">
        <w:rPr>
          <w:rFonts w:eastAsia="TimesNewRoman" w:cs="Arial"/>
          <w:szCs w:val="20"/>
          <w:lang w:eastAsia="en-US"/>
        </w:rPr>
        <w:t>ę</w:t>
      </w:r>
      <w:r w:rsidRPr="00F557BB">
        <w:rPr>
          <w:rFonts w:eastAsia="Calibri" w:cs="Arial"/>
          <w:szCs w:val="20"/>
          <w:lang w:eastAsia="en-US"/>
        </w:rPr>
        <w:t>boko</w:t>
      </w:r>
      <w:r w:rsidRPr="00F557BB">
        <w:rPr>
          <w:rFonts w:eastAsia="TimesNewRoman" w:cs="Arial"/>
          <w:szCs w:val="20"/>
          <w:lang w:eastAsia="en-US"/>
        </w:rPr>
        <w:t xml:space="preserve">ść </w:t>
      </w:r>
      <w:r w:rsidRPr="00F557BB">
        <w:rPr>
          <w:rFonts w:eastAsia="Calibri" w:cs="Arial"/>
          <w:szCs w:val="20"/>
          <w:lang w:eastAsia="en-US"/>
        </w:rPr>
        <w:t>uło</w:t>
      </w:r>
      <w:r w:rsidRPr="00F557BB">
        <w:rPr>
          <w:rFonts w:eastAsia="TimesNewRoman" w:cs="Arial"/>
          <w:szCs w:val="20"/>
          <w:lang w:eastAsia="en-US"/>
        </w:rPr>
        <w:t>ż</w:t>
      </w:r>
      <w:r w:rsidRPr="00F557BB">
        <w:rPr>
          <w:rFonts w:eastAsia="Calibri" w:cs="Arial"/>
          <w:szCs w:val="20"/>
          <w:lang w:eastAsia="en-US"/>
        </w:rPr>
        <w:t>enia kanalizacji powinna by</w:t>
      </w:r>
      <w:r w:rsidRPr="00F557BB">
        <w:rPr>
          <w:rFonts w:eastAsia="TimesNewRoman" w:cs="Arial"/>
          <w:szCs w:val="20"/>
          <w:lang w:eastAsia="en-US"/>
        </w:rPr>
        <w:t xml:space="preserve">ć </w:t>
      </w:r>
      <w:r w:rsidRPr="00F557BB">
        <w:rPr>
          <w:rFonts w:eastAsia="Calibri" w:cs="Arial"/>
          <w:szCs w:val="20"/>
          <w:lang w:eastAsia="en-US"/>
        </w:rPr>
        <w:t>taka, aby</w:t>
      </w:r>
    </w:p>
    <w:p w14:paraId="6A0A587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odległo</w:t>
      </w:r>
      <w:r w:rsidRPr="00F557BB">
        <w:rPr>
          <w:rFonts w:eastAsia="TimesNewRoman" w:cs="Arial"/>
          <w:szCs w:val="20"/>
          <w:lang w:eastAsia="en-US"/>
        </w:rPr>
        <w:t xml:space="preserve">ść </w:t>
      </w:r>
      <w:r w:rsidRPr="00F557BB">
        <w:rPr>
          <w:rFonts w:eastAsia="Calibri" w:cs="Arial"/>
          <w:szCs w:val="20"/>
          <w:lang w:eastAsia="en-US"/>
        </w:rPr>
        <w:t>od nawierzchni nie była mniejsza od 0,8 m. W przypadkach uwarunkowanych</w:t>
      </w:r>
    </w:p>
    <w:p w14:paraId="29EFDBD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trudno</w:t>
      </w:r>
      <w:r w:rsidRPr="00F557BB">
        <w:rPr>
          <w:rFonts w:eastAsia="TimesNewRoman" w:cs="Arial"/>
          <w:szCs w:val="20"/>
          <w:lang w:eastAsia="en-US"/>
        </w:rPr>
        <w:t>ś</w:t>
      </w:r>
      <w:r w:rsidRPr="00F557BB">
        <w:rPr>
          <w:rFonts w:eastAsia="Calibri" w:cs="Arial"/>
          <w:szCs w:val="20"/>
          <w:lang w:eastAsia="en-US"/>
        </w:rPr>
        <w:t>ciami technicznymi dopuszcza si</w:t>
      </w:r>
      <w:r w:rsidRPr="00F557BB">
        <w:rPr>
          <w:rFonts w:eastAsia="TimesNewRoman" w:cs="Arial"/>
          <w:szCs w:val="20"/>
          <w:lang w:eastAsia="en-US"/>
        </w:rPr>
        <w:t xml:space="preserve">ę </w:t>
      </w:r>
      <w:r w:rsidRPr="00F557BB">
        <w:rPr>
          <w:rFonts w:eastAsia="Calibri" w:cs="Arial"/>
          <w:szCs w:val="20"/>
          <w:lang w:eastAsia="en-US"/>
        </w:rPr>
        <w:t>zmniejszenie gł</w:t>
      </w:r>
      <w:r w:rsidRPr="00F557BB">
        <w:rPr>
          <w:rFonts w:eastAsia="TimesNewRoman" w:cs="Arial"/>
          <w:szCs w:val="20"/>
          <w:lang w:eastAsia="en-US"/>
        </w:rPr>
        <w:t>ę</w:t>
      </w:r>
      <w:r w:rsidRPr="00F557BB">
        <w:rPr>
          <w:rFonts w:eastAsia="Calibri" w:cs="Arial"/>
          <w:szCs w:val="20"/>
          <w:lang w:eastAsia="en-US"/>
        </w:rPr>
        <w:t>boko</w:t>
      </w:r>
      <w:r w:rsidRPr="00F557BB">
        <w:rPr>
          <w:rFonts w:eastAsia="TimesNewRoman" w:cs="Arial"/>
          <w:szCs w:val="20"/>
          <w:lang w:eastAsia="en-US"/>
        </w:rPr>
        <w:t>ś</w:t>
      </w:r>
      <w:r w:rsidRPr="00F557BB">
        <w:rPr>
          <w:rFonts w:eastAsia="Calibri" w:cs="Arial"/>
          <w:szCs w:val="20"/>
          <w:lang w:eastAsia="en-US"/>
        </w:rPr>
        <w:t>ci uło</w:t>
      </w:r>
      <w:r w:rsidRPr="00F557BB">
        <w:rPr>
          <w:rFonts w:eastAsia="TimesNewRoman" w:cs="Arial"/>
          <w:szCs w:val="20"/>
          <w:lang w:eastAsia="en-US"/>
        </w:rPr>
        <w:t>ż</w:t>
      </w:r>
      <w:r w:rsidRPr="00F557BB">
        <w:rPr>
          <w:rFonts w:eastAsia="Calibri" w:cs="Arial"/>
          <w:szCs w:val="20"/>
          <w:lang w:eastAsia="en-US"/>
        </w:rPr>
        <w:t>enia kanalizacji do 0,4 m.</w:t>
      </w:r>
    </w:p>
    <w:p w14:paraId="71D28DF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Prostoliniowo</w:t>
      </w:r>
      <w:r w:rsidRPr="00F557BB">
        <w:rPr>
          <w:rFonts w:eastAsia="TimesNewRoman" w:cs="Arial"/>
          <w:szCs w:val="20"/>
          <w:lang w:eastAsia="en-US"/>
        </w:rPr>
        <w:t xml:space="preserve">ść </w:t>
      </w:r>
      <w:r w:rsidRPr="00F557BB">
        <w:rPr>
          <w:rFonts w:eastAsia="Calibri" w:cs="Arial"/>
          <w:szCs w:val="20"/>
          <w:lang w:eastAsia="en-US"/>
        </w:rPr>
        <w:t>przebiegu</w:t>
      </w:r>
    </w:p>
    <w:p w14:paraId="359C3C8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Kanalizacja powinna, na odcinkach mi</w:t>
      </w:r>
      <w:r w:rsidRPr="00F557BB">
        <w:rPr>
          <w:rFonts w:eastAsia="TimesNewRoman" w:cs="Arial"/>
          <w:szCs w:val="20"/>
          <w:lang w:eastAsia="en-US"/>
        </w:rPr>
        <w:t>ę</w:t>
      </w:r>
      <w:r w:rsidRPr="00F557BB">
        <w:rPr>
          <w:rFonts w:eastAsia="Calibri" w:cs="Arial"/>
          <w:szCs w:val="20"/>
          <w:lang w:eastAsia="en-US"/>
        </w:rPr>
        <w:t>dzy s</w:t>
      </w:r>
      <w:r w:rsidRPr="00F557BB">
        <w:rPr>
          <w:rFonts w:eastAsia="TimesNewRoman" w:cs="Arial"/>
          <w:szCs w:val="20"/>
          <w:lang w:eastAsia="en-US"/>
        </w:rPr>
        <w:t>ą</w:t>
      </w:r>
      <w:r w:rsidRPr="00F557BB">
        <w:rPr>
          <w:rFonts w:eastAsia="Calibri" w:cs="Arial"/>
          <w:szCs w:val="20"/>
          <w:lang w:eastAsia="en-US"/>
        </w:rPr>
        <w:t>siednimi studniami, przebiega</w:t>
      </w:r>
      <w:r w:rsidRPr="00F557BB">
        <w:rPr>
          <w:rFonts w:eastAsia="TimesNewRoman" w:cs="Arial"/>
          <w:szCs w:val="20"/>
          <w:lang w:eastAsia="en-US"/>
        </w:rPr>
        <w:t xml:space="preserve">ć </w:t>
      </w:r>
      <w:r w:rsidRPr="00F557BB">
        <w:rPr>
          <w:rFonts w:eastAsia="Calibri" w:cs="Arial"/>
          <w:szCs w:val="20"/>
          <w:lang w:eastAsia="en-US"/>
        </w:rPr>
        <w:t>po linii prostej.</w:t>
      </w:r>
    </w:p>
    <w:p w14:paraId="45CAE92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Dopuszczalne odchylenia osi kanalizacji od linii prostej dotycz</w:t>
      </w:r>
      <w:r w:rsidRPr="00F557BB">
        <w:rPr>
          <w:rFonts w:eastAsia="TimesNewRoman" w:cs="Arial"/>
          <w:szCs w:val="20"/>
          <w:lang w:eastAsia="en-US"/>
        </w:rPr>
        <w:t xml:space="preserve">ą </w:t>
      </w:r>
      <w:r w:rsidRPr="00F557BB">
        <w:rPr>
          <w:rFonts w:eastAsia="Calibri" w:cs="Arial"/>
          <w:szCs w:val="20"/>
          <w:lang w:eastAsia="en-US"/>
        </w:rPr>
        <w:t>miejsc, w których konieczne</w:t>
      </w:r>
    </w:p>
    <w:p w14:paraId="145E418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jest omini</w:t>
      </w:r>
      <w:r w:rsidRPr="00F557BB">
        <w:rPr>
          <w:rFonts w:eastAsia="TimesNewRoman" w:cs="Arial"/>
          <w:szCs w:val="20"/>
          <w:lang w:eastAsia="en-US"/>
        </w:rPr>
        <w:t>ę</w:t>
      </w:r>
      <w:r w:rsidRPr="00F557BB">
        <w:rPr>
          <w:rFonts w:eastAsia="Calibri" w:cs="Arial"/>
          <w:szCs w:val="20"/>
          <w:lang w:eastAsia="en-US"/>
        </w:rPr>
        <w:t>cie przeszkód terenowych. W celu omini</w:t>
      </w:r>
      <w:r w:rsidRPr="00F557BB">
        <w:rPr>
          <w:rFonts w:eastAsia="TimesNewRoman" w:cs="Arial"/>
          <w:szCs w:val="20"/>
          <w:lang w:eastAsia="en-US"/>
        </w:rPr>
        <w:t>ę</w:t>
      </w:r>
      <w:r w:rsidRPr="00F557BB">
        <w:rPr>
          <w:rFonts w:eastAsia="Calibri" w:cs="Arial"/>
          <w:szCs w:val="20"/>
          <w:lang w:eastAsia="en-US"/>
        </w:rPr>
        <w:t>cia przeszkód ci</w:t>
      </w:r>
      <w:r w:rsidRPr="00F557BB">
        <w:rPr>
          <w:rFonts w:eastAsia="TimesNewRoman" w:cs="Arial"/>
          <w:szCs w:val="20"/>
          <w:lang w:eastAsia="en-US"/>
        </w:rPr>
        <w:t>ą</w:t>
      </w:r>
      <w:r w:rsidRPr="00F557BB">
        <w:rPr>
          <w:rFonts w:eastAsia="Calibri" w:cs="Arial"/>
          <w:szCs w:val="20"/>
          <w:lang w:eastAsia="en-US"/>
        </w:rPr>
        <w:t>gi kanalizacji z rur z</w:t>
      </w:r>
    </w:p>
    <w:p w14:paraId="7F05784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tworzyw sztucznych mog</w:t>
      </w:r>
      <w:r w:rsidRPr="00F557BB">
        <w:rPr>
          <w:rFonts w:eastAsia="TimesNewRoman" w:cs="Arial"/>
          <w:szCs w:val="20"/>
          <w:lang w:eastAsia="en-US"/>
        </w:rPr>
        <w:t xml:space="preserve">ą </w:t>
      </w:r>
      <w:r w:rsidRPr="00F557BB">
        <w:rPr>
          <w:rFonts w:eastAsia="Calibri" w:cs="Arial"/>
          <w:szCs w:val="20"/>
          <w:lang w:eastAsia="en-US"/>
        </w:rPr>
        <w:t>by</w:t>
      </w:r>
      <w:r w:rsidRPr="00F557BB">
        <w:rPr>
          <w:rFonts w:eastAsia="TimesNewRoman" w:cs="Arial"/>
          <w:szCs w:val="20"/>
          <w:lang w:eastAsia="en-US"/>
        </w:rPr>
        <w:t xml:space="preserve">ć </w:t>
      </w:r>
      <w:r w:rsidRPr="00F557BB">
        <w:rPr>
          <w:rFonts w:eastAsia="Calibri" w:cs="Arial"/>
          <w:szCs w:val="20"/>
          <w:lang w:eastAsia="en-US"/>
        </w:rPr>
        <w:t>wygi</w:t>
      </w:r>
      <w:r w:rsidRPr="00F557BB">
        <w:rPr>
          <w:rFonts w:eastAsia="TimesNewRoman" w:cs="Arial"/>
          <w:szCs w:val="20"/>
          <w:lang w:eastAsia="en-US"/>
        </w:rPr>
        <w:t>ę</w:t>
      </w:r>
      <w:r w:rsidRPr="00F557BB">
        <w:rPr>
          <w:rFonts w:eastAsia="Calibri" w:cs="Arial"/>
          <w:szCs w:val="20"/>
          <w:lang w:eastAsia="en-US"/>
        </w:rPr>
        <w:t>te tak, aby promie</w:t>
      </w:r>
      <w:r w:rsidRPr="00F557BB">
        <w:rPr>
          <w:rFonts w:eastAsia="TimesNewRoman" w:cs="Arial"/>
          <w:szCs w:val="20"/>
          <w:lang w:eastAsia="en-US"/>
        </w:rPr>
        <w:t xml:space="preserve">ń </w:t>
      </w:r>
      <w:r w:rsidRPr="00F557BB">
        <w:rPr>
          <w:rFonts w:eastAsia="Calibri" w:cs="Arial"/>
          <w:szCs w:val="20"/>
          <w:lang w:eastAsia="en-US"/>
        </w:rPr>
        <w:t>wygi</w:t>
      </w:r>
      <w:r w:rsidRPr="00F557BB">
        <w:rPr>
          <w:rFonts w:eastAsia="TimesNewRoman" w:cs="Arial"/>
          <w:szCs w:val="20"/>
          <w:lang w:eastAsia="en-US"/>
        </w:rPr>
        <w:t>ę</w:t>
      </w:r>
      <w:r w:rsidRPr="00F557BB">
        <w:rPr>
          <w:rFonts w:eastAsia="Calibri" w:cs="Arial"/>
          <w:szCs w:val="20"/>
          <w:lang w:eastAsia="en-US"/>
        </w:rPr>
        <w:t>cia nie był mniejszy od 6 m. W</w:t>
      </w:r>
    </w:p>
    <w:p w14:paraId="0FE4A652"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uzasadnionych przypadkach dopuszcza si</w:t>
      </w:r>
      <w:r w:rsidRPr="00F557BB">
        <w:rPr>
          <w:rFonts w:eastAsia="TimesNewRoman" w:cs="Arial"/>
          <w:szCs w:val="20"/>
          <w:lang w:eastAsia="en-US"/>
        </w:rPr>
        <w:t xml:space="preserve">ę </w:t>
      </w:r>
      <w:r w:rsidRPr="00F557BB">
        <w:rPr>
          <w:rFonts w:eastAsia="Calibri" w:cs="Arial"/>
          <w:szCs w:val="20"/>
          <w:lang w:eastAsia="en-US"/>
        </w:rPr>
        <w:t>promie</w:t>
      </w:r>
      <w:r w:rsidRPr="00F557BB">
        <w:rPr>
          <w:rFonts w:eastAsia="TimesNewRoman" w:cs="Arial"/>
          <w:szCs w:val="20"/>
          <w:lang w:eastAsia="en-US"/>
        </w:rPr>
        <w:t xml:space="preserve">ń </w:t>
      </w:r>
      <w:r w:rsidRPr="00F557BB">
        <w:rPr>
          <w:rFonts w:eastAsia="Calibri" w:cs="Arial"/>
          <w:szCs w:val="20"/>
          <w:lang w:eastAsia="en-US"/>
        </w:rPr>
        <w:t>wygi</w:t>
      </w:r>
      <w:r w:rsidRPr="00F557BB">
        <w:rPr>
          <w:rFonts w:eastAsia="TimesNewRoman" w:cs="Arial"/>
          <w:szCs w:val="20"/>
          <w:lang w:eastAsia="en-US"/>
        </w:rPr>
        <w:t>ę</w:t>
      </w:r>
      <w:r w:rsidRPr="00F557BB">
        <w:rPr>
          <w:rFonts w:eastAsia="Calibri" w:cs="Arial"/>
          <w:szCs w:val="20"/>
          <w:lang w:eastAsia="en-US"/>
        </w:rPr>
        <w:t>cia mniejszy nale</w:t>
      </w:r>
      <w:r w:rsidRPr="00F557BB">
        <w:rPr>
          <w:rFonts w:eastAsia="TimesNewRoman" w:cs="Arial"/>
          <w:szCs w:val="20"/>
          <w:lang w:eastAsia="en-US"/>
        </w:rPr>
        <w:t>ż</w:t>
      </w:r>
      <w:r w:rsidRPr="00F557BB">
        <w:rPr>
          <w:rFonts w:eastAsia="Calibri" w:cs="Arial"/>
          <w:szCs w:val="20"/>
          <w:lang w:eastAsia="en-US"/>
        </w:rPr>
        <w:t>y wtedy stosowa</w:t>
      </w:r>
      <w:r w:rsidRPr="00F557BB">
        <w:rPr>
          <w:rFonts w:eastAsia="TimesNewRoman" w:cs="Arial"/>
          <w:szCs w:val="20"/>
          <w:lang w:eastAsia="en-US"/>
        </w:rPr>
        <w:t>ć</w:t>
      </w:r>
    </w:p>
    <w:p w14:paraId="51CD5FF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rury karbowane typu DVR110.</w:t>
      </w:r>
    </w:p>
    <w:p w14:paraId="4EE69DA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Spadek kanalizacji</w:t>
      </w:r>
    </w:p>
    <w:p w14:paraId="003C031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Kanalizacja powinna by</w:t>
      </w:r>
      <w:r w:rsidRPr="00F557BB">
        <w:rPr>
          <w:rFonts w:eastAsia="TimesNewRoman" w:cs="Arial"/>
          <w:szCs w:val="20"/>
          <w:lang w:eastAsia="en-US"/>
        </w:rPr>
        <w:t xml:space="preserve">ć </w:t>
      </w:r>
      <w:r w:rsidRPr="00F557BB">
        <w:rPr>
          <w:rFonts w:eastAsia="Calibri" w:cs="Arial"/>
          <w:szCs w:val="20"/>
          <w:lang w:eastAsia="en-US"/>
        </w:rPr>
        <w:t>układana ze spadkiem od 1 do 3%. Przy wprowadzaniu do komór</w:t>
      </w:r>
    </w:p>
    <w:p w14:paraId="194F4BE5"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kablowych spadek mo</w:t>
      </w:r>
      <w:r w:rsidRPr="00F557BB">
        <w:rPr>
          <w:rFonts w:eastAsia="TimesNewRoman" w:cs="Arial"/>
          <w:szCs w:val="20"/>
          <w:lang w:eastAsia="en-US"/>
        </w:rPr>
        <w:t>ż</w:t>
      </w:r>
      <w:r w:rsidRPr="00F557BB">
        <w:rPr>
          <w:rFonts w:eastAsia="Calibri" w:cs="Arial"/>
          <w:szCs w:val="20"/>
          <w:lang w:eastAsia="en-US"/>
        </w:rPr>
        <w:t>na zwi</w:t>
      </w:r>
      <w:r w:rsidRPr="00F557BB">
        <w:rPr>
          <w:rFonts w:eastAsia="TimesNewRoman" w:cs="Arial"/>
          <w:szCs w:val="20"/>
          <w:lang w:eastAsia="en-US"/>
        </w:rPr>
        <w:t>ę</w:t>
      </w:r>
      <w:r w:rsidRPr="00F557BB">
        <w:rPr>
          <w:rFonts w:eastAsia="Calibri" w:cs="Arial"/>
          <w:szCs w:val="20"/>
          <w:lang w:eastAsia="en-US"/>
        </w:rPr>
        <w:t>kszy</w:t>
      </w:r>
      <w:r w:rsidRPr="00F557BB">
        <w:rPr>
          <w:rFonts w:eastAsia="TimesNewRoman" w:cs="Arial"/>
          <w:szCs w:val="20"/>
          <w:lang w:eastAsia="en-US"/>
        </w:rPr>
        <w:t xml:space="preserve">ć </w:t>
      </w:r>
      <w:r w:rsidRPr="00F557BB">
        <w:rPr>
          <w:rFonts w:eastAsia="Calibri" w:cs="Arial"/>
          <w:szCs w:val="20"/>
          <w:lang w:eastAsia="en-US"/>
        </w:rPr>
        <w:t>do 2%, a do budynków do 5%.</w:t>
      </w:r>
    </w:p>
    <w:p w14:paraId="121F4F10"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5.1.1. Ciągi kanalizacji</w:t>
      </w:r>
    </w:p>
    <w:p w14:paraId="5628C38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Wymagania ogólne</w:t>
      </w:r>
    </w:p>
    <w:p w14:paraId="74E0FBB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Ilo</w:t>
      </w:r>
      <w:r w:rsidRPr="00F557BB">
        <w:rPr>
          <w:rFonts w:eastAsia="TimesNewRoman" w:cs="Arial"/>
          <w:szCs w:val="20"/>
          <w:lang w:eastAsia="en-US"/>
        </w:rPr>
        <w:t xml:space="preserve">ść </w:t>
      </w:r>
      <w:r w:rsidRPr="00F557BB">
        <w:rPr>
          <w:rFonts w:eastAsia="Calibri" w:cs="Arial"/>
          <w:szCs w:val="20"/>
          <w:lang w:eastAsia="en-US"/>
        </w:rPr>
        <w:t>otworów kanalizacji powinna by</w:t>
      </w:r>
      <w:r w:rsidRPr="00F557BB">
        <w:rPr>
          <w:rFonts w:eastAsia="TimesNewRoman" w:cs="Arial"/>
          <w:szCs w:val="20"/>
          <w:lang w:eastAsia="en-US"/>
        </w:rPr>
        <w:t xml:space="preserve">ć </w:t>
      </w:r>
      <w:r w:rsidRPr="00F557BB">
        <w:rPr>
          <w:rFonts w:eastAsia="Calibri" w:cs="Arial"/>
          <w:szCs w:val="20"/>
          <w:lang w:eastAsia="en-US"/>
        </w:rPr>
        <w:t>zgodna z projektem wykonawczym.</w:t>
      </w:r>
    </w:p>
    <w:p w14:paraId="7625955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 Zestawy z rur </w:t>
      </w:r>
      <w:proofErr w:type="spellStart"/>
      <w:r w:rsidRPr="00F557BB">
        <w:rPr>
          <w:rFonts w:eastAsia="Calibri" w:cs="Arial"/>
          <w:szCs w:val="20"/>
          <w:lang w:eastAsia="en-US"/>
        </w:rPr>
        <w:t>RHDPEp</w:t>
      </w:r>
      <w:proofErr w:type="spellEnd"/>
    </w:p>
    <w:p w14:paraId="1ADE056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 budowy kanalizacji pod drogami nale</w:t>
      </w:r>
      <w:r w:rsidRPr="00F557BB">
        <w:rPr>
          <w:rFonts w:eastAsia="TimesNewRoman" w:cs="Arial"/>
          <w:szCs w:val="20"/>
          <w:lang w:eastAsia="en-US"/>
        </w:rPr>
        <w:t>ż</w:t>
      </w:r>
      <w:r w:rsidRPr="00F557BB">
        <w:rPr>
          <w:rFonts w:eastAsia="Calibri" w:cs="Arial"/>
          <w:szCs w:val="20"/>
          <w:lang w:eastAsia="en-US"/>
        </w:rPr>
        <w:t>y stosowa</w:t>
      </w:r>
      <w:r w:rsidRPr="00F557BB">
        <w:rPr>
          <w:rFonts w:eastAsia="TimesNewRoman" w:cs="Arial"/>
          <w:szCs w:val="20"/>
          <w:lang w:eastAsia="en-US"/>
        </w:rPr>
        <w:t xml:space="preserve">ć </w:t>
      </w:r>
      <w:r w:rsidRPr="00F557BB">
        <w:rPr>
          <w:rFonts w:eastAsia="Calibri" w:cs="Arial"/>
          <w:szCs w:val="20"/>
          <w:lang w:eastAsia="en-US"/>
        </w:rPr>
        <w:t>rury z polietylenu wysokiej g</w:t>
      </w:r>
      <w:r w:rsidRPr="00F557BB">
        <w:rPr>
          <w:rFonts w:eastAsia="TimesNewRoman" w:cs="Arial"/>
          <w:szCs w:val="20"/>
          <w:lang w:eastAsia="en-US"/>
        </w:rPr>
        <w:t>ę</w:t>
      </w:r>
      <w:r w:rsidRPr="00F557BB">
        <w:rPr>
          <w:rFonts w:eastAsia="Calibri" w:cs="Arial"/>
          <w:szCs w:val="20"/>
          <w:lang w:eastAsia="en-US"/>
        </w:rPr>
        <w:t>sto</w:t>
      </w:r>
      <w:r w:rsidRPr="00F557BB">
        <w:rPr>
          <w:rFonts w:eastAsia="TimesNewRoman" w:cs="Arial"/>
          <w:szCs w:val="20"/>
          <w:lang w:eastAsia="en-US"/>
        </w:rPr>
        <w:t>ś</w:t>
      </w:r>
      <w:r w:rsidRPr="00F557BB">
        <w:rPr>
          <w:rFonts w:eastAsia="Calibri" w:cs="Arial"/>
          <w:szCs w:val="20"/>
          <w:lang w:eastAsia="en-US"/>
        </w:rPr>
        <w:t>ci o</w:t>
      </w:r>
    </w:p>
    <w:p w14:paraId="5281936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TimesNewRoman" w:cs="Arial"/>
          <w:szCs w:val="20"/>
          <w:lang w:eastAsia="en-US"/>
        </w:rPr>
        <w:t>ś</w:t>
      </w:r>
      <w:r w:rsidRPr="00F557BB">
        <w:rPr>
          <w:rFonts w:eastAsia="Calibri" w:cs="Arial"/>
          <w:szCs w:val="20"/>
          <w:lang w:eastAsia="en-US"/>
        </w:rPr>
        <w:t>rednicy 110 mm wg ZN-96/TPSA-018 [39].</w:t>
      </w:r>
    </w:p>
    <w:p w14:paraId="5000106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Zestawy z rur karbowanych DVR</w:t>
      </w:r>
    </w:p>
    <w:p w14:paraId="2D83598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 budowy kanalizacji kablowej, w miejscach o małych obci</w:t>
      </w:r>
      <w:r w:rsidRPr="00F557BB">
        <w:rPr>
          <w:rFonts w:eastAsia="TimesNewRoman" w:cs="Arial"/>
          <w:szCs w:val="20"/>
          <w:lang w:eastAsia="en-US"/>
        </w:rPr>
        <w:t>ąż</w:t>
      </w:r>
      <w:r w:rsidRPr="00F557BB">
        <w:rPr>
          <w:rFonts w:eastAsia="Calibri" w:cs="Arial"/>
          <w:szCs w:val="20"/>
          <w:lang w:eastAsia="en-US"/>
        </w:rPr>
        <w:t>eniach, np.: pod chodnikami,</w:t>
      </w:r>
    </w:p>
    <w:p w14:paraId="230D61E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terenami zielonymi.</w:t>
      </w:r>
    </w:p>
    <w:p w14:paraId="5371FC63"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5.1.2. Roboty ziemne</w:t>
      </w:r>
    </w:p>
    <w:p w14:paraId="56EC4C8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Trasa kanalizacji</w:t>
      </w:r>
    </w:p>
    <w:p w14:paraId="424022A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Wytyczona w terenie trasa kanalizacji kablowej powinna by</w:t>
      </w:r>
      <w:r w:rsidRPr="00F557BB">
        <w:rPr>
          <w:rFonts w:eastAsia="TimesNewRoman" w:cs="Arial"/>
          <w:szCs w:val="20"/>
          <w:lang w:eastAsia="en-US"/>
        </w:rPr>
        <w:t xml:space="preserve">ć </w:t>
      </w:r>
      <w:r w:rsidRPr="00F557BB">
        <w:rPr>
          <w:rFonts w:eastAsia="Calibri" w:cs="Arial"/>
          <w:szCs w:val="20"/>
          <w:lang w:eastAsia="en-US"/>
        </w:rPr>
        <w:t>zgodna z podan</w:t>
      </w:r>
      <w:r w:rsidRPr="00F557BB">
        <w:rPr>
          <w:rFonts w:eastAsia="TimesNewRoman" w:cs="Arial"/>
          <w:szCs w:val="20"/>
          <w:lang w:eastAsia="en-US"/>
        </w:rPr>
        <w:t xml:space="preserve">ą </w:t>
      </w:r>
      <w:r w:rsidRPr="00F557BB">
        <w:rPr>
          <w:rFonts w:eastAsia="Calibri" w:cs="Arial"/>
          <w:szCs w:val="20"/>
          <w:lang w:eastAsia="en-US"/>
        </w:rPr>
        <w:t>w dokumentacji</w:t>
      </w:r>
    </w:p>
    <w:p w14:paraId="317ED53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projektowej.</w:t>
      </w:r>
    </w:p>
    <w:p w14:paraId="69C733D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Gł</w:t>
      </w:r>
      <w:r w:rsidRPr="00F557BB">
        <w:rPr>
          <w:rFonts w:eastAsia="TimesNewRoman" w:cs="Arial"/>
          <w:szCs w:val="20"/>
          <w:lang w:eastAsia="en-US"/>
        </w:rPr>
        <w:t>ę</w:t>
      </w:r>
      <w:r w:rsidRPr="00F557BB">
        <w:rPr>
          <w:rFonts w:eastAsia="Calibri" w:cs="Arial"/>
          <w:szCs w:val="20"/>
          <w:lang w:eastAsia="en-US"/>
        </w:rPr>
        <w:t>boko</w:t>
      </w:r>
      <w:r w:rsidRPr="00F557BB">
        <w:rPr>
          <w:rFonts w:eastAsia="TimesNewRoman" w:cs="Arial"/>
          <w:szCs w:val="20"/>
          <w:lang w:eastAsia="en-US"/>
        </w:rPr>
        <w:t xml:space="preserve">ść </w:t>
      </w:r>
      <w:r w:rsidRPr="00F557BB">
        <w:rPr>
          <w:rFonts w:eastAsia="Calibri" w:cs="Arial"/>
          <w:szCs w:val="20"/>
          <w:lang w:eastAsia="en-US"/>
        </w:rPr>
        <w:t>wykopów</w:t>
      </w:r>
    </w:p>
    <w:p w14:paraId="1A1C9F2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Gł</w:t>
      </w:r>
      <w:r w:rsidRPr="00F557BB">
        <w:rPr>
          <w:rFonts w:eastAsia="TimesNewRoman" w:cs="Arial"/>
          <w:szCs w:val="20"/>
          <w:lang w:eastAsia="en-US"/>
        </w:rPr>
        <w:t>ę</w:t>
      </w:r>
      <w:r w:rsidRPr="00F557BB">
        <w:rPr>
          <w:rFonts w:eastAsia="Calibri" w:cs="Arial"/>
          <w:szCs w:val="20"/>
          <w:lang w:eastAsia="en-US"/>
        </w:rPr>
        <w:t>boko</w:t>
      </w:r>
      <w:r w:rsidRPr="00F557BB">
        <w:rPr>
          <w:rFonts w:eastAsia="TimesNewRoman" w:cs="Arial"/>
          <w:szCs w:val="20"/>
          <w:lang w:eastAsia="en-US"/>
        </w:rPr>
        <w:t>ś</w:t>
      </w:r>
      <w:r w:rsidRPr="00F557BB">
        <w:rPr>
          <w:rFonts w:eastAsia="Calibri" w:cs="Arial"/>
          <w:szCs w:val="20"/>
          <w:lang w:eastAsia="en-US"/>
        </w:rPr>
        <w:t>ci wykopów podane s</w:t>
      </w:r>
      <w:r w:rsidRPr="00F557BB">
        <w:rPr>
          <w:rFonts w:eastAsia="TimesNewRoman" w:cs="Arial"/>
          <w:szCs w:val="20"/>
          <w:lang w:eastAsia="en-US"/>
        </w:rPr>
        <w:t xml:space="preserve">ą </w:t>
      </w:r>
      <w:r w:rsidRPr="00F557BB">
        <w:rPr>
          <w:rFonts w:eastAsia="Calibri" w:cs="Arial"/>
          <w:szCs w:val="20"/>
          <w:lang w:eastAsia="en-US"/>
        </w:rPr>
        <w:t>w tablicy 3 normy BN-73/8984-05 [22]. W przypadkach</w:t>
      </w:r>
    </w:p>
    <w:p w14:paraId="5712E2D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przewidywanej rozbudowy kanalizacji wykopy powinny by</w:t>
      </w:r>
      <w:r w:rsidRPr="00F557BB">
        <w:rPr>
          <w:rFonts w:eastAsia="TimesNewRoman" w:cs="Arial"/>
          <w:szCs w:val="20"/>
          <w:lang w:eastAsia="en-US"/>
        </w:rPr>
        <w:t xml:space="preserve">ć </w:t>
      </w:r>
      <w:r w:rsidRPr="00F557BB">
        <w:rPr>
          <w:rFonts w:eastAsia="Calibri" w:cs="Arial"/>
          <w:szCs w:val="20"/>
          <w:lang w:eastAsia="en-US"/>
        </w:rPr>
        <w:t>odpowiednio gł</w:t>
      </w:r>
      <w:r w:rsidRPr="00F557BB">
        <w:rPr>
          <w:rFonts w:eastAsia="TimesNewRoman" w:cs="Arial"/>
          <w:szCs w:val="20"/>
          <w:lang w:eastAsia="en-US"/>
        </w:rPr>
        <w:t>ę</w:t>
      </w:r>
      <w:r w:rsidRPr="00F557BB">
        <w:rPr>
          <w:rFonts w:eastAsia="Calibri" w:cs="Arial"/>
          <w:szCs w:val="20"/>
          <w:lang w:eastAsia="en-US"/>
        </w:rPr>
        <w:t>bsze.</w:t>
      </w:r>
    </w:p>
    <w:p w14:paraId="0A95A1C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Szeroko</w:t>
      </w:r>
      <w:r w:rsidRPr="00F557BB">
        <w:rPr>
          <w:rFonts w:eastAsia="TimesNewRoman" w:cs="Arial"/>
          <w:szCs w:val="20"/>
          <w:lang w:eastAsia="en-US"/>
        </w:rPr>
        <w:t xml:space="preserve">ść </w:t>
      </w:r>
      <w:r w:rsidRPr="00F557BB">
        <w:rPr>
          <w:rFonts w:eastAsia="Calibri" w:cs="Arial"/>
          <w:szCs w:val="20"/>
          <w:lang w:eastAsia="en-US"/>
        </w:rPr>
        <w:t>wykopów</w:t>
      </w:r>
    </w:p>
    <w:p w14:paraId="296D492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Szeroko</w:t>
      </w:r>
      <w:r w:rsidRPr="00F557BB">
        <w:rPr>
          <w:rFonts w:eastAsia="TimesNewRoman" w:cs="Arial"/>
          <w:szCs w:val="20"/>
          <w:lang w:eastAsia="en-US"/>
        </w:rPr>
        <w:t>ś</w:t>
      </w:r>
      <w:r w:rsidRPr="00F557BB">
        <w:rPr>
          <w:rFonts w:eastAsia="Calibri" w:cs="Arial"/>
          <w:szCs w:val="20"/>
          <w:lang w:eastAsia="en-US"/>
        </w:rPr>
        <w:t>ci wykopów podane s</w:t>
      </w:r>
      <w:r w:rsidRPr="00F557BB">
        <w:rPr>
          <w:rFonts w:eastAsia="TimesNewRoman" w:cs="Arial"/>
          <w:szCs w:val="20"/>
          <w:lang w:eastAsia="en-US"/>
        </w:rPr>
        <w:t xml:space="preserve">ą </w:t>
      </w:r>
      <w:r w:rsidRPr="00F557BB">
        <w:rPr>
          <w:rFonts w:eastAsia="Calibri" w:cs="Arial"/>
          <w:szCs w:val="20"/>
          <w:lang w:eastAsia="en-US"/>
        </w:rPr>
        <w:t>w tablicy 4 normy BN-73/8984-05 [22].</w:t>
      </w:r>
    </w:p>
    <w:p w14:paraId="609C5DE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Przygotowanie wykopów</w:t>
      </w:r>
    </w:p>
    <w:p w14:paraId="69CAF64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Wykopy powinny by</w:t>
      </w:r>
      <w:r w:rsidRPr="00F557BB">
        <w:rPr>
          <w:rFonts w:eastAsia="TimesNewRoman" w:cs="Arial"/>
          <w:szCs w:val="20"/>
          <w:lang w:eastAsia="en-US"/>
        </w:rPr>
        <w:t xml:space="preserve">ć </w:t>
      </w:r>
      <w:r w:rsidRPr="00F557BB">
        <w:rPr>
          <w:rFonts w:eastAsia="Calibri" w:cs="Arial"/>
          <w:szCs w:val="20"/>
          <w:lang w:eastAsia="en-US"/>
        </w:rPr>
        <w:t>tak przygotowane, aby spełniały wymagania podane w punkcie 5.9</w:t>
      </w:r>
    </w:p>
    <w:p w14:paraId="2A56E4B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normy BN-73/8984-05 [22]. </w:t>
      </w:r>
      <w:r w:rsidRPr="00F557BB">
        <w:rPr>
          <w:rFonts w:eastAsia="TimesNewRoman" w:cs="Arial"/>
          <w:szCs w:val="20"/>
          <w:lang w:eastAsia="en-US"/>
        </w:rPr>
        <w:t>Ś</w:t>
      </w:r>
      <w:r w:rsidRPr="00F557BB">
        <w:rPr>
          <w:rFonts w:eastAsia="Calibri" w:cs="Arial"/>
          <w:szCs w:val="20"/>
          <w:lang w:eastAsia="en-US"/>
        </w:rPr>
        <w:t>ciany wykopów powinny by</w:t>
      </w:r>
      <w:r w:rsidRPr="00F557BB">
        <w:rPr>
          <w:rFonts w:eastAsia="TimesNewRoman" w:cs="Arial"/>
          <w:szCs w:val="20"/>
          <w:lang w:eastAsia="en-US"/>
        </w:rPr>
        <w:t xml:space="preserve">ć </w:t>
      </w:r>
      <w:r w:rsidRPr="00F557BB">
        <w:rPr>
          <w:rFonts w:eastAsia="Calibri" w:cs="Arial"/>
          <w:szCs w:val="20"/>
          <w:lang w:eastAsia="en-US"/>
        </w:rPr>
        <w:t>pochyłe.</w:t>
      </w:r>
    </w:p>
    <w:p w14:paraId="629077E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lastRenderedPageBreak/>
        <w:t>· Wyrównanie i wzmocnienie dna wykopu</w:t>
      </w:r>
    </w:p>
    <w:p w14:paraId="5B53A5D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Przed uło</w:t>
      </w:r>
      <w:r w:rsidRPr="00F557BB">
        <w:rPr>
          <w:rFonts w:eastAsia="TimesNewRoman" w:cs="Arial"/>
          <w:szCs w:val="20"/>
          <w:lang w:eastAsia="en-US"/>
        </w:rPr>
        <w:t>ż</w:t>
      </w:r>
      <w:r w:rsidRPr="00F557BB">
        <w:rPr>
          <w:rFonts w:eastAsia="Calibri" w:cs="Arial"/>
          <w:szCs w:val="20"/>
          <w:lang w:eastAsia="en-US"/>
        </w:rPr>
        <w:t>eniem kanalizacji dno wykopu powinno by</w:t>
      </w:r>
      <w:r w:rsidRPr="00F557BB">
        <w:rPr>
          <w:rFonts w:eastAsia="TimesNewRoman" w:cs="Arial"/>
          <w:szCs w:val="20"/>
          <w:lang w:eastAsia="en-US"/>
        </w:rPr>
        <w:t xml:space="preserve">ć </w:t>
      </w:r>
      <w:r w:rsidRPr="00F557BB">
        <w:rPr>
          <w:rFonts w:eastAsia="Calibri" w:cs="Arial"/>
          <w:szCs w:val="20"/>
          <w:lang w:eastAsia="en-US"/>
        </w:rPr>
        <w:t>wyrównane i ukształtowane ze spadkiem</w:t>
      </w:r>
    </w:p>
    <w:p w14:paraId="330DFE4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zgodnie z wymaganiami kpt. 3.6 normy BN-73/8984-05 [22]. W gruntach mało spoistych na dno</w:t>
      </w:r>
    </w:p>
    <w:p w14:paraId="3AE1979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wykopu nale</w:t>
      </w:r>
      <w:r w:rsidRPr="00F557BB">
        <w:rPr>
          <w:rFonts w:eastAsia="TimesNewRoman" w:cs="Arial"/>
          <w:szCs w:val="20"/>
          <w:lang w:eastAsia="en-US"/>
        </w:rPr>
        <w:t>ż</w:t>
      </w:r>
      <w:r w:rsidRPr="00F557BB">
        <w:rPr>
          <w:rFonts w:eastAsia="Calibri" w:cs="Arial"/>
          <w:szCs w:val="20"/>
          <w:lang w:eastAsia="en-US"/>
        </w:rPr>
        <w:t>y uło</w:t>
      </w:r>
      <w:r w:rsidRPr="00F557BB">
        <w:rPr>
          <w:rFonts w:eastAsia="TimesNewRoman" w:cs="Arial"/>
          <w:szCs w:val="20"/>
          <w:lang w:eastAsia="en-US"/>
        </w:rPr>
        <w:t>ż</w:t>
      </w:r>
      <w:r w:rsidRPr="00F557BB">
        <w:rPr>
          <w:rFonts w:eastAsia="Calibri" w:cs="Arial"/>
          <w:szCs w:val="20"/>
          <w:lang w:eastAsia="en-US"/>
        </w:rPr>
        <w:t>y</w:t>
      </w:r>
      <w:r w:rsidRPr="00F557BB">
        <w:rPr>
          <w:rFonts w:eastAsia="TimesNewRoman" w:cs="Arial"/>
          <w:szCs w:val="20"/>
          <w:lang w:eastAsia="en-US"/>
        </w:rPr>
        <w:t xml:space="preserve">ć </w:t>
      </w:r>
      <w:r w:rsidRPr="00F557BB">
        <w:rPr>
          <w:rFonts w:eastAsia="Calibri" w:cs="Arial"/>
          <w:szCs w:val="20"/>
          <w:lang w:eastAsia="en-US"/>
        </w:rPr>
        <w:t>ław</w:t>
      </w:r>
      <w:r w:rsidRPr="00F557BB">
        <w:rPr>
          <w:rFonts w:eastAsia="TimesNewRoman" w:cs="Arial"/>
          <w:szCs w:val="20"/>
          <w:lang w:eastAsia="en-US"/>
        </w:rPr>
        <w:t xml:space="preserve">ę </w:t>
      </w:r>
      <w:r w:rsidRPr="00F557BB">
        <w:rPr>
          <w:rFonts w:eastAsia="Calibri" w:cs="Arial"/>
          <w:szCs w:val="20"/>
          <w:lang w:eastAsia="en-US"/>
        </w:rPr>
        <w:t>z betonu kl. B20 o grubo</w:t>
      </w:r>
      <w:r w:rsidRPr="00F557BB">
        <w:rPr>
          <w:rFonts w:eastAsia="TimesNewRoman" w:cs="Arial"/>
          <w:szCs w:val="20"/>
          <w:lang w:eastAsia="en-US"/>
        </w:rPr>
        <w:t>ś</w:t>
      </w:r>
      <w:r w:rsidRPr="00F557BB">
        <w:rPr>
          <w:rFonts w:eastAsia="Calibri" w:cs="Arial"/>
          <w:szCs w:val="20"/>
          <w:lang w:eastAsia="en-US"/>
        </w:rPr>
        <w:t>ci co najmniej 10 cm.</w:t>
      </w:r>
    </w:p>
    <w:p w14:paraId="7B81E1A8"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5.1.3. Układanie ciągów kanalizacji - układanie rur</w:t>
      </w:r>
    </w:p>
    <w:p w14:paraId="40BAEDC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Z pojedynczych rur o </w:t>
      </w:r>
      <w:r w:rsidRPr="00F557BB">
        <w:rPr>
          <w:rFonts w:eastAsia="TimesNewRoman" w:cs="Arial"/>
          <w:szCs w:val="20"/>
          <w:lang w:eastAsia="en-US"/>
        </w:rPr>
        <w:t>ś</w:t>
      </w:r>
      <w:r w:rsidRPr="00F557BB">
        <w:rPr>
          <w:rFonts w:eastAsia="Calibri" w:cs="Arial"/>
          <w:szCs w:val="20"/>
          <w:lang w:eastAsia="en-US"/>
        </w:rPr>
        <w:t>rednicy fi 110mm nale</w:t>
      </w:r>
      <w:r w:rsidRPr="00F557BB">
        <w:rPr>
          <w:rFonts w:eastAsia="TimesNewRoman" w:cs="Arial"/>
          <w:szCs w:val="20"/>
          <w:lang w:eastAsia="en-US"/>
        </w:rPr>
        <w:t>ż</w:t>
      </w:r>
      <w:r w:rsidRPr="00F557BB">
        <w:rPr>
          <w:rFonts w:eastAsia="Calibri" w:cs="Arial"/>
          <w:szCs w:val="20"/>
          <w:lang w:eastAsia="en-US"/>
        </w:rPr>
        <w:t>y tworzy</w:t>
      </w:r>
      <w:r w:rsidRPr="00F557BB">
        <w:rPr>
          <w:rFonts w:eastAsia="TimesNewRoman" w:cs="Arial"/>
          <w:szCs w:val="20"/>
          <w:lang w:eastAsia="en-US"/>
        </w:rPr>
        <w:t xml:space="preserve">ć </w:t>
      </w:r>
      <w:r w:rsidRPr="00F557BB">
        <w:rPr>
          <w:rFonts w:eastAsia="Calibri" w:cs="Arial"/>
          <w:szCs w:val="20"/>
          <w:lang w:eastAsia="en-US"/>
        </w:rPr>
        <w:t>zestawy kanalizacji o ilo</w:t>
      </w:r>
      <w:r w:rsidRPr="00F557BB">
        <w:rPr>
          <w:rFonts w:eastAsia="TimesNewRoman" w:cs="Arial"/>
          <w:szCs w:val="20"/>
          <w:lang w:eastAsia="en-US"/>
        </w:rPr>
        <w:t>ś</w:t>
      </w:r>
      <w:r w:rsidRPr="00F557BB">
        <w:rPr>
          <w:rFonts w:eastAsia="Calibri" w:cs="Arial"/>
          <w:szCs w:val="20"/>
          <w:lang w:eastAsia="en-US"/>
        </w:rPr>
        <w:t>ci otworów</w:t>
      </w:r>
    </w:p>
    <w:p w14:paraId="5E3FEB8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okre</w:t>
      </w:r>
      <w:r w:rsidRPr="00F557BB">
        <w:rPr>
          <w:rFonts w:eastAsia="TimesNewRoman" w:cs="Arial"/>
          <w:szCs w:val="20"/>
          <w:lang w:eastAsia="en-US"/>
        </w:rPr>
        <w:t>ś</w:t>
      </w:r>
      <w:r w:rsidRPr="00F557BB">
        <w:rPr>
          <w:rFonts w:eastAsia="Calibri" w:cs="Arial"/>
          <w:szCs w:val="20"/>
          <w:lang w:eastAsia="en-US"/>
        </w:rPr>
        <w:t>lonej w projekcie wykonawczym. Odległo</w:t>
      </w:r>
      <w:r w:rsidRPr="00F557BB">
        <w:rPr>
          <w:rFonts w:eastAsia="TimesNewRoman" w:cs="Arial"/>
          <w:szCs w:val="20"/>
          <w:lang w:eastAsia="en-US"/>
        </w:rPr>
        <w:t>ś</w:t>
      </w:r>
      <w:r w:rsidRPr="00F557BB">
        <w:rPr>
          <w:rFonts w:eastAsia="Calibri" w:cs="Arial"/>
          <w:szCs w:val="20"/>
          <w:lang w:eastAsia="en-US"/>
        </w:rPr>
        <w:t>ci pomi</w:t>
      </w:r>
      <w:r w:rsidRPr="00F557BB">
        <w:rPr>
          <w:rFonts w:eastAsia="TimesNewRoman" w:cs="Arial"/>
          <w:szCs w:val="20"/>
          <w:lang w:eastAsia="en-US"/>
        </w:rPr>
        <w:t>ę</w:t>
      </w:r>
      <w:r w:rsidRPr="00F557BB">
        <w:rPr>
          <w:rFonts w:eastAsia="Calibri" w:cs="Arial"/>
          <w:szCs w:val="20"/>
          <w:lang w:eastAsia="en-US"/>
        </w:rPr>
        <w:t>dzy poszczególnymi rurami w warstwie</w:t>
      </w:r>
    </w:p>
    <w:p w14:paraId="553BF29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nie powinny by</w:t>
      </w:r>
      <w:r w:rsidRPr="00F557BB">
        <w:rPr>
          <w:rFonts w:eastAsia="TimesNewRoman" w:cs="Arial"/>
          <w:szCs w:val="20"/>
          <w:lang w:eastAsia="en-US"/>
        </w:rPr>
        <w:t xml:space="preserve">ć </w:t>
      </w:r>
      <w:r w:rsidRPr="00F557BB">
        <w:rPr>
          <w:rFonts w:eastAsia="Calibri" w:cs="Arial"/>
          <w:szCs w:val="20"/>
          <w:lang w:eastAsia="en-US"/>
        </w:rPr>
        <w:t>mniejsze od 2 cm, a mi</w:t>
      </w:r>
      <w:r w:rsidRPr="00F557BB">
        <w:rPr>
          <w:rFonts w:eastAsia="TimesNewRoman" w:cs="Arial"/>
          <w:szCs w:val="20"/>
          <w:lang w:eastAsia="en-US"/>
        </w:rPr>
        <w:t>ę</w:t>
      </w:r>
      <w:r w:rsidRPr="00F557BB">
        <w:rPr>
          <w:rFonts w:eastAsia="Calibri" w:cs="Arial"/>
          <w:szCs w:val="20"/>
          <w:lang w:eastAsia="en-US"/>
        </w:rPr>
        <w:t>dzy warstwami od 3 cm. Na przygotowane dno</w:t>
      </w:r>
    </w:p>
    <w:p w14:paraId="77D63C1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wykopu nale</w:t>
      </w:r>
      <w:r w:rsidRPr="00F557BB">
        <w:rPr>
          <w:rFonts w:eastAsia="TimesNewRoman" w:cs="Arial"/>
          <w:szCs w:val="20"/>
          <w:lang w:eastAsia="en-US"/>
        </w:rPr>
        <w:t>ż</w:t>
      </w:r>
      <w:r w:rsidRPr="00F557BB">
        <w:rPr>
          <w:rFonts w:eastAsia="Calibri" w:cs="Arial"/>
          <w:szCs w:val="20"/>
          <w:lang w:eastAsia="en-US"/>
        </w:rPr>
        <w:t>y uło</w:t>
      </w:r>
      <w:r w:rsidRPr="00F557BB">
        <w:rPr>
          <w:rFonts w:eastAsia="TimesNewRoman" w:cs="Arial"/>
          <w:szCs w:val="20"/>
          <w:lang w:eastAsia="en-US"/>
        </w:rPr>
        <w:t>ż</w:t>
      </w:r>
      <w:r w:rsidRPr="00F557BB">
        <w:rPr>
          <w:rFonts w:eastAsia="Calibri" w:cs="Arial"/>
          <w:szCs w:val="20"/>
          <w:lang w:eastAsia="en-US"/>
        </w:rPr>
        <w:t>y</w:t>
      </w:r>
      <w:r w:rsidRPr="00F557BB">
        <w:rPr>
          <w:rFonts w:eastAsia="TimesNewRoman" w:cs="Arial"/>
          <w:szCs w:val="20"/>
          <w:lang w:eastAsia="en-US"/>
        </w:rPr>
        <w:t xml:space="preserve">ć </w:t>
      </w:r>
      <w:r w:rsidRPr="00F557BB">
        <w:rPr>
          <w:rFonts w:eastAsia="Calibri" w:cs="Arial"/>
          <w:szCs w:val="20"/>
          <w:lang w:eastAsia="en-US"/>
        </w:rPr>
        <w:t>jedn</w:t>
      </w:r>
      <w:r w:rsidRPr="00F557BB">
        <w:rPr>
          <w:rFonts w:eastAsia="TimesNewRoman" w:cs="Arial"/>
          <w:szCs w:val="20"/>
          <w:lang w:eastAsia="en-US"/>
        </w:rPr>
        <w:t xml:space="preserve">ą </w:t>
      </w:r>
      <w:r w:rsidRPr="00F557BB">
        <w:rPr>
          <w:rFonts w:eastAsia="Calibri" w:cs="Arial"/>
          <w:szCs w:val="20"/>
          <w:lang w:eastAsia="en-US"/>
        </w:rPr>
        <w:t>lub kilka rur w jednej warstwie. W przypadku układania nast</w:t>
      </w:r>
      <w:r w:rsidRPr="00F557BB">
        <w:rPr>
          <w:rFonts w:eastAsia="TimesNewRoman" w:cs="Arial"/>
          <w:szCs w:val="20"/>
          <w:lang w:eastAsia="en-US"/>
        </w:rPr>
        <w:t>ę</w:t>
      </w:r>
      <w:r w:rsidRPr="00F557BB">
        <w:rPr>
          <w:rFonts w:eastAsia="Calibri" w:cs="Arial"/>
          <w:szCs w:val="20"/>
          <w:lang w:eastAsia="en-US"/>
        </w:rPr>
        <w:t>pnych</w:t>
      </w:r>
    </w:p>
    <w:p w14:paraId="70CBD86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warstw, uło</w:t>
      </w:r>
      <w:r w:rsidRPr="00F557BB">
        <w:rPr>
          <w:rFonts w:eastAsia="TimesNewRoman" w:cs="Arial"/>
          <w:szCs w:val="20"/>
          <w:lang w:eastAsia="en-US"/>
        </w:rPr>
        <w:t>ż</w:t>
      </w:r>
      <w:r w:rsidRPr="00F557BB">
        <w:rPr>
          <w:rFonts w:eastAsia="Calibri" w:cs="Arial"/>
          <w:szCs w:val="20"/>
          <w:lang w:eastAsia="en-US"/>
        </w:rPr>
        <w:t>on</w:t>
      </w:r>
      <w:r w:rsidRPr="00F557BB">
        <w:rPr>
          <w:rFonts w:eastAsia="TimesNewRoman" w:cs="Arial"/>
          <w:szCs w:val="20"/>
          <w:lang w:eastAsia="en-US"/>
        </w:rPr>
        <w:t xml:space="preserve">ą </w:t>
      </w:r>
      <w:r w:rsidRPr="00F557BB">
        <w:rPr>
          <w:rFonts w:eastAsia="Calibri" w:cs="Arial"/>
          <w:szCs w:val="20"/>
          <w:lang w:eastAsia="en-US"/>
        </w:rPr>
        <w:t>warstw</w:t>
      </w:r>
      <w:r w:rsidRPr="00F557BB">
        <w:rPr>
          <w:rFonts w:eastAsia="TimesNewRoman" w:cs="Arial"/>
          <w:szCs w:val="20"/>
          <w:lang w:eastAsia="en-US"/>
        </w:rPr>
        <w:t xml:space="preserve">ę </w:t>
      </w:r>
      <w:r w:rsidRPr="00F557BB">
        <w:rPr>
          <w:rFonts w:eastAsia="Calibri" w:cs="Arial"/>
          <w:szCs w:val="20"/>
          <w:lang w:eastAsia="en-US"/>
        </w:rPr>
        <w:t>rur nale</w:t>
      </w:r>
      <w:r w:rsidRPr="00F557BB">
        <w:rPr>
          <w:rFonts w:eastAsia="TimesNewRoman" w:cs="Arial"/>
          <w:szCs w:val="20"/>
          <w:lang w:eastAsia="en-US"/>
        </w:rPr>
        <w:t>ż</w:t>
      </w:r>
      <w:r w:rsidRPr="00F557BB">
        <w:rPr>
          <w:rFonts w:eastAsia="Calibri" w:cs="Arial"/>
          <w:szCs w:val="20"/>
          <w:lang w:eastAsia="en-US"/>
        </w:rPr>
        <w:t>y zasypa</w:t>
      </w:r>
      <w:r w:rsidRPr="00F557BB">
        <w:rPr>
          <w:rFonts w:eastAsia="TimesNewRoman" w:cs="Arial"/>
          <w:szCs w:val="20"/>
          <w:lang w:eastAsia="en-US"/>
        </w:rPr>
        <w:t xml:space="preserve">ć </w:t>
      </w:r>
      <w:r w:rsidRPr="00F557BB">
        <w:rPr>
          <w:rFonts w:eastAsia="Calibri" w:cs="Arial"/>
          <w:szCs w:val="20"/>
          <w:lang w:eastAsia="en-US"/>
        </w:rPr>
        <w:t>piaskiem lub przesianym gruntem, wyrówna</w:t>
      </w:r>
      <w:r w:rsidRPr="00F557BB">
        <w:rPr>
          <w:rFonts w:eastAsia="TimesNewRoman" w:cs="Arial"/>
          <w:szCs w:val="20"/>
          <w:lang w:eastAsia="en-US"/>
        </w:rPr>
        <w:t xml:space="preserve">ć </w:t>
      </w:r>
      <w:r w:rsidRPr="00F557BB">
        <w:rPr>
          <w:rFonts w:eastAsia="Calibri" w:cs="Arial"/>
          <w:szCs w:val="20"/>
          <w:lang w:eastAsia="en-US"/>
        </w:rPr>
        <w:t>i</w:t>
      </w:r>
    </w:p>
    <w:p w14:paraId="573AD5E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ubija</w:t>
      </w:r>
      <w:r w:rsidRPr="00F557BB">
        <w:rPr>
          <w:rFonts w:eastAsia="TimesNewRoman" w:cs="Arial"/>
          <w:szCs w:val="20"/>
          <w:lang w:eastAsia="en-US"/>
        </w:rPr>
        <w:t xml:space="preserve">ć </w:t>
      </w:r>
      <w:r w:rsidRPr="00F557BB">
        <w:rPr>
          <w:rFonts w:eastAsia="Calibri" w:cs="Arial"/>
          <w:szCs w:val="20"/>
          <w:lang w:eastAsia="en-US"/>
        </w:rPr>
        <w:t>ubijakiem mechanicznym. Kanalizacja kablowa z rur RHDPE powinna by</w:t>
      </w:r>
      <w:r w:rsidRPr="00F557BB">
        <w:rPr>
          <w:rFonts w:eastAsia="TimesNewRoman" w:cs="Arial"/>
          <w:szCs w:val="20"/>
          <w:lang w:eastAsia="en-US"/>
        </w:rPr>
        <w:t xml:space="preserve">ć </w:t>
      </w:r>
      <w:r w:rsidRPr="00F557BB">
        <w:rPr>
          <w:rFonts w:eastAsia="Calibri" w:cs="Arial"/>
          <w:szCs w:val="20"/>
          <w:lang w:eastAsia="en-US"/>
        </w:rPr>
        <w:t>wykonywana</w:t>
      </w:r>
    </w:p>
    <w:p w14:paraId="072C754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temperaturze nie ni</w:t>
      </w:r>
      <w:r w:rsidRPr="00F557BB">
        <w:rPr>
          <w:rFonts w:eastAsia="TimesNewRoman" w:cs="Arial"/>
          <w:szCs w:val="20"/>
          <w:lang w:eastAsia="en-US"/>
        </w:rPr>
        <w:t>ż</w:t>
      </w:r>
      <w:r w:rsidRPr="00F557BB">
        <w:rPr>
          <w:rFonts w:eastAsia="Calibri" w:cs="Arial"/>
          <w:szCs w:val="20"/>
          <w:lang w:eastAsia="en-US"/>
        </w:rPr>
        <w:t>szej ni</w:t>
      </w:r>
      <w:r w:rsidRPr="00F557BB">
        <w:rPr>
          <w:rFonts w:eastAsia="TimesNewRoman" w:cs="Arial"/>
          <w:szCs w:val="20"/>
          <w:lang w:eastAsia="en-US"/>
        </w:rPr>
        <w:t xml:space="preserve">ż </w:t>
      </w:r>
      <w:r w:rsidRPr="00F557BB">
        <w:rPr>
          <w:rFonts w:eastAsia="Calibri" w:cs="Arial"/>
          <w:szCs w:val="20"/>
          <w:lang w:eastAsia="en-US"/>
        </w:rPr>
        <w:t>-10C. W ka</w:t>
      </w:r>
      <w:r w:rsidRPr="00F557BB">
        <w:rPr>
          <w:rFonts w:eastAsia="TimesNewRoman" w:cs="Arial"/>
          <w:szCs w:val="20"/>
          <w:lang w:eastAsia="en-US"/>
        </w:rPr>
        <w:t>ż</w:t>
      </w:r>
      <w:r w:rsidRPr="00F557BB">
        <w:rPr>
          <w:rFonts w:eastAsia="Calibri" w:cs="Arial"/>
          <w:szCs w:val="20"/>
          <w:lang w:eastAsia="en-US"/>
        </w:rPr>
        <w:t>dym przypadku układania rur przy obni</w:t>
      </w:r>
      <w:r w:rsidRPr="00F557BB">
        <w:rPr>
          <w:rFonts w:eastAsia="TimesNewRoman" w:cs="Arial"/>
          <w:szCs w:val="20"/>
          <w:lang w:eastAsia="en-US"/>
        </w:rPr>
        <w:t>ż</w:t>
      </w:r>
      <w:r w:rsidRPr="00F557BB">
        <w:rPr>
          <w:rFonts w:eastAsia="Calibri" w:cs="Arial"/>
          <w:szCs w:val="20"/>
          <w:lang w:eastAsia="en-US"/>
        </w:rPr>
        <w:t>onej</w:t>
      </w:r>
    </w:p>
    <w:p w14:paraId="4F9B07E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temperaturze niedopuszczalne jest rzucanie lub uderzanie rurami oraz zasypywanie ich grudami</w:t>
      </w:r>
    </w:p>
    <w:p w14:paraId="098AA86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zmarzliny.</w:t>
      </w:r>
    </w:p>
    <w:p w14:paraId="276AFA1E"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5.1.4. Zasypywanie kanalizacji</w:t>
      </w:r>
    </w:p>
    <w:p w14:paraId="4E0A190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Ostatni</w:t>
      </w:r>
      <w:r w:rsidRPr="00F557BB">
        <w:rPr>
          <w:rFonts w:eastAsia="TimesNewRoman" w:cs="Arial"/>
          <w:szCs w:val="20"/>
          <w:lang w:eastAsia="en-US"/>
        </w:rPr>
        <w:t>ą</w:t>
      </w:r>
      <w:r w:rsidRPr="00F557BB">
        <w:rPr>
          <w:rFonts w:eastAsia="Calibri" w:cs="Arial"/>
          <w:szCs w:val="20"/>
          <w:lang w:eastAsia="en-US"/>
        </w:rPr>
        <w:t>, górn</w:t>
      </w:r>
      <w:r w:rsidRPr="00F557BB">
        <w:rPr>
          <w:rFonts w:eastAsia="TimesNewRoman" w:cs="Arial"/>
          <w:szCs w:val="20"/>
          <w:lang w:eastAsia="en-US"/>
        </w:rPr>
        <w:t xml:space="preserve">ą </w:t>
      </w:r>
      <w:r w:rsidRPr="00F557BB">
        <w:rPr>
          <w:rFonts w:eastAsia="Calibri" w:cs="Arial"/>
          <w:szCs w:val="20"/>
          <w:lang w:eastAsia="en-US"/>
        </w:rPr>
        <w:t>warstw</w:t>
      </w:r>
      <w:r w:rsidRPr="00F557BB">
        <w:rPr>
          <w:rFonts w:eastAsia="TimesNewRoman" w:cs="Arial"/>
          <w:szCs w:val="20"/>
          <w:lang w:eastAsia="en-US"/>
        </w:rPr>
        <w:t xml:space="preserve">ę </w:t>
      </w:r>
      <w:r w:rsidRPr="00F557BB">
        <w:rPr>
          <w:rFonts w:eastAsia="Calibri" w:cs="Arial"/>
          <w:szCs w:val="20"/>
          <w:lang w:eastAsia="en-US"/>
        </w:rPr>
        <w:t>kanalizacji z rur RHDPE i DVR nale</w:t>
      </w:r>
      <w:r w:rsidRPr="00F557BB">
        <w:rPr>
          <w:rFonts w:eastAsia="TimesNewRoman" w:cs="Arial"/>
          <w:szCs w:val="20"/>
          <w:lang w:eastAsia="en-US"/>
        </w:rPr>
        <w:t>ż</w:t>
      </w:r>
      <w:r w:rsidRPr="00F557BB">
        <w:rPr>
          <w:rFonts w:eastAsia="Calibri" w:cs="Arial"/>
          <w:szCs w:val="20"/>
          <w:lang w:eastAsia="en-US"/>
        </w:rPr>
        <w:t>y przysypa</w:t>
      </w:r>
      <w:r w:rsidRPr="00F557BB">
        <w:rPr>
          <w:rFonts w:eastAsia="TimesNewRoman" w:cs="Arial"/>
          <w:szCs w:val="20"/>
          <w:lang w:eastAsia="en-US"/>
        </w:rPr>
        <w:t xml:space="preserve">ć </w:t>
      </w:r>
      <w:r w:rsidRPr="00F557BB">
        <w:rPr>
          <w:rFonts w:eastAsia="Calibri" w:cs="Arial"/>
          <w:szCs w:val="20"/>
          <w:lang w:eastAsia="en-US"/>
        </w:rPr>
        <w:t>piaskiem lub</w:t>
      </w:r>
    </w:p>
    <w:p w14:paraId="747004D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przesianym gruntem do grubo</w:t>
      </w:r>
      <w:r w:rsidRPr="00F557BB">
        <w:rPr>
          <w:rFonts w:eastAsia="TimesNewRoman" w:cs="Arial"/>
          <w:szCs w:val="20"/>
          <w:lang w:eastAsia="en-US"/>
        </w:rPr>
        <w:t>ś</w:t>
      </w:r>
      <w:r w:rsidRPr="00F557BB">
        <w:rPr>
          <w:rFonts w:eastAsia="Calibri" w:cs="Arial"/>
          <w:szCs w:val="20"/>
          <w:lang w:eastAsia="en-US"/>
        </w:rPr>
        <w:t>ci przykrycia nie mniejszej od 5 cm, a nast</w:t>
      </w:r>
      <w:r w:rsidRPr="00F557BB">
        <w:rPr>
          <w:rFonts w:eastAsia="TimesNewRoman" w:cs="Arial"/>
          <w:szCs w:val="20"/>
          <w:lang w:eastAsia="en-US"/>
        </w:rPr>
        <w:t>ę</w:t>
      </w:r>
      <w:r w:rsidRPr="00F557BB">
        <w:rPr>
          <w:rFonts w:eastAsia="Calibri" w:cs="Arial"/>
          <w:szCs w:val="20"/>
          <w:lang w:eastAsia="en-US"/>
        </w:rPr>
        <w:t>pnie warstw</w:t>
      </w:r>
      <w:r w:rsidRPr="00F557BB">
        <w:rPr>
          <w:rFonts w:eastAsia="TimesNewRoman" w:cs="Arial"/>
          <w:szCs w:val="20"/>
          <w:lang w:eastAsia="en-US"/>
        </w:rPr>
        <w:t xml:space="preserve">ą </w:t>
      </w:r>
      <w:r w:rsidRPr="00F557BB">
        <w:rPr>
          <w:rFonts w:eastAsia="Calibri" w:cs="Arial"/>
          <w:szCs w:val="20"/>
          <w:lang w:eastAsia="en-US"/>
        </w:rPr>
        <w:t>piasku</w:t>
      </w:r>
    </w:p>
    <w:p w14:paraId="0877061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lub przesianego gruntu grubo</w:t>
      </w:r>
      <w:r w:rsidRPr="00F557BB">
        <w:rPr>
          <w:rFonts w:eastAsia="TimesNewRoman" w:cs="Arial"/>
          <w:szCs w:val="20"/>
          <w:lang w:eastAsia="en-US"/>
        </w:rPr>
        <w:t>ś</w:t>
      </w:r>
      <w:r w:rsidRPr="00F557BB">
        <w:rPr>
          <w:rFonts w:eastAsia="Calibri" w:cs="Arial"/>
          <w:szCs w:val="20"/>
          <w:lang w:eastAsia="en-US"/>
        </w:rPr>
        <w:t>ci około 20 cm. Nast</w:t>
      </w:r>
      <w:r w:rsidRPr="00F557BB">
        <w:rPr>
          <w:rFonts w:eastAsia="TimesNewRoman" w:cs="Arial"/>
          <w:szCs w:val="20"/>
          <w:lang w:eastAsia="en-US"/>
        </w:rPr>
        <w:t>ę</w:t>
      </w:r>
      <w:r w:rsidRPr="00F557BB">
        <w:rPr>
          <w:rFonts w:eastAsia="Calibri" w:cs="Arial"/>
          <w:szCs w:val="20"/>
          <w:lang w:eastAsia="en-US"/>
        </w:rPr>
        <w:t>pnie nale</w:t>
      </w:r>
      <w:r w:rsidRPr="00F557BB">
        <w:rPr>
          <w:rFonts w:eastAsia="TimesNewRoman" w:cs="Arial"/>
          <w:szCs w:val="20"/>
          <w:lang w:eastAsia="en-US"/>
        </w:rPr>
        <w:t>ż</w:t>
      </w:r>
      <w:r w:rsidRPr="00F557BB">
        <w:rPr>
          <w:rFonts w:eastAsia="Calibri" w:cs="Arial"/>
          <w:szCs w:val="20"/>
          <w:lang w:eastAsia="en-US"/>
        </w:rPr>
        <w:t>y zasypa</w:t>
      </w:r>
      <w:r w:rsidRPr="00F557BB">
        <w:rPr>
          <w:rFonts w:eastAsia="TimesNewRoman" w:cs="Arial"/>
          <w:szCs w:val="20"/>
          <w:lang w:eastAsia="en-US"/>
        </w:rPr>
        <w:t xml:space="preserve">ć </w:t>
      </w:r>
      <w:r w:rsidRPr="00F557BB">
        <w:rPr>
          <w:rFonts w:eastAsia="Calibri" w:cs="Arial"/>
          <w:szCs w:val="20"/>
          <w:lang w:eastAsia="en-US"/>
        </w:rPr>
        <w:t>wykop gruntem</w:t>
      </w:r>
    </w:p>
    <w:p w14:paraId="5930C983"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warstwami co 20 cm i ubija</w:t>
      </w:r>
      <w:r w:rsidRPr="00F557BB">
        <w:rPr>
          <w:rFonts w:eastAsia="TimesNewRoman" w:cs="Arial"/>
          <w:szCs w:val="20"/>
          <w:lang w:eastAsia="en-US"/>
        </w:rPr>
        <w:t xml:space="preserve">ć </w:t>
      </w:r>
      <w:r w:rsidRPr="00F557BB">
        <w:rPr>
          <w:rFonts w:eastAsia="Calibri" w:cs="Arial"/>
          <w:szCs w:val="20"/>
          <w:lang w:eastAsia="en-US"/>
        </w:rPr>
        <w:t>ubijakami mechanicznymi.</w:t>
      </w:r>
    </w:p>
    <w:p w14:paraId="3FAF92C9"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5.1.5. Skrzyżowania i zbliżenia kanalizacji</w:t>
      </w:r>
    </w:p>
    <w:p w14:paraId="4D9F0DF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Przy skrzy</w:t>
      </w:r>
      <w:r w:rsidRPr="00F557BB">
        <w:rPr>
          <w:rFonts w:eastAsia="TimesNewRoman" w:cs="Arial"/>
          <w:szCs w:val="20"/>
          <w:lang w:eastAsia="en-US"/>
        </w:rPr>
        <w:t>ż</w:t>
      </w:r>
      <w:r w:rsidRPr="00F557BB">
        <w:rPr>
          <w:rFonts w:eastAsia="Calibri" w:cs="Arial"/>
          <w:szCs w:val="20"/>
          <w:lang w:eastAsia="en-US"/>
        </w:rPr>
        <w:t>owaniach z innymi urz</w:t>
      </w:r>
      <w:r w:rsidRPr="00F557BB">
        <w:rPr>
          <w:rFonts w:eastAsia="TimesNewRoman" w:cs="Arial"/>
          <w:szCs w:val="20"/>
          <w:lang w:eastAsia="en-US"/>
        </w:rPr>
        <w:t>ą</w:t>
      </w:r>
      <w:r w:rsidRPr="00F557BB">
        <w:rPr>
          <w:rFonts w:eastAsia="Calibri" w:cs="Arial"/>
          <w:szCs w:val="20"/>
          <w:lang w:eastAsia="en-US"/>
        </w:rPr>
        <w:t>dzeniami podziemnymi kanalizacja kablowa powinna</w:t>
      </w:r>
    </w:p>
    <w:p w14:paraId="69E6F07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znajdowa</w:t>
      </w:r>
      <w:r w:rsidRPr="00F557BB">
        <w:rPr>
          <w:rFonts w:eastAsia="TimesNewRoman" w:cs="Arial"/>
          <w:szCs w:val="20"/>
          <w:lang w:eastAsia="en-US"/>
        </w:rPr>
        <w:t xml:space="preserve">ć </w:t>
      </w:r>
      <w:r w:rsidRPr="00F557BB">
        <w:rPr>
          <w:rFonts w:eastAsia="Calibri" w:cs="Arial"/>
          <w:szCs w:val="20"/>
          <w:lang w:eastAsia="en-US"/>
        </w:rPr>
        <w:t>si</w:t>
      </w:r>
      <w:r w:rsidRPr="00F557BB">
        <w:rPr>
          <w:rFonts w:eastAsia="TimesNewRoman" w:cs="Arial"/>
          <w:szCs w:val="20"/>
          <w:lang w:eastAsia="en-US"/>
        </w:rPr>
        <w:t xml:space="preserve">ę </w:t>
      </w:r>
      <w:r w:rsidRPr="00F557BB">
        <w:rPr>
          <w:rFonts w:eastAsia="Calibri" w:cs="Arial"/>
          <w:szCs w:val="20"/>
          <w:lang w:eastAsia="en-US"/>
        </w:rPr>
        <w:t>w zasadzie nad tymi urz</w:t>
      </w:r>
      <w:r w:rsidRPr="00F557BB">
        <w:rPr>
          <w:rFonts w:eastAsia="TimesNewRoman" w:cs="Arial"/>
          <w:szCs w:val="20"/>
          <w:lang w:eastAsia="en-US"/>
        </w:rPr>
        <w:t>ą</w:t>
      </w:r>
      <w:r w:rsidRPr="00F557BB">
        <w:rPr>
          <w:rFonts w:eastAsia="Calibri" w:cs="Arial"/>
          <w:szCs w:val="20"/>
          <w:lang w:eastAsia="en-US"/>
        </w:rPr>
        <w:t>dzeniami. Inne rozwi</w:t>
      </w:r>
      <w:r w:rsidRPr="00F557BB">
        <w:rPr>
          <w:rFonts w:eastAsia="TimesNewRoman" w:cs="Arial"/>
          <w:szCs w:val="20"/>
          <w:lang w:eastAsia="en-US"/>
        </w:rPr>
        <w:t>ą</w:t>
      </w:r>
      <w:r w:rsidRPr="00F557BB">
        <w:rPr>
          <w:rFonts w:eastAsia="Calibri" w:cs="Arial"/>
          <w:szCs w:val="20"/>
          <w:lang w:eastAsia="en-US"/>
        </w:rPr>
        <w:t>zania dopuszcza si</w:t>
      </w:r>
      <w:r w:rsidRPr="00F557BB">
        <w:rPr>
          <w:rFonts w:eastAsia="TimesNewRoman" w:cs="Arial"/>
          <w:szCs w:val="20"/>
          <w:lang w:eastAsia="en-US"/>
        </w:rPr>
        <w:t xml:space="preserve">ę </w:t>
      </w:r>
      <w:r w:rsidRPr="00F557BB">
        <w:rPr>
          <w:rFonts w:eastAsia="Calibri" w:cs="Arial"/>
          <w:szCs w:val="20"/>
          <w:lang w:eastAsia="en-US"/>
        </w:rPr>
        <w:t>tylko w</w:t>
      </w:r>
    </w:p>
    <w:p w14:paraId="5BA36F6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wyj</w:t>
      </w:r>
      <w:r w:rsidRPr="00F557BB">
        <w:rPr>
          <w:rFonts w:eastAsia="TimesNewRoman" w:cs="Arial"/>
          <w:szCs w:val="20"/>
          <w:lang w:eastAsia="en-US"/>
        </w:rPr>
        <w:t>ą</w:t>
      </w:r>
      <w:r w:rsidRPr="00F557BB">
        <w:rPr>
          <w:rFonts w:eastAsia="Calibri" w:cs="Arial"/>
          <w:szCs w:val="20"/>
          <w:lang w:eastAsia="en-US"/>
        </w:rPr>
        <w:t>tkowych przypadkach, gdy pokrycie kanalizacji gór</w:t>
      </w:r>
      <w:r w:rsidRPr="00F557BB">
        <w:rPr>
          <w:rFonts w:eastAsia="TimesNewRoman" w:cs="Arial"/>
          <w:szCs w:val="20"/>
          <w:lang w:eastAsia="en-US"/>
        </w:rPr>
        <w:t xml:space="preserve">ą </w:t>
      </w:r>
      <w:r w:rsidRPr="00F557BB">
        <w:rPr>
          <w:rFonts w:eastAsia="Calibri" w:cs="Arial"/>
          <w:szCs w:val="20"/>
          <w:lang w:eastAsia="en-US"/>
        </w:rPr>
        <w:t>byłoby mniejsze od wymaganego wg</w:t>
      </w:r>
    </w:p>
    <w:p w14:paraId="27F687E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kpt. 5.2.1.4 niniejszej ST.</w:t>
      </w:r>
    </w:p>
    <w:p w14:paraId="37C8AAE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Najwa</w:t>
      </w:r>
      <w:r w:rsidRPr="00F557BB">
        <w:rPr>
          <w:rFonts w:eastAsia="TimesNewRoman" w:cs="Arial"/>
          <w:szCs w:val="20"/>
          <w:lang w:eastAsia="en-US"/>
        </w:rPr>
        <w:t>ż</w:t>
      </w:r>
      <w:r w:rsidRPr="00F557BB">
        <w:rPr>
          <w:rFonts w:eastAsia="Calibri" w:cs="Arial"/>
          <w:szCs w:val="20"/>
          <w:lang w:eastAsia="en-US"/>
        </w:rPr>
        <w:t>niejsze dopuszczalne odległo</w:t>
      </w:r>
      <w:r w:rsidRPr="00F557BB">
        <w:rPr>
          <w:rFonts w:eastAsia="TimesNewRoman" w:cs="Arial"/>
          <w:szCs w:val="20"/>
          <w:lang w:eastAsia="en-US"/>
        </w:rPr>
        <w:t>ś</w:t>
      </w:r>
      <w:r w:rsidRPr="00F557BB">
        <w:rPr>
          <w:rFonts w:eastAsia="Calibri" w:cs="Arial"/>
          <w:szCs w:val="20"/>
          <w:lang w:eastAsia="en-US"/>
        </w:rPr>
        <w:t>ci w rzucie pionowym lub poziomym mi</w:t>
      </w:r>
      <w:r w:rsidRPr="00F557BB">
        <w:rPr>
          <w:rFonts w:eastAsia="TimesNewRoman" w:cs="Arial"/>
          <w:szCs w:val="20"/>
          <w:lang w:eastAsia="en-US"/>
        </w:rPr>
        <w:t>ę</w:t>
      </w:r>
      <w:r w:rsidRPr="00F557BB">
        <w:rPr>
          <w:rFonts w:eastAsia="Calibri" w:cs="Arial"/>
          <w:szCs w:val="20"/>
          <w:lang w:eastAsia="en-US"/>
        </w:rPr>
        <w:t>dzy kraw</w:t>
      </w:r>
      <w:r w:rsidRPr="00F557BB">
        <w:rPr>
          <w:rFonts w:eastAsia="TimesNewRoman" w:cs="Arial"/>
          <w:szCs w:val="20"/>
          <w:lang w:eastAsia="en-US"/>
        </w:rPr>
        <w:t>ę</w:t>
      </w:r>
      <w:r w:rsidRPr="00F557BB">
        <w:rPr>
          <w:rFonts w:eastAsia="Calibri" w:cs="Arial"/>
          <w:szCs w:val="20"/>
          <w:lang w:eastAsia="en-US"/>
        </w:rPr>
        <w:t>dziami</w:t>
      </w:r>
    </w:p>
    <w:p w14:paraId="2851D8D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ci</w:t>
      </w:r>
      <w:r w:rsidRPr="00F557BB">
        <w:rPr>
          <w:rFonts w:eastAsia="TimesNewRoman" w:cs="Arial"/>
          <w:szCs w:val="20"/>
          <w:lang w:eastAsia="en-US"/>
        </w:rPr>
        <w:t>ą</w:t>
      </w:r>
      <w:r w:rsidRPr="00F557BB">
        <w:rPr>
          <w:rFonts w:eastAsia="Calibri" w:cs="Arial"/>
          <w:szCs w:val="20"/>
          <w:lang w:eastAsia="en-US"/>
        </w:rPr>
        <w:t>gów kanalizacji a innymi urz</w:t>
      </w:r>
      <w:r w:rsidRPr="00F557BB">
        <w:rPr>
          <w:rFonts w:eastAsia="TimesNewRoman" w:cs="Arial"/>
          <w:szCs w:val="20"/>
          <w:lang w:eastAsia="en-US"/>
        </w:rPr>
        <w:t>ą</w:t>
      </w:r>
      <w:r w:rsidRPr="00F557BB">
        <w:rPr>
          <w:rFonts w:eastAsia="Calibri" w:cs="Arial"/>
          <w:szCs w:val="20"/>
          <w:lang w:eastAsia="en-US"/>
        </w:rPr>
        <w:t>dzeniami podziemnymi nie powinny by</w:t>
      </w:r>
      <w:r w:rsidRPr="00F557BB">
        <w:rPr>
          <w:rFonts w:eastAsia="TimesNewRoman" w:cs="Arial"/>
          <w:szCs w:val="20"/>
          <w:lang w:eastAsia="en-US"/>
        </w:rPr>
        <w:t xml:space="preserve">ć </w:t>
      </w:r>
      <w:r w:rsidRPr="00F557BB">
        <w:rPr>
          <w:rFonts w:eastAsia="Calibri" w:cs="Arial"/>
          <w:szCs w:val="20"/>
          <w:lang w:eastAsia="en-US"/>
        </w:rPr>
        <w:t>mniejsze od podanych</w:t>
      </w:r>
    </w:p>
    <w:p w14:paraId="66F8269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tablicy normy BN-73/8984-05 [22].</w:t>
      </w:r>
    </w:p>
    <w:p w14:paraId="58ED4612"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5.2. Studnie kablowe</w:t>
      </w:r>
    </w:p>
    <w:p w14:paraId="21A60AD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Na nowych ci</w:t>
      </w:r>
      <w:r w:rsidRPr="00F557BB">
        <w:rPr>
          <w:rFonts w:eastAsia="TimesNewRoman" w:cs="Arial"/>
          <w:szCs w:val="20"/>
          <w:lang w:eastAsia="en-US"/>
        </w:rPr>
        <w:t>ą</w:t>
      </w:r>
      <w:r w:rsidRPr="00F557BB">
        <w:rPr>
          <w:rFonts w:eastAsia="Calibri" w:cs="Arial"/>
          <w:szCs w:val="20"/>
          <w:lang w:eastAsia="en-US"/>
        </w:rPr>
        <w:t>gach kanalizacji stosowa</w:t>
      </w:r>
      <w:r w:rsidRPr="00F557BB">
        <w:rPr>
          <w:rFonts w:eastAsia="TimesNewRoman" w:cs="Arial"/>
          <w:szCs w:val="20"/>
          <w:lang w:eastAsia="en-US"/>
        </w:rPr>
        <w:t xml:space="preserve">ć </w:t>
      </w:r>
      <w:r w:rsidRPr="00F557BB">
        <w:rPr>
          <w:rFonts w:eastAsia="Calibri" w:cs="Arial"/>
          <w:szCs w:val="20"/>
          <w:lang w:eastAsia="en-US"/>
        </w:rPr>
        <w:t>studnie prefabrykowane. W uzasadnionych</w:t>
      </w:r>
    </w:p>
    <w:p w14:paraId="79FB907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przypadkach dopuszcza si</w:t>
      </w:r>
      <w:r w:rsidRPr="00F557BB">
        <w:rPr>
          <w:rFonts w:eastAsia="TimesNewRoman" w:cs="Arial"/>
          <w:szCs w:val="20"/>
          <w:lang w:eastAsia="en-US"/>
        </w:rPr>
        <w:t xml:space="preserve">ę </w:t>
      </w:r>
      <w:r w:rsidRPr="00F557BB">
        <w:rPr>
          <w:rFonts w:eastAsia="Calibri" w:cs="Arial"/>
          <w:szCs w:val="20"/>
          <w:lang w:eastAsia="en-US"/>
        </w:rPr>
        <w:t>studnie murowane z bloczków betonowych. Studnie wykonywane z</w:t>
      </w:r>
    </w:p>
    <w:p w14:paraId="42E1BFF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bloczków powinny by</w:t>
      </w:r>
      <w:r w:rsidRPr="00F557BB">
        <w:rPr>
          <w:rFonts w:eastAsia="TimesNewRoman" w:cs="Arial"/>
          <w:szCs w:val="20"/>
          <w:lang w:eastAsia="en-US"/>
        </w:rPr>
        <w:t xml:space="preserve">ć </w:t>
      </w:r>
      <w:r w:rsidRPr="00F557BB">
        <w:rPr>
          <w:rFonts w:eastAsia="Calibri" w:cs="Arial"/>
          <w:szCs w:val="20"/>
          <w:lang w:eastAsia="en-US"/>
        </w:rPr>
        <w:t>zgodnie z norm</w:t>
      </w:r>
      <w:r w:rsidRPr="00F557BB">
        <w:rPr>
          <w:rFonts w:eastAsia="TimesNewRoman" w:cs="Arial"/>
          <w:szCs w:val="20"/>
          <w:lang w:eastAsia="en-US"/>
        </w:rPr>
        <w:t xml:space="preserve">ą </w:t>
      </w:r>
      <w:r w:rsidRPr="00F557BB">
        <w:rPr>
          <w:rFonts w:eastAsia="Calibri" w:cs="Arial"/>
          <w:szCs w:val="20"/>
          <w:lang w:eastAsia="en-US"/>
        </w:rPr>
        <w:t>BN-73/8984-01 [20]. W studniach na ci</w:t>
      </w:r>
      <w:r w:rsidRPr="00F557BB">
        <w:rPr>
          <w:rFonts w:eastAsia="TimesNewRoman" w:cs="Arial"/>
          <w:szCs w:val="20"/>
          <w:lang w:eastAsia="en-US"/>
        </w:rPr>
        <w:t>ą</w:t>
      </w:r>
      <w:r w:rsidRPr="00F557BB">
        <w:rPr>
          <w:rFonts w:eastAsia="Calibri" w:cs="Arial"/>
          <w:szCs w:val="20"/>
          <w:lang w:eastAsia="en-US"/>
        </w:rPr>
        <w:t>gu kanalizacji</w:t>
      </w:r>
    </w:p>
    <w:p w14:paraId="698ED42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systemowej zamontowa</w:t>
      </w:r>
      <w:r w:rsidRPr="00F557BB">
        <w:rPr>
          <w:rFonts w:eastAsia="TimesNewRoman" w:cs="Arial"/>
          <w:szCs w:val="20"/>
          <w:lang w:eastAsia="en-US"/>
        </w:rPr>
        <w:t xml:space="preserve">ć </w:t>
      </w:r>
      <w:r w:rsidRPr="00F557BB">
        <w:rPr>
          <w:rFonts w:eastAsia="Calibri" w:cs="Arial"/>
          <w:szCs w:val="20"/>
          <w:lang w:eastAsia="en-US"/>
        </w:rPr>
        <w:t>zabezpieczenie pokrywy włazu przed ingerencj</w:t>
      </w:r>
      <w:r w:rsidRPr="00F557BB">
        <w:rPr>
          <w:rFonts w:eastAsia="TimesNewRoman" w:cs="Arial"/>
          <w:szCs w:val="20"/>
          <w:lang w:eastAsia="en-US"/>
        </w:rPr>
        <w:t xml:space="preserve">ą </w:t>
      </w:r>
      <w:r w:rsidRPr="00F557BB">
        <w:rPr>
          <w:rFonts w:eastAsia="Calibri" w:cs="Arial"/>
          <w:szCs w:val="20"/>
          <w:lang w:eastAsia="en-US"/>
        </w:rPr>
        <w:t>osób</w:t>
      </w:r>
    </w:p>
    <w:p w14:paraId="276EB3F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nieuprawnionych zgodne z norm</w:t>
      </w:r>
      <w:r w:rsidRPr="00F557BB">
        <w:rPr>
          <w:rFonts w:eastAsia="TimesNewRoman" w:cs="Arial"/>
          <w:szCs w:val="20"/>
          <w:lang w:eastAsia="en-US"/>
        </w:rPr>
        <w:t xml:space="preserve">ą </w:t>
      </w:r>
      <w:r w:rsidRPr="00F557BB">
        <w:rPr>
          <w:rFonts w:eastAsia="Calibri" w:cs="Arial"/>
          <w:szCs w:val="20"/>
          <w:lang w:eastAsia="en-US"/>
        </w:rPr>
        <w:t>ZN-96/TPSA-041 [54] oraz wyposa</w:t>
      </w:r>
      <w:r w:rsidRPr="00F557BB">
        <w:rPr>
          <w:rFonts w:eastAsia="TimesNewRoman" w:cs="Arial"/>
          <w:szCs w:val="20"/>
          <w:lang w:eastAsia="en-US"/>
        </w:rPr>
        <w:t>ż</w:t>
      </w:r>
      <w:r w:rsidRPr="00F557BB">
        <w:rPr>
          <w:rFonts w:eastAsia="Calibri" w:cs="Arial"/>
          <w:szCs w:val="20"/>
          <w:lang w:eastAsia="en-US"/>
        </w:rPr>
        <w:t>y</w:t>
      </w:r>
      <w:r w:rsidRPr="00F557BB">
        <w:rPr>
          <w:rFonts w:eastAsia="TimesNewRoman" w:cs="Arial"/>
          <w:szCs w:val="20"/>
          <w:lang w:eastAsia="en-US"/>
        </w:rPr>
        <w:t xml:space="preserve">ć </w:t>
      </w:r>
      <w:r w:rsidRPr="00F557BB">
        <w:rPr>
          <w:rFonts w:eastAsia="Calibri" w:cs="Arial"/>
          <w:szCs w:val="20"/>
          <w:lang w:eastAsia="en-US"/>
        </w:rPr>
        <w:t>w zamki.</w:t>
      </w:r>
    </w:p>
    <w:p w14:paraId="5CF9E61D"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5.3. Rozbiórka i odtworzenie nawierzchni chodników</w:t>
      </w:r>
    </w:p>
    <w:p w14:paraId="79FDBDE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Roboty rozbiórkowe nale</w:t>
      </w:r>
      <w:r w:rsidRPr="00F557BB">
        <w:rPr>
          <w:rFonts w:eastAsia="TimesNewRoman" w:cs="Arial"/>
          <w:szCs w:val="20"/>
          <w:lang w:eastAsia="en-US"/>
        </w:rPr>
        <w:t>ż</w:t>
      </w:r>
      <w:r w:rsidRPr="00F557BB">
        <w:rPr>
          <w:rFonts w:eastAsia="Calibri" w:cs="Arial"/>
          <w:szCs w:val="20"/>
          <w:lang w:eastAsia="en-US"/>
        </w:rPr>
        <w:t>y wykonywa</w:t>
      </w:r>
      <w:r w:rsidRPr="00F557BB">
        <w:rPr>
          <w:rFonts w:eastAsia="TimesNewRoman" w:cs="Arial"/>
          <w:szCs w:val="20"/>
          <w:lang w:eastAsia="en-US"/>
        </w:rPr>
        <w:t xml:space="preserve">ć </w:t>
      </w:r>
      <w:r w:rsidRPr="00F557BB">
        <w:rPr>
          <w:rFonts w:eastAsia="Calibri" w:cs="Arial"/>
          <w:szCs w:val="20"/>
          <w:lang w:eastAsia="en-US"/>
        </w:rPr>
        <w:t>r</w:t>
      </w:r>
      <w:r w:rsidRPr="00F557BB">
        <w:rPr>
          <w:rFonts w:eastAsia="TimesNewRoman" w:cs="Arial"/>
          <w:szCs w:val="20"/>
          <w:lang w:eastAsia="en-US"/>
        </w:rPr>
        <w:t>ę</w:t>
      </w:r>
      <w:r w:rsidRPr="00F557BB">
        <w:rPr>
          <w:rFonts w:eastAsia="Calibri" w:cs="Arial"/>
          <w:szCs w:val="20"/>
          <w:lang w:eastAsia="en-US"/>
        </w:rPr>
        <w:t>cznie. Wszystkie elementy mo</w:t>
      </w:r>
      <w:r w:rsidRPr="00F557BB">
        <w:rPr>
          <w:rFonts w:eastAsia="TimesNewRoman" w:cs="Arial"/>
          <w:szCs w:val="20"/>
          <w:lang w:eastAsia="en-US"/>
        </w:rPr>
        <w:t>ż</w:t>
      </w:r>
      <w:r w:rsidRPr="00F557BB">
        <w:rPr>
          <w:rFonts w:eastAsia="Calibri" w:cs="Arial"/>
          <w:szCs w:val="20"/>
          <w:lang w:eastAsia="en-US"/>
        </w:rPr>
        <w:t>liwe do powtórnego</w:t>
      </w:r>
    </w:p>
    <w:p w14:paraId="166B18D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wykorzystania powinny by</w:t>
      </w:r>
      <w:r w:rsidRPr="00F557BB">
        <w:rPr>
          <w:rFonts w:eastAsia="TimesNewRoman" w:cs="Arial"/>
          <w:szCs w:val="20"/>
          <w:lang w:eastAsia="en-US"/>
        </w:rPr>
        <w:t xml:space="preserve">ć </w:t>
      </w:r>
      <w:r w:rsidRPr="00F557BB">
        <w:rPr>
          <w:rFonts w:eastAsia="Calibri" w:cs="Arial"/>
          <w:szCs w:val="20"/>
          <w:lang w:eastAsia="en-US"/>
        </w:rPr>
        <w:t>usuwane bez powodowania zb</w:t>
      </w:r>
      <w:r w:rsidRPr="00F557BB">
        <w:rPr>
          <w:rFonts w:eastAsia="TimesNewRoman" w:cs="Arial"/>
          <w:szCs w:val="20"/>
          <w:lang w:eastAsia="en-US"/>
        </w:rPr>
        <w:t>ę</w:t>
      </w:r>
      <w:r w:rsidRPr="00F557BB">
        <w:rPr>
          <w:rFonts w:eastAsia="Calibri" w:cs="Arial"/>
          <w:szCs w:val="20"/>
          <w:lang w:eastAsia="en-US"/>
        </w:rPr>
        <w:t>dnych uszkodze</w:t>
      </w:r>
      <w:r w:rsidRPr="00F557BB">
        <w:rPr>
          <w:rFonts w:eastAsia="TimesNewRoman" w:cs="Arial"/>
          <w:szCs w:val="20"/>
          <w:lang w:eastAsia="en-US"/>
        </w:rPr>
        <w:t>ń</w:t>
      </w:r>
      <w:r w:rsidRPr="00F557BB">
        <w:rPr>
          <w:rFonts w:eastAsia="Calibri" w:cs="Arial"/>
          <w:szCs w:val="20"/>
          <w:lang w:eastAsia="en-US"/>
        </w:rPr>
        <w:t>. O ile uzyskane</w:t>
      </w:r>
    </w:p>
    <w:p w14:paraId="25A3D1E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elementy nie staj</w:t>
      </w:r>
      <w:r w:rsidRPr="00F557BB">
        <w:rPr>
          <w:rFonts w:eastAsia="TimesNewRoman" w:cs="Arial"/>
          <w:szCs w:val="20"/>
          <w:lang w:eastAsia="en-US"/>
        </w:rPr>
        <w:t xml:space="preserve">ą </w:t>
      </w:r>
      <w:r w:rsidRPr="00F557BB">
        <w:rPr>
          <w:rFonts w:eastAsia="Calibri" w:cs="Arial"/>
          <w:szCs w:val="20"/>
          <w:lang w:eastAsia="en-US"/>
        </w:rPr>
        <w:t>si</w:t>
      </w:r>
      <w:r w:rsidRPr="00F557BB">
        <w:rPr>
          <w:rFonts w:eastAsia="TimesNewRoman" w:cs="Arial"/>
          <w:szCs w:val="20"/>
          <w:lang w:eastAsia="en-US"/>
        </w:rPr>
        <w:t xml:space="preserve">ę </w:t>
      </w:r>
      <w:r w:rsidRPr="00F557BB">
        <w:rPr>
          <w:rFonts w:eastAsia="Calibri" w:cs="Arial"/>
          <w:szCs w:val="20"/>
          <w:lang w:eastAsia="en-US"/>
        </w:rPr>
        <w:t>własno</w:t>
      </w:r>
      <w:r w:rsidRPr="00F557BB">
        <w:rPr>
          <w:rFonts w:eastAsia="TimesNewRoman" w:cs="Arial"/>
          <w:szCs w:val="20"/>
          <w:lang w:eastAsia="en-US"/>
        </w:rPr>
        <w:t>ś</w:t>
      </w:r>
      <w:r w:rsidRPr="00F557BB">
        <w:rPr>
          <w:rFonts w:eastAsia="Calibri" w:cs="Arial"/>
          <w:szCs w:val="20"/>
          <w:lang w:eastAsia="en-US"/>
        </w:rPr>
        <w:t>ci</w:t>
      </w:r>
      <w:r w:rsidRPr="00F557BB">
        <w:rPr>
          <w:rFonts w:eastAsia="TimesNewRoman" w:cs="Arial"/>
          <w:szCs w:val="20"/>
          <w:lang w:eastAsia="en-US"/>
        </w:rPr>
        <w:t xml:space="preserve">ą </w:t>
      </w:r>
      <w:r w:rsidRPr="00F557BB">
        <w:rPr>
          <w:rFonts w:eastAsia="Calibri" w:cs="Arial"/>
          <w:szCs w:val="20"/>
          <w:lang w:eastAsia="en-US"/>
        </w:rPr>
        <w:t>Wykonawcy, powinien on przewie</w:t>
      </w:r>
      <w:r w:rsidRPr="00F557BB">
        <w:rPr>
          <w:rFonts w:eastAsia="TimesNewRoman" w:cs="Arial"/>
          <w:szCs w:val="20"/>
          <w:lang w:eastAsia="en-US"/>
        </w:rPr>
        <w:t xml:space="preserve">źć </w:t>
      </w:r>
      <w:r w:rsidRPr="00F557BB">
        <w:rPr>
          <w:rFonts w:eastAsia="Calibri" w:cs="Arial"/>
          <w:szCs w:val="20"/>
          <w:lang w:eastAsia="en-US"/>
        </w:rPr>
        <w:t>je na miejsce wskazane</w:t>
      </w:r>
    </w:p>
    <w:p w14:paraId="18B986A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przez Inspektora Nadzoru. Elementy i materiały, które staj</w:t>
      </w:r>
      <w:r w:rsidRPr="00F557BB">
        <w:rPr>
          <w:rFonts w:eastAsia="TimesNewRoman" w:cs="Arial"/>
          <w:szCs w:val="20"/>
          <w:lang w:eastAsia="en-US"/>
        </w:rPr>
        <w:t xml:space="preserve">ą </w:t>
      </w:r>
      <w:r w:rsidRPr="00F557BB">
        <w:rPr>
          <w:rFonts w:eastAsia="Calibri" w:cs="Arial"/>
          <w:szCs w:val="20"/>
          <w:lang w:eastAsia="en-US"/>
        </w:rPr>
        <w:t>si</w:t>
      </w:r>
      <w:r w:rsidRPr="00F557BB">
        <w:rPr>
          <w:rFonts w:eastAsia="TimesNewRoman" w:cs="Arial"/>
          <w:szCs w:val="20"/>
          <w:lang w:eastAsia="en-US"/>
        </w:rPr>
        <w:t xml:space="preserve">ę </w:t>
      </w:r>
      <w:r w:rsidRPr="00F557BB">
        <w:rPr>
          <w:rFonts w:eastAsia="Calibri" w:cs="Arial"/>
          <w:szCs w:val="20"/>
          <w:lang w:eastAsia="en-US"/>
        </w:rPr>
        <w:t>własno</w:t>
      </w:r>
      <w:r w:rsidRPr="00F557BB">
        <w:rPr>
          <w:rFonts w:eastAsia="TimesNewRoman" w:cs="Arial"/>
          <w:szCs w:val="20"/>
          <w:lang w:eastAsia="en-US"/>
        </w:rPr>
        <w:t>ś</w:t>
      </w:r>
      <w:r w:rsidRPr="00F557BB">
        <w:rPr>
          <w:rFonts w:eastAsia="Calibri" w:cs="Arial"/>
          <w:szCs w:val="20"/>
          <w:lang w:eastAsia="en-US"/>
        </w:rPr>
        <w:t>ci</w:t>
      </w:r>
      <w:r w:rsidRPr="00F557BB">
        <w:rPr>
          <w:rFonts w:eastAsia="TimesNewRoman" w:cs="Arial"/>
          <w:szCs w:val="20"/>
          <w:lang w:eastAsia="en-US"/>
        </w:rPr>
        <w:t xml:space="preserve">ą </w:t>
      </w:r>
      <w:r w:rsidRPr="00F557BB">
        <w:rPr>
          <w:rFonts w:eastAsia="Calibri" w:cs="Arial"/>
          <w:szCs w:val="20"/>
          <w:lang w:eastAsia="en-US"/>
        </w:rPr>
        <w:t>Wykonawcy,</w:t>
      </w:r>
    </w:p>
    <w:p w14:paraId="206FA3C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powinny by</w:t>
      </w:r>
      <w:r w:rsidRPr="00F557BB">
        <w:rPr>
          <w:rFonts w:eastAsia="TimesNewRoman" w:cs="Arial"/>
          <w:szCs w:val="20"/>
          <w:lang w:eastAsia="en-US"/>
        </w:rPr>
        <w:t xml:space="preserve">ć </w:t>
      </w:r>
      <w:r w:rsidRPr="00F557BB">
        <w:rPr>
          <w:rFonts w:eastAsia="Calibri" w:cs="Arial"/>
          <w:szCs w:val="20"/>
          <w:lang w:eastAsia="en-US"/>
        </w:rPr>
        <w:t>usuni</w:t>
      </w:r>
      <w:r w:rsidRPr="00F557BB">
        <w:rPr>
          <w:rFonts w:eastAsia="TimesNewRoman" w:cs="Arial"/>
          <w:szCs w:val="20"/>
          <w:lang w:eastAsia="en-US"/>
        </w:rPr>
        <w:t>ę</w:t>
      </w:r>
      <w:r w:rsidRPr="00F557BB">
        <w:rPr>
          <w:rFonts w:eastAsia="Calibri" w:cs="Arial"/>
          <w:szCs w:val="20"/>
          <w:lang w:eastAsia="en-US"/>
        </w:rPr>
        <w:t>te z terenu budowy.</w:t>
      </w:r>
    </w:p>
    <w:p w14:paraId="75EB3E2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Doły (wykopy) powstałe po rozbiórce elementów chodników, znajduj</w:t>
      </w:r>
      <w:r w:rsidRPr="00F557BB">
        <w:rPr>
          <w:rFonts w:eastAsia="TimesNewRoman" w:cs="Arial"/>
          <w:szCs w:val="20"/>
          <w:lang w:eastAsia="en-US"/>
        </w:rPr>
        <w:t>ą</w:t>
      </w:r>
      <w:r w:rsidRPr="00F557BB">
        <w:rPr>
          <w:rFonts w:eastAsia="Calibri" w:cs="Arial"/>
          <w:szCs w:val="20"/>
          <w:lang w:eastAsia="en-US"/>
        </w:rPr>
        <w:t>ce si</w:t>
      </w:r>
      <w:r w:rsidRPr="00F557BB">
        <w:rPr>
          <w:rFonts w:eastAsia="TimesNewRoman" w:cs="Arial"/>
          <w:szCs w:val="20"/>
          <w:lang w:eastAsia="en-US"/>
        </w:rPr>
        <w:t xml:space="preserve">ę </w:t>
      </w:r>
      <w:r w:rsidRPr="00F557BB">
        <w:rPr>
          <w:rFonts w:eastAsia="Calibri" w:cs="Arial"/>
          <w:szCs w:val="20"/>
          <w:lang w:eastAsia="en-US"/>
        </w:rPr>
        <w:t>w miejscach, gdzie</w:t>
      </w:r>
    </w:p>
    <w:p w14:paraId="5CBCE3E4"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zgodnie z dokumentacj</w:t>
      </w:r>
      <w:r w:rsidRPr="00F557BB">
        <w:rPr>
          <w:rFonts w:eastAsia="TimesNewRoman" w:cs="Arial"/>
          <w:szCs w:val="20"/>
          <w:lang w:eastAsia="en-US"/>
        </w:rPr>
        <w:t xml:space="preserve">ą </w:t>
      </w:r>
      <w:r w:rsidRPr="00F557BB">
        <w:rPr>
          <w:rFonts w:eastAsia="Calibri" w:cs="Arial"/>
          <w:szCs w:val="20"/>
          <w:lang w:eastAsia="en-US"/>
        </w:rPr>
        <w:t>projektow</w:t>
      </w:r>
      <w:r w:rsidRPr="00F557BB">
        <w:rPr>
          <w:rFonts w:eastAsia="TimesNewRoman" w:cs="Arial"/>
          <w:szCs w:val="20"/>
          <w:lang w:eastAsia="en-US"/>
        </w:rPr>
        <w:t xml:space="preserve">ą </w:t>
      </w:r>
      <w:r w:rsidRPr="00F557BB">
        <w:rPr>
          <w:rFonts w:eastAsia="Calibri" w:cs="Arial"/>
          <w:szCs w:val="20"/>
          <w:lang w:eastAsia="en-US"/>
        </w:rPr>
        <w:t>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wykonane wykopy pod kable i maszty, powinny by</w:t>
      </w:r>
      <w:r w:rsidRPr="00F557BB">
        <w:rPr>
          <w:rFonts w:eastAsia="TimesNewRoman" w:cs="Arial"/>
          <w:szCs w:val="20"/>
          <w:lang w:eastAsia="en-US"/>
        </w:rPr>
        <w:t>ć</w:t>
      </w:r>
    </w:p>
    <w:p w14:paraId="557F8DC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tymczasowo zabezpieczone. W szczególno</w:t>
      </w:r>
      <w:r w:rsidRPr="00F557BB">
        <w:rPr>
          <w:rFonts w:eastAsia="TimesNewRoman" w:cs="Arial"/>
          <w:szCs w:val="20"/>
          <w:lang w:eastAsia="en-US"/>
        </w:rPr>
        <w:t>ś</w:t>
      </w:r>
      <w:r w:rsidRPr="00F557BB">
        <w:rPr>
          <w:rFonts w:eastAsia="Calibri" w:cs="Arial"/>
          <w:szCs w:val="20"/>
          <w:lang w:eastAsia="en-US"/>
        </w:rPr>
        <w:t>ci nale</w:t>
      </w:r>
      <w:r w:rsidRPr="00F557BB">
        <w:rPr>
          <w:rFonts w:eastAsia="TimesNewRoman" w:cs="Arial"/>
          <w:szCs w:val="20"/>
          <w:lang w:eastAsia="en-US"/>
        </w:rPr>
        <w:t>ż</w:t>
      </w:r>
      <w:r w:rsidRPr="00F557BB">
        <w:rPr>
          <w:rFonts w:eastAsia="Calibri" w:cs="Arial"/>
          <w:szCs w:val="20"/>
          <w:lang w:eastAsia="en-US"/>
        </w:rPr>
        <w:t>y zapobiec gromadzeniu si</w:t>
      </w:r>
      <w:r w:rsidRPr="00F557BB">
        <w:rPr>
          <w:rFonts w:eastAsia="TimesNewRoman" w:cs="Arial"/>
          <w:szCs w:val="20"/>
          <w:lang w:eastAsia="en-US"/>
        </w:rPr>
        <w:t xml:space="preserve">ę </w:t>
      </w:r>
      <w:r w:rsidRPr="00F557BB">
        <w:rPr>
          <w:rFonts w:eastAsia="Calibri" w:cs="Arial"/>
          <w:szCs w:val="20"/>
          <w:lang w:eastAsia="en-US"/>
        </w:rPr>
        <w:t>w nich wody</w:t>
      </w:r>
    </w:p>
    <w:p w14:paraId="196FC18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opadowej.</w:t>
      </w:r>
    </w:p>
    <w:p w14:paraId="6F5EFEAC"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Roboty odtworzeniowe nawierzchni chodników nale</w:t>
      </w:r>
      <w:r w:rsidRPr="00F557BB">
        <w:rPr>
          <w:rFonts w:eastAsia="TimesNewRoman" w:cs="Arial"/>
          <w:szCs w:val="20"/>
          <w:lang w:eastAsia="en-US"/>
        </w:rPr>
        <w:t>ż</w:t>
      </w:r>
      <w:r w:rsidRPr="00F557BB">
        <w:rPr>
          <w:rFonts w:eastAsia="Calibri" w:cs="Arial"/>
          <w:szCs w:val="20"/>
          <w:lang w:eastAsia="en-US"/>
        </w:rPr>
        <w:t>y wykonywa</w:t>
      </w:r>
      <w:r w:rsidRPr="00F557BB">
        <w:rPr>
          <w:rFonts w:eastAsia="TimesNewRoman" w:cs="Arial"/>
          <w:szCs w:val="20"/>
          <w:lang w:eastAsia="en-US"/>
        </w:rPr>
        <w:t xml:space="preserve">ć </w:t>
      </w:r>
      <w:r w:rsidRPr="00F557BB">
        <w:rPr>
          <w:rFonts w:eastAsia="Calibri" w:cs="Arial"/>
          <w:szCs w:val="20"/>
          <w:lang w:eastAsia="en-US"/>
        </w:rPr>
        <w:t>ze staranno</w:t>
      </w:r>
      <w:r w:rsidRPr="00F557BB">
        <w:rPr>
          <w:rFonts w:eastAsia="TimesNewRoman" w:cs="Arial"/>
          <w:szCs w:val="20"/>
          <w:lang w:eastAsia="en-US"/>
        </w:rPr>
        <w:t>ś</w:t>
      </w:r>
      <w:r w:rsidRPr="00F557BB">
        <w:rPr>
          <w:rFonts w:eastAsia="Calibri" w:cs="Arial"/>
          <w:szCs w:val="20"/>
          <w:lang w:eastAsia="en-US"/>
        </w:rPr>
        <w:t>ci</w:t>
      </w:r>
      <w:r w:rsidRPr="00F557BB">
        <w:rPr>
          <w:rFonts w:eastAsia="TimesNewRoman" w:cs="Arial"/>
          <w:szCs w:val="20"/>
          <w:lang w:eastAsia="en-US"/>
        </w:rPr>
        <w:t>ą</w:t>
      </w:r>
    </w:p>
    <w:p w14:paraId="2A5D0F0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gwarantuj</w:t>
      </w:r>
      <w:r w:rsidRPr="00F557BB">
        <w:rPr>
          <w:rFonts w:eastAsia="TimesNewRoman" w:cs="Arial"/>
          <w:szCs w:val="20"/>
          <w:lang w:eastAsia="en-US"/>
        </w:rPr>
        <w:t>ą</w:t>
      </w:r>
      <w:r w:rsidRPr="00F557BB">
        <w:rPr>
          <w:rFonts w:eastAsia="Calibri" w:cs="Arial"/>
          <w:szCs w:val="20"/>
          <w:lang w:eastAsia="en-US"/>
        </w:rPr>
        <w:t>c</w:t>
      </w:r>
      <w:r w:rsidRPr="00F557BB">
        <w:rPr>
          <w:rFonts w:eastAsia="TimesNewRoman" w:cs="Arial"/>
          <w:szCs w:val="20"/>
          <w:lang w:eastAsia="en-US"/>
        </w:rPr>
        <w:t xml:space="preserve">ą </w:t>
      </w:r>
      <w:r w:rsidRPr="00F557BB">
        <w:rPr>
          <w:rFonts w:eastAsia="Calibri" w:cs="Arial"/>
          <w:szCs w:val="20"/>
          <w:lang w:eastAsia="en-US"/>
        </w:rPr>
        <w:t>przywrócenie tych nawierzchni do stanu pierwotnego. Po zako</w:t>
      </w:r>
      <w:r w:rsidRPr="00F557BB">
        <w:rPr>
          <w:rFonts w:eastAsia="TimesNewRoman" w:cs="Arial"/>
          <w:szCs w:val="20"/>
          <w:lang w:eastAsia="en-US"/>
        </w:rPr>
        <w:t>ń</w:t>
      </w:r>
      <w:r w:rsidRPr="00F557BB">
        <w:rPr>
          <w:rFonts w:eastAsia="Calibri" w:cs="Arial"/>
          <w:szCs w:val="20"/>
          <w:lang w:eastAsia="en-US"/>
        </w:rPr>
        <w:t>czeniu robót</w:t>
      </w:r>
    </w:p>
    <w:p w14:paraId="4F15A9C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zwi</w:t>
      </w:r>
      <w:r w:rsidRPr="00F557BB">
        <w:rPr>
          <w:rFonts w:eastAsia="TimesNewRoman" w:cs="Arial"/>
          <w:szCs w:val="20"/>
          <w:lang w:eastAsia="en-US"/>
        </w:rPr>
        <w:t>ą</w:t>
      </w:r>
      <w:r w:rsidRPr="00F557BB">
        <w:rPr>
          <w:rFonts w:eastAsia="Calibri" w:cs="Arial"/>
          <w:szCs w:val="20"/>
          <w:lang w:eastAsia="en-US"/>
        </w:rPr>
        <w:t>zanych z odtworzeniem nawierzchni nale</w:t>
      </w:r>
      <w:r w:rsidRPr="00F557BB">
        <w:rPr>
          <w:rFonts w:eastAsia="TimesNewRoman" w:cs="Arial"/>
          <w:szCs w:val="20"/>
          <w:lang w:eastAsia="en-US"/>
        </w:rPr>
        <w:t>ż</w:t>
      </w:r>
      <w:r w:rsidRPr="00F557BB">
        <w:rPr>
          <w:rFonts w:eastAsia="Calibri" w:cs="Arial"/>
          <w:szCs w:val="20"/>
          <w:lang w:eastAsia="en-US"/>
        </w:rPr>
        <w:t>y wykona</w:t>
      </w:r>
      <w:r w:rsidRPr="00F557BB">
        <w:rPr>
          <w:rFonts w:eastAsia="TimesNewRoman" w:cs="Arial"/>
          <w:szCs w:val="20"/>
          <w:lang w:eastAsia="en-US"/>
        </w:rPr>
        <w:t xml:space="preserve">ć </w:t>
      </w:r>
      <w:r w:rsidRPr="00F557BB">
        <w:rPr>
          <w:rFonts w:eastAsia="Calibri" w:cs="Arial"/>
          <w:szCs w:val="20"/>
          <w:lang w:eastAsia="en-US"/>
        </w:rPr>
        <w:t>badania kontrolno-pomiarowe stopnia</w:t>
      </w:r>
    </w:p>
    <w:p w14:paraId="0D1E056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zag</w:t>
      </w:r>
      <w:r w:rsidRPr="00F557BB">
        <w:rPr>
          <w:rFonts w:eastAsia="TimesNewRoman" w:cs="Arial"/>
          <w:szCs w:val="20"/>
          <w:lang w:eastAsia="en-US"/>
        </w:rPr>
        <w:t>ę</w:t>
      </w:r>
      <w:r w:rsidRPr="00F557BB">
        <w:rPr>
          <w:rFonts w:eastAsia="Calibri" w:cs="Arial"/>
          <w:szCs w:val="20"/>
          <w:lang w:eastAsia="en-US"/>
        </w:rPr>
        <w:t>szczenia gruntu.</w:t>
      </w:r>
    </w:p>
    <w:p w14:paraId="53C2851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 zako</w:t>
      </w:r>
      <w:r w:rsidRPr="00F557BB">
        <w:rPr>
          <w:rFonts w:eastAsia="TimesNewRoman" w:cs="Arial"/>
          <w:szCs w:val="20"/>
          <w:lang w:eastAsia="en-US"/>
        </w:rPr>
        <w:t>ń</w:t>
      </w:r>
      <w:r w:rsidRPr="00F557BB">
        <w:rPr>
          <w:rFonts w:eastAsia="Calibri" w:cs="Arial"/>
          <w:szCs w:val="20"/>
          <w:lang w:eastAsia="en-US"/>
        </w:rPr>
        <w:t>czeniu wszystkich prac zwi</w:t>
      </w:r>
      <w:r w:rsidRPr="00F557BB">
        <w:rPr>
          <w:rFonts w:eastAsia="TimesNewRoman" w:cs="Arial"/>
          <w:szCs w:val="20"/>
          <w:lang w:eastAsia="en-US"/>
        </w:rPr>
        <w:t>ą</w:t>
      </w:r>
      <w:r w:rsidRPr="00F557BB">
        <w:rPr>
          <w:rFonts w:eastAsia="Calibri" w:cs="Arial"/>
          <w:szCs w:val="20"/>
          <w:lang w:eastAsia="en-US"/>
        </w:rPr>
        <w:t>zanych z odtworzeniem ww. nawierzchni teren nale</w:t>
      </w:r>
      <w:r w:rsidRPr="00F557BB">
        <w:rPr>
          <w:rFonts w:eastAsia="TimesNewRoman" w:cs="Arial"/>
          <w:szCs w:val="20"/>
          <w:lang w:eastAsia="en-US"/>
        </w:rPr>
        <w:t>ż</w:t>
      </w:r>
      <w:r w:rsidRPr="00F557BB">
        <w:rPr>
          <w:rFonts w:eastAsia="Calibri" w:cs="Arial"/>
          <w:szCs w:val="20"/>
          <w:lang w:eastAsia="en-US"/>
        </w:rPr>
        <w:t>y</w:t>
      </w:r>
    </w:p>
    <w:p w14:paraId="68792F3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uprz</w:t>
      </w:r>
      <w:r w:rsidRPr="00F557BB">
        <w:rPr>
          <w:rFonts w:eastAsia="TimesNewRoman" w:cs="Arial"/>
          <w:szCs w:val="20"/>
          <w:lang w:eastAsia="en-US"/>
        </w:rPr>
        <w:t>ą</w:t>
      </w:r>
      <w:r w:rsidRPr="00F557BB">
        <w:rPr>
          <w:rFonts w:eastAsia="Calibri" w:cs="Arial"/>
          <w:szCs w:val="20"/>
          <w:lang w:eastAsia="en-US"/>
        </w:rPr>
        <w:t>tn</w:t>
      </w:r>
      <w:r w:rsidRPr="00F557BB">
        <w:rPr>
          <w:rFonts w:eastAsia="TimesNewRoman" w:cs="Arial"/>
          <w:szCs w:val="20"/>
          <w:lang w:eastAsia="en-US"/>
        </w:rPr>
        <w:t xml:space="preserve">ąć </w:t>
      </w:r>
      <w:r w:rsidRPr="00F557BB">
        <w:rPr>
          <w:rFonts w:eastAsia="Calibri" w:cs="Arial"/>
          <w:szCs w:val="20"/>
          <w:lang w:eastAsia="en-US"/>
        </w:rPr>
        <w:t>i zgłosi</w:t>
      </w:r>
      <w:r w:rsidRPr="00F557BB">
        <w:rPr>
          <w:rFonts w:eastAsia="TimesNewRoman" w:cs="Arial"/>
          <w:szCs w:val="20"/>
          <w:lang w:eastAsia="en-US"/>
        </w:rPr>
        <w:t xml:space="preserve">ć </w:t>
      </w:r>
      <w:r w:rsidRPr="00F557BB">
        <w:rPr>
          <w:rFonts w:eastAsia="Calibri" w:cs="Arial"/>
          <w:szCs w:val="20"/>
          <w:lang w:eastAsia="en-US"/>
        </w:rPr>
        <w:t>do odbioru Zarz</w:t>
      </w:r>
      <w:r w:rsidRPr="00F557BB">
        <w:rPr>
          <w:rFonts w:eastAsia="TimesNewRoman" w:cs="Arial"/>
          <w:szCs w:val="20"/>
          <w:lang w:eastAsia="en-US"/>
        </w:rPr>
        <w:t>ą</w:t>
      </w:r>
      <w:r w:rsidRPr="00F557BB">
        <w:rPr>
          <w:rFonts w:eastAsia="Calibri" w:cs="Arial"/>
          <w:szCs w:val="20"/>
          <w:lang w:eastAsia="en-US"/>
        </w:rPr>
        <w:t>dzaj</w:t>
      </w:r>
      <w:r w:rsidRPr="00F557BB">
        <w:rPr>
          <w:rFonts w:eastAsia="TimesNewRoman" w:cs="Arial"/>
          <w:szCs w:val="20"/>
          <w:lang w:eastAsia="en-US"/>
        </w:rPr>
        <w:t>ą</w:t>
      </w:r>
      <w:r w:rsidRPr="00F557BB">
        <w:rPr>
          <w:rFonts w:eastAsia="Calibri" w:cs="Arial"/>
          <w:szCs w:val="20"/>
          <w:lang w:eastAsia="en-US"/>
        </w:rPr>
        <w:t>cemu.</w:t>
      </w:r>
    </w:p>
    <w:p w14:paraId="0C15BCC9"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6. KONTROLA JAKOŚCI ROBÓT</w:t>
      </w:r>
    </w:p>
    <w:p w14:paraId="38F81009"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6.1. Kanalizacja teletechniczna</w:t>
      </w:r>
    </w:p>
    <w:p w14:paraId="1F8BF8C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Kontrola jako</w:t>
      </w:r>
      <w:r w:rsidRPr="00F557BB">
        <w:rPr>
          <w:rFonts w:eastAsia="TimesNewRoman" w:cs="Arial"/>
          <w:szCs w:val="20"/>
          <w:lang w:eastAsia="en-US"/>
        </w:rPr>
        <w:t>ś</w:t>
      </w:r>
      <w:r w:rsidRPr="00F557BB">
        <w:rPr>
          <w:rFonts w:eastAsia="Calibri" w:cs="Arial"/>
          <w:szCs w:val="20"/>
          <w:lang w:eastAsia="en-US"/>
        </w:rPr>
        <w:t>ci wykonania kanalizacji teletechnicznej polega na sprawdzeniu:</w:t>
      </w:r>
    </w:p>
    <w:p w14:paraId="57D36CB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trasy kanalizacji przez ogl</w:t>
      </w:r>
      <w:r w:rsidRPr="00F557BB">
        <w:rPr>
          <w:rFonts w:eastAsia="TimesNewRoman" w:cs="Arial"/>
          <w:szCs w:val="20"/>
          <w:lang w:eastAsia="en-US"/>
        </w:rPr>
        <w:t>ę</w:t>
      </w:r>
      <w:r w:rsidRPr="00F557BB">
        <w:rPr>
          <w:rFonts w:eastAsia="Calibri" w:cs="Arial"/>
          <w:szCs w:val="20"/>
          <w:lang w:eastAsia="en-US"/>
        </w:rPr>
        <w:t>dziny uporz</w:t>
      </w:r>
      <w:r w:rsidRPr="00F557BB">
        <w:rPr>
          <w:rFonts w:eastAsia="TimesNewRoman" w:cs="Arial"/>
          <w:szCs w:val="20"/>
          <w:lang w:eastAsia="en-US"/>
        </w:rPr>
        <w:t>ą</w:t>
      </w:r>
      <w:r w:rsidRPr="00F557BB">
        <w:rPr>
          <w:rFonts w:eastAsia="Calibri" w:cs="Arial"/>
          <w:szCs w:val="20"/>
          <w:lang w:eastAsia="en-US"/>
        </w:rPr>
        <w:t>dkowania terenu wzdłu</w:t>
      </w:r>
      <w:r w:rsidRPr="00F557BB">
        <w:rPr>
          <w:rFonts w:eastAsia="TimesNewRoman" w:cs="Arial"/>
          <w:szCs w:val="20"/>
          <w:lang w:eastAsia="en-US"/>
        </w:rPr>
        <w:t xml:space="preserve">ż </w:t>
      </w:r>
      <w:r w:rsidRPr="00F557BB">
        <w:rPr>
          <w:rFonts w:eastAsia="Calibri" w:cs="Arial"/>
          <w:szCs w:val="20"/>
          <w:lang w:eastAsia="en-US"/>
        </w:rPr>
        <w:t>ci</w:t>
      </w:r>
      <w:r w:rsidRPr="00F557BB">
        <w:rPr>
          <w:rFonts w:eastAsia="TimesNewRoman" w:cs="Arial"/>
          <w:szCs w:val="20"/>
          <w:lang w:eastAsia="en-US"/>
        </w:rPr>
        <w:t>ą</w:t>
      </w:r>
      <w:r w:rsidRPr="00F557BB">
        <w:rPr>
          <w:rFonts w:eastAsia="Calibri" w:cs="Arial"/>
          <w:szCs w:val="20"/>
          <w:lang w:eastAsia="en-US"/>
        </w:rPr>
        <w:t>gów kanalizacji w</w:t>
      </w:r>
    </w:p>
    <w:p w14:paraId="64FD94F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xml:space="preserve">miejscach </w:t>
      </w:r>
      <w:proofErr w:type="spellStart"/>
      <w:r w:rsidRPr="00F557BB">
        <w:rPr>
          <w:rFonts w:eastAsia="Calibri" w:cs="Arial"/>
          <w:szCs w:val="20"/>
          <w:lang w:eastAsia="en-US"/>
        </w:rPr>
        <w:t>studzien</w:t>
      </w:r>
      <w:proofErr w:type="spellEnd"/>
      <w:r w:rsidRPr="00F557BB">
        <w:rPr>
          <w:rFonts w:eastAsia="Calibri" w:cs="Arial"/>
          <w:szCs w:val="20"/>
          <w:lang w:eastAsia="en-US"/>
        </w:rPr>
        <w:t xml:space="preserve"> kablowych,</w:t>
      </w:r>
    </w:p>
    <w:p w14:paraId="6F47EF2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przebiegu kanalizacji na zgodno</w:t>
      </w:r>
      <w:r w:rsidRPr="00F557BB">
        <w:rPr>
          <w:rFonts w:eastAsia="TimesNewRoman" w:cs="Arial"/>
          <w:szCs w:val="20"/>
          <w:lang w:eastAsia="en-US"/>
        </w:rPr>
        <w:t xml:space="preserve">ść </w:t>
      </w:r>
      <w:r w:rsidRPr="00F557BB">
        <w:rPr>
          <w:rFonts w:eastAsia="Calibri" w:cs="Arial"/>
          <w:szCs w:val="20"/>
          <w:lang w:eastAsia="en-US"/>
        </w:rPr>
        <w:t>z dokumentacj</w:t>
      </w:r>
      <w:r w:rsidRPr="00F557BB">
        <w:rPr>
          <w:rFonts w:eastAsia="TimesNewRoman" w:cs="Arial"/>
          <w:szCs w:val="20"/>
          <w:lang w:eastAsia="en-US"/>
        </w:rPr>
        <w:t xml:space="preserve">ą </w:t>
      </w:r>
      <w:r w:rsidRPr="00F557BB">
        <w:rPr>
          <w:rFonts w:eastAsia="Calibri" w:cs="Arial"/>
          <w:szCs w:val="20"/>
          <w:lang w:eastAsia="en-US"/>
        </w:rPr>
        <w:t>projektow</w:t>
      </w:r>
      <w:r w:rsidRPr="00F557BB">
        <w:rPr>
          <w:rFonts w:eastAsia="TimesNewRoman" w:cs="Arial"/>
          <w:szCs w:val="20"/>
          <w:lang w:eastAsia="en-US"/>
        </w:rPr>
        <w:t>ą</w:t>
      </w:r>
      <w:r w:rsidRPr="00F557BB">
        <w:rPr>
          <w:rFonts w:eastAsia="Calibri" w:cs="Arial"/>
          <w:szCs w:val="20"/>
          <w:lang w:eastAsia="en-US"/>
        </w:rPr>
        <w:t>,</w:t>
      </w:r>
    </w:p>
    <w:p w14:paraId="35AF03A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prawidłowo</w:t>
      </w:r>
      <w:r w:rsidRPr="00F557BB">
        <w:rPr>
          <w:rFonts w:eastAsia="TimesNewRoman" w:cs="Arial"/>
          <w:szCs w:val="20"/>
          <w:lang w:eastAsia="en-US"/>
        </w:rPr>
        <w:t>ś</w:t>
      </w:r>
      <w:r w:rsidRPr="00F557BB">
        <w:rPr>
          <w:rFonts w:eastAsia="Calibri" w:cs="Arial"/>
          <w:szCs w:val="20"/>
          <w:lang w:eastAsia="en-US"/>
        </w:rPr>
        <w:t>ci wykonania ci</w:t>
      </w:r>
      <w:r w:rsidRPr="00F557BB">
        <w:rPr>
          <w:rFonts w:eastAsia="TimesNewRoman" w:cs="Arial"/>
          <w:szCs w:val="20"/>
          <w:lang w:eastAsia="en-US"/>
        </w:rPr>
        <w:t>ą</w:t>
      </w:r>
      <w:r w:rsidRPr="00F557BB">
        <w:rPr>
          <w:rFonts w:eastAsia="Calibri" w:cs="Arial"/>
          <w:szCs w:val="20"/>
          <w:lang w:eastAsia="en-US"/>
        </w:rPr>
        <w:t>gów kanalizacji polegaj</w:t>
      </w:r>
      <w:r w:rsidRPr="00F557BB">
        <w:rPr>
          <w:rFonts w:eastAsia="TimesNewRoman" w:cs="Arial"/>
          <w:szCs w:val="20"/>
          <w:lang w:eastAsia="en-US"/>
        </w:rPr>
        <w:t>ą</w:t>
      </w:r>
      <w:r w:rsidRPr="00F557BB">
        <w:rPr>
          <w:rFonts w:eastAsia="Calibri" w:cs="Arial"/>
          <w:szCs w:val="20"/>
          <w:lang w:eastAsia="en-US"/>
        </w:rPr>
        <w:t>cej na sprawdzeniu dro</w:t>
      </w:r>
      <w:r w:rsidRPr="00F557BB">
        <w:rPr>
          <w:rFonts w:eastAsia="TimesNewRoman" w:cs="Arial"/>
          <w:szCs w:val="20"/>
          <w:lang w:eastAsia="en-US"/>
        </w:rPr>
        <w:t>ż</w:t>
      </w:r>
      <w:r w:rsidRPr="00F557BB">
        <w:rPr>
          <w:rFonts w:eastAsia="Calibri" w:cs="Arial"/>
          <w:szCs w:val="20"/>
          <w:lang w:eastAsia="en-US"/>
        </w:rPr>
        <w:t>no</w:t>
      </w:r>
      <w:r w:rsidRPr="00F557BB">
        <w:rPr>
          <w:rFonts w:eastAsia="TimesNewRoman" w:cs="Arial"/>
          <w:szCs w:val="20"/>
          <w:lang w:eastAsia="en-US"/>
        </w:rPr>
        <w:t>ś</w:t>
      </w:r>
      <w:r w:rsidRPr="00F557BB">
        <w:rPr>
          <w:rFonts w:eastAsia="Calibri" w:cs="Arial"/>
          <w:szCs w:val="20"/>
          <w:lang w:eastAsia="en-US"/>
        </w:rPr>
        <w:t>ci rur,</w:t>
      </w:r>
    </w:p>
    <w:p w14:paraId="162B54E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wykonania skrzy</w:t>
      </w:r>
      <w:r w:rsidRPr="00F557BB">
        <w:rPr>
          <w:rFonts w:eastAsia="TimesNewRoman" w:cs="Arial"/>
          <w:szCs w:val="20"/>
          <w:lang w:eastAsia="en-US"/>
        </w:rPr>
        <w:t>ż</w:t>
      </w:r>
      <w:r w:rsidRPr="00F557BB">
        <w:rPr>
          <w:rFonts w:eastAsia="Calibri" w:cs="Arial"/>
          <w:szCs w:val="20"/>
          <w:lang w:eastAsia="en-US"/>
        </w:rPr>
        <w:t>owa</w:t>
      </w:r>
      <w:r w:rsidRPr="00F557BB">
        <w:rPr>
          <w:rFonts w:eastAsia="TimesNewRoman" w:cs="Arial"/>
          <w:szCs w:val="20"/>
          <w:lang w:eastAsia="en-US"/>
        </w:rPr>
        <w:t xml:space="preserve">ń </w:t>
      </w:r>
      <w:r w:rsidRPr="00F557BB">
        <w:rPr>
          <w:rFonts w:eastAsia="Calibri" w:cs="Arial"/>
          <w:szCs w:val="20"/>
          <w:lang w:eastAsia="en-US"/>
        </w:rPr>
        <w:t>z obiektami,</w:t>
      </w:r>
    </w:p>
    <w:p w14:paraId="1765608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prawidłowo</w:t>
      </w:r>
      <w:r w:rsidRPr="00F557BB">
        <w:rPr>
          <w:rFonts w:eastAsia="TimesNewRoman" w:cs="Arial"/>
          <w:szCs w:val="20"/>
          <w:lang w:eastAsia="en-US"/>
        </w:rPr>
        <w:t>ś</w:t>
      </w:r>
      <w:r w:rsidRPr="00F557BB">
        <w:rPr>
          <w:rFonts w:eastAsia="Calibri" w:cs="Arial"/>
          <w:szCs w:val="20"/>
          <w:lang w:eastAsia="en-US"/>
        </w:rPr>
        <w:t>ci budowy studni kablowych polegaj</w:t>
      </w:r>
      <w:r w:rsidRPr="00F557BB">
        <w:rPr>
          <w:rFonts w:eastAsia="TimesNewRoman" w:cs="Arial"/>
          <w:szCs w:val="20"/>
          <w:lang w:eastAsia="en-US"/>
        </w:rPr>
        <w:t>ą</w:t>
      </w:r>
      <w:r w:rsidRPr="00F557BB">
        <w:rPr>
          <w:rFonts w:eastAsia="Calibri" w:cs="Arial"/>
          <w:szCs w:val="20"/>
          <w:lang w:eastAsia="en-US"/>
        </w:rPr>
        <w:t>cej na sprawdzeniu wymaga</w:t>
      </w:r>
      <w:r w:rsidRPr="00F557BB">
        <w:rPr>
          <w:rFonts w:eastAsia="TimesNewRoman" w:cs="Arial"/>
          <w:szCs w:val="20"/>
          <w:lang w:eastAsia="en-US"/>
        </w:rPr>
        <w:t xml:space="preserve">ń </w:t>
      </w:r>
      <w:r w:rsidRPr="00F557BB">
        <w:rPr>
          <w:rFonts w:eastAsia="Calibri" w:cs="Arial"/>
          <w:szCs w:val="20"/>
          <w:lang w:eastAsia="en-US"/>
        </w:rPr>
        <w:t>normy</w:t>
      </w:r>
    </w:p>
    <w:p w14:paraId="2735453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BN-85/8984-01 [20]. - dla studni SKR, SKM, SKS. (lub ZN-96/TPSA-023 [44].) BN-</w:t>
      </w:r>
    </w:p>
    <w:p w14:paraId="41ACC923"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73/8984-01 [21] - dla studni SK-1, SK-2, SK-6, SK-12.</w:t>
      </w:r>
    </w:p>
    <w:p w14:paraId="1CAD171D"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7. OBMIAR ROBÓT</w:t>
      </w:r>
    </w:p>
    <w:p w14:paraId="375C6D61"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7.1. Jednostki obmiarowe</w:t>
      </w:r>
    </w:p>
    <w:p w14:paraId="6FDD04C4"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Wyszczególnienie elementów rozliczeniowych Jedn.</w:t>
      </w:r>
    </w:p>
    <w:p w14:paraId="0D0CCDF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Budowa kanalizacji teletechnicznej m</w:t>
      </w:r>
    </w:p>
    <w:p w14:paraId="3F45380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lastRenderedPageBreak/>
        <w:t>Budowa studni kablowej szt.</w:t>
      </w:r>
    </w:p>
    <w:p w14:paraId="5D83DF40"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8. ODBIÓR ROBÓT</w:t>
      </w:r>
    </w:p>
    <w:p w14:paraId="2718919D"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8.1. Odbiór robót zanikających i ulegających zakryciu</w:t>
      </w:r>
    </w:p>
    <w:p w14:paraId="7496F51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Odbiór robót zanikaj</w:t>
      </w:r>
      <w:r w:rsidRPr="00F557BB">
        <w:rPr>
          <w:rFonts w:eastAsia="TimesNewRoman" w:cs="Arial"/>
          <w:szCs w:val="20"/>
          <w:lang w:eastAsia="en-US"/>
        </w:rPr>
        <w:t>ą</w:t>
      </w:r>
      <w:r w:rsidRPr="00F557BB">
        <w:rPr>
          <w:rFonts w:eastAsia="Calibri" w:cs="Arial"/>
          <w:szCs w:val="20"/>
          <w:lang w:eastAsia="en-US"/>
        </w:rPr>
        <w:t>cych i ulegaj</w:t>
      </w:r>
      <w:r w:rsidRPr="00F557BB">
        <w:rPr>
          <w:rFonts w:eastAsia="TimesNewRoman" w:cs="Arial"/>
          <w:szCs w:val="20"/>
          <w:lang w:eastAsia="en-US"/>
        </w:rPr>
        <w:t>ą</w:t>
      </w:r>
      <w:r w:rsidRPr="00F557BB">
        <w:rPr>
          <w:rFonts w:eastAsia="Calibri" w:cs="Arial"/>
          <w:szCs w:val="20"/>
          <w:lang w:eastAsia="en-US"/>
        </w:rPr>
        <w:t>cych zakryciu polega na finalnej ocenie ilo</w:t>
      </w:r>
      <w:r w:rsidRPr="00F557BB">
        <w:rPr>
          <w:rFonts w:eastAsia="TimesNewRoman" w:cs="Arial"/>
          <w:szCs w:val="20"/>
          <w:lang w:eastAsia="en-US"/>
        </w:rPr>
        <w:t>ś</w:t>
      </w:r>
      <w:r w:rsidRPr="00F557BB">
        <w:rPr>
          <w:rFonts w:eastAsia="Calibri" w:cs="Arial"/>
          <w:szCs w:val="20"/>
          <w:lang w:eastAsia="en-US"/>
        </w:rPr>
        <w:t>ci i jako</w:t>
      </w:r>
      <w:r w:rsidRPr="00F557BB">
        <w:rPr>
          <w:rFonts w:eastAsia="TimesNewRoman" w:cs="Arial"/>
          <w:szCs w:val="20"/>
          <w:lang w:eastAsia="en-US"/>
        </w:rPr>
        <w:t>ś</w:t>
      </w:r>
      <w:r w:rsidRPr="00F557BB">
        <w:rPr>
          <w:rFonts w:eastAsia="Calibri" w:cs="Arial"/>
          <w:szCs w:val="20"/>
          <w:lang w:eastAsia="en-US"/>
        </w:rPr>
        <w:t>ci</w:t>
      </w:r>
    </w:p>
    <w:p w14:paraId="5E44A6D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wykonywanych robót, które w dalszym procesie realizacji ulegn</w:t>
      </w:r>
      <w:r w:rsidRPr="00F557BB">
        <w:rPr>
          <w:rFonts w:eastAsia="TimesNewRoman" w:cs="Arial"/>
          <w:szCs w:val="20"/>
          <w:lang w:eastAsia="en-US"/>
        </w:rPr>
        <w:t xml:space="preserve">ą </w:t>
      </w:r>
      <w:r w:rsidRPr="00F557BB">
        <w:rPr>
          <w:rFonts w:eastAsia="Calibri" w:cs="Arial"/>
          <w:szCs w:val="20"/>
          <w:lang w:eastAsia="en-US"/>
        </w:rPr>
        <w:t>zakryciu.</w:t>
      </w:r>
    </w:p>
    <w:p w14:paraId="0AC1E80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Odbiór robót zanikaj</w:t>
      </w:r>
      <w:r w:rsidRPr="00F557BB">
        <w:rPr>
          <w:rFonts w:eastAsia="TimesNewRoman" w:cs="Arial"/>
          <w:szCs w:val="20"/>
          <w:lang w:eastAsia="en-US"/>
        </w:rPr>
        <w:t>ą</w:t>
      </w:r>
      <w:r w:rsidRPr="00F557BB">
        <w:rPr>
          <w:rFonts w:eastAsia="Calibri" w:cs="Arial"/>
          <w:szCs w:val="20"/>
          <w:lang w:eastAsia="en-US"/>
        </w:rPr>
        <w:t>cych i ulegaj</w:t>
      </w:r>
      <w:r w:rsidRPr="00F557BB">
        <w:rPr>
          <w:rFonts w:eastAsia="TimesNewRoman" w:cs="Arial"/>
          <w:szCs w:val="20"/>
          <w:lang w:eastAsia="en-US"/>
        </w:rPr>
        <w:t>ą</w:t>
      </w:r>
      <w:r w:rsidRPr="00F557BB">
        <w:rPr>
          <w:rFonts w:eastAsia="Calibri" w:cs="Arial"/>
          <w:szCs w:val="20"/>
          <w:lang w:eastAsia="en-US"/>
        </w:rPr>
        <w:t>cych zakryciu b</w:t>
      </w:r>
      <w:r w:rsidRPr="00F557BB">
        <w:rPr>
          <w:rFonts w:eastAsia="TimesNewRoman" w:cs="Arial"/>
          <w:szCs w:val="20"/>
          <w:lang w:eastAsia="en-US"/>
        </w:rPr>
        <w:t>ę</w:t>
      </w:r>
      <w:r w:rsidRPr="00F557BB">
        <w:rPr>
          <w:rFonts w:eastAsia="Calibri" w:cs="Arial"/>
          <w:szCs w:val="20"/>
          <w:lang w:eastAsia="en-US"/>
        </w:rPr>
        <w:t>dzie dokonany w czasie umo</w:t>
      </w:r>
      <w:r w:rsidRPr="00F557BB">
        <w:rPr>
          <w:rFonts w:eastAsia="TimesNewRoman" w:cs="Arial"/>
          <w:szCs w:val="20"/>
          <w:lang w:eastAsia="en-US"/>
        </w:rPr>
        <w:t>ż</w:t>
      </w:r>
      <w:r w:rsidRPr="00F557BB">
        <w:rPr>
          <w:rFonts w:eastAsia="Calibri" w:cs="Arial"/>
          <w:szCs w:val="20"/>
          <w:lang w:eastAsia="en-US"/>
        </w:rPr>
        <w:t>liwiaj</w:t>
      </w:r>
      <w:r w:rsidRPr="00F557BB">
        <w:rPr>
          <w:rFonts w:eastAsia="TimesNewRoman" w:cs="Arial"/>
          <w:szCs w:val="20"/>
          <w:lang w:eastAsia="en-US"/>
        </w:rPr>
        <w:t>ą</w:t>
      </w:r>
      <w:r w:rsidRPr="00F557BB">
        <w:rPr>
          <w:rFonts w:eastAsia="Calibri" w:cs="Arial"/>
          <w:szCs w:val="20"/>
          <w:lang w:eastAsia="en-US"/>
        </w:rPr>
        <w:t>cym</w:t>
      </w:r>
    </w:p>
    <w:p w14:paraId="4BEEADB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wykonanie ewentualnych korekt i poprawek bez hamowania ogólnego post</w:t>
      </w:r>
      <w:r w:rsidRPr="00F557BB">
        <w:rPr>
          <w:rFonts w:eastAsia="TimesNewRoman" w:cs="Arial"/>
          <w:szCs w:val="20"/>
          <w:lang w:eastAsia="en-US"/>
        </w:rPr>
        <w:t>ę</w:t>
      </w:r>
      <w:r w:rsidRPr="00F557BB">
        <w:rPr>
          <w:rFonts w:eastAsia="Calibri" w:cs="Arial"/>
          <w:szCs w:val="20"/>
          <w:lang w:eastAsia="en-US"/>
        </w:rPr>
        <w:t>pu robót.</w:t>
      </w:r>
    </w:p>
    <w:p w14:paraId="1E8BB55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Odbioru robót dokonuje In</w:t>
      </w:r>
      <w:r w:rsidRPr="00F557BB">
        <w:rPr>
          <w:rFonts w:eastAsia="TimesNewRoman" w:cs="Arial"/>
          <w:szCs w:val="20"/>
          <w:lang w:eastAsia="en-US"/>
        </w:rPr>
        <w:t>ż</w:t>
      </w:r>
      <w:r w:rsidRPr="00F557BB">
        <w:rPr>
          <w:rFonts w:eastAsia="Calibri" w:cs="Arial"/>
          <w:szCs w:val="20"/>
          <w:lang w:eastAsia="en-US"/>
        </w:rPr>
        <w:t>ynier/Kierownik Projektu.</w:t>
      </w:r>
    </w:p>
    <w:p w14:paraId="70B81B8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Gotowo</w:t>
      </w:r>
      <w:r w:rsidRPr="00F557BB">
        <w:rPr>
          <w:rFonts w:eastAsia="TimesNewRoman" w:cs="Arial"/>
          <w:szCs w:val="20"/>
          <w:lang w:eastAsia="en-US"/>
        </w:rPr>
        <w:t xml:space="preserve">ść </w:t>
      </w:r>
      <w:r w:rsidRPr="00F557BB">
        <w:rPr>
          <w:rFonts w:eastAsia="Calibri" w:cs="Arial"/>
          <w:szCs w:val="20"/>
          <w:lang w:eastAsia="en-US"/>
        </w:rPr>
        <w:t>danej cz</w:t>
      </w:r>
      <w:r w:rsidRPr="00F557BB">
        <w:rPr>
          <w:rFonts w:eastAsia="TimesNewRoman" w:cs="Arial"/>
          <w:szCs w:val="20"/>
          <w:lang w:eastAsia="en-US"/>
        </w:rPr>
        <w:t>ęś</w:t>
      </w:r>
      <w:r w:rsidRPr="00F557BB">
        <w:rPr>
          <w:rFonts w:eastAsia="Calibri" w:cs="Arial"/>
          <w:szCs w:val="20"/>
          <w:lang w:eastAsia="en-US"/>
        </w:rPr>
        <w:t>ci robót do odbioru zgłasza Wykonawca wpisem do dziennika budowy i</w:t>
      </w:r>
    </w:p>
    <w:p w14:paraId="6205C75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jednoczesnym powiadomieniem In</w:t>
      </w:r>
      <w:r w:rsidRPr="00F557BB">
        <w:rPr>
          <w:rFonts w:eastAsia="TimesNewRoman" w:cs="Arial"/>
          <w:szCs w:val="20"/>
          <w:lang w:eastAsia="en-US"/>
        </w:rPr>
        <w:t>ż</w:t>
      </w:r>
      <w:r w:rsidRPr="00F557BB">
        <w:rPr>
          <w:rFonts w:eastAsia="Calibri" w:cs="Arial"/>
          <w:szCs w:val="20"/>
          <w:lang w:eastAsia="en-US"/>
        </w:rPr>
        <w:t>yniera/Kierownika Projektu. Odbiór b</w:t>
      </w:r>
      <w:r w:rsidRPr="00F557BB">
        <w:rPr>
          <w:rFonts w:eastAsia="TimesNewRoman" w:cs="Arial"/>
          <w:szCs w:val="20"/>
          <w:lang w:eastAsia="en-US"/>
        </w:rPr>
        <w:t>ę</w:t>
      </w:r>
      <w:r w:rsidRPr="00F557BB">
        <w:rPr>
          <w:rFonts w:eastAsia="Calibri" w:cs="Arial"/>
          <w:szCs w:val="20"/>
          <w:lang w:eastAsia="en-US"/>
        </w:rPr>
        <w:t>dzie przeprowadzony</w:t>
      </w:r>
    </w:p>
    <w:p w14:paraId="12BE1E3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niezwłocznie, nie pó</w:t>
      </w:r>
      <w:r w:rsidRPr="00F557BB">
        <w:rPr>
          <w:rFonts w:eastAsia="TimesNewRoman" w:cs="Arial"/>
          <w:szCs w:val="20"/>
          <w:lang w:eastAsia="en-US"/>
        </w:rPr>
        <w:t>ź</w:t>
      </w:r>
      <w:r w:rsidRPr="00F557BB">
        <w:rPr>
          <w:rFonts w:eastAsia="Calibri" w:cs="Arial"/>
          <w:szCs w:val="20"/>
          <w:lang w:eastAsia="en-US"/>
        </w:rPr>
        <w:t>niej jednak ni</w:t>
      </w:r>
      <w:r w:rsidRPr="00F557BB">
        <w:rPr>
          <w:rFonts w:eastAsia="TimesNewRoman" w:cs="Arial"/>
          <w:szCs w:val="20"/>
          <w:lang w:eastAsia="en-US"/>
        </w:rPr>
        <w:t xml:space="preserve">ż </w:t>
      </w:r>
      <w:r w:rsidRPr="00F557BB">
        <w:rPr>
          <w:rFonts w:eastAsia="Calibri" w:cs="Arial"/>
          <w:szCs w:val="20"/>
          <w:lang w:eastAsia="en-US"/>
        </w:rPr>
        <w:t>w ci</w:t>
      </w:r>
      <w:r w:rsidRPr="00F557BB">
        <w:rPr>
          <w:rFonts w:eastAsia="TimesNewRoman" w:cs="Arial"/>
          <w:szCs w:val="20"/>
          <w:lang w:eastAsia="en-US"/>
        </w:rPr>
        <w:t>ą</w:t>
      </w:r>
      <w:r w:rsidRPr="00F557BB">
        <w:rPr>
          <w:rFonts w:eastAsia="Calibri" w:cs="Arial"/>
          <w:szCs w:val="20"/>
          <w:lang w:eastAsia="en-US"/>
        </w:rPr>
        <w:t>gu 3 dni od daty zgłoszenia wpisem do dziennika</w:t>
      </w:r>
    </w:p>
    <w:p w14:paraId="2299FF3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budowy i powiadomienia o tym fakcie In</w:t>
      </w:r>
      <w:r w:rsidRPr="00F557BB">
        <w:rPr>
          <w:rFonts w:eastAsia="TimesNewRoman" w:cs="Arial"/>
          <w:szCs w:val="20"/>
          <w:lang w:eastAsia="en-US"/>
        </w:rPr>
        <w:t>ż</w:t>
      </w:r>
      <w:r w:rsidRPr="00F557BB">
        <w:rPr>
          <w:rFonts w:eastAsia="Calibri" w:cs="Arial"/>
          <w:szCs w:val="20"/>
          <w:lang w:eastAsia="en-US"/>
        </w:rPr>
        <w:t>yniera/Kierownika projektu.</w:t>
      </w:r>
    </w:p>
    <w:p w14:paraId="08E1D08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Jako</w:t>
      </w:r>
      <w:r w:rsidRPr="00F557BB">
        <w:rPr>
          <w:rFonts w:eastAsia="TimesNewRoman" w:cs="Arial"/>
          <w:szCs w:val="20"/>
          <w:lang w:eastAsia="en-US"/>
        </w:rPr>
        <w:t xml:space="preserve">ść </w:t>
      </w:r>
      <w:r w:rsidRPr="00F557BB">
        <w:rPr>
          <w:rFonts w:eastAsia="Calibri" w:cs="Arial"/>
          <w:szCs w:val="20"/>
          <w:lang w:eastAsia="en-US"/>
        </w:rPr>
        <w:t>i ilo</w:t>
      </w:r>
      <w:r w:rsidRPr="00F557BB">
        <w:rPr>
          <w:rFonts w:eastAsia="TimesNewRoman" w:cs="Arial"/>
          <w:szCs w:val="20"/>
          <w:lang w:eastAsia="en-US"/>
        </w:rPr>
        <w:t xml:space="preserve">ść </w:t>
      </w:r>
      <w:r w:rsidRPr="00F557BB">
        <w:rPr>
          <w:rFonts w:eastAsia="Calibri" w:cs="Arial"/>
          <w:szCs w:val="20"/>
          <w:lang w:eastAsia="en-US"/>
        </w:rPr>
        <w:t>robót ulegaj</w:t>
      </w:r>
      <w:r w:rsidRPr="00F557BB">
        <w:rPr>
          <w:rFonts w:eastAsia="TimesNewRoman" w:cs="Arial"/>
          <w:szCs w:val="20"/>
          <w:lang w:eastAsia="en-US"/>
        </w:rPr>
        <w:t>ą</w:t>
      </w:r>
      <w:r w:rsidRPr="00F557BB">
        <w:rPr>
          <w:rFonts w:eastAsia="Calibri" w:cs="Arial"/>
          <w:szCs w:val="20"/>
          <w:lang w:eastAsia="en-US"/>
        </w:rPr>
        <w:t>cych zakryciu ocenia In</w:t>
      </w:r>
      <w:r w:rsidRPr="00F557BB">
        <w:rPr>
          <w:rFonts w:eastAsia="TimesNewRoman" w:cs="Arial"/>
          <w:szCs w:val="20"/>
          <w:lang w:eastAsia="en-US"/>
        </w:rPr>
        <w:t>ż</w:t>
      </w:r>
      <w:r w:rsidRPr="00F557BB">
        <w:rPr>
          <w:rFonts w:eastAsia="Calibri" w:cs="Arial"/>
          <w:szCs w:val="20"/>
          <w:lang w:eastAsia="en-US"/>
        </w:rPr>
        <w:t>ynier/Kierownik Projektu na podstawie</w:t>
      </w:r>
    </w:p>
    <w:p w14:paraId="5A08BCA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dokumentów zawieraj</w:t>
      </w:r>
      <w:r w:rsidRPr="00F557BB">
        <w:rPr>
          <w:rFonts w:eastAsia="TimesNewRoman" w:cs="Arial"/>
          <w:szCs w:val="20"/>
          <w:lang w:eastAsia="en-US"/>
        </w:rPr>
        <w:t>ą</w:t>
      </w:r>
      <w:r w:rsidRPr="00F557BB">
        <w:rPr>
          <w:rFonts w:eastAsia="Calibri" w:cs="Arial"/>
          <w:szCs w:val="20"/>
          <w:lang w:eastAsia="en-US"/>
        </w:rPr>
        <w:t>cych komplet wyników bada</w:t>
      </w:r>
      <w:r w:rsidRPr="00F557BB">
        <w:rPr>
          <w:rFonts w:eastAsia="TimesNewRoman" w:cs="Arial"/>
          <w:szCs w:val="20"/>
          <w:lang w:eastAsia="en-US"/>
        </w:rPr>
        <w:t xml:space="preserve">ń </w:t>
      </w:r>
      <w:r w:rsidRPr="00F557BB">
        <w:rPr>
          <w:rFonts w:eastAsia="Calibri" w:cs="Arial"/>
          <w:szCs w:val="20"/>
          <w:lang w:eastAsia="en-US"/>
        </w:rPr>
        <w:t>laboratoryjnych i w oparciu o</w:t>
      </w:r>
    </w:p>
    <w:p w14:paraId="1C3B348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przeprowadzone pomiary, w konfrontacji z dokumentacj</w:t>
      </w:r>
      <w:r w:rsidRPr="00F557BB">
        <w:rPr>
          <w:rFonts w:eastAsia="TimesNewRoman" w:cs="Arial"/>
          <w:szCs w:val="20"/>
          <w:lang w:eastAsia="en-US"/>
        </w:rPr>
        <w:t xml:space="preserve">ą </w:t>
      </w:r>
      <w:r w:rsidRPr="00F557BB">
        <w:rPr>
          <w:rFonts w:eastAsia="Calibri" w:cs="Arial"/>
          <w:szCs w:val="20"/>
          <w:lang w:eastAsia="en-US"/>
        </w:rPr>
        <w:t>projektow</w:t>
      </w:r>
      <w:r w:rsidRPr="00F557BB">
        <w:rPr>
          <w:rFonts w:eastAsia="TimesNewRoman" w:cs="Arial"/>
          <w:szCs w:val="20"/>
          <w:lang w:eastAsia="en-US"/>
        </w:rPr>
        <w:t>ą</w:t>
      </w:r>
      <w:r w:rsidRPr="00F557BB">
        <w:rPr>
          <w:rFonts w:eastAsia="Calibri" w:cs="Arial"/>
          <w:szCs w:val="20"/>
          <w:lang w:eastAsia="en-US"/>
        </w:rPr>
        <w:t>, ST i uprzednimi</w:t>
      </w:r>
    </w:p>
    <w:p w14:paraId="265C012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ustaleniami.</w:t>
      </w:r>
    </w:p>
    <w:p w14:paraId="32A51FA4"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8.2. Odbiór częściowy i ostateczny robót</w:t>
      </w:r>
    </w:p>
    <w:p w14:paraId="03BBB4B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Szczegółowe warunki odbiorów robót zostan</w:t>
      </w:r>
      <w:r w:rsidRPr="00F557BB">
        <w:rPr>
          <w:rFonts w:eastAsia="TimesNewRoman" w:cs="Arial"/>
          <w:szCs w:val="20"/>
          <w:lang w:eastAsia="en-US"/>
        </w:rPr>
        <w:t xml:space="preserve">ą </w:t>
      </w:r>
      <w:r w:rsidRPr="00F557BB">
        <w:rPr>
          <w:rFonts w:eastAsia="Calibri" w:cs="Arial"/>
          <w:szCs w:val="20"/>
          <w:lang w:eastAsia="en-US"/>
        </w:rPr>
        <w:t>okre</w:t>
      </w:r>
      <w:r w:rsidRPr="00F557BB">
        <w:rPr>
          <w:rFonts w:eastAsia="TimesNewRoman" w:cs="Arial"/>
          <w:szCs w:val="20"/>
          <w:lang w:eastAsia="en-US"/>
        </w:rPr>
        <w:t>ś</w:t>
      </w:r>
      <w:r w:rsidRPr="00F557BB">
        <w:rPr>
          <w:rFonts w:eastAsia="Calibri" w:cs="Arial"/>
          <w:szCs w:val="20"/>
          <w:lang w:eastAsia="en-US"/>
        </w:rPr>
        <w:t>lone przez Zamawiaj</w:t>
      </w:r>
      <w:r w:rsidRPr="00F557BB">
        <w:rPr>
          <w:rFonts w:eastAsia="TimesNewRoman" w:cs="Arial"/>
          <w:szCs w:val="20"/>
          <w:lang w:eastAsia="en-US"/>
        </w:rPr>
        <w:t>ą</w:t>
      </w:r>
      <w:r w:rsidRPr="00F557BB">
        <w:rPr>
          <w:rFonts w:eastAsia="Calibri" w:cs="Arial"/>
          <w:szCs w:val="20"/>
          <w:lang w:eastAsia="en-US"/>
        </w:rPr>
        <w:t>cego w SIWZ.</w:t>
      </w:r>
    </w:p>
    <w:p w14:paraId="530FA32C"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8.2.1. Dokumenty do odbioru ostatecznego</w:t>
      </w:r>
    </w:p>
    <w:p w14:paraId="19F3A3A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 odbioru ostatecznego Wykonawca jest zobowi</w:t>
      </w:r>
      <w:r w:rsidRPr="00F557BB">
        <w:rPr>
          <w:rFonts w:eastAsia="TimesNewRoman" w:cs="Arial"/>
          <w:szCs w:val="20"/>
          <w:lang w:eastAsia="en-US"/>
        </w:rPr>
        <w:t>ą</w:t>
      </w:r>
      <w:r w:rsidRPr="00F557BB">
        <w:rPr>
          <w:rFonts w:eastAsia="Calibri" w:cs="Arial"/>
          <w:szCs w:val="20"/>
          <w:lang w:eastAsia="en-US"/>
        </w:rPr>
        <w:t>zany przygotowa</w:t>
      </w:r>
      <w:r w:rsidRPr="00F557BB">
        <w:rPr>
          <w:rFonts w:eastAsia="TimesNewRoman" w:cs="Arial"/>
          <w:szCs w:val="20"/>
          <w:lang w:eastAsia="en-US"/>
        </w:rPr>
        <w:t xml:space="preserve">ć </w:t>
      </w:r>
      <w:r w:rsidRPr="00F557BB">
        <w:rPr>
          <w:rFonts w:eastAsia="Calibri" w:cs="Arial"/>
          <w:szCs w:val="20"/>
          <w:lang w:eastAsia="en-US"/>
        </w:rPr>
        <w:t>nast</w:t>
      </w:r>
      <w:r w:rsidRPr="00F557BB">
        <w:rPr>
          <w:rFonts w:eastAsia="TimesNewRoman" w:cs="Arial"/>
          <w:szCs w:val="20"/>
          <w:lang w:eastAsia="en-US"/>
        </w:rPr>
        <w:t>ę</w:t>
      </w:r>
      <w:r w:rsidRPr="00F557BB">
        <w:rPr>
          <w:rFonts w:eastAsia="Calibri" w:cs="Arial"/>
          <w:szCs w:val="20"/>
          <w:lang w:eastAsia="en-US"/>
        </w:rPr>
        <w:t>puj</w:t>
      </w:r>
      <w:r w:rsidRPr="00F557BB">
        <w:rPr>
          <w:rFonts w:eastAsia="TimesNewRoman" w:cs="Arial"/>
          <w:szCs w:val="20"/>
          <w:lang w:eastAsia="en-US"/>
        </w:rPr>
        <w:t>ą</w:t>
      </w:r>
      <w:r w:rsidRPr="00F557BB">
        <w:rPr>
          <w:rFonts w:eastAsia="Calibri" w:cs="Arial"/>
          <w:szCs w:val="20"/>
          <w:lang w:eastAsia="en-US"/>
        </w:rPr>
        <w:t>ce dokumenty:</w:t>
      </w:r>
    </w:p>
    <w:p w14:paraId="32DA214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1. o</w:t>
      </w:r>
      <w:r w:rsidRPr="00F557BB">
        <w:rPr>
          <w:rFonts w:eastAsia="TimesNewRoman" w:cs="Arial"/>
          <w:szCs w:val="20"/>
          <w:lang w:eastAsia="en-US"/>
        </w:rPr>
        <w:t>ś</w:t>
      </w:r>
      <w:r w:rsidRPr="00F557BB">
        <w:rPr>
          <w:rFonts w:eastAsia="Calibri" w:cs="Arial"/>
          <w:szCs w:val="20"/>
          <w:lang w:eastAsia="en-US"/>
        </w:rPr>
        <w:t>wiadczenie Kierownika Budowy o zgodno</w:t>
      </w:r>
      <w:r w:rsidRPr="00F557BB">
        <w:rPr>
          <w:rFonts w:eastAsia="TimesNewRoman" w:cs="Arial"/>
          <w:szCs w:val="20"/>
          <w:lang w:eastAsia="en-US"/>
        </w:rPr>
        <w:t>ś</w:t>
      </w:r>
      <w:r w:rsidRPr="00F557BB">
        <w:rPr>
          <w:rFonts w:eastAsia="Calibri" w:cs="Arial"/>
          <w:szCs w:val="20"/>
          <w:lang w:eastAsia="en-US"/>
        </w:rPr>
        <w:t>ci wykonania obiektu budowlanego z</w:t>
      </w:r>
    </w:p>
    <w:p w14:paraId="753A571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dokumentacj</w:t>
      </w:r>
      <w:r w:rsidRPr="00F557BB">
        <w:rPr>
          <w:rFonts w:eastAsia="TimesNewRoman" w:cs="Arial"/>
          <w:szCs w:val="20"/>
          <w:lang w:eastAsia="en-US"/>
        </w:rPr>
        <w:t xml:space="preserve">ą </w:t>
      </w:r>
      <w:r w:rsidRPr="00F557BB">
        <w:rPr>
          <w:rFonts w:eastAsia="Calibri" w:cs="Arial"/>
          <w:szCs w:val="20"/>
          <w:lang w:eastAsia="en-US"/>
        </w:rPr>
        <w:t>projektow</w:t>
      </w:r>
      <w:r w:rsidRPr="00F557BB">
        <w:rPr>
          <w:rFonts w:eastAsia="TimesNewRoman" w:cs="Arial"/>
          <w:szCs w:val="20"/>
          <w:lang w:eastAsia="en-US"/>
        </w:rPr>
        <w:t>ą</w:t>
      </w:r>
      <w:r w:rsidRPr="00F557BB">
        <w:rPr>
          <w:rFonts w:eastAsia="Calibri" w:cs="Arial"/>
          <w:szCs w:val="20"/>
          <w:lang w:eastAsia="en-US"/>
        </w:rPr>
        <w:t>, zgodnie z art. 57 ust. 1 ustawy Prawo Budowlane,</w:t>
      </w:r>
    </w:p>
    <w:p w14:paraId="5A2BC1B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warunkami zezwolenia na realizacj</w:t>
      </w:r>
      <w:r w:rsidRPr="00F557BB">
        <w:rPr>
          <w:rFonts w:eastAsia="TimesNewRoman" w:cs="Arial"/>
          <w:szCs w:val="20"/>
          <w:lang w:eastAsia="en-US"/>
        </w:rPr>
        <w:t xml:space="preserve">ę </w:t>
      </w:r>
      <w:r w:rsidRPr="00F557BB">
        <w:rPr>
          <w:rFonts w:eastAsia="Calibri" w:cs="Arial"/>
          <w:szCs w:val="20"/>
          <w:lang w:eastAsia="en-US"/>
        </w:rPr>
        <w:t>inwestycji drogowej oraz obowi</w:t>
      </w:r>
      <w:r w:rsidRPr="00F557BB">
        <w:rPr>
          <w:rFonts w:eastAsia="TimesNewRoman" w:cs="Arial"/>
          <w:szCs w:val="20"/>
          <w:lang w:eastAsia="en-US"/>
        </w:rPr>
        <w:t>ą</w:t>
      </w:r>
      <w:r w:rsidRPr="00F557BB">
        <w:rPr>
          <w:rFonts w:eastAsia="Calibri" w:cs="Arial"/>
          <w:szCs w:val="20"/>
          <w:lang w:eastAsia="en-US"/>
        </w:rPr>
        <w:t>zuj</w:t>
      </w:r>
      <w:r w:rsidRPr="00F557BB">
        <w:rPr>
          <w:rFonts w:eastAsia="TimesNewRoman" w:cs="Arial"/>
          <w:szCs w:val="20"/>
          <w:lang w:eastAsia="en-US"/>
        </w:rPr>
        <w:t>ą</w:t>
      </w:r>
      <w:r w:rsidRPr="00F557BB">
        <w:rPr>
          <w:rFonts w:eastAsia="Calibri" w:cs="Arial"/>
          <w:szCs w:val="20"/>
          <w:lang w:eastAsia="en-US"/>
        </w:rPr>
        <w:t>cymi</w:t>
      </w:r>
    </w:p>
    <w:p w14:paraId="5BB3FB9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przepisami,</w:t>
      </w:r>
    </w:p>
    <w:p w14:paraId="22C70BA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2. o</w:t>
      </w:r>
      <w:r w:rsidRPr="00F557BB">
        <w:rPr>
          <w:rFonts w:eastAsia="TimesNewRoman" w:cs="Arial"/>
          <w:szCs w:val="20"/>
          <w:lang w:eastAsia="en-US"/>
        </w:rPr>
        <w:t>ś</w:t>
      </w:r>
      <w:r w:rsidRPr="00F557BB">
        <w:rPr>
          <w:rFonts w:eastAsia="Calibri" w:cs="Arial"/>
          <w:szCs w:val="20"/>
          <w:lang w:eastAsia="en-US"/>
        </w:rPr>
        <w:t>wiadczenie o doprowadzeniu do nale</w:t>
      </w:r>
      <w:r w:rsidRPr="00F557BB">
        <w:rPr>
          <w:rFonts w:eastAsia="TimesNewRoman" w:cs="Arial"/>
          <w:szCs w:val="20"/>
          <w:lang w:eastAsia="en-US"/>
        </w:rPr>
        <w:t>ż</w:t>
      </w:r>
      <w:r w:rsidRPr="00F557BB">
        <w:rPr>
          <w:rFonts w:eastAsia="Calibri" w:cs="Arial"/>
          <w:szCs w:val="20"/>
          <w:lang w:eastAsia="en-US"/>
        </w:rPr>
        <w:t>ytego stanu i porz</w:t>
      </w:r>
      <w:r w:rsidRPr="00F557BB">
        <w:rPr>
          <w:rFonts w:eastAsia="TimesNewRoman" w:cs="Arial"/>
          <w:szCs w:val="20"/>
          <w:lang w:eastAsia="en-US"/>
        </w:rPr>
        <w:t>ą</w:t>
      </w:r>
      <w:r w:rsidRPr="00F557BB">
        <w:rPr>
          <w:rFonts w:eastAsia="Calibri" w:cs="Arial"/>
          <w:szCs w:val="20"/>
          <w:lang w:eastAsia="en-US"/>
        </w:rPr>
        <w:t>dku terenu budowy,</w:t>
      </w:r>
    </w:p>
    <w:p w14:paraId="4917941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3. o</w:t>
      </w:r>
      <w:r w:rsidRPr="00F557BB">
        <w:rPr>
          <w:rFonts w:eastAsia="TimesNewRoman" w:cs="Arial"/>
          <w:szCs w:val="20"/>
          <w:lang w:eastAsia="en-US"/>
        </w:rPr>
        <w:t>ś</w:t>
      </w:r>
      <w:r w:rsidRPr="00F557BB">
        <w:rPr>
          <w:rFonts w:eastAsia="Calibri" w:cs="Arial"/>
          <w:szCs w:val="20"/>
          <w:lang w:eastAsia="en-US"/>
        </w:rPr>
        <w:t>wiadczenie o wła</w:t>
      </w:r>
      <w:r w:rsidRPr="00F557BB">
        <w:rPr>
          <w:rFonts w:eastAsia="TimesNewRoman" w:cs="Arial"/>
          <w:szCs w:val="20"/>
          <w:lang w:eastAsia="en-US"/>
        </w:rPr>
        <w:t>ś</w:t>
      </w:r>
      <w:r w:rsidRPr="00F557BB">
        <w:rPr>
          <w:rFonts w:eastAsia="Calibri" w:cs="Arial"/>
          <w:szCs w:val="20"/>
          <w:lang w:eastAsia="en-US"/>
        </w:rPr>
        <w:t>ciwym zagospodarowaniu terenów przyległych,</w:t>
      </w:r>
    </w:p>
    <w:p w14:paraId="2898D83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4. protokoły bada</w:t>
      </w:r>
      <w:r w:rsidRPr="00F557BB">
        <w:rPr>
          <w:rFonts w:eastAsia="TimesNewRoman" w:cs="Arial"/>
          <w:szCs w:val="20"/>
          <w:lang w:eastAsia="en-US"/>
        </w:rPr>
        <w:t>ń</w:t>
      </w:r>
      <w:r w:rsidRPr="00F557BB">
        <w:rPr>
          <w:rFonts w:eastAsia="Calibri" w:cs="Arial"/>
          <w:szCs w:val="20"/>
          <w:lang w:eastAsia="en-US"/>
        </w:rPr>
        <w:t>, pomiarów, sprawdze</w:t>
      </w:r>
      <w:r w:rsidRPr="00F557BB">
        <w:rPr>
          <w:rFonts w:eastAsia="TimesNewRoman" w:cs="Arial"/>
          <w:szCs w:val="20"/>
          <w:lang w:eastAsia="en-US"/>
        </w:rPr>
        <w:t xml:space="preserve">ń </w:t>
      </w:r>
      <w:r w:rsidRPr="00F557BB">
        <w:rPr>
          <w:rFonts w:eastAsia="Calibri" w:cs="Arial"/>
          <w:szCs w:val="20"/>
          <w:lang w:eastAsia="en-US"/>
        </w:rPr>
        <w:t>i ekspertyz,</w:t>
      </w:r>
    </w:p>
    <w:p w14:paraId="0AABE07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5. protokoły z odbiorów technicznych robót ulegaj</w:t>
      </w:r>
      <w:r w:rsidRPr="00F557BB">
        <w:rPr>
          <w:rFonts w:eastAsia="TimesNewRoman" w:cs="Arial"/>
          <w:szCs w:val="20"/>
          <w:lang w:eastAsia="en-US"/>
        </w:rPr>
        <w:t>ą</w:t>
      </w:r>
      <w:r w:rsidRPr="00F557BB">
        <w:rPr>
          <w:rFonts w:eastAsia="Calibri" w:cs="Arial"/>
          <w:szCs w:val="20"/>
          <w:lang w:eastAsia="en-US"/>
        </w:rPr>
        <w:t>cych zakryciu oraz wynikaj</w:t>
      </w:r>
      <w:r w:rsidRPr="00F557BB">
        <w:rPr>
          <w:rFonts w:eastAsia="TimesNewRoman" w:cs="Arial"/>
          <w:szCs w:val="20"/>
          <w:lang w:eastAsia="en-US"/>
        </w:rPr>
        <w:t>ą</w:t>
      </w:r>
      <w:r w:rsidRPr="00F557BB">
        <w:rPr>
          <w:rFonts w:eastAsia="Calibri" w:cs="Arial"/>
          <w:szCs w:val="20"/>
          <w:lang w:eastAsia="en-US"/>
        </w:rPr>
        <w:t>cych z</w:t>
      </w:r>
    </w:p>
    <w:p w14:paraId="7ECE31C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uzgodnie</w:t>
      </w:r>
      <w:r w:rsidRPr="00F557BB">
        <w:rPr>
          <w:rFonts w:eastAsia="TimesNewRoman" w:cs="Arial"/>
          <w:szCs w:val="20"/>
          <w:lang w:eastAsia="en-US"/>
        </w:rPr>
        <w:t xml:space="preserve">ń </w:t>
      </w:r>
      <w:r w:rsidRPr="00F557BB">
        <w:rPr>
          <w:rFonts w:eastAsia="Calibri" w:cs="Arial"/>
          <w:szCs w:val="20"/>
          <w:lang w:eastAsia="en-US"/>
        </w:rPr>
        <w:t>bran</w:t>
      </w:r>
      <w:r w:rsidRPr="00F557BB">
        <w:rPr>
          <w:rFonts w:eastAsia="TimesNewRoman" w:cs="Arial"/>
          <w:szCs w:val="20"/>
          <w:lang w:eastAsia="en-US"/>
        </w:rPr>
        <w:t>ż</w:t>
      </w:r>
      <w:r w:rsidRPr="00F557BB">
        <w:rPr>
          <w:rFonts w:eastAsia="Calibri" w:cs="Arial"/>
          <w:szCs w:val="20"/>
          <w:lang w:eastAsia="en-US"/>
        </w:rPr>
        <w:t>owych,</w:t>
      </w:r>
    </w:p>
    <w:p w14:paraId="4759951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6. inwentaryzacja geodezyjna powykonawcza,</w:t>
      </w:r>
    </w:p>
    <w:p w14:paraId="52BA34F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7. projekt powykonawczy uwzgl</w:t>
      </w:r>
      <w:r w:rsidRPr="00F557BB">
        <w:rPr>
          <w:rFonts w:eastAsia="TimesNewRoman" w:cs="Arial"/>
          <w:szCs w:val="20"/>
          <w:lang w:eastAsia="en-US"/>
        </w:rPr>
        <w:t>ę</w:t>
      </w:r>
      <w:r w:rsidRPr="00F557BB">
        <w:rPr>
          <w:rFonts w:eastAsia="Calibri" w:cs="Arial"/>
          <w:szCs w:val="20"/>
          <w:lang w:eastAsia="en-US"/>
        </w:rPr>
        <w:t>dniaj</w:t>
      </w:r>
      <w:r w:rsidRPr="00F557BB">
        <w:rPr>
          <w:rFonts w:eastAsia="TimesNewRoman" w:cs="Arial"/>
          <w:szCs w:val="20"/>
          <w:lang w:eastAsia="en-US"/>
        </w:rPr>
        <w:t>ą</w:t>
      </w:r>
      <w:r w:rsidRPr="00F557BB">
        <w:rPr>
          <w:rFonts w:eastAsia="Calibri" w:cs="Arial"/>
          <w:szCs w:val="20"/>
          <w:lang w:eastAsia="en-US"/>
        </w:rPr>
        <w:t>cy dokonane zmiany w trakcie budowy,</w:t>
      </w:r>
    </w:p>
    <w:p w14:paraId="4C8E500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potwierdzone przez Kierownika Budowy, Nadzór oraz projektanta wraz ze</w:t>
      </w:r>
    </w:p>
    <w:p w14:paraId="0AA1F3A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szczegółowym zestawieniem tych zmian,</w:t>
      </w:r>
    </w:p>
    <w:p w14:paraId="020CAA2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8. protokoły odbioru,</w:t>
      </w:r>
    </w:p>
    <w:p w14:paraId="3AE8704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9. zestawienie wbudowanych materiałów wraz z dokumentami potwierdzaj</w:t>
      </w:r>
      <w:r w:rsidRPr="00F557BB">
        <w:rPr>
          <w:rFonts w:eastAsia="TimesNewRoman" w:cs="Arial"/>
          <w:szCs w:val="20"/>
          <w:lang w:eastAsia="en-US"/>
        </w:rPr>
        <w:t>ą</w:t>
      </w:r>
      <w:r w:rsidRPr="00F557BB">
        <w:rPr>
          <w:rFonts w:eastAsia="Calibri" w:cs="Arial"/>
          <w:szCs w:val="20"/>
          <w:lang w:eastAsia="en-US"/>
        </w:rPr>
        <w:t>cymi</w:t>
      </w:r>
    </w:p>
    <w:p w14:paraId="022788D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wprowadzenie do obrotu zgodnie z obowi</w:t>
      </w:r>
      <w:r w:rsidRPr="00F557BB">
        <w:rPr>
          <w:rFonts w:eastAsia="TimesNewRoman" w:cs="Arial"/>
          <w:szCs w:val="20"/>
          <w:lang w:eastAsia="en-US"/>
        </w:rPr>
        <w:t>ą</w:t>
      </w:r>
      <w:r w:rsidRPr="00F557BB">
        <w:rPr>
          <w:rFonts w:eastAsia="Calibri" w:cs="Arial"/>
          <w:szCs w:val="20"/>
          <w:lang w:eastAsia="en-US"/>
        </w:rPr>
        <w:t>zuj</w:t>
      </w:r>
      <w:r w:rsidRPr="00F557BB">
        <w:rPr>
          <w:rFonts w:eastAsia="TimesNewRoman" w:cs="Arial"/>
          <w:szCs w:val="20"/>
          <w:lang w:eastAsia="en-US"/>
        </w:rPr>
        <w:t>ą</w:t>
      </w:r>
      <w:r w:rsidRPr="00F557BB">
        <w:rPr>
          <w:rFonts w:eastAsia="Calibri" w:cs="Arial"/>
          <w:szCs w:val="20"/>
          <w:lang w:eastAsia="en-US"/>
        </w:rPr>
        <w:t>cymi przepisami, potwierdzone przez</w:t>
      </w:r>
    </w:p>
    <w:p w14:paraId="41BA84EA"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Nadzór,</w:t>
      </w:r>
    </w:p>
    <w:p w14:paraId="2B89DDC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10. zestawienie ilo</w:t>
      </w:r>
      <w:r w:rsidRPr="00F557BB">
        <w:rPr>
          <w:rFonts w:eastAsia="TimesNewRoman" w:cs="Arial"/>
          <w:szCs w:val="20"/>
          <w:lang w:eastAsia="en-US"/>
        </w:rPr>
        <w:t>ś</w:t>
      </w:r>
      <w:r w:rsidRPr="00F557BB">
        <w:rPr>
          <w:rFonts w:eastAsia="Calibri" w:cs="Arial"/>
          <w:szCs w:val="20"/>
          <w:lang w:eastAsia="en-US"/>
        </w:rPr>
        <w:t>ci wykonanych robót z uwzgl</w:t>
      </w:r>
      <w:r w:rsidRPr="00F557BB">
        <w:rPr>
          <w:rFonts w:eastAsia="TimesNewRoman" w:cs="Arial"/>
          <w:szCs w:val="20"/>
          <w:lang w:eastAsia="en-US"/>
        </w:rPr>
        <w:t>ę</w:t>
      </w:r>
      <w:r w:rsidRPr="00F557BB">
        <w:rPr>
          <w:rFonts w:eastAsia="Calibri" w:cs="Arial"/>
          <w:szCs w:val="20"/>
          <w:lang w:eastAsia="en-US"/>
        </w:rPr>
        <w:t>dnieniem robót rozbiórkowych z</w:t>
      </w:r>
    </w:p>
    <w:p w14:paraId="630ED55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zał</w:t>
      </w:r>
      <w:r w:rsidRPr="00F557BB">
        <w:rPr>
          <w:rFonts w:eastAsia="TimesNewRoman" w:cs="Arial"/>
          <w:szCs w:val="20"/>
          <w:lang w:eastAsia="en-US"/>
        </w:rPr>
        <w:t>ą</w:t>
      </w:r>
      <w:r w:rsidRPr="00F557BB">
        <w:rPr>
          <w:rFonts w:eastAsia="Calibri" w:cs="Arial"/>
          <w:szCs w:val="20"/>
          <w:lang w:eastAsia="en-US"/>
        </w:rPr>
        <w:t>cznikiem graficznym w układzie dostosowanym do u</w:t>
      </w:r>
      <w:r w:rsidRPr="00F557BB">
        <w:rPr>
          <w:rFonts w:eastAsia="TimesNewRoman" w:cs="Arial"/>
          <w:szCs w:val="20"/>
          <w:lang w:eastAsia="en-US"/>
        </w:rPr>
        <w:t>ż</w:t>
      </w:r>
      <w:r w:rsidRPr="00F557BB">
        <w:rPr>
          <w:rFonts w:eastAsia="Calibri" w:cs="Arial"/>
          <w:szCs w:val="20"/>
          <w:lang w:eastAsia="en-US"/>
        </w:rPr>
        <w:t>ytkowników,</w:t>
      </w:r>
    </w:p>
    <w:p w14:paraId="4B1A681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11. protokoły zwolnienia pasa drogowego,</w:t>
      </w:r>
    </w:p>
    <w:p w14:paraId="4F17B76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12. dane do ksi</w:t>
      </w:r>
      <w:r w:rsidRPr="00F557BB">
        <w:rPr>
          <w:rFonts w:eastAsia="TimesNewRoman" w:cs="Arial"/>
          <w:szCs w:val="20"/>
          <w:lang w:eastAsia="en-US"/>
        </w:rPr>
        <w:t>ąż</w:t>
      </w:r>
      <w:r w:rsidRPr="00F557BB">
        <w:rPr>
          <w:rFonts w:eastAsia="Calibri" w:cs="Arial"/>
          <w:szCs w:val="20"/>
          <w:lang w:eastAsia="en-US"/>
        </w:rPr>
        <w:t>ki drogi,</w:t>
      </w:r>
    </w:p>
    <w:p w14:paraId="5BE4F3F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13. dziennik budowy i inne dokumenty wynikaj</w:t>
      </w:r>
      <w:r w:rsidRPr="00F557BB">
        <w:rPr>
          <w:rFonts w:eastAsia="TimesNewRoman" w:cs="Arial"/>
          <w:szCs w:val="20"/>
          <w:lang w:eastAsia="en-US"/>
        </w:rPr>
        <w:t>ą</w:t>
      </w:r>
      <w:r w:rsidRPr="00F557BB">
        <w:rPr>
          <w:rFonts w:eastAsia="Calibri" w:cs="Arial"/>
          <w:szCs w:val="20"/>
          <w:lang w:eastAsia="en-US"/>
        </w:rPr>
        <w:t>ce z uzgodnie</w:t>
      </w:r>
      <w:r w:rsidRPr="00F557BB">
        <w:rPr>
          <w:rFonts w:eastAsia="TimesNewRoman" w:cs="Arial"/>
          <w:szCs w:val="20"/>
          <w:lang w:eastAsia="en-US"/>
        </w:rPr>
        <w:t xml:space="preserve">ń </w:t>
      </w:r>
      <w:r w:rsidRPr="00F557BB">
        <w:rPr>
          <w:rFonts w:eastAsia="Calibri" w:cs="Arial"/>
          <w:szCs w:val="20"/>
          <w:lang w:eastAsia="en-US"/>
        </w:rPr>
        <w:t>bran</w:t>
      </w:r>
      <w:r w:rsidRPr="00F557BB">
        <w:rPr>
          <w:rFonts w:eastAsia="TimesNewRoman" w:cs="Arial"/>
          <w:szCs w:val="20"/>
          <w:lang w:eastAsia="en-US"/>
        </w:rPr>
        <w:t>ż</w:t>
      </w:r>
      <w:r w:rsidRPr="00F557BB">
        <w:rPr>
          <w:rFonts w:eastAsia="Calibri" w:cs="Arial"/>
          <w:szCs w:val="20"/>
          <w:lang w:eastAsia="en-US"/>
        </w:rPr>
        <w:t>owych, specyfikacji</w:t>
      </w:r>
    </w:p>
    <w:p w14:paraId="796F3D7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technicznych i SIWZ warunkuj</w:t>
      </w:r>
      <w:r w:rsidRPr="00F557BB">
        <w:rPr>
          <w:rFonts w:eastAsia="TimesNewRoman" w:cs="Arial"/>
          <w:szCs w:val="20"/>
          <w:lang w:eastAsia="en-US"/>
        </w:rPr>
        <w:t>ą</w:t>
      </w:r>
      <w:r w:rsidRPr="00F557BB">
        <w:rPr>
          <w:rFonts w:eastAsia="Calibri" w:cs="Arial"/>
          <w:szCs w:val="20"/>
          <w:lang w:eastAsia="en-US"/>
        </w:rPr>
        <w:t>ce odbiór ko</w:t>
      </w:r>
      <w:r w:rsidRPr="00F557BB">
        <w:rPr>
          <w:rFonts w:eastAsia="TimesNewRoman" w:cs="Arial"/>
          <w:szCs w:val="20"/>
          <w:lang w:eastAsia="en-US"/>
        </w:rPr>
        <w:t>ń</w:t>
      </w:r>
      <w:r w:rsidRPr="00F557BB">
        <w:rPr>
          <w:rFonts w:eastAsia="Calibri" w:cs="Arial"/>
          <w:szCs w:val="20"/>
          <w:lang w:eastAsia="en-US"/>
        </w:rPr>
        <w:t>cowy i oddanie przedmiotu zamówienia</w:t>
      </w:r>
    </w:p>
    <w:p w14:paraId="3B96D58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do u</w:t>
      </w:r>
      <w:r w:rsidRPr="00F557BB">
        <w:rPr>
          <w:rFonts w:eastAsia="TimesNewRoman" w:cs="Arial"/>
          <w:szCs w:val="20"/>
          <w:lang w:eastAsia="en-US"/>
        </w:rPr>
        <w:t>ż</w:t>
      </w:r>
      <w:r w:rsidRPr="00F557BB">
        <w:rPr>
          <w:rFonts w:eastAsia="Calibri" w:cs="Arial"/>
          <w:szCs w:val="20"/>
          <w:lang w:eastAsia="en-US"/>
        </w:rPr>
        <w:t>ytku,</w:t>
      </w:r>
    </w:p>
    <w:p w14:paraId="248B66D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14. inne wymagane przez u</w:t>
      </w:r>
      <w:r w:rsidRPr="00F557BB">
        <w:rPr>
          <w:rFonts w:eastAsia="TimesNewRoman" w:cs="Arial"/>
          <w:szCs w:val="20"/>
          <w:lang w:eastAsia="en-US"/>
        </w:rPr>
        <w:t>ż</w:t>
      </w:r>
      <w:r w:rsidRPr="00F557BB">
        <w:rPr>
          <w:rFonts w:eastAsia="Calibri" w:cs="Arial"/>
          <w:szCs w:val="20"/>
          <w:lang w:eastAsia="en-US"/>
        </w:rPr>
        <w:t>ytkowników Zamawiaj</w:t>
      </w:r>
      <w:r w:rsidRPr="00F557BB">
        <w:rPr>
          <w:rFonts w:eastAsia="TimesNewRoman" w:cs="Arial"/>
          <w:szCs w:val="20"/>
          <w:lang w:eastAsia="en-US"/>
        </w:rPr>
        <w:t>ą</w:t>
      </w:r>
      <w:r w:rsidRPr="00F557BB">
        <w:rPr>
          <w:rFonts w:eastAsia="Calibri" w:cs="Arial"/>
          <w:szCs w:val="20"/>
          <w:lang w:eastAsia="en-US"/>
        </w:rPr>
        <w:t>cego.</w:t>
      </w:r>
    </w:p>
    <w:p w14:paraId="12F590D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 przypadku, gdy wg komisji, roboty pod wzgl</w:t>
      </w:r>
      <w:r w:rsidRPr="00F557BB">
        <w:rPr>
          <w:rFonts w:eastAsia="TimesNewRoman" w:cs="Arial"/>
          <w:szCs w:val="20"/>
          <w:lang w:eastAsia="en-US"/>
        </w:rPr>
        <w:t>ę</w:t>
      </w:r>
      <w:r w:rsidRPr="00F557BB">
        <w:rPr>
          <w:rFonts w:eastAsia="Calibri" w:cs="Arial"/>
          <w:szCs w:val="20"/>
          <w:lang w:eastAsia="en-US"/>
        </w:rPr>
        <w:t>dem przygotowania dokumentacyjnego nie</w:t>
      </w:r>
    </w:p>
    <w:p w14:paraId="71C335B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gotowe do odbioru ostatecznego, komisja w porozumieniu z Wykonawc</w:t>
      </w:r>
      <w:r w:rsidRPr="00F557BB">
        <w:rPr>
          <w:rFonts w:eastAsia="TimesNewRoman" w:cs="Arial"/>
          <w:szCs w:val="20"/>
          <w:lang w:eastAsia="en-US"/>
        </w:rPr>
        <w:t xml:space="preserve">ą </w:t>
      </w:r>
      <w:r w:rsidRPr="00F557BB">
        <w:rPr>
          <w:rFonts w:eastAsia="Calibri" w:cs="Arial"/>
          <w:szCs w:val="20"/>
          <w:lang w:eastAsia="en-US"/>
        </w:rPr>
        <w:t>wyznaczy</w:t>
      </w:r>
    </w:p>
    <w:p w14:paraId="68EFA51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ponowny termin odbioru ostatecznego robót.</w:t>
      </w:r>
    </w:p>
    <w:p w14:paraId="4C9E0CE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Wszystkie zarz</w:t>
      </w:r>
      <w:r w:rsidRPr="00F557BB">
        <w:rPr>
          <w:rFonts w:eastAsia="TimesNewRoman" w:cs="Arial"/>
          <w:szCs w:val="20"/>
          <w:lang w:eastAsia="en-US"/>
        </w:rPr>
        <w:t>ą</w:t>
      </w:r>
      <w:r w:rsidRPr="00F557BB">
        <w:rPr>
          <w:rFonts w:eastAsia="Calibri" w:cs="Arial"/>
          <w:szCs w:val="20"/>
          <w:lang w:eastAsia="en-US"/>
        </w:rPr>
        <w:t>dzone przez komisj</w:t>
      </w:r>
      <w:r w:rsidRPr="00F557BB">
        <w:rPr>
          <w:rFonts w:eastAsia="TimesNewRoman" w:cs="Arial"/>
          <w:szCs w:val="20"/>
          <w:lang w:eastAsia="en-US"/>
        </w:rPr>
        <w:t xml:space="preserve">ę </w:t>
      </w:r>
      <w:r w:rsidRPr="00F557BB">
        <w:rPr>
          <w:rFonts w:eastAsia="Calibri" w:cs="Arial"/>
          <w:szCs w:val="20"/>
          <w:lang w:eastAsia="en-US"/>
        </w:rPr>
        <w:t>roboty poprawkowe lub uzupełniaj</w:t>
      </w:r>
      <w:r w:rsidRPr="00F557BB">
        <w:rPr>
          <w:rFonts w:eastAsia="TimesNewRoman" w:cs="Arial"/>
          <w:szCs w:val="20"/>
          <w:lang w:eastAsia="en-US"/>
        </w:rPr>
        <w:t>ą</w:t>
      </w:r>
      <w:r w:rsidRPr="00F557BB">
        <w:rPr>
          <w:rFonts w:eastAsia="Calibri" w:cs="Arial"/>
          <w:szCs w:val="20"/>
          <w:lang w:eastAsia="en-US"/>
        </w:rPr>
        <w:t>ce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zestawione wg</w:t>
      </w:r>
    </w:p>
    <w:p w14:paraId="6661925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wzoru ustalonego przez Zamawiaj</w:t>
      </w:r>
      <w:r w:rsidRPr="00F557BB">
        <w:rPr>
          <w:rFonts w:eastAsia="TimesNewRoman" w:cs="Arial"/>
          <w:szCs w:val="20"/>
          <w:lang w:eastAsia="en-US"/>
        </w:rPr>
        <w:t>ą</w:t>
      </w:r>
      <w:r w:rsidRPr="00F557BB">
        <w:rPr>
          <w:rFonts w:eastAsia="Calibri" w:cs="Arial"/>
          <w:szCs w:val="20"/>
          <w:lang w:eastAsia="en-US"/>
        </w:rPr>
        <w:t>cego.</w:t>
      </w:r>
    </w:p>
    <w:p w14:paraId="48381C0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Termin wykonania robót poprawkowych i robót uzupełniaj</w:t>
      </w:r>
      <w:r w:rsidRPr="00F557BB">
        <w:rPr>
          <w:rFonts w:eastAsia="TimesNewRoman" w:cs="Arial"/>
          <w:szCs w:val="20"/>
          <w:lang w:eastAsia="en-US"/>
        </w:rPr>
        <w:t>ą</w:t>
      </w:r>
      <w:r w:rsidRPr="00F557BB">
        <w:rPr>
          <w:rFonts w:eastAsia="Calibri" w:cs="Arial"/>
          <w:szCs w:val="20"/>
          <w:lang w:eastAsia="en-US"/>
        </w:rPr>
        <w:t>cych wyznaczy komisja.</w:t>
      </w:r>
    </w:p>
    <w:p w14:paraId="2B98EFA6"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9. PODSTAWA PŁATNOŚCI</w:t>
      </w:r>
    </w:p>
    <w:p w14:paraId="252E6D6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Płatno</w:t>
      </w:r>
      <w:r w:rsidRPr="00F557BB">
        <w:rPr>
          <w:rFonts w:eastAsia="TimesNewRoman" w:cs="Arial"/>
          <w:szCs w:val="20"/>
          <w:lang w:eastAsia="en-US"/>
        </w:rPr>
        <w:t xml:space="preserve">ść </w:t>
      </w:r>
      <w:r w:rsidRPr="00F557BB">
        <w:rPr>
          <w:rFonts w:eastAsia="Calibri" w:cs="Arial"/>
          <w:szCs w:val="20"/>
          <w:lang w:eastAsia="en-US"/>
        </w:rPr>
        <w:t>za jednostk</w:t>
      </w:r>
      <w:r w:rsidRPr="00F557BB">
        <w:rPr>
          <w:rFonts w:eastAsia="TimesNewRoman" w:cs="Arial"/>
          <w:szCs w:val="20"/>
          <w:lang w:eastAsia="en-US"/>
        </w:rPr>
        <w:t xml:space="preserve">ę </w:t>
      </w:r>
      <w:r w:rsidRPr="00F557BB">
        <w:rPr>
          <w:rFonts w:eastAsia="Calibri" w:cs="Arial"/>
          <w:szCs w:val="20"/>
          <w:lang w:eastAsia="en-US"/>
        </w:rPr>
        <w:t>wykonanych robót nale</w:t>
      </w:r>
      <w:r w:rsidRPr="00F557BB">
        <w:rPr>
          <w:rFonts w:eastAsia="TimesNewRoman" w:cs="Arial"/>
          <w:szCs w:val="20"/>
          <w:lang w:eastAsia="en-US"/>
        </w:rPr>
        <w:t>ż</w:t>
      </w:r>
      <w:r w:rsidRPr="00F557BB">
        <w:rPr>
          <w:rFonts w:eastAsia="Calibri" w:cs="Arial"/>
          <w:szCs w:val="20"/>
          <w:lang w:eastAsia="en-US"/>
        </w:rPr>
        <w:t>y ustali</w:t>
      </w:r>
      <w:r w:rsidRPr="00F557BB">
        <w:rPr>
          <w:rFonts w:eastAsia="TimesNewRoman" w:cs="Arial"/>
          <w:szCs w:val="20"/>
          <w:lang w:eastAsia="en-US"/>
        </w:rPr>
        <w:t xml:space="preserve">ć </w:t>
      </w:r>
      <w:r w:rsidRPr="00F557BB">
        <w:rPr>
          <w:rFonts w:eastAsia="Calibri" w:cs="Arial"/>
          <w:szCs w:val="20"/>
          <w:lang w:eastAsia="en-US"/>
        </w:rPr>
        <w:t>zgodnie z obmiarem i ocen</w:t>
      </w:r>
      <w:r w:rsidRPr="00F557BB">
        <w:rPr>
          <w:rFonts w:eastAsia="TimesNewRoman" w:cs="Arial"/>
          <w:szCs w:val="20"/>
          <w:lang w:eastAsia="en-US"/>
        </w:rPr>
        <w:t xml:space="preserve">ą </w:t>
      </w:r>
      <w:r w:rsidRPr="00F557BB">
        <w:rPr>
          <w:rFonts w:eastAsia="Calibri" w:cs="Arial"/>
          <w:szCs w:val="20"/>
          <w:lang w:eastAsia="en-US"/>
        </w:rPr>
        <w:t>u</w:t>
      </w:r>
      <w:r w:rsidRPr="00F557BB">
        <w:rPr>
          <w:rFonts w:eastAsia="TimesNewRoman" w:cs="Arial"/>
          <w:szCs w:val="20"/>
          <w:lang w:eastAsia="en-US"/>
        </w:rPr>
        <w:t>ż</w:t>
      </w:r>
      <w:r w:rsidRPr="00F557BB">
        <w:rPr>
          <w:rFonts w:eastAsia="Calibri" w:cs="Arial"/>
          <w:szCs w:val="20"/>
          <w:lang w:eastAsia="en-US"/>
        </w:rPr>
        <w:t>ytych</w:t>
      </w:r>
    </w:p>
    <w:p w14:paraId="0126CCF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materiałów i wykonanych prac. Ceny te b</w:t>
      </w:r>
      <w:r w:rsidRPr="00F557BB">
        <w:rPr>
          <w:rFonts w:eastAsia="TimesNewRoman" w:cs="Arial"/>
          <w:szCs w:val="20"/>
          <w:lang w:eastAsia="en-US"/>
        </w:rPr>
        <w:t>ę</w:t>
      </w:r>
      <w:r w:rsidRPr="00F557BB">
        <w:rPr>
          <w:rFonts w:eastAsia="Calibri" w:cs="Arial"/>
          <w:szCs w:val="20"/>
          <w:lang w:eastAsia="en-US"/>
        </w:rPr>
        <w:t>d</w:t>
      </w:r>
      <w:r w:rsidRPr="00F557BB">
        <w:rPr>
          <w:rFonts w:eastAsia="TimesNewRoman" w:cs="Arial"/>
          <w:szCs w:val="20"/>
          <w:lang w:eastAsia="en-US"/>
        </w:rPr>
        <w:t xml:space="preserve">ą </w:t>
      </w:r>
      <w:r w:rsidRPr="00F557BB">
        <w:rPr>
          <w:rFonts w:eastAsia="Calibri" w:cs="Arial"/>
          <w:szCs w:val="20"/>
          <w:lang w:eastAsia="en-US"/>
        </w:rPr>
        <w:t>pełnym wynagrodzeniem za dostarczenie i</w:t>
      </w:r>
    </w:p>
    <w:p w14:paraId="48914E4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wbudowanie wszystkich materiałów u</w:t>
      </w:r>
      <w:r w:rsidRPr="00F557BB">
        <w:rPr>
          <w:rFonts w:eastAsia="TimesNewRoman" w:cs="Arial"/>
          <w:szCs w:val="20"/>
          <w:lang w:eastAsia="en-US"/>
        </w:rPr>
        <w:t>ż</w:t>
      </w:r>
      <w:r w:rsidRPr="00F557BB">
        <w:rPr>
          <w:rFonts w:eastAsia="Calibri" w:cs="Arial"/>
          <w:szCs w:val="20"/>
          <w:lang w:eastAsia="en-US"/>
        </w:rPr>
        <w:t>ytych do budowy kanalizacji teletechnicznej oraz</w:t>
      </w:r>
    </w:p>
    <w:p w14:paraId="09750F5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robocizn</w:t>
      </w:r>
      <w:r w:rsidRPr="00F557BB">
        <w:rPr>
          <w:rFonts w:eastAsia="TimesNewRoman" w:cs="Arial"/>
          <w:szCs w:val="20"/>
          <w:lang w:eastAsia="en-US"/>
        </w:rPr>
        <w:t>ę</w:t>
      </w:r>
      <w:r w:rsidRPr="00F557BB">
        <w:rPr>
          <w:rFonts w:eastAsia="Calibri" w:cs="Arial"/>
          <w:szCs w:val="20"/>
          <w:lang w:eastAsia="en-US"/>
        </w:rPr>
        <w:t>, prac</w:t>
      </w:r>
      <w:r w:rsidRPr="00F557BB">
        <w:rPr>
          <w:rFonts w:eastAsia="TimesNewRoman" w:cs="Arial"/>
          <w:szCs w:val="20"/>
          <w:lang w:eastAsia="en-US"/>
        </w:rPr>
        <w:t xml:space="preserve">ę </w:t>
      </w:r>
      <w:r w:rsidRPr="00F557BB">
        <w:rPr>
          <w:rFonts w:eastAsia="Calibri" w:cs="Arial"/>
          <w:szCs w:val="20"/>
          <w:lang w:eastAsia="en-US"/>
        </w:rPr>
        <w:t>sprz</w:t>
      </w:r>
      <w:r w:rsidRPr="00F557BB">
        <w:rPr>
          <w:rFonts w:eastAsia="TimesNewRoman" w:cs="Arial"/>
          <w:szCs w:val="20"/>
          <w:lang w:eastAsia="en-US"/>
        </w:rPr>
        <w:t>ę</w:t>
      </w:r>
      <w:r w:rsidRPr="00F557BB">
        <w:rPr>
          <w:rFonts w:eastAsia="Calibri" w:cs="Arial"/>
          <w:szCs w:val="20"/>
          <w:lang w:eastAsia="en-US"/>
        </w:rPr>
        <w:t>tu oraz wszystkie czynno</w:t>
      </w:r>
      <w:r w:rsidRPr="00F557BB">
        <w:rPr>
          <w:rFonts w:eastAsia="TimesNewRoman" w:cs="Arial"/>
          <w:szCs w:val="20"/>
          <w:lang w:eastAsia="en-US"/>
        </w:rPr>
        <w:t>ś</w:t>
      </w:r>
      <w:r w:rsidRPr="00F557BB">
        <w:rPr>
          <w:rFonts w:eastAsia="Calibri" w:cs="Arial"/>
          <w:szCs w:val="20"/>
          <w:lang w:eastAsia="en-US"/>
        </w:rPr>
        <w:t>ci niezb</w:t>
      </w:r>
      <w:r w:rsidRPr="00F557BB">
        <w:rPr>
          <w:rFonts w:eastAsia="TimesNewRoman" w:cs="Arial"/>
          <w:szCs w:val="20"/>
          <w:lang w:eastAsia="en-US"/>
        </w:rPr>
        <w:t>ę</w:t>
      </w:r>
      <w:r w:rsidRPr="00F557BB">
        <w:rPr>
          <w:rFonts w:eastAsia="Calibri" w:cs="Arial"/>
          <w:szCs w:val="20"/>
          <w:lang w:eastAsia="en-US"/>
        </w:rPr>
        <w:t>dne do nale</w:t>
      </w:r>
      <w:r w:rsidRPr="00F557BB">
        <w:rPr>
          <w:rFonts w:eastAsia="TimesNewRoman" w:cs="Arial"/>
          <w:szCs w:val="20"/>
          <w:lang w:eastAsia="en-US"/>
        </w:rPr>
        <w:t>ż</w:t>
      </w:r>
      <w:r w:rsidRPr="00F557BB">
        <w:rPr>
          <w:rFonts w:eastAsia="Calibri" w:cs="Arial"/>
          <w:szCs w:val="20"/>
          <w:lang w:eastAsia="en-US"/>
        </w:rPr>
        <w:t>ytego wykonania i odbioru</w:t>
      </w:r>
    </w:p>
    <w:p w14:paraId="6ADAC3E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robót.</w:t>
      </w:r>
    </w:p>
    <w:p w14:paraId="659AC82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Cena jednostkowa 1m budowy kanalizacji teletechnicznej danego typu obejmuje:</w:t>
      </w:r>
    </w:p>
    <w:p w14:paraId="7DFCE8B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wytyczenie trasy przebiegu</w:t>
      </w:r>
    </w:p>
    <w:p w14:paraId="6A7893F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wykonanie wykopu</w:t>
      </w:r>
    </w:p>
    <w:p w14:paraId="2ED047E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zakup i transport materiałów</w:t>
      </w:r>
    </w:p>
    <w:p w14:paraId="07639AC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wykonanie podsypki z przesianej ziemi</w:t>
      </w:r>
    </w:p>
    <w:p w14:paraId="1336663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uło</w:t>
      </w:r>
      <w:r w:rsidRPr="00F557BB">
        <w:rPr>
          <w:rFonts w:eastAsia="TimesNewRoman" w:cs="Arial"/>
          <w:szCs w:val="20"/>
          <w:lang w:eastAsia="en-US"/>
        </w:rPr>
        <w:t>ż</w:t>
      </w:r>
      <w:r w:rsidRPr="00F557BB">
        <w:rPr>
          <w:rFonts w:eastAsia="Calibri" w:cs="Arial"/>
          <w:szCs w:val="20"/>
          <w:lang w:eastAsia="en-US"/>
        </w:rPr>
        <w:t>enie przekładek profilowych i rur w wykopie oraz ich zmontowanie</w:t>
      </w:r>
    </w:p>
    <w:p w14:paraId="28FB36B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przygotowanie i dostarczenie mieszanki betonowej</w:t>
      </w:r>
    </w:p>
    <w:p w14:paraId="486F37A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lastRenderedPageBreak/>
        <w:t>· wypełnienie szczelin mi</w:t>
      </w:r>
      <w:r w:rsidRPr="00F557BB">
        <w:rPr>
          <w:rFonts w:eastAsia="TimesNewRoman" w:cs="Arial"/>
          <w:szCs w:val="20"/>
          <w:lang w:eastAsia="en-US"/>
        </w:rPr>
        <w:t>ę</w:t>
      </w:r>
      <w:r w:rsidRPr="00F557BB">
        <w:rPr>
          <w:rFonts w:eastAsia="Calibri" w:cs="Arial"/>
          <w:szCs w:val="20"/>
          <w:lang w:eastAsia="en-US"/>
        </w:rPr>
        <w:t>dzy rurami w ci</w:t>
      </w:r>
      <w:r w:rsidRPr="00F557BB">
        <w:rPr>
          <w:rFonts w:eastAsia="TimesNewRoman" w:cs="Arial"/>
          <w:szCs w:val="20"/>
          <w:lang w:eastAsia="en-US"/>
        </w:rPr>
        <w:t>ą</w:t>
      </w:r>
      <w:r w:rsidRPr="00F557BB">
        <w:rPr>
          <w:rFonts w:eastAsia="Calibri" w:cs="Arial"/>
          <w:szCs w:val="20"/>
          <w:lang w:eastAsia="en-US"/>
        </w:rPr>
        <w:t>gach wielootworowych mas</w:t>
      </w:r>
      <w:r w:rsidRPr="00F557BB">
        <w:rPr>
          <w:rFonts w:eastAsia="TimesNewRoman" w:cs="Arial"/>
          <w:szCs w:val="20"/>
          <w:lang w:eastAsia="en-US"/>
        </w:rPr>
        <w:t xml:space="preserve">ą </w:t>
      </w:r>
      <w:r w:rsidRPr="00F557BB">
        <w:rPr>
          <w:rFonts w:eastAsia="Calibri" w:cs="Arial"/>
          <w:szCs w:val="20"/>
          <w:lang w:eastAsia="en-US"/>
        </w:rPr>
        <w:t>betonow</w:t>
      </w:r>
      <w:r w:rsidRPr="00F557BB">
        <w:rPr>
          <w:rFonts w:eastAsia="TimesNewRoman" w:cs="Arial"/>
          <w:szCs w:val="20"/>
          <w:lang w:eastAsia="en-US"/>
        </w:rPr>
        <w:t xml:space="preserve">ą </w:t>
      </w:r>
      <w:r w:rsidRPr="00F557BB">
        <w:rPr>
          <w:rFonts w:eastAsia="Calibri" w:cs="Arial"/>
          <w:szCs w:val="20"/>
          <w:lang w:eastAsia="en-US"/>
        </w:rPr>
        <w:t>co 20m</w:t>
      </w:r>
    </w:p>
    <w:p w14:paraId="6DB65FA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na długo</w:t>
      </w:r>
      <w:r w:rsidRPr="00F557BB">
        <w:rPr>
          <w:rFonts w:eastAsia="TimesNewRoman" w:cs="Arial"/>
          <w:szCs w:val="20"/>
          <w:lang w:eastAsia="en-US"/>
        </w:rPr>
        <w:t>ś</w:t>
      </w:r>
      <w:r w:rsidRPr="00F557BB">
        <w:rPr>
          <w:rFonts w:eastAsia="Calibri" w:cs="Arial"/>
          <w:szCs w:val="20"/>
          <w:lang w:eastAsia="en-US"/>
        </w:rPr>
        <w:t>ci 0,8m</w:t>
      </w:r>
    </w:p>
    <w:p w14:paraId="088051AE" w14:textId="77777777" w:rsidR="00F557BB" w:rsidRPr="00F557BB" w:rsidRDefault="00F557BB" w:rsidP="00270120">
      <w:pPr>
        <w:autoSpaceDE w:val="0"/>
        <w:autoSpaceDN w:val="0"/>
        <w:adjustRightInd w:val="0"/>
        <w:spacing w:line="240" w:lineRule="auto"/>
        <w:jc w:val="both"/>
        <w:rPr>
          <w:rFonts w:eastAsia="TimesNewRoman" w:cs="Arial"/>
          <w:szCs w:val="20"/>
          <w:lang w:eastAsia="en-US"/>
        </w:rPr>
      </w:pPr>
      <w:r w:rsidRPr="00F557BB">
        <w:rPr>
          <w:rFonts w:eastAsia="Calibri" w:cs="Arial"/>
          <w:szCs w:val="20"/>
          <w:lang w:eastAsia="en-US"/>
        </w:rPr>
        <w:t>· przesypanie uło</w:t>
      </w:r>
      <w:r w:rsidRPr="00F557BB">
        <w:rPr>
          <w:rFonts w:eastAsia="TimesNewRoman" w:cs="Arial"/>
          <w:szCs w:val="20"/>
          <w:lang w:eastAsia="en-US"/>
        </w:rPr>
        <w:t>ż</w:t>
      </w:r>
      <w:r w:rsidRPr="00F557BB">
        <w:rPr>
          <w:rFonts w:eastAsia="Calibri" w:cs="Arial"/>
          <w:szCs w:val="20"/>
          <w:lang w:eastAsia="en-US"/>
        </w:rPr>
        <w:t>onych rur przesian</w:t>
      </w:r>
      <w:r w:rsidRPr="00F557BB">
        <w:rPr>
          <w:rFonts w:eastAsia="TimesNewRoman" w:cs="Arial"/>
          <w:szCs w:val="20"/>
          <w:lang w:eastAsia="en-US"/>
        </w:rPr>
        <w:t xml:space="preserve">ą </w:t>
      </w:r>
      <w:r w:rsidRPr="00F557BB">
        <w:rPr>
          <w:rFonts w:eastAsia="Calibri" w:cs="Arial"/>
          <w:szCs w:val="20"/>
          <w:lang w:eastAsia="en-US"/>
        </w:rPr>
        <w:t>ziemi</w:t>
      </w:r>
      <w:r w:rsidRPr="00F557BB">
        <w:rPr>
          <w:rFonts w:eastAsia="TimesNewRoman" w:cs="Arial"/>
          <w:szCs w:val="20"/>
          <w:lang w:eastAsia="en-US"/>
        </w:rPr>
        <w:t>ą</w:t>
      </w:r>
    </w:p>
    <w:p w14:paraId="3DCA22C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zasypanie rowu z zag</w:t>
      </w:r>
      <w:r w:rsidRPr="00F557BB">
        <w:rPr>
          <w:rFonts w:eastAsia="TimesNewRoman" w:cs="Arial"/>
          <w:szCs w:val="20"/>
          <w:lang w:eastAsia="en-US"/>
        </w:rPr>
        <w:t>ę</w:t>
      </w:r>
      <w:r w:rsidRPr="00F557BB">
        <w:rPr>
          <w:rFonts w:eastAsia="Calibri" w:cs="Arial"/>
          <w:szCs w:val="20"/>
          <w:lang w:eastAsia="en-US"/>
        </w:rPr>
        <w:t>szczaniem, wyrównanie tereny i wywiezienie nadmiaru ziemi na</w:t>
      </w:r>
    </w:p>
    <w:p w14:paraId="0EA415D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wysypisko wraz z kosztami utylizacji</w:t>
      </w:r>
    </w:p>
    <w:p w14:paraId="47E696C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Cena jednostkowa 1szt. budowy studni kablowej obejmuje:</w:t>
      </w:r>
    </w:p>
    <w:p w14:paraId="7432F03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wytyczenie i wykonanie wykopu,</w:t>
      </w:r>
    </w:p>
    <w:p w14:paraId="61362FF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zakup i transport materiałów</w:t>
      </w:r>
    </w:p>
    <w:p w14:paraId="76DBFE29"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ustawienie osadnika i zabetonowanie dna studni,</w:t>
      </w:r>
    </w:p>
    <w:p w14:paraId="70B2516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ustawienie i monta</w:t>
      </w:r>
      <w:r w:rsidRPr="00F557BB">
        <w:rPr>
          <w:rFonts w:eastAsia="TimesNewRoman" w:cs="Arial"/>
          <w:szCs w:val="20"/>
          <w:lang w:eastAsia="en-US"/>
        </w:rPr>
        <w:t xml:space="preserve">ż </w:t>
      </w:r>
      <w:r w:rsidRPr="00F557BB">
        <w:rPr>
          <w:rFonts w:eastAsia="Calibri" w:cs="Arial"/>
          <w:szCs w:val="20"/>
          <w:lang w:eastAsia="en-US"/>
        </w:rPr>
        <w:t>elementów prefabrykowanych studni w wykopie,</w:t>
      </w:r>
    </w:p>
    <w:p w14:paraId="03E97C1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nadbudowanie studni do wysoko</w:t>
      </w:r>
      <w:r w:rsidRPr="00F557BB">
        <w:rPr>
          <w:rFonts w:eastAsia="TimesNewRoman" w:cs="Arial"/>
          <w:szCs w:val="20"/>
          <w:lang w:eastAsia="en-US"/>
        </w:rPr>
        <w:t>ś</w:t>
      </w:r>
      <w:r w:rsidRPr="00F557BB">
        <w:rPr>
          <w:rFonts w:eastAsia="Calibri" w:cs="Arial"/>
          <w:szCs w:val="20"/>
          <w:lang w:eastAsia="en-US"/>
        </w:rPr>
        <w:t>ci wynikaj</w:t>
      </w:r>
      <w:r w:rsidRPr="00F557BB">
        <w:rPr>
          <w:rFonts w:eastAsia="TimesNewRoman" w:cs="Arial"/>
          <w:szCs w:val="20"/>
          <w:lang w:eastAsia="en-US"/>
        </w:rPr>
        <w:t>ą</w:t>
      </w:r>
      <w:r w:rsidRPr="00F557BB">
        <w:rPr>
          <w:rFonts w:eastAsia="Calibri" w:cs="Arial"/>
          <w:szCs w:val="20"/>
          <w:lang w:eastAsia="en-US"/>
        </w:rPr>
        <w:t>cej z rysunków b</w:t>
      </w:r>
      <w:r w:rsidRPr="00F557BB">
        <w:rPr>
          <w:rFonts w:eastAsia="TimesNewRoman" w:cs="Arial"/>
          <w:szCs w:val="20"/>
          <w:lang w:eastAsia="en-US"/>
        </w:rPr>
        <w:t>ą</w:t>
      </w:r>
      <w:r w:rsidRPr="00F557BB">
        <w:rPr>
          <w:rFonts w:eastAsia="Calibri" w:cs="Arial"/>
          <w:szCs w:val="20"/>
          <w:lang w:eastAsia="en-US"/>
        </w:rPr>
        <w:t>d</w:t>
      </w:r>
      <w:r w:rsidRPr="00F557BB">
        <w:rPr>
          <w:rFonts w:eastAsia="TimesNewRoman" w:cs="Arial"/>
          <w:szCs w:val="20"/>
          <w:lang w:eastAsia="en-US"/>
        </w:rPr>
        <w:t xml:space="preserve">ź </w:t>
      </w:r>
      <w:r w:rsidRPr="00F557BB">
        <w:rPr>
          <w:rFonts w:eastAsia="Calibri" w:cs="Arial"/>
          <w:szCs w:val="20"/>
          <w:lang w:eastAsia="en-US"/>
        </w:rPr>
        <w:t>warunków terenowych</w:t>
      </w:r>
    </w:p>
    <w:p w14:paraId="2F4B381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wprowadzenie rur do studni</w:t>
      </w:r>
    </w:p>
    <w:p w14:paraId="73B3456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osadzenie rur wspornikowych</w:t>
      </w:r>
    </w:p>
    <w:p w14:paraId="3F7AA76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osadzenie ramy i pokrywy</w:t>
      </w:r>
    </w:p>
    <w:p w14:paraId="5F76228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pomalowanie metalowych elementów studni</w:t>
      </w:r>
    </w:p>
    <w:p w14:paraId="52170FF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zasypanie wykopu i ubicie ziemi</w:t>
      </w:r>
    </w:p>
    <w:p w14:paraId="59CBA9A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wywiezienie nadmiaru ziemi na wysypisko wraz z kosztami utylizacji</w:t>
      </w:r>
    </w:p>
    <w:p w14:paraId="753762D9"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 wyrównanie i uporz</w:t>
      </w:r>
      <w:r w:rsidRPr="00F557BB">
        <w:rPr>
          <w:rFonts w:eastAsia="TimesNewRoman" w:cs="Arial"/>
          <w:szCs w:val="20"/>
          <w:lang w:eastAsia="en-US"/>
        </w:rPr>
        <w:t>ą</w:t>
      </w:r>
      <w:r w:rsidRPr="00F557BB">
        <w:rPr>
          <w:rFonts w:eastAsia="Calibri" w:cs="Arial"/>
          <w:szCs w:val="20"/>
          <w:lang w:eastAsia="en-US"/>
        </w:rPr>
        <w:t>dkowanie tereny</w:t>
      </w:r>
    </w:p>
    <w:p w14:paraId="68D8051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 opisanie i umocowanie tabliczki znamionowej</w:t>
      </w:r>
    </w:p>
    <w:p w14:paraId="4248DAC3"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10. PRZEPISY ZWIĄZANE</w:t>
      </w:r>
    </w:p>
    <w:p w14:paraId="7FFD51A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Ustawa - Prawo Budowlane</w:t>
      </w:r>
    </w:p>
    <w:p w14:paraId="3431E28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Ustawa o drogach publicznych z dnia 21.03.1985r. (Dz.U.2000 Nr 21poz. 838)</w:t>
      </w:r>
    </w:p>
    <w:p w14:paraId="78CB7EA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Ustawa o zmianie ustawy o drogach publicznych oraz o zmianie niektórych innych ustaw – z</w:t>
      </w:r>
    </w:p>
    <w:p w14:paraId="31C695F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dnia 14.11.2003r. Dz.U.2003r. Nr 200 poz. 1953)</w:t>
      </w:r>
    </w:p>
    <w:p w14:paraId="2A7357A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Rozporz</w:t>
      </w:r>
      <w:r w:rsidRPr="00F557BB">
        <w:rPr>
          <w:rFonts w:eastAsia="TimesNewRoman" w:cs="Arial"/>
          <w:szCs w:val="20"/>
          <w:lang w:eastAsia="en-US"/>
        </w:rPr>
        <w:t>ą</w:t>
      </w:r>
      <w:r w:rsidRPr="00F557BB">
        <w:rPr>
          <w:rFonts w:eastAsia="Calibri" w:cs="Arial"/>
          <w:szCs w:val="20"/>
          <w:lang w:eastAsia="en-US"/>
        </w:rPr>
        <w:t>dzenie Ministra Infrastruktury z 23.06.2003r. w sprawie informacji dotycz</w:t>
      </w:r>
      <w:r w:rsidRPr="00F557BB">
        <w:rPr>
          <w:rFonts w:eastAsia="TimesNewRoman" w:cs="Arial"/>
          <w:szCs w:val="20"/>
          <w:lang w:eastAsia="en-US"/>
        </w:rPr>
        <w:t>ą</w:t>
      </w:r>
      <w:r w:rsidRPr="00F557BB">
        <w:rPr>
          <w:rFonts w:eastAsia="Calibri" w:cs="Arial"/>
          <w:szCs w:val="20"/>
          <w:lang w:eastAsia="en-US"/>
        </w:rPr>
        <w:t>cej</w:t>
      </w:r>
    </w:p>
    <w:p w14:paraId="25F598D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bezpiecze</w:t>
      </w:r>
      <w:r w:rsidRPr="00F557BB">
        <w:rPr>
          <w:rFonts w:eastAsia="TimesNewRoman" w:cs="Arial"/>
          <w:szCs w:val="20"/>
          <w:lang w:eastAsia="en-US"/>
        </w:rPr>
        <w:t>ń</w:t>
      </w:r>
      <w:r w:rsidRPr="00F557BB">
        <w:rPr>
          <w:rFonts w:eastAsia="Calibri" w:cs="Arial"/>
          <w:szCs w:val="20"/>
          <w:lang w:eastAsia="en-US"/>
        </w:rPr>
        <w:t>stwa i ochrony zdrowia oraz bezpiecze</w:t>
      </w:r>
      <w:r w:rsidRPr="00F557BB">
        <w:rPr>
          <w:rFonts w:eastAsia="TimesNewRoman" w:cs="Arial"/>
          <w:szCs w:val="20"/>
          <w:lang w:eastAsia="en-US"/>
        </w:rPr>
        <w:t>ń</w:t>
      </w:r>
      <w:r w:rsidRPr="00F557BB">
        <w:rPr>
          <w:rFonts w:eastAsia="Calibri" w:cs="Arial"/>
          <w:szCs w:val="20"/>
          <w:lang w:eastAsia="en-US"/>
        </w:rPr>
        <w:t>stwa i ochrony zdrowia. (Dz.U. 2003r. Nr 120</w:t>
      </w:r>
    </w:p>
    <w:p w14:paraId="59F5A31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poz.1126)</w:t>
      </w:r>
    </w:p>
    <w:p w14:paraId="3F7F40B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Rozporz</w:t>
      </w:r>
      <w:r w:rsidRPr="00F557BB">
        <w:rPr>
          <w:rFonts w:eastAsia="TimesNewRoman" w:cs="Arial"/>
          <w:szCs w:val="20"/>
          <w:lang w:eastAsia="en-US"/>
        </w:rPr>
        <w:t>ą</w:t>
      </w:r>
      <w:r w:rsidRPr="00F557BB">
        <w:rPr>
          <w:rFonts w:eastAsia="Calibri" w:cs="Arial"/>
          <w:szCs w:val="20"/>
          <w:lang w:eastAsia="en-US"/>
        </w:rPr>
        <w:t>dzenie Ministra Infrastruktury z dnia 6.02.2003r. w sprawie bezpiecze</w:t>
      </w:r>
      <w:r w:rsidRPr="00F557BB">
        <w:rPr>
          <w:rFonts w:eastAsia="TimesNewRoman" w:cs="Arial"/>
          <w:szCs w:val="20"/>
          <w:lang w:eastAsia="en-US"/>
        </w:rPr>
        <w:t>ń</w:t>
      </w:r>
      <w:r w:rsidRPr="00F557BB">
        <w:rPr>
          <w:rFonts w:eastAsia="Calibri" w:cs="Arial"/>
          <w:szCs w:val="20"/>
          <w:lang w:eastAsia="en-US"/>
        </w:rPr>
        <w:t>stwa i higieny</w:t>
      </w:r>
    </w:p>
    <w:p w14:paraId="0FE17FC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pracy podczas wykonywania robót budowlanych. (Dz.U. 2003r. Nr 47 poz. 401)</w:t>
      </w:r>
    </w:p>
    <w:p w14:paraId="58EF8E9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Rozporz</w:t>
      </w:r>
      <w:r w:rsidRPr="00F557BB">
        <w:rPr>
          <w:rFonts w:eastAsia="TimesNewRoman" w:cs="Arial"/>
          <w:szCs w:val="20"/>
          <w:lang w:eastAsia="en-US"/>
        </w:rPr>
        <w:t>ą</w:t>
      </w:r>
      <w:r w:rsidRPr="00F557BB">
        <w:rPr>
          <w:rFonts w:eastAsia="Calibri" w:cs="Arial"/>
          <w:szCs w:val="20"/>
          <w:lang w:eastAsia="en-US"/>
        </w:rPr>
        <w:t>dzenie Ministra Pracy i Polityki Socjalnej z dnia 26.09.1997r. w sprawie ogólnych</w:t>
      </w:r>
    </w:p>
    <w:p w14:paraId="793F2C5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przepisów bezpiecze</w:t>
      </w:r>
      <w:r w:rsidRPr="00F557BB">
        <w:rPr>
          <w:rFonts w:eastAsia="TimesNewRoman" w:cs="Arial"/>
          <w:szCs w:val="20"/>
          <w:lang w:eastAsia="en-US"/>
        </w:rPr>
        <w:t>ń</w:t>
      </w:r>
      <w:r w:rsidRPr="00F557BB">
        <w:rPr>
          <w:rFonts w:eastAsia="Calibri" w:cs="Arial"/>
          <w:szCs w:val="20"/>
          <w:lang w:eastAsia="en-US"/>
        </w:rPr>
        <w:t>stwa i higieny pracy . (Dz.U. 1997r. Nr 129 poz. 844)</w:t>
      </w:r>
    </w:p>
    <w:p w14:paraId="079624B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6a Rozporz</w:t>
      </w:r>
      <w:r w:rsidRPr="00F557BB">
        <w:rPr>
          <w:rFonts w:eastAsia="TimesNewRoman" w:cs="Arial"/>
          <w:szCs w:val="20"/>
          <w:lang w:eastAsia="en-US"/>
        </w:rPr>
        <w:t>ą</w:t>
      </w:r>
      <w:r w:rsidRPr="00F557BB">
        <w:rPr>
          <w:rFonts w:eastAsia="Calibri" w:cs="Arial"/>
          <w:szCs w:val="20"/>
          <w:lang w:eastAsia="en-US"/>
        </w:rPr>
        <w:t>dzenie Ministra Infrastruktury z dnia 26.10.2005r. w sprawie warunków</w:t>
      </w:r>
    </w:p>
    <w:p w14:paraId="260B18A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technicznych, jakim powinny odpowiada</w:t>
      </w:r>
      <w:r w:rsidRPr="00F557BB">
        <w:rPr>
          <w:rFonts w:eastAsia="TimesNewRoman" w:cs="Arial"/>
          <w:szCs w:val="20"/>
          <w:lang w:eastAsia="en-US"/>
        </w:rPr>
        <w:t xml:space="preserve">ć </w:t>
      </w:r>
      <w:r w:rsidRPr="00F557BB">
        <w:rPr>
          <w:rFonts w:eastAsia="Calibri" w:cs="Arial"/>
          <w:szCs w:val="20"/>
          <w:lang w:eastAsia="en-US"/>
        </w:rPr>
        <w:t>telekomunikacyjne obiekty budowlane i ich</w:t>
      </w:r>
    </w:p>
    <w:p w14:paraId="12BEBEC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usytuowanie. (Dz.U. 2005r. Nr 219 poz. 1864)</w:t>
      </w:r>
    </w:p>
    <w:p w14:paraId="3AA8A909" w14:textId="77777777" w:rsidR="00F557BB" w:rsidRPr="00F557BB" w:rsidRDefault="00F557BB" w:rsidP="00270120">
      <w:pPr>
        <w:autoSpaceDE w:val="0"/>
        <w:autoSpaceDN w:val="0"/>
        <w:adjustRightInd w:val="0"/>
        <w:spacing w:line="240" w:lineRule="auto"/>
        <w:jc w:val="both"/>
        <w:rPr>
          <w:rFonts w:eastAsia="Calibri" w:cs="Arial"/>
          <w:b/>
          <w:bCs/>
          <w:szCs w:val="20"/>
          <w:lang w:eastAsia="en-US"/>
        </w:rPr>
      </w:pPr>
      <w:r w:rsidRPr="00F557BB">
        <w:rPr>
          <w:rFonts w:eastAsia="Calibri" w:cs="Arial"/>
          <w:b/>
          <w:bCs/>
          <w:szCs w:val="20"/>
          <w:lang w:eastAsia="en-US"/>
        </w:rPr>
        <w:t>Normy</w:t>
      </w:r>
    </w:p>
    <w:p w14:paraId="73699D9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PN-88/B-06250 Beton zwykły.</w:t>
      </w:r>
    </w:p>
    <w:p w14:paraId="35CF1267"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PN-88/B-30000 Projekty budowlane. Obliczenia statyczne.</w:t>
      </w:r>
    </w:p>
    <w:p w14:paraId="6401D8F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PN-88/B-32250 Materiały budowlane. Woda do betonów i zapraw.</w:t>
      </w:r>
    </w:p>
    <w:p w14:paraId="35ECD2D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PN-76/D-79353 B</w:t>
      </w:r>
      <w:r w:rsidRPr="00F557BB">
        <w:rPr>
          <w:rFonts w:eastAsia="TimesNewRoman" w:cs="Arial"/>
          <w:szCs w:val="20"/>
          <w:lang w:eastAsia="en-US"/>
        </w:rPr>
        <w:t>ę</w:t>
      </w:r>
      <w:r w:rsidRPr="00F557BB">
        <w:rPr>
          <w:rFonts w:eastAsia="Calibri" w:cs="Arial"/>
          <w:szCs w:val="20"/>
          <w:lang w:eastAsia="en-US"/>
        </w:rPr>
        <w:t>bny kablowe.</w:t>
      </w:r>
    </w:p>
    <w:p w14:paraId="5960956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BN-86/3223-16 Telekomunikacyjne sieci miejscowe. Szafki kablowe.</w:t>
      </w:r>
    </w:p>
    <w:p w14:paraId="694FBB4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BN-72/3233-13 Telekomunikacyjne linie kablowe. Opaski oznaczeniowe.</w:t>
      </w:r>
    </w:p>
    <w:p w14:paraId="32D145A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BN-73/3233-02 Telekomunikacyjne sieci kablowe miejscowe. Wietrznik do pokryw.</w:t>
      </w:r>
    </w:p>
    <w:p w14:paraId="2168DDF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BN-73/3233-03 Ramy i oprawy pokryw.</w:t>
      </w:r>
    </w:p>
    <w:p w14:paraId="4F19556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BN-74/3233-19 Wsporniki kablowe</w:t>
      </w:r>
    </w:p>
    <w:p w14:paraId="19EF35F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BN-88/6731-08 Cement. Transport i przechowywanie.</w:t>
      </w:r>
    </w:p>
    <w:p w14:paraId="08F6899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BN-87/6774-04 Kruszywa mineralne do nawierzchni drogowych. Piasek.</w:t>
      </w:r>
    </w:p>
    <w:p w14:paraId="7508600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BN-85/8984-01 Telekomunikacyjne sieci kablowe miejscowe. Studnie kablowe. Klasyfikacja i</w:t>
      </w:r>
    </w:p>
    <w:p w14:paraId="5D59035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wymiary.</w:t>
      </w:r>
    </w:p>
    <w:p w14:paraId="3AE3461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BN-73/8984-01 Telekomunikacyjne sieci kablowe miejscowe. Studnie kablowe. Klasyfikacja i</w:t>
      </w:r>
    </w:p>
    <w:p w14:paraId="3C043CB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wymiary.</w:t>
      </w:r>
    </w:p>
    <w:p w14:paraId="09991A7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BN-73/8984-05 Kanalizacja kablowa. Ogólne wymagania i badania.</w:t>
      </w:r>
    </w:p>
    <w:p w14:paraId="5198D14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BN-76/8984-17 Telekomunikacyjne sieci miejscowe. Ogólne wymagania.</w:t>
      </w:r>
    </w:p>
    <w:p w14:paraId="6EA12AF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BN-69/9378-30 Telekomunikacyjne sieci kablowe miejscowe. Wsporniki kablowe.</w:t>
      </w:r>
    </w:p>
    <w:p w14:paraId="37F9487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ZN-96/TPSA-004 Telekomunikacyjne linie przewodowe. Zbli</w:t>
      </w:r>
      <w:r w:rsidRPr="00F557BB">
        <w:rPr>
          <w:rFonts w:eastAsia="TimesNewRoman" w:cs="Arial"/>
          <w:szCs w:val="20"/>
          <w:lang w:eastAsia="en-US"/>
        </w:rPr>
        <w:t>ż</w:t>
      </w:r>
      <w:r w:rsidRPr="00F557BB">
        <w:rPr>
          <w:rFonts w:eastAsia="Calibri" w:cs="Arial"/>
          <w:szCs w:val="20"/>
          <w:lang w:eastAsia="en-US"/>
        </w:rPr>
        <w:t>enia i skrzy</w:t>
      </w:r>
      <w:r w:rsidRPr="00F557BB">
        <w:rPr>
          <w:rFonts w:eastAsia="TimesNewRoman" w:cs="Arial"/>
          <w:szCs w:val="20"/>
          <w:lang w:eastAsia="en-US"/>
        </w:rPr>
        <w:t>ż</w:t>
      </w:r>
      <w:r w:rsidRPr="00F557BB">
        <w:rPr>
          <w:rFonts w:eastAsia="Calibri" w:cs="Arial"/>
          <w:szCs w:val="20"/>
          <w:lang w:eastAsia="en-US"/>
        </w:rPr>
        <w:t>owania linii</w:t>
      </w:r>
    </w:p>
    <w:p w14:paraId="715D490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telekomunikacyjnych z innymi urz</w:t>
      </w:r>
      <w:r w:rsidRPr="00F557BB">
        <w:rPr>
          <w:rFonts w:eastAsia="TimesNewRoman" w:cs="Arial"/>
          <w:szCs w:val="20"/>
          <w:lang w:eastAsia="en-US"/>
        </w:rPr>
        <w:t>ą</w:t>
      </w:r>
      <w:r w:rsidRPr="00F557BB">
        <w:rPr>
          <w:rFonts w:eastAsia="Calibri" w:cs="Arial"/>
          <w:szCs w:val="20"/>
          <w:lang w:eastAsia="en-US"/>
        </w:rPr>
        <w:t>dzeniami uzbrojenia terenowego. Ogólne wymagania i</w:t>
      </w:r>
    </w:p>
    <w:p w14:paraId="22C6946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badania.</w:t>
      </w:r>
    </w:p>
    <w:p w14:paraId="3738737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ZN-96/TPSA-011 Telekomunikacyjna kanalizacja kablowa. Ogólne wymagania techniczne.</w:t>
      </w:r>
    </w:p>
    <w:p w14:paraId="0BB23E40"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ZN-96/TPSA-012 Telekomunikacyjna kanalizacja kablowa. Kanalizacja kablowa pierwotna.</w:t>
      </w:r>
    </w:p>
    <w:p w14:paraId="500AE28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Wymagania i badania</w:t>
      </w:r>
    </w:p>
    <w:p w14:paraId="4CA2627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ZN-96/TPSA-013 Telekomunikacyjna kanalizacja kablowa. Kanalizacja wtórna i ruroci</w:t>
      </w:r>
      <w:r w:rsidRPr="00F557BB">
        <w:rPr>
          <w:rFonts w:eastAsia="TimesNewRoman" w:cs="Arial"/>
          <w:szCs w:val="20"/>
          <w:lang w:eastAsia="en-US"/>
        </w:rPr>
        <w:t>ą</w:t>
      </w:r>
      <w:r w:rsidRPr="00F557BB">
        <w:rPr>
          <w:rFonts w:eastAsia="Calibri" w:cs="Arial"/>
          <w:szCs w:val="20"/>
          <w:lang w:eastAsia="en-US"/>
        </w:rPr>
        <w:t>gi</w:t>
      </w:r>
    </w:p>
    <w:p w14:paraId="0CA832E5"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kablowe. Wymagania i badania.</w:t>
      </w:r>
    </w:p>
    <w:p w14:paraId="2BB52F7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ZN-96/TPSA-014 Telekomunikacyjna kanalizacja kablowa. Rury z polichlorku winylu (RPCW).</w:t>
      </w:r>
    </w:p>
    <w:p w14:paraId="60EBC65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Wymagania i badania.</w:t>
      </w:r>
    </w:p>
    <w:p w14:paraId="5025FCE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ZN-96/TPSA-015 Telekomunikacyjna kanalizacja kablowa. Rury polipropylenowe RPP i</w:t>
      </w:r>
    </w:p>
    <w:p w14:paraId="5C652F2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lastRenderedPageBreak/>
        <w:t>polietylenowe RPE kanalizacji pierwotnej. Wymagania i badania.</w:t>
      </w:r>
    </w:p>
    <w:p w14:paraId="30CF765D"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ZN-96/TPSA-016 Telekomunikacyjna kanalizacja kablowa. Rury polietylenowe karbowane,</w:t>
      </w:r>
    </w:p>
    <w:p w14:paraId="21FC9D49" w14:textId="77777777" w:rsidR="00F557BB" w:rsidRPr="00F557BB" w:rsidRDefault="00F557BB" w:rsidP="00270120">
      <w:pPr>
        <w:shd w:val="clear" w:color="auto" w:fill="FFFFFF"/>
        <w:tabs>
          <w:tab w:val="left" w:pos="142"/>
        </w:tabs>
        <w:spacing w:line="240" w:lineRule="auto"/>
        <w:contextualSpacing/>
        <w:jc w:val="both"/>
        <w:rPr>
          <w:rFonts w:eastAsia="Calibri" w:cs="Arial"/>
          <w:szCs w:val="20"/>
          <w:lang w:eastAsia="en-US"/>
        </w:rPr>
      </w:pPr>
      <w:r w:rsidRPr="00F557BB">
        <w:rPr>
          <w:rFonts w:eastAsia="Calibri" w:cs="Arial"/>
          <w:szCs w:val="20"/>
          <w:lang w:eastAsia="en-US"/>
        </w:rPr>
        <w:t>dwuwarstwowe. Wymagania i badania.</w:t>
      </w:r>
    </w:p>
    <w:p w14:paraId="732AC8A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ZN-96/TPSA-017 Telekomunikacyjna kanalizacja kablowa. Rury kanalizacji wtórnej i ruroci</w:t>
      </w:r>
      <w:r w:rsidRPr="00F557BB">
        <w:rPr>
          <w:rFonts w:eastAsia="TimesNewRoman" w:cs="Arial"/>
          <w:szCs w:val="20"/>
          <w:lang w:eastAsia="en-US"/>
        </w:rPr>
        <w:t>ą</w:t>
      </w:r>
      <w:r w:rsidRPr="00F557BB">
        <w:rPr>
          <w:rFonts w:eastAsia="Calibri" w:cs="Arial"/>
          <w:szCs w:val="20"/>
          <w:lang w:eastAsia="en-US"/>
        </w:rPr>
        <w:t>gu</w:t>
      </w:r>
    </w:p>
    <w:p w14:paraId="4B60349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kablowego (RHDPE). Wymagania i badania.</w:t>
      </w:r>
    </w:p>
    <w:p w14:paraId="44CE45D1"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ZN-96/TPSA-018 Telekomunikacyjna kanalizacja kablowa. Rury polietylenowe (</w:t>
      </w:r>
      <w:proofErr w:type="spellStart"/>
      <w:r w:rsidRPr="00F557BB">
        <w:rPr>
          <w:rFonts w:eastAsia="Calibri" w:cs="Arial"/>
          <w:szCs w:val="20"/>
          <w:lang w:eastAsia="en-US"/>
        </w:rPr>
        <w:t>RHDPEp</w:t>
      </w:r>
      <w:proofErr w:type="spellEnd"/>
      <w:r w:rsidRPr="00F557BB">
        <w:rPr>
          <w:rFonts w:eastAsia="Calibri" w:cs="Arial"/>
          <w:szCs w:val="20"/>
          <w:lang w:eastAsia="en-US"/>
        </w:rPr>
        <w:t>)</w:t>
      </w:r>
    </w:p>
    <w:p w14:paraId="38594F46"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przepustowe. Wymagania i badania.</w:t>
      </w:r>
    </w:p>
    <w:p w14:paraId="5542FCE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ZN-96/TPSA-019 Telekomunikacyjna kanalizacja kablowa. Rury trudnopalne (</w:t>
      </w:r>
      <w:proofErr w:type="spellStart"/>
      <w:r w:rsidRPr="00F557BB">
        <w:rPr>
          <w:rFonts w:eastAsia="Calibri" w:cs="Arial"/>
          <w:szCs w:val="20"/>
          <w:lang w:eastAsia="en-US"/>
        </w:rPr>
        <w:t>RHDPEt</w:t>
      </w:r>
      <w:proofErr w:type="spellEnd"/>
      <w:r w:rsidRPr="00F557BB">
        <w:rPr>
          <w:rFonts w:eastAsia="Calibri" w:cs="Arial"/>
          <w:szCs w:val="20"/>
          <w:lang w:eastAsia="en-US"/>
        </w:rPr>
        <w:t>).</w:t>
      </w:r>
    </w:p>
    <w:p w14:paraId="05EE21C3"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Wymagania i badania.</w:t>
      </w:r>
    </w:p>
    <w:p w14:paraId="1B91ED84"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ZN-96/TPSA-020 Telekomunikacyjna kanalizacja kablowa. Zł</w:t>
      </w:r>
      <w:r w:rsidRPr="00F557BB">
        <w:rPr>
          <w:rFonts w:eastAsia="TimesNewRoman" w:cs="Arial"/>
          <w:szCs w:val="20"/>
          <w:lang w:eastAsia="en-US"/>
        </w:rPr>
        <w:t>ą</w:t>
      </w:r>
      <w:r w:rsidRPr="00F557BB">
        <w:rPr>
          <w:rFonts w:eastAsia="Calibri" w:cs="Arial"/>
          <w:szCs w:val="20"/>
          <w:lang w:eastAsia="en-US"/>
        </w:rPr>
        <w:t>czki rur. Wymagania i badania.</w:t>
      </w:r>
    </w:p>
    <w:p w14:paraId="485192DB"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ZN-96/TPSA-021 Telekomunikacyjna kanalizacja kablowa. Uszczelki ko</w:t>
      </w:r>
      <w:r w:rsidRPr="00F557BB">
        <w:rPr>
          <w:rFonts w:eastAsia="TimesNewRoman" w:cs="Arial"/>
          <w:szCs w:val="20"/>
          <w:lang w:eastAsia="en-US"/>
        </w:rPr>
        <w:t>ń</w:t>
      </w:r>
      <w:r w:rsidRPr="00F557BB">
        <w:rPr>
          <w:rFonts w:eastAsia="Calibri" w:cs="Arial"/>
          <w:szCs w:val="20"/>
          <w:lang w:eastAsia="en-US"/>
        </w:rPr>
        <w:t>ców rur kanalizacji</w:t>
      </w:r>
    </w:p>
    <w:p w14:paraId="7C7BB458"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kablowej. Wymagania i badania.</w:t>
      </w:r>
    </w:p>
    <w:p w14:paraId="30C29D8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ZN-96/TPSA-022 Telekomunikacyjna kanalizacja kablowa. Przywieszka identyfikacyjna.</w:t>
      </w:r>
    </w:p>
    <w:p w14:paraId="35227D7E"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Wymagania i badania.</w:t>
      </w:r>
    </w:p>
    <w:p w14:paraId="073513C2"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ZN-96/TPSA-023 Telekomunikacyjna kanalizacja kablowa. Studnie kablowe. Wymagania i</w:t>
      </w:r>
    </w:p>
    <w:p w14:paraId="1A43A9C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badania.</w:t>
      </w:r>
    </w:p>
    <w:p w14:paraId="30D623BF"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ZN-96/TPSA-037 Telekomunikacyjne sieci miejscowe. Systemy uziemiaj</w:t>
      </w:r>
      <w:r w:rsidRPr="00F557BB">
        <w:rPr>
          <w:rFonts w:eastAsia="TimesNewRoman" w:cs="Arial"/>
          <w:szCs w:val="20"/>
          <w:lang w:eastAsia="en-US"/>
        </w:rPr>
        <w:t>ą</w:t>
      </w:r>
      <w:r w:rsidRPr="00F557BB">
        <w:rPr>
          <w:rFonts w:eastAsia="Calibri" w:cs="Arial"/>
          <w:szCs w:val="20"/>
          <w:lang w:eastAsia="en-US"/>
        </w:rPr>
        <w:t>ce obiektów</w:t>
      </w:r>
    </w:p>
    <w:p w14:paraId="22261D0C"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telekomunikacyjnych. Wymagania i badania.</w:t>
      </w:r>
    </w:p>
    <w:p w14:paraId="2B3513DA" w14:textId="77777777" w:rsidR="00F557BB" w:rsidRPr="00F557BB" w:rsidRDefault="00F557BB" w:rsidP="00270120">
      <w:pPr>
        <w:autoSpaceDE w:val="0"/>
        <w:autoSpaceDN w:val="0"/>
        <w:adjustRightInd w:val="0"/>
        <w:spacing w:line="240" w:lineRule="auto"/>
        <w:jc w:val="both"/>
        <w:rPr>
          <w:rFonts w:eastAsia="Calibri" w:cs="Arial"/>
          <w:szCs w:val="20"/>
          <w:lang w:eastAsia="en-US"/>
        </w:rPr>
      </w:pPr>
      <w:r w:rsidRPr="00F557BB">
        <w:rPr>
          <w:rFonts w:eastAsia="Calibri" w:cs="Arial"/>
          <w:szCs w:val="20"/>
          <w:lang w:eastAsia="en-US"/>
        </w:rPr>
        <w:t>ZN-96/TPSA-041 Telekomunikacyjna kanalizacja kablowa. Zabezpieczone pokrywy studni</w:t>
      </w:r>
    </w:p>
    <w:p w14:paraId="2E475868" w14:textId="77777777" w:rsidR="00F557BB" w:rsidRPr="00F557BB" w:rsidRDefault="00F557BB" w:rsidP="00270120">
      <w:pPr>
        <w:shd w:val="clear" w:color="auto" w:fill="FFFFFF"/>
        <w:tabs>
          <w:tab w:val="left" w:pos="142"/>
        </w:tabs>
        <w:spacing w:line="240" w:lineRule="auto"/>
        <w:contextualSpacing/>
        <w:jc w:val="both"/>
        <w:rPr>
          <w:rFonts w:cs="Arial"/>
          <w:szCs w:val="20"/>
        </w:rPr>
      </w:pPr>
      <w:r w:rsidRPr="00F557BB">
        <w:rPr>
          <w:rFonts w:eastAsia="Calibri" w:cs="Arial"/>
          <w:szCs w:val="20"/>
          <w:lang w:eastAsia="en-US"/>
        </w:rPr>
        <w:t>kablowych, dodatkowe (wewn</w:t>
      </w:r>
      <w:r w:rsidRPr="00F557BB">
        <w:rPr>
          <w:rFonts w:eastAsia="TimesNewRoman" w:cs="Arial"/>
          <w:szCs w:val="20"/>
          <w:lang w:eastAsia="en-US"/>
        </w:rPr>
        <w:t>ę</w:t>
      </w:r>
      <w:r w:rsidRPr="00F557BB">
        <w:rPr>
          <w:rFonts w:eastAsia="Calibri" w:cs="Arial"/>
          <w:szCs w:val="20"/>
          <w:lang w:eastAsia="en-US"/>
        </w:rPr>
        <w:t>trzne ). Wymagania i badania.</w:t>
      </w:r>
    </w:p>
    <w:sectPr w:rsidR="00F557BB" w:rsidRPr="00F557BB" w:rsidSect="00805BB1">
      <w:headerReference w:type="default" r:id="rId108"/>
      <w:footerReference w:type="default" r:id="rId109"/>
      <w:pgSz w:w="11906" w:h="16838" w:code="9"/>
      <w:pgMar w:top="993" w:right="424" w:bottom="993" w:left="567" w:header="426" w:footer="517" w:gutter="0"/>
      <w:pgNumType w:start="4"/>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21456A" w14:textId="77777777" w:rsidR="0031684C" w:rsidRDefault="0031684C">
      <w:r>
        <w:separator/>
      </w:r>
    </w:p>
  </w:endnote>
  <w:endnote w:type="continuationSeparator" w:id="0">
    <w:p w14:paraId="1D907DD4" w14:textId="77777777" w:rsidR="0031684C" w:rsidRDefault="003168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G Omega">
    <w:altName w:val="Century Gothic"/>
    <w:charset w:val="EE"/>
    <w:family w:val="swiss"/>
    <w:pitch w:val="variable"/>
    <w:sig w:usb0="00000007" w:usb1="00000000" w:usb2="00000000" w:usb3="00000000" w:csb0="00000093" w:csb1="00000000"/>
  </w:font>
  <w:font w:name="Calibri">
    <w:panose1 w:val="020F0502020204030204"/>
    <w:charset w:val="EE"/>
    <w:family w:val="swiss"/>
    <w:pitch w:val="variable"/>
    <w:sig w:usb0="E4002EFF" w:usb1="C000247B" w:usb2="00000009" w:usb3="00000000" w:csb0="000001FF" w:csb1="00000000"/>
  </w:font>
  <w:font w:name="Lucida Sans">
    <w:altName w:val="Calibri"/>
    <w:charset w:val="00"/>
    <w:family w:val="swiss"/>
    <w:pitch w:val="variable"/>
    <w:sig w:usb0="00000003" w:usb1="00000000" w:usb2="00000000" w:usb3="00000000" w:csb0="00000001" w:csb1="00000000"/>
  </w:font>
  <w:font w:name="CG Times">
    <w:altName w:val="Times New Roman"/>
    <w:charset w:val="EE"/>
    <w:family w:val="roman"/>
    <w:pitch w:val="variable"/>
  </w:font>
  <w:font w:name="Batang">
    <w:altName w:val="바탕"/>
    <w:panose1 w:val="02030600000101010101"/>
    <w:charset w:val="81"/>
    <w:family w:val="roman"/>
    <w:pitch w:val="variable"/>
    <w:sig w:usb0="B00002AF" w:usb1="69D77CFB" w:usb2="00000030" w:usb3="00000000" w:csb0="0008009F" w:csb1="00000000"/>
  </w:font>
  <w:font w:name="Arial Black">
    <w:panose1 w:val="020B0A04020102020204"/>
    <w:charset w:val="EE"/>
    <w:family w:val="swiss"/>
    <w:pitch w:val="variable"/>
    <w:sig w:usb0="A00002AF" w:usb1="400078FB"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5" w:usb1="08070000" w:usb2="00000010" w:usb3="00000000" w:csb0="0002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A3EB1" w14:textId="77777777" w:rsidR="0031684C" w:rsidRDefault="0031684C">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DAAB7" w14:textId="5283631D" w:rsidR="0031684C" w:rsidRPr="00345EAD" w:rsidRDefault="0031684C" w:rsidP="00EF3B28">
    <w:pPr>
      <w:pStyle w:val="Stopka"/>
      <w:pBdr>
        <w:top w:val="single" w:sz="4" w:space="1" w:color="auto"/>
      </w:pBdr>
      <w:ind w:right="360"/>
      <w:jc w:val="center"/>
      <w:rPr>
        <w:rFonts w:cs="Arial"/>
        <w:i/>
        <w:sz w:val="16"/>
        <w:szCs w:val="16"/>
      </w:rPr>
    </w:pPr>
    <w:r w:rsidRPr="00345EAD">
      <w:rPr>
        <w:rFonts w:ascii="Arial Black" w:hAnsi="Arial Black" w:cs="Arial"/>
        <w:noProof/>
        <w:szCs w:val="20"/>
      </w:rPr>
      <mc:AlternateContent>
        <mc:Choice Requires="wps">
          <w:drawing>
            <wp:anchor distT="0" distB="0" distL="114300" distR="114300" simplePos="0" relativeHeight="251584512" behindDoc="0" locked="0" layoutInCell="0" allowOverlap="1" wp14:anchorId="44A5AA55" wp14:editId="22844743">
              <wp:simplePos x="0" y="0"/>
              <wp:positionH relativeFrom="page">
                <wp:posOffset>6581140</wp:posOffset>
              </wp:positionH>
              <wp:positionV relativeFrom="page">
                <wp:posOffset>10184765</wp:posOffset>
              </wp:positionV>
              <wp:extent cx="619125" cy="316865"/>
              <wp:effectExtent l="0" t="0" r="9525" b="6985"/>
              <wp:wrapNone/>
              <wp:docPr id="2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316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84F0C9" w14:textId="77777777" w:rsidR="0031684C" w:rsidRPr="00C13D99" w:rsidRDefault="0031684C" w:rsidP="006336AC">
                          <w:pPr>
                            <w:pBdr>
                              <w:top w:val="single" w:sz="4" w:space="0" w:color="D8D8D8"/>
                            </w:pBdr>
                            <w:ind w:right="-603"/>
                            <w:rPr>
                              <w:rFonts w:cs="Arial"/>
                              <w:sz w:val="16"/>
                              <w:szCs w:val="16"/>
                            </w:rPr>
                          </w:pPr>
                          <w:r w:rsidRPr="00C13D99">
                            <w:rPr>
                              <w:rFonts w:cs="Arial"/>
                              <w:sz w:val="16"/>
                              <w:szCs w:val="16"/>
                            </w:rPr>
                            <w:t xml:space="preserve">Strona | </w:t>
                          </w:r>
                          <w:r w:rsidRPr="00C13D99">
                            <w:rPr>
                              <w:rFonts w:cs="Arial"/>
                              <w:szCs w:val="20"/>
                            </w:rPr>
                            <w:fldChar w:fldCharType="begin"/>
                          </w:r>
                          <w:r w:rsidRPr="00C13D99">
                            <w:rPr>
                              <w:rFonts w:cs="Arial"/>
                              <w:szCs w:val="20"/>
                            </w:rPr>
                            <w:instrText xml:space="preserve"> PAGE   \* MERGEFORMAT </w:instrText>
                          </w:r>
                          <w:r w:rsidRPr="00C13D99">
                            <w:rPr>
                              <w:rFonts w:cs="Arial"/>
                              <w:szCs w:val="20"/>
                            </w:rPr>
                            <w:fldChar w:fldCharType="separate"/>
                          </w:r>
                          <w:r w:rsidR="00821218">
                            <w:rPr>
                              <w:rFonts w:cs="Arial"/>
                              <w:noProof/>
                              <w:szCs w:val="20"/>
                            </w:rPr>
                            <w:t>3</w:t>
                          </w:r>
                          <w:r w:rsidRPr="00C13D99">
                            <w:rPr>
                              <w:rFonts w:cs="Arial"/>
                              <w:szCs w:val="20"/>
                            </w:rPr>
                            <w:fldChar w:fldCharType="end"/>
                          </w:r>
                        </w:p>
                      </w:txbxContent>
                    </wps:txbx>
                    <wps:bodyPr rot="0" vert="horz" wrap="square" lIns="0" tIns="45720" rIns="0" bIns="45720" anchor="t" anchorCtr="0" upright="1">
                      <a:spAutoFit/>
                    </wps:bodyPr>
                  </wps:wsp>
                </a:graphicData>
              </a:graphic>
              <wp14:sizeRelH relativeFrom="rightMargin">
                <wp14:pctWidth>0</wp14:pctWidth>
              </wp14:sizeRelH>
              <wp14:sizeRelV relativeFrom="page">
                <wp14:pctHeight>0</wp14:pctHeight>
              </wp14:sizeRelV>
            </wp:anchor>
          </w:drawing>
        </mc:Choice>
        <mc:Fallback>
          <w:pict>
            <v:rect w14:anchorId="44A5AA55" id="Rectangle 3" o:spid="_x0000_s1028" style="position:absolute;left:0;text-align:left;margin-left:518.2pt;margin-top:801.95pt;width:48.75pt;height:24.9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" o:allowincell="f" stroked="f">
              <v:textbox style="mso-fit-shape-to-text:t" inset="0,,0">
                <w:txbxContent>
                  <w:p w14:paraId="6784F0C9" w14:textId="77777777" w:rsidR="0031684C" w:rsidRPr="00C13D99" w:rsidRDefault="0031684C" w:rsidP="006336AC">
                    <w:pPr>
                      <w:pBdr>
                        <w:top w:val="single" w:sz="4" w:space="0" w:color="D8D8D8"/>
                      </w:pBdr>
                      <w:ind w:right="-603"/>
                      <w:rPr>
                        <w:rFonts w:cs="Arial"/>
                        <w:sz w:val="16"/>
                        <w:szCs w:val="16"/>
                      </w:rPr>
                    </w:pPr>
                    <w:r w:rsidRPr="00C13D99">
                      <w:rPr>
                        <w:rFonts w:cs="Arial"/>
                        <w:sz w:val="16"/>
                        <w:szCs w:val="16"/>
                      </w:rPr>
                      <w:t xml:space="preserve">Strona | </w:t>
                    </w:r>
                    <w:r w:rsidRPr="00C13D99">
                      <w:rPr>
                        <w:rFonts w:cs="Arial"/>
                        <w:szCs w:val="20"/>
                      </w:rPr>
                      <w:fldChar w:fldCharType="begin"/>
                    </w:r>
                    <w:r w:rsidRPr="00C13D99">
                      <w:rPr>
                        <w:rFonts w:cs="Arial"/>
                        <w:szCs w:val="20"/>
                      </w:rPr>
                      <w:instrText xml:space="preserve"> PAGE   \* MERGEFORMAT </w:instrText>
                    </w:r>
                    <w:r w:rsidRPr="00C13D99">
                      <w:rPr>
                        <w:rFonts w:cs="Arial"/>
                        <w:szCs w:val="20"/>
                      </w:rPr>
                      <w:fldChar w:fldCharType="separate"/>
                    </w:r>
                    <w:r w:rsidR="00821218">
                      <w:rPr>
                        <w:rFonts w:cs="Arial"/>
                        <w:noProof/>
                        <w:szCs w:val="20"/>
                      </w:rPr>
                      <w:t>3</w:t>
                    </w:r>
                    <w:r w:rsidRPr="00C13D99">
                      <w:rPr>
                        <w:rFonts w:cs="Arial"/>
                        <w:szCs w:val="20"/>
                      </w:rPr>
                      <w:fldChar w:fldCharType="end"/>
                    </w:r>
                  </w:p>
                </w:txbxContent>
              </v:textbox>
              <w10:wrap anchorx="page" anchory="page"/>
            </v:rect>
          </w:pict>
        </mc:Fallback>
      </mc:AlternateContent>
    </w:r>
    <w:r w:rsidRPr="00345EAD">
      <w:rPr>
        <w:rFonts w:cs="Arial"/>
        <w:i/>
        <w:sz w:val="16"/>
        <w:szCs w:val="16"/>
      </w:rPr>
      <w:fldChar w:fldCharType="begin"/>
    </w:r>
    <w:r w:rsidRPr="00345EAD">
      <w:rPr>
        <w:rFonts w:cs="Arial"/>
        <w:i/>
        <w:sz w:val="16"/>
        <w:szCs w:val="16"/>
      </w:rPr>
      <w:instrText xml:space="preserve"> STYLEREF  "Nagłówek 4"  \* MERGEFORMAT </w:instrText>
    </w:r>
    <w:r w:rsidRPr="00345EAD">
      <w:rPr>
        <w:rFonts w:cs="Arial"/>
        <w:i/>
        <w:sz w:val="16"/>
        <w:szCs w:val="16"/>
      </w:rPr>
      <w:fldChar w:fldCharType="separate"/>
    </w:r>
    <w:r w:rsidR="008D66D8">
      <w:rPr>
        <w:rFonts w:cs="Arial"/>
        <w:i/>
        <w:noProof/>
        <w:sz w:val="16"/>
        <w:szCs w:val="16"/>
      </w:rPr>
      <w:t>D-M-00.00.00 – WYMAGANIA OGÓLNE</w:t>
    </w:r>
    <w:r w:rsidRPr="00345EAD">
      <w:rPr>
        <w:rFonts w:cs="Arial"/>
        <w:i/>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5C9B" w14:textId="77777777" w:rsidR="0031684C" w:rsidRDefault="0031684C">
    <w:pPr>
      <w:pStyle w:val="Stopka"/>
    </w:pPr>
    <w:r>
      <w:rPr>
        <w:noProof/>
      </w:rPr>
      <mc:AlternateContent>
        <mc:Choice Requires="wps">
          <w:drawing>
            <wp:anchor distT="0" distB="0" distL="114300" distR="114300" simplePos="0" relativeHeight="251661824" behindDoc="0" locked="0" layoutInCell="1" allowOverlap="1" wp14:anchorId="47AE9AA6" wp14:editId="106FACD2">
              <wp:simplePos x="0" y="0"/>
              <wp:positionH relativeFrom="column">
                <wp:posOffset>4502785</wp:posOffset>
              </wp:positionH>
              <wp:positionV relativeFrom="paragraph">
                <wp:posOffset>-115570</wp:posOffset>
              </wp:positionV>
              <wp:extent cx="1861820" cy="525145"/>
              <wp:effectExtent l="0" t="0" r="0" b="0"/>
              <wp:wrapNone/>
              <wp:docPr id="21"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820"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7CD44B" w14:textId="77777777" w:rsidR="0031684C" w:rsidRPr="00B94CEF" w:rsidRDefault="0031684C" w:rsidP="00442569">
                          <w:pPr>
                            <w:spacing w:line="240" w:lineRule="auto"/>
                            <w:jc w:val="right"/>
                            <w:rPr>
                              <w:rFonts w:cs="Arial"/>
                              <w:b/>
                              <w:szCs w:val="20"/>
                              <w:lang w:val="en-US"/>
                            </w:rPr>
                          </w:pPr>
                          <w:r w:rsidRPr="00B94CEF">
                            <w:rPr>
                              <w:rFonts w:cs="Arial"/>
                              <w:b/>
                              <w:szCs w:val="20"/>
                              <w:lang w:val="en-US"/>
                            </w:rPr>
                            <w:t>tel./fax. 18-444-6134</w:t>
                          </w:r>
                        </w:p>
                        <w:p w14:paraId="3BE91DC8" w14:textId="77777777" w:rsidR="0031684C" w:rsidRPr="00B94CEF" w:rsidRDefault="0031684C" w:rsidP="00442569">
                          <w:pPr>
                            <w:spacing w:line="240" w:lineRule="auto"/>
                            <w:jc w:val="right"/>
                            <w:rPr>
                              <w:rFonts w:cs="Arial"/>
                              <w:b/>
                              <w:szCs w:val="20"/>
                              <w:lang w:val="en-US"/>
                            </w:rPr>
                          </w:pPr>
                          <w:r w:rsidRPr="00B94CEF">
                            <w:rPr>
                              <w:rFonts w:cs="Arial"/>
                              <w:b/>
                              <w:szCs w:val="20"/>
                              <w:lang w:val="en-US"/>
                            </w:rPr>
                            <w:t>tel. kom. 693 468 132</w:t>
                          </w:r>
                        </w:p>
                        <w:p w14:paraId="79286801" w14:textId="77777777" w:rsidR="0031684C" w:rsidRPr="00B94CEF" w:rsidRDefault="0031684C" w:rsidP="00442569">
                          <w:pPr>
                            <w:spacing w:line="240" w:lineRule="auto"/>
                            <w:jc w:val="right"/>
                            <w:rPr>
                              <w:rFonts w:cs="Arial"/>
                              <w:b/>
                              <w:szCs w:val="20"/>
                              <w:lang w:val="en-US"/>
                            </w:rPr>
                          </w:pPr>
                          <w:r w:rsidRPr="00B94CEF">
                            <w:rPr>
                              <w:rFonts w:cs="Arial"/>
                              <w:b/>
                              <w:szCs w:val="20"/>
                              <w:lang w:val="en-US"/>
                            </w:rPr>
                            <w:t>biuro@renowa.info</w:t>
                          </w:r>
                        </w:p>
                        <w:p w14:paraId="1E2AF337" w14:textId="77777777" w:rsidR="0031684C" w:rsidRPr="00B94CEF" w:rsidRDefault="0031684C" w:rsidP="00442569">
                          <w:pPr>
                            <w:pStyle w:val="Nagwek1"/>
                            <w:rPr>
                              <w:rFonts w:cs="Arial"/>
                              <w:lang w:val="en-US"/>
                            </w:rPr>
                          </w:pPr>
                          <w:r w:rsidRPr="00B94CEF">
                            <w:rPr>
                              <w:rFonts w:cs="Arial"/>
                              <w:lang w:val="en-US"/>
                            </w:rPr>
                            <w:t>biuro@renowa.info</w:t>
                          </w:r>
                        </w:p>
                        <w:p w14:paraId="70C13A67" w14:textId="77777777" w:rsidR="0031684C" w:rsidRPr="00B94CEF" w:rsidRDefault="0031684C" w:rsidP="001E47DA">
                          <w:pPr>
                            <w:pStyle w:val="Nagwek1"/>
                            <w:spacing w:line="240" w:lineRule="auto"/>
                            <w:jc w:val="right"/>
                            <w:rPr>
                              <w:rFonts w:cs="Arial"/>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AE9AA6" id="_x0000_t202" coordsize="21600,21600" o:spt="202" path="m,l,21600r21600,l21600,xe">
              <v:stroke joinstyle="miter"/>
              <v:path gradientshapeok="t" o:connecttype="rect"/>
            </v:shapetype>
            <v:shape id="Text Box 10" o:spid="_x0000_s1029" type="#_x0000_t202" style="position:absolute;margin-left:354.55pt;margin-top:-9.1pt;width:146.6pt;height:41.3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" filled="f" stroked="f">
              <v:textbox>
                <w:txbxContent>
                  <w:p w14:paraId="5C7CD44B" w14:textId="77777777" w:rsidR="0031684C" w:rsidRPr="00B94CEF" w:rsidRDefault="0031684C" w:rsidP="00442569">
                    <w:pPr>
                      <w:spacing w:line="240" w:lineRule="auto"/>
                      <w:jc w:val="right"/>
                      <w:rPr>
                        <w:rFonts w:cs="Arial"/>
                        <w:b/>
                        <w:szCs w:val="20"/>
                        <w:lang w:val="en-US"/>
                      </w:rPr>
                    </w:pPr>
                    <w:r w:rsidRPr="00B94CEF">
                      <w:rPr>
                        <w:rFonts w:cs="Arial"/>
                        <w:b/>
                        <w:szCs w:val="20"/>
                        <w:lang w:val="en-US"/>
                      </w:rPr>
                      <w:t>tel./fax. 18-444-6134</w:t>
                    </w:r>
                  </w:p>
                  <w:p w14:paraId="3BE91DC8" w14:textId="77777777" w:rsidR="0031684C" w:rsidRPr="00B94CEF" w:rsidRDefault="0031684C" w:rsidP="00442569">
                    <w:pPr>
                      <w:spacing w:line="240" w:lineRule="auto"/>
                      <w:jc w:val="right"/>
                      <w:rPr>
                        <w:rFonts w:cs="Arial"/>
                        <w:b/>
                        <w:szCs w:val="20"/>
                        <w:lang w:val="en-US"/>
                      </w:rPr>
                    </w:pPr>
                    <w:r w:rsidRPr="00B94CEF">
                      <w:rPr>
                        <w:rFonts w:cs="Arial"/>
                        <w:b/>
                        <w:szCs w:val="20"/>
                        <w:lang w:val="en-US"/>
                      </w:rPr>
                      <w:t>tel. kom. 693 468 132</w:t>
                    </w:r>
                  </w:p>
                  <w:p w14:paraId="79286801" w14:textId="77777777" w:rsidR="0031684C" w:rsidRPr="00B94CEF" w:rsidRDefault="0031684C" w:rsidP="00442569">
                    <w:pPr>
                      <w:spacing w:line="240" w:lineRule="auto"/>
                      <w:jc w:val="right"/>
                      <w:rPr>
                        <w:rFonts w:cs="Arial"/>
                        <w:b/>
                        <w:szCs w:val="20"/>
                        <w:lang w:val="en-US"/>
                      </w:rPr>
                    </w:pPr>
                    <w:r w:rsidRPr="00B94CEF">
                      <w:rPr>
                        <w:rFonts w:cs="Arial"/>
                        <w:b/>
                        <w:szCs w:val="20"/>
                        <w:lang w:val="en-US"/>
                      </w:rPr>
                      <w:t>biuro@renowa.info</w:t>
                    </w:r>
                  </w:p>
                  <w:p w14:paraId="1E2AF337" w14:textId="77777777" w:rsidR="0031684C" w:rsidRPr="00B94CEF" w:rsidRDefault="0031684C" w:rsidP="00442569">
                    <w:pPr>
                      <w:pStyle w:val="Nagwek1"/>
                      <w:rPr>
                        <w:rFonts w:cs="Arial"/>
                        <w:lang w:val="en-US"/>
                      </w:rPr>
                    </w:pPr>
                    <w:r w:rsidRPr="00B94CEF">
                      <w:rPr>
                        <w:rFonts w:cs="Arial"/>
                        <w:lang w:val="en-US"/>
                      </w:rPr>
                      <w:t>biuro@renowa.info</w:t>
                    </w:r>
                  </w:p>
                  <w:p w14:paraId="70C13A67" w14:textId="77777777" w:rsidR="0031684C" w:rsidRPr="00B94CEF" w:rsidRDefault="0031684C" w:rsidP="001E47DA">
                    <w:pPr>
                      <w:pStyle w:val="Nagwek1"/>
                      <w:spacing w:line="240" w:lineRule="auto"/>
                      <w:jc w:val="right"/>
                      <w:rPr>
                        <w:rFonts w:cs="Arial"/>
                        <w:lang w:val="en-US"/>
                      </w:rPr>
                    </w:pPr>
                  </w:p>
                </w:txbxContent>
              </v:textbox>
            </v:shape>
          </w:pict>
        </mc:Fallback>
      </mc:AlternateContent>
    </w:r>
    <w:r>
      <w:rPr>
        <w:noProof/>
      </w:rPr>
      <mc:AlternateContent>
        <mc:Choice Requires="wps">
          <w:drawing>
            <wp:anchor distT="0" distB="0" distL="114300" distR="114300" simplePos="0" relativeHeight="251660800" behindDoc="0" locked="0" layoutInCell="1" allowOverlap="1" wp14:anchorId="2745B7F3" wp14:editId="38AEBFF1">
              <wp:simplePos x="0" y="0"/>
              <wp:positionH relativeFrom="column">
                <wp:posOffset>304800</wp:posOffset>
              </wp:positionH>
              <wp:positionV relativeFrom="paragraph">
                <wp:posOffset>-115570</wp:posOffset>
              </wp:positionV>
              <wp:extent cx="1720850" cy="527050"/>
              <wp:effectExtent l="0" t="0" r="3175" b="0"/>
              <wp:wrapNone/>
              <wp:docPr id="2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0850" cy="527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A02E6" w14:textId="77777777" w:rsidR="0031684C" w:rsidRPr="00B94CEF" w:rsidRDefault="0031684C" w:rsidP="00442569">
                          <w:pPr>
                            <w:spacing w:line="240" w:lineRule="auto"/>
                            <w:rPr>
                              <w:rFonts w:cs="Arial"/>
                              <w:b/>
                            </w:rPr>
                          </w:pPr>
                          <w:r w:rsidRPr="00B94CEF">
                            <w:rPr>
                              <w:rFonts w:cs="Arial"/>
                              <w:b/>
                            </w:rPr>
                            <w:t>F.U.H. "RENOWA"</w:t>
                          </w:r>
                        </w:p>
                        <w:p w14:paraId="583DE328" w14:textId="77777777" w:rsidR="0031684C" w:rsidRPr="00B94CEF" w:rsidRDefault="0031684C" w:rsidP="00442569">
                          <w:pPr>
                            <w:spacing w:line="240" w:lineRule="auto"/>
                            <w:rPr>
                              <w:rFonts w:cs="Arial"/>
                              <w:b/>
                            </w:rPr>
                          </w:pPr>
                          <w:r w:rsidRPr="00B94CEF">
                            <w:rPr>
                              <w:rFonts w:cs="Arial"/>
                              <w:b/>
                            </w:rPr>
                            <w:t>Krzysztof Waniczek</w:t>
                          </w:r>
                        </w:p>
                        <w:p w14:paraId="594058CF" w14:textId="77777777" w:rsidR="0031684C" w:rsidRPr="00B94CEF" w:rsidRDefault="0031684C" w:rsidP="0036128C">
                          <w:pPr>
                            <w:spacing w:line="240" w:lineRule="auto"/>
                            <w:rPr>
                              <w:rFonts w:cs="Arial"/>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45B7F3" id="Text Box 7" o:spid="_x0000_s1030" type="#_x0000_t202" style="position:absolute;margin-left:24pt;margin-top:-9.1pt;width:135.5pt;height:41.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" filled="f" stroked="f">
              <v:textbox>
                <w:txbxContent>
                  <w:p w14:paraId="1FAA02E6" w14:textId="77777777" w:rsidR="0031684C" w:rsidRPr="00B94CEF" w:rsidRDefault="0031684C" w:rsidP="00442569">
                    <w:pPr>
                      <w:spacing w:line="240" w:lineRule="auto"/>
                      <w:rPr>
                        <w:rFonts w:cs="Arial"/>
                        <w:b/>
                      </w:rPr>
                    </w:pPr>
                    <w:r w:rsidRPr="00B94CEF">
                      <w:rPr>
                        <w:rFonts w:cs="Arial"/>
                        <w:b/>
                      </w:rPr>
                      <w:t>F.U.H. "RENOWA"</w:t>
                    </w:r>
                  </w:p>
                  <w:p w14:paraId="583DE328" w14:textId="77777777" w:rsidR="0031684C" w:rsidRPr="00B94CEF" w:rsidRDefault="0031684C" w:rsidP="00442569">
                    <w:pPr>
                      <w:spacing w:line="240" w:lineRule="auto"/>
                      <w:rPr>
                        <w:rFonts w:cs="Arial"/>
                        <w:b/>
                      </w:rPr>
                    </w:pPr>
                    <w:r w:rsidRPr="00B94CEF">
                      <w:rPr>
                        <w:rFonts w:cs="Arial"/>
                        <w:b/>
                      </w:rPr>
                      <w:t>Krzysztof Waniczek</w:t>
                    </w:r>
                  </w:p>
                  <w:p w14:paraId="594058CF" w14:textId="77777777" w:rsidR="0031684C" w:rsidRPr="00B94CEF" w:rsidRDefault="0031684C" w:rsidP="0036128C">
                    <w:pPr>
                      <w:spacing w:line="240" w:lineRule="auto"/>
                      <w:rPr>
                        <w:rFonts w:cs="Arial"/>
                        <w:b/>
                      </w:rPr>
                    </w:pPr>
                  </w:p>
                </w:txbxContent>
              </v:textbox>
            </v:shape>
          </w:pict>
        </mc:Fallback>
      </mc:AlternateContent>
    </w:r>
    <w:r>
      <w:rPr>
        <w:noProof/>
      </w:rPr>
      <mc:AlternateContent>
        <mc:Choice Requires="wps">
          <w:drawing>
            <wp:anchor distT="0" distB="0" distL="114300" distR="114300" simplePos="0" relativeHeight="251659776" behindDoc="0" locked="0" layoutInCell="1" allowOverlap="1" wp14:anchorId="23065226" wp14:editId="448A4E3A">
              <wp:simplePos x="0" y="0"/>
              <wp:positionH relativeFrom="column">
                <wp:posOffset>2590800</wp:posOffset>
              </wp:positionH>
              <wp:positionV relativeFrom="paragraph">
                <wp:posOffset>-115570</wp:posOffset>
              </wp:positionV>
              <wp:extent cx="1428750" cy="525145"/>
              <wp:effectExtent l="0" t="0" r="0" b="0"/>
              <wp:wrapNone/>
              <wp:docPr id="1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8750"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51FB0" w14:textId="77777777" w:rsidR="0031684C" w:rsidRPr="00B94CEF" w:rsidRDefault="0031684C" w:rsidP="00442569">
                          <w:pPr>
                            <w:spacing w:line="240" w:lineRule="auto"/>
                            <w:jc w:val="center"/>
                            <w:rPr>
                              <w:rFonts w:cs="Arial"/>
                              <w:b/>
                              <w:bCs/>
                              <w:szCs w:val="20"/>
                            </w:rPr>
                          </w:pPr>
                          <w:r w:rsidRPr="00B94CEF">
                            <w:rPr>
                              <w:rFonts w:cs="Arial"/>
                              <w:b/>
                              <w:bCs/>
                              <w:szCs w:val="20"/>
                            </w:rPr>
                            <w:t>ul. Słoneczna 9</w:t>
                          </w:r>
                        </w:p>
                        <w:p w14:paraId="514D7A01" w14:textId="77777777" w:rsidR="0031684C" w:rsidRPr="00B94CEF" w:rsidRDefault="0031684C" w:rsidP="00442569">
                          <w:pPr>
                            <w:spacing w:line="240" w:lineRule="auto"/>
                            <w:jc w:val="center"/>
                            <w:rPr>
                              <w:rFonts w:cs="Arial"/>
                              <w:b/>
                              <w:bCs/>
                              <w:szCs w:val="20"/>
                            </w:rPr>
                          </w:pPr>
                          <w:r w:rsidRPr="00B94CEF">
                            <w:rPr>
                              <w:rFonts w:cs="Arial"/>
                              <w:b/>
                              <w:bCs/>
                              <w:szCs w:val="20"/>
                            </w:rPr>
                            <w:t xml:space="preserve">34-440 Kluszkowce </w:t>
                          </w:r>
                        </w:p>
                        <w:p w14:paraId="244E54C0" w14:textId="77777777" w:rsidR="0031684C" w:rsidRPr="00B94CEF" w:rsidRDefault="0031684C" w:rsidP="00442569">
                          <w:pPr>
                            <w:spacing w:line="240" w:lineRule="auto"/>
                            <w:jc w:val="center"/>
                            <w:rPr>
                              <w:rFonts w:cs="Arial"/>
                              <w:b/>
                              <w:bCs/>
                              <w:szCs w:val="20"/>
                            </w:rPr>
                          </w:pPr>
                          <w:r w:rsidRPr="00B94CEF">
                            <w:rPr>
                              <w:rFonts w:cs="Arial"/>
                              <w:b/>
                              <w:bCs/>
                              <w:szCs w:val="20"/>
                            </w:rPr>
                            <w:t>NIP: 735-249-40-16</w:t>
                          </w:r>
                        </w:p>
                        <w:p w14:paraId="6C16222A" w14:textId="77777777" w:rsidR="0031684C" w:rsidRPr="00B94CEF" w:rsidRDefault="0031684C" w:rsidP="0036128C">
                          <w:pPr>
                            <w:spacing w:line="240" w:lineRule="auto"/>
                            <w:jc w:val="center"/>
                            <w:rPr>
                              <w:rFonts w:cs="Arial"/>
                              <w:b/>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065226" id="Text Box 6" o:spid="_x0000_s1031" type="#_x0000_t202" style="position:absolute;margin-left:204pt;margin-top:-9.1pt;width:112.5pt;height:41.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" filled="f" stroked="f">
              <v:textbox>
                <w:txbxContent>
                  <w:p w14:paraId="3D751FB0" w14:textId="77777777" w:rsidR="0031684C" w:rsidRPr="00B94CEF" w:rsidRDefault="0031684C" w:rsidP="00442569">
                    <w:pPr>
                      <w:spacing w:line="240" w:lineRule="auto"/>
                      <w:jc w:val="center"/>
                      <w:rPr>
                        <w:rFonts w:cs="Arial"/>
                        <w:b/>
                        <w:bCs/>
                        <w:szCs w:val="20"/>
                      </w:rPr>
                    </w:pPr>
                    <w:r w:rsidRPr="00B94CEF">
                      <w:rPr>
                        <w:rFonts w:cs="Arial"/>
                        <w:b/>
                        <w:bCs/>
                        <w:szCs w:val="20"/>
                      </w:rPr>
                      <w:t>ul. Słoneczna 9</w:t>
                    </w:r>
                  </w:p>
                  <w:p w14:paraId="514D7A01" w14:textId="77777777" w:rsidR="0031684C" w:rsidRPr="00B94CEF" w:rsidRDefault="0031684C" w:rsidP="00442569">
                    <w:pPr>
                      <w:spacing w:line="240" w:lineRule="auto"/>
                      <w:jc w:val="center"/>
                      <w:rPr>
                        <w:rFonts w:cs="Arial"/>
                        <w:b/>
                        <w:bCs/>
                        <w:szCs w:val="20"/>
                      </w:rPr>
                    </w:pPr>
                    <w:r w:rsidRPr="00B94CEF">
                      <w:rPr>
                        <w:rFonts w:cs="Arial"/>
                        <w:b/>
                        <w:bCs/>
                        <w:szCs w:val="20"/>
                      </w:rPr>
                      <w:t xml:space="preserve">34-440 Kluszkowce </w:t>
                    </w:r>
                  </w:p>
                  <w:p w14:paraId="244E54C0" w14:textId="77777777" w:rsidR="0031684C" w:rsidRPr="00B94CEF" w:rsidRDefault="0031684C" w:rsidP="00442569">
                    <w:pPr>
                      <w:spacing w:line="240" w:lineRule="auto"/>
                      <w:jc w:val="center"/>
                      <w:rPr>
                        <w:rFonts w:cs="Arial"/>
                        <w:b/>
                        <w:bCs/>
                        <w:szCs w:val="20"/>
                      </w:rPr>
                    </w:pPr>
                    <w:r w:rsidRPr="00B94CEF">
                      <w:rPr>
                        <w:rFonts w:cs="Arial"/>
                        <w:b/>
                        <w:bCs/>
                        <w:szCs w:val="20"/>
                      </w:rPr>
                      <w:t>NIP: 735-249-40-16</w:t>
                    </w:r>
                  </w:p>
                  <w:p w14:paraId="6C16222A" w14:textId="77777777" w:rsidR="0031684C" w:rsidRPr="00B94CEF" w:rsidRDefault="0031684C" w:rsidP="0036128C">
                    <w:pPr>
                      <w:spacing w:line="240" w:lineRule="auto"/>
                      <w:jc w:val="center"/>
                      <w:rPr>
                        <w:rFonts w:cs="Arial"/>
                        <w:b/>
                        <w:szCs w:val="20"/>
                      </w:rPr>
                    </w:pP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F2F86A" w14:textId="14892BF4" w:rsidR="0031684C" w:rsidRPr="00345EAD" w:rsidRDefault="0031684C" w:rsidP="009C6F2A">
    <w:pPr>
      <w:pStyle w:val="Stopka"/>
      <w:pBdr>
        <w:top w:val="single" w:sz="4" w:space="1" w:color="auto"/>
      </w:pBdr>
      <w:ind w:right="360"/>
      <w:jc w:val="center"/>
      <w:rPr>
        <w:rFonts w:cs="Arial"/>
        <w:i/>
        <w:sz w:val="16"/>
        <w:szCs w:val="16"/>
      </w:rPr>
    </w:pPr>
    <w:r w:rsidRPr="00345EAD">
      <w:rPr>
        <w:rFonts w:ascii="Arial Black" w:hAnsi="Arial Black" w:cs="Arial"/>
        <w:noProof/>
        <w:szCs w:val="20"/>
      </w:rPr>
      <mc:AlternateContent>
        <mc:Choice Requires="wps">
          <w:drawing>
            <wp:anchor distT="0" distB="0" distL="114300" distR="114300" simplePos="0" relativeHeight="251590656" behindDoc="0" locked="0" layoutInCell="0" allowOverlap="1" wp14:anchorId="0730D70C" wp14:editId="77B6A758">
              <wp:simplePos x="0" y="0"/>
              <wp:positionH relativeFrom="page">
                <wp:posOffset>6581140</wp:posOffset>
              </wp:positionH>
              <wp:positionV relativeFrom="page">
                <wp:posOffset>10184765</wp:posOffset>
              </wp:positionV>
              <wp:extent cx="619125" cy="316865"/>
              <wp:effectExtent l="0" t="0" r="9525" b="6985"/>
              <wp:wrapNone/>
              <wp:docPr id="2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316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94A10C" w14:textId="77777777" w:rsidR="0031684C" w:rsidRPr="00C13D99" w:rsidRDefault="0031684C" w:rsidP="009C6F2A">
                          <w:pPr>
                            <w:pBdr>
                              <w:top w:val="single" w:sz="4" w:space="0" w:color="D8D8D8"/>
                            </w:pBdr>
                            <w:ind w:right="-603"/>
                            <w:rPr>
                              <w:rFonts w:cs="Arial"/>
                              <w:sz w:val="16"/>
                              <w:szCs w:val="16"/>
                            </w:rPr>
                          </w:pPr>
                          <w:r w:rsidRPr="00C13D99">
                            <w:rPr>
                              <w:rFonts w:cs="Arial"/>
                              <w:sz w:val="16"/>
                              <w:szCs w:val="16"/>
                            </w:rPr>
                            <w:t xml:space="preserve">Strona | </w:t>
                          </w:r>
                          <w:r w:rsidRPr="00C13D99">
                            <w:rPr>
                              <w:rFonts w:cs="Arial"/>
                              <w:szCs w:val="20"/>
                            </w:rPr>
                            <w:fldChar w:fldCharType="begin"/>
                          </w:r>
                          <w:r w:rsidRPr="00C13D99">
                            <w:rPr>
                              <w:rFonts w:cs="Arial"/>
                              <w:szCs w:val="20"/>
                            </w:rPr>
                            <w:instrText xml:space="preserve"> PAGE   \* MERGEFORMAT </w:instrText>
                          </w:r>
                          <w:r w:rsidRPr="00C13D99">
                            <w:rPr>
                              <w:rFonts w:cs="Arial"/>
                              <w:szCs w:val="20"/>
                            </w:rPr>
                            <w:fldChar w:fldCharType="separate"/>
                          </w:r>
                          <w:r w:rsidR="00821218">
                            <w:rPr>
                              <w:rFonts w:cs="Arial"/>
                              <w:noProof/>
                              <w:szCs w:val="20"/>
                            </w:rPr>
                            <w:t>109</w:t>
                          </w:r>
                          <w:r w:rsidRPr="00C13D99">
                            <w:rPr>
                              <w:rFonts w:cs="Arial"/>
                              <w:szCs w:val="20"/>
                            </w:rPr>
                            <w:fldChar w:fldCharType="end"/>
                          </w:r>
                        </w:p>
                      </w:txbxContent>
                    </wps:txbx>
                    <wps:bodyPr rot="0" vert="horz" wrap="square" lIns="0" tIns="45720" rIns="0" bIns="45720" anchor="t" anchorCtr="0" upright="1">
                      <a:spAutoFit/>
                    </wps:bodyPr>
                  </wps:wsp>
                </a:graphicData>
              </a:graphic>
              <wp14:sizeRelH relativeFrom="rightMargin">
                <wp14:pctWidth>0</wp14:pctWidth>
              </wp14:sizeRelH>
              <wp14:sizeRelV relativeFrom="page">
                <wp14:pctHeight>0</wp14:pctHeight>
              </wp14:sizeRelV>
            </wp:anchor>
          </w:drawing>
        </mc:Choice>
        <mc:Fallback>
          <w:pict>
            <v:rect w14:anchorId="0730D70C" id="_x0000_s1032" style="position:absolute;left:0;text-align:left;margin-left:518.2pt;margin-top:801.95pt;width:48.75pt;height:24.9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" o:allowincell="f" stroked="f">
              <v:textbox style="mso-fit-shape-to-text:t" inset="0,,0">
                <w:txbxContent>
                  <w:p w14:paraId="0B94A10C" w14:textId="77777777" w:rsidR="0031684C" w:rsidRPr="00C13D99" w:rsidRDefault="0031684C" w:rsidP="009C6F2A">
                    <w:pPr>
                      <w:pBdr>
                        <w:top w:val="single" w:sz="4" w:space="0" w:color="D8D8D8"/>
                      </w:pBdr>
                      <w:ind w:right="-603"/>
                      <w:rPr>
                        <w:rFonts w:cs="Arial"/>
                        <w:sz w:val="16"/>
                        <w:szCs w:val="16"/>
                      </w:rPr>
                    </w:pPr>
                    <w:r w:rsidRPr="00C13D99">
                      <w:rPr>
                        <w:rFonts w:cs="Arial"/>
                        <w:sz w:val="16"/>
                        <w:szCs w:val="16"/>
                      </w:rPr>
                      <w:t xml:space="preserve">Strona | </w:t>
                    </w:r>
                    <w:r w:rsidRPr="00C13D99">
                      <w:rPr>
                        <w:rFonts w:cs="Arial"/>
                        <w:szCs w:val="20"/>
                      </w:rPr>
                      <w:fldChar w:fldCharType="begin"/>
                    </w:r>
                    <w:r w:rsidRPr="00C13D99">
                      <w:rPr>
                        <w:rFonts w:cs="Arial"/>
                        <w:szCs w:val="20"/>
                      </w:rPr>
                      <w:instrText xml:space="preserve"> PAGE   \* MERGEFORMAT </w:instrText>
                    </w:r>
                    <w:r w:rsidRPr="00C13D99">
                      <w:rPr>
                        <w:rFonts w:cs="Arial"/>
                        <w:szCs w:val="20"/>
                      </w:rPr>
                      <w:fldChar w:fldCharType="separate"/>
                    </w:r>
                    <w:r w:rsidR="00821218">
                      <w:rPr>
                        <w:rFonts w:cs="Arial"/>
                        <w:noProof/>
                        <w:szCs w:val="20"/>
                      </w:rPr>
                      <w:t>109</w:t>
                    </w:r>
                    <w:r w:rsidRPr="00C13D99">
                      <w:rPr>
                        <w:rFonts w:cs="Arial"/>
                        <w:szCs w:val="20"/>
                      </w:rPr>
                      <w:fldChar w:fldCharType="end"/>
                    </w:r>
                  </w:p>
                </w:txbxContent>
              </v:textbox>
              <w10:wrap anchorx="page" anchory="page"/>
            </v:rect>
          </w:pict>
        </mc:Fallback>
      </mc:AlternateContent>
    </w:r>
    <w:r w:rsidRPr="00345EAD">
      <w:rPr>
        <w:rFonts w:cs="Arial"/>
        <w:i/>
        <w:sz w:val="16"/>
        <w:szCs w:val="16"/>
      </w:rPr>
      <w:fldChar w:fldCharType="begin"/>
    </w:r>
    <w:r w:rsidRPr="00345EAD">
      <w:rPr>
        <w:rFonts w:cs="Arial"/>
        <w:i/>
        <w:sz w:val="16"/>
        <w:szCs w:val="16"/>
      </w:rPr>
      <w:instrText xml:space="preserve"> STYLEREF  "Nagłówek 4"  \* MERGEFORMAT </w:instrText>
    </w:r>
    <w:r w:rsidRPr="00345EAD">
      <w:rPr>
        <w:rFonts w:cs="Arial"/>
        <w:i/>
        <w:sz w:val="16"/>
        <w:szCs w:val="16"/>
      </w:rPr>
      <w:fldChar w:fldCharType="separate"/>
    </w:r>
    <w:r w:rsidR="008D66D8">
      <w:rPr>
        <w:rFonts w:cs="Arial"/>
        <w:i/>
        <w:noProof/>
        <w:sz w:val="16"/>
        <w:szCs w:val="16"/>
      </w:rPr>
      <w:t>T-01.01.01 – KANAŁ TECHNOLOGICZNY</w:t>
    </w:r>
    <w:r w:rsidRPr="00345EAD">
      <w:rPr>
        <w:rFonts w:cs="Arial"/>
        <w:i/>
        <w:sz w:val="16"/>
        <w:szCs w:val="16"/>
      </w:rPr>
      <w:fldChar w:fldCharType="end"/>
    </w:r>
  </w:p>
  <w:p w14:paraId="4B6250FE" w14:textId="6CB2730A" w:rsidR="0031684C" w:rsidRDefault="0031684C">
    <w:pPr>
      <w:pStyle w:val="Tekstpodstawowy"/>
      <w:spacing w:line="14"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74F136" w14:textId="77777777" w:rsidR="0031684C" w:rsidRDefault="0031684C">
      <w:r>
        <w:separator/>
      </w:r>
    </w:p>
  </w:footnote>
  <w:footnote w:type="continuationSeparator" w:id="0">
    <w:p w14:paraId="17736571" w14:textId="77777777" w:rsidR="0031684C" w:rsidRDefault="003168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1C6B81" w14:textId="6429B3C4" w:rsidR="0031684C" w:rsidRPr="00B85CA1" w:rsidRDefault="0031684C" w:rsidP="002C7F1E">
    <w:pPr>
      <w:pStyle w:val="Tabelka"/>
      <w:jc w:val="center"/>
      <w:rPr>
        <w:rFonts w:ascii="Arial" w:hAnsi="Arial" w:cs="Arial"/>
        <w:b w:val="0"/>
        <w:sz w:val="16"/>
        <w:szCs w:val="16"/>
      </w:rPr>
    </w:pPr>
    <w:r w:rsidRPr="00B85CA1">
      <w:rPr>
        <w:b w:val="0"/>
        <w:noProof/>
        <w:sz w:val="16"/>
        <w:szCs w:val="16"/>
      </w:rPr>
      <mc:AlternateContent>
        <mc:Choice Requires="wps">
          <w:drawing>
            <wp:anchor distT="0" distB="0" distL="114300" distR="114300" simplePos="0" relativeHeight="251661312" behindDoc="0" locked="0" layoutInCell="1" allowOverlap="1" wp14:anchorId="2A8BAE47" wp14:editId="63F5F473">
              <wp:simplePos x="0" y="0"/>
              <wp:positionH relativeFrom="column">
                <wp:posOffset>-45720</wp:posOffset>
              </wp:positionH>
              <wp:positionV relativeFrom="paragraph">
                <wp:posOffset>339090</wp:posOffset>
              </wp:positionV>
              <wp:extent cx="7115175" cy="635"/>
              <wp:effectExtent l="0" t="0" r="9525" b="37465"/>
              <wp:wrapNone/>
              <wp:docPr id="40" name="Łącznik prosty ze strzałką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1517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516A47" id="_x0000_t32" coordsize="21600,21600" o:spt="32" o:oned="t" path="m,l21600,21600e" filled="f">
              <v:path arrowok="t" fillok="f" o:connecttype="none"/>
              <o:lock v:ext="edit" shapetype="t"/>
            </v:shapetype>
            <v:shape id="Łącznik prosty ze strzałką 40" o:spid="_x0000_s1026" type="#_x0000_t32" style="position:absolute;margin-left:-3.6pt;margin-top:26.7pt;width:560.25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"/>
          </w:pict>
        </mc:Fallback>
      </mc:AlternateContent>
    </w:r>
    <w:r w:rsidR="002B6B85">
      <w:rPr>
        <w:rFonts w:ascii="Arial" w:hAnsi="Arial" w:cs="Arial"/>
        <w:b w:val="0"/>
        <w:sz w:val="16"/>
        <w:szCs w:val="16"/>
      </w:rPr>
      <w:t>„</w:t>
    </w:r>
    <w:r w:rsidR="00F62D0A" w:rsidRPr="00F62D0A">
      <w:rPr>
        <w:b w:val="0"/>
        <w:bCs/>
        <w:i/>
        <w:iCs/>
        <w:sz w:val="20"/>
        <w:szCs w:val="20"/>
      </w:rPr>
      <w:t xml:space="preserve">Przebudowa drogi wojewódzkiej nr 957 w miejscowości Jabłonka </w:t>
    </w:r>
    <w:r w:rsidR="00F62D0A" w:rsidRPr="00F62D0A">
      <w:rPr>
        <w:b w:val="0"/>
        <w:bCs/>
        <w:i/>
        <w:iCs/>
        <w:sz w:val="20"/>
        <w:szCs w:val="20"/>
      </w:rPr>
      <w:br/>
      <w:t>odc. referencyjny 100 w km 9+073.78 - 9+279.58 (budowa chodnika)</w:t>
    </w:r>
    <w:r w:rsidR="00D24583" w:rsidRPr="00F62D0A">
      <w:rPr>
        <w:rFonts w:ascii="Arial" w:hAnsi="Arial" w:cs="Arial"/>
        <w:b w:val="0"/>
        <w:bCs/>
        <w:i/>
        <w:iCs/>
        <w:sz w:val="14"/>
        <w:szCs w:val="14"/>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9236E" w14:textId="24AB47B0" w:rsidR="0031684C" w:rsidRDefault="0031684C">
    <w:pPr>
      <w:pStyle w:val="Tekstpodstawowy"/>
      <w:spacing w:line="14" w:lineRule="auto"/>
    </w:pPr>
    <w:r>
      <w:rPr>
        <w:noProof/>
      </w:rPr>
      <mc:AlternateContent>
        <mc:Choice Requires="wps">
          <w:drawing>
            <wp:anchor distT="0" distB="0" distL="114300" distR="114300" simplePos="0" relativeHeight="251665920" behindDoc="1" locked="0" layoutInCell="1" allowOverlap="1" wp14:anchorId="31884420" wp14:editId="5DA52C8F">
              <wp:simplePos x="0" y="0"/>
              <wp:positionH relativeFrom="page">
                <wp:posOffset>880745</wp:posOffset>
              </wp:positionH>
              <wp:positionV relativeFrom="page">
                <wp:posOffset>502920</wp:posOffset>
              </wp:positionV>
              <wp:extent cx="5797550" cy="6350"/>
              <wp:effectExtent l="4445" t="0" r="0" b="0"/>
              <wp:wrapNone/>
              <wp:docPr id="18" name="Prostokąt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755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6D894" id="Prostokąt 18" o:spid="_x0000_s1026" style="position:absolute;margin-left:69.35pt;margin-top:39.6pt;width:456.5pt;height:.5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" fillcolor="black"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9504333A"/>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A2B80ECE"/>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B95A3682"/>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A1D6326C"/>
    <w:lvl w:ilvl="0">
      <w:start w:val="1"/>
      <w:numFmt w:val="bullet"/>
      <w:pStyle w:val="Listapunktowana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C596896C"/>
    <w:lvl w:ilvl="0">
      <w:start w:val="1"/>
      <w:numFmt w:val="bullet"/>
      <w:pStyle w:val="Listapunktowana"/>
      <w:lvlText w:val=""/>
      <w:lvlJc w:val="left"/>
      <w:pPr>
        <w:tabs>
          <w:tab w:val="num" w:pos="360"/>
        </w:tabs>
        <w:ind w:left="360" w:hanging="360"/>
      </w:pPr>
      <w:rPr>
        <w:rFonts w:ascii="Symbol" w:hAnsi="Symbol" w:hint="default"/>
      </w:rPr>
    </w:lvl>
  </w:abstractNum>
  <w:abstractNum w:abstractNumId="5" w15:restartNumberingAfterBreak="0">
    <w:nsid w:val="FFFFFFFE"/>
    <w:multiLevelType w:val="singleLevel"/>
    <w:tmpl w:val="F32A3B0C"/>
    <w:lvl w:ilvl="0">
      <w:numFmt w:val="bullet"/>
      <w:lvlText w:val="*"/>
      <w:lvlJc w:val="left"/>
    </w:lvl>
  </w:abstractNum>
  <w:abstractNum w:abstractNumId="6" w15:restartNumberingAfterBreak="0">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8" w15:restartNumberingAfterBreak="0">
    <w:nsid w:val="01DE5A0A"/>
    <w:multiLevelType w:val="singleLevel"/>
    <w:tmpl w:val="7AC0A0D2"/>
    <w:lvl w:ilvl="0">
      <w:start w:val="1"/>
      <w:numFmt w:val="lowerLetter"/>
      <w:lvlText w:val="%1)"/>
      <w:legacy w:legacy="1" w:legacySpace="0" w:legacyIndent="283"/>
      <w:lvlJc w:val="left"/>
      <w:pPr>
        <w:ind w:left="283" w:hanging="283"/>
      </w:pPr>
    </w:lvl>
  </w:abstractNum>
  <w:abstractNum w:abstractNumId="9" w15:restartNumberingAfterBreak="0">
    <w:nsid w:val="02A8063D"/>
    <w:multiLevelType w:val="hybridMultilevel"/>
    <w:tmpl w:val="FE7EF4CC"/>
    <w:lvl w:ilvl="0" w:tplc="76B806AC">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02C158DA"/>
    <w:multiLevelType w:val="singleLevel"/>
    <w:tmpl w:val="C7AA3822"/>
    <w:lvl w:ilvl="0">
      <w:start w:val="1"/>
      <w:numFmt w:val="lowerLetter"/>
      <w:lvlText w:val="%1)"/>
      <w:legacy w:legacy="1" w:legacySpace="0" w:legacyIndent="283"/>
      <w:lvlJc w:val="left"/>
      <w:pPr>
        <w:ind w:left="283" w:hanging="283"/>
      </w:pPr>
    </w:lvl>
  </w:abstractNum>
  <w:abstractNum w:abstractNumId="11" w15:restartNumberingAfterBreak="0">
    <w:nsid w:val="03B84FEF"/>
    <w:multiLevelType w:val="singleLevel"/>
    <w:tmpl w:val="A2342998"/>
    <w:lvl w:ilvl="0">
      <w:start w:val="1"/>
      <w:numFmt w:val="lowerLetter"/>
      <w:lvlText w:val="%1)"/>
      <w:legacy w:legacy="1" w:legacySpace="0" w:legacyIndent="283"/>
      <w:lvlJc w:val="left"/>
      <w:pPr>
        <w:ind w:left="283" w:hanging="283"/>
      </w:pPr>
    </w:lvl>
  </w:abstractNum>
  <w:abstractNum w:abstractNumId="12" w15:restartNumberingAfterBreak="0">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56653C8"/>
    <w:multiLevelType w:val="singleLevel"/>
    <w:tmpl w:val="7AC0A0D2"/>
    <w:lvl w:ilvl="0">
      <w:start w:val="1"/>
      <w:numFmt w:val="lowerLetter"/>
      <w:lvlText w:val="%1)"/>
      <w:legacy w:legacy="1" w:legacySpace="0" w:legacyIndent="283"/>
      <w:lvlJc w:val="left"/>
      <w:pPr>
        <w:ind w:left="283" w:hanging="283"/>
      </w:pPr>
    </w:lvl>
  </w:abstractNum>
  <w:abstractNum w:abstractNumId="14" w15:restartNumberingAfterBreak="0">
    <w:nsid w:val="05AA0538"/>
    <w:multiLevelType w:val="hybridMultilevel"/>
    <w:tmpl w:val="0EA0505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5B23AF3"/>
    <w:multiLevelType w:val="hybridMultilevel"/>
    <w:tmpl w:val="96FCEC1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5F2460F"/>
    <w:multiLevelType w:val="singleLevel"/>
    <w:tmpl w:val="DE38BEBA"/>
    <w:lvl w:ilvl="0">
      <w:start w:val="17"/>
      <w:numFmt w:val="decimal"/>
      <w:lvlText w:val="%1."/>
      <w:legacy w:legacy="1" w:legacySpace="0" w:legacyIndent="283"/>
      <w:lvlJc w:val="left"/>
      <w:pPr>
        <w:ind w:left="425" w:hanging="283"/>
      </w:pPr>
    </w:lvl>
  </w:abstractNum>
  <w:abstractNum w:abstractNumId="17"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18"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07644350"/>
    <w:multiLevelType w:val="multilevel"/>
    <w:tmpl w:val="69F40FB0"/>
    <w:styleLink w:val="ula"/>
    <w:lvl w:ilvl="0">
      <w:start w:val="1"/>
      <w:numFmt w:val="decimal"/>
      <w:lvlText w:val="%1"/>
      <w:lvlJc w:val="left"/>
      <w:pPr>
        <w:ind w:left="113" w:hanging="113"/>
      </w:pPr>
      <w:rPr>
        <w:rFonts w:ascii="Times New Roman" w:hAnsi="Times New Roman" w:hint="default"/>
        <w:b/>
        <w:color w:val="auto"/>
        <w:sz w:val="24"/>
      </w:rPr>
    </w:lvl>
    <w:lvl w:ilvl="1">
      <w:start w:val="1"/>
      <w:numFmt w:val="decimal"/>
      <w:lvlText w:val="%1.%2."/>
      <w:lvlJc w:val="left"/>
      <w:pPr>
        <w:ind w:left="624" w:hanging="624"/>
      </w:pPr>
      <w:rPr>
        <w:rFonts w:hint="default"/>
      </w:rPr>
    </w:lvl>
    <w:lvl w:ilvl="2">
      <w:start w:val="1"/>
      <w:numFmt w:val="decimal"/>
      <w:lvlText w:val="%1.%2.%3."/>
      <w:lvlJc w:val="left"/>
      <w:pPr>
        <w:ind w:left="907" w:hanging="907"/>
      </w:pPr>
      <w:rPr>
        <w:rFonts w:hint="default"/>
      </w:rPr>
    </w:lvl>
    <w:lvl w:ilvl="3">
      <w:start w:val="1"/>
      <w:numFmt w:val="decimal"/>
      <w:lvlText w:val="%1.%2.%3.%4."/>
      <w:lvlJc w:val="left"/>
      <w:pPr>
        <w:ind w:left="1247" w:hanging="1247"/>
      </w:pPr>
      <w:rPr>
        <w:rFonts w:hint="default"/>
      </w:rPr>
    </w:lvl>
    <w:lvl w:ilvl="4">
      <w:start w:val="1"/>
      <w:numFmt w:val="decimal"/>
      <w:lvlText w:val="%1.%2.%3.%4.%5."/>
      <w:lvlJc w:val="left"/>
      <w:pPr>
        <w:ind w:left="1531" w:hanging="1531"/>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082E771D"/>
    <w:multiLevelType w:val="hybridMultilevel"/>
    <w:tmpl w:val="DF38EC22"/>
    <w:lvl w:ilvl="0" w:tplc="848C6DB8">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8556836"/>
    <w:multiLevelType w:val="hybridMultilevel"/>
    <w:tmpl w:val="58D08C6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8B35E69"/>
    <w:multiLevelType w:val="hybridMultilevel"/>
    <w:tmpl w:val="75465EC2"/>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24" w15:restartNumberingAfterBreak="0">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C18331B"/>
    <w:multiLevelType w:val="hybridMultilevel"/>
    <w:tmpl w:val="03761B16"/>
    <w:lvl w:ilvl="0" w:tplc="DF0C7486">
      <w:start w:val="1"/>
      <w:numFmt w:val="lowerLetter"/>
      <w:lvlText w:val="%1)"/>
      <w:lvlJc w:val="left"/>
      <w:pPr>
        <w:tabs>
          <w:tab w:val="num" w:pos="0"/>
        </w:tabs>
        <w:ind w:left="283" w:hanging="283"/>
      </w:pPr>
      <w:rPr>
        <w:rFonts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0C496CBC"/>
    <w:multiLevelType w:val="singleLevel"/>
    <w:tmpl w:val="A2342998"/>
    <w:lvl w:ilvl="0">
      <w:start w:val="1"/>
      <w:numFmt w:val="lowerLetter"/>
      <w:lvlText w:val="%1)"/>
      <w:legacy w:legacy="1" w:legacySpace="0" w:legacyIndent="283"/>
      <w:lvlJc w:val="left"/>
      <w:pPr>
        <w:ind w:left="283" w:hanging="283"/>
      </w:pPr>
    </w:lvl>
  </w:abstractNum>
  <w:abstractNum w:abstractNumId="28"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31" w15:restartNumberingAfterBreak="0">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E760077"/>
    <w:multiLevelType w:val="singleLevel"/>
    <w:tmpl w:val="284C5BB8"/>
    <w:lvl w:ilvl="0">
      <w:start w:val="5"/>
      <w:numFmt w:val="decimal"/>
      <w:lvlText w:val="1.4.%1. "/>
      <w:legacy w:legacy="1" w:legacySpace="0" w:legacyIndent="283"/>
      <w:lvlJc w:val="left"/>
      <w:pPr>
        <w:ind w:left="283" w:hanging="283"/>
      </w:pPr>
      <w:rPr>
        <w:b/>
        <w:i w:val="0"/>
        <w:sz w:val="20"/>
      </w:rPr>
    </w:lvl>
  </w:abstractNum>
  <w:abstractNum w:abstractNumId="33" w15:restartNumberingAfterBreak="0">
    <w:nsid w:val="0E8C481E"/>
    <w:multiLevelType w:val="singleLevel"/>
    <w:tmpl w:val="B25E3BB2"/>
    <w:lvl w:ilvl="0">
      <w:start w:val="2"/>
      <w:numFmt w:val="decimal"/>
      <w:lvlText w:val="(%1) "/>
      <w:legacy w:legacy="1" w:legacySpace="0" w:legacyIndent="283"/>
      <w:lvlJc w:val="left"/>
      <w:pPr>
        <w:ind w:left="1639" w:hanging="283"/>
      </w:pPr>
      <w:rPr>
        <w:b w:val="0"/>
        <w:i w:val="0"/>
        <w:sz w:val="20"/>
      </w:rPr>
    </w:lvl>
  </w:abstractNum>
  <w:abstractNum w:abstractNumId="34" w15:restartNumberingAfterBreak="0">
    <w:nsid w:val="0EE06071"/>
    <w:multiLevelType w:val="singleLevel"/>
    <w:tmpl w:val="FC9A2696"/>
    <w:lvl w:ilvl="0">
      <w:start w:val="1"/>
      <w:numFmt w:val="lowerLetter"/>
      <w:lvlText w:val="%1)"/>
      <w:legacy w:legacy="1" w:legacySpace="0" w:legacyIndent="283"/>
      <w:lvlJc w:val="left"/>
      <w:pPr>
        <w:ind w:left="283" w:hanging="283"/>
      </w:pPr>
    </w:lvl>
  </w:abstractNum>
  <w:abstractNum w:abstractNumId="35" w15:restartNumberingAfterBreak="0">
    <w:nsid w:val="0F1D754C"/>
    <w:multiLevelType w:val="singleLevel"/>
    <w:tmpl w:val="8B42EEBA"/>
    <w:lvl w:ilvl="0">
      <w:start w:val="9"/>
      <w:numFmt w:val="decimal"/>
      <w:lvlText w:val="%1."/>
      <w:legacy w:legacy="1" w:legacySpace="170" w:legacyIndent="227"/>
      <w:lvlJc w:val="right"/>
      <w:pPr>
        <w:ind w:left="227" w:hanging="227"/>
      </w:pPr>
    </w:lvl>
  </w:abstractNum>
  <w:abstractNum w:abstractNumId="36" w15:restartNumberingAfterBreak="0">
    <w:nsid w:val="0F3A639B"/>
    <w:multiLevelType w:val="singleLevel"/>
    <w:tmpl w:val="E294E9A6"/>
    <w:lvl w:ilvl="0">
      <w:start w:val="1"/>
      <w:numFmt w:val="decimal"/>
      <w:lvlText w:val="%1."/>
      <w:legacy w:legacy="1" w:legacySpace="0" w:legacyIndent="283"/>
      <w:lvlJc w:val="left"/>
      <w:pPr>
        <w:ind w:left="283" w:hanging="283"/>
      </w:pPr>
    </w:lvl>
  </w:abstractNum>
  <w:abstractNum w:abstractNumId="37" w15:restartNumberingAfterBreak="0">
    <w:nsid w:val="0F961CFE"/>
    <w:multiLevelType w:val="hybridMultilevel"/>
    <w:tmpl w:val="DA44190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10400852"/>
    <w:multiLevelType w:val="hybridMultilevel"/>
    <w:tmpl w:val="9F528DDA"/>
    <w:lvl w:ilvl="0" w:tplc="7FCE6C02">
      <w:start w:val="24"/>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10E71089"/>
    <w:multiLevelType w:val="singleLevel"/>
    <w:tmpl w:val="25DCBEE0"/>
    <w:lvl w:ilvl="0">
      <w:start w:val="4"/>
      <w:numFmt w:val="lowerLetter"/>
      <w:lvlText w:val="%1) "/>
      <w:legacy w:legacy="1" w:legacySpace="0" w:legacyIndent="283"/>
      <w:lvlJc w:val="left"/>
      <w:pPr>
        <w:ind w:left="283" w:hanging="283"/>
      </w:pPr>
      <w:rPr>
        <w:b w:val="0"/>
        <w:i w:val="0"/>
        <w:sz w:val="20"/>
      </w:rPr>
    </w:lvl>
  </w:abstractNum>
  <w:abstractNum w:abstractNumId="41" w15:restartNumberingAfterBreak="0">
    <w:nsid w:val="115B7CF4"/>
    <w:multiLevelType w:val="hybridMultilevel"/>
    <w:tmpl w:val="D2CC6ACE"/>
    <w:lvl w:ilvl="0" w:tplc="6B249FA6">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13D86D65"/>
    <w:multiLevelType w:val="hybridMultilevel"/>
    <w:tmpl w:val="F9329E9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14984BCF"/>
    <w:multiLevelType w:val="singleLevel"/>
    <w:tmpl w:val="1BAE60CE"/>
    <w:lvl w:ilvl="0">
      <w:start w:val="1"/>
      <w:numFmt w:val="lowerLetter"/>
      <w:lvlText w:val="%1)"/>
      <w:legacy w:legacy="1" w:legacySpace="0" w:legacyIndent="283"/>
      <w:lvlJc w:val="left"/>
      <w:pPr>
        <w:ind w:left="283" w:hanging="283"/>
      </w:pPr>
    </w:lvl>
  </w:abstractNum>
  <w:abstractNum w:abstractNumId="51" w15:restartNumberingAfterBreak="0">
    <w:nsid w:val="14B049FA"/>
    <w:multiLevelType w:val="hybridMultilevel"/>
    <w:tmpl w:val="67ACA7A0"/>
    <w:lvl w:ilvl="0" w:tplc="0D0CF13E">
      <w:start w:val="1"/>
      <w:numFmt w:val="lowerLetter"/>
      <w:lvlText w:val="%1)"/>
      <w:lvlJc w:val="left"/>
      <w:pPr>
        <w:tabs>
          <w:tab w:val="num" w:pos="340"/>
        </w:tabs>
        <w:ind w:left="340" w:hanging="34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52" w15:restartNumberingAfterBreak="0">
    <w:nsid w:val="14CD3328"/>
    <w:multiLevelType w:val="hybridMultilevel"/>
    <w:tmpl w:val="62A856C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5CD1312"/>
    <w:multiLevelType w:val="hybridMultilevel"/>
    <w:tmpl w:val="7BC48A3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58" w15:restartNumberingAfterBreak="0">
    <w:nsid w:val="16DE6C7F"/>
    <w:multiLevelType w:val="singleLevel"/>
    <w:tmpl w:val="7AC0A0D2"/>
    <w:lvl w:ilvl="0">
      <w:start w:val="1"/>
      <w:numFmt w:val="lowerLetter"/>
      <w:lvlText w:val="%1)"/>
      <w:legacy w:legacy="1" w:legacySpace="0" w:legacyIndent="283"/>
      <w:lvlJc w:val="left"/>
      <w:pPr>
        <w:ind w:left="283" w:hanging="283"/>
      </w:pPr>
    </w:lvl>
  </w:abstractNum>
  <w:abstractNum w:abstractNumId="59" w15:restartNumberingAfterBreak="0">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17606019"/>
    <w:multiLevelType w:val="singleLevel"/>
    <w:tmpl w:val="F6641092"/>
    <w:lvl w:ilvl="0">
      <w:start w:val="1"/>
      <w:numFmt w:val="lowerLetter"/>
      <w:lvlText w:val="%1)"/>
      <w:legacy w:legacy="1" w:legacySpace="0" w:legacyIndent="283"/>
      <w:lvlJc w:val="left"/>
      <w:pPr>
        <w:ind w:left="283" w:hanging="283"/>
      </w:pPr>
    </w:lvl>
  </w:abstractNum>
  <w:abstractNum w:abstractNumId="61" w15:restartNumberingAfterBreak="0">
    <w:nsid w:val="18202B7F"/>
    <w:multiLevelType w:val="hybridMultilevel"/>
    <w:tmpl w:val="D6A87150"/>
    <w:lvl w:ilvl="0" w:tplc="0D0CF13E">
      <w:start w:val="1"/>
      <w:numFmt w:val="lowerLetter"/>
      <w:lvlText w:val="%1)"/>
      <w:lvlJc w:val="left"/>
      <w:pPr>
        <w:tabs>
          <w:tab w:val="num" w:pos="340"/>
        </w:tabs>
        <w:ind w:left="340" w:hanging="34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2" w15:restartNumberingAfterBreak="0">
    <w:nsid w:val="19CE3C70"/>
    <w:multiLevelType w:val="hybridMultilevel"/>
    <w:tmpl w:val="B65A4032"/>
    <w:lvl w:ilvl="0" w:tplc="F5DCB7DE">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AD0571C"/>
    <w:multiLevelType w:val="hybridMultilevel"/>
    <w:tmpl w:val="243ED84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1B2925E2"/>
    <w:multiLevelType w:val="hybridMultilevel"/>
    <w:tmpl w:val="0D82931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1B8C7A12"/>
    <w:multiLevelType w:val="hybridMultilevel"/>
    <w:tmpl w:val="99E42D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D57411D"/>
    <w:multiLevelType w:val="hybridMultilevel"/>
    <w:tmpl w:val="8B1404BE"/>
    <w:lvl w:ilvl="0" w:tplc="848C6DB8">
      <w:start w:val="1"/>
      <w:numFmt w:val="bullet"/>
      <w:lvlText w:val=""/>
      <w:lvlJc w:val="left"/>
      <w:pPr>
        <w:ind w:left="360" w:hanging="360"/>
      </w:pPr>
      <w:rPr>
        <w:rFonts w:ascii="Symbol" w:hAnsi="Symbol" w:hint="default"/>
        <w:sz w:val="2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9"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0" w15:restartNumberingAfterBreak="0">
    <w:nsid w:val="1F721DD3"/>
    <w:multiLevelType w:val="singleLevel"/>
    <w:tmpl w:val="F6641092"/>
    <w:lvl w:ilvl="0">
      <w:start w:val="1"/>
      <w:numFmt w:val="lowerLetter"/>
      <w:lvlText w:val="%1)"/>
      <w:legacy w:legacy="1" w:legacySpace="0" w:legacyIndent="283"/>
      <w:lvlJc w:val="left"/>
      <w:pPr>
        <w:ind w:left="283" w:hanging="283"/>
      </w:pPr>
    </w:lvl>
  </w:abstractNum>
  <w:abstractNum w:abstractNumId="71" w15:restartNumberingAfterBreak="0">
    <w:nsid w:val="1FE12591"/>
    <w:multiLevelType w:val="multilevel"/>
    <w:tmpl w:val="D7F43956"/>
    <w:lvl w:ilvl="0">
      <w:start w:val="2"/>
      <w:numFmt w:val="decimal"/>
      <w:lvlText w:val="%1."/>
      <w:lvlJc w:val="left"/>
      <w:pPr>
        <w:tabs>
          <w:tab w:val="num" w:pos="540"/>
        </w:tabs>
        <w:ind w:left="540" w:hanging="540"/>
      </w:pPr>
      <w:rPr>
        <w:b/>
      </w:rPr>
    </w:lvl>
    <w:lvl w:ilvl="1">
      <w:start w:val="2"/>
      <w:numFmt w:val="decimal"/>
      <w:lvlText w:val="%1.%2."/>
      <w:lvlJc w:val="left"/>
      <w:pPr>
        <w:tabs>
          <w:tab w:val="num" w:pos="540"/>
        </w:tabs>
        <w:ind w:left="540" w:hanging="540"/>
      </w:pPr>
      <w:rPr>
        <w:b/>
      </w:rPr>
    </w:lvl>
    <w:lvl w:ilvl="2">
      <w:start w:val="5"/>
      <w:numFmt w:val="decimal"/>
      <w:lvlText w:val="%1.%2.%3."/>
      <w:lvlJc w:val="left"/>
      <w:pPr>
        <w:tabs>
          <w:tab w:val="num" w:pos="720"/>
        </w:tabs>
        <w:ind w:left="720" w:hanging="720"/>
      </w:pPr>
      <w:rPr>
        <w:b/>
      </w:rPr>
    </w:lvl>
    <w:lvl w:ilvl="3">
      <w:start w:val="1"/>
      <w:numFmt w:val="decimal"/>
      <w:lvlText w:val="%1.%2.%3.%4."/>
      <w:lvlJc w:val="left"/>
      <w:pPr>
        <w:tabs>
          <w:tab w:val="num" w:pos="720"/>
        </w:tabs>
        <w:ind w:left="720" w:hanging="720"/>
      </w:pPr>
      <w:rPr>
        <w:b/>
      </w:rPr>
    </w:lvl>
    <w:lvl w:ilvl="4">
      <w:start w:val="1"/>
      <w:numFmt w:val="decimal"/>
      <w:lvlText w:val="%1.%2.%3.%4.%5."/>
      <w:lvlJc w:val="left"/>
      <w:pPr>
        <w:tabs>
          <w:tab w:val="num" w:pos="1080"/>
        </w:tabs>
        <w:ind w:left="1080" w:hanging="1080"/>
      </w:pPr>
      <w:rPr>
        <w:b/>
      </w:rPr>
    </w:lvl>
    <w:lvl w:ilvl="5">
      <w:start w:val="1"/>
      <w:numFmt w:val="decimal"/>
      <w:lvlText w:val="%1.%2.%3.%4.%5.%6."/>
      <w:lvlJc w:val="left"/>
      <w:pPr>
        <w:tabs>
          <w:tab w:val="num" w:pos="1080"/>
        </w:tabs>
        <w:ind w:left="1080" w:hanging="1080"/>
      </w:pPr>
      <w:rPr>
        <w:b/>
      </w:rPr>
    </w:lvl>
    <w:lvl w:ilvl="6">
      <w:start w:val="1"/>
      <w:numFmt w:val="decimal"/>
      <w:lvlText w:val="%1.%2.%3.%4.%5.%6.%7."/>
      <w:lvlJc w:val="left"/>
      <w:pPr>
        <w:tabs>
          <w:tab w:val="num" w:pos="1080"/>
        </w:tabs>
        <w:ind w:left="1080" w:hanging="1080"/>
      </w:pPr>
      <w:rPr>
        <w:b/>
      </w:rPr>
    </w:lvl>
    <w:lvl w:ilvl="7">
      <w:start w:val="1"/>
      <w:numFmt w:val="decimal"/>
      <w:lvlText w:val="%1.%2.%3.%4.%5.%6.%7.%8."/>
      <w:lvlJc w:val="left"/>
      <w:pPr>
        <w:tabs>
          <w:tab w:val="num" w:pos="1440"/>
        </w:tabs>
        <w:ind w:left="1440" w:hanging="1440"/>
      </w:pPr>
      <w:rPr>
        <w:b/>
      </w:rPr>
    </w:lvl>
    <w:lvl w:ilvl="8">
      <w:start w:val="1"/>
      <w:numFmt w:val="decimal"/>
      <w:lvlText w:val="%1.%2.%3.%4.%5.%6.%7.%8.%9."/>
      <w:lvlJc w:val="left"/>
      <w:pPr>
        <w:tabs>
          <w:tab w:val="num" w:pos="1440"/>
        </w:tabs>
        <w:ind w:left="1440" w:hanging="1440"/>
      </w:pPr>
      <w:rPr>
        <w:b/>
      </w:rPr>
    </w:lvl>
  </w:abstractNum>
  <w:abstractNum w:abstractNumId="72" w15:restartNumberingAfterBreak="0">
    <w:nsid w:val="2094777E"/>
    <w:multiLevelType w:val="hybridMultilevel"/>
    <w:tmpl w:val="E072F912"/>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20F10597"/>
    <w:multiLevelType w:val="singleLevel"/>
    <w:tmpl w:val="7AC0A0D2"/>
    <w:lvl w:ilvl="0">
      <w:start w:val="1"/>
      <w:numFmt w:val="lowerLetter"/>
      <w:lvlText w:val="%1)"/>
      <w:legacy w:legacy="1" w:legacySpace="0" w:legacyIndent="283"/>
      <w:lvlJc w:val="left"/>
      <w:pPr>
        <w:ind w:left="283" w:hanging="283"/>
      </w:pPr>
    </w:lvl>
  </w:abstractNum>
  <w:abstractNum w:abstractNumId="74"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6" w15:restartNumberingAfterBreak="0">
    <w:nsid w:val="218E73ED"/>
    <w:multiLevelType w:val="singleLevel"/>
    <w:tmpl w:val="7AC0A0D2"/>
    <w:lvl w:ilvl="0">
      <w:start w:val="1"/>
      <w:numFmt w:val="lowerLetter"/>
      <w:lvlText w:val="%1)"/>
      <w:legacy w:legacy="1" w:legacySpace="0" w:legacyIndent="283"/>
      <w:lvlJc w:val="left"/>
      <w:pPr>
        <w:ind w:left="283" w:hanging="283"/>
      </w:pPr>
    </w:lvl>
  </w:abstractNum>
  <w:abstractNum w:abstractNumId="77" w15:restartNumberingAfterBreak="0">
    <w:nsid w:val="21F73982"/>
    <w:multiLevelType w:val="singleLevel"/>
    <w:tmpl w:val="DBFCD390"/>
    <w:lvl w:ilvl="0">
      <w:start w:val="1"/>
      <w:numFmt w:val="decimal"/>
      <w:lvlText w:val="%1."/>
      <w:legacy w:legacy="1" w:legacySpace="57" w:legacyIndent="340"/>
      <w:lvlJc w:val="left"/>
      <w:pPr>
        <w:ind w:left="341" w:hanging="340"/>
      </w:pPr>
    </w:lvl>
  </w:abstractNum>
  <w:abstractNum w:abstractNumId="78" w15:restartNumberingAfterBreak="0">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25073300"/>
    <w:multiLevelType w:val="hybridMultilevel"/>
    <w:tmpl w:val="7D8CDA90"/>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0" w15:restartNumberingAfterBreak="0">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1"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82"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27094753"/>
    <w:multiLevelType w:val="hybridMultilevel"/>
    <w:tmpl w:val="18CA6D88"/>
    <w:lvl w:ilvl="0" w:tplc="89F85D08">
      <w:start w:val="1"/>
      <w:numFmt w:val="decimal"/>
      <w:lvlText w:val="%1."/>
      <w:lvlJc w:val="left"/>
      <w:pPr>
        <w:ind w:left="720" w:hanging="360"/>
      </w:pPr>
      <w:rPr>
        <w:rFonts w:hint="default"/>
        <w:sz w:val="24"/>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280C052F"/>
    <w:multiLevelType w:val="singleLevel"/>
    <w:tmpl w:val="19761BF2"/>
    <w:lvl w:ilvl="0">
      <w:start w:val="1"/>
      <w:numFmt w:val="decimal"/>
      <w:lvlText w:val="5.7.%1. "/>
      <w:legacy w:legacy="1" w:legacySpace="0" w:legacyIndent="283"/>
      <w:lvlJc w:val="left"/>
      <w:pPr>
        <w:ind w:left="283" w:hanging="283"/>
      </w:pPr>
      <w:rPr>
        <w:b/>
        <w:i w:val="0"/>
        <w:sz w:val="20"/>
      </w:rPr>
    </w:lvl>
  </w:abstractNum>
  <w:abstractNum w:abstractNumId="86" w15:restartNumberingAfterBreak="0">
    <w:nsid w:val="28562AFD"/>
    <w:multiLevelType w:val="singleLevel"/>
    <w:tmpl w:val="FC9A2696"/>
    <w:lvl w:ilvl="0">
      <w:start w:val="1"/>
      <w:numFmt w:val="lowerLetter"/>
      <w:lvlText w:val="%1)"/>
      <w:legacy w:legacy="1" w:legacySpace="0" w:legacyIndent="283"/>
      <w:lvlJc w:val="left"/>
      <w:pPr>
        <w:ind w:left="283" w:hanging="283"/>
      </w:pPr>
    </w:lvl>
  </w:abstractNum>
  <w:abstractNum w:abstractNumId="87" w15:restartNumberingAfterBreak="0">
    <w:nsid w:val="28A33FA5"/>
    <w:multiLevelType w:val="singleLevel"/>
    <w:tmpl w:val="F6641092"/>
    <w:lvl w:ilvl="0">
      <w:start w:val="1"/>
      <w:numFmt w:val="lowerLetter"/>
      <w:lvlText w:val="%1)"/>
      <w:legacy w:legacy="1" w:legacySpace="0" w:legacyIndent="283"/>
      <w:lvlJc w:val="left"/>
      <w:pPr>
        <w:ind w:left="571" w:hanging="283"/>
      </w:pPr>
    </w:lvl>
  </w:abstractNum>
  <w:abstractNum w:abstractNumId="88" w15:restartNumberingAfterBreak="0">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89" w15:restartNumberingAfterBreak="0">
    <w:nsid w:val="2B0F2224"/>
    <w:multiLevelType w:val="hybridMultilevel"/>
    <w:tmpl w:val="E7F646E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2B38435C"/>
    <w:multiLevelType w:val="singleLevel"/>
    <w:tmpl w:val="8F787822"/>
    <w:lvl w:ilvl="0">
      <w:start w:val="1"/>
      <w:numFmt w:val="lowerLetter"/>
      <w:lvlText w:val="%1)"/>
      <w:legacy w:legacy="1" w:legacySpace="0" w:legacyIndent="283"/>
      <w:lvlJc w:val="left"/>
      <w:pPr>
        <w:ind w:left="283" w:hanging="283"/>
      </w:pPr>
    </w:lvl>
  </w:abstractNum>
  <w:abstractNum w:abstractNumId="91" w15:restartNumberingAfterBreak="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2C015FC4"/>
    <w:multiLevelType w:val="singleLevel"/>
    <w:tmpl w:val="458A0A1E"/>
    <w:lvl w:ilvl="0">
      <w:start w:val="1"/>
      <w:numFmt w:val="decimal"/>
      <w:lvlText w:val="%1)"/>
      <w:legacy w:legacy="1" w:legacySpace="0" w:legacyIndent="283"/>
      <w:lvlJc w:val="left"/>
      <w:pPr>
        <w:ind w:left="283" w:hanging="283"/>
      </w:pPr>
    </w:lvl>
  </w:abstractNum>
  <w:abstractNum w:abstractNumId="93" w15:restartNumberingAfterBreak="0">
    <w:nsid w:val="2C254D21"/>
    <w:multiLevelType w:val="singleLevel"/>
    <w:tmpl w:val="565C6046"/>
    <w:lvl w:ilvl="0">
      <w:start w:val="1"/>
      <w:numFmt w:val="decimal"/>
      <w:lvlText w:val="%1."/>
      <w:legacy w:legacy="1" w:legacySpace="0" w:legacyIndent="283"/>
      <w:lvlJc w:val="left"/>
      <w:pPr>
        <w:ind w:left="283" w:hanging="283"/>
      </w:pPr>
    </w:lvl>
  </w:abstractNum>
  <w:abstractNum w:abstractNumId="94" w15:restartNumberingAfterBreak="0">
    <w:nsid w:val="2C962369"/>
    <w:multiLevelType w:val="hybridMultilevel"/>
    <w:tmpl w:val="49C4383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2DC46392"/>
    <w:multiLevelType w:val="singleLevel"/>
    <w:tmpl w:val="A2342998"/>
    <w:lvl w:ilvl="0">
      <w:start w:val="1"/>
      <w:numFmt w:val="lowerLetter"/>
      <w:lvlText w:val="%1)"/>
      <w:legacy w:legacy="1" w:legacySpace="0" w:legacyIndent="283"/>
      <w:lvlJc w:val="left"/>
      <w:pPr>
        <w:ind w:left="567" w:hanging="283"/>
      </w:pPr>
    </w:lvl>
  </w:abstractNum>
  <w:abstractNum w:abstractNumId="96" w15:restartNumberingAfterBreak="0">
    <w:nsid w:val="2E6D4F57"/>
    <w:multiLevelType w:val="hybridMultilevel"/>
    <w:tmpl w:val="DEE81174"/>
    <w:lvl w:ilvl="0" w:tplc="0E88EBD2">
      <w:start w:val="1"/>
      <w:numFmt w:val="decimal"/>
      <w:lvlText w:val="%1)"/>
      <w:lvlJc w:val="right"/>
      <w:pPr>
        <w:tabs>
          <w:tab w:val="num" w:pos="720"/>
        </w:tabs>
        <w:ind w:left="720" w:hanging="360"/>
      </w:pPr>
      <w:rPr>
        <w:rFonts w:hint="default"/>
        <w:b w:val="0"/>
        <w:i w:val="0"/>
        <w:sz w:val="24"/>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7" w15:restartNumberingAfterBreak="0">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8" w15:restartNumberingAfterBreak="0">
    <w:nsid w:val="2E842DA6"/>
    <w:multiLevelType w:val="hybridMultilevel"/>
    <w:tmpl w:val="C68676A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9" w15:restartNumberingAfterBreak="0">
    <w:nsid w:val="2FD94D4D"/>
    <w:multiLevelType w:val="singleLevel"/>
    <w:tmpl w:val="F6641092"/>
    <w:lvl w:ilvl="0">
      <w:start w:val="1"/>
      <w:numFmt w:val="lowerLetter"/>
      <w:lvlText w:val="%1)"/>
      <w:legacy w:legacy="1" w:legacySpace="0" w:legacyIndent="283"/>
      <w:lvlJc w:val="left"/>
      <w:pPr>
        <w:ind w:left="283" w:hanging="283"/>
      </w:pPr>
    </w:lvl>
  </w:abstractNum>
  <w:abstractNum w:abstractNumId="100" w15:restartNumberingAfterBreak="0">
    <w:nsid w:val="30D22B54"/>
    <w:multiLevelType w:val="singleLevel"/>
    <w:tmpl w:val="F6641092"/>
    <w:lvl w:ilvl="0">
      <w:start w:val="1"/>
      <w:numFmt w:val="lowerLetter"/>
      <w:lvlText w:val="%1)"/>
      <w:legacy w:legacy="1" w:legacySpace="0" w:legacyIndent="283"/>
      <w:lvlJc w:val="left"/>
      <w:pPr>
        <w:ind w:left="283" w:hanging="283"/>
      </w:pPr>
    </w:lvl>
  </w:abstractNum>
  <w:abstractNum w:abstractNumId="101" w15:restartNumberingAfterBreak="0">
    <w:nsid w:val="31710A3C"/>
    <w:multiLevelType w:val="singleLevel"/>
    <w:tmpl w:val="D5C0C7E4"/>
    <w:lvl w:ilvl="0">
      <w:start w:val="1"/>
      <w:numFmt w:val="bullet"/>
      <w:lvlText w:val=""/>
      <w:lvlJc w:val="left"/>
      <w:pPr>
        <w:tabs>
          <w:tab w:val="num" w:pos="360"/>
        </w:tabs>
        <w:ind w:left="360" w:hanging="360"/>
      </w:pPr>
      <w:rPr>
        <w:rFonts w:ascii="Symbol" w:hAnsi="Symbol" w:hint="default"/>
      </w:rPr>
    </w:lvl>
  </w:abstractNum>
  <w:abstractNum w:abstractNumId="102" w15:restartNumberingAfterBreak="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324C3E96"/>
    <w:multiLevelType w:val="hybridMultilevel"/>
    <w:tmpl w:val="9BD233DC"/>
    <w:lvl w:ilvl="0" w:tplc="4A8E94C2">
      <w:start w:val="1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4" w15:restartNumberingAfterBreak="0">
    <w:nsid w:val="325A6459"/>
    <w:multiLevelType w:val="hybridMultilevel"/>
    <w:tmpl w:val="1016650E"/>
    <w:lvl w:ilvl="0" w:tplc="0D0CF13E">
      <w:start w:val="1"/>
      <w:numFmt w:val="lowerLetter"/>
      <w:lvlText w:val="%1)"/>
      <w:lvlJc w:val="left"/>
      <w:pPr>
        <w:tabs>
          <w:tab w:val="num" w:pos="340"/>
        </w:tabs>
        <w:ind w:left="340" w:hanging="34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05" w15:restartNumberingAfterBreak="0">
    <w:nsid w:val="330C7E05"/>
    <w:multiLevelType w:val="hybridMultilevel"/>
    <w:tmpl w:val="955A0602"/>
    <w:lvl w:ilvl="0" w:tplc="FE1AC52A">
      <w:start w:val="1"/>
      <w:numFmt w:val="lowerLetter"/>
      <w:lvlText w:val="%1)"/>
      <w:lvlJc w:val="left"/>
      <w:pPr>
        <w:tabs>
          <w:tab w:val="num" w:pos="536"/>
        </w:tabs>
        <w:ind w:left="536" w:hanging="377"/>
      </w:pPr>
      <w:rPr>
        <w:rFonts w:hint="default"/>
      </w:rPr>
    </w:lvl>
    <w:lvl w:ilvl="1" w:tplc="04150019" w:tentative="1">
      <w:start w:val="1"/>
      <w:numFmt w:val="lowerLetter"/>
      <w:lvlText w:val="%2."/>
      <w:lvlJc w:val="left"/>
      <w:pPr>
        <w:tabs>
          <w:tab w:val="num" w:pos="1239"/>
        </w:tabs>
        <w:ind w:left="1239" w:hanging="360"/>
      </w:pPr>
    </w:lvl>
    <w:lvl w:ilvl="2" w:tplc="0415001B" w:tentative="1">
      <w:start w:val="1"/>
      <w:numFmt w:val="lowerRoman"/>
      <w:lvlText w:val="%3."/>
      <w:lvlJc w:val="right"/>
      <w:pPr>
        <w:tabs>
          <w:tab w:val="num" w:pos="1959"/>
        </w:tabs>
        <w:ind w:left="1959" w:hanging="180"/>
      </w:pPr>
    </w:lvl>
    <w:lvl w:ilvl="3" w:tplc="0415000F" w:tentative="1">
      <w:start w:val="1"/>
      <w:numFmt w:val="decimal"/>
      <w:lvlText w:val="%4."/>
      <w:lvlJc w:val="left"/>
      <w:pPr>
        <w:tabs>
          <w:tab w:val="num" w:pos="2679"/>
        </w:tabs>
        <w:ind w:left="2679" w:hanging="360"/>
      </w:pPr>
    </w:lvl>
    <w:lvl w:ilvl="4" w:tplc="04150019" w:tentative="1">
      <w:start w:val="1"/>
      <w:numFmt w:val="lowerLetter"/>
      <w:lvlText w:val="%5."/>
      <w:lvlJc w:val="left"/>
      <w:pPr>
        <w:tabs>
          <w:tab w:val="num" w:pos="3399"/>
        </w:tabs>
        <w:ind w:left="3399" w:hanging="360"/>
      </w:pPr>
    </w:lvl>
    <w:lvl w:ilvl="5" w:tplc="0415001B" w:tentative="1">
      <w:start w:val="1"/>
      <w:numFmt w:val="lowerRoman"/>
      <w:lvlText w:val="%6."/>
      <w:lvlJc w:val="right"/>
      <w:pPr>
        <w:tabs>
          <w:tab w:val="num" w:pos="4119"/>
        </w:tabs>
        <w:ind w:left="4119" w:hanging="180"/>
      </w:pPr>
    </w:lvl>
    <w:lvl w:ilvl="6" w:tplc="0415000F" w:tentative="1">
      <w:start w:val="1"/>
      <w:numFmt w:val="decimal"/>
      <w:lvlText w:val="%7."/>
      <w:lvlJc w:val="left"/>
      <w:pPr>
        <w:tabs>
          <w:tab w:val="num" w:pos="4839"/>
        </w:tabs>
        <w:ind w:left="4839" w:hanging="360"/>
      </w:pPr>
    </w:lvl>
    <w:lvl w:ilvl="7" w:tplc="04150019" w:tentative="1">
      <w:start w:val="1"/>
      <w:numFmt w:val="lowerLetter"/>
      <w:lvlText w:val="%8."/>
      <w:lvlJc w:val="left"/>
      <w:pPr>
        <w:tabs>
          <w:tab w:val="num" w:pos="5559"/>
        </w:tabs>
        <w:ind w:left="5559" w:hanging="360"/>
      </w:pPr>
    </w:lvl>
    <w:lvl w:ilvl="8" w:tplc="0415001B" w:tentative="1">
      <w:start w:val="1"/>
      <w:numFmt w:val="lowerRoman"/>
      <w:lvlText w:val="%9."/>
      <w:lvlJc w:val="right"/>
      <w:pPr>
        <w:tabs>
          <w:tab w:val="num" w:pos="6279"/>
        </w:tabs>
        <w:ind w:left="6279" w:hanging="180"/>
      </w:pPr>
    </w:lvl>
  </w:abstractNum>
  <w:abstractNum w:abstractNumId="106"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7" w15:restartNumberingAfterBreak="0">
    <w:nsid w:val="346002BA"/>
    <w:multiLevelType w:val="singleLevel"/>
    <w:tmpl w:val="F6641092"/>
    <w:lvl w:ilvl="0">
      <w:start w:val="1"/>
      <w:numFmt w:val="lowerLetter"/>
      <w:lvlText w:val="%1)"/>
      <w:legacy w:legacy="1" w:legacySpace="0" w:legacyIndent="283"/>
      <w:lvlJc w:val="left"/>
      <w:pPr>
        <w:ind w:left="283" w:hanging="283"/>
      </w:pPr>
    </w:lvl>
  </w:abstractNum>
  <w:abstractNum w:abstractNumId="108"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09" w15:restartNumberingAfterBreak="0">
    <w:nsid w:val="34AF666F"/>
    <w:multiLevelType w:val="singleLevel"/>
    <w:tmpl w:val="7AC0A0D2"/>
    <w:lvl w:ilvl="0">
      <w:start w:val="1"/>
      <w:numFmt w:val="lowerLetter"/>
      <w:lvlText w:val="%1)"/>
      <w:legacy w:legacy="1" w:legacySpace="0" w:legacyIndent="283"/>
      <w:lvlJc w:val="left"/>
      <w:pPr>
        <w:ind w:left="283" w:hanging="283"/>
      </w:pPr>
    </w:lvl>
  </w:abstractNum>
  <w:abstractNum w:abstractNumId="110" w15:restartNumberingAfterBreak="0">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1"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12"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3" w15:restartNumberingAfterBreak="0">
    <w:nsid w:val="36A34BCF"/>
    <w:multiLevelType w:val="singleLevel"/>
    <w:tmpl w:val="FC9A2696"/>
    <w:lvl w:ilvl="0">
      <w:start w:val="1"/>
      <w:numFmt w:val="lowerLetter"/>
      <w:lvlText w:val="%1)"/>
      <w:legacy w:legacy="1" w:legacySpace="0" w:legacyIndent="283"/>
      <w:lvlJc w:val="left"/>
      <w:pPr>
        <w:ind w:left="283" w:hanging="283"/>
      </w:pPr>
    </w:lvl>
  </w:abstractNum>
  <w:abstractNum w:abstractNumId="114"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5" w15:restartNumberingAfterBreak="0">
    <w:nsid w:val="376F519A"/>
    <w:multiLevelType w:val="singleLevel"/>
    <w:tmpl w:val="7D7679E0"/>
    <w:lvl w:ilvl="0">
      <w:start w:val="2"/>
      <w:numFmt w:val="decimal"/>
      <w:lvlText w:val="5.7.%1. "/>
      <w:legacy w:legacy="1" w:legacySpace="0" w:legacyIndent="283"/>
      <w:lvlJc w:val="left"/>
      <w:pPr>
        <w:ind w:left="283" w:hanging="283"/>
      </w:pPr>
      <w:rPr>
        <w:b/>
        <w:i w:val="0"/>
        <w:sz w:val="20"/>
      </w:rPr>
    </w:lvl>
  </w:abstractNum>
  <w:abstractNum w:abstractNumId="116"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7"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39AC4146"/>
    <w:multiLevelType w:val="singleLevel"/>
    <w:tmpl w:val="A6348208"/>
    <w:lvl w:ilvl="0">
      <w:start w:val="1"/>
      <w:numFmt w:val="lowerLetter"/>
      <w:lvlText w:val="%1)"/>
      <w:legacy w:legacy="1" w:legacySpace="0" w:legacyIndent="284"/>
      <w:lvlJc w:val="left"/>
      <w:pPr>
        <w:ind w:left="284" w:hanging="284"/>
      </w:pPr>
    </w:lvl>
  </w:abstractNum>
  <w:abstractNum w:abstractNumId="119"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3D343F09"/>
    <w:multiLevelType w:val="singleLevel"/>
    <w:tmpl w:val="A2342998"/>
    <w:lvl w:ilvl="0">
      <w:start w:val="1"/>
      <w:numFmt w:val="lowerLetter"/>
      <w:lvlText w:val="%1)"/>
      <w:legacy w:legacy="1" w:legacySpace="0" w:legacyIndent="283"/>
      <w:lvlJc w:val="left"/>
      <w:pPr>
        <w:ind w:left="283" w:hanging="283"/>
      </w:pPr>
    </w:lvl>
  </w:abstractNum>
  <w:abstractNum w:abstractNumId="122" w15:restartNumberingAfterBreak="0">
    <w:nsid w:val="3D802329"/>
    <w:multiLevelType w:val="hybridMultilevel"/>
    <w:tmpl w:val="31FE6D24"/>
    <w:lvl w:ilvl="0" w:tplc="07BE41F4">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4" w15:restartNumberingAfterBreak="0">
    <w:nsid w:val="3F427832"/>
    <w:multiLevelType w:val="singleLevel"/>
    <w:tmpl w:val="A2342998"/>
    <w:lvl w:ilvl="0">
      <w:start w:val="1"/>
      <w:numFmt w:val="lowerLetter"/>
      <w:lvlText w:val="%1)"/>
      <w:legacy w:legacy="1" w:legacySpace="0" w:legacyIndent="283"/>
      <w:lvlJc w:val="left"/>
      <w:pPr>
        <w:ind w:left="283" w:hanging="283"/>
      </w:pPr>
    </w:lvl>
  </w:abstractNum>
  <w:abstractNum w:abstractNumId="125" w15:restartNumberingAfterBreak="0">
    <w:nsid w:val="3F6138E8"/>
    <w:multiLevelType w:val="hybridMultilevel"/>
    <w:tmpl w:val="D3B68C7C"/>
    <w:lvl w:ilvl="0" w:tplc="FE80189C">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3F7E02A9"/>
    <w:multiLevelType w:val="hybridMultilevel"/>
    <w:tmpl w:val="6CD6D50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3FD22364"/>
    <w:multiLevelType w:val="hybridMultilevel"/>
    <w:tmpl w:val="AFE2F7AE"/>
    <w:lvl w:ilvl="0" w:tplc="76B806AC">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8" w15:restartNumberingAfterBreak="0">
    <w:nsid w:val="406A6B4A"/>
    <w:multiLevelType w:val="hybridMultilevel"/>
    <w:tmpl w:val="6B54DA44"/>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9" w15:restartNumberingAfterBreak="0">
    <w:nsid w:val="4071639D"/>
    <w:multiLevelType w:val="hybridMultilevel"/>
    <w:tmpl w:val="B7A4AEE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31"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2"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33" w15:restartNumberingAfterBreak="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41C90A79"/>
    <w:multiLevelType w:val="singleLevel"/>
    <w:tmpl w:val="0BC606B8"/>
    <w:lvl w:ilvl="0">
      <w:start w:val="2"/>
      <w:numFmt w:val="lowerLetter"/>
      <w:lvlText w:val="%1) "/>
      <w:legacy w:legacy="1" w:legacySpace="0" w:legacyIndent="283"/>
      <w:lvlJc w:val="left"/>
      <w:pPr>
        <w:ind w:left="283" w:hanging="283"/>
      </w:pPr>
      <w:rPr>
        <w:b w:val="0"/>
        <w:i w:val="0"/>
        <w:sz w:val="20"/>
      </w:rPr>
    </w:lvl>
  </w:abstractNum>
  <w:abstractNum w:abstractNumId="135" w15:restartNumberingAfterBreak="0">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6" w15:restartNumberingAfterBreak="0">
    <w:nsid w:val="4238113B"/>
    <w:multiLevelType w:val="singleLevel"/>
    <w:tmpl w:val="6DC49A98"/>
    <w:lvl w:ilvl="0">
      <w:start w:val="1"/>
      <w:numFmt w:val="decimal"/>
      <w:lvlText w:val="5.7.5.%1. "/>
      <w:legacy w:legacy="1" w:legacySpace="0" w:legacyIndent="283"/>
      <w:lvlJc w:val="left"/>
      <w:pPr>
        <w:ind w:left="283" w:hanging="283"/>
      </w:pPr>
      <w:rPr>
        <w:b w:val="0"/>
        <w:i w:val="0"/>
        <w:sz w:val="20"/>
      </w:rPr>
    </w:lvl>
  </w:abstractNum>
  <w:abstractNum w:abstractNumId="137" w15:restartNumberingAfterBreak="0">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42E641BF"/>
    <w:multiLevelType w:val="singleLevel"/>
    <w:tmpl w:val="BEA43E1E"/>
    <w:lvl w:ilvl="0">
      <w:start w:val="1"/>
      <w:numFmt w:val="lowerLetter"/>
      <w:lvlText w:val="(%1)"/>
      <w:legacy w:legacy="1" w:legacySpace="0" w:legacyIndent="283"/>
      <w:lvlJc w:val="left"/>
      <w:pPr>
        <w:ind w:left="283" w:hanging="283"/>
      </w:pPr>
    </w:lvl>
  </w:abstractNum>
  <w:abstractNum w:abstractNumId="139" w15:restartNumberingAfterBreak="0">
    <w:nsid w:val="42F27A86"/>
    <w:multiLevelType w:val="singleLevel"/>
    <w:tmpl w:val="F6641092"/>
    <w:lvl w:ilvl="0">
      <w:start w:val="1"/>
      <w:numFmt w:val="lowerLetter"/>
      <w:lvlText w:val="%1)"/>
      <w:legacy w:legacy="1" w:legacySpace="0" w:legacyIndent="283"/>
      <w:lvlJc w:val="left"/>
      <w:pPr>
        <w:ind w:left="283" w:hanging="283"/>
      </w:pPr>
    </w:lvl>
  </w:abstractNum>
  <w:abstractNum w:abstractNumId="140" w15:restartNumberingAfterBreak="0">
    <w:nsid w:val="43141E2D"/>
    <w:multiLevelType w:val="hybridMultilevel"/>
    <w:tmpl w:val="D9E0217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432765A8"/>
    <w:multiLevelType w:val="singleLevel"/>
    <w:tmpl w:val="F6641092"/>
    <w:lvl w:ilvl="0">
      <w:start w:val="1"/>
      <w:numFmt w:val="lowerLetter"/>
      <w:lvlText w:val="%1)"/>
      <w:legacy w:legacy="1" w:legacySpace="0" w:legacyIndent="283"/>
      <w:lvlJc w:val="left"/>
      <w:pPr>
        <w:ind w:left="283" w:hanging="283"/>
      </w:pPr>
    </w:lvl>
  </w:abstractNum>
  <w:abstractNum w:abstractNumId="142" w15:restartNumberingAfterBreak="0">
    <w:nsid w:val="43A674BE"/>
    <w:multiLevelType w:val="singleLevel"/>
    <w:tmpl w:val="A2342998"/>
    <w:lvl w:ilvl="0">
      <w:start w:val="1"/>
      <w:numFmt w:val="lowerLetter"/>
      <w:lvlText w:val="%1)"/>
      <w:legacy w:legacy="1" w:legacySpace="0" w:legacyIndent="283"/>
      <w:lvlJc w:val="left"/>
      <w:pPr>
        <w:ind w:left="283" w:hanging="283"/>
      </w:pPr>
    </w:lvl>
  </w:abstractNum>
  <w:abstractNum w:abstractNumId="143"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144" w15:restartNumberingAfterBreak="0">
    <w:nsid w:val="44635412"/>
    <w:multiLevelType w:val="hybridMultilevel"/>
    <w:tmpl w:val="EBD03E6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46" w15:restartNumberingAfterBreak="0">
    <w:nsid w:val="44E673E1"/>
    <w:multiLevelType w:val="hybridMultilevel"/>
    <w:tmpl w:val="A520545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4522742D"/>
    <w:multiLevelType w:val="singleLevel"/>
    <w:tmpl w:val="7AC0A0D2"/>
    <w:lvl w:ilvl="0">
      <w:start w:val="1"/>
      <w:numFmt w:val="lowerLetter"/>
      <w:lvlText w:val="%1)"/>
      <w:legacy w:legacy="1" w:legacySpace="0" w:legacyIndent="283"/>
      <w:lvlJc w:val="left"/>
      <w:pPr>
        <w:ind w:left="283" w:hanging="283"/>
      </w:pPr>
    </w:lvl>
  </w:abstractNum>
  <w:abstractNum w:abstractNumId="148" w15:restartNumberingAfterBreak="0">
    <w:nsid w:val="45EE72AC"/>
    <w:multiLevelType w:val="singleLevel"/>
    <w:tmpl w:val="7AC0A0D2"/>
    <w:lvl w:ilvl="0">
      <w:start w:val="1"/>
      <w:numFmt w:val="lowerLetter"/>
      <w:lvlText w:val="%1)"/>
      <w:legacy w:legacy="1" w:legacySpace="0" w:legacyIndent="283"/>
      <w:lvlJc w:val="left"/>
      <w:pPr>
        <w:ind w:left="283" w:hanging="283"/>
      </w:pPr>
    </w:lvl>
  </w:abstractNum>
  <w:abstractNum w:abstractNumId="149" w15:restartNumberingAfterBreak="0">
    <w:nsid w:val="46166CF4"/>
    <w:multiLevelType w:val="singleLevel"/>
    <w:tmpl w:val="359E7B10"/>
    <w:lvl w:ilvl="0">
      <w:start w:val="1"/>
      <w:numFmt w:val="decimal"/>
      <w:lvlText w:val="%1."/>
      <w:legacy w:legacy="1" w:legacySpace="0" w:legacyIndent="283"/>
      <w:lvlJc w:val="left"/>
      <w:pPr>
        <w:ind w:left="283" w:hanging="283"/>
      </w:pPr>
    </w:lvl>
  </w:abstractNum>
  <w:abstractNum w:abstractNumId="150" w15:restartNumberingAfterBreak="0">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1" w15:restartNumberingAfterBreak="0">
    <w:nsid w:val="46975E68"/>
    <w:multiLevelType w:val="hybridMultilevel"/>
    <w:tmpl w:val="2CB80846"/>
    <w:lvl w:ilvl="0" w:tplc="FE1AC52A">
      <w:start w:val="1"/>
      <w:numFmt w:val="lowerLetter"/>
      <w:lvlText w:val="%1)"/>
      <w:lvlJc w:val="left"/>
      <w:pPr>
        <w:tabs>
          <w:tab w:val="num" w:pos="377"/>
        </w:tabs>
        <w:ind w:left="377" w:hanging="377"/>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52" w15:restartNumberingAfterBreak="0">
    <w:nsid w:val="46C123D7"/>
    <w:multiLevelType w:val="singleLevel"/>
    <w:tmpl w:val="8F787822"/>
    <w:lvl w:ilvl="0">
      <w:start w:val="1"/>
      <w:numFmt w:val="lowerLetter"/>
      <w:lvlText w:val="%1)"/>
      <w:legacy w:legacy="1" w:legacySpace="0" w:legacyIndent="283"/>
      <w:lvlJc w:val="left"/>
      <w:pPr>
        <w:ind w:left="283" w:hanging="283"/>
      </w:pPr>
    </w:lvl>
  </w:abstractNum>
  <w:abstractNum w:abstractNumId="153" w15:restartNumberingAfterBreak="0">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4" w15:restartNumberingAfterBreak="0">
    <w:nsid w:val="479D05CD"/>
    <w:multiLevelType w:val="hybridMultilevel"/>
    <w:tmpl w:val="8E26A8F0"/>
    <w:lvl w:ilvl="0" w:tplc="D6FC1D58">
      <w:start w:val="24"/>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5" w15:restartNumberingAfterBreak="0">
    <w:nsid w:val="48511B38"/>
    <w:multiLevelType w:val="singleLevel"/>
    <w:tmpl w:val="DFFC5288"/>
    <w:lvl w:ilvl="0">
      <w:start w:val="1"/>
      <w:numFmt w:val="decimal"/>
      <w:lvlText w:val="%1."/>
      <w:legacy w:legacy="1" w:legacySpace="0" w:legacyIndent="283"/>
      <w:lvlJc w:val="left"/>
      <w:pPr>
        <w:ind w:left="283" w:hanging="283"/>
      </w:pPr>
    </w:lvl>
  </w:abstractNum>
  <w:abstractNum w:abstractNumId="156" w15:restartNumberingAfterBreak="0">
    <w:nsid w:val="485C26A8"/>
    <w:multiLevelType w:val="hybridMultilevel"/>
    <w:tmpl w:val="8AC2B59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7"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8" w15:restartNumberingAfterBreak="0">
    <w:nsid w:val="48E70724"/>
    <w:multiLevelType w:val="hybridMultilevel"/>
    <w:tmpl w:val="57BC5A80"/>
    <w:lvl w:ilvl="0" w:tplc="594663F8">
      <w:start w:val="2"/>
      <w:numFmt w:val="bullet"/>
      <w:lvlText w:val="-"/>
      <w:lvlJc w:val="left"/>
      <w:pPr>
        <w:ind w:left="2627" w:hanging="360"/>
      </w:pPr>
      <w:rPr>
        <w:rFonts w:ascii="Times New Roman" w:hAnsi="Times New Roman" w:cs="Times New Roman" w:hint="default"/>
      </w:rPr>
    </w:lvl>
    <w:lvl w:ilvl="1" w:tplc="F2E2744E">
      <w:start w:val="7"/>
      <w:numFmt w:val="bullet"/>
      <w:lvlText w:val="-"/>
      <w:lvlJc w:val="left"/>
      <w:pPr>
        <w:tabs>
          <w:tab w:val="num" w:pos="3347"/>
        </w:tabs>
        <w:ind w:left="3347" w:hanging="360"/>
      </w:pPr>
      <w:rPr>
        <w:rFonts w:ascii="Times New Roman" w:eastAsia="Times New Roman" w:hAnsi="Times New Roman" w:cs="Times New Roman" w:hint="default"/>
      </w:rPr>
    </w:lvl>
    <w:lvl w:ilvl="2" w:tplc="04150005" w:tentative="1">
      <w:start w:val="1"/>
      <w:numFmt w:val="bullet"/>
      <w:lvlText w:val=""/>
      <w:lvlJc w:val="left"/>
      <w:pPr>
        <w:ind w:left="4067" w:hanging="360"/>
      </w:pPr>
      <w:rPr>
        <w:rFonts w:ascii="Wingdings" w:hAnsi="Wingdings" w:hint="default"/>
      </w:rPr>
    </w:lvl>
    <w:lvl w:ilvl="3" w:tplc="04150001" w:tentative="1">
      <w:start w:val="1"/>
      <w:numFmt w:val="bullet"/>
      <w:lvlText w:val=""/>
      <w:lvlJc w:val="left"/>
      <w:pPr>
        <w:ind w:left="4787" w:hanging="360"/>
      </w:pPr>
      <w:rPr>
        <w:rFonts w:ascii="Symbol" w:hAnsi="Symbol" w:hint="default"/>
      </w:rPr>
    </w:lvl>
    <w:lvl w:ilvl="4" w:tplc="04150003" w:tentative="1">
      <w:start w:val="1"/>
      <w:numFmt w:val="bullet"/>
      <w:lvlText w:val="o"/>
      <w:lvlJc w:val="left"/>
      <w:pPr>
        <w:ind w:left="5507" w:hanging="360"/>
      </w:pPr>
      <w:rPr>
        <w:rFonts w:ascii="Courier New" w:hAnsi="Courier New" w:cs="Courier New" w:hint="default"/>
      </w:rPr>
    </w:lvl>
    <w:lvl w:ilvl="5" w:tplc="04150005" w:tentative="1">
      <w:start w:val="1"/>
      <w:numFmt w:val="bullet"/>
      <w:lvlText w:val=""/>
      <w:lvlJc w:val="left"/>
      <w:pPr>
        <w:ind w:left="6227" w:hanging="360"/>
      </w:pPr>
      <w:rPr>
        <w:rFonts w:ascii="Wingdings" w:hAnsi="Wingdings" w:hint="default"/>
      </w:rPr>
    </w:lvl>
    <w:lvl w:ilvl="6" w:tplc="04150001" w:tentative="1">
      <w:start w:val="1"/>
      <w:numFmt w:val="bullet"/>
      <w:lvlText w:val=""/>
      <w:lvlJc w:val="left"/>
      <w:pPr>
        <w:ind w:left="6947" w:hanging="360"/>
      </w:pPr>
      <w:rPr>
        <w:rFonts w:ascii="Symbol" w:hAnsi="Symbol" w:hint="default"/>
      </w:rPr>
    </w:lvl>
    <w:lvl w:ilvl="7" w:tplc="04150003" w:tentative="1">
      <w:start w:val="1"/>
      <w:numFmt w:val="bullet"/>
      <w:lvlText w:val="o"/>
      <w:lvlJc w:val="left"/>
      <w:pPr>
        <w:ind w:left="7667" w:hanging="360"/>
      </w:pPr>
      <w:rPr>
        <w:rFonts w:ascii="Courier New" w:hAnsi="Courier New" w:cs="Courier New" w:hint="default"/>
      </w:rPr>
    </w:lvl>
    <w:lvl w:ilvl="8" w:tplc="04150005" w:tentative="1">
      <w:start w:val="1"/>
      <w:numFmt w:val="bullet"/>
      <w:lvlText w:val=""/>
      <w:lvlJc w:val="left"/>
      <w:pPr>
        <w:ind w:left="8387" w:hanging="360"/>
      </w:pPr>
      <w:rPr>
        <w:rFonts w:ascii="Wingdings" w:hAnsi="Wingdings" w:hint="default"/>
      </w:rPr>
    </w:lvl>
  </w:abstractNum>
  <w:abstractNum w:abstractNumId="159" w15:restartNumberingAfterBreak="0">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60" w15:restartNumberingAfterBreak="0">
    <w:nsid w:val="49A20478"/>
    <w:multiLevelType w:val="hybridMultilevel"/>
    <w:tmpl w:val="374CD140"/>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1" w15:restartNumberingAfterBreak="0">
    <w:nsid w:val="49FF71EA"/>
    <w:multiLevelType w:val="hybridMultilevel"/>
    <w:tmpl w:val="E20A288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2" w15:restartNumberingAfterBreak="0">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4" w15:restartNumberingAfterBreak="0">
    <w:nsid w:val="4A781654"/>
    <w:multiLevelType w:val="hybridMultilevel"/>
    <w:tmpl w:val="63EA86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5" w15:restartNumberingAfterBreak="0">
    <w:nsid w:val="4B973314"/>
    <w:multiLevelType w:val="singleLevel"/>
    <w:tmpl w:val="7AC0A0D2"/>
    <w:lvl w:ilvl="0">
      <w:start w:val="1"/>
      <w:numFmt w:val="lowerLetter"/>
      <w:lvlText w:val="%1)"/>
      <w:legacy w:legacy="1" w:legacySpace="0" w:legacyIndent="283"/>
      <w:lvlJc w:val="left"/>
      <w:pPr>
        <w:ind w:left="283" w:hanging="283"/>
      </w:pPr>
    </w:lvl>
  </w:abstractNum>
  <w:abstractNum w:abstractNumId="166"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7" w15:restartNumberingAfterBreak="0">
    <w:nsid w:val="4D58693C"/>
    <w:multiLevelType w:val="singleLevel"/>
    <w:tmpl w:val="F6641092"/>
    <w:lvl w:ilvl="0">
      <w:start w:val="1"/>
      <w:numFmt w:val="lowerLetter"/>
      <w:lvlText w:val="%1)"/>
      <w:legacy w:legacy="1" w:legacySpace="0" w:legacyIndent="283"/>
      <w:lvlJc w:val="left"/>
      <w:pPr>
        <w:ind w:left="571" w:hanging="283"/>
      </w:pPr>
    </w:lvl>
  </w:abstractNum>
  <w:abstractNum w:abstractNumId="168" w15:restartNumberingAfterBreak="0">
    <w:nsid w:val="4D766913"/>
    <w:multiLevelType w:val="singleLevel"/>
    <w:tmpl w:val="8F787822"/>
    <w:lvl w:ilvl="0">
      <w:start w:val="1"/>
      <w:numFmt w:val="lowerLetter"/>
      <w:lvlText w:val="%1)"/>
      <w:legacy w:legacy="1" w:legacySpace="0" w:legacyIndent="283"/>
      <w:lvlJc w:val="left"/>
      <w:pPr>
        <w:ind w:left="283" w:hanging="283"/>
      </w:pPr>
    </w:lvl>
  </w:abstractNum>
  <w:abstractNum w:abstractNumId="169" w15:restartNumberingAfterBreak="0">
    <w:nsid w:val="4DE05AB0"/>
    <w:multiLevelType w:val="hybridMultilevel"/>
    <w:tmpl w:val="95E27DA0"/>
    <w:lvl w:ilvl="0" w:tplc="16F653DC">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4E8A39FC"/>
    <w:multiLevelType w:val="singleLevel"/>
    <w:tmpl w:val="1BAE60CE"/>
    <w:lvl w:ilvl="0">
      <w:start w:val="1"/>
      <w:numFmt w:val="lowerLetter"/>
      <w:lvlText w:val="%1)"/>
      <w:legacy w:legacy="1" w:legacySpace="0" w:legacyIndent="283"/>
      <w:lvlJc w:val="left"/>
      <w:pPr>
        <w:ind w:left="283" w:hanging="283"/>
      </w:pPr>
    </w:lvl>
  </w:abstractNum>
  <w:abstractNum w:abstractNumId="171" w15:restartNumberingAfterBreak="0">
    <w:nsid w:val="4FC87EBF"/>
    <w:multiLevelType w:val="hybridMultilevel"/>
    <w:tmpl w:val="CC1AAE6A"/>
    <w:lvl w:ilvl="0" w:tplc="A2AAEFC0">
      <w:start w:val="22"/>
      <w:numFmt w:val="decimal"/>
      <w:lvlText w:val="%1. "/>
      <w:lvlJc w:val="right"/>
      <w:pPr>
        <w:ind w:left="360" w:hanging="360"/>
      </w:pPr>
      <w:rPr>
        <w:rFonts w:ascii="Arial" w:hAnsi="Arial" w:cs="Arial" w:hint="default"/>
        <w:b w:val="0"/>
        <w:i w:val="0"/>
        <w:caps w:val="0"/>
        <w:strike w:val="0"/>
        <w:dstrike w:val="0"/>
        <w:outline w:val="0"/>
        <w:shadow w:val="0"/>
        <w:emboss w:val="0"/>
        <w:imprint w:val="0"/>
        <w:vanish w:val="0"/>
        <w:sz w:val="20"/>
        <w:szCs w:val="20"/>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2"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4" w15:restartNumberingAfterBreak="0">
    <w:nsid w:val="517363F5"/>
    <w:multiLevelType w:val="hybridMultilevel"/>
    <w:tmpl w:val="CA467AD6"/>
    <w:lvl w:ilvl="0" w:tplc="D95C60BC">
      <w:start w:val="79"/>
      <w:numFmt w:val="decimal"/>
      <w:lvlText w:val="%1. "/>
      <w:lvlJc w:val="right"/>
      <w:pPr>
        <w:ind w:left="720" w:hanging="360"/>
      </w:pPr>
      <w:rPr>
        <w:rFonts w:ascii="Arial" w:hAnsi="Arial" w:cs="Arial" w:hint="default"/>
        <w:b w:val="0"/>
        <w:i w:val="0"/>
        <w:caps w:val="0"/>
        <w:strike w:val="0"/>
        <w:dstrike w:val="0"/>
        <w:outline w:val="0"/>
        <w:shadow w:val="0"/>
        <w:emboss w:val="0"/>
        <w:imprint w:val="0"/>
        <w:vanish w:val="0"/>
        <w:sz w:val="20"/>
        <w:szCs w:val="20"/>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52B94B87"/>
    <w:multiLevelType w:val="singleLevel"/>
    <w:tmpl w:val="4CD29AA8"/>
    <w:lvl w:ilvl="0">
      <w:start w:val="1"/>
      <w:numFmt w:val="lowerLetter"/>
      <w:lvlText w:val="%1)"/>
      <w:legacy w:legacy="1" w:legacySpace="0" w:legacyIndent="283"/>
      <w:lvlJc w:val="left"/>
      <w:pPr>
        <w:ind w:left="283" w:hanging="283"/>
      </w:pPr>
    </w:lvl>
  </w:abstractNum>
  <w:abstractNum w:abstractNumId="177" w15:restartNumberingAfterBreak="0">
    <w:nsid w:val="52C811AF"/>
    <w:multiLevelType w:val="singleLevel"/>
    <w:tmpl w:val="3920116C"/>
    <w:lvl w:ilvl="0">
      <w:start w:val="1"/>
      <w:numFmt w:val="decimal"/>
      <w:lvlText w:val="%1. "/>
      <w:legacy w:legacy="1" w:legacySpace="0" w:legacyIndent="283"/>
      <w:lvlJc w:val="left"/>
      <w:pPr>
        <w:ind w:left="283" w:hanging="283"/>
      </w:pPr>
      <w:rPr>
        <w:b w:val="0"/>
        <w:i w:val="0"/>
        <w:sz w:val="20"/>
      </w:rPr>
    </w:lvl>
  </w:abstractNum>
  <w:abstractNum w:abstractNumId="178" w15:restartNumberingAfterBreak="0">
    <w:nsid w:val="546E59C1"/>
    <w:multiLevelType w:val="hybridMultilevel"/>
    <w:tmpl w:val="1C647F0A"/>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9" w15:restartNumberingAfterBreak="0">
    <w:nsid w:val="548F32FE"/>
    <w:multiLevelType w:val="singleLevel"/>
    <w:tmpl w:val="DA5A4EFC"/>
    <w:lvl w:ilvl="0">
      <w:start w:val="2"/>
      <w:numFmt w:val="decimal"/>
      <w:lvlText w:val="5.7.5.%1. "/>
      <w:legacy w:legacy="1" w:legacySpace="0" w:legacyIndent="283"/>
      <w:lvlJc w:val="left"/>
      <w:pPr>
        <w:ind w:left="283" w:hanging="283"/>
      </w:pPr>
      <w:rPr>
        <w:b w:val="0"/>
        <w:i w:val="0"/>
        <w:sz w:val="20"/>
      </w:rPr>
    </w:lvl>
  </w:abstractNum>
  <w:abstractNum w:abstractNumId="180" w15:restartNumberingAfterBreak="0">
    <w:nsid w:val="55624FEC"/>
    <w:multiLevelType w:val="hybridMultilevel"/>
    <w:tmpl w:val="D11CA2EC"/>
    <w:lvl w:ilvl="0" w:tplc="3570625A">
      <w:start w:val="8"/>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1" w15:restartNumberingAfterBreak="0">
    <w:nsid w:val="5563778B"/>
    <w:multiLevelType w:val="hybridMultilevel"/>
    <w:tmpl w:val="E5C0BA8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558B7E70"/>
    <w:multiLevelType w:val="hybridMultilevel"/>
    <w:tmpl w:val="B510A3D8"/>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83" w15:restartNumberingAfterBreak="0">
    <w:nsid w:val="56583762"/>
    <w:multiLevelType w:val="multilevel"/>
    <w:tmpl w:val="79F067B6"/>
    <w:lvl w:ilvl="0">
      <w:start w:val="1"/>
      <w:numFmt w:val="decimal"/>
      <w:lvlText w:val="%1."/>
      <w:legacy w:legacy="1" w:legacySpace="0" w:legacyIndent="283"/>
      <w:lvlJc w:val="left"/>
      <w:pPr>
        <w:ind w:left="283" w:hanging="283"/>
      </w:pPr>
    </w:lvl>
    <w:lvl w:ilvl="1">
      <w:start w:val="2"/>
      <w:numFmt w:val="decimal"/>
      <w:isLgl/>
      <w:lvlText w:val="%1.%2."/>
      <w:lvlJc w:val="left"/>
      <w:pPr>
        <w:ind w:left="390" w:hanging="39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84" w15:restartNumberingAfterBreak="0">
    <w:nsid w:val="571E74A2"/>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185"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6" w15:restartNumberingAfterBreak="0">
    <w:nsid w:val="58575606"/>
    <w:multiLevelType w:val="singleLevel"/>
    <w:tmpl w:val="7AC0A0D2"/>
    <w:lvl w:ilvl="0">
      <w:start w:val="1"/>
      <w:numFmt w:val="lowerLetter"/>
      <w:lvlText w:val="%1)"/>
      <w:legacy w:legacy="1" w:legacySpace="0" w:legacyIndent="283"/>
      <w:lvlJc w:val="left"/>
      <w:pPr>
        <w:ind w:left="283" w:hanging="283"/>
      </w:pPr>
    </w:lvl>
  </w:abstractNum>
  <w:abstractNum w:abstractNumId="187" w15:restartNumberingAfterBreak="0">
    <w:nsid w:val="58A73EDA"/>
    <w:multiLevelType w:val="hybridMultilevel"/>
    <w:tmpl w:val="CCBAACA6"/>
    <w:lvl w:ilvl="0" w:tplc="CE9CDC2A">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189" w15:restartNumberingAfterBreak="0">
    <w:nsid w:val="5AB51961"/>
    <w:multiLevelType w:val="hybridMultilevel"/>
    <w:tmpl w:val="92B6BA90"/>
    <w:lvl w:ilvl="0" w:tplc="D7521DEE">
      <w:start w:val="1"/>
      <w:numFmt w:val="lowerLetter"/>
      <w:lvlText w:val="%1)"/>
      <w:lvlJc w:val="left"/>
      <w:pPr>
        <w:tabs>
          <w:tab w:val="num" w:pos="340"/>
        </w:tabs>
        <w:ind w:left="340" w:hanging="624"/>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0" w15:restartNumberingAfterBreak="0">
    <w:nsid w:val="5B6A36BD"/>
    <w:multiLevelType w:val="hybridMultilevel"/>
    <w:tmpl w:val="4F2825E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5B6C0B26"/>
    <w:multiLevelType w:val="hybridMultilevel"/>
    <w:tmpl w:val="B7D0171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2" w15:restartNumberingAfterBreak="0">
    <w:nsid w:val="5BF62AAC"/>
    <w:multiLevelType w:val="singleLevel"/>
    <w:tmpl w:val="F6641092"/>
    <w:lvl w:ilvl="0">
      <w:start w:val="1"/>
      <w:numFmt w:val="lowerLetter"/>
      <w:lvlText w:val="%1)"/>
      <w:legacy w:legacy="1" w:legacySpace="0" w:legacyIndent="283"/>
      <w:lvlJc w:val="left"/>
      <w:pPr>
        <w:ind w:left="567" w:hanging="283"/>
      </w:pPr>
    </w:lvl>
  </w:abstractNum>
  <w:abstractNum w:abstractNumId="193" w15:restartNumberingAfterBreak="0">
    <w:nsid w:val="5C224302"/>
    <w:multiLevelType w:val="hybridMultilevel"/>
    <w:tmpl w:val="CCDA5DB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4" w15:restartNumberingAfterBreak="0">
    <w:nsid w:val="5D820A2A"/>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195"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6" w15:restartNumberingAfterBreak="0">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7" w15:restartNumberingAfterBreak="0">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98"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199" w15:restartNumberingAfterBreak="0">
    <w:nsid w:val="5F8B132F"/>
    <w:multiLevelType w:val="hybridMultilevel"/>
    <w:tmpl w:val="271CB0A0"/>
    <w:lvl w:ilvl="0" w:tplc="04150001">
      <w:start w:val="1"/>
      <w:numFmt w:val="lowerLetter"/>
      <w:lvlText w:val="%1)"/>
      <w:lvlJc w:val="left"/>
      <w:pPr>
        <w:tabs>
          <w:tab w:val="num" w:pos="340"/>
        </w:tabs>
        <w:ind w:left="340" w:hanging="340"/>
      </w:p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00" w15:restartNumberingAfterBreak="0">
    <w:nsid w:val="605605A8"/>
    <w:multiLevelType w:val="singleLevel"/>
    <w:tmpl w:val="C7AA3822"/>
    <w:lvl w:ilvl="0">
      <w:start w:val="1"/>
      <w:numFmt w:val="lowerLetter"/>
      <w:lvlText w:val="%1)"/>
      <w:legacy w:legacy="1" w:legacySpace="0" w:legacyIndent="283"/>
      <w:lvlJc w:val="left"/>
      <w:pPr>
        <w:ind w:left="283" w:hanging="283"/>
      </w:pPr>
    </w:lvl>
  </w:abstractNum>
  <w:abstractNum w:abstractNumId="201" w15:restartNumberingAfterBreak="0">
    <w:nsid w:val="605856F4"/>
    <w:multiLevelType w:val="singleLevel"/>
    <w:tmpl w:val="BEA43E1E"/>
    <w:lvl w:ilvl="0">
      <w:start w:val="1"/>
      <w:numFmt w:val="lowerLetter"/>
      <w:lvlText w:val="(%1)"/>
      <w:legacy w:legacy="1" w:legacySpace="0" w:legacyIndent="283"/>
      <w:lvlJc w:val="left"/>
      <w:pPr>
        <w:ind w:left="283" w:hanging="283"/>
      </w:pPr>
    </w:lvl>
  </w:abstractNum>
  <w:abstractNum w:abstractNumId="202"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3"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4" w15:restartNumberingAfterBreak="0">
    <w:nsid w:val="613465A4"/>
    <w:multiLevelType w:val="singleLevel"/>
    <w:tmpl w:val="F6641092"/>
    <w:lvl w:ilvl="0">
      <w:start w:val="1"/>
      <w:numFmt w:val="lowerLetter"/>
      <w:lvlText w:val="%1)"/>
      <w:legacy w:legacy="1" w:legacySpace="0" w:legacyIndent="283"/>
      <w:lvlJc w:val="left"/>
      <w:pPr>
        <w:ind w:left="283" w:hanging="283"/>
      </w:pPr>
    </w:lvl>
  </w:abstractNum>
  <w:abstractNum w:abstractNumId="205" w15:restartNumberingAfterBreak="0">
    <w:nsid w:val="61583658"/>
    <w:multiLevelType w:val="singleLevel"/>
    <w:tmpl w:val="BB0EC1A2"/>
    <w:lvl w:ilvl="0">
      <w:start w:val="1"/>
      <w:numFmt w:val="decimal"/>
      <w:lvlText w:val="1.4.%1. "/>
      <w:legacy w:legacy="1" w:legacySpace="0" w:legacyIndent="283"/>
      <w:lvlJc w:val="left"/>
      <w:pPr>
        <w:ind w:left="283" w:hanging="283"/>
      </w:pPr>
      <w:rPr>
        <w:rFonts w:ascii="Arial" w:hAnsi="Arial" w:cs="Arial" w:hint="default"/>
        <w:b/>
        <w:i w:val="0"/>
        <w:strike w:val="0"/>
        <w:dstrike w:val="0"/>
        <w:sz w:val="20"/>
        <w:u w:val="none"/>
        <w:effect w:val="none"/>
      </w:rPr>
    </w:lvl>
  </w:abstractNum>
  <w:abstractNum w:abstractNumId="206" w15:restartNumberingAfterBreak="0">
    <w:nsid w:val="61A2500F"/>
    <w:multiLevelType w:val="singleLevel"/>
    <w:tmpl w:val="3C0C0796"/>
    <w:lvl w:ilvl="0">
      <w:start w:val="5"/>
      <w:numFmt w:val="decimal"/>
      <w:lvlText w:val="5.7.%1. "/>
      <w:legacy w:legacy="1" w:legacySpace="0" w:legacyIndent="283"/>
      <w:lvlJc w:val="left"/>
      <w:pPr>
        <w:ind w:left="283" w:hanging="283"/>
      </w:pPr>
      <w:rPr>
        <w:b/>
        <w:i w:val="0"/>
        <w:sz w:val="20"/>
      </w:rPr>
    </w:lvl>
  </w:abstractNum>
  <w:abstractNum w:abstractNumId="207"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8" w15:restartNumberingAfterBreak="0">
    <w:nsid w:val="62E7082F"/>
    <w:multiLevelType w:val="singleLevel"/>
    <w:tmpl w:val="5E9CE3F4"/>
    <w:lvl w:ilvl="0">
      <w:start w:val="14"/>
      <w:numFmt w:val="decimal"/>
      <w:lvlText w:val="%1."/>
      <w:legacy w:legacy="1" w:legacySpace="0" w:legacyIndent="283"/>
      <w:lvlJc w:val="left"/>
      <w:pPr>
        <w:ind w:left="283" w:hanging="283"/>
      </w:pPr>
    </w:lvl>
  </w:abstractNum>
  <w:abstractNum w:abstractNumId="209" w15:restartNumberingAfterBreak="0">
    <w:nsid w:val="63DD6570"/>
    <w:multiLevelType w:val="hybridMultilevel"/>
    <w:tmpl w:val="8EE0A2A2"/>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0" w15:restartNumberingAfterBreak="0">
    <w:nsid w:val="64236C4C"/>
    <w:multiLevelType w:val="hybridMultilevel"/>
    <w:tmpl w:val="E7C297BA"/>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1" w15:restartNumberingAfterBreak="0">
    <w:nsid w:val="642F2D97"/>
    <w:multiLevelType w:val="singleLevel"/>
    <w:tmpl w:val="8F787822"/>
    <w:lvl w:ilvl="0">
      <w:start w:val="1"/>
      <w:numFmt w:val="lowerLetter"/>
      <w:lvlText w:val="%1)"/>
      <w:legacy w:legacy="1" w:legacySpace="0" w:legacyIndent="283"/>
      <w:lvlJc w:val="left"/>
      <w:pPr>
        <w:ind w:left="283" w:hanging="283"/>
      </w:pPr>
    </w:lvl>
  </w:abstractNum>
  <w:abstractNum w:abstractNumId="212" w15:restartNumberingAfterBreak="0">
    <w:nsid w:val="64F30EA2"/>
    <w:multiLevelType w:val="multilevel"/>
    <w:tmpl w:val="2F5C4C2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13" w15:restartNumberingAfterBreak="0">
    <w:nsid w:val="653871B7"/>
    <w:multiLevelType w:val="hybridMultilevel"/>
    <w:tmpl w:val="9EE6517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4" w15:restartNumberingAfterBreak="0">
    <w:nsid w:val="65CA4C8C"/>
    <w:multiLevelType w:val="hybridMultilevel"/>
    <w:tmpl w:val="AA5C379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5" w15:restartNumberingAfterBreak="0">
    <w:nsid w:val="6666319A"/>
    <w:multiLevelType w:val="hybridMultilevel"/>
    <w:tmpl w:val="50BCC3E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16" w15:restartNumberingAfterBreak="0">
    <w:nsid w:val="67BB4DBA"/>
    <w:multiLevelType w:val="hybridMultilevel"/>
    <w:tmpl w:val="5D9A5BD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17" w15:restartNumberingAfterBreak="0">
    <w:nsid w:val="68304E90"/>
    <w:multiLevelType w:val="hybridMultilevel"/>
    <w:tmpl w:val="931E7EC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8" w15:restartNumberingAfterBreak="0">
    <w:nsid w:val="683F12C0"/>
    <w:multiLevelType w:val="hybridMultilevel"/>
    <w:tmpl w:val="0C3CD356"/>
    <w:lvl w:ilvl="0" w:tplc="374498D6">
      <w:start w:val="2"/>
      <w:numFmt w:val="bullet"/>
      <w:lvlText w:val="-"/>
      <w:lvlJc w:val="left"/>
      <w:pPr>
        <w:ind w:left="2627" w:hanging="360"/>
      </w:pPr>
      <w:rPr>
        <w:rFonts w:ascii="Times New Roman" w:hAnsi="Times New Roman" w:cs="Times New Roman" w:hint="default"/>
      </w:rPr>
    </w:lvl>
    <w:lvl w:ilvl="1" w:tplc="F2E2744E">
      <w:start w:val="7"/>
      <w:numFmt w:val="bullet"/>
      <w:lvlText w:val="-"/>
      <w:lvlJc w:val="left"/>
      <w:pPr>
        <w:tabs>
          <w:tab w:val="num" w:pos="3347"/>
        </w:tabs>
        <w:ind w:left="3347" w:hanging="360"/>
      </w:pPr>
      <w:rPr>
        <w:rFonts w:ascii="Times New Roman" w:eastAsia="Times New Roman" w:hAnsi="Times New Roman" w:cs="Times New Roman" w:hint="default"/>
      </w:rPr>
    </w:lvl>
    <w:lvl w:ilvl="2" w:tplc="04150005" w:tentative="1">
      <w:start w:val="1"/>
      <w:numFmt w:val="bullet"/>
      <w:lvlText w:val=""/>
      <w:lvlJc w:val="left"/>
      <w:pPr>
        <w:ind w:left="4067" w:hanging="360"/>
      </w:pPr>
      <w:rPr>
        <w:rFonts w:ascii="Wingdings" w:hAnsi="Wingdings" w:hint="default"/>
      </w:rPr>
    </w:lvl>
    <w:lvl w:ilvl="3" w:tplc="04150001" w:tentative="1">
      <w:start w:val="1"/>
      <w:numFmt w:val="bullet"/>
      <w:lvlText w:val=""/>
      <w:lvlJc w:val="left"/>
      <w:pPr>
        <w:ind w:left="4787" w:hanging="360"/>
      </w:pPr>
      <w:rPr>
        <w:rFonts w:ascii="Symbol" w:hAnsi="Symbol" w:hint="default"/>
      </w:rPr>
    </w:lvl>
    <w:lvl w:ilvl="4" w:tplc="04150003" w:tentative="1">
      <w:start w:val="1"/>
      <w:numFmt w:val="bullet"/>
      <w:lvlText w:val="o"/>
      <w:lvlJc w:val="left"/>
      <w:pPr>
        <w:ind w:left="5507" w:hanging="360"/>
      </w:pPr>
      <w:rPr>
        <w:rFonts w:ascii="Courier New" w:hAnsi="Courier New" w:cs="Courier New" w:hint="default"/>
      </w:rPr>
    </w:lvl>
    <w:lvl w:ilvl="5" w:tplc="04150005" w:tentative="1">
      <w:start w:val="1"/>
      <w:numFmt w:val="bullet"/>
      <w:lvlText w:val=""/>
      <w:lvlJc w:val="left"/>
      <w:pPr>
        <w:ind w:left="6227" w:hanging="360"/>
      </w:pPr>
      <w:rPr>
        <w:rFonts w:ascii="Wingdings" w:hAnsi="Wingdings" w:hint="default"/>
      </w:rPr>
    </w:lvl>
    <w:lvl w:ilvl="6" w:tplc="04150001" w:tentative="1">
      <w:start w:val="1"/>
      <w:numFmt w:val="bullet"/>
      <w:lvlText w:val=""/>
      <w:lvlJc w:val="left"/>
      <w:pPr>
        <w:ind w:left="6947" w:hanging="360"/>
      </w:pPr>
      <w:rPr>
        <w:rFonts w:ascii="Symbol" w:hAnsi="Symbol" w:hint="default"/>
      </w:rPr>
    </w:lvl>
    <w:lvl w:ilvl="7" w:tplc="04150003" w:tentative="1">
      <w:start w:val="1"/>
      <w:numFmt w:val="bullet"/>
      <w:lvlText w:val="o"/>
      <w:lvlJc w:val="left"/>
      <w:pPr>
        <w:ind w:left="7667" w:hanging="360"/>
      </w:pPr>
      <w:rPr>
        <w:rFonts w:ascii="Courier New" w:hAnsi="Courier New" w:cs="Courier New" w:hint="default"/>
      </w:rPr>
    </w:lvl>
    <w:lvl w:ilvl="8" w:tplc="04150005" w:tentative="1">
      <w:start w:val="1"/>
      <w:numFmt w:val="bullet"/>
      <w:lvlText w:val=""/>
      <w:lvlJc w:val="left"/>
      <w:pPr>
        <w:ind w:left="8387" w:hanging="360"/>
      </w:pPr>
      <w:rPr>
        <w:rFonts w:ascii="Wingdings" w:hAnsi="Wingdings" w:hint="default"/>
      </w:rPr>
    </w:lvl>
  </w:abstractNum>
  <w:abstractNum w:abstractNumId="219"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0"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1" w15:restartNumberingAfterBreak="0">
    <w:nsid w:val="68C7717F"/>
    <w:multiLevelType w:val="hybridMultilevel"/>
    <w:tmpl w:val="A5F066D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22" w15:restartNumberingAfterBreak="0">
    <w:nsid w:val="68DE68B3"/>
    <w:multiLevelType w:val="hybridMultilevel"/>
    <w:tmpl w:val="B7805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23"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4" w15:restartNumberingAfterBreak="0">
    <w:nsid w:val="690127D7"/>
    <w:multiLevelType w:val="singleLevel"/>
    <w:tmpl w:val="2416E488"/>
    <w:lvl w:ilvl="0">
      <w:start w:val="1"/>
      <w:numFmt w:val="decimal"/>
      <w:lvlText w:val="6.2.%1. "/>
      <w:legacy w:legacy="1" w:legacySpace="0" w:legacyIndent="283"/>
      <w:lvlJc w:val="left"/>
      <w:pPr>
        <w:ind w:left="283" w:hanging="283"/>
      </w:pPr>
      <w:rPr>
        <w:rFonts w:ascii="Times New Roman" w:hAnsi="Times New Roman" w:cs="Times New Roman" w:hint="default"/>
        <w:b/>
        <w:i w:val="0"/>
        <w:sz w:val="20"/>
        <w:u w:val="none"/>
      </w:rPr>
    </w:lvl>
  </w:abstractNum>
  <w:abstractNum w:abstractNumId="225" w15:restartNumberingAfterBreak="0">
    <w:nsid w:val="6A271F7D"/>
    <w:multiLevelType w:val="hybridMultilevel"/>
    <w:tmpl w:val="57C6C31C"/>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6" w15:restartNumberingAfterBreak="0">
    <w:nsid w:val="6A2B4A3E"/>
    <w:multiLevelType w:val="hybridMultilevel"/>
    <w:tmpl w:val="04A0CDC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7"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8" w15:restartNumberingAfterBreak="0">
    <w:nsid w:val="6A8718EF"/>
    <w:multiLevelType w:val="hybridMultilevel"/>
    <w:tmpl w:val="7D50F170"/>
    <w:lvl w:ilvl="0" w:tplc="A1F01430">
      <w:start w:val="1"/>
      <w:numFmt w:val="decimal"/>
      <w:lvlText w:val="%1)"/>
      <w:lvlJc w:val="left"/>
      <w:pPr>
        <w:tabs>
          <w:tab w:val="num" w:pos="720"/>
        </w:tabs>
        <w:ind w:left="720" w:hanging="360"/>
      </w:pPr>
      <w:rPr>
        <w:rFonts w:ascii="Times New Roman" w:hAnsi="Times New Roman" w:cs="Times New Roman" w:hint="default"/>
        <w:b w:val="0"/>
        <w:i w:val="0"/>
        <w:sz w:val="20"/>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9" w15:restartNumberingAfterBreak="0">
    <w:nsid w:val="6AB43CAF"/>
    <w:multiLevelType w:val="hybridMultilevel"/>
    <w:tmpl w:val="7702205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0" w15:restartNumberingAfterBreak="0">
    <w:nsid w:val="6B5C7402"/>
    <w:multiLevelType w:val="hybridMultilevel"/>
    <w:tmpl w:val="8D6E48A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1" w15:restartNumberingAfterBreak="0">
    <w:nsid w:val="6C1C3C8E"/>
    <w:multiLevelType w:val="hybridMultilevel"/>
    <w:tmpl w:val="8244D888"/>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2"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6C7764B1"/>
    <w:multiLevelType w:val="hybridMultilevel"/>
    <w:tmpl w:val="5AA6EE7E"/>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35" w15:restartNumberingAfterBreak="0">
    <w:nsid w:val="6D3E3935"/>
    <w:multiLevelType w:val="hybridMultilevel"/>
    <w:tmpl w:val="D1F0758C"/>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1">
      <w:start w:val="1"/>
      <w:numFmt w:val="bullet"/>
      <w:lvlText w:val=""/>
      <w:lvlJc w:val="left"/>
      <w:pPr>
        <w:tabs>
          <w:tab w:val="num" w:pos="1724"/>
        </w:tabs>
        <w:ind w:left="1724" w:hanging="360"/>
      </w:pPr>
      <w:rPr>
        <w:rFonts w:ascii="Symbol" w:hAnsi="Symbol"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36" w15:restartNumberingAfterBreak="0">
    <w:nsid w:val="6D756C40"/>
    <w:multiLevelType w:val="singleLevel"/>
    <w:tmpl w:val="6860B2C0"/>
    <w:lvl w:ilvl="0">
      <w:start w:val="4"/>
      <w:numFmt w:val="decimal"/>
      <w:lvlText w:val="%1."/>
      <w:legacy w:legacy="1" w:legacySpace="57" w:legacyIndent="340"/>
      <w:lvlJc w:val="center"/>
      <w:pPr>
        <w:ind w:left="340" w:hanging="340"/>
      </w:pPr>
    </w:lvl>
  </w:abstractNum>
  <w:abstractNum w:abstractNumId="237" w15:restartNumberingAfterBreak="0">
    <w:nsid w:val="6DB919B5"/>
    <w:multiLevelType w:val="singleLevel"/>
    <w:tmpl w:val="BEA43E1E"/>
    <w:lvl w:ilvl="0">
      <w:start w:val="1"/>
      <w:numFmt w:val="lowerLetter"/>
      <w:lvlText w:val="(%1)"/>
      <w:legacy w:legacy="1" w:legacySpace="0" w:legacyIndent="283"/>
      <w:lvlJc w:val="left"/>
      <w:pPr>
        <w:ind w:left="283" w:hanging="283"/>
      </w:pPr>
    </w:lvl>
  </w:abstractNum>
  <w:abstractNum w:abstractNumId="238"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9"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0" w15:restartNumberingAfterBreak="0">
    <w:nsid w:val="6F170E59"/>
    <w:multiLevelType w:val="singleLevel"/>
    <w:tmpl w:val="EE64348A"/>
    <w:lvl w:ilvl="0">
      <w:start w:val="1"/>
      <w:numFmt w:val="lowerLetter"/>
      <w:lvlText w:val="%1)"/>
      <w:legacy w:legacy="1" w:legacySpace="0" w:legacyIndent="283"/>
      <w:lvlJc w:val="left"/>
      <w:pPr>
        <w:ind w:left="283" w:hanging="283"/>
      </w:pPr>
    </w:lvl>
  </w:abstractNum>
  <w:abstractNum w:abstractNumId="241" w15:restartNumberingAfterBreak="0">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2" w15:restartNumberingAfterBreak="0">
    <w:nsid w:val="718D70E8"/>
    <w:multiLevelType w:val="hybridMultilevel"/>
    <w:tmpl w:val="958EF4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3" w15:restartNumberingAfterBreak="0">
    <w:nsid w:val="71A878AF"/>
    <w:multiLevelType w:val="singleLevel"/>
    <w:tmpl w:val="F6641092"/>
    <w:lvl w:ilvl="0">
      <w:start w:val="1"/>
      <w:numFmt w:val="lowerLetter"/>
      <w:lvlText w:val="%1)"/>
      <w:legacy w:legacy="1" w:legacySpace="0" w:legacyIndent="283"/>
      <w:lvlJc w:val="left"/>
      <w:pPr>
        <w:ind w:left="283" w:hanging="283"/>
      </w:pPr>
    </w:lvl>
  </w:abstractNum>
  <w:abstractNum w:abstractNumId="244"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5" w15:restartNumberingAfterBreak="0">
    <w:nsid w:val="723A7496"/>
    <w:multiLevelType w:val="singleLevel"/>
    <w:tmpl w:val="C82E0A64"/>
    <w:lvl w:ilvl="0">
      <w:start w:val="1"/>
      <w:numFmt w:val="lowerLetter"/>
      <w:lvlText w:val="%1)"/>
      <w:legacy w:legacy="1" w:legacySpace="0" w:legacyIndent="283"/>
      <w:lvlJc w:val="left"/>
      <w:pPr>
        <w:ind w:left="283" w:hanging="283"/>
      </w:pPr>
    </w:lvl>
  </w:abstractNum>
  <w:abstractNum w:abstractNumId="246" w15:restartNumberingAfterBreak="0">
    <w:nsid w:val="724056F9"/>
    <w:multiLevelType w:val="hybridMultilevel"/>
    <w:tmpl w:val="ACC6DC2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7" w15:restartNumberingAfterBreak="0">
    <w:nsid w:val="72D93CF2"/>
    <w:multiLevelType w:val="hybridMultilevel"/>
    <w:tmpl w:val="B47C90FA"/>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8"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9" w15:restartNumberingAfterBreak="0">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0" w15:restartNumberingAfterBreak="0">
    <w:nsid w:val="746109F3"/>
    <w:multiLevelType w:val="hybridMultilevel"/>
    <w:tmpl w:val="B03C7936"/>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1" w15:restartNumberingAfterBreak="0">
    <w:nsid w:val="756E5223"/>
    <w:multiLevelType w:val="hybridMultilevel"/>
    <w:tmpl w:val="B46E5782"/>
    <w:lvl w:ilvl="0" w:tplc="686EDFF4">
      <w:start w:val="1"/>
      <w:numFmt w:val="bullet"/>
      <w:lvlText w:val="–"/>
      <w:lvlJc w:val="left"/>
      <w:pPr>
        <w:tabs>
          <w:tab w:val="num" w:pos="284"/>
        </w:tabs>
        <w:ind w:left="284" w:hanging="284"/>
      </w:pPr>
      <w:rPr>
        <w:rFonts w:ascii="Times New Roman" w:hAnsi="Times New Roman" w:cs="Times New Roman" w:hint="default"/>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52" w15:restartNumberingAfterBreak="0">
    <w:nsid w:val="765E53FC"/>
    <w:multiLevelType w:val="hybridMultilevel"/>
    <w:tmpl w:val="41BE7FD6"/>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3" w15:restartNumberingAfterBreak="0">
    <w:nsid w:val="7662675F"/>
    <w:multiLevelType w:val="singleLevel"/>
    <w:tmpl w:val="7AC0A0D2"/>
    <w:lvl w:ilvl="0">
      <w:start w:val="1"/>
      <w:numFmt w:val="lowerLetter"/>
      <w:lvlText w:val="%1)"/>
      <w:legacy w:legacy="1" w:legacySpace="0" w:legacyIndent="283"/>
      <w:lvlJc w:val="left"/>
      <w:pPr>
        <w:ind w:left="283" w:hanging="283"/>
      </w:pPr>
    </w:lvl>
  </w:abstractNum>
  <w:abstractNum w:abstractNumId="254" w15:restartNumberingAfterBreak="0">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5" w15:restartNumberingAfterBreak="0">
    <w:nsid w:val="76AC64D1"/>
    <w:multiLevelType w:val="hybridMultilevel"/>
    <w:tmpl w:val="DE2CDEA8"/>
    <w:lvl w:ilvl="0" w:tplc="8162ED48">
      <w:start w:val="1"/>
      <w:numFmt w:val="bullet"/>
      <w:lvlText w:val="–"/>
      <w:lvlJc w:val="left"/>
      <w:pPr>
        <w:tabs>
          <w:tab w:val="num" w:pos="391"/>
        </w:tabs>
        <w:ind w:left="391" w:hanging="340"/>
      </w:pPr>
      <w:rPr>
        <w:rFonts w:ascii="Times New Roman" w:hAnsi="Times New Roman" w:cs="Times New Roman" w:hint="default"/>
      </w:rPr>
    </w:lvl>
    <w:lvl w:ilvl="1" w:tplc="04150003" w:tentative="1">
      <w:start w:val="1"/>
      <w:numFmt w:val="bullet"/>
      <w:lvlText w:val="o"/>
      <w:lvlJc w:val="left"/>
      <w:pPr>
        <w:tabs>
          <w:tab w:val="num" w:pos="1491"/>
        </w:tabs>
        <w:ind w:left="1491" w:hanging="360"/>
      </w:pPr>
      <w:rPr>
        <w:rFonts w:ascii="Courier New" w:hAnsi="Courier New" w:cs="Courier New" w:hint="default"/>
      </w:rPr>
    </w:lvl>
    <w:lvl w:ilvl="2" w:tplc="04150005" w:tentative="1">
      <w:start w:val="1"/>
      <w:numFmt w:val="bullet"/>
      <w:lvlText w:val=""/>
      <w:lvlJc w:val="left"/>
      <w:pPr>
        <w:tabs>
          <w:tab w:val="num" w:pos="2211"/>
        </w:tabs>
        <w:ind w:left="2211" w:hanging="360"/>
      </w:pPr>
      <w:rPr>
        <w:rFonts w:ascii="Wingdings" w:hAnsi="Wingdings" w:hint="default"/>
      </w:rPr>
    </w:lvl>
    <w:lvl w:ilvl="3" w:tplc="04150001" w:tentative="1">
      <w:start w:val="1"/>
      <w:numFmt w:val="bullet"/>
      <w:lvlText w:val=""/>
      <w:lvlJc w:val="left"/>
      <w:pPr>
        <w:tabs>
          <w:tab w:val="num" w:pos="2931"/>
        </w:tabs>
        <w:ind w:left="2931" w:hanging="360"/>
      </w:pPr>
      <w:rPr>
        <w:rFonts w:ascii="Symbol" w:hAnsi="Symbol" w:hint="default"/>
      </w:rPr>
    </w:lvl>
    <w:lvl w:ilvl="4" w:tplc="04150003" w:tentative="1">
      <w:start w:val="1"/>
      <w:numFmt w:val="bullet"/>
      <w:lvlText w:val="o"/>
      <w:lvlJc w:val="left"/>
      <w:pPr>
        <w:tabs>
          <w:tab w:val="num" w:pos="3651"/>
        </w:tabs>
        <w:ind w:left="3651" w:hanging="360"/>
      </w:pPr>
      <w:rPr>
        <w:rFonts w:ascii="Courier New" w:hAnsi="Courier New" w:cs="Courier New" w:hint="default"/>
      </w:rPr>
    </w:lvl>
    <w:lvl w:ilvl="5" w:tplc="04150005" w:tentative="1">
      <w:start w:val="1"/>
      <w:numFmt w:val="bullet"/>
      <w:lvlText w:val=""/>
      <w:lvlJc w:val="left"/>
      <w:pPr>
        <w:tabs>
          <w:tab w:val="num" w:pos="4371"/>
        </w:tabs>
        <w:ind w:left="4371" w:hanging="360"/>
      </w:pPr>
      <w:rPr>
        <w:rFonts w:ascii="Wingdings" w:hAnsi="Wingdings" w:hint="default"/>
      </w:rPr>
    </w:lvl>
    <w:lvl w:ilvl="6" w:tplc="04150001" w:tentative="1">
      <w:start w:val="1"/>
      <w:numFmt w:val="bullet"/>
      <w:lvlText w:val=""/>
      <w:lvlJc w:val="left"/>
      <w:pPr>
        <w:tabs>
          <w:tab w:val="num" w:pos="5091"/>
        </w:tabs>
        <w:ind w:left="5091" w:hanging="360"/>
      </w:pPr>
      <w:rPr>
        <w:rFonts w:ascii="Symbol" w:hAnsi="Symbol" w:hint="default"/>
      </w:rPr>
    </w:lvl>
    <w:lvl w:ilvl="7" w:tplc="04150003" w:tentative="1">
      <w:start w:val="1"/>
      <w:numFmt w:val="bullet"/>
      <w:lvlText w:val="o"/>
      <w:lvlJc w:val="left"/>
      <w:pPr>
        <w:tabs>
          <w:tab w:val="num" w:pos="5811"/>
        </w:tabs>
        <w:ind w:left="5811" w:hanging="360"/>
      </w:pPr>
      <w:rPr>
        <w:rFonts w:ascii="Courier New" w:hAnsi="Courier New" w:cs="Courier New" w:hint="default"/>
      </w:rPr>
    </w:lvl>
    <w:lvl w:ilvl="8" w:tplc="04150005" w:tentative="1">
      <w:start w:val="1"/>
      <w:numFmt w:val="bullet"/>
      <w:lvlText w:val=""/>
      <w:lvlJc w:val="left"/>
      <w:pPr>
        <w:tabs>
          <w:tab w:val="num" w:pos="6531"/>
        </w:tabs>
        <w:ind w:left="6531" w:hanging="360"/>
      </w:pPr>
      <w:rPr>
        <w:rFonts w:ascii="Wingdings" w:hAnsi="Wingdings" w:hint="default"/>
      </w:rPr>
    </w:lvl>
  </w:abstractNum>
  <w:abstractNum w:abstractNumId="256" w15:restartNumberingAfterBreak="0">
    <w:nsid w:val="76D479AD"/>
    <w:multiLevelType w:val="hybridMultilevel"/>
    <w:tmpl w:val="18E2E386"/>
    <w:lvl w:ilvl="0" w:tplc="DB88B3E0">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7" w15:restartNumberingAfterBreak="0">
    <w:nsid w:val="77043674"/>
    <w:multiLevelType w:val="singleLevel"/>
    <w:tmpl w:val="988CB7B6"/>
    <w:lvl w:ilvl="0">
      <w:start w:val="2"/>
      <w:numFmt w:val="lowerLetter"/>
      <w:lvlText w:val="%1)"/>
      <w:legacy w:legacy="1" w:legacySpace="0" w:legacyIndent="283"/>
      <w:lvlJc w:val="left"/>
      <w:pPr>
        <w:ind w:left="283" w:hanging="283"/>
      </w:pPr>
    </w:lvl>
  </w:abstractNum>
  <w:abstractNum w:abstractNumId="258"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9" w15:restartNumberingAfterBreak="0">
    <w:nsid w:val="78243CE8"/>
    <w:multiLevelType w:val="hybridMultilevel"/>
    <w:tmpl w:val="995CFD6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0" w15:restartNumberingAfterBreak="0">
    <w:nsid w:val="79143809"/>
    <w:multiLevelType w:val="singleLevel"/>
    <w:tmpl w:val="D93C4CC8"/>
    <w:lvl w:ilvl="0">
      <w:start w:val="3"/>
      <w:numFmt w:val="decimal"/>
      <w:lvlText w:val="5.7.%1. "/>
      <w:legacy w:legacy="1" w:legacySpace="0" w:legacyIndent="283"/>
      <w:lvlJc w:val="left"/>
      <w:pPr>
        <w:ind w:left="283" w:hanging="283"/>
      </w:pPr>
      <w:rPr>
        <w:b/>
        <w:i w:val="0"/>
        <w:sz w:val="20"/>
      </w:rPr>
    </w:lvl>
  </w:abstractNum>
  <w:abstractNum w:abstractNumId="261" w15:restartNumberingAfterBreak="0">
    <w:nsid w:val="79B730E8"/>
    <w:multiLevelType w:val="singleLevel"/>
    <w:tmpl w:val="875094E2"/>
    <w:lvl w:ilvl="0">
      <w:start w:val="1"/>
      <w:numFmt w:val="bullet"/>
      <w:pStyle w:val="Bullet1points"/>
      <w:lvlText w:val=""/>
      <w:lvlJc w:val="left"/>
      <w:pPr>
        <w:tabs>
          <w:tab w:val="num" w:pos="360"/>
        </w:tabs>
        <w:ind w:left="360" w:hanging="360"/>
      </w:pPr>
      <w:rPr>
        <w:rFonts w:ascii="Symbol" w:hAnsi="Symbol" w:hint="default"/>
        <w:effect w:val="none"/>
      </w:rPr>
    </w:lvl>
  </w:abstractNum>
  <w:abstractNum w:abstractNumId="262" w15:restartNumberingAfterBreak="0">
    <w:nsid w:val="79E76649"/>
    <w:multiLevelType w:val="hybridMultilevel"/>
    <w:tmpl w:val="AD04E02C"/>
    <w:lvl w:ilvl="0" w:tplc="DF0C7486">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3" w15:restartNumberingAfterBreak="0">
    <w:nsid w:val="7AB374BE"/>
    <w:multiLevelType w:val="hybridMultilevel"/>
    <w:tmpl w:val="F0D84582"/>
    <w:lvl w:ilvl="0" w:tplc="BE1CE588">
      <w:start w:val="22"/>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4" w15:restartNumberingAfterBreak="0">
    <w:nsid w:val="7AB950A2"/>
    <w:multiLevelType w:val="singleLevel"/>
    <w:tmpl w:val="4CBE8702"/>
    <w:lvl w:ilvl="0">
      <w:start w:val="4"/>
      <w:numFmt w:val="decimal"/>
      <w:lvlText w:val="5.7.%1. "/>
      <w:legacy w:legacy="1" w:legacySpace="0" w:legacyIndent="283"/>
      <w:lvlJc w:val="left"/>
      <w:pPr>
        <w:ind w:left="283" w:hanging="283"/>
      </w:pPr>
      <w:rPr>
        <w:b/>
        <w:i w:val="0"/>
        <w:sz w:val="20"/>
      </w:rPr>
    </w:lvl>
  </w:abstractNum>
  <w:abstractNum w:abstractNumId="265" w15:restartNumberingAfterBreak="0">
    <w:nsid w:val="7B356884"/>
    <w:multiLevelType w:val="hybridMultilevel"/>
    <w:tmpl w:val="99DE7C70"/>
    <w:lvl w:ilvl="0" w:tplc="0010D05A">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6"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267" w15:restartNumberingAfterBreak="0">
    <w:nsid w:val="7B7B5F5F"/>
    <w:multiLevelType w:val="hybridMultilevel"/>
    <w:tmpl w:val="F7AAFE4A"/>
    <w:lvl w:ilvl="0" w:tplc="6E22AC98">
      <w:start w:val="1"/>
      <w:numFmt w:val="decimal"/>
      <w:lvlText w:val="%1."/>
      <w:lvlJc w:val="left"/>
      <w:pPr>
        <w:tabs>
          <w:tab w:val="num" w:pos="397"/>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8"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69" w15:restartNumberingAfterBreak="0">
    <w:nsid w:val="7B98403B"/>
    <w:multiLevelType w:val="hybridMultilevel"/>
    <w:tmpl w:val="BE425E8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0" w15:restartNumberingAfterBreak="0">
    <w:nsid w:val="7BB92D9A"/>
    <w:multiLevelType w:val="singleLevel"/>
    <w:tmpl w:val="7AC0A0D2"/>
    <w:lvl w:ilvl="0">
      <w:start w:val="1"/>
      <w:numFmt w:val="lowerLetter"/>
      <w:lvlText w:val="%1)"/>
      <w:legacy w:legacy="1" w:legacySpace="0" w:legacyIndent="283"/>
      <w:lvlJc w:val="left"/>
      <w:pPr>
        <w:ind w:left="283" w:hanging="283"/>
      </w:pPr>
    </w:lvl>
  </w:abstractNum>
  <w:abstractNum w:abstractNumId="271" w15:restartNumberingAfterBreak="0">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2"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3" w15:restartNumberingAfterBreak="0">
    <w:nsid w:val="7EB95112"/>
    <w:multiLevelType w:val="singleLevel"/>
    <w:tmpl w:val="B21A1F0E"/>
    <w:lvl w:ilvl="0">
      <w:start w:val="1"/>
      <w:numFmt w:val="decimal"/>
      <w:lvlText w:val="1.3.%1. "/>
      <w:legacy w:legacy="1" w:legacySpace="0" w:legacyIndent="283"/>
      <w:lvlJc w:val="left"/>
      <w:pPr>
        <w:ind w:left="283" w:hanging="283"/>
      </w:pPr>
      <w:rPr>
        <w:rFonts w:ascii="Arial" w:hAnsi="Arial" w:cs="Arial" w:hint="default"/>
        <w:b/>
        <w:i w:val="0"/>
        <w:strike w:val="0"/>
        <w:dstrike w:val="0"/>
        <w:sz w:val="20"/>
        <w:u w:val="none"/>
        <w:effect w:val="none"/>
      </w:rPr>
    </w:lvl>
  </w:abstractNum>
  <w:abstractNum w:abstractNumId="274" w15:restartNumberingAfterBreak="0">
    <w:nsid w:val="7F7A47E5"/>
    <w:multiLevelType w:val="singleLevel"/>
    <w:tmpl w:val="97A62AD8"/>
    <w:lvl w:ilvl="0">
      <w:start w:val="1"/>
      <w:numFmt w:val="lowerLetter"/>
      <w:lvlText w:val="%1)"/>
      <w:legacy w:legacy="1" w:legacySpace="0" w:legacyIndent="283"/>
      <w:lvlJc w:val="left"/>
      <w:pPr>
        <w:ind w:left="283" w:hanging="283"/>
      </w:pPr>
    </w:lvl>
  </w:abstractNum>
  <w:abstractNum w:abstractNumId="275" w15:restartNumberingAfterBreak="0">
    <w:nsid w:val="7F7D43AE"/>
    <w:multiLevelType w:val="hybridMultilevel"/>
    <w:tmpl w:val="6EB6AC9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6" w15:restartNumberingAfterBreak="0">
    <w:nsid w:val="7FA2315D"/>
    <w:multiLevelType w:val="hybridMultilevel"/>
    <w:tmpl w:val="119E1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num w:numId="1" w16cid:durableId="1944415337">
    <w:abstractNumId w:val="4"/>
  </w:num>
  <w:num w:numId="2" w16cid:durableId="669139979">
    <w:abstractNumId w:val="19"/>
  </w:num>
  <w:num w:numId="3" w16cid:durableId="1934630412">
    <w:abstractNumId w:val="27"/>
  </w:num>
  <w:num w:numId="4" w16cid:durableId="182597504">
    <w:abstractNumId w:val="5"/>
    <w:lvlOverride w:ilvl="0">
      <w:lvl w:ilvl="0">
        <w:start w:val="1"/>
        <w:numFmt w:val="bullet"/>
        <w:lvlText w:val=""/>
        <w:legacy w:legacy="1" w:legacySpace="0" w:legacyIndent="283"/>
        <w:lvlJc w:val="left"/>
        <w:pPr>
          <w:ind w:left="283" w:hanging="283"/>
        </w:pPr>
        <w:rPr>
          <w:rFonts w:ascii="Symbol" w:hAnsi="Symbol" w:hint="default"/>
        </w:rPr>
      </w:lvl>
    </w:lvlOverride>
  </w:num>
  <w:num w:numId="5" w16cid:durableId="865289615">
    <w:abstractNumId w:val="257"/>
  </w:num>
  <w:num w:numId="6" w16cid:durableId="518390308">
    <w:abstractNumId w:val="121"/>
  </w:num>
  <w:num w:numId="7" w16cid:durableId="784427796">
    <w:abstractNumId w:val="92"/>
  </w:num>
  <w:num w:numId="8" w16cid:durableId="1926650542">
    <w:abstractNumId w:val="95"/>
  </w:num>
  <w:num w:numId="9" w16cid:durableId="1625845521">
    <w:abstractNumId w:val="11"/>
  </w:num>
  <w:num w:numId="10" w16cid:durableId="1293366067">
    <w:abstractNumId w:val="183"/>
  </w:num>
  <w:num w:numId="11" w16cid:durableId="38824836">
    <w:abstractNumId w:val="142"/>
  </w:num>
  <w:num w:numId="12" w16cid:durableId="1982808344">
    <w:abstractNumId w:val="124"/>
  </w:num>
  <w:num w:numId="13" w16cid:durableId="1481267542">
    <w:abstractNumId w:val="77"/>
  </w:num>
  <w:num w:numId="14" w16cid:durableId="871454148">
    <w:abstractNumId w:val="237"/>
  </w:num>
  <w:num w:numId="15" w16cid:durableId="1839081438">
    <w:abstractNumId w:val="138"/>
  </w:num>
  <w:num w:numId="16" w16cid:durableId="1656371855">
    <w:abstractNumId w:val="201"/>
  </w:num>
  <w:num w:numId="17" w16cid:durableId="1200585190">
    <w:abstractNumId w:val="155"/>
  </w:num>
  <w:num w:numId="18" w16cid:durableId="581794959">
    <w:abstractNumId w:val="113"/>
  </w:num>
  <w:num w:numId="19" w16cid:durableId="156920437">
    <w:abstractNumId w:val="86"/>
  </w:num>
  <w:num w:numId="20" w16cid:durableId="768936781">
    <w:abstractNumId w:val="149"/>
  </w:num>
  <w:num w:numId="21" w16cid:durableId="219175674">
    <w:abstractNumId w:val="50"/>
  </w:num>
  <w:num w:numId="22" w16cid:durableId="1280917934">
    <w:abstractNumId w:val="170"/>
  </w:num>
  <w:num w:numId="23" w16cid:durableId="670183638">
    <w:abstractNumId w:val="224"/>
  </w:num>
  <w:num w:numId="24" w16cid:durableId="703991855">
    <w:abstractNumId w:val="32"/>
  </w:num>
  <w:num w:numId="25" w16cid:durableId="1908998193">
    <w:abstractNumId w:val="32"/>
    <w:lvlOverride w:ilvl="0">
      <w:lvl w:ilvl="0">
        <w:start w:val="1"/>
        <w:numFmt w:val="decimal"/>
        <w:lvlText w:val="1.4.%1. "/>
        <w:legacy w:legacy="1" w:legacySpace="0" w:legacyIndent="283"/>
        <w:lvlJc w:val="left"/>
        <w:pPr>
          <w:ind w:left="283" w:hanging="283"/>
        </w:pPr>
        <w:rPr>
          <w:b/>
          <w:i w:val="0"/>
          <w:sz w:val="20"/>
        </w:rPr>
      </w:lvl>
    </w:lvlOverride>
  </w:num>
  <w:num w:numId="26" w16cid:durableId="113525910">
    <w:abstractNumId w:val="10"/>
  </w:num>
  <w:num w:numId="27" w16cid:durableId="1090276630">
    <w:abstractNumId w:val="5"/>
    <w:lvlOverride w:ilvl="0">
      <w:lvl w:ilvl="0">
        <w:start w:val="1"/>
        <w:numFmt w:val="bullet"/>
        <w:lvlText w:val="-"/>
        <w:legacy w:legacy="1" w:legacySpace="0" w:legacyIndent="283"/>
        <w:lvlJc w:val="left"/>
        <w:rPr>
          <w:rFonts w:ascii="Bookman Old Style" w:hAnsi="Bookman Old Style" w:hint="default"/>
          <w:sz w:val="24"/>
        </w:rPr>
      </w:lvl>
    </w:lvlOverride>
  </w:num>
  <w:num w:numId="28" w16cid:durableId="1780179985">
    <w:abstractNumId w:val="200"/>
  </w:num>
  <w:num w:numId="29" w16cid:durableId="168259625">
    <w:abstractNumId w:val="208"/>
  </w:num>
  <w:num w:numId="30" w16cid:durableId="2026319092">
    <w:abstractNumId w:val="198"/>
  </w:num>
  <w:num w:numId="31" w16cid:durableId="1127704785">
    <w:abstractNumId w:val="176"/>
  </w:num>
  <w:num w:numId="32" w16cid:durableId="1239899081">
    <w:abstractNumId w:val="118"/>
  </w:num>
  <w:num w:numId="33" w16cid:durableId="1260529188">
    <w:abstractNumId w:val="16"/>
  </w:num>
  <w:num w:numId="34" w16cid:durableId="120347070">
    <w:abstractNumId w:val="274"/>
  </w:num>
  <w:num w:numId="35" w16cid:durableId="307782724">
    <w:abstractNumId w:val="261"/>
  </w:num>
  <w:num w:numId="36" w16cid:durableId="2114350945">
    <w:abstractNumId w:val="1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178153840">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8401986">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1535344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958176144">
    <w:abstractNumId w:val="71"/>
    <w:lvlOverride w:ilvl="0">
      <w:startOverride w:val="2"/>
    </w:lvlOverride>
    <w:lvlOverride w:ilvl="1">
      <w:startOverride w:val="2"/>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403455214">
    <w:abstractNumId w:val="25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82367451">
    <w:abstractNumId w:val="34"/>
  </w:num>
  <w:num w:numId="43" w16cid:durableId="1773014374">
    <w:abstractNumId w:val="3"/>
  </w:num>
  <w:num w:numId="44" w16cid:durableId="701051741">
    <w:abstractNumId w:val="2"/>
  </w:num>
  <w:num w:numId="45" w16cid:durableId="1106510409">
    <w:abstractNumId w:val="1"/>
  </w:num>
  <w:num w:numId="46" w16cid:durableId="1651515246">
    <w:abstractNumId w:val="0"/>
  </w:num>
  <w:num w:numId="47" w16cid:durableId="891231731">
    <w:abstractNumId w:val="177"/>
  </w:num>
  <w:num w:numId="48" w16cid:durableId="240219041">
    <w:abstractNumId w:val="167"/>
  </w:num>
  <w:num w:numId="49" w16cid:durableId="733235272">
    <w:abstractNumId w:val="87"/>
  </w:num>
  <w:num w:numId="50" w16cid:durableId="1577351678">
    <w:abstractNumId w:val="192"/>
  </w:num>
  <w:num w:numId="51" w16cid:durableId="1980381267">
    <w:abstractNumId w:val="5"/>
    <w:lvlOverride w:ilvl="0">
      <w:lvl w:ilvl="0">
        <w:start w:val="1"/>
        <w:numFmt w:val="bullet"/>
        <w:lvlText w:val=""/>
        <w:legacy w:legacy="1" w:legacySpace="0" w:legacyIndent="283"/>
        <w:lvlJc w:val="left"/>
        <w:pPr>
          <w:ind w:left="619" w:hanging="283"/>
        </w:pPr>
        <w:rPr>
          <w:rFonts w:ascii="Symbol" w:hAnsi="Symbol" w:hint="default"/>
        </w:rPr>
      </w:lvl>
    </w:lvlOverride>
  </w:num>
  <w:num w:numId="52" w16cid:durableId="512302928">
    <w:abstractNumId w:val="141"/>
  </w:num>
  <w:num w:numId="53" w16cid:durableId="598417844">
    <w:abstractNumId w:val="107"/>
  </w:num>
  <w:num w:numId="54" w16cid:durableId="1910386920">
    <w:abstractNumId w:val="100"/>
  </w:num>
  <w:num w:numId="55" w16cid:durableId="2007323508">
    <w:abstractNumId w:val="139"/>
  </w:num>
  <w:num w:numId="56" w16cid:durableId="16009485">
    <w:abstractNumId w:val="243"/>
  </w:num>
  <w:num w:numId="57" w16cid:durableId="1266116843">
    <w:abstractNumId w:val="36"/>
  </w:num>
  <w:num w:numId="58" w16cid:durableId="1750158124">
    <w:abstractNumId w:val="60"/>
  </w:num>
  <w:num w:numId="59" w16cid:durableId="952789354">
    <w:abstractNumId w:val="85"/>
  </w:num>
  <w:num w:numId="60" w16cid:durableId="528841546">
    <w:abstractNumId w:val="115"/>
  </w:num>
  <w:num w:numId="61" w16cid:durableId="443421742">
    <w:abstractNumId w:val="260"/>
  </w:num>
  <w:num w:numId="62" w16cid:durableId="1059092797">
    <w:abstractNumId w:val="264"/>
  </w:num>
  <w:num w:numId="63" w16cid:durableId="537133801">
    <w:abstractNumId w:val="206"/>
  </w:num>
  <w:num w:numId="64" w16cid:durableId="1881042043">
    <w:abstractNumId w:val="136"/>
  </w:num>
  <w:num w:numId="65" w16cid:durableId="1092974445">
    <w:abstractNumId w:val="99"/>
  </w:num>
  <w:num w:numId="66" w16cid:durableId="63377709">
    <w:abstractNumId w:val="179"/>
  </w:num>
  <w:num w:numId="67" w16cid:durableId="1809323437">
    <w:abstractNumId w:val="204"/>
  </w:num>
  <w:num w:numId="68" w16cid:durableId="1730954059">
    <w:abstractNumId w:val="70"/>
  </w:num>
  <w:num w:numId="69" w16cid:durableId="2128085721">
    <w:abstractNumId w:val="33"/>
  </w:num>
  <w:num w:numId="70" w16cid:durableId="1662155175">
    <w:abstractNumId w:val="184"/>
  </w:num>
  <w:num w:numId="71" w16cid:durableId="1324316997">
    <w:abstractNumId w:val="194"/>
  </w:num>
  <w:num w:numId="72" w16cid:durableId="1038774117">
    <w:abstractNumId w:val="134"/>
  </w:num>
  <w:num w:numId="73" w16cid:durableId="938685851">
    <w:abstractNumId w:val="40"/>
  </w:num>
  <w:num w:numId="74" w16cid:durableId="525994555">
    <w:abstractNumId w:val="151"/>
  </w:num>
  <w:num w:numId="75" w16cid:durableId="455636792">
    <w:abstractNumId w:val="105"/>
  </w:num>
  <w:num w:numId="76" w16cid:durableId="277564584">
    <w:abstractNumId w:val="252"/>
  </w:num>
  <w:num w:numId="77" w16cid:durableId="453064466">
    <w:abstractNumId w:val="191"/>
  </w:num>
  <w:num w:numId="78" w16cid:durableId="1094938054">
    <w:abstractNumId w:val="267"/>
  </w:num>
  <w:num w:numId="79" w16cid:durableId="547306101">
    <w:abstractNumId w:val="111"/>
  </w:num>
  <w:num w:numId="80" w16cid:durableId="423962108">
    <w:abstractNumId w:val="251"/>
  </w:num>
  <w:num w:numId="81" w16cid:durableId="675155035">
    <w:abstractNumId w:val="199"/>
  </w:num>
  <w:num w:numId="82" w16cid:durableId="1962108717">
    <w:abstractNumId w:val="104"/>
  </w:num>
  <w:num w:numId="83" w16cid:durableId="1565070855">
    <w:abstractNumId w:val="51"/>
  </w:num>
  <w:num w:numId="84" w16cid:durableId="1844664375">
    <w:abstractNumId w:val="42"/>
  </w:num>
  <w:num w:numId="85" w16cid:durableId="500855243">
    <w:abstractNumId w:val="273"/>
  </w:num>
  <w:num w:numId="86" w16cid:durableId="2099138220">
    <w:abstractNumId w:val="273"/>
    <w:lvlOverride w:ilvl="0">
      <w:lvl w:ilvl="0">
        <w:start w:val="1"/>
        <w:numFmt w:val="decimal"/>
        <w:lvlText w:val="1.3.%1. "/>
        <w:legacy w:legacy="1" w:legacySpace="0" w:legacyIndent="283"/>
        <w:lvlJc w:val="left"/>
        <w:pPr>
          <w:ind w:left="283" w:hanging="283"/>
        </w:pPr>
        <w:rPr>
          <w:rFonts w:ascii="Arial" w:hAnsi="Arial" w:cs="Arial" w:hint="default"/>
          <w:b/>
          <w:i w:val="0"/>
          <w:strike w:val="0"/>
          <w:dstrike w:val="0"/>
          <w:sz w:val="20"/>
          <w:u w:val="none"/>
          <w:effect w:val="none"/>
        </w:rPr>
      </w:lvl>
    </w:lvlOverride>
  </w:num>
  <w:num w:numId="87" w16cid:durableId="201945593">
    <w:abstractNumId w:val="205"/>
    <w:lvlOverride w:ilvl="0">
      <w:startOverride w:val="1"/>
    </w:lvlOverride>
  </w:num>
  <w:num w:numId="88" w16cid:durableId="368651823">
    <w:abstractNumId w:val="211"/>
    <w:lvlOverride w:ilvl="0">
      <w:startOverride w:val="1"/>
    </w:lvlOverride>
  </w:num>
  <w:num w:numId="89" w16cid:durableId="994869124">
    <w:abstractNumId w:val="90"/>
    <w:lvlOverride w:ilvl="0">
      <w:startOverride w:val="1"/>
    </w:lvlOverride>
  </w:num>
  <w:num w:numId="90" w16cid:durableId="798188340">
    <w:abstractNumId w:val="152"/>
    <w:lvlOverride w:ilvl="0">
      <w:startOverride w:val="1"/>
    </w:lvlOverride>
  </w:num>
  <w:num w:numId="91" w16cid:durableId="874998618">
    <w:abstractNumId w:val="168"/>
    <w:lvlOverride w:ilvl="0">
      <w:startOverride w:val="1"/>
    </w:lvlOverride>
  </w:num>
  <w:num w:numId="92" w16cid:durableId="734164090">
    <w:abstractNumId w:val="93"/>
    <w:lvlOverride w:ilvl="0">
      <w:startOverride w:val="1"/>
    </w:lvlOverride>
  </w:num>
  <w:num w:numId="93" w16cid:durableId="812259688">
    <w:abstractNumId w:val="162"/>
  </w:num>
  <w:num w:numId="94" w16cid:durableId="1678265432">
    <w:abstractNumId w:val="6"/>
  </w:num>
  <w:num w:numId="95" w16cid:durableId="1959601290">
    <w:abstractNumId w:val="97"/>
  </w:num>
  <w:num w:numId="96" w16cid:durableId="1921519979">
    <w:abstractNumId w:val="241"/>
  </w:num>
  <w:num w:numId="97" w16cid:durableId="350837347">
    <w:abstractNumId w:val="53"/>
  </w:num>
  <w:num w:numId="98" w16cid:durableId="379944000">
    <w:abstractNumId w:val="135"/>
  </w:num>
  <w:num w:numId="99" w16cid:durableId="1297447734">
    <w:abstractNumId w:val="80"/>
  </w:num>
  <w:num w:numId="100" w16cid:durableId="1590386145">
    <w:abstractNumId w:val="150"/>
  </w:num>
  <w:num w:numId="101" w16cid:durableId="163133861">
    <w:abstractNumId w:val="44"/>
  </w:num>
  <w:num w:numId="102" w16cid:durableId="788285283">
    <w:abstractNumId w:val="59"/>
  </w:num>
  <w:num w:numId="103" w16cid:durableId="547693432">
    <w:abstractNumId w:val="15"/>
  </w:num>
  <w:num w:numId="104" w16cid:durableId="677388007">
    <w:abstractNumId w:val="56"/>
  </w:num>
  <w:num w:numId="105" w16cid:durableId="1751611954">
    <w:abstractNumId w:val="38"/>
  </w:num>
  <w:num w:numId="106" w16cid:durableId="881791428">
    <w:abstractNumId w:val="154"/>
  </w:num>
  <w:num w:numId="107" w16cid:durableId="2117946691">
    <w:abstractNumId w:val="75"/>
  </w:num>
  <w:num w:numId="108" w16cid:durableId="1601521088">
    <w:abstractNumId w:val="120"/>
  </w:num>
  <w:num w:numId="109" w16cid:durableId="1432968502">
    <w:abstractNumId w:val="271"/>
  </w:num>
  <w:num w:numId="110" w16cid:durableId="1492022377">
    <w:abstractNumId w:val="245"/>
  </w:num>
  <w:num w:numId="111" w16cid:durableId="1044671789">
    <w:abstractNumId w:val="35"/>
  </w:num>
  <w:num w:numId="112" w16cid:durableId="157817494">
    <w:abstractNumId w:val="236"/>
  </w:num>
  <w:num w:numId="113" w16cid:durableId="2006543313">
    <w:abstractNumId w:val="148"/>
  </w:num>
  <w:num w:numId="114" w16cid:durableId="870269057">
    <w:abstractNumId w:val="147"/>
  </w:num>
  <w:num w:numId="115" w16cid:durableId="2128426043">
    <w:abstractNumId w:val="147"/>
    <w:lvlOverride w:ilvl="0">
      <w:lvl w:ilvl="0">
        <w:start w:val="2"/>
        <w:numFmt w:val="lowerLetter"/>
        <w:lvlText w:val="%1)"/>
        <w:legacy w:legacy="1" w:legacySpace="0" w:legacyIndent="283"/>
        <w:lvlJc w:val="left"/>
        <w:pPr>
          <w:ind w:left="283" w:hanging="283"/>
        </w:pPr>
      </w:lvl>
    </w:lvlOverride>
  </w:num>
  <w:num w:numId="116" w16cid:durableId="1042250424">
    <w:abstractNumId w:val="127"/>
  </w:num>
  <w:num w:numId="117" w16cid:durableId="1073939397">
    <w:abstractNumId w:val="178"/>
  </w:num>
  <w:num w:numId="118" w16cid:durableId="1459956309">
    <w:abstractNumId w:val="269"/>
  </w:num>
  <w:num w:numId="119" w16cid:durableId="1775831688">
    <w:abstractNumId w:val="217"/>
  </w:num>
  <w:num w:numId="120" w16cid:durableId="1416168854">
    <w:abstractNumId w:val="210"/>
  </w:num>
  <w:num w:numId="121" w16cid:durableId="1957371017">
    <w:abstractNumId w:val="37"/>
  </w:num>
  <w:num w:numId="122" w16cid:durableId="1122380544">
    <w:abstractNumId w:val="181"/>
  </w:num>
  <w:num w:numId="123" w16cid:durableId="1219168852">
    <w:abstractNumId w:val="171"/>
  </w:num>
  <w:num w:numId="124" w16cid:durableId="1037700295">
    <w:abstractNumId w:val="109"/>
  </w:num>
  <w:num w:numId="125" w16cid:durableId="2013528411">
    <w:abstractNumId w:val="73"/>
  </w:num>
  <w:num w:numId="126" w16cid:durableId="390233139">
    <w:abstractNumId w:val="186"/>
  </w:num>
  <w:num w:numId="127" w16cid:durableId="1295407785">
    <w:abstractNumId w:val="165"/>
  </w:num>
  <w:num w:numId="128" w16cid:durableId="1618292143">
    <w:abstractNumId w:val="270"/>
  </w:num>
  <w:num w:numId="129" w16cid:durableId="1086457665">
    <w:abstractNumId w:val="13"/>
  </w:num>
  <w:num w:numId="130" w16cid:durableId="388967445">
    <w:abstractNumId w:val="76"/>
  </w:num>
  <w:num w:numId="131" w16cid:durableId="380439837">
    <w:abstractNumId w:val="58"/>
  </w:num>
  <w:num w:numId="132" w16cid:durableId="34355619">
    <w:abstractNumId w:val="253"/>
  </w:num>
  <w:num w:numId="133" w16cid:durableId="1614242027">
    <w:abstractNumId w:val="8"/>
  </w:num>
  <w:num w:numId="134" w16cid:durableId="328797196">
    <w:abstractNumId w:val="164"/>
  </w:num>
  <w:num w:numId="135" w16cid:durableId="1796751338">
    <w:abstractNumId w:val="20"/>
  </w:num>
  <w:num w:numId="136" w16cid:durableId="382145048">
    <w:abstractNumId w:val="14"/>
  </w:num>
  <w:num w:numId="137" w16cid:durableId="1939217386">
    <w:abstractNumId w:val="133"/>
  </w:num>
  <w:num w:numId="138" w16cid:durableId="1777866529">
    <w:abstractNumId w:val="172"/>
  </w:num>
  <w:num w:numId="139" w16cid:durableId="1200585873">
    <w:abstractNumId w:val="185"/>
  </w:num>
  <w:num w:numId="140" w16cid:durableId="1118526302">
    <w:abstractNumId w:val="117"/>
  </w:num>
  <w:num w:numId="141" w16cid:durableId="1329288322">
    <w:abstractNumId w:val="157"/>
  </w:num>
  <w:num w:numId="142" w16cid:durableId="1713460524">
    <w:abstractNumId w:val="145"/>
  </w:num>
  <w:num w:numId="143" w16cid:durableId="252134080">
    <w:abstractNumId w:val="248"/>
  </w:num>
  <w:num w:numId="144" w16cid:durableId="2052656247">
    <w:abstractNumId w:val="82"/>
  </w:num>
  <w:num w:numId="145" w16cid:durableId="876703579">
    <w:abstractNumId w:val="116"/>
  </w:num>
  <w:num w:numId="146" w16cid:durableId="1393234020">
    <w:abstractNumId w:val="30"/>
  </w:num>
  <w:num w:numId="147" w16cid:durableId="1140658994">
    <w:abstractNumId w:val="202"/>
  </w:num>
  <w:num w:numId="148" w16cid:durableId="1513568053">
    <w:abstractNumId w:val="81"/>
  </w:num>
  <w:num w:numId="149" w16cid:durableId="2042591561">
    <w:abstractNumId w:val="223"/>
  </w:num>
  <w:num w:numId="150" w16cid:durableId="1387416111">
    <w:abstractNumId w:val="207"/>
  </w:num>
  <w:num w:numId="151" w16cid:durableId="987974144">
    <w:abstractNumId w:val="272"/>
  </w:num>
  <w:num w:numId="152" w16cid:durableId="1707291414">
    <w:abstractNumId w:val="63"/>
  </w:num>
  <w:num w:numId="153" w16cid:durableId="675230689">
    <w:abstractNumId w:val="24"/>
  </w:num>
  <w:num w:numId="154" w16cid:durableId="1148864085">
    <w:abstractNumId w:val="102"/>
  </w:num>
  <w:num w:numId="155" w16cid:durableId="2093891682">
    <w:abstractNumId w:val="31"/>
  </w:num>
  <w:num w:numId="156" w16cid:durableId="148792493">
    <w:abstractNumId w:val="48"/>
  </w:num>
  <w:num w:numId="157" w16cid:durableId="312954457">
    <w:abstractNumId w:val="244"/>
  </w:num>
  <w:num w:numId="158" w16cid:durableId="886380995">
    <w:abstractNumId w:val="175"/>
  </w:num>
  <w:num w:numId="159" w16cid:durableId="1758743539">
    <w:abstractNumId w:val="12"/>
  </w:num>
  <w:num w:numId="160" w16cid:durableId="349377210">
    <w:abstractNumId w:val="91"/>
  </w:num>
  <w:num w:numId="161" w16cid:durableId="1665930268">
    <w:abstractNumId w:val="232"/>
  </w:num>
  <w:num w:numId="162" w16cid:durableId="1359619765">
    <w:abstractNumId w:val="84"/>
  </w:num>
  <w:num w:numId="163" w16cid:durableId="1432315992">
    <w:abstractNumId w:val="29"/>
  </w:num>
  <w:num w:numId="164" w16cid:durableId="1916474882">
    <w:abstractNumId w:val="174"/>
  </w:num>
  <w:num w:numId="165" w16cid:durableId="1689988346">
    <w:abstractNumId w:val="137"/>
  </w:num>
  <w:num w:numId="166" w16cid:durableId="842284270">
    <w:abstractNumId w:val="49"/>
  </w:num>
  <w:num w:numId="167" w16cid:durableId="1161697679">
    <w:abstractNumId w:val="110"/>
  </w:num>
  <w:num w:numId="168" w16cid:durableId="318191708">
    <w:abstractNumId w:val="88"/>
  </w:num>
  <w:num w:numId="169" w16cid:durableId="753086261">
    <w:abstractNumId w:val="197"/>
  </w:num>
  <w:num w:numId="170" w16cid:durableId="1186094833">
    <w:abstractNumId w:val="173"/>
  </w:num>
  <w:num w:numId="171" w16cid:durableId="108208455">
    <w:abstractNumId w:val="54"/>
  </w:num>
  <w:num w:numId="172" w16cid:durableId="1962612187">
    <w:abstractNumId w:val="159"/>
  </w:num>
  <w:num w:numId="173" w16cid:durableId="1440299372">
    <w:abstractNumId w:val="249"/>
  </w:num>
  <w:num w:numId="174" w16cid:durableId="1453279076">
    <w:abstractNumId w:val="57"/>
  </w:num>
  <w:num w:numId="175" w16cid:durableId="561720878">
    <w:abstractNumId w:val="153"/>
  </w:num>
  <w:num w:numId="176" w16cid:durableId="1601908558">
    <w:abstractNumId w:val="47"/>
  </w:num>
  <w:num w:numId="177" w16cid:durableId="1015965040">
    <w:abstractNumId w:val="212"/>
  </w:num>
  <w:num w:numId="178" w16cid:durableId="1632903932">
    <w:abstractNumId w:val="209"/>
  </w:num>
  <w:num w:numId="179" w16cid:durableId="1537161838">
    <w:abstractNumId w:val="101"/>
  </w:num>
  <w:num w:numId="180" w16cid:durableId="316342654">
    <w:abstractNumId w:val="68"/>
  </w:num>
  <w:num w:numId="181" w16cid:durableId="1120144240">
    <w:abstractNumId w:val="160"/>
  </w:num>
  <w:num w:numId="182" w16cid:durableId="1643541998">
    <w:abstractNumId w:val="98"/>
  </w:num>
  <w:num w:numId="183" w16cid:durableId="351079504">
    <w:abstractNumId w:val="158"/>
  </w:num>
  <w:num w:numId="184" w16cid:durableId="9836850">
    <w:abstractNumId w:val="218"/>
  </w:num>
  <w:num w:numId="185" w16cid:durableId="283779658">
    <w:abstractNumId w:val="46"/>
  </w:num>
  <w:num w:numId="186" w16cid:durableId="1094782561">
    <w:abstractNumId w:val="74"/>
  </w:num>
  <w:num w:numId="187" w16cid:durableId="1447777427">
    <w:abstractNumId w:val="112"/>
  </w:num>
  <w:num w:numId="188" w16cid:durableId="637297254">
    <w:abstractNumId w:val="166"/>
  </w:num>
  <w:num w:numId="189" w16cid:durableId="1178041806">
    <w:abstractNumId w:val="119"/>
  </w:num>
  <w:num w:numId="190" w16cid:durableId="602303315">
    <w:abstractNumId w:val="43"/>
  </w:num>
  <w:num w:numId="191" w16cid:durableId="1172643105">
    <w:abstractNumId w:val="163"/>
  </w:num>
  <w:num w:numId="192" w16cid:durableId="981235890">
    <w:abstractNumId w:val="220"/>
  </w:num>
  <w:num w:numId="193" w16cid:durableId="1472090352">
    <w:abstractNumId w:val="65"/>
  </w:num>
  <w:num w:numId="194" w16cid:durableId="1768576370">
    <w:abstractNumId w:val="26"/>
  </w:num>
  <w:num w:numId="195" w16cid:durableId="1483811725">
    <w:abstractNumId w:val="114"/>
  </w:num>
  <w:num w:numId="196" w16cid:durableId="2081324674">
    <w:abstractNumId w:val="188"/>
  </w:num>
  <w:num w:numId="197" w16cid:durableId="1974943852">
    <w:abstractNumId w:val="132"/>
  </w:num>
  <w:num w:numId="198" w16cid:durableId="2115050908">
    <w:abstractNumId w:val="234"/>
  </w:num>
  <w:num w:numId="199" w16cid:durableId="150603995">
    <w:abstractNumId w:val="130"/>
  </w:num>
  <w:num w:numId="200" w16cid:durableId="1611815040">
    <w:abstractNumId w:val="7"/>
  </w:num>
  <w:num w:numId="201" w16cid:durableId="1981184550">
    <w:abstractNumId w:val="23"/>
  </w:num>
  <w:num w:numId="202" w16cid:durableId="710767692">
    <w:abstractNumId w:val="69"/>
  </w:num>
  <w:num w:numId="203" w16cid:durableId="455637718">
    <w:abstractNumId w:val="143"/>
  </w:num>
  <w:num w:numId="204" w16cid:durableId="548154632">
    <w:abstractNumId w:val="238"/>
  </w:num>
  <w:num w:numId="205" w16cid:durableId="1729182591">
    <w:abstractNumId w:val="266"/>
  </w:num>
  <w:num w:numId="206" w16cid:durableId="876117277">
    <w:abstractNumId w:val="268"/>
  </w:num>
  <w:num w:numId="207" w16cid:durableId="1867984245">
    <w:abstractNumId w:val="258"/>
  </w:num>
  <w:num w:numId="208" w16cid:durableId="1328048283">
    <w:abstractNumId w:val="17"/>
  </w:num>
  <w:num w:numId="209" w16cid:durableId="421728011">
    <w:abstractNumId w:val="131"/>
  </w:num>
  <w:num w:numId="210" w16cid:durableId="1749839848">
    <w:abstractNumId w:val="219"/>
  </w:num>
  <w:num w:numId="211" w16cid:durableId="1523393591">
    <w:abstractNumId w:val="123"/>
  </w:num>
  <w:num w:numId="212" w16cid:durableId="722602002">
    <w:abstractNumId w:val="108"/>
  </w:num>
  <w:num w:numId="213" w16cid:durableId="759302194">
    <w:abstractNumId w:val="18"/>
  </w:num>
  <w:num w:numId="214" w16cid:durableId="1708942962">
    <w:abstractNumId w:val="227"/>
  </w:num>
  <w:num w:numId="215" w16cid:durableId="555435143">
    <w:abstractNumId w:val="106"/>
  </w:num>
  <w:num w:numId="216" w16cid:durableId="2124417738">
    <w:abstractNumId w:val="203"/>
  </w:num>
  <w:num w:numId="217" w16cid:durableId="8797459">
    <w:abstractNumId w:val="28"/>
  </w:num>
  <w:num w:numId="218" w16cid:durableId="1350377793">
    <w:abstractNumId w:val="239"/>
  </w:num>
  <w:num w:numId="219" w16cid:durableId="2129228654">
    <w:abstractNumId w:val="195"/>
  </w:num>
  <w:num w:numId="220" w16cid:durableId="259870294">
    <w:abstractNumId w:val="213"/>
  </w:num>
  <w:num w:numId="221" w16cid:durableId="3823839">
    <w:abstractNumId w:val="9"/>
  </w:num>
  <w:num w:numId="222" w16cid:durableId="209077690">
    <w:abstractNumId w:val="129"/>
  </w:num>
  <w:num w:numId="223" w16cid:durableId="1579554722">
    <w:abstractNumId w:val="126"/>
  </w:num>
  <w:num w:numId="224" w16cid:durableId="1054237319">
    <w:abstractNumId w:val="265"/>
  </w:num>
  <w:num w:numId="225" w16cid:durableId="1530147816">
    <w:abstractNumId w:val="187"/>
  </w:num>
  <w:num w:numId="226" w16cid:durableId="1591037394">
    <w:abstractNumId w:val="83"/>
  </w:num>
  <w:num w:numId="227" w16cid:durableId="1415936803">
    <w:abstractNumId w:val="122"/>
  </w:num>
  <w:num w:numId="228" w16cid:durableId="755588900">
    <w:abstractNumId w:val="62"/>
  </w:num>
  <w:num w:numId="229" w16cid:durableId="853226061">
    <w:abstractNumId w:val="41"/>
  </w:num>
  <w:num w:numId="230" w16cid:durableId="525481133">
    <w:abstractNumId w:val="125"/>
  </w:num>
  <w:num w:numId="231" w16cid:durableId="196746544">
    <w:abstractNumId w:val="169"/>
  </w:num>
  <w:num w:numId="232" w16cid:durableId="1694183906">
    <w:abstractNumId w:val="240"/>
  </w:num>
  <w:num w:numId="233" w16cid:durableId="583339451">
    <w:abstractNumId w:val="21"/>
  </w:num>
  <w:num w:numId="234" w16cid:durableId="28453358">
    <w:abstractNumId w:val="255"/>
  </w:num>
  <w:num w:numId="235" w16cid:durableId="759986490">
    <w:abstractNumId w:val="215"/>
  </w:num>
  <w:num w:numId="236" w16cid:durableId="737019284">
    <w:abstractNumId w:val="276"/>
  </w:num>
  <w:num w:numId="237" w16cid:durableId="402413113">
    <w:abstractNumId w:val="221"/>
  </w:num>
  <w:num w:numId="238" w16cid:durableId="1551263939">
    <w:abstractNumId w:val="52"/>
  </w:num>
  <w:num w:numId="239" w16cid:durableId="1929269559">
    <w:abstractNumId w:val="182"/>
  </w:num>
  <w:num w:numId="240" w16cid:durableId="1505707361">
    <w:abstractNumId w:val="222"/>
  </w:num>
  <w:num w:numId="241" w16cid:durableId="2066492665">
    <w:abstractNumId w:val="55"/>
  </w:num>
  <w:num w:numId="242" w16cid:durableId="951018446">
    <w:abstractNumId w:val="246"/>
  </w:num>
  <w:num w:numId="243" w16cid:durableId="2016689044">
    <w:abstractNumId w:val="233"/>
  </w:num>
  <w:num w:numId="244" w16cid:durableId="1408385928">
    <w:abstractNumId w:val="231"/>
  </w:num>
  <w:num w:numId="245" w16cid:durableId="407117355">
    <w:abstractNumId w:val="45"/>
  </w:num>
  <w:num w:numId="246" w16cid:durableId="728503697">
    <w:abstractNumId w:val="259"/>
  </w:num>
  <w:num w:numId="247" w16cid:durableId="503666684">
    <w:abstractNumId w:val="216"/>
  </w:num>
  <w:num w:numId="248" w16cid:durableId="124785509">
    <w:abstractNumId w:val="235"/>
  </w:num>
  <w:num w:numId="249" w16cid:durableId="1118375042">
    <w:abstractNumId w:val="254"/>
  </w:num>
  <w:num w:numId="250" w16cid:durableId="1154832215">
    <w:abstractNumId w:val="156"/>
  </w:num>
  <w:num w:numId="251" w16cid:durableId="1652178081">
    <w:abstractNumId w:val="66"/>
  </w:num>
  <w:num w:numId="252" w16cid:durableId="1530752813">
    <w:abstractNumId w:val="161"/>
  </w:num>
  <w:num w:numId="253" w16cid:durableId="1742216588">
    <w:abstractNumId w:val="72"/>
  </w:num>
  <w:num w:numId="254" w16cid:durableId="1330644494">
    <w:abstractNumId w:val="189"/>
  </w:num>
  <w:num w:numId="255" w16cid:durableId="1527716468">
    <w:abstractNumId w:val="103"/>
  </w:num>
  <w:num w:numId="256" w16cid:durableId="1094670092">
    <w:abstractNumId w:val="226"/>
  </w:num>
  <w:num w:numId="257" w16cid:durableId="1101947788">
    <w:abstractNumId w:val="229"/>
  </w:num>
  <w:num w:numId="258" w16cid:durableId="667442856">
    <w:abstractNumId w:val="193"/>
  </w:num>
  <w:num w:numId="259" w16cid:durableId="102265802">
    <w:abstractNumId w:val="196"/>
  </w:num>
  <w:num w:numId="260" w16cid:durableId="679506169">
    <w:abstractNumId w:val="5"/>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61" w16cid:durableId="1094938583">
    <w:abstractNumId w:val="262"/>
  </w:num>
  <w:num w:numId="262" w16cid:durableId="1572345065">
    <w:abstractNumId w:val="25"/>
  </w:num>
  <w:num w:numId="263" w16cid:durableId="1529373500">
    <w:abstractNumId w:val="94"/>
  </w:num>
  <w:num w:numId="264" w16cid:durableId="1327631023">
    <w:abstractNumId w:val="22"/>
  </w:num>
  <w:num w:numId="265" w16cid:durableId="328799887">
    <w:abstractNumId w:val="230"/>
  </w:num>
  <w:num w:numId="266" w16cid:durableId="458034481">
    <w:abstractNumId w:val="214"/>
  </w:num>
  <w:num w:numId="267" w16cid:durableId="1126853718">
    <w:abstractNumId w:val="144"/>
  </w:num>
  <w:num w:numId="268" w16cid:durableId="2028171916">
    <w:abstractNumId w:val="228"/>
  </w:num>
  <w:num w:numId="269" w16cid:durableId="792361887">
    <w:abstractNumId w:val="79"/>
  </w:num>
  <w:num w:numId="270" w16cid:durableId="1368676654">
    <w:abstractNumId w:val="140"/>
  </w:num>
  <w:num w:numId="271" w16cid:durableId="83772918">
    <w:abstractNumId w:val="96"/>
  </w:num>
  <w:num w:numId="272" w16cid:durableId="566914704">
    <w:abstractNumId w:val="190"/>
  </w:num>
  <w:num w:numId="273" w16cid:durableId="1741638124">
    <w:abstractNumId w:val="67"/>
  </w:num>
  <w:num w:numId="274" w16cid:durableId="438063420">
    <w:abstractNumId w:val="89"/>
  </w:num>
  <w:num w:numId="275" w16cid:durableId="893154152">
    <w:abstractNumId w:val="39"/>
  </w:num>
  <w:num w:numId="276" w16cid:durableId="998003529">
    <w:abstractNumId w:val="247"/>
  </w:num>
  <w:num w:numId="277" w16cid:durableId="2009596145">
    <w:abstractNumId w:val="263"/>
  </w:num>
  <w:num w:numId="278" w16cid:durableId="1468817865">
    <w:abstractNumId w:val="78"/>
  </w:num>
  <w:num w:numId="279" w16cid:durableId="370419678">
    <w:abstractNumId w:val="242"/>
  </w:num>
  <w:num w:numId="280" w16cid:durableId="436145294">
    <w:abstractNumId w:val="64"/>
  </w:num>
  <w:num w:numId="281" w16cid:durableId="1556969321">
    <w:abstractNumId w:val="256"/>
  </w:num>
  <w:num w:numId="282" w16cid:durableId="1326931815">
    <w:abstractNumId w:val="250"/>
  </w:num>
  <w:num w:numId="283" w16cid:durableId="903175047">
    <w:abstractNumId w:val="146"/>
  </w:num>
  <w:num w:numId="284" w16cid:durableId="271939143">
    <w:abstractNumId w:val="275"/>
  </w:num>
  <w:num w:numId="285" w16cid:durableId="1454977913">
    <w:abstractNumId w:val="128"/>
  </w:num>
  <w:num w:numId="286" w16cid:durableId="1573076016">
    <w:abstractNumId w:val="225"/>
  </w:num>
  <w:num w:numId="287" w16cid:durableId="953095274">
    <w:abstractNumId w:val="180"/>
  </w:num>
  <w:numIdMacAtCleanup w:val="2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rawingGridHorizontalSpacing w:val="120"/>
  <w:displayHorizontalDrawingGridEvery w:val="2"/>
  <w:noPunctuationKerning/>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353FC"/>
    <w:rsid w:val="00000333"/>
    <w:rsid w:val="00000364"/>
    <w:rsid w:val="0000095E"/>
    <w:rsid w:val="00000B68"/>
    <w:rsid w:val="0000138B"/>
    <w:rsid w:val="00001AEC"/>
    <w:rsid w:val="00001B17"/>
    <w:rsid w:val="000025CC"/>
    <w:rsid w:val="00003189"/>
    <w:rsid w:val="0000357B"/>
    <w:rsid w:val="00003DF7"/>
    <w:rsid w:val="0000505A"/>
    <w:rsid w:val="000052F0"/>
    <w:rsid w:val="00005654"/>
    <w:rsid w:val="000057C0"/>
    <w:rsid w:val="00006E95"/>
    <w:rsid w:val="00010B57"/>
    <w:rsid w:val="00010C7B"/>
    <w:rsid w:val="00010D12"/>
    <w:rsid w:val="00011295"/>
    <w:rsid w:val="00011B1F"/>
    <w:rsid w:val="00011DF8"/>
    <w:rsid w:val="0001243A"/>
    <w:rsid w:val="00012EC1"/>
    <w:rsid w:val="00012EC9"/>
    <w:rsid w:val="000130AD"/>
    <w:rsid w:val="000132EE"/>
    <w:rsid w:val="0001571D"/>
    <w:rsid w:val="000163D2"/>
    <w:rsid w:val="0001668A"/>
    <w:rsid w:val="000173E6"/>
    <w:rsid w:val="00017D34"/>
    <w:rsid w:val="0002023A"/>
    <w:rsid w:val="0002049C"/>
    <w:rsid w:val="000204F1"/>
    <w:rsid w:val="00020E87"/>
    <w:rsid w:val="0002157D"/>
    <w:rsid w:val="00021C81"/>
    <w:rsid w:val="00021E4A"/>
    <w:rsid w:val="00024761"/>
    <w:rsid w:val="00025940"/>
    <w:rsid w:val="00026560"/>
    <w:rsid w:val="00031879"/>
    <w:rsid w:val="00031C96"/>
    <w:rsid w:val="00031CF6"/>
    <w:rsid w:val="000336E5"/>
    <w:rsid w:val="00034106"/>
    <w:rsid w:val="00034686"/>
    <w:rsid w:val="0003492F"/>
    <w:rsid w:val="00034AD3"/>
    <w:rsid w:val="000357CA"/>
    <w:rsid w:val="000358A7"/>
    <w:rsid w:val="00035DD2"/>
    <w:rsid w:val="000362C8"/>
    <w:rsid w:val="0003649F"/>
    <w:rsid w:val="000368DF"/>
    <w:rsid w:val="00036A58"/>
    <w:rsid w:val="00037463"/>
    <w:rsid w:val="000408E3"/>
    <w:rsid w:val="00040CCE"/>
    <w:rsid w:val="00041927"/>
    <w:rsid w:val="00041B0A"/>
    <w:rsid w:val="000435EF"/>
    <w:rsid w:val="00044231"/>
    <w:rsid w:val="00044717"/>
    <w:rsid w:val="000450E1"/>
    <w:rsid w:val="00045223"/>
    <w:rsid w:val="00046CEA"/>
    <w:rsid w:val="0004714B"/>
    <w:rsid w:val="0004730A"/>
    <w:rsid w:val="00050207"/>
    <w:rsid w:val="00050320"/>
    <w:rsid w:val="00050BE4"/>
    <w:rsid w:val="00051234"/>
    <w:rsid w:val="0005177F"/>
    <w:rsid w:val="000517A3"/>
    <w:rsid w:val="00051D70"/>
    <w:rsid w:val="000529D5"/>
    <w:rsid w:val="00052D9B"/>
    <w:rsid w:val="00053473"/>
    <w:rsid w:val="00054BCE"/>
    <w:rsid w:val="00054CCF"/>
    <w:rsid w:val="00055BE3"/>
    <w:rsid w:val="00056562"/>
    <w:rsid w:val="0005726E"/>
    <w:rsid w:val="00057DF1"/>
    <w:rsid w:val="000616B3"/>
    <w:rsid w:val="0006313C"/>
    <w:rsid w:val="000632F1"/>
    <w:rsid w:val="00064A96"/>
    <w:rsid w:val="00064D96"/>
    <w:rsid w:val="00065015"/>
    <w:rsid w:val="000653FF"/>
    <w:rsid w:val="00066341"/>
    <w:rsid w:val="0006792F"/>
    <w:rsid w:val="00067F77"/>
    <w:rsid w:val="00070057"/>
    <w:rsid w:val="00071044"/>
    <w:rsid w:val="00071454"/>
    <w:rsid w:val="00071848"/>
    <w:rsid w:val="00072180"/>
    <w:rsid w:val="00072A11"/>
    <w:rsid w:val="00072E0B"/>
    <w:rsid w:val="00075685"/>
    <w:rsid w:val="00077875"/>
    <w:rsid w:val="00077A2B"/>
    <w:rsid w:val="00080514"/>
    <w:rsid w:val="00080B38"/>
    <w:rsid w:val="000812AD"/>
    <w:rsid w:val="000816E9"/>
    <w:rsid w:val="00081958"/>
    <w:rsid w:val="00082E61"/>
    <w:rsid w:val="00083C33"/>
    <w:rsid w:val="00083F08"/>
    <w:rsid w:val="00083FF2"/>
    <w:rsid w:val="00084019"/>
    <w:rsid w:val="00084A4F"/>
    <w:rsid w:val="00084B8F"/>
    <w:rsid w:val="00084D60"/>
    <w:rsid w:val="00085BB0"/>
    <w:rsid w:val="00085F82"/>
    <w:rsid w:val="0008660B"/>
    <w:rsid w:val="00086FEB"/>
    <w:rsid w:val="000871E8"/>
    <w:rsid w:val="000905B2"/>
    <w:rsid w:val="00090844"/>
    <w:rsid w:val="00090BA6"/>
    <w:rsid w:val="0009128B"/>
    <w:rsid w:val="000915AC"/>
    <w:rsid w:val="00091757"/>
    <w:rsid w:val="00091DC3"/>
    <w:rsid w:val="0009256B"/>
    <w:rsid w:val="00092AD2"/>
    <w:rsid w:val="00093F01"/>
    <w:rsid w:val="00093F2B"/>
    <w:rsid w:val="000942F7"/>
    <w:rsid w:val="0009525C"/>
    <w:rsid w:val="000953B3"/>
    <w:rsid w:val="0009577A"/>
    <w:rsid w:val="00095CFE"/>
    <w:rsid w:val="00096299"/>
    <w:rsid w:val="0009639E"/>
    <w:rsid w:val="00096AA8"/>
    <w:rsid w:val="00096BEA"/>
    <w:rsid w:val="00096EE6"/>
    <w:rsid w:val="0009708E"/>
    <w:rsid w:val="000971A1"/>
    <w:rsid w:val="000971B1"/>
    <w:rsid w:val="000971EA"/>
    <w:rsid w:val="0009760B"/>
    <w:rsid w:val="000A0214"/>
    <w:rsid w:val="000A024E"/>
    <w:rsid w:val="000A16CA"/>
    <w:rsid w:val="000A2DAD"/>
    <w:rsid w:val="000A360C"/>
    <w:rsid w:val="000A360D"/>
    <w:rsid w:val="000A38D9"/>
    <w:rsid w:val="000A5C61"/>
    <w:rsid w:val="000A5D8A"/>
    <w:rsid w:val="000A6E8C"/>
    <w:rsid w:val="000A6F67"/>
    <w:rsid w:val="000A7EE6"/>
    <w:rsid w:val="000B0CE3"/>
    <w:rsid w:val="000B1F87"/>
    <w:rsid w:val="000B2956"/>
    <w:rsid w:val="000B29FD"/>
    <w:rsid w:val="000B2C12"/>
    <w:rsid w:val="000B3082"/>
    <w:rsid w:val="000B32E2"/>
    <w:rsid w:val="000B351A"/>
    <w:rsid w:val="000B424F"/>
    <w:rsid w:val="000B4AC9"/>
    <w:rsid w:val="000B4B1D"/>
    <w:rsid w:val="000B5A63"/>
    <w:rsid w:val="000B6C7C"/>
    <w:rsid w:val="000B6E07"/>
    <w:rsid w:val="000B6FC4"/>
    <w:rsid w:val="000B788C"/>
    <w:rsid w:val="000B7D88"/>
    <w:rsid w:val="000B7E3A"/>
    <w:rsid w:val="000B7F9A"/>
    <w:rsid w:val="000C01AA"/>
    <w:rsid w:val="000C0582"/>
    <w:rsid w:val="000C080E"/>
    <w:rsid w:val="000C0D9F"/>
    <w:rsid w:val="000C2522"/>
    <w:rsid w:val="000C2DC1"/>
    <w:rsid w:val="000C3510"/>
    <w:rsid w:val="000C3C43"/>
    <w:rsid w:val="000C48AB"/>
    <w:rsid w:val="000C4E0C"/>
    <w:rsid w:val="000C683F"/>
    <w:rsid w:val="000C6EBA"/>
    <w:rsid w:val="000D0782"/>
    <w:rsid w:val="000D0BD3"/>
    <w:rsid w:val="000D0EEB"/>
    <w:rsid w:val="000D127F"/>
    <w:rsid w:val="000D1FBE"/>
    <w:rsid w:val="000D2163"/>
    <w:rsid w:val="000D3219"/>
    <w:rsid w:val="000D37E5"/>
    <w:rsid w:val="000D3D9E"/>
    <w:rsid w:val="000D4442"/>
    <w:rsid w:val="000D50C8"/>
    <w:rsid w:val="000D5380"/>
    <w:rsid w:val="000D59CD"/>
    <w:rsid w:val="000D68AE"/>
    <w:rsid w:val="000D6CCF"/>
    <w:rsid w:val="000D6F20"/>
    <w:rsid w:val="000E031C"/>
    <w:rsid w:val="000E078E"/>
    <w:rsid w:val="000E09B4"/>
    <w:rsid w:val="000E0A2F"/>
    <w:rsid w:val="000E0ED6"/>
    <w:rsid w:val="000E0FA9"/>
    <w:rsid w:val="000E22DA"/>
    <w:rsid w:val="000E28AF"/>
    <w:rsid w:val="000E3021"/>
    <w:rsid w:val="000E3325"/>
    <w:rsid w:val="000E34FE"/>
    <w:rsid w:val="000E365E"/>
    <w:rsid w:val="000E36BD"/>
    <w:rsid w:val="000E37AA"/>
    <w:rsid w:val="000E3810"/>
    <w:rsid w:val="000E50C1"/>
    <w:rsid w:val="000E51A0"/>
    <w:rsid w:val="000E51EB"/>
    <w:rsid w:val="000E54FF"/>
    <w:rsid w:val="000E5A70"/>
    <w:rsid w:val="000E5C5C"/>
    <w:rsid w:val="000E60CC"/>
    <w:rsid w:val="000E61CF"/>
    <w:rsid w:val="000E74F3"/>
    <w:rsid w:val="000E7A45"/>
    <w:rsid w:val="000F0648"/>
    <w:rsid w:val="000F0B7B"/>
    <w:rsid w:val="000F104B"/>
    <w:rsid w:val="000F127E"/>
    <w:rsid w:val="000F24B0"/>
    <w:rsid w:val="000F24EC"/>
    <w:rsid w:val="000F2F02"/>
    <w:rsid w:val="000F391F"/>
    <w:rsid w:val="000F4ED2"/>
    <w:rsid w:val="000F5DA7"/>
    <w:rsid w:val="000F662E"/>
    <w:rsid w:val="000F7FDC"/>
    <w:rsid w:val="00100248"/>
    <w:rsid w:val="00100B69"/>
    <w:rsid w:val="00100EB0"/>
    <w:rsid w:val="00101780"/>
    <w:rsid w:val="0010218E"/>
    <w:rsid w:val="001022FA"/>
    <w:rsid w:val="0010286D"/>
    <w:rsid w:val="00102E2E"/>
    <w:rsid w:val="0010318D"/>
    <w:rsid w:val="00103411"/>
    <w:rsid w:val="0010360B"/>
    <w:rsid w:val="001045B2"/>
    <w:rsid w:val="0010469B"/>
    <w:rsid w:val="0010758B"/>
    <w:rsid w:val="0010766F"/>
    <w:rsid w:val="0010768B"/>
    <w:rsid w:val="00107F3E"/>
    <w:rsid w:val="00110298"/>
    <w:rsid w:val="00111685"/>
    <w:rsid w:val="0011281E"/>
    <w:rsid w:val="00114187"/>
    <w:rsid w:val="00114959"/>
    <w:rsid w:val="0011513D"/>
    <w:rsid w:val="001151F8"/>
    <w:rsid w:val="00115249"/>
    <w:rsid w:val="001158E2"/>
    <w:rsid w:val="001165D0"/>
    <w:rsid w:val="00116BFB"/>
    <w:rsid w:val="00117070"/>
    <w:rsid w:val="001172AA"/>
    <w:rsid w:val="001202EB"/>
    <w:rsid w:val="00121B46"/>
    <w:rsid w:val="00121C73"/>
    <w:rsid w:val="001221E3"/>
    <w:rsid w:val="001227AC"/>
    <w:rsid w:val="00123252"/>
    <w:rsid w:val="001239B0"/>
    <w:rsid w:val="0012410E"/>
    <w:rsid w:val="00124527"/>
    <w:rsid w:val="001247A7"/>
    <w:rsid w:val="001247E8"/>
    <w:rsid w:val="00124ED6"/>
    <w:rsid w:val="0012536D"/>
    <w:rsid w:val="00125567"/>
    <w:rsid w:val="00125986"/>
    <w:rsid w:val="00125C2A"/>
    <w:rsid w:val="00126A3C"/>
    <w:rsid w:val="0012779B"/>
    <w:rsid w:val="001278C3"/>
    <w:rsid w:val="00127B54"/>
    <w:rsid w:val="00130179"/>
    <w:rsid w:val="00130AE0"/>
    <w:rsid w:val="00130CB7"/>
    <w:rsid w:val="00130CDC"/>
    <w:rsid w:val="00131486"/>
    <w:rsid w:val="00131544"/>
    <w:rsid w:val="0013195D"/>
    <w:rsid w:val="00131D5B"/>
    <w:rsid w:val="0013244D"/>
    <w:rsid w:val="00132821"/>
    <w:rsid w:val="00132A72"/>
    <w:rsid w:val="00132A7D"/>
    <w:rsid w:val="00132D9B"/>
    <w:rsid w:val="00134174"/>
    <w:rsid w:val="00134684"/>
    <w:rsid w:val="00134B40"/>
    <w:rsid w:val="00134D25"/>
    <w:rsid w:val="00134EFB"/>
    <w:rsid w:val="001355F6"/>
    <w:rsid w:val="00135987"/>
    <w:rsid w:val="001375AF"/>
    <w:rsid w:val="001375B4"/>
    <w:rsid w:val="00137D44"/>
    <w:rsid w:val="001406B8"/>
    <w:rsid w:val="0014081A"/>
    <w:rsid w:val="00140D2C"/>
    <w:rsid w:val="00140E50"/>
    <w:rsid w:val="001416F9"/>
    <w:rsid w:val="00141762"/>
    <w:rsid w:val="001417F5"/>
    <w:rsid w:val="00141A0B"/>
    <w:rsid w:val="00141CCB"/>
    <w:rsid w:val="001426CE"/>
    <w:rsid w:val="00142E59"/>
    <w:rsid w:val="0014375C"/>
    <w:rsid w:val="00143B5C"/>
    <w:rsid w:val="001441A7"/>
    <w:rsid w:val="00144D47"/>
    <w:rsid w:val="001450C9"/>
    <w:rsid w:val="00145ACF"/>
    <w:rsid w:val="00145F39"/>
    <w:rsid w:val="00147A38"/>
    <w:rsid w:val="00147ACB"/>
    <w:rsid w:val="001506CC"/>
    <w:rsid w:val="001511F8"/>
    <w:rsid w:val="00151680"/>
    <w:rsid w:val="001516AF"/>
    <w:rsid w:val="00151AF0"/>
    <w:rsid w:val="00151EF5"/>
    <w:rsid w:val="001523C5"/>
    <w:rsid w:val="00152B72"/>
    <w:rsid w:val="00152D2E"/>
    <w:rsid w:val="00152F20"/>
    <w:rsid w:val="001533A0"/>
    <w:rsid w:val="00153F6B"/>
    <w:rsid w:val="001543D4"/>
    <w:rsid w:val="00154673"/>
    <w:rsid w:val="0015493A"/>
    <w:rsid w:val="00154CED"/>
    <w:rsid w:val="001551B0"/>
    <w:rsid w:val="001559E0"/>
    <w:rsid w:val="00156559"/>
    <w:rsid w:val="00156A9C"/>
    <w:rsid w:val="00157804"/>
    <w:rsid w:val="00157937"/>
    <w:rsid w:val="00157A92"/>
    <w:rsid w:val="00160B78"/>
    <w:rsid w:val="00160C6B"/>
    <w:rsid w:val="00160DEC"/>
    <w:rsid w:val="00160EE3"/>
    <w:rsid w:val="00161C2C"/>
    <w:rsid w:val="001628D9"/>
    <w:rsid w:val="00164D31"/>
    <w:rsid w:val="00164E03"/>
    <w:rsid w:val="0016516E"/>
    <w:rsid w:val="001657EC"/>
    <w:rsid w:val="00165C37"/>
    <w:rsid w:val="00165E2C"/>
    <w:rsid w:val="001672A4"/>
    <w:rsid w:val="00167F75"/>
    <w:rsid w:val="00170663"/>
    <w:rsid w:val="00170A17"/>
    <w:rsid w:val="00170CB2"/>
    <w:rsid w:val="0017122D"/>
    <w:rsid w:val="00171A59"/>
    <w:rsid w:val="00171B06"/>
    <w:rsid w:val="00171C2C"/>
    <w:rsid w:val="00173D32"/>
    <w:rsid w:val="00174C32"/>
    <w:rsid w:val="00174C3D"/>
    <w:rsid w:val="00175D46"/>
    <w:rsid w:val="001760C3"/>
    <w:rsid w:val="001766FF"/>
    <w:rsid w:val="00176F7E"/>
    <w:rsid w:val="001775F5"/>
    <w:rsid w:val="00177668"/>
    <w:rsid w:val="00177910"/>
    <w:rsid w:val="00180974"/>
    <w:rsid w:val="00180A26"/>
    <w:rsid w:val="00180D9B"/>
    <w:rsid w:val="001810F1"/>
    <w:rsid w:val="00181344"/>
    <w:rsid w:val="001814A3"/>
    <w:rsid w:val="001822AA"/>
    <w:rsid w:val="00184DCD"/>
    <w:rsid w:val="00185DB5"/>
    <w:rsid w:val="00186626"/>
    <w:rsid w:val="001869F5"/>
    <w:rsid w:val="00187307"/>
    <w:rsid w:val="001903DA"/>
    <w:rsid w:val="001909CB"/>
    <w:rsid w:val="00190B96"/>
    <w:rsid w:val="00190D32"/>
    <w:rsid w:val="001911B0"/>
    <w:rsid w:val="001916A5"/>
    <w:rsid w:val="00191E39"/>
    <w:rsid w:val="00192BC8"/>
    <w:rsid w:val="001937E5"/>
    <w:rsid w:val="0019421D"/>
    <w:rsid w:val="001948D4"/>
    <w:rsid w:val="001950D0"/>
    <w:rsid w:val="001952B8"/>
    <w:rsid w:val="00195483"/>
    <w:rsid w:val="001954A4"/>
    <w:rsid w:val="001964B4"/>
    <w:rsid w:val="00197C72"/>
    <w:rsid w:val="001A106E"/>
    <w:rsid w:val="001A195D"/>
    <w:rsid w:val="001A19DB"/>
    <w:rsid w:val="001A29A5"/>
    <w:rsid w:val="001A31CC"/>
    <w:rsid w:val="001A34B4"/>
    <w:rsid w:val="001A396D"/>
    <w:rsid w:val="001A41AE"/>
    <w:rsid w:val="001A559F"/>
    <w:rsid w:val="001A709D"/>
    <w:rsid w:val="001A72DD"/>
    <w:rsid w:val="001A734E"/>
    <w:rsid w:val="001A7BAE"/>
    <w:rsid w:val="001B069E"/>
    <w:rsid w:val="001B0887"/>
    <w:rsid w:val="001B0CB6"/>
    <w:rsid w:val="001B0D95"/>
    <w:rsid w:val="001B0E8A"/>
    <w:rsid w:val="001B0F84"/>
    <w:rsid w:val="001B1B50"/>
    <w:rsid w:val="001B2160"/>
    <w:rsid w:val="001B2349"/>
    <w:rsid w:val="001B2919"/>
    <w:rsid w:val="001B3A5D"/>
    <w:rsid w:val="001B4409"/>
    <w:rsid w:val="001B4BB8"/>
    <w:rsid w:val="001B500A"/>
    <w:rsid w:val="001B60C4"/>
    <w:rsid w:val="001B6251"/>
    <w:rsid w:val="001B691B"/>
    <w:rsid w:val="001B6E2E"/>
    <w:rsid w:val="001B6FA6"/>
    <w:rsid w:val="001B778A"/>
    <w:rsid w:val="001B7842"/>
    <w:rsid w:val="001B7A51"/>
    <w:rsid w:val="001C0345"/>
    <w:rsid w:val="001C045B"/>
    <w:rsid w:val="001C3632"/>
    <w:rsid w:val="001C3A80"/>
    <w:rsid w:val="001C3B6E"/>
    <w:rsid w:val="001C4201"/>
    <w:rsid w:val="001C4D45"/>
    <w:rsid w:val="001C792E"/>
    <w:rsid w:val="001D018B"/>
    <w:rsid w:val="001D15B8"/>
    <w:rsid w:val="001D1A27"/>
    <w:rsid w:val="001D20C3"/>
    <w:rsid w:val="001D2668"/>
    <w:rsid w:val="001D2C51"/>
    <w:rsid w:val="001D44F9"/>
    <w:rsid w:val="001D4A72"/>
    <w:rsid w:val="001D4E32"/>
    <w:rsid w:val="001D7088"/>
    <w:rsid w:val="001D7616"/>
    <w:rsid w:val="001D7B39"/>
    <w:rsid w:val="001E015E"/>
    <w:rsid w:val="001E0620"/>
    <w:rsid w:val="001E0811"/>
    <w:rsid w:val="001E0946"/>
    <w:rsid w:val="001E0DAC"/>
    <w:rsid w:val="001E0E1E"/>
    <w:rsid w:val="001E16BD"/>
    <w:rsid w:val="001E19BC"/>
    <w:rsid w:val="001E382D"/>
    <w:rsid w:val="001E3EB5"/>
    <w:rsid w:val="001E47DA"/>
    <w:rsid w:val="001E4D17"/>
    <w:rsid w:val="001E4E02"/>
    <w:rsid w:val="001E51ED"/>
    <w:rsid w:val="001E547A"/>
    <w:rsid w:val="001E56E5"/>
    <w:rsid w:val="001E5747"/>
    <w:rsid w:val="001E5A24"/>
    <w:rsid w:val="001E5ECB"/>
    <w:rsid w:val="001E66D4"/>
    <w:rsid w:val="001E7A8C"/>
    <w:rsid w:val="001E7ACB"/>
    <w:rsid w:val="001F008D"/>
    <w:rsid w:val="001F02FF"/>
    <w:rsid w:val="001F0C33"/>
    <w:rsid w:val="001F1240"/>
    <w:rsid w:val="001F1EBE"/>
    <w:rsid w:val="001F3AB0"/>
    <w:rsid w:val="001F3C55"/>
    <w:rsid w:val="001F3D1D"/>
    <w:rsid w:val="001F45D2"/>
    <w:rsid w:val="001F53B7"/>
    <w:rsid w:val="001F5E1A"/>
    <w:rsid w:val="001F6D0E"/>
    <w:rsid w:val="001F74D5"/>
    <w:rsid w:val="00200EBD"/>
    <w:rsid w:val="0020104A"/>
    <w:rsid w:val="00201B7A"/>
    <w:rsid w:val="00202191"/>
    <w:rsid w:val="00202538"/>
    <w:rsid w:val="00202658"/>
    <w:rsid w:val="00203447"/>
    <w:rsid w:val="00204004"/>
    <w:rsid w:val="0020470C"/>
    <w:rsid w:val="0020489E"/>
    <w:rsid w:val="00205659"/>
    <w:rsid w:val="00206809"/>
    <w:rsid w:val="00206C6A"/>
    <w:rsid w:val="00206D7A"/>
    <w:rsid w:val="00207156"/>
    <w:rsid w:val="002076CD"/>
    <w:rsid w:val="0020784C"/>
    <w:rsid w:val="00207860"/>
    <w:rsid w:val="00210348"/>
    <w:rsid w:val="00210DCD"/>
    <w:rsid w:val="00211121"/>
    <w:rsid w:val="0021129C"/>
    <w:rsid w:val="0021146B"/>
    <w:rsid w:val="0021153E"/>
    <w:rsid w:val="00211934"/>
    <w:rsid w:val="00211B6C"/>
    <w:rsid w:val="0021278D"/>
    <w:rsid w:val="00212D76"/>
    <w:rsid w:val="00213087"/>
    <w:rsid w:val="0021328C"/>
    <w:rsid w:val="002133ED"/>
    <w:rsid w:val="00214009"/>
    <w:rsid w:val="00214143"/>
    <w:rsid w:val="002143B3"/>
    <w:rsid w:val="002144DD"/>
    <w:rsid w:val="00214947"/>
    <w:rsid w:val="00214F8A"/>
    <w:rsid w:val="00214FBF"/>
    <w:rsid w:val="002151EC"/>
    <w:rsid w:val="0021534D"/>
    <w:rsid w:val="002161FB"/>
    <w:rsid w:val="002206A4"/>
    <w:rsid w:val="00220BB9"/>
    <w:rsid w:val="00221001"/>
    <w:rsid w:val="002212CD"/>
    <w:rsid w:val="002213B5"/>
    <w:rsid w:val="0022142A"/>
    <w:rsid w:val="00221E77"/>
    <w:rsid w:val="002220CF"/>
    <w:rsid w:val="002224BA"/>
    <w:rsid w:val="00222E5B"/>
    <w:rsid w:val="00222F6D"/>
    <w:rsid w:val="0022315E"/>
    <w:rsid w:val="0022426D"/>
    <w:rsid w:val="0022441A"/>
    <w:rsid w:val="00224EAA"/>
    <w:rsid w:val="00225014"/>
    <w:rsid w:val="002267DC"/>
    <w:rsid w:val="00226C1D"/>
    <w:rsid w:val="00226D57"/>
    <w:rsid w:val="0022750F"/>
    <w:rsid w:val="00227A35"/>
    <w:rsid w:val="00227BD5"/>
    <w:rsid w:val="00227F5D"/>
    <w:rsid w:val="00230C2A"/>
    <w:rsid w:val="002314F1"/>
    <w:rsid w:val="0023247B"/>
    <w:rsid w:val="0023254A"/>
    <w:rsid w:val="002325E5"/>
    <w:rsid w:val="002327B6"/>
    <w:rsid w:val="00233667"/>
    <w:rsid w:val="00233C79"/>
    <w:rsid w:val="00234926"/>
    <w:rsid w:val="00235D86"/>
    <w:rsid w:val="002367F1"/>
    <w:rsid w:val="00237120"/>
    <w:rsid w:val="00237574"/>
    <w:rsid w:val="00237988"/>
    <w:rsid w:val="00237CDB"/>
    <w:rsid w:val="00237DCF"/>
    <w:rsid w:val="002400B1"/>
    <w:rsid w:val="0024070E"/>
    <w:rsid w:val="00240771"/>
    <w:rsid w:val="00240A2B"/>
    <w:rsid w:val="00240E9F"/>
    <w:rsid w:val="002423F1"/>
    <w:rsid w:val="00242468"/>
    <w:rsid w:val="00242B9E"/>
    <w:rsid w:val="00242D94"/>
    <w:rsid w:val="00243B15"/>
    <w:rsid w:val="00243F3D"/>
    <w:rsid w:val="00244C41"/>
    <w:rsid w:val="00244CAE"/>
    <w:rsid w:val="00244EDC"/>
    <w:rsid w:val="002459C5"/>
    <w:rsid w:val="002461E0"/>
    <w:rsid w:val="00246373"/>
    <w:rsid w:val="002464D8"/>
    <w:rsid w:val="00246584"/>
    <w:rsid w:val="00246789"/>
    <w:rsid w:val="00246901"/>
    <w:rsid w:val="00246D2E"/>
    <w:rsid w:val="00246EB7"/>
    <w:rsid w:val="00246FCE"/>
    <w:rsid w:val="0024700E"/>
    <w:rsid w:val="00247042"/>
    <w:rsid w:val="0024725A"/>
    <w:rsid w:val="0024735F"/>
    <w:rsid w:val="00247B59"/>
    <w:rsid w:val="00247BE6"/>
    <w:rsid w:val="00247FFA"/>
    <w:rsid w:val="0025088E"/>
    <w:rsid w:val="00251CDC"/>
    <w:rsid w:val="002538AC"/>
    <w:rsid w:val="00253BCD"/>
    <w:rsid w:val="002543DE"/>
    <w:rsid w:val="00254C79"/>
    <w:rsid w:val="002553AD"/>
    <w:rsid w:val="00255BCF"/>
    <w:rsid w:val="00255E4F"/>
    <w:rsid w:val="00255FA7"/>
    <w:rsid w:val="00256525"/>
    <w:rsid w:val="0025698A"/>
    <w:rsid w:val="00256D3D"/>
    <w:rsid w:val="00257232"/>
    <w:rsid w:val="002576FC"/>
    <w:rsid w:val="00261105"/>
    <w:rsid w:val="00261DAD"/>
    <w:rsid w:val="00262825"/>
    <w:rsid w:val="00262CA0"/>
    <w:rsid w:val="00262E16"/>
    <w:rsid w:val="00262E7E"/>
    <w:rsid w:val="0026300D"/>
    <w:rsid w:val="002632CC"/>
    <w:rsid w:val="0026372F"/>
    <w:rsid w:val="002639DA"/>
    <w:rsid w:val="00263C6B"/>
    <w:rsid w:val="00264A79"/>
    <w:rsid w:val="002657CE"/>
    <w:rsid w:val="00265DEF"/>
    <w:rsid w:val="00266613"/>
    <w:rsid w:val="00266CF7"/>
    <w:rsid w:val="002678FF"/>
    <w:rsid w:val="00267D99"/>
    <w:rsid w:val="00267E72"/>
    <w:rsid w:val="00270120"/>
    <w:rsid w:val="00270499"/>
    <w:rsid w:val="00270803"/>
    <w:rsid w:val="00271277"/>
    <w:rsid w:val="00271347"/>
    <w:rsid w:val="0027168D"/>
    <w:rsid w:val="002716DB"/>
    <w:rsid w:val="00271818"/>
    <w:rsid w:val="00272F63"/>
    <w:rsid w:val="002735EF"/>
    <w:rsid w:val="00274ED9"/>
    <w:rsid w:val="002752F1"/>
    <w:rsid w:val="00275462"/>
    <w:rsid w:val="00275BCE"/>
    <w:rsid w:val="00275C57"/>
    <w:rsid w:val="0027644F"/>
    <w:rsid w:val="0027721C"/>
    <w:rsid w:val="00277474"/>
    <w:rsid w:val="00277517"/>
    <w:rsid w:val="00280326"/>
    <w:rsid w:val="00281DCB"/>
    <w:rsid w:val="002821B5"/>
    <w:rsid w:val="00282514"/>
    <w:rsid w:val="00282920"/>
    <w:rsid w:val="00283181"/>
    <w:rsid w:val="0028370D"/>
    <w:rsid w:val="00284CBE"/>
    <w:rsid w:val="00284F6D"/>
    <w:rsid w:val="00285245"/>
    <w:rsid w:val="00285290"/>
    <w:rsid w:val="00286249"/>
    <w:rsid w:val="00286A36"/>
    <w:rsid w:val="0028727C"/>
    <w:rsid w:val="00290E12"/>
    <w:rsid w:val="00291024"/>
    <w:rsid w:val="002915D5"/>
    <w:rsid w:val="00291618"/>
    <w:rsid w:val="00291844"/>
    <w:rsid w:val="00291884"/>
    <w:rsid w:val="00291DD7"/>
    <w:rsid w:val="002922BC"/>
    <w:rsid w:val="002924A4"/>
    <w:rsid w:val="00292631"/>
    <w:rsid w:val="002927F3"/>
    <w:rsid w:val="00292DA9"/>
    <w:rsid w:val="0029308E"/>
    <w:rsid w:val="00293156"/>
    <w:rsid w:val="00293780"/>
    <w:rsid w:val="00293E11"/>
    <w:rsid w:val="00293E63"/>
    <w:rsid w:val="00293E86"/>
    <w:rsid w:val="00295083"/>
    <w:rsid w:val="00296959"/>
    <w:rsid w:val="00296F21"/>
    <w:rsid w:val="002979B7"/>
    <w:rsid w:val="002A077C"/>
    <w:rsid w:val="002A0CBD"/>
    <w:rsid w:val="002A1159"/>
    <w:rsid w:val="002A2DE6"/>
    <w:rsid w:val="002A2ED6"/>
    <w:rsid w:val="002A3CCD"/>
    <w:rsid w:val="002A683E"/>
    <w:rsid w:val="002A71E4"/>
    <w:rsid w:val="002A732C"/>
    <w:rsid w:val="002B10B7"/>
    <w:rsid w:val="002B1799"/>
    <w:rsid w:val="002B18C6"/>
    <w:rsid w:val="002B1A20"/>
    <w:rsid w:val="002B2725"/>
    <w:rsid w:val="002B38ED"/>
    <w:rsid w:val="002B3FCE"/>
    <w:rsid w:val="002B42F3"/>
    <w:rsid w:val="002B469D"/>
    <w:rsid w:val="002B61A2"/>
    <w:rsid w:val="002B6B85"/>
    <w:rsid w:val="002B7415"/>
    <w:rsid w:val="002B74CB"/>
    <w:rsid w:val="002C085D"/>
    <w:rsid w:val="002C14BC"/>
    <w:rsid w:val="002C1F41"/>
    <w:rsid w:val="002C2163"/>
    <w:rsid w:val="002C22BD"/>
    <w:rsid w:val="002C2721"/>
    <w:rsid w:val="002C2F13"/>
    <w:rsid w:val="002C3419"/>
    <w:rsid w:val="002C374F"/>
    <w:rsid w:val="002C3A7A"/>
    <w:rsid w:val="002C4352"/>
    <w:rsid w:val="002C43A9"/>
    <w:rsid w:val="002C459F"/>
    <w:rsid w:val="002C484B"/>
    <w:rsid w:val="002C5361"/>
    <w:rsid w:val="002C5E70"/>
    <w:rsid w:val="002C61C4"/>
    <w:rsid w:val="002C6445"/>
    <w:rsid w:val="002C7596"/>
    <w:rsid w:val="002C7919"/>
    <w:rsid w:val="002C7A31"/>
    <w:rsid w:val="002C7BBC"/>
    <w:rsid w:val="002C7D18"/>
    <w:rsid w:val="002C7F1E"/>
    <w:rsid w:val="002D0002"/>
    <w:rsid w:val="002D0EFA"/>
    <w:rsid w:val="002D1EBA"/>
    <w:rsid w:val="002D2766"/>
    <w:rsid w:val="002D2D0C"/>
    <w:rsid w:val="002D32C2"/>
    <w:rsid w:val="002D32F1"/>
    <w:rsid w:val="002D3B8D"/>
    <w:rsid w:val="002D3D26"/>
    <w:rsid w:val="002D4B11"/>
    <w:rsid w:val="002D4D67"/>
    <w:rsid w:val="002D56DF"/>
    <w:rsid w:val="002D69F8"/>
    <w:rsid w:val="002D7578"/>
    <w:rsid w:val="002D7A87"/>
    <w:rsid w:val="002D7C54"/>
    <w:rsid w:val="002D7FE1"/>
    <w:rsid w:val="002E086C"/>
    <w:rsid w:val="002E0BF5"/>
    <w:rsid w:val="002E12ED"/>
    <w:rsid w:val="002E29C1"/>
    <w:rsid w:val="002E2A84"/>
    <w:rsid w:val="002E33A2"/>
    <w:rsid w:val="002E3B34"/>
    <w:rsid w:val="002E3CD0"/>
    <w:rsid w:val="002E3E99"/>
    <w:rsid w:val="002E440C"/>
    <w:rsid w:val="002E48D2"/>
    <w:rsid w:val="002E53CA"/>
    <w:rsid w:val="002E5D6B"/>
    <w:rsid w:val="002E60B3"/>
    <w:rsid w:val="002E648D"/>
    <w:rsid w:val="002E6832"/>
    <w:rsid w:val="002E795F"/>
    <w:rsid w:val="002F09D0"/>
    <w:rsid w:val="002F0BE5"/>
    <w:rsid w:val="002F1403"/>
    <w:rsid w:val="002F14C5"/>
    <w:rsid w:val="002F19B4"/>
    <w:rsid w:val="002F1ABA"/>
    <w:rsid w:val="002F2DD7"/>
    <w:rsid w:val="002F3CE0"/>
    <w:rsid w:val="002F4166"/>
    <w:rsid w:val="002F427E"/>
    <w:rsid w:val="002F4459"/>
    <w:rsid w:val="002F4DBF"/>
    <w:rsid w:val="002F4ECE"/>
    <w:rsid w:val="002F5061"/>
    <w:rsid w:val="002F618B"/>
    <w:rsid w:val="002F629B"/>
    <w:rsid w:val="002F655B"/>
    <w:rsid w:val="003000D2"/>
    <w:rsid w:val="003003B4"/>
    <w:rsid w:val="00301570"/>
    <w:rsid w:val="00303561"/>
    <w:rsid w:val="00303587"/>
    <w:rsid w:val="00303B15"/>
    <w:rsid w:val="00303F1D"/>
    <w:rsid w:val="00303F4D"/>
    <w:rsid w:val="003049CC"/>
    <w:rsid w:val="00305073"/>
    <w:rsid w:val="0030650D"/>
    <w:rsid w:val="00307CBD"/>
    <w:rsid w:val="00310D01"/>
    <w:rsid w:val="003111A3"/>
    <w:rsid w:val="0031187D"/>
    <w:rsid w:val="0031256F"/>
    <w:rsid w:val="00312587"/>
    <w:rsid w:val="00312883"/>
    <w:rsid w:val="003128CC"/>
    <w:rsid w:val="00313577"/>
    <w:rsid w:val="003135E5"/>
    <w:rsid w:val="00314515"/>
    <w:rsid w:val="00314A93"/>
    <w:rsid w:val="00314B4D"/>
    <w:rsid w:val="00315C2D"/>
    <w:rsid w:val="00316432"/>
    <w:rsid w:val="0031684C"/>
    <w:rsid w:val="00317CF9"/>
    <w:rsid w:val="00317F9F"/>
    <w:rsid w:val="00320CDC"/>
    <w:rsid w:val="00320D20"/>
    <w:rsid w:val="00321273"/>
    <w:rsid w:val="0032162C"/>
    <w:rsid w:val="00321EAB"/>
    <w:rsid w:val="00322B23"/>
    <w:rsid w:val="00322B7B"/>
    <w:rsid w:val="003238DC"/>
    <w:rsid w:val="003246C2"/>
    <w:rsid w:val="00324C94"/>
    <w:rsid w:val="00324EC9"/>
    <w:rsid w:val="0032551B"/>
    <w:rsid w:val="00325CD8"/>
    <w:rsid w:val="0032679D"/>
    <w:rsid w:val="00330257"/>
    <w:rsid w:val="0033026D"/>
    <w:rsid w:val="0033082E"/>
    <w:rsid w:val="00330973"/>
    <w:rsid w:val="00330EB1"/>
    <w:rsid w:val="00331199"/>
    <w:rsid w:val="00331211"/>
    <w:rsid w:val="00331545"/>
    <w:rsid w:val="00331569"/>
    <w:rsid w:val="00331C7D"/>
    <w:rsid w:val="00332476"/>
    <w:rsid w:val="00332D1A"/>
    <w:rsid w:val="0033336F"/>
    <w:rsid w:val="00333DA2"/>
    <w:rsid w:val="0033516E"/>
    <w:rsid w:val="00335A32"/>
    <w:rsid w:val="003376F4"/>
    <w:rsid w:val="0033795A"/>
    <w:rsid w:val="00337D03"/>
    <w:rsid w:val="00337D22"/>
    <w:rsid w:val="0034020A"/>
    <w:rsid w:val="00340500"/>
    <w:rsid w:val="00340CC2"/>
    <w:rsid w:val="00341062"/>
    <w:rsid w:val="0034113D"/>
    <w:rsid w:val="003412E8"/>
    <w:rsid w:val="003419E0"/>
    <w:rsid w:val="00341DA2"/>
    <w:rsid w:val="00342585"/>
    <w:rsid w:val="00342AAF"/>
    <w:rsid w:val="003430A0"/>
    <w:rsid w:val="00343F56"/>
    <w:rsid w:val="00345147"/>
    <w:rsid w:val="003459B6"/>
    <w:rsid w:val="00345EAD"/>
    <w:rsid w:val="003460A9"/>
    <w:rsid w:val="0034620D"/>
    <w:rsid w:val="00347D35"/>
    <w:rsid w:val="00347D4E"/>
    <w:rsid w:val="003502C4"/>
    <w:rsid w:val="003511CC"/>
    <w:rsid w:val="0035153B"/>
    <w:rsid w:val="00352268"/>
    <w:rsid w:val="0035265B"/>
    <w:rsid w:val="00352F4B"/>
    <w:rsid w:val="00353602"/>
    <w:rsid w:val="00354700"/>
    <w:rsid w:val="00355588"/>
    <w:rsid w:val="003559C0"/>
    <w:rsid w:val="00357D12"/>
    <w:rsid w:val="00357D39"/>
    <w:rsid w:val="00360442"/>
    <w:rsid w:val="00360465"/>
    <w:rsid w:val="00360817"/>
    <w:rsid w:val="0036083E"/>
    <w:rsid w:val="0036128C"/>
    <w:rsid w:val="0036159D"/>
    <w:rsid w:val="00362149"/>
    <w:rsid w:val="003634F8"/>
    <w:rsid w:val="00363D36"/>
    <w:rsid w:val="0036405F"/>
    <w:rsid w:val="00364502"/>
    <w:rsid w:val="003646DF"/>
    <w:rsid w:val="003648CE"/>
    <w:rsid w:val="0036502B"/>
    <w:rsid w:val="00365134"/>
    <w:rsid w:val="003652E9"/>
    <w:rsid w:val="00365702"/>
    <w:rsid w:val="00365A6E"/>
    <w:rsid w:val="00365FBC"/>
    <w:rsid w:val="00366648"/>
    <w:rsid w:val="00367F4A"/>
    <w:rsid w:val="0037097C"/>
    <w:rsid w:val="00371C01"/>
    <w:rsid w:val="00371E5C"/>
    <w:rsid w:val="00372266"/>
    <w:rsid w:val="003729C4"/>
    <w:rsid w:val="00372AE5"/>
    <w:rsid w:val="0037329E"/>
    <w:rsid w:val="00374709"/>
    <w:rsid w:val="003750E9"/>
    <w:rsid w:val="0037521E"/>
    <w:rsid w:val="003760FB"/>
    <w:rsid w:val="003766A5"/>
    <w:rsid w:val="00376DCE"/>
    <w:rsid w:val="003770E6"/>
    <w:rsid w:val="00377255"/>
    <w:rsid w:val="003806AF"/>
    <w:rsid w:val="0038166D"/>
    <w:rsid w:val="003819DD"/>
    <w:rsid w:val="00382AD1"/>
    <w:rsid w:val="00383406"/>
    <w:rsid w:val="00383550"/>
    <w:rsid w:val="003836CD"/>
    <w:rsid w:val="0038397F"/>
    <w:rsid w:val="00384035"/>
    <w:rsid w:val="00385501"/>
    <w:rsid w:val="00385E41"/>
    <w:rsid w:val="00386651"/>
    <w:rsid w:val="0038680F"/>
    <w:rsid w:val="003869D8"/>
    <w:rsid w:val="003876DA"/>
    <w:rsid w:val="003877D5"/>
    <w:rsid w:val="00387BFB"/>
    <w:rsid w:val="003903A0"/>
    <w:rsid w:val="003915B9"/>
    <w:rsid w:val="003915FF"/>
    <w:rsid w:val="00391B00"/>
    <w:rsid w:val="00392A84"/>
    <w:rsid w:val="00392C7B"/>
    <w:rsid w:val="0039301B"/>
    <w:rsid w:val="0039340D"/>
    <w:rsid w:val="0039468D"/>
    <w:rsid w:val="00394D8A"/>
    <w:rsid w:val="003967C5"/>
    <w:rsid w:val="00396952"/>
    <w:rsid w:val="00396E1A"/>
    <w:rsid w:val="00397349"/>
    <w:rsid w:val="003A035F"/>
    <w:rsid w:val="003A0537"/>
    <w:rsid w:val="003A171B"/>
    <w:rsid w:val="003A27A7"/>
    <w:rsid w:val="003A462C"/>
    <w:rsid w:val="003A5851"/>
    <w:rsid w:val="003A5867"/>
    <w:rsid w:val="003A6440"/>
    <w:rsid w:val="003A64FB"/>
    <w:rsid w:val="003A6B9B"/>
    <w:rsid w:val="003A7219"/>
    <w:rsid w:val="003A7545"/>
    <w:rsid w:val="003A798E"/>
    <w:rsid w:val="003B145F"/>
    <w:rsid w:val="003B219B"/>
    <w:rsid w:val="003B2570"/>
    <w:rsid w:val="003B2B2A"/>
    <w:rsid w:val="003B2C9B"/>
    <w:rsid w:val="003B3173"/>
    <w:rsid w:val="003B325B"/>
    <w:rsid w:val="003B3499"/>
    <w:rsid w:val="003B3B24"/>
    <w:rsid w:val="003B3B5B"/>
    <w:rsid w:val="003B4282"/>
    <w:rsid w:val="003B450C"/>
    <w:rsid w:val="003B4686"/>
    <w:rsid w:val="003B50E6"/>
    <w:rsid w:val="003B5B18"/>
    <w:rsid w:val="003B689E"/>
    <w:rsid w:val="003B6DA5"/>
    <w:rsid w:val="003C05BE"/>
    <w:rsid w:val="003C0DFB"/>
    <w:rsid w:val="003C2797"/>
    <w:rsid w:val="003C2B7D"/>
    <w:rsid w:val="003C2E00"/>
    <w:rsid w:val="003C348F"/>
    <w:rsid w:val="003C386B"/>
    <w:rsid w:val="003C4719"/>
    <w:rsid w:val="003C48B8"/>
    <w:rsid w:val="003C48F5"/>
    <w:rsid w:val="003C55AE"/>
    <w:rsid w:val="003C62E4"/>
    <w:rsid w:val="003C652D"/>
    <w:rsid w:val="003C66B1"/>
    <w:rsid w:val="003C761B"/>
    <w:rsid w:val="003C7C09"/>
    <w:rsid w:val="003C7E4D"/>
    <w:rsid w:val="003D0D48"/>
    <w:rsid w:val="003D0EFF"/>
    <w:rsid w:val="003D18A4"/>
    <w:rsid w:val="003D214A"/>
    <w:rsid w:val="003D2565"/>
    <w:rsid w:val="003D38F2"/>
    <w:rsid w:val="003D4258"/>
    <w:rsid w:val="003D4C79"/>
    <w:rsid w:val="003D636A"/>
    <w:rsid w:val="003D6567"/>
    <w:rsid w:val="003D65C6"/>
    <w:rsid w:val="003D6F6C"/>
    <w:rsid w:val="003D72F0"/>
    <w:rsid w:val="003D7423"/>
    <w:rsid w:val="003D75DC"/>
    <w:rsid w:val="003D79DE"/>
    <w:rsid w:val="003E0299"/>
    <w:rsid w:val="003E1D27"/>
    <w:rsid w:val="003E2822"/>
    <w:rsid w:val="003E2949"/>
    <w:rsid w:val="003E2B80"/>
    <w:rsid w:val="003E30C7"/>
    <w:rsid w:val="003E4337"/>
    <w:rsid w:val="003E4804"/>
    <w:rsid w:val="003E4B96"/>
    <w:rsid w:val="003E4FB3"/>
    <w:rsid w:val="003E5E33"/>
    <w:rsid w:val="003E6D9A"/>
    <w:rsid w:val="003E6E56"/>
    <w:rsid w:val="003E70DB"/>
    <w:rsid w:val="003E7E90"/>
    <w:rsid w:val="003F0A38"/>
    <w:rsid w:val="003F0D8A"/>
    <w:rsid w:val="003F14B0"/>
    <w:rsid w:val="003F15A8"/>
    <w:rsid w:val="003F18A9"/>
    <w:rsid w:val="003F38C3"/>
    <w:rsid w:val="003F3A5B"/>
    <w:rsid w:val="003F3EDF"/>
    <w:rsid w:val="003F4BD7"/>
    <w:rsid w:val="003F68C6"/>
    <w:rsid w:val="003F75B8"/>
    <w:rsid w:val="003F77BA"/>
    <w:rsid w:val="003F7D06"/>
    <w:rsid w:val="004001CF"/>
    <w:rsid w:val="004003D0"/>
    <w:rsid w:val="00400893"/>
    <w:rsid w:val="00400A3E"/>
    <w:rsid w:val="00401196"/>
    <w:rsid w:val="00402722"/>
    <w:rsid w:val="004029A5"/>
    <w:rsid w:val="004036DB"/>
    <w:rsid w:val="00403D4F"/>
    <w:rsid w:val="00403DE4"/>
    <w:rsid w:val="004043C2"/>
    <w:rsid w:val="004047B9"/>
    <w:rsid w:val="00404EEE"/>
    <w:rsid w:val="00405244"/>
    <w:rsid w:val="004054B9"/>
    <w:rsid w:val="004060F6"/>
    <w:rsid w:val="004065F3"/>
    <w:rsid w:val="00406612"/>
    <w:rsid w:val="00406CDB"/>
    <w:rsid w:val="0040728E"/>
    <w:rsid w:val="0040768D"/>
    <w:rsid w:val="00410633"/>
    <w:rsid w:val="004107F5"/>
    <w:rsid w:val="004111DB"/>
    <w:rsid w:val="00411BF4"/>
    <w:rsid w:val="00411FBF"/>
    <w:rsid w:val="00412362"/>
    <w:rsid w:val="00412602"/>
    <w:rsid w:val="0041264F"/>
    <w:rsid w:val="00413A88"/>
    <w:rsid w:val="00413F29"/>
    <w:rsid w:val="004140CF"/>
    <w:rsid w:val="004146C0"/>
    <w:rsid w:val="00415864"/>
    <w:rsid w:val="00415B6C"/>
    <w:rsid w:val="00415CBB"/>
    <w:rsid w:val="00416033"/>
    <w:rsid w:val="004165CD"/>
    <w:rsid w:val="00416649"/>
    <w:rsid w:val="00416677"/>
    <w:rsid w:val="00416EA7"/>
    <w:rsid w:val="00417509"/>
    <w:rsid w:val="004177BA"/>
    <w:rsid w:val="004202A3"/>
    <w:rsid w:val="00420446"/>
    <w:rsid w:val="00420762"/>
    <w:rsid w:val="004208EF"/>
    <w:rsid w:val="00420EB0"/>
    <w:rsid w:val="00420EB2"/>
    <w:rsid w:val="004219D3"/>
    <w:rsid w:val="00421ECD"/>
    <w:rsid w:val="00422105"/>
    <w:rsid w:val="004223E1"/>
    <w:rsid w:val="004224FB"/>
    <w:rsid w:val="00422C23"/>
    <w:rsid w:val="0042379B"/>
    <w:rsid w:val="00423C2D"/>
    <w:rsid w:val="00423FB0"/>
    <w:rsid w:val="0042417B"/>
    <w:rsid w:val="00424314"/>
    <w:rsid w:val="0042494F"/>
    <w:rsid w:val="004257A1"/>
    <w:rsid w:val="00425928"/>
    <w:rsid w:val="0042666E"/>
    <w:rsid w:val="00426795"/>
    <w:rsid w:val="004301B8"/>
    <w:rsid w:val="00431974"/>
    <w:rsid w:val="00432497"/>
    <w:rsid w:val="00433AA7"/>
    <w:rsid w:val="00433D6D"/>
    <w:rsid w:val="0043495E"/>
    <w:rsid w:val="00434BF3"/>
    <w:rsid w:val="004363A9"/>
    <w:rsid w:val="00436964"/>
    <w:rsid w:val="00436A9F"/>
    <w:rsid w:val="00436AA1"/>
    <w:rsid w:val="00437B90"/>
    <w:rsid w:val="00437C28"/>
    <w:rsid w:val="004404E0"/>
    <w:rsid w:val="004408F7"/>
    <w:rsid w:val="00440B60"/>
    <w:rsid w:val="00441682"/>
    <w:rsid w:val="00441E6F"/>
    <w:rsid w:val="00442272"/>
    <w:rsid w:val="00442569"/>
    <w:rsid w:val="004426FB"/>
    <w:rsid w:val="004432C1"/>
    <w:rsid w:val="004436F2"/>
    <w:rsid w:val="004436FE"/>
    <w:rsid w:val="00443BC1"/>
    <w:rsid w:val="00444029"/>
    <w:rsid w:val="004443B3"/>
    <w:rsid w:val="00445771"/>
    <w:rsid w:val="004463FC"/>
    <w:rsid w:val="004464B8"/>
    <w:rsid w:val="00446EBD"/>
    <w:rsid w:val="004471A6"/>
    <w:rsid w:val="0044749C"/>
    <w:rsid w:val="00452E90"/>
    <w:rsid w:val="00453313"/>
    <w:rsid w:val="004535AA"/>
    <w:rsid w:val="004537F5"/>
    <w:rsid w:val="0045397E"/>
    <w:rsid w:val="00453A94"/>
    <w:rsid w:val="00453ABF"/>
    <w:rsid w:val="00453B57"/>
    <w:rsid w:val="00454E97"/>
    <w:rsid w:val="00455137"/>
    <w:rsid w:val="004555EE"/>
    <w:rsid w:val="0045589C"/>
    <w:rsid w:val="00455DDD"/>
    <w:rsid w:val="00456AD5"/>
    <w:rsid w:val="004578C1"/>
    <w:rsid w:val="00460501"/>
    <w:rsid w:val="0046057F"/>
    <w:rsid w:val="00460B1F"/>
    <w:rsid w:val="0046102D"/>
    <w:rsid w:val="0046141C"/>
    <w:rsid w:val="00461B8F"/>
    <w:rsid w:val="00462000"/>
    <w:rsid w:val="004623D9"/>
    <w:rsid w:val="00462C6D"/>
    <w:rsid w:val="00462D74"/>
    <w:rsid w:val="0046305D"/>
    <w:rsid w:val="00463869"/>
    <w:rsid w:val="004657B5"/>
    <w:rsid w:val="004657D4"/>
    <w:rsid w:val="00467EE9"/>
    <w:rsid w:val="004702C0"/>
    <w:rsid w:val="00470340"/>
    <w:rsid w:val="004703B3"/>
    <w:rsid w:val="0047119F"/>
    <w:rsid w:val="004724F9"/>
    <w:rsid w:val="00472A9D"/>
    <w:rsid w:val="004748C3"/>
    <w:rsid w:val="004749E8"/>
    <w:rsid w:val="00474C42"/>
    <w:rsid w:val="00474E92"/>
    <w:rsid w:val="004755CB"/>
    <w:rsid w:val="0047613E"/>
    <w:rsid w:val="004765CA"/>
    <w:rsid w:val="004766F8"/>
    <w:rsid w:val="00477895"/>
    <w:rsid w:val="00477D15"/>
    <w:rsid w:val="00477F89"/>
    <w:rsid w:val="00480351"/>
    <w:rsid w:val="004803D4"/>
    <w:rsid w:val="004811EE"/>
    <w:rsid w:val="00482B6A"/>
    <w:rsid w:val="00483460"/>
    <w:rsid w:val="0048350F"/>
    <w:rsid w:val="00483F00"/>
    <w:rsid w:val="00484930"/>
    <w:rsid w:val="00484E05"/>
    <w:rsid w:val="00485235"/>
    <w:rsid w:val="00485253"/>
    <w:rsid w:val="004856F8"/>
    <w:rsid w:val="00486519"/>
    <w:rsid w:val="00486E41"/>
    <w:rsid w:val="0048726D"/>
    <w:rsid w:val="00490515"/>
    <w:rsid w:val="00491AE3"/>
    <w:rsid w:val="004925A8"/>
    <w:rsid w:val="004927CD"/>
    <w:rsid w:val="00493014"/>
    <w:rsid w:val="00493BF9"/>
    <w:rsid w:val="004941D0"/>
    <w:rsid w:val="00494307"/>
    <w:rsid w:val="0049469E"/>
    <w:rsid w:val="00494835"/>
    <w:rsid w:val="0049521F"/>
    <w:rsid w:val="004953BC"/>
    <w:rsid w:val="004A0484"/>
    <w:rsid w:val="004A1315"/>
    <w:rsid w:val="004A13E6"/>
    <w:rsid w:val="004A2687"/>
    <w:rsid w:val="004A3118"/>
    <w:rsid w:val="004A44D1"/>
    <w:rsid w:val="004A47A7"/>
    <w:rsid w:val="004A4D9B"/>
    <w:rsid w:val="004A7B74"/>
    <w:rsid w:val="004B055B"/>
    <w:rsid w:val="004B0BDA"/>
    <w:rsid w:val="004B10B9"/>
    <w:rsid w:val="004B14F5"/>
    <w:rsid w:val="004B15BA"/>
    <w:rsid w:val="004B197F"/>
    <w:rsid w:val="004B1AFF"/>
    <w:rsid w:val="004B1BF8"/>
    <w:rsid w:val="004B32A6"/>
    <w:rsid w:val="004B4160"/>
    <w:rsid w:val="004B46D3"/>
    <w:rsid w:val="004B4EB1"/>
    <w:rsid w:val="004B5551"/>
    <w:rsid w:val="004B560A"/>
    <w:rsid w:val="004B5C09"/>
    <w:rsid w:val="004B5D20"/>
    <w:rsid w:val="004B5D5A"/>
    <w:rsid w:val="004B6030"/>
    <w:rsid w:val="004B6AD7"/>
    <w:rsid w:val="004B711F"/>
    <w:rsid w:val="004B7355"/>
    <w:rsid w:val="004B7D85"/>
    <w:rsid w:val="004C0037"/>
    <w:rsid w:val="004C0940"/>
    <w:rsid w:val="004C0D39"/>
    <w:rsid w:val="004C0DA0"/>
    <w:rsid w:val="004C1164"/>
    <w:rsid w:val="004C17E2"/>
    <w:rsid w:val="004C1F02"/>
    <w:rsid w:val="004C2C87"/>
    <w:rsid w:val="004C3FEE"/>
    <w:rsid w:val="004C4565"/>
    <w:rsid w:val="004C4CA1"/>
    <w:rsid w:val="004C59DE"/>
    <w:rsid w:val="004C6617"/>
    <w:rsid w:val="004C76E1"/>
    <w:rsid w:val="004C7C49"/>
    <w:rsid w:val="004C7D8B"/>
    <w:rsid w:val="004D1898"/>
    <w:rsid w:val="004D2B04"/>
    <w:rsid w:val="004D2DB8"/>
    <w:rsid w:val="004D3233"/>
    <w:rsid w:val="004D399B"/>
    <w:rsid w:val="004D40F3"/>
    <w:rsid w:val="004D460C"/>
    <w:rsid w:val="004D54A1"/>
    <w:rsid w:val="004D5741"/>
    <w:rsid w:val="004D57EE"/>
    <w:rsid w:val="004D705F"/>
    <w:rsid w:val="004D72F5"/>
    <w:rsid w:val="004E15A6"/>
    <w:rsid w:val="004E192D"/>
    <w:rsid w:val="004E2CFB"/>
    <w:rsid w:val="004E37DE"/>
    <w:rsid w:val="004E4088"/>
    <w:rsid w:val="004E41E9"/>
    <w:rsid w:val="004E60F0"/>
    <w:rsid w:val="004E6D29"/>
    <w:rsid w:val="004E6FDF"/>
    <w:rsid w:val="004E7C23"/>
    <w:rsid w:val="004F0F37"/>
    <w:rsid w:val="004F1757"/>
    <w:rsid w:val="004F1F4B"/>
    <w:rsid w:val="004F1F6E"/>
    <w:rsid w:val="004F3DF9"/>
    <w:rsid w:val="004F46B3"/>
    <w:rsid w:val="004F4908"/>
    <w:rsid w:val="004F57AF"/>
    <w:rsid w:val="004F7862"/>
    <w:rsid w:val="005001C0"/>
    <w:rsid w:val="005006F1"/>
    <w:rsid w:val="00500B90"/>
    <w:rsid w:val="00500FF3"/>
    <w:rsid w:val="005011F9"/>
    <w:rsid w:val="005014FC"/>
    <w:rsid w:val="00501F98"/>
    <w:rsid w:val="0050203F"/>
    <w:rsid w:val="00502940"/>
    <w:rsid w:val="0050380D"/>
    <w:rsid w:val="00503C27"/>
    <w:rsid w:val="00504239"/>
    <w:rsid w:val="00507AB6"/>
    <w:rsid w:val="005103F9"/>
    <w:rsid w:val="00510C16"/>
    <w:rsid w:val="0051122D"/>
    <w:rsid w:val="00511B09"/>
    <w:rsid w:val="00511C73"/>
    <w:rsid w:val="00512357"/>
    <w:rsid w:val="0051253A"/>
    <w:rsid w:val="005125F7"/>
    <w:rsid w:val="00512CF2"/>
    <w:rsid w:val="0051331A"/>
    <w:rsid w:val="005136C3"/>
    <w:rsid w:val="005145DF"/>
    <w:rsid w:val="00514B1D"/>
    <w:rsid w:val="005151D2"/>
    <w:rsid w:val="005153E4"/>
    <w:rsid w:val="00515BDA"/>
    <w:rsid w:val="00516176"/>
    <w:rsid w:val="0051628C"/>
    <w:rsid w:val="0051688E"/>
    <w:rsid w:val="005171A4"/>
    <w:rsid w:val="005175CB"/>
    <w:rsid w:val="0052020C"/>
    <w:rsid w:val="00520277"/>
    <w:rsid w:val="00520350"/>
    <w:rsid w:val="00521CB0"/>
    <w:rsid w:val="00521CCA"/>
    <w:rsid w:val="00522211"/>
    <w:rsid w:val="0052344E"/>
    <w:rsid w:val="0052390D"/>
    <w:rsid w:val="00524530"/>
    <w:rsid w:val="00524F12"/>
    <w:rsid w:val="00525DDB"/>
    <w:rsid w:val="00526154"/>
    <w:rsid w:val="00526633"/>
    <w:rsid w:val="005273D1"/>
    <w:rsid w:val="00527458"/>
    <w:rsid w:val="005277B0"/>
    <w:rsid w:val="0053009B"/>
    <w:rsid w:val="0053011C"/>
    <w:rsid w:val="0053093F"/>
    <w:rsid w:val="0053097A"/>
    <w:rsid w:val="005313F1"/>
    <w:rsid w:val="005319E2"/>
    <w:rsid w:val="00531B17"/>
    <w:rsid w:val="005327FC"/>
    <w:rsid w:val="00532BF1"/>
    <w:rsid w:val="00533522"/>
    <w:rsid w:val="00533A06"/>
    <w:rsid w:val="00533F6C"/>
    <w:rsid w:val="00534F89"/>
    <w:rsid w:val="00535CEB"/>
    <w:rsid w:val="00535F2C"/>
    <w:rsid w:val="0053623E"/>
    <w:rsid w:val="00536DAB"/>
    <w:rsid w:val="005379FD"/>
    <w:rsid w:val="005403DF"/>
    <w:rsid w:val="005408A0"/>
    <w:rsid w:val="00541F81"/>
    <w:rsid w:val="005430B8"/>
    <w:rsid w:val="00543AFF"/>
    <w:rsid w:val="00543D50"/>
    <w:rsid w:val="00544E70"/>
    <w:rsid w:val="0054515E"/>
    <w:rsid w:val="00546077"/>
    <w:rsid w:val="00546967"/>
    <w:rsid w:val="00550091"/>
    <w:rsid w:val="0055025F"/>
    <w:rsid w:val="00550F93"/>
    <w:rsid w:val="00551B5D"/>
    <w:rsid w:val="00551B7B"/>
    <w:rsid w:val="00551F12"/>
    <w:rsid w:val="005524BA"/>
    <w:rsid w:val="00552E69"/>
    <w:rsid w:val="00553791"/>
    <w:rsid w:val="00553C3D"/>
    <w:rsid w:val="00553CDD"/>
    <w:rsid w:val="005554A1"/>
    <w:rsid w:val="00556E11"/>
    <w:rsid w:val="0055724D"/>
    <w:rsid w:val="005575F9"/>
    <w:rsid w:val="005606B2"/>
    <w:rsid w:val="00560E7B"/>
    <w:rsid w:val="005610DF"/>
    <w:rsid w:val="005613E0"/>
    <w:rsid w:val="00562042"/>
    <w:rsid w:val="005620F7"/>
    <w:rsid w:val="00563354"/>
    <w:rsid w:val="005634AA"/>
    <w:rsid w:val="00563659"/>
    <w:rsid w:val="00563869"/>
    <w:rsid w:val="00563B83"/>
    <w:rsid w:val="00563C38"/>
    <w:rsid w:val="005640E7"/>
    <w:rsid w:val="005647F9"/>
    <w:rsid w:val="0056486F"/>
    <w:rsid w:val="005659C5"/>
    <w:rsid w:val="00565C7F"/>
    <w:rsid w:val="00566B70"/>
    <w:rsid w:val="00566ECD"/>
    <w:rsid w:val="005673B8"/>
    <w:rsid w:val="00567846"/>
    <w:rsid w:val="00567C39"/>
    <w:rsid w:val="00567EC4"/>
    <w:rsid w:val="005704C3"/>
    <w:rsid w:val="00571169"/>
    <w:rsid w:val="00571325"/>
    <w:rsid w:val="0057153A"/>
    <w:rsid w:val="00571E72"/>
    <w:rsid w:val="00572C50"/>
    <w:rsid w:val="00573F58"/>
    <w:rsid w:val="0057459B"/>
    <w:rsid w:val="00574C4F"/>
    <w:rsid w:val="00574FD8"/>
    <w:rsid w:val="005753BD"/>
    <w:rsid w:val="0057651B"/>
    <w:rsid w:val="005802FA"/>
    <w:rsid w:val="0058165C"/>
    <w:rsid w:val="005830F9"/>
    <w:rsid w:val="00583DFC"/>
    <w:rsid w:val="00583F90"/>
    <w:rsid w:val="005843F2"/>
    <w:rsid w:val="00584DCF"/>
    <w:rsid w:val="00586359"/>
    <w:rsid w:val="005863F0"/>
    <w:rsid w:val="005869FC"/>
    <w:rsid w:val="00586E35"/>
    <w:rsid w:val="00587067"/>
    <w:rsid w:val="005870B1"/>
    <w:rsid w:val="00587228"/>
    <w:rsid w:val="00587340"/>
    <w:rsid w:val="00587852"/>
    <w:rsid w:val="00591453"/>
    <w:rsid w:val="005932F0"/>
    <w:rsid w:val="005932F2"/>
    <w:rsid w:val="005935F0"/>
    <w:rsid w:val="00593CB8"/>
    <w:rsid w:val="0059402E"/>
    <w:rsid w:val="00594D6D"/>
    <w:rsid w:val="0059525F"/>
    <w:rsid w:val="00595270"/>
    <w:rsid w:val="00595507"/>
    <w:rsid w:val="0059566D"/>
    <w:rsid w:val="00595BB6"/>
    <w:rsid w:val="00595E4E"/>
    <w:rsid w:val="0059723D"/>
    <w:rsid w:val="005973F8"/>
    <w:rsid w:val="005978B0"/>
    <w:rsid w:val="005978EE"/>
    <w:rsid w:val="005A1327"/>
    <w:rsid w:val="005A1778"/>
    <w:rsid w:val="005A25A0"/>
    <w:rsid w:val="005A2B55"/>
    <w:rsid w:val="005A2DB1"/>
    <w:rsid w:val="005A2F1C"/>
    <w:rsid w:val="005A2F79"/>
    <w:rsid w:val="005A3417"/>
    <w:rsid w:val="005A50C7"/>
    <w:rsid w:val="005A6621"/>
    <w:rsid w:val="005A7947"/>
    <w:rsid w:val="005A7DD6"/>
    <w:rsid w:val="005B0831"/>
    <w:rsid w:val="005B0CB0"/>
    <w:rsid w:val="005B1679"/>
    <w:rsid w:val="005B25F3"/>
    <w:rsid w:val="005B282B"/>
    <w:rsid w:val="005B39F4"/>
    <w:rsid w:val="005B4556"/>
    <w:rsid w:val="005B4A3B"/>
    <w:rsid w:val="005B4C4D"/>
    <w:rsid w:val="005B5096"/>
    <w:rsid w:val="005B636A"/>
    <w:rsid w:val="005B6D2B"/>
    <w:rsid w:val="005B7AE6"/>
    <w:rsid w:val="005C1201"/>
    <w:rsid w:val="005C2445"/>
    <w:rsid w:val="005C2E85"/>
    <w:rsid w:val="005C344E"/>
    <w:rsid w:val="005C350D"/>
    <w:rsid w:val="005C36C4"/>
    <w:rsid w:val="005C39E5"/>
    <w:rsid w:val="005C42C9"/>
    <w:rsid w:val="005C4472"/>
    <w:rsid w:val="005C5839"/>
    <w:rsid w:val="005C635A"/>
    <w:rsid w:val="005C6C6C"/>
    <w:rsid w:val="005C6EFB"/>
    <w:rsid w:val="005C7EBC"/>
    <w:rsid w:val="005D07EE"/>
    <w:rsid w:val="005D0CFA"/>
    <w:rsid w:val="005D0E30"/>
    <w:rsid w:val="005D135E"/>
    <w:rsid w:val="005D14E4"/>
    <w:rsid w:val="005D16A0"/>
    <w:rsid w:val="005D1F24"/>
    <w:rsid w:val="005D2103"/>
    <w:rsid w:val="005D26BD"/>
    <w:rsid w:val="005D2F2C"/>
    <w:rsid w:val="005D3243"/>
    <w:rsid w:val="005D32C8"/>
    <w:rsid w:val="005D4BBF"/>
    <w:rsid w:val="005D528F"/>
    <w:rsid w:val="005D5A53"/>
    <w:rsid w:val="005D5EC8"/>
    <w:rsid w:val="005D61E0"/>
    <w:rsid w:val="005D66F6"/>
    <w:rsid w:val="005D726D"/>
    <w:rsid w:val="005D750E"/>
    <w:rsid w:val="005E16AF"/>
    <w:rsid w:val="005E2170"/>
    <w:rsid w:val="005E2C9C"/>
    <w:rsid w:val="005E308C"/>
    <w:rsid w:val="005E30A5"/>
    <w:rsid w:val="005E3229"/>
    <w:rsid w:val="005E523A"/>
    <w:rsid w:val="005E5703"/>
    <w:rsid w:val="005E598C"/>
    <w:rsid w:val="005E5E9F"/>
    <w:rsid w:val="005E6447"/>
    <w:rsid w:val="005E6750"/>
    <w:rsid w:val="005E6AEF"/>
    <w:rsid w:val="005E6CEC"/>
    <w:rsid w:val="005E6D6D"/>
    <w:rsid w:val="005E6DA9"/>
    <w:rsid w:val="005E70E1"/>
    <w:rsid w:val="005E738C"/>
    <w:rsid w:val="005E7802"/>
    <w:rsid w:val="005F0E97"/>
    <w:rsid w:val="005F1083"/>
    <w:rsid w:val="005F1188"/>
    <w:rsid w:val="005F1D49"/>
    <w:rsid w:val="005F2048"/>
    <w:rsid w:val="005F2528"/>
    <w:rsid w:val="005F3B6D"/>
    <w:rsid w:val="005F467C"/>
    <w:rsid w:val="005F4CB9"/>
    <w:rsid w:val="005F5046"/>
    <w:rsid w:val="005F5513"/>
    <w:rsid w:val="005F60D1"/>
    <w:rsid w:val="005F611F"/>
    <w:rsid w:val="005F616C"/>
    <w:rsid w:val="005F6782"/>
    <w:rsid w:val="006000A5"/>
    <w:rsid w:val="00600F6E"/>
    <w:rsid w:val="0060127C"/>
    <w:rsid w:val="00601371"/>
    <w:rsid w:val="00601875"/>
    <w:rsid w:val="006018F9"/>
    <w:rsid w:val="00602742"/>
    <w:rsid w:val="006030DF"/>
    <w:rsid w:val="00603367"/>
    <w:rsid w:val="00603575"/>
    <w:rsid w:val="00603A4C"/>
    <w:rsid w:val="006044F6"/>
    <w:rsid w:val="00604653"/>
    <w:rsid w:val="00604FDF"/>
    <w:rsid w:val="00605132"/>
    <w:rsid w:val="00605739"/>
    <w:rsid w:val="00606C68"/>
    <w:rsid w:val="00607FA7"/>
    <w:rsid w:val="006108EF"/>
    <w:rsid w:val="00610A9D"/>
    <w:rsid w:val="00611303"/>
    <w:rsid w:val="00611CB1"/>
    <w:rsid w:val="00611DCB"/>
    <w:rsid w:val="00612512"/>
    <w:rsid w:val="00612DFC"/>
    <w:rsid w:val="00613189"/>
    <w:rsid w:val="00613E94"/>
    <w:rsid w:val="006146FE"/>
    <w:rsid w:val="00614B69"/>
    <w:rsid w:val="00614CAB"/>
    <w:rsid w:val="006154B7"/>
    <w:rsid w:val="006155DA"/>
    <w:rsid w:val="0061562F"/>
    <w:rsid w:val="0061633B"/>
    <w:rsid w:val="006175CE"/>
    <w:rsid w:val="00617831"/>
    <w:rsid w:val="006179FE"/>
    <w:rsid w:val="00617BE7"/>
    <w:rsid w:val="00617CA5"/>
    <w:rsid w:val="006202E6"/>
    <w:rsid w:val="006205C9"/>
    <w:rsid w:val="006208AF"/>
    <w:rsid w:val="00620960"/>
    <w:rsid w:val="00620DD8"/>
    <w:rsid w:val="006213DE"/>
    <w:rsid w:val="00621523"/>
    <w:rsid w:val="00621608"/>
    <w:rsid w:val="0062232D"/>
    <w:rsid w:val="006246E7"/>
    <w:rsid w:val="00625137"/>
    <w:rsid w:val="00625ABE"/>
    <w:rsid w:val="00626983"/>
    <w:rsid w:val="00627351"/>
    <w:rsid w:val="006275F4"/>
    <w:rsid w:val="00627D1E"/>
    <w:rsid w:val="0063051C"/>
    <w:rsid w:val="006305CD"/>
    <w:rsid w:val="00630A4E"/>
    <w:rsid w:val="00632025"/>
    <w:rsid w:val="006325F1"/>
    <w:rsid w:val="00632D5D"/>
    <w:rsid w:val="006336AC"/>
    <w:rsid w:val="00633711"/>
    <w:rsid w:val="00633FE3"/>
    <w:rsid w:val="006341AE"/>
    <w:rsid w:val="006344B0"/>
    <w:rsid w:val="00634AA7"/>
    <w:rsid w:val="00634F6E"/>
    <w:rsid w:val="0063526B"/>
    <w:rsid w:val="00635333"/>
    <w:rsid w:val="00635DF1"/>
    <w:rsid w:val="00635EDF"/>
    <w:rsid w:val="00636C15"/>
    <w:rsid w:val="00636D24"/>
    <w:rsid w:val="00637E03"/>
    <w:rsid w:val="00637E39"/>
    <w:rsid w:val="00640450"/>
    <w:rsid w:val="00640A55"/>
    <w:rsid w:val="00641175"/>
    <w:rsid w:val="006422C4"/>
    <w:rsid w:val="00642BB1"/>
    <w:rsid w:val="006431C4"/>
    <w:rsid w:val="00643B37"/>
    <w:rsid w:val="00644862"/>
    <w:rsid w:val="00645ABA"/>
    <w:rsid w:val="00645F92"/>
    <w:rsid w:val="006464EC"/>
    <w:rsid w:val="006473A1"/>
    <w:rsid w:val="00650117"/>
    <w:rsid w:val="006510E3"/>
    <w:rsid w:val="00651C4B"/>
    <w:rsid w:val="00651F6A"/>
    <w:rsid w:val="00652F43"/>
    <w:rsid w:val="00652FB2"/>
    <w:rsid w:val="006535F6"/>
    <w:rsid w:val="00653FF2"/>
    <w:rsid w:val="006556D1"/>
    <w:rsid w:val="0065625D"/>
    <w:rsid w:val="006562E1"/>
    <w:rsid w:val="006563C2"/>
    <w:rsid w:val="00657AC5"/>
    <w:rsid w:val="00657CCE"/>
    <w:rsid w:val="0066075B"/>
    <w:rsid w:val="00660972"/>
    <w:rsid w:val="00660B9D"/>
    <w:rsid w:val="00661643"/>
    <w:rsid w:val="006619E0"/>
    <w:rsid w:val="006619F0"/>
    <w:rsid w:val="0066335B"/>
    <w:rsid w:val="006633CC"/>
    <w:rsid w:val="00663536"/>
    <w:rsid w:val="00663C5B"/>
    <w:rsid w:val="00664634"/>
    <w:rsid w:val="00664D5D"/>
    <w:rsid w:val="0066572A"/>
    <w:rsid w:val="00666AEE"/>
    <w:rsid w:val="006677E0"/>
    <w:rsid w:val="0067019F"/>
    <w:rsid w:val="00670487"/>
    <w:rsid w:val="00670797"/>
    <w:rsid w:val="00671274"/>
    <w:rsid w:val="00672FA2"/>
    <w:rsid w:val="00672FF8"/>
    <w:rsid w:val="00673535"/>
    <w:rsid w:val="00674FE2"/>
    <w:rsid w:val="006756CC"/>
    <w:rsid w:val="0067580E"/>
    <w:rsid w:val="00676782"/>
    <w:rsid w:val="0067701C"/>
    <w:rsid w:val="00677ABF"/>
    <w:rsid w:val="006801CA"/>
    <w:rsid w:val="006809CB"/>
    <w:rsid w:val="00680CCB"/>
    <w:rsid w:val="006810CB"/>
    <w:rsid w:val="00681392"/>
    <w:rsid w:val="00681742"/>
    <w:rsid w:val="00681BCD"/>
    <w:rsid w:val="00681C70"/>
    <w:rsid w:val="00681CE9"/>
    <w:rsid w:val="006827E3"/>
    <w:rsid w:val="0068289E"/>
    <w:rsid w:val="00683436"/>
    <w:rsid w:val="00683662"/>
    <w:rsid w:val="0068464B"/>
    <w:rsid w:val="006846E9"/>
    <w:rsid w:val="0068499A"/>
    <w:rsid w:val="00684C2B"/>
    <w:rsid w:val="0068634D"/>
    <w:rsid w:val="00687615"/>
    <w:rsid w:val="0068792D"/>
    <w:rsid w:val="00687D8B"/>
    <w:rsid w:val="00690BCB"/>
    <w:rsid w:val="00690C93"/>
    <w:rsid w:val="0069173C"/>
    <w:rsid w:val="00692576"/>
    <w:rsid w:val="006928FB"/>
    <w:rsid w:val="00692AE2"/>
    <w:rsid w:val="00694424"/>
    <w:rsid w:val="00694BEA"/>
    <w:rsid w:val="00695A9A"/>
    <w:rsid w:val="00695B1C"/>
    <w:rsid w:val="00695BB8"/>
    <w:rsid w:val="00695D77"/>
    <w:rsid w:val="00695DC4"/>
    <w:rsid w:val="00695EA6"/>
    <w:rsid w:val="00696252"/>
    <w:rsid w:val="006962B0"/>
    <w:rsid w:val="00696C61"/>
    <w:rsid w:val="00696F0F"/>
    <w:rsid w:val="00697917"/>
    <w:rsid w:val="00697977"/>
    <w:rsid w:val="00697F2D"/>
    <w:rsid w:val="006A015C"/>
    <w:rsid w:val="006A01C9"/>
    <w:rsid w:val="006A0AC0"/>
    <w:rsid w:val="006A1712"/>
    <w:rsid w:val="006A2580"/>
    <w:rsid w:val="006A2662"/>
    <w:rsid w:val="006A2898"/>
    <w:rsid w:val="006A3D8E"/>
    <w:rsid w:val="006A49AD"/>
    <w:rsid w:val="006A5A86"/>
    <w:rsid w:val="006A5F26"/>
    <w:rsid w:val="006A5FB4"/>
    <w:rsid w:val="006A6372"/>
    <w:rsid w:val="006A65B8"/>
    <w:rsid w:val="006A69A6"/>
    <w:rsid w:val="006A74ED"/>
    <w:rsid w:val="006A777B"/>
    <w:rsid w:val="006A7B6C"/>
    <w:rsid w:val="006B0072"/>
    <w:rsid w:val="006B17BB"/>
    <w:rsid w:val="006B188E"/>
    <w:rsid w:val="006B1BA0"/>
    <w:rsid w:val="006B1BC9"/>
    <w:rsid w:val="006B2130"/>
    <w:rsid w:val="006B2465"/>
    <w:rsid w:val="006B27F4"/>
    <w:rsid w:val="006B2AF1"/>
    <w:rsid w:val="006B421B"/>
    <w:rsid w:val="006B427F"/>
    <w:rsid w:val="006B4B4A"/>
    <w:rsid w:val="006B570F"/>
    <w:rsid w:val="006B6869"/>
    <w:rsid w:val="006B6F70"/>
    <w:rsid w:val="006B74B8"/>
    <w:rsid w:val="006B7508"/>
    <w:rsid w:val="006B76C0"/>
    <w:rsid w:val="006B7944"/>
    <w:rsid w:val="006B7E03"/>
    <w:rsid w:val="006C0072"/>
    <w:rsid w:val="006C0F9A"/>
    <w:rsid w:val="006C142C"/>
    <w:rsid w:val="006C18F6"/>
    <w:rsid w:val="006C245E"/>
    <w:rsid w:val="006C2A71"/>
    <w:rsid w:val="006C30FA"/>
    <w:rsid w:val="006C383B"/>
    <w:rsid w:val="006C406A"/>
    <w:rsid w:val="006C41A2"/>
    <w:rsid w:val="006C41ED"/>
    <w:rsid w:val="006C49E1"/>
    <w:rsid w:val="006C4B67"/>
    <w:rsid w:val="006C4CB7"/>
    <w:rsid w:val="006C4CE8"/>
    <w:rsid w:val="006C50AF"/>
    <w:rsid w:val="006C5F0E"/>
    <w:rsid w:val="006C740A"/>
    <w:rsid w:val="006C7726"/>
    <w:rsid w:val="006C7CED"/>
    <w:rsid w:val="006C7EE0"/>
    <w:rsid w:val="006D0B0A"/>
    <w:rsid w:val="006D0E54"/>
    <w:rsid w:val="006D174F"/>
    <w:rsid w:val="006D2CB3"/>
    <w:rsid w:val="006D35F0"/>
    <w:rsid w:val="006D4348"/>
    <w:rsid w:val="006D43F2"/>
    <w:rsid w:val="006D4AFA"/>
    <w:rsid w:val="006D5764"/>
    <w:rsid w:val="006D642E"/>
    <w:rsid w:val="006D6DCE"/>
    <w:rsid w:val="006D7A5A"/>
    <w:rsid w:val="006D7A91"/>
    <w:rsid w:val="006D7B8E"/>
    <w:rsid w:val="006E0BD2"/>
    <w:rsid w:val="006E0CD8"/>
    <w:rsid w:val="006E1494"/>
    <w:rsid w:val="006E1A34"/>
    <w:rsid w:val="006E3278"/>
    <w:rsid w:val="006E3792"/>
    <w:rsid w:val="006E43C8"/>
    <w:rsid w:val="006E47E4"/>
    <w:rsid w:val="006E494C"/>
    <w:rsid w:val="006E4FAB"/>
    <w:rsid w:val="006E528F"/>
    <w:rsid w:val="006E5419"/>
    <w:rsid w:val="006E5967"/>
    <w:rsid w:val="006E5DB4"/>
    <w:rsid w:val="006E5F18"/>
    <w:rsid w:val="006E6251"/>
    <w:rsid w:val="006E6B6A"/>
    <w:rsid w:val="006E74E5"/>
    <w:rsid w:val="006F0971"/>
    <w:rsid w:val="006F19E7"/>
    <w:rsid w:val="006F25E7"/>
    <w:rsid w:val="006F2AE7"/>
    <w:rsid w:val="006F3EB6"/>
    <w:rsid w:val="006F437D"/>
    <w:rsid w:val="006F4F54"/>
    <w:rsid w:val="006F5615"/>
    <w:rsid w:val="006F6215"/>
    <w:rsid w:val="006F67CB"/>
    <w:rsid w:val="0070118D"/>
    <w:rsid w:val="00701251"/>
    <w:rsid w:val="007015CF"/>
    <w:rsid w:val="007023AB"/>
    <w:rsid w:val="0070272C"/>
    <w:rsid w:val="00702B9D"/>
    <w:rsid w:val="00702BE6"/>
    <w:rsid w:val="00702C6A"/>
    <w:rsid w:val="0070480B"/>
    <w:rsid w:val="007052F8"/>
    <w:rsid w:val="0070561D"/>
    <w:rsid w:val="0070593D"/>
    <w:rsid w:val="007067A5"/>
    <w:rsid w:val="00707169"/>
    <w:rsid w:val="007074AD"/>
    <w:rsid w:val="007102B8"/>
    <w:rsid w:val="007107D1"/>
    <w:rsid w:val="00710E11"/>
    <w:rsid w:val="00711326"/>
    <w:rsid w:val="0071146F"/>
    <w:rsid w:val="00711F13"/>
    <w:rsid w:val="00712FD4"/>
    <w:rsid w:val="00713425"/>
    <w:rsid w:val="00713556"/>
    <w:rsid w:val="00713989"/>
    <w:rsid w:val="00713AAD"/>
    <w:rsid w:val="007146D9"/>
    <w:rsid w:val="00715612"/>
    <w:rsid w:val="0071584D"/>
    <w:rsid w:val="007168E5"/>
    <w:rsid w:val="007169EF"/>
    <w:rsid w:val="0071788B"/>
    <w:rsid w:val="007203DC"/>
    <w:rsid w:val="00720D48"/>
    <w:rsid w:val="00721A2A"/>
    <w:rsid w:val="00721F98"/>
    <w:rsid w:val="007225E6"/>
    <w:rsid w:val="00722986"/>
    <w:rsid w:val="00723C79"/>
    <w:rsid w:val="00723E91"/>
    <w:rsid w:val="00723F4B"/>
    <w:rsid w:val="0072414B"/>
    <w:rsid w:val="00724357"/>
    <w:rsid w:val="00724523"/>
    <w:rsid w:val="00724D07"/>
    <w:rsid w:val="0072554F"/>
    <w:rsid w:val="00725626"/>
    <w:rsid w:val="00725769"/>
    <w:rsid w:val="00726095"/>
    <w:rsid w:val="0072673A"/>
    <w:rsid w:val="0072707A"/>
    <w:rsid w:val="007271CB"/>
    <w:rsid w:val="00730B98"/>
    <w:rsid w:val="0073111B"/>
    <w:rsid w:val="00731329"/>
    <w:rsid w:val="00731825"/>
    <w:rsid w:val="007319F9"/>
    <w:rsid w:val="007321BB"/>
    <w:rsid w:val="0073228D"/>
    <w:rsid w:val="00732412"/>
    <w:rsid w:val="00732676"/>
    <w:rsid w:val="0073278F"/>
    <w:rsid w:val="0073304D"/>
    <w:rsid w:val="00733063"/>
    <w:rsid w:val="00735AAE"/>
    <w:rsid w:val="00736394"/>
    <w:rsid w:val="0073689B"/>
    <w:rsid w:val="00737418"/>
    <w:rsid w:val="007378FE"/>
    <w:rsid w:val="00740138"/>
    <w:rsid w:val="00740E7D"/>
    <w:rsid w:val="00741A21"/>
    <w:rsid w:val="007423D7"/>
    <w:rsid w:val="00742656"/>
    <w:rsid w:val="007426FC"/>
    <w:rsid w:val="00742875"/>
    <w:rsid w:val="00742954"/>
    <w:rsid w:val="00742FBA"/>
    <w:rsid w:val="00743DE7"/>
    <w:rsid w:val="00744494"/>
    <w:rsid w:val="00744531"/>
    <w:rsid w:val="00745978"/>
    <w:rsid w:val="00745C2D"/>
    <w:rsid w:val="00745D50"/>
    <w:rsid w:val="00746056"/>
    <w:rsid w:val="0074688B"/>
    <w:rsid w:val="0074708A"/>
    <w:rsid w:val="00747205"/>
    <w:rsid w:val="0074747B"/>
    <w:rsid w:val="007475A9"/>
    <w:rsid w:val="007476D4"/>
    <w:rsid w:val="00747C32"/>
    <w:rsid w:val="00747F93"/>
    <w:rsid w:val="007500B4"/>
    <w:rsid w:val="00750ECD"/>
    <w:rsid w:val="007525B5"/>
    <w:rsid w:val="007525D9"/>
    <w:rsid w:val="00752B39"/>
    <w:rsid w:val="007542AD"/>
    <w:rsid w:val="007547B1"/>
    <w:rsid w:val="00755189"/>
    <w:rsid w:val="007551AA"/>
    <w:rsid w:val="00755DDD"/>
    <w:rsid w:val="00756505"/>
    <w:rsid w:val="00756E8C"/>
    <w:rsid w:val="00757879"/>
    <w:rsid w:val="00760081"/>
    <w:rsid w:val="00760887"/>
    <w:rsid w:val="00760B1E"/>
    <w:rsid w:val="00760B7F"/>
    <w:rsid w:val="00760E97"/>
    <w:rsid w:val="00761220"/>
    <w:rsid w:val="007622C5"/>
    <w:rsid w:val="007624FE"/>
    <w:rsid w:val="00762D13"/>
    <w:rsid w:val="007631CE"/>
    <w:rsid w:val="00763AC1"/>
    <w:rsid w:val="00763CCF"/>
    <w:rsid w:val="00763D0A"/>
    <w:rsid w:val="007646D6"/>
    <w:rsid w:val="007648B1"/>
    <w:rsid w:val="0076503B"/>
    <w:rsid w:val="007658FE"/>
    <w:rsid w:val="00765DE4"/>
    <w:rsid w:val="00765E2C"/>
    <w:rsid w:val="00766299"/>
    <w:rsid w:val="00767070"/>
    <w:rsid w:val="007671C9"/>
    <w:rsid w:val="00767F2D"/>
    <w:rsid w:val="00770029"/>
    <w:rsid w:val="00770172"/>
    <w:rsid w:val="007713D6"/>
    <w:rsid w:val="00771A68"/>
    <w:rsid w:val="00771D11"/>
    <w:rsid w:val="0077238E"/>
    <w:rsid w:val="0077248E"/>
    <w:rsid w:val="0077295E"/>
    <w:rsid w:val="00772C07"/>
    <w:rsid w:val="0077338F"/>
    <w:rsid w:val="00773A9E"/>
    <w:rsid w:val="0077474E"/>
    <w:rsid w:val="007748BD"/>
    <w:rsid w:val="00774B37"/>
    <w:rsid w:val="00774C34"/>
    <w:rsid w:val="00774F51"/>
    <w:rsid w:val="00776A4F"/>
    <w:rsid w:val="00776C1C"/>
    <w:rsid w:val="00776ECD"/>
    <w:rsid w:val="00780017"/>
    <w:rsid w:val="007808D0"/>
    <w:rsid w:val="00780EEF"/>
    <w:rsid w:val="00781009"/>
    <w:rsid w:val="00782275"/>
    <w:rsid w:val="0078256C"/>
    <w:rsid w:val="00782F50"/>
    <w:rsid w:val="0078347A"/>
    <w:rsid w:val="007836BB"/>
    <w:rsid w:val="0078371E"/>
    <w:rsid w:val="007854FD"/>
    <w:rsid w:val="007859AC"/>
    <w:rsid w:val="00785B2D"/>
    <w:rsid w:val="00786AD2"/>
    <w:rsid w:val="00786FC9"/>
    <w:rsid w:val="00787518"/>
    <w:rsid w:val="00787DBC"/>
    <w:rsid w:val="007904E4"/>
    <w:rsid w:val="00790A3F"/>
    <w:rsid w:val="00790BFD"/>
    <w:rsid w:val="0079135D"/>
    <w:rsid w:val="007915F5"/>
    <w:rsid w:val="0079170D"/>
    <w:rsid w:val="0079183E"/>
    <w:rsid w:val="007919BB"/>
    <w:rsid w:val="00792450"/>
    <w:rsid w:val="00792BA1"/>
    <w:rsid w:val="00793CD0"/>
    <w:rsid w:val="00794116"/>
    <w:rsid w:val="00794E19"/>
    <w:rsid w:val="00795D0E"/>
    <w:rsid w:val="00795DE7"/>
    <w:rsid w:val="00796076"/>
    <w:rsid w:val="0079655F"/>
    <w:rsid w:val="00796590"/>
    <w:rsid w:val="007965FE"/>
    <w:rsid w:val="0079698B"/>
    <w:rsid w:val="00796A5E"/>
    <w:rsid w:val="00796EBE"/>
    <w:rsid w:val="0079775C"/>
    <w:rsid w:val="007A057B"/>
    <w:rsid w:val="007A11E7"/>
    <w:rsid w:val="007A1604"/>
    <w:rsid w:val="007A33A1"/>
    <w:rsid w:val="007A3CF0"/>
    <w:rsid w:val="007A3E80"/>
    <w:rsid w:val="007A4163"/>
    <w:rsid w:val="007A44DA"/>
    <w:rsid w:val="007A5693"/>
    <w:rsid w:val="007A59B5"/>
    <w:rsid w:val="007A649B"/>
    <w:rsid w:val="007A6E87"/>
    <w:rsid w:val="007A7800"/>
    <w:rsid w:val="007A78BE"/>
    <w:rsid w:val="007A7A3D"/>
    <w:rsid w:val="007B0D5B"/>
    <w:rsid w:val="007B1650"/>
    <w:rsid w:val="007B178F"/>
    <w:rsid w:val="007B1B55"/>
    <w:rsid w:val="007B1B93"/>
    <w:rsid w:val="007B1F00"/>
    <w:rsid w:val="007B3296"/>
    <w:rsid w:val="007B3653"/>
    <w:rsid w:val="007B3779"/>
    <w:rsid w:val="007B37A8"/>
    <w:rsid w:val="007B4D80"/>
    <w:rsid w:val="007B4F4E"/>
    <w:rsid w:val="007B55FD"/>
    <w:rsid w:val="007B5D42"/>
    <w:rsid w:val="007B735E"/>
    <w:rsid w:val="007B74CA"/>
    <w:rsid w:val="007B781E"/>
    <w:rsid w:val="007B791B"/>
    <w:rsid w:val="007B7A3C"/>
    <w:rsid w:val="007B7DBC"/>
    <w:rsid w:val="007C0922"/>
    <w:rsid w:val="007C0A0E"/>
    <w:rsid w:val="007C0B13"/>
    <w:rsid w:val="007C0B34"/>
    <w:rsid w:val="007C1A6D"/>
    <w:rsid w:val="007C37F5"/>
    <w:rsid w:val="007C3A63"/>
    <w:rsid w:val="007C3C19"/>
    <w:rsid w:val="007C4567"/>
    <w:rsid w:val="007C51CC"/>
    <w:rsid w:val="007C53E0"/>
    <w:rsid w:val="007C5562"/>
    <w:rsid w:val="007C5A94"/>
    <w:rsid w:val="007C5ADC"/>
    <w:rsid w:val="007C5B54"/>
    <w:rsid w:val="007C5C9C"/>
    <w:rsid w:val="007C604E"/>
    <w:rsid w:val="007C62E3"/>
    <w:rsid w:val="007C65D2"/>
    <w:rsid w:val="007C6747"/>
    <w:rsid w:val="007C6E11"/>
    <w:rsid w:val="007C718E"/>
    <w:rsid w:val="007D0214"/>
    <w:rsid w:val="007D0A8B"/>
    <w:rsid w:val="007D0AF1"/>
    <w:rsid w:val="007D169B"/>
    <w:rsid w:val="007D17DE"/>
    <w:rsid w:val="007D1E3D"/>
    <w:rsid w:val="007D2523"/>
    <w:rsid w:val="007D3004"/>
    <w:rsid w:val="007D3CA1"/>
    <w:rsid w:val="007D4319"/>
    <w:rsid w:val="007D439D"/>
    <w:rsid w:val="007D4937"/>
    <w:rsid w:val="007D65A1"/>
    <w:rsid w:val="007D7437"/>
    <w:rsid w:val="007D7989"/>
    <w:rsid w:val="007E069D"/>
    <w:rsid w:val="007E0D24"/>
    <w:rsid w:val="007E13F8"/>
    <w:rsid w:val="007E1594"/>
    <w:rsid w:val="007E232A"/>
    <w:rsid w:val="007E26D3"/>
    <w:rsid w:val="007E3AC6"/>
    <w:rsid w:val="007E3B58"/>
    <w:rsid w:val="007E4373"/>
    <w:rsid w:val="007E5469"/>
    <w:rsid w:val="007E5586"/>
    <w:rsid w:val="007E6879"/>
    <w:rsid w:val="007E6A79"/>
    <w:rsid w:val="007E6F58"/>
    <w:rsid w:val="007E73BA"/>
    <w:rsid w:val="007E763C"/>
    <w:rsid w:val="007E7D37"/>
    <w:rsid w:val="007F0126"/>
    <w:rsid w:val="007F03D6"/>
    <w:rsid w:val="007F05C9"/>
    <w:rsid w:val="007F071D"/>
    <w:rsid w:val="007F1241"/>
    <w:rsid w:val="007F1878"/>
    <w:rsid w:val="007F2245"/>
    <w:rsid w:val="007F3394"/>
    <w:rsid w:val="007F3BF2"/>
    <w:rsid w:val="007F3CB1"/>
    <w:rsid w:val="007F41CE"/>
    <w:rsid w:val="007F5BE0"/>
    <w:rsid w:val="007F5D35"/>
    <w:rsid w:val="007F5D7D"/>
    <w:rsid w:val="007F6487"/>
    <w:rsid w:val="007F7577"/>
    <w:rsid w:val="007F776A"/>
    <w:rsid w:val="007F7B8A"/>
    <w:rsid w:val="00800071"/>
    <w:rsid w:val="008020AE"/>
    <w:rsid w:val="00802E48"/>
    <w:rsid w:val="00802F5B"/>
    <w:rsid w:val="0080373F"/>
    <w:rsid w:val="00803D63"/>
    <w:rsid w:val="00804CBB"/>
    <w:rsid w:val="00804E66"/>
    <w:rsid w:val="0080532A"/>
    <w:rsid w:val="00805595"/>
    <w:rsid w:val="00805880"/>
    <w:rsid w:val="00805BB1"/>
    <w:rsid w:val="00805C6B"/>
    <w:rsid w:val="00806344"/>
    <w:rsid w:val="0080643A"/>
    <w:rsid w:val="00806A5A"/>
    <w:rsid w:val="00806EC8"/>
    <w:rsid w:val="0080734B"/>
    <w:rsid w:val="00807A91"/>
    <w:rsid w:val="00807FBF"/>
    <w:rsid w:val="008104CC"/>
    <w:rsid w:val="0081064B"/>
    <w:rsid w:val="00810760"/>
    <w:rsid w:val="008109DC"/>
    <w:rsid w:val="0081172F"/>
    <w:rsid w:val="00811985"/>
    <w:rsid w:val="00812F2A"/>
    <w:rsid w:val="0081378B"/>
    <w:rsid w:val="008143C1"/>
    <w:rsid w:val="00814FE4"/>
    <w:rsid w:val="00815A36"/>
    <w:rsid w:val="00815E01"/>
    <w:rsid w:val="008166BB"/>
    <w:rsid w:val="0081711D"/>
    <w:rsid w:val="008179B9"/>
    <w:rsid w:val="00817AD5"/>
    <w:rsid w:val="00821218"/>
    <w:rsid w:val="0082142F"/>
    <w:rsid w:val="00821836"/>
    <w:rsid w:val="00822456"/>
    <w:rsid w:val="00823C4A"/>
    <w:rsid w:val="00823CB8"/>
    <w:rsid w:val="008247F6"/>
    <w:rsid w:val="00824855"/>
    <w:rsid w:val="00824E0E"/>
    <w:rsid w:val="00825359"/>
    <w:rsid w:val="008261D9"/>
    <w:rsid w:val="008268B1"/>
    <w:rsid w:val="00827B3D"/>
    <w:rsid w:val="0083169B"/>
    <w:rsid w:val="0083229A"/>
    <w:rsid w:val="0083257A"/>
    <w:rsid w:val="0083261D"/>
    <w:rsid w:val="00832707"/>
    <w:rsid w:val="008327D0"/>
    <w:rsid w:val="008329A3"/>
    <w:rsid w:val="00834D1C"/>
    <w:rsid w:val="00835865"/>
    <w:rsid w:val="0083595A"/>
    <w:rsid w:val="00835EC6"/>
    <w:rsid w:val="00835FBC"/>
    <w:rsid w:val="008367A7"/>
    <w:rsid w:val="00836A3A"/>
    <w:rsid w:val="00837B10"/>
    <w:rsid w:val="00840065"/>
    <w:rsid w:val="0084055E"/>
    <w:rsid w:val="008408DD"/>
    <w:rsid w:val="00840A21"/>
    <w:rsid w:val="00840A9C"/>
    <w:rsid w:val="00841155"/>
    <w:rsid w:val="00841538"/>
    <w:rsid w:val="00842463"/>
    <w:rsid w:val="00842907"/>
    <w:rsid w:val="008432E6"/>
    <w:rsid w:val="00844215"/>
    <w:rsid w:val="008445CF"/>
    <w:rsid w:val="0084486E"/>
    <w:rsid w:val="00844CD5"/>
    <w:rsid w:val="00845842"/>
    <w:rsid w:val="00845C4A"/>
    <w:rsid w:val="00846013"/>
    <w:rsid w:val="00846CC9"/>
    <w:rsid w:val="00847B1F"/>
    <w:rsid w:val="0085009E"/>
    <w:rsid w:val="00850234"/>
    <w:rsid w:val="00850670"/>
    <w:rsid w:val="0085085A"/>
    <w:rsid w:val="008509BA"/>
    <w:rsid w:val="00850AEF"/>
    <w:rsid w:val="00850D41"/>
    <w:rsid w:val="0085107D"/>
    <w:rsid w:val="008527F6"/>
    <w:rsid w:val="008535F4"/>
    <w:rsid w:val="00855FB2"/>
    <w:rsid w:val="008561A5"/>
    <w:rsid w:val="0085685E"/>
    <w:rsid w:val="00856979"/>
    <w:rsid w:val="00856D6E"/>
    <w:rsid w:val="00860880"/>
    <w:rsid w:val="00860D53"/>
    <w:rsid w:val="00860DE9"/>
    <w:rsid w:val="00860DFD"/>
    <w:rsid w:val="00861421"/>
    <w:rsid w:val="0086181A"/>
    <w:rsid w:val="00861A17"/>
    <w:rsid w:val="00861BB1"/>
    <w:rsid w:val="00861ECB"/>
    <w:rsid w:val="00862014"/>
    <w:rsid w:val="0086221E"/>
    <w:rsid w:val="00862327"/>
    <w:rsid w:val="00863F83"/>
    <w:rsid w:val="008642CC"/>
    <w:rsid w:val="008645ED"/>
    <w:rsid w:val="00865C61"/>
    <w:rsid w:val="00866A95"/>
    <w:rsid w:val="00866AB2"/>
    <w:rsid w:val="00867026"/>
    <w:rsid w:val="00867C3C"/>
    <w:rsid w:val="008701E0"/>
    <w:rsid w:val="008701E3"/>
    <w:rsid w:val="008718F3"/>
    <w:rsid w:val="00872021"/>
    <w:rsid w:val="0087235C"/>
    <w:rsid w:val="0087245E"/>
    <w:rsid w:val="008732A3"/>
    <w:rsid w:val="008738A5"/>
    <w:rsid w:val="0087441E"/>
    <w:rsid w:val="008747B3"/>
    <w:rsid w:val="008747D5"/>
    <w:rsid w:val="008759A6"/>
    <w:rsid w:val="00875BFC"/>
    <w:rsid w:val="00875F47"/>
    <w:rsid w:val="00875FAD"/>
    <w:rsid w:val="0087621F"/>
    <w:rsid w:val="00876836"/>
    <w:rsid w:val="00876CDA"/>
    <w:rsid w:val="00876F52"/>
    <w:rsid w:val="008779EB"/>
    <w:rsid w:val="008802F4"/>
    <w:rsid w:val="008804E8"/>
    <w:rsid w:val="00881679"/>
    <w:rsid w:val="008816D2"/>
    <w:rsid w:val="00881821"/>
    <w:rsid w:val="00881D61"/>
    <w:rsid w:val="00882315"/>
    <w:rsid w:val="0088260D"/>
    <w:rsid w:val="00883941"/>
    <w:rsid w:val="00884D27"/>
    <w:rsid w:val="00885689"/>
    <w:rsid w:val="00885AFA"/>
    <w:rsid w:val="00885B2F"/>
    <w:rsid w:val="008867A3"/>
    <w:rsid w:val="00887307"/>
    <w:rsid w:val="008901DF"/>
    <w:rsid w:val="00890969"/>
    <w:rsid w:val="0089239F"/>
    <w:rsid w:val="008925D4"/>
    <w:rsid w:val="008927BC"/>
    <w:rsid w:val="0089336D"/>
    <w:rsid w:val="00893DFB"/>
    <w:rsid w:val="0089455D"/>
    <w:rsid w:val="00894755"/>
    <w:rsid w:val="008947DC"/>
    <w:rsid w:val="00894FCF"/>
    <w:rsid w:val="00895B6B"/>
    <w:rsid w:val="008964A7"/>
    <w:rsid w:val="00896B1E"/>
    <w:rsid w:val="008971F0"/>
    <w:rsid w:val="00897282"/>
    <w:rsid w:val="00897731"/>
    <w:rsid w:val="00897C87"/>
    <w:rsid w:val="008A127E"/>
    <w:rsid w:val="008A1928"/>
    <w:rsid w:val="008A1C59"/>
    <w:rsid w:val="008A2804"/>
    <w:rsid w:val="008A28BA"/>
    <w:rsid w:val="008A299B"/>
    <w:rsid w:val="008A30EC"/>
    <w:rsid w:val="008A3A53"/>
    <w:rsid w:val="008A3B3A"/>
    <w:rsid w:val="008A3BA3"/>
    <w:rsid w:val="008A413D"/>
    <w:rsid w:val="008A4519"/>
    <w:rsid w:val="008A4BC1"/>
    <w:rsid w:val="008A55E2"/>
    <w:rsid w:val="008A5B21"/>
    <w:rsid w:val="008A649C"/>
    <w:rsid w:val="008A6994"/>
    <w:rsid w:val="008A7453"/>
    <w:rsid w:val="008A79A8"/>
    <w:rsid w:val="008B1C72"/>
    <w:rsid w:val="008B29EC"/>
    <w:rsid w:val="008B2AD9"/>
    <w:rsid w:val="008B3360"/>
    <w:rsid w:val="008B3E9B"/>
    <w:rsid w:val="008B4DD5"/>
    <w:rsid w:val="008B4DE7"/>
    <w:rsid w:val="008B4E60"/>
    <w:rsid w:val="008B4EB1"/>
    <w:rsid w:val="008B579E"/>
    <w:rsid w:val="008B5B69"/>
    <w:rsid w:val="008B5BA5"/>
    <w:rsid w:val="008B654C"/>
    <w:rsid w:val="008B7765"/>
    <w:rsid w:val="008B7D67"/>
    <w:rsid w:val="008B7EF1"/>
    <w:rsid w:val="008C00E6"/>
    <w:rsid w:val="008C0923"/>
    <w:rsid w:val="008C139F"/>
    <w:rsid w:val="008C13DC"/>
    <w:rsid w:val="008C159E"/>
    <w:rsid w:val="008C1ACF"/>
    <w:rsid w:val="008C1F84"/>
    <w:rsid w:val="008C24A3"/>
    <w:rsid w:val="008C25C4"/>
    <w:rsid w:val="008C2B13"/>
    <w:rsid w:val="008C2ED8"/>
    <w:rsid w:val="008C3873"/>
    <w:rsid w:val="008C3A03"/>
    <w:rsid w:val="008C3F0E"/>
    <w:rsid w:val="008C44DF"/>
    <w:rsid w:val="008C5989"/>
    <w:rsid w:val="008C5BB5"/>
    <w:rsid w:val="008C5EA5"/>
    <w:rsid w:val="008C6A4D"/>
    <w:rsid w:val="008C6A87"/>
    <w:rsid w:val="008C6F17"/>
    <w:rsid w:val="008C73D3"/>
    <w:rsid w:val="008C751D"/>
    <w:rsid w:val="008C7CBE"/>
    <w:rsid w:val="008D07B2"/>
    <w:rsid w:val="008D1CE3"/>
    <w:rsid w:val="008D1ECB"/>
    <w:rsid w:val="008D20B2"/>
    <w:rsid w:val="008D4146"/>
    <w:rsid w:val="008D41F8"/>
    <w:rsid w:val="008D49FF"/>
    <w:rsid w:val="008D60A4"/>
    <w:rsid w:val="008D64F5"/>
    <w:rsid w:val="008D66D8"/>
    <w:rsid w:val="008D67AA"/>
    <w:rsid w:val="008D6D3F"/>
    <w:rsid w:val="008D6F09"/>
    <w:rsid w:val="008D740D"/>
    <w:rsid w:val="008D7A2D"/>
    <w:rsid w:val="008D7ACD"/>
    <w:rsid w:val="008E1D50"/>
    <w:rsid w:val="008E209D"/>
    <w:rsid w:val="008E271E"/>
    <w:rsid w:val="008E2D40"/>
    <w:rsid w:val="008E2DBD"/>
    <w:rsid w:val="008E301F"/>
    <w:rsid w:val="008E3213"/>
    <w:rsid w:val="008E359A"/>
    <w:rsid w:val="008E3BED"/>
    <w:rsid w:val="008E3E65"/>
    <w:rsid w:val="008E3FF8"/>
    <w:rsid w:val="008E41D1"/>
    <w:rsid w:val="008E4F53"/>
    <w:rsid w:val="008E6320"/>
    <w:rsid w:val="008E6329"/>
    <w:rsid w:val="008E650D"/>
    <w:rsid w:val="008E6A75"/>
    <w:rsid w:val="008E6B28"/>
    <w:rsid w:val="008E7FD0"/>
    <w:rsid w:val="008F0359"/>
    <w:rsid w:val="008F0AE8"/>
    <w:rsid w:val="008F1AD0"/>
    <w:rsid w:val="008F1B14"/>
    <w:rsid w:val="008F2704"/>
    <w:rsid w:val="008F29DE"/>
    <w:rsid w:val="008F4CE6"/>
    <w:rsid w:val="008F5EED"/>
    <w:rsid w:val="008F66E5"/>
    <w:rsid w:val="008F714E"/>
    <w:rsid w:val="008F74BE"/>
    <w:rsid w:val="008F7636"/>
    <w:rsid w:val="008F7B4E"/>
    <w:rsid w:val="008F7C8C"/>
    <w:rsid w:val="009020E4"/>
    <w:rsid w:val="00902FC7"/>
    <w:rsid w:val="0090314B"/>
    <w:rsid w:val="00903209"/>
    <w:rsid w:val="00905306"/>
    <w:rsid w:val="0090535E"/>
    <w:rsid w:val="009053C9"/>
    <w:rsid w:val="00906260"/>
    <w:rsid w:val="00906DB8"/>
    <w:rsid w:val="00910189"/>
    <w:rsid w:val="009101F5"/>
    <w:rsid w:val="009102C2"/>
    <w:rsid w:val="0091084B"/>
    <w:rsid w:val="00910FAC"/>
    <w:rsid w:val="00911007"/>
    <w:rsid w:val="009110DF"/>
    <w:rsid w:val="00911DB5"/>
    <w:rsid w:val="0091227B"/>
    <w:rsid w:val="00912431"/>
    <w:rsid w:val="009126AB"/>
    <w:rsid w:val="00912AB0"/>
    <w:rsid w:val="0091320E"/>
    <w:rsid w:val="009136B5"/>
    <w:rsid w:val="009147E2"/>
    <w:rsid w:val="00914F80"/>
    <w:rsid w:val="0091532C"/>
    <w:rsid w:val="0091599D"/>
    <w:rsid w:val="00915E04"/>
    <w:rsid w:val="00915F1F"/>
    <w:rsid w:val="00916188"/>
    <w:rsid w:val="00916A43"/>
    <w:rsid w:val="00916C7E"/>
    <w:rsid w:val="00917B16"/>
    <w:rsid w:val="00917E39"/>
    <w:rsid w:val="00917F10"/>
    <w:rsid w:val="00921272"/>
    <w:rsid w:val="00921332"/>
    <w:rsid w:val="00921777"/>
    <w:rsid w:val="0092179E"/>
    <w:rsid w:val="00921D20"/>
    <w:rsid w:val="009230BA"/>
    <w:rsid w:val="00923E29"/>
    <w:rsid w:val="00924242"/>
    <w:rsid w:val="009243AF"/>
    <w:rsid w:val="00924525"/>
    <w:rsid w:val="0092459F"/>
    <w:rsid w:val="00924667"/>
    <w:rsid w:val="0092522E"/>
    <w:rsid w:val="009253DC"/>
    <w:rsid w:val="00925410"/>
    <w:rsid w:val="009257E5"/>
    <w:rsid w:val="0092582E"/>
    <w:rsid w:val="0092587A"/>
    <w:rsid w:val="00926FB1"/>
    <w:rsid w:val="00927540"/>
    <w:rsid w:val="009275BD"/>
    <w:rsid w:val="00927D0E"/>
    <w:rsid w:val="00927DCA"/>
    <w:rsid w:val="009304FF"/>
    <w:rsid w:val="00930663"/>
    <w:rsid w:val="009315C3"/>
    <w:rsid w:val="00931B49"/>
    <w:rsid w:val="0093202A"/>
    <w:rsid w:val="009324CD"/>
    <w:rsid w:val="0093297D"/>
    <w:rsid w:val="00933518"/>
    <w:rsid w:val="0093354E"/>
    <w:rsid w:val="00933919"/>
    <w:rsid w:val="009341D2"/>
    <w:rsid w:val="00934FB6"/>
    <w:rsid w:val="0093559A"/>
    <w:rsid w:val="0093566D"/>
    <w:rsid w:val="00936041"/>
    <w:rsid w:val="00936FC7"/>
    <w:rsid w:val="00937837"/>
    <w:rsid w:val="009378AA"/>
    <w:rsid w:val="009408B5"/>
    <w:rsid w:val="009426A3"/>
    <w:rsid w:val="009427AB"/>
    <w:rsid w:val="00943047"/>
    <w:rsid w:val="0094365A"/>
    <w:rsid w:val="0094388B"/>
    <w:rsid w:val="00943C5D"/>
    <w:rsid w:val="00943F6C"/>
    <w:rsid w:val="0094553F"/>
    <w:rsid w:val="00945E8A"/>
    <w:rsid w:val="0094648E"/>
    <w:rsid w:val="0094709A"/>
    <w:rsid w:val="00947472"/>
    <w:rsid w:val="009479D6"/>
    <w:rsid w:val="00947A6B"/>
    <w:rsid w:val="0095135D"/>
    <w:rsid w:val="009514DE"/>
    <w:rsid w:val="009515B6"/>
    <w:rsid w:val="0095176E"/>
    <w:rsid w:val="009519A2"/>
    <w:rsid w:val="00951E42"/>
    <w:rsid w:val="009523E2"/>
    <w:rsid w:val="00952B2C"/>
    <w:rsid w:val="00952E1D"/>
    <w:rsid w:val="00953D92"/>
    <w:rsid w:val="00953E53"/>
    <w:rsid w:val="00954871"/>
    <w:rsid w:val="00954BF6"/>
    <w:rsid w:val="00954C51"/>
    <w:rsid w:val="00954D5A"/>
    <w:rsid w:val="00955288"/>
    <w:rsid w:val="009554C5"/>
    <w:rsid w:val="0095655F"/>
    <w:rsid w:val="00956862"/>
    <w:rsid w:val="00956B98"/>
    <w:rsid w:val="00956D9E"/>
    <w:rsid w:val="00956F30"/>
    <w:rsid w:val="0095758D"/>
    <w:rsid w:val="00957EE9"/>
    <w:rsid w:val="009604F1"/>
    <w:rsid w:val="00960579"/>
    <w:rsid w:val="00960A70"/>
    <w:rsid w:val="00962E7C"/>
    <w:rsid w:val="00962FBA"/>
    <w:rsid w:val="0096361D"/>
    <w:rsid w:val="0096365F"/>
    <w:rsid w:val="00963A79"/>
    <w:rsid w:val="00964101"/>
    <w:rsid w:val="009646EB"/>
    <w:rsid w:val="00965301"/>
    <w:rsid w:val="00965944"/>
    <w:rsid w:val="00966F8B"/>
    <w:rsid w:val="009675DF"/>
    <w:rsid w:val="0096767F"/>
    <w:rsid w:val="00967744"/>
    <w:rsid w:val="00967BA1"/>
    <w:rsid w:val="00970E5C"/>
    <w:rsid w:val="009716B5"/>
    <w:rsid w:val="0097173C"/>
    <w:rsid w:val="00971798"/>
    <w:rsid w:val="00971816"/>
    <w:rsid w:val="0097196F"/>
    <w:rsid w:val="00971975"/>
    <w:rsid w:val="00971D51"/>
    <w:rsid w:val="009723CA"/>
    <w:rsid w:val="00972446"/>
    <w:rsid w:val="0097285B"/>
    <w:rsid w:val="00973A17"/>
    <w:rsid w:val="00973FC5"/>
    <w:rsid w:val="00974A18"/>
    <w:rsid w:val="00976FAC"/>
    <w:rsid w:val="00977114"/>
    <w:rsid w:val="0097712C"/>
    <w:rsid w:val="00977182"/>
    <w:rsid w:val="00977A20"/>
    <w:rsid w:val="009807A0"/>
    <w:rsid w:val="0098085F"/>
    <w:rsid w:val="009808A7"/>
    <w:rsid w:val="00982347"/>
    <w:rsid w:val="00982A1E"/>
    <w:rsid w:val="00983E02"/>
    <w:rsid w:val="00984DA7"/>
    <w:rsid w:val="00986215"/>
    <w:rsid w:val="00986896"/>
    <w:rsid w:val="00987B50"/>
    <w:rsid w:val="009911DD"/>
    <w:rsid w:val="00991529"/>
    <w:rsid w:val="00991D1C"/>
    <w:rsid w:val="00991FB5"/>
    <w:rsid w:val="009926B0"/>
    <w:rsid w:val="00992B76"/>
    <w:rsid w:val="00992C6E"/>
    <w:rsid w:val="009934E7"/>
    <w:rsid w:val="009936DC"/>
    <w:rsid w:val="00993AEF"/>
    <w:rsid w:val="0099479E"/>
    <w:rsid w:val="00995F43"/>
    <w:rsid w:val="0099752A"/>
    <w:rsid w:val="009979D6"/>
    <w:rsid w:val="00997FC3"/>
    <w:rsid w:val="009A0B6E"/>
    <w:rsid w:val="009A0C13"/>
    <w:rsid w:val="009A0C1B"/>
    <w:rsid w:val="009A1360"/>
    <w:rsid w:val="009A1A92"/>
    <w:rsid w:val="009A3788"/>
    <w:rsid w:val="009A3A8C"/>
    <w:rsid w:val="009A3AC9"/>
    <w:rsid w:val="009A529D"/>
    <w:rsid w:val="009A53A9"/>
    <w:rsid w:val="009A5543"/>
    <w:rsid w:val="009A5B39"/>
    <w:rsid w:val="009A6949"/>
    <w:rsid w:val="009A696E"/>
    <w:rsid w:val="009A7396"/>
    <w:rsid w:val="009B0804"/>
    <w:rsid w:val="009B17B1"/>
    <w:rsid w:val="009B2564"/>
    <w:rsid w:val="009B2A1C"/>
    <w:rsid w:val="009B2A1D"/>
    <w:rsid w:val="009B30C6"/>
    <w:rsid w:val="009B4BDE"/>
    <w:rsid w:val="009B58E4"/>
    <w:rsid w:val="009B5D45"/>
    <w:rsid w:val="009B6273"/>
    <w:rsid w:val="009B629E"/>
    <w:rsid w:val="009B7247"/>
    <w:rsid w:val="009C090B"/>
    <w:rsid w:val="009C20FB"/>
    <w:rsid w:val="009C21B3"/>
    <w:rsid w:val="009C2918"/>
    <w:rsid w:val="009C2C06"/>
    <w:rsid w:val="009C2D76"/>
    <w:rsid w:val="009C3C0F"/>
    <w:rsid w:val="009C3CB4"/>
    <w:rsid w:val="009C40B7"/>
    <w:rsid w:val="009C5297"/>
    <w:rsid w:val="009C56A3"/>
    <w:rsid w:val="009C5F19"/>
    <w:rsid w:val="009C6145"/>
    <w:rsid w:val="009C624F"/>
    <w:rsid w:val="009C63F8"/>
    <w:rsid w:val="009C6977"/>
    <w:rsid w:val="009C6BF4"/>
    <w:rsid w:val="009C6F2A"/>
    <w:rsid w:val="009D0C1E"/>
    <w:rsid w:val="009D0F64"/>
    <w:rsid w:val="009D1039"/>
    <w:rsid w:val="009D1050"/>
    <w:rsid w:val="009D155C"/>
    <w:rsid w:val="009D162A"/>
    <w:rsid w:val="009D1A8A"/>
    <w:rsid w:val="009D1FDA"/>
    <w:rsid w:val="009D22AB"/>
    <w:rsid w:val="009D31CC"/>
    <w:rsid w:val="009D3239"/>
    <w:rsid w:val="009D4B5C"/>
    <w:rsid w:val="009D672F"/>
    <w:rsid w:val="009D698F"/>
    <w:rsid w:val="009D6AFF"/>
    <w:rsid w:val="009D6F98"/>
    <w:rsid w:val="009D7915"/>
    <w:rsid w:val="009E0172"/>
    <w:rsid w:val="009E0D78"/>
    <w:rsid w:val="009E0E32"/>
    <w:rsid w:val="009E14BF"/>
    <w:rsid w:val="009E16E0"/>
    <w:rsid w:val="009E2517"/>
    <w:rsid w:val="009E339F"/>
    <w:rsid w:val="009E37F6"/>
    <w:rsid w:val="009E4696"/>
    <w:rsid w:val="009E4877"/>
    <w:rsid w:val="009E520E"/>
    <w:rsid w:val="009E5522"/>
    <w:rsid w:val="009E599E"/>
    <w:rsid w:val="009E614D"/>
    <w:rsid w:val="009E698C"/>
    <w:rsid w:val="009E7A60"/>
    <w:rsid w:val="009F033B"/>
    <w:rsid w:val="009F0BDC"/>
    <w:rsid w:val="009F10B2"/>
    <w:rsid w:val="009F14B3"/>
    <w:rsid w:val="009F1722"/>
    <w:rsid w:val="009F2301"/>
    <w:rsid w:val="009F246B"/>
    <w:rsid w:val="009F24D6"/>
    <w:rsid w:val="009F261E"/>
    <w:rsid w:val="009F266E"/>
    <w:rsid w:val="009F2F1A"/>
    <w:rsid w:val="009F362E"/>
    <w:rsid w:val="009F3739"/>
    <w:rsid w:val="009F3D23"/>
    <w:rsid w:val="009F3DDB"/>
    <w:rsid w:val="009F40B2"/>
    <w:rsid w:val="009F4837"/>
    <w:rsid w:val="009F484B"/>
    <w:rsid w:val="009F4A79"/>
    <w:rsid w:val="009F4B5A"/>
    <w:rsid w:val="009F4E5D"/>
    <w:rsid w:val="009F5BC7"/>
    <w:rsid w:val="009F61AE"/>
    <w:rsid w:val="009F65B8"/>
    <w:rsid w:val="009F6A79"/>
    <w:rsid w:val="009F6D9C"/>
    <w:rsid w:val="009F7169"/>
    <w:rsid w:val="009F7B18"/>
    <w:rsid w:val="00A00BAC"/>
    <w:rsid w:val="00A00DB0"/>
    <w:rsid w:val="00A00FDF"/>
    <w:rsid w:val="00A0201E"/>
    <w:rsid w:val="00A0209A"/>
    <w:rsid w:val="00A0245F"/>
    <w:rsid w:val="00A036B5"/>
    <w:rsid w:val="00A0445C"/>
    <w:rsid w:val="00A04F41"/>
    <w:rsid w:val="00A0507A"/>
    <w:rsid w:val="00A055D1"/>
    <w:rsid w:val="00A06013"/>
    <w:rsid w:val="00A060C9"/>
    <w:rsid w:val="00A06B1E"/>
    <w:rsid w:val="00A070D2"/>
    <w:rsid w:val="00A0729A"/>
    <w:rsid w:val="00A073B6"/>
    <w:rsid w:val="00A07DEE"/>
    <w:rsid w:val="00A101DB"/>
    <w:rsid w:val="00A1039D"/>
    <w:rsid w:val="00A10F13"/>
    <w:rsid w:val="00A1154A"/>
    <w:rsid w:val="00A119F0"/>
    <w:rsid w:val="00A12478"/>
    <w:rsid w:val="00A12A4F"/>
    <w:rsid w:val="00A12B03"/>
    <w:rsid w:val="00A12CA0"/>
    <w:rsid w:val="00A13342"/>
    <w:rsid w:val="00A146F8"/>
    <w:rsid w:val="00A14A05"/>
    <w:rsid w:val="00A15D9D"/>
    <w:rsid w:val="00A166B3"/>
    <w:rsid w:val="00A168A2"/>
    <w:rsid w:val="00A16E1F"/>
    <w:rsid w:val="00A175A8"/>
    <w:rsid w:val="00A175EA"/>
    <w:rsid w:val="00A17C85"/>
    <w:rsid w:val="00A20248"/>
    <w:rsid w:val="00A202DF"/>
    <w:rsid w:val="00A206EB"/>
    <w:rsid w:val="00A20D46"/>
    <w:rsid w:val="00A21A5B"/>
    <w:rsid w:val="00A21C54"/>
    <w:rsid w:val="00A21C90"/>
    <w:rsid w:val="00A222B0"/>
    <w:rsid w:val="00A22871"/>
    <w:rsid w:val="00A22A2F"/>
    <w:rsid w:val="00A22F8A"/>
    <w:rsid w:val="00A2395F"/>
    <w:rsid w:val="00A23ADA"/>
    <w:rsid w:val="00A24DC6"/>
    <w:rsid w:val="00A2547F"/>
    <w:rsid w:val="00A25B5F"/>
    <w:rsid w:val="00A26656"/>
    <w:rsid w:val="00A305F9"/>
    <w:rsid w:val="00A312E1"/>
    <w:rsid w:val="00A318EB"/>
    <w:rsid w:val="00A327C9"/>
    <w:rsid w:val="00A33997"/>
    <w:rsid w:val="00A3473D"/>
    <w:rsid w:val="00A34C03"/>
    <w:rsid w:val="00A34E7E"/>
    <w:rsid w:val="00A351E5"/>
    <w:rsid w:val="00A352A9"/>
    <w:rsid w:val="00A35B3A"/>
    <w:rsid w:val="00A37B51"/>
    <w:rsid w:val="00A37FCF"/>
    <w:rsid w:val="00A4186A"/>
    <w:rsid w:val="00A41AB1"/>
    <w:rsid w:val="00A41E9A"/>
    <w:rsid w:val="00A42018"/>
    <w:rsid w:val="00A421B0"/>
    <w:rsid w:val="00A4232A"/>
    <w:rsid w:val="00A4395B"/>
    <w:rsid w:val="00A44F1B"/>
    <w:rsid w:val="00A453EC"/>
    <w:rsid w:val="00A453EF"/>
    <w:rsid w:val="00A46E48"/>
    <w:rsid w:val="00A4760C"/>
    <w:rsid w:val="00A47B9F"/>
    <w:rsid w:val="00A50325"/>
    <w:rsid w:val="00A508A1"/>
    <w:rsid w:val="00A50BE8"/>
    <w:rsid w:val="00A51F5D"/>
    <w:rsid w:val="00A52863"/>
    <w:rsid w:val="00A53097"/>
    <w:rsid w:val="00A535B1"/>
    <w:rsid w:val="00A5467C"/>
    <w:rsid w:val="00A549F4"/>
    <w:rsid w:val="00A5525E"/>
    <w:rsid w:val="00A554FA"/>
    <w:rsid w:val="00A559B3"/>
    <w:rsid w:val="00A561B8"/>
    <w:rsid w:val="00A563B2"/>
    <w:rsid w:val="00A564D7"/>
    <w:rsid w:val="00A569A9"/>
    <w:rsid w:val="00A57137"/>
    <w:rsid w:val="00A57404"/>
    <w:rsid w:val="00A57E43"/>
    <w:rsid w:val="00A57EF8"/>
    <w:rsid w:val="00A57F5E"/>
    <w:rsid w:val="00A606D4"/>
    <w:rsid w:val="00A618CE"/>
    <w:rsid w:val="00A618E5"/>
    <w:rsid w:val="00A61CE3"/>
    <w:rsid w:val="00A62724"/>
    <w:rsid w:val="00A62DE0"/>
    <w:rsid w:val="00A62E18"/>
    <w:rsid w:val="00A6382B"/>
    <w:rsid w:val="00A63BB9"/>
    <w:rsid w:val="00A63E37"/>
    <w:rsid w:val="00A64281"/>
    <w:rsid w:val="00A643BD"/>
    <w:rsid w:val="00A64E60"/>
    <w:rsid w:val="00A663EE"/>
    <w:rsid w:val="00A66E18"/>
    <w:rsid w:val="00A67100"/>
    <w:rsid w:val="00A6779B"/>
    <w:rsid w:val="00A70588"/>
    <w:rsid w:val="00A70F82"/>
    <w:rsid w:val="00A722F7"/>
    <w:rsid w:val="00A73031"/>
    <w:rsid w:val="00A73F0F"/>
    <w:rsid w:val="00A74379"/>
    <w:rsid w:val="00A743C3"/>
    <w:rsid w:val="00A74C34"/>
    <w:rsid w:val="00A754CC"/>
    <w:rsid w:val="00A75ED4"/>
    <w:rsid w:val="00A767EC"/>
    <w:rsid w:val="00A76A31"/>
    <w:rsid w:val="00A76AC8"/>
    <w:rsid w:val="00A76F8F"/>
    <w:rsid w:val="00A77341"/>
    <w:rsid w:val="00A77DF4"/>
    <w:rsid w:val="00A8008E"/>
    <w:rsid w:val="00A80831"/>
    <w:rsid w:val="00A80C3C"/>
    <w:rsid w:val="00A80F76"/>
    <w:rsid w:val="00A811EC"/>
    <w:rsid w:val="00A81899"/>
    <w:rsid w:val="00A81BFF"/>
    <w:rsid w:val="00A824B1"/>
    <w:rsid w:val="00A8373E"/>
    <w:rsid w:val="00A83769"/>
    <w:rsid w:val="00A846F3"/>
    <w:rsid w:val="00A847CC"/>
    <w:rsid w:val="00A85430"/>
    <w:rsid w:val="00A85EFF"/>
    <w:rsid w:val="00A86588"/>
    <w:rsid w:val="00A87430"/>
    <w:rsid w:val="00A876E1"/>
    <w:rsid w:val="00A878E6"/>
    <w:rsid w:val="00A87E6B"/>
    <w:rsid w:val="00A90005"/>
    <w:rsid w:val="00A90264"/>
    <w:rsid w:val="00A908AE"/>
    <w:rsid w:val="00A90DD1"/>
    <w:rsid w:val="00A91403"/>
    <w:rsid w:val="00A914D9"/>
    <w:rsid w:val="00A91677"/>
    <w:rsid w:val="00A91DBF"/>
    <w:rsid w:val="00A924FC"/>
    <w:rsid w:val="00A93A0A"/>
    <w:rsid w:val="00A93B8D"/>
    <w:rsid w:val="00A9495F"/>
    <w:rsid w:val="00A94ECB"/>
    <w:rsid w:val="00A9639F"/>
    <w:rsid w:val="00A9647F"/>
    <w:rsid w:val="00A96C5E"/>
    <w:rsid w:val="00AA149A"/>
    <w:rsid w:val="00AA1AD3"/>
    <w:rsid w:val="00AA2955"/>
    <w:rsid w:val="00AA2BC7"/>
    <w:rsid w:val="00AA314F"/>
    <w:rsid w:val="00AA4787"/>
    <w:rsid w:val="00AA4AFF"/>
    <w:rsid w:val="00AA4FF6"/>
    <w:rsid w:val="00AA667E"/>
    <w:rsid w:val="00AA77D7"/>
    <w:rsid w:val="00AB0A2F"/>
    <w:rsid w:val="00AB17E8"/>
    <w:rsid w:val="00AB2580"/>
    <w:rsid w:val="00AB2A30"/>
    <w:rsid w:val="00AB2F57"/>
    <w:rsid w:val="00AB3D5C"/>
    <w:rsid w:val="00AB46A1"/>
    <w:rsid w:val="00AB4866"/>
    <w:rsid w:val="00AB4FBB"/>
    <w:rsid w:val="00AB5166"/>
    <w:rsid w:val="00AB5D80"/>
    <w:rsid w:val="00AB6D42"/>
    <w:rsid w:val="00AB73D8"/>
    <w:rsid w:val="00AB78A4"/>
    <w:rsid w:val="00AC03D0"/>
    <w:rsid w:val="00AC082D"/>
    <w:rsid w:val="00AC2160"/>
    <w:rsid w:val="00AC3519"/>
    <w:rsid w:val="00AC36CE"/>
    <w:rsid w:val="00AC4DA3"/>
    <w:rsid w:val="00AC5950"/>
    <w:rsid w:val="00AC59D5"/>
    <w:rsid w:val="00AC63AC"/>
    <w:rsid w:val="00AC6499"/>
    <w:rsid w:val="00AC67C0"/>
    <w:rsid w:val="00AC6CB0"/>
    <w:rsid w:val="00AC779F"/>
    <w:rsid w:val="00AD0151"/>
    <w:rsid w:val="00AD05B4"/>
    <w:rsid w:val="00AD0FBA"/>
    <w:rsid w:val="00AD100D"/>
    <w:rsid w:val="00AD20AC"/>
    <w:rsid w:val="00AD45C1"/>
    <w:rsid w:val="00AD56B8"/>
    <w:rsid w:val="00AD76C1"/>
    <w:rsid w:val="00AD7E72"/>
    <w:rsid w:val="00AE0C84"/>
    <w:rsid w:val="00AE10CF"/>
    <w:rsid w:val="00AE1673"/>
    <w:rsid w:val="00AE16FA"/>
    <w:rsid w:val="00AE18AD"/>
    <w:rsid w:val="00AE18E1"/>
    <w:rsid w:val="00AE20F0"/>
    <w:rsid w:val="00AE223C"/>
    <w:rsid w:val="00AE26DC"/>
    <w:rsid w:val="00AE3B78"/>
    <w:rsid w:val="00AE3BCE"/>
    <w:rsid w:val="00AE4026"/>
    <w:rsid w:val="00AE47E8"/>
    <w:rsid w:val="00AE48C2"/>
    <w:rsid w:val="00AE490C"/>
    <w:rsid w:val="00AE52D4"/>
    <w:rsid w:val="00AE52DD"/>
    <w:rsid w:val="00AE590D"/>
    <w:rsid w:val="00AE6757"/>
    <w:rsid w:val="00AE689E"/>
    <w:rsid w:val="00AE691A"/>
    <w:rsid w:val="00AE738C"/>
    <w:rsid w:val="00AE7B31"/>
    <w:rsid w:val="00AE7D6C"/>
    <w:rsid w:val="00AF0682"/>
    <w:rsid w:val="00AF1DA7"/>
    <w:rsid w:val="00AF1EA9"/>
    <w:rsid w:val="00AF3427"/>
    <w:rsid w:val="00AF374B"/>
    <w:rsid w:val="00AF385D"/>
    <w:rsid w:val="00AF3B29"/>
    <w:rsid w:val="00AF3D7C"/>
    <w:rsid w:val="00AF4284"/>
    <w:rsid w:val="00AF4490"/>
    <w:rsid w:val="00AF478F"/>
    <w:rsid w:val="00AF4889"/>
    <w:rsid w:val="00AF4A2D"/>
    <w:rsid w:val="00AF63B7"/>
    <w:rsid w:val="00AF6EC4"/>
    <w:rsid w:val="00AF7360"/>
    <w:rsid w:val="00B00C4B"/>
    <w:rsid w:val="00B012A2"/>
    <w:rsid w:val="00B019D1"/>
    <w:rsid w:val="00B027C6"/>
    <w:rsid w:val="00B02888"/>
    <w:rsid w:val="00B0315C"/>
    <w:rsid w:val="00B04492"/>
    <w:rsid w:val="00B044CA"/>
    <w:rsid w:val="00B0458C"/>
    <w:rsid w:val="00B04F47"/>
    <w:rsid w:val="00B0520E"/>
    <w:rsid w:val="00B05229"/>
    <w:rsid w:val="00B05CE6"/>
    <w:rsid w:val="00B060F9"/>
    <w:rsid w:val="00B06273"/>
    <w:rsid w:val="00B07241"/>
    <w:rsid w:val="00B07289"/>
    <w:rsid w:val="00B07327"/>
    <w:rsid w:val="00B0732F"/>
    <w:rsid w:val="00B0761B"/>
    <w:rsid w:val="00B07F87"/>
    <w:rsid w:val="00B1165C"/>
    <w:rsid w:val="00B11C65"/>
    <w:rsid w:val="00B120C0"/>
    <w:rsid w:val="00B12416"/>
    <w:rsid w:val="00B135BE"/>
    <w:rsid w:val="00B13AB7"/>
    <w:rsid w:val="00B13F22"/>
    <w:rsid w:val="00B14E53"/>
    <w:rsid w:val="00B15AA0"/>
    <w:rsid w:val="00B15E19"/>
    <w:rsid w:val="00B15FDF"/>
    <w:rsid w:val="00B171F3"/>
    <w:rsid w:val="00B207BC"/>
    <w:rsid w:val="00B2120F"/>
    <w:rsid w:val="00B218D3"/>
    <w:rsid w:val="00B219F8"/>
    <w:rsid w:val="00B2214A"/>
    <w:rsid w:val="00B2239F"/>
    <w:rsid w:val="00B22419"/>
    <w:rsid w:val="00B235DC"/>
    <w:rsid w:val="00B241C4"/>
    <w:rsid w:val="00B251F9"/>
    <w:rsid w:val="00B2525C"/>
    <w:rsid w:val="00B258A5"/>
    <w:rsid w:val="00B25BB4"/>
    <w:rsid w:val="00B26BB5"/>
    <w:rsid w:val="00B270F6"/>
    <w:rsid w:val="00B271F1"/>
    <w:rsid w:val="00B273ED"/>
    <w:rsid w:val="00B27A84"/>
    <w:rsid w:val="00B27B27"/>
    <w:rsid w:val="00B27BA5"/>
    <w:rsid w:val="00B27C9F"/>
    <w:rsid w:val="00B314E0"/>
    <w:rsid w:val="00B31CBE"/>
    <w:rsid w:val="00B32822"/>
    <w:rsid w:val="00B3389C"/>
    <w:rsid w:val="00B33A94"/>
    <w:rsid w:val="00B33C02"/>
    <w:rsid w:val="00B33ED3"/>
    <w:rsid w:val="00B341CB"/>
    <w:rsid w:val="00B342CF"/>
    <w:rsid w:val="00B348B8"/>
    <w:rsid w:val="00B34B88"/>
    <w:rsid w:val="00B34E31"/>
    <w:rsid w:val="00B35472"/>
    <w:rsid w:val="00B35AFC"/>
    <w:rsid w:val="00B36113"/>
    <w:rsid w:val="00B36440"/>
    <w:rsid w:val="00B36703"/>
    <w:rsid w:val="00B3765C"/>
    <w:rsid w:val="00B43367"/>
    <w:rsid w:val="00B436A2"/>
    <w:rsid w:val="00B44110"/>
    <w:rsid w:val="00B45319"/>
    <w:rsid w:val="00B458D9"/>
    <w:rsid w:val="00B46BC5"/>
    <w:rsid w:val="00B473B1"/>
    <w:rsid w:val="00B47474"/>
    <w:rsid w:val="00B47E7A"/>
    <w:rsid w:val="00B50427"/>
    <w:rsid w:val="00B50595"/>
    <w:rsid w:val="00B507B6"/>
    <w:rsid w:val="00B50E9E"/>
    <w:rsid w:val="00B51B66"/>
    <w:rsid w:val="00B5252F"/>
    <w:rsid w:val="00B538D2"/>
    <w:rsid w:val="00B5472D"/>
    <w:rsid w:val="00B553F6"/>
    <w:rsid w:val="00B5540E"/>
    <w:rsid w:val="00B55896"/>
    <w:rsid w:val="00B5618C"/>
    <w:rsid w:val="00B57890"/>
    <w:rsid w:val="00B578D5"/>
    <w:rsid w:val="00B60F6B"/>
    <w:rsid w:val="00B6156A"/>
    <w:rsid w:val="00B623F0"/>
    <w:rsid w:val="00B62768"/>
    <w:rsid w:val="00B62D32"/>
    <w:rsid w:val="00B6380C"/>
    <w:rsid w:val="00B638C7"/>
    <w:rsid w:val="00B648DF"/>
    <w:rsid w:val="00B6576F"/>
    <w:rsid w:val="00B65BCE"/>
    <w:rsid w:val="00B664BF"/>
    <w:rsid w:val="00B66DF5"/>
    <w:rsid w:val="00B67262"/>
    <w:rsid w:val="00B677E1"/>
    <w:rsid w:val="00B6786A"/>
    <w:rsid w:val="00B700AD"/>
    <w:rsid w:val="00B70295"/>
    <w:rsid w:val="00B70770"/>
    <w:rsid w:val="00B70AE2"/>
    <w:rsid w:val="00B70F50"/>
    <w:rsid w:val="00B71459"/>
    <w:rsid w:val="00B71E6F"/>
    <w:rsid w:val="00B7227C"/>
    <w:rsid w:val="00B722A4"/>
    <w:rsid w:val="00B72336"/>
    <w:rsid w:val="00B724FE"/>
    <w:rsid w:val="00B733BD"/>
    <w:rsid w:val="00B73B54"/>
    <w:rsid w:val="00B74872"/>
    <w:rsid w:val="00B7490C"/>
    <w:rsid w:val="00B74B99"/>
    <w:rsid w:val="00B74FC4"/>
    <w:rsid w:val="00B759A4"/>
    <w:rsid w:val="00B75DA9"/>
    <w:rsid w:val="00B760F7"/>
    <w:rsid w:val="00B77B9C"/>
    <w:rsid w:val="00B8115A"/>
    <w:rsid w:val="00B83AD6"/>
    <w:rsid w:val="00B843CD"/>
    <w:rsid w:val="00B85CA1"/>
    <w:rsid w:val="00B85DA8"/>
    <w:rsid w:val="00B860AA"/>
    <w:rsid w:val="00B86296"/>
    <w:rsid w:val="00B86486"/>
    <w:rsid w:val="00B86616"/>
    <w:rsid w:val="00B872FD"/>
    <w:rsid w:val="00B873AD"/>
    <w:rsid w:val="00B905CD"/>
    <w:rsid w:val="00B91794"/>
    <w:rsid w:val="00B91ED4"/>
    <w:rsid w:val="00B92C8C"/>
    <w:rsid w:val="00B93BA8"/>
    <w:rsid w:val="00B94142"/>
    <w:rsid w:val="00B94191"/>
    <w:rsid w:val="00B94CEF"/>
    <w:rsid w:val="00B95557"/>
    <w:rsid w:val="00B96A61"/>
    <w:rsid w:val="00B96BD5"/>
    <w:rsid w:val="00B96E7D"/>
    <w:rsid w:val="00B97E5B"/>
    <w:rsid w:val="00BA000B"/>
    <w:rsid w:val="00BA0E5A"/>
    <w:rsid w:val="00BA17DC"/>
    <w:rsid w:val="00BA39A9"/>
    <w:rsid w:val="00BA4153"/>
    <w:rsid w:val="00BA499F"/>
    <w:rsid w:val="00BA4CB3"/>
    <w:rsid w:val="00BA559E"/>
    <w:rsid w:val="00BA57DA"/>
    <w:rsid w:val="00BA5F8B"/>
    <w:rsid w:val="00BA611E"/>
    <w:rsid w:val="00BA61CA"/>
    <w:rsid w:val="00BA62A8"/>
    <w:rsid w:val="00BA642E"/>
    <w:rsid w:val="00BA652C"/>
    <w:rsid w:val="00BA7611"/>
    <w:rsid w:val="00BA7D10"/>
    <w:rsid w:val="00BB0DD7"/>
    <w:rsid w:val="00BB12C1"/>
    <w:rsid w:val="00BB168B"/>
    <w:rsid w:val="00BB2724"/>
    <w:rsid w:val="00BB28E2"/>
    <w:rsid w:val="00BB296B"/>
    <w:rsid w:val="00BB322C"/>
    <w:rsid w:val="00BB3384"/>
    <w:rsid w:val="00BB38C0"/>
    <w:rsid w:val="00BB3DF1"/>
    <w:rsid w:val="00BB401E"/>
    <w:rsid w:val="00BB4422"/>
    <w:rsid w:val="00BB4816"/>
    <w:rsid w:val="00BB5ADC"/>
    <w:rsid w:val="00BB66DD"/>
    <w:rsid w:val="00BB692D"/>
    <w:rsid w:val="00BB6B4C"/>
    <w:rsid w:val="00BB7E8A"/>
    <w:rsid w:val="00BC01B2"/>
    <w:rsid w:val="00BC09DA"/>
    <w:rsid w:val="00BC0ADC"/>
    <w:rsid w:val="00BC0D3E"/>
    <w:rsid w:val="00BC0EA1"/>
    <w:rsid w:val="00BC1359"/>
    <w:rsid w:val="00BC15AE"/>
    <w:rsid w:val="00BC1C0B"/>
    <w:rsid w:val="00BC245C"/>
    <w:rsid w:val="00BC2772"/>
    <w:rsid w:val="00BC2C72"/>
    <w:rsid w:val="00BC2ED1"/>
    <w:rsid w:val="00BC36E7"/>
    <w:rsid w:val="00BC44FB"/>
    <w:rsid w:val="00BC5C92"/>
    <w:rsid w:val="00BC6C45"/>
    <w:rsid w:val="00BC6C99"/>
    <w:rsid w:val="00BC7300"/>
    <w:rsid w:val="00BC742F"/>
    <w:rsid w:val="00BC74C2"/>
    <w:rsid w:val="00BD0943"/>
    <w:rsid w:val="00BD0BEC"/>
    <w:rsid w:val="00BD103A"/>
    <w:rsid w:val="00BD1798"/>
    <w:rsid w:val="00BD2085"/>
    <w:rsid w:val="00BD5A1C"/>
    <w:rsid w:val="00BD6714"/>
    <w:rsid w:val="00BD7654"/>
    <w:rsid w:val="00BE0D16"/>
    <w:rsid w:val="00BE1329"/>
    <w:rsid w:val="00BE13B6"/>
    <w:rsid w:val="00BE1649"/>
    <w:rsid w:val="00BE1F62"/>
    <w:rsid w:val="00BE23C4"/>
    <w:rsid w:val="00BE2485"/>
    <w:rsid w:val="00BE4217"/>
    <w:rsid w:val="00BE4ED2"/>
    <w:rsid w:val="00BE4EE4"/>
    <w:rsid w:val="00BE519B"/>
    <w:rsid w:val="00BE5728"/>
    <w:rsid w:val="00BE5E98"/>
    <w:rsid w:val="00BE62B0"/>
    <w:rsid w:val="00BE636F"/>
    <w:rsid w:val="00BE637A"/>
    <w:rsid w:val="00BE63A7"/>
    <w:rsid w:val="00BE698E"/>
    <w:rsid w:val="00BE6AB8"/>
    <w:rsid w:val="00BE6C69"/>
    <w:rsid w:val="00BE757E"/>
    <w:rsid w:val="00BE7850"/>
    <w:rsid w:val="00BE7855"/>
    <w:rsid w:val="00BF03A1"/>
    <w:rsid w:val="00BF0447"/>
    <w:rsid w:val="00BF1B9C"/>
    <w:rsid w:val="00BF2014"/>
    <w:rsid w:val="00BF24A0"/>
    <w:rsid w:val="00BF24FD"/>
    <w:rsid w:val="00BF38DD"/>
    <w:rsid w:val="00BF392E"/>
    <w:rsid w:val="00BF3DEB"/>
    <w:rsid w:val="00BF3E60"/>
    <w:rsid w:val="00BF49CC"/>
    <w:rsid w:val="00BF50BD"/>
    <w:rsid w:val="00BF5BD0"/>
    <w:rsid w:val="00BF6504"/>
    <w:rsid w:val="00BF6694"/>
    <w:rsid w:val="00BF6C02"/>
    <w:rsid w:val="00BF7444"/>
    <w:rsid w:val="00BF75EC"/>
    <w:rsid w:val="00BF7861"/>
    <w:rsid w:val="00C004C1"/>
    <w:rsid w:val="00C012CC"/>
    <w:rsid w:val="00C023F0"/>
    <w:rsid w:val="00C028B7"/>
    <w:rsid w:val="00C02E55"/>
    <w:rsid w:val="00C02F5A"/>
    <w:rsid w:val="00C0412C"/>
    <w:rsid w:val="00C04510"/>
    <w:rsid w:val="00C05468"/>
    <w:rsid w:val="00C06A9A"/>
    <w:rsid w:val="00C06AF8"/>
    <w:rsid w:val="00C06C88"/>
    <w:rsid w:val="00C074C9"/>
    <w:rsid w:val="00C07993"/>
    <w:rsid w:val="00C07B3E"/>
    <w:rsid w:val="00C07C81"/>
    <w:rsid w:val="00C104F7"/>
    <w:rsid w:val="00C10C69"/>
    <w:rsid w:val="00C10D2F"/>
    <w:rsid w:val="00C1104D"/>
    <w:rsid w:val="00C118EF"/>
    <w:rsid w:val="00C11EB4"/>
    <w:rsid w:val="00C1201B"/>
    <w:rsid w:val="00C12754"/>
    <w:rsid w:val="00C12FE2"/>
    <w:rsid w:val="00C13457"/>
    <w:rsid w:val="00C13BE3"/>
    <w:rsid w:val="00C13D99"/>
    <w:rsid w:val="00C1401D"/>
    <w:rsid w:val="00C14585"/>
    <w:rsid w:val="00C14A65"/>
    <w:rsid w:val="00C1604C"/>
    <w:rsid w:val="00C16C6A"/>
    <w:rsid w:val="00C16E26"/>
    <w:rsid w:val="00C16EB1"/>
    <w:rsid w:val="00C17EDE"/>
    <w:rsid w:val="00C202D7"/>
    <w:rsid w:val="00C20589"/>
    <w:rsid w:val="00C2092D"/>
    <w:rsid w:val="00C21794"/>
    <w:rsid w:val="00C21F31"/>
    <w:rsid w:val="00C220FF"/>
    <w:rsid w:val="00C222B8"/>
    <w:rsid w:val="00C227A0"/>
    <w:rsid w:val="00C230E8"/>
    <w:rsid w:val="00C231EF"/>
    <w:rsid w:val="00C23495"/>
    <w:rsid w:val="00C240BF"/>
    <w:rsid w:val="00C24596"/>
    <w:rsid w:val="00C246E6"/>
    <w:rsid w:val="00C250D8"/>
    <w:rsid w:val="00C255F0"/>
    <w:rsid w:val="00C26C33"/>
    <w:rsid w:val="00C30DFB"/>
    <w:rsid w:val="00C310F8"/>
    <w:rsid w:val="00C3243B"/>
    <w:rsid w:val="00C329C9"/>
    <w:rsid w:val="00C32C28"/>
    <w:rsid w:val="00C32FB7"/>
    <w:rsid w:val="00C3305B"/>
    <w:rsid w:val="00C332F3"/>
    <w:rsid w:val="00C3387D"/>
    <w:rsid w:val="00C33E74"/>
    <w:rsid w:val="00C3539A"/>
    <w:rsid w:val="00C367C5"/>
    <w:rsid w:val="00C36DE4"/>
    <w:rsid w:val="00C3735F"/>
    <w:rsid w:val="00C373B4"/>
    <w:rsid w:val="00C37943"/>
    <w:rsid w:val="00C37F2B"/>
    <w:rsid w:val="00C40203"/>
    <w:rsid w:val="00C40725"/>
    <w:rsid w:val="00C41262"/>
    <w:rsid w:val="00C41B17"/>
    <w:rsid w:val="00C42423"/>
    <w:rsid w:val="00C4262D"/>
    <w:rsid w:val="00C43071"/>
    <w:rsid w:val="00C43395"/>
    <w:rsid w:val="00C4349B"/>
    <w:rsid w:val="00C43887"/>
    <w:rsid w:val="00C43F7E"/>
    <w:rsid w:val="00C4498B"/>
    <w:rsid w:val="00C44C6F"/>
    <w:rsid w:val="00C44CCC"/>
    <w:rsid w:val="00C459BE"/>
    <w:rsid w:val="00C4735A"/>
    <w:rsid w:val="00C5027D"/>
    <w:rsid w:val="00C502CE"/>
    <w:rsid w:val="00C50639"/>
    <w:rsid w:val="00C510D0"/>
    <w:rsid w:val="00C516C8"/>
    <w:rsid w:val="00C51883"/>
    <w:rsid w:val="00C51B54"/>
    <w:rsid w:val="00C51FE2"/>
    <w:rsid w:val="00C52ED1"/>
    <w:rsid w:val="00C53092"/>
    <w:rsid w:val="00C5379E"/>
    <w:rsid w:val="00C53B9A"/>
    <w:rsid w:val="00C53D7C"/>
    <w:rsid w:val="00C53D9E"/>
    <w:rsid w:val="00C542AF"/>
    <w:rsid w:val="00C5450E"/>
    <w:rsid w:val="00C556EB"/>
    <w:rsid w:val="00C55763"/>
    <w:rsid w:val="00C55D2A"/>
    <w:rsid w:val="00C55EBD"/>
    <w:rsid w:val="00C56A67"/>
    <w:rsid w:val="00C57537"/>
    <w:rsid w:val="00C57AE5"/>
    <w:rsid w:val="00C57BF2"/>
    <w:rsid w:val="00C602A7"/>
    <w:rsid w:val="00C6129B"/>
    <w:rsid w:val="00C612B9"/>
    <w:rsid w:val="00C6137B"/>
    <w:rsid w:val="00C61D22"/>
    <w:rsid w:val="00C62660"/>
    <w:rsid w:val="00C62AC6"/>
    <w:rsid w:val="00C62B64"/>
    <w:rsid w:val="00C6316B"/>
    <w:rsid w:val="00C64450"/>
    <w:rsid w:val="00C653D8"/>
    <w:rsid w:val="00C65CB2"/>
    <w:rsid w:val="00C669FA"/>
    <w:rsid w:val="00C67B16"/>
    <w:rsid w:val="00C70755"/>
    <w:rsid w:val="00C710C7"/>
    <w:rsid w:val="00C710FD"/>
    <w:rsid w:val="00C714E0"/>
    <w:rsid w:val="00C71849"/>
    <w:rsid w:val="00C71E17"/>
    <w:rsid w:val="00C71FAA"/>
    <w:rsid w:val="00C728E2"/>
    <w:rsid w:val="00C72975"/>
    <w:rsid w:val="00C72FC7"/>
    <w:rsid w:val="00C74D0F"/>
    <w:rsid w:val="00C75361"/>
    <w:rsid w:val="00C7585B"/>
    <w:rsid w:val="00C75EF3"/>
    <w:rsid w:val="00C769FF"/>
    <w:rsid w:val="00C76A8E"/>
    <w:rsid w:val="00C76C9D"/>
    <w:rsid w:val="00C774A3"/>
    <w:rsid w:val="00C77524"/>
    <w:rsid w:val="00C778CE"/>
    <w:rsid w:val="00C77B47"/>
    <w:rsid w:val="00C77CB7"/>
    <w:rsid w:val="00C77E77"/>
    <w:rsid w:val="00C8045F"/>
    <w:rsid w:val="00C80542"/>
    <w:rsid w:val="00C8097E"/>
    <w:rsid w:val="00C80BAB"/>
    <w:rsid w:val="00C80CD6"/>
    <w:rsid w:val="00C82361"/>
    <w:rsid w:val="00C83518"/>
    <w:rsid w:val="00C84B52"/>
    <w:rsid w:val="00C84B61"/>
    <w:rsid w:val="00C859A0"/>
    <w:rsid w:val="00C85DBD"/>
    <w:rsid w:val="00C860D5"/>
    <w:rsid w:val="00C8610A"/>
    <w:rsid w:val="00C8642F"/>
    <w:rsid w:val="00C86728"/>
    <w:rsid w:val="00C86A06"/>
    <w:rsid w:val="00C90449"/>
    <w:rsid w:val="00C90959"/>
    <w:rsid w:val="00C913B7"/>
    <w:rsid w:val="00C9154B"/>
    <w:rsid w:val="00C91565"/>
    <w:rsid w:val="00C91BDA"/>
    <w:rsid w:val="00C9366E"/>
    <w:rsid w:val="00C93AC9"/>
    <w:rsid w:val="00C941D4"/>
    <w:rsid w:val="00C94402"/>
    <w:rsid w:val="00C948DD"/>
    <w:rsid w:val="00C94C2B"/>
    <w:rsid w:val="00C95EC7"/>
    <w:rsid w:val="00C968CE"/>
    <w:rsid w:val="00C96C53"/>
    <w:rsid w:val="00C97165"/>
    <w:rsid w:val="00C979F9"/>
    <w:rsid w:val="00C97C2D"/>
    <w:rsid w:val="00CA0725"/>
    <w:rsid w:val="00CA1C0E"/>
    <w:rsid w:val="00CA2060"/>
    <w:rsid w:val="00CA251C"/>
    <w:rsid w:val="00CA3129"/>
    <w:rsid w:val="00CA3579"/>
    <w:rsid w:val="00CA4DA6"/>
    <w:rsid w:val="00CA4E6D"/>
    <w:rsid w:val="00CA58AE"/>
    <w:rsid w:val="00CA5BBF"/>
    <w:rsid w:val="00CA5C42"/>
    <w:rsid w:val="00CA6C3A"/>
    <w:rsid w:val="00CA79A1"/>
    <w:rsid w:val="00CA7FF3"/>
    <w:rsid w:val="00CB0640"/>
    <w:rsid w:val="00CB1F87"/>
    <w:rsid w:val="00CB2C25"/>
    <w:rsid w:val="00CB2C2D"/>
    <w:rsid w:val="00CB2DD6"/>
    <w:rsid w:val="00CB3C64"/>
    <w:rsid w:val="00CB44F5"/>
    <w:rsid w:val="00CB46CF"/>
    <w:rsid w:val="00CB5359"/>
    <w:rsid w:val="00CB5949"/>
    <w:rsid w:val="00CB5B10"/>
    <w:rsid w:val="00CB5FA8"/>
    <w:rsid w:val="00CB61CF"/>
    <w:rsid w:val="00CB64E7"/>
    <w:rsid w:val="00CB6531"/>
    <w:rsid w:val="00CB6737"/>
    <w:rsid w:val="00CB6834"/>
    <w:rsid w:val="00CB75E7"/>
    <w:rsid w:val="00CB7E37"/>
    <w:rsid w:val="00CC1872"/>
    <w:rsid w:val="00CC1A54"/>
    <w:rsid w:val="00CC1D27"/>
    <w:rsid w:val="00CC21F6"/>
    <w:rsid w:val="00CC3330"/>
    <w:rsid w:val="00CC33B9"/>
    <w:rsid w:val="00CC3B38"/>
    <w:rsid w:val="00CC3DF8"/>
    <w:rsid w:val="00CC4419"/>
    <w:rsid w:val="00CC481A"/>
    <w:rsid w:val="00CC5257"/>
    <w:rsid w:val="00CC6F2A"/>
    <w:rsid w:val="00CC6F6B"/>
    <w:rsid w:val="00CC7714"/>
    <w:rsid w:val="00CD1761"/>
    <w:rsid w:val="00CD1FA8"/>
    <w:rsid w:val="00CD2216"/>
    <w:rsid w:val="00CD2C78"/>
    <w:rsid w:val="00CD328E"/>
    <w:rsid w:val="00CD36F3"/>
    <w:rsid w:val="00CD37C2"/>
    <w:rsid w:val="00CD3F9C"/>
    <w:rsid w:val="00CD4C26"/>
    <w:rsid w:val="00CD52CD"/>
    <w:rsid w:val="00CD591E"/>
    <w:rsid w:val="00CD5BF3"/>
    <w:rsid w:val="00CD61C1"/>
    <w:rsid w:val="00CD640C"/>
    <w:rsid w:val="00CD6500"/>
    <w:rsid w:val="00CD6B52"/>
    <w:rsid w:val="00CD6ED9"/>
    <w:rsid w:val="00CD6FCE"/>
    <w:rsid w:val="00CD7645"/>
    <w:rsid w:val="00CD78F8"/>
    <w:rsid w:val="00CD7B37"/>
    <w:rsid w:val="00CE01FB"/>
    <w:rsid w:val="00CE0C92"/>
    <w:rsid w:val="00CE0CA8"/>
    <w:rsid w:val="00CE10F2"/>
    <w:rsid w:val="00CE19DF"/>
    <w:rsid w:val="00CE2F28"/>
    <w:rsid w:val="00CE3026"/>
    <w:rsid w:val="00CE4569"/>
    <w:rsid w:val="00CE4676"/>
    <w:rsid w:val="00CE47B3"/>
    <w:rsid w:val="00CE4936"/>
    <w:rsid w:val="00CE4CBE"/>
    <w:rsid w:val="00CE525A"/>
    <w:rsid w:val="00CE708E"/>
    <w:rsid w:val="00CF0239"/>
    <w:rsid w:val="00CF0499"/>
    <w:rsid w:val="00CF04E8"/>
    <w:rsid w:val="00CF0E69"/>
    <w:rsid w:val="00CF0F31"/>
    <w:rsid w:val="00CF11BE"/>
    <w:rsid w:val="00CF16FE"/>
    <w:rsid w:val="00CF1E7D"/>
    <w:rsid w:val="00CF2646"/>
    <w:rsid w:val="00CF2A02"/>
    <w:rsid w:val="00CF2AD4"/>
    <w:rsid w:val="00CF2BA4"/>
    <w:rsid w:val="00CF2E6E"/>
    <w:rsid w:val="00CF3D13"/>
    <w:rsid w:val="00CF404B"/>
    <w:rsid w:val="00CF4DD8"/>
    <w:rsid w:val="00CF5026"/>
    <w:rsid w:val="00CF57C8"/>
    <w:rsid w:val="00CF6430"/>
    <w:rsid w:val="00CF690F"/>
    <w:rsid w:val="00CF699B"/>
    <w:rsid w:val="00CF6AD5"/>
    <w:rsid w:val="00CF6E80"/>
    <w:rsid w:val="00CF71D2"/>
    <w:rsid w:val="00CF7CFD"/>
    <w:rsid w:val="00D012F8"/>
    <w:rsid w:val="00D014E6"/>
    <w:rsid w:val="00D024AD"/>
    <w:rsid w:val="00D02A1E"/>
    <w:rsid w:val="00D02E42"/>
    <w:rsid w:val="00D032BE"/>
    <w:rsid w:val="00D03C51"/>
    <w:rsid w:val="00D04A86"/>
    <w:rsid w:val="00D05D92"/>
    <w:rsid w:val="00D060A7"/>
    <w:rsid w:val="00D0693D"/>
    <w:rsid w:val="00D0705D"/>
    <w:rsid w:val="00D07ACA"/>
    <w:rsid w:val="00D07C9A"/>
    <w:rsid w:val="00D07DA8"/>
    <w:rsid w:val="00D10E7A"/>
    <w:rsid w:val="00D1198B"/>
    <w:rsid w:val="00D11AB8"/>
    <w:rsid w:val="00D11C11"/>
    <w:rsid w:val="00D12327"/>
    <w:rsid w:val="00D123ED"/>
    <w:rsid w:val="00D124EF"/>
    <w:rsid w:val="00D127FE"/>
    <w:rsid w:val="00D12C9F"/>
    <w:rsid w:val="00D13473"/>
    <w:rsid w:val="00D139F1"/>
    <w:rsid w:val="00D13B6E"/>
    <w:rsid w:val="00D14A2C"/>
    <w:rsid w:val="00D15B8C"/>
    <w:rsid w:val="00D15D72"/>
    <w:rsid w:val="00D16252"/>
    <w:rsid w:val="00D1665B"/>
    <w:rsid w:val="00D166BD"/>
    <w:rsid w:val="00D20084"/>
    <w:rsid w:val="00D209B9"/>
    <w:rsid w:val="00D20C65"/>
    <w:rsid w:val="00D2192B"/>
    <w:rsid w:val="00D22106"/>
    <w:rsid w:val="00D22498"/>
    <w:rsid w:val="00D22860"/>
    <w:rsid w:val="00D229B8"/>
    <w:rsid w:val="00D22A09"/>
    <w:rsid w:val="00D22AE1"/>
    <w:rsid w:val="00D22E0C"/>
    <w:rsid w:val="00D232E1"/>
    <w:rsid w:val="00D23C8C"/>
    <w:rsid w:val="00D24583"/>
    <w:rsid w:val="00D24929"/>
    <w:rsid w:val="00D24EF0"/>
    <w:rsid w:val="00D24FA0"/>
    <w:rsid w:val="00D253A7"/>
    <w:rsid w:val="00D2584A"/>
    <w:rsid w:val="00D258D5"/>
    <w:rsid w:val="00D25DE6"/>
    <w:rsid w:val="00D25E5C"/>
    <w:rsid w:val="00D260AF"/>
    <w:rsid w:val="00D26379"/>
    <w:rsid w:val="00D26390"/>
    <w:rsid w:val="00D26A43"/>
    <w:rsid w:val="00D275E0"/>
    <w:rsid w:val="00D27637"/>
    <w:rsid w:val="00D305DE"/>
    <w:rsid w:val="00D30C3D"/>
    <w:rsid w:val="00D3114D"/>
    <w:rsid w:val="00D316F3"/>
    <w:rsid w:val="00D31B28"/>
    <w:rsid w:val="00D31E21"/>
    <w:rsid w:val="00D32DD9"/>
    <w:rsid w:val="00D33E07"/>
    <w:rsid w:val="00D35952"/>
    <w:rsid w:val="00D3606C"/>
    <w:rsid w:val="00D363F9"/>
    <w:rsid w:val="00D36B02"/>
    <w:rsid w:val="00D402EF"/>
    <w:rsid w:val="00D413B8"/>
    <w:rsid w:val="00D41727"/>
    <w:rsid w:val="00D41807"/>
    <w:rsid w:val="00D418C6"/>
    <w:rsid w:val="00D41A19"/>
    <w:rsid w:val="00D41A64"/>
    <w:rsid w:val="00D41FF9"/>
    <w:rsid w:val="00D42AD4"/>
    <w:rsid w:val="00D433F4"/>
    <w:rsid w:val="00D445AA"/>
    <w:rsid w:val="00D445E8"/>
    <w:rsid w:val="00D447BB"/>
    <w:rsid w:val="00D45007"/>
    <w:rsid w:val="00D454B9"/>
    <w:rsid w:val="00D4667A"/>
    <w:rsid w:val="00D46890"/>
    <w:rsid w:val="00D46FB7"/>
    <w:rsid w:val="00D46FBB"/>
    <w:rsid w:val="00D47481"/>
    <w:rsid w:val="00D479D4"/>
    <w:rsid w:val="00D47E7E"/>
    <w:rsid w:val="00D47EAE"/>
    <w:rsid w:val="00D50DBD"/>
    <w:rsid w:val="00D513BD"/>
    <w:rsid w:val="00D51811"/>
    <w:rsid w:val="00D522D0"/>
    <w:rsid w:val="00D55FBB"/>
    <w:rsid w:val="00D56161"/>
    <w:rsid w:val="00D56B8F"/>
    <w:rsid w:val="00D56F8F"/>
    <w:rsid w:val="00D57098"/>
    <w:rsid w:val="00D5711C"/>
    <w:rsid w:val="00D57DDF"/>
    <w:rsid w:val="00D57FEA"/>
    <w:rsid w:val="00D6127D"/>
    <w:rsid w:val="00D6173A"/>
    <w:rsid w:val="00D6199E"/>
    <w:rsid w:val="00D62155"/>
    <w:rsid w:val="00D621D0"/>
    <w:rsid w:val="00D62425"/>
    <w:rsid w:val="00D62862"/>
    <w:rsid w:val="00D63793"/>
    <w:rsid w:val="00D64B89"/>
    <w:rsid w:val="00D64BA1"/>
    <w:rsid w:val="00D655F3"/>
    <w:rsid w:val="00D65A59"/>
    <w:rsid w:val="00D65FD7"/>
    <w:rsid w:val="00D66870"/>
    <w:rsid w:val="00D66ABE"/>
    <w:rsid w:val="00D66C65"/>
    <w:rsid w:val="00D67224"/>
    <w:rsid w:val="00D67378"/>
    <w:rsid w:val="00D70079"/>
    <w:rsid w:val="00D71A71"/>
    <w:rsid w:val="00D71C3F"/>
    <w:rsid w:val="00D71DDC"/>
    <w:rsid w:val="00D72823"/>
    <w:rsid w:val="00D73062"/>
    <w:rsid w:val="00D73475"/>
    <w:rsid w:val="00D7360F"/>
    <w:rsid w:val="00D73B08"/>
    <w:rsid w:val="00D743D6"/>
    <w:rsid w:val="00D74A2C"/>
    <w:rsid w:val="00D74F4A"/>
    <w:rsid w:val="00D7522A"/>
    <w:rsid w:val="00D75B3D"/>
    <w:rsid w:val="00D76028"/>
    <w:rsid w:val="00D76CF3"/>
    <w:rsid w:val="00D77200"/>
    <w:rsid w:val="00D776C3"/>
    <w:rsid w:val="00D77744"/>
    <w:rsid w:val="00D7783E"/>
    <w:rsid w:val="00D80886"/>
    <w:rsid w:val="00D809DD"/>
    <w:rsid w:val="00D8157D"/>
    <w:rsid w:val="00D815CD"/>
    <w:rsid w:val="00D81A27"/>
    <w:rsid w:val="00D821C0"/>
    <w:rsid w:val="00D82FC0"/>
    <w:rsid w:val="00D83957"/>
    <w:rsid w:val="00D83A12"/>
    <w:rsid w:val="00D84A83"/>
    <w:rsid w:val="00D854C9"/>
    <w:rsid w:val="00D85CA2"/>
    <w:rsid w:val="00D85FA6"/>
    <w:rsid w:val="00D866E0"/>
    <w:rsid w:val="00D86E05"/>
    <w:rsid w:val="00D87A6B"/>
    <w:rsid w:val="00D9000D"/>
    <w:rsid w:val="00D90AC4"/>
    <w:rsid w:val="00D90B9E"/>
    <w:rsid w:val="00D91067"/>
    <w:rsid w:val="00D9147F"/>
    <w:rsid w:val="00D91956"/>
    <w:rsid w:val="00D921ED"/>
    <w:rsid w:val="00D92472"/>
    <w:rsid w:val="00D929C6"/>
    <w:rsid w:val="00D92F75"/>
    <w:rsid w:val="00D932C7"/>
    <w:rsid w:val="00D93600"/>
    <w:rsid w:val="00D95200"/>
    <w:rsid w:val="00D96D90"/>
    <w:rsid w:val="00D970D6"/>
    <w:rsid w:val="00D972FA"/>
    <w:rsid w:val="00DA0B1E"/>
    <w:rsid w:val="00DA0B43"/>
    <w:rsid w:val="00DA0F24"/>
    <w:rsid w:val="00DA2D6F"/>
    <w:rsid w:val="00DA3372"/>
    <w:rsid w:val="00DA3589"/>
    <w:rsid w:val="00DA42A1"/>
    <w:rsid w:val="00DA4428"/>
    <w:rsid w:val="00DA4873"/>
    <w:rsid w:val="00DA4A62"/>
    <w:rsid w:val="00DA4B05"/>
    <w:rsid w:val="00DA5145"/>
    <w:rsid w:val="00DA5865"/>
    <w:rsid w:val="00DA593F"/>
    <w:rsid w:val="00DA596B"/>
    <w:rsid w:val="00DA6473"/>
    <w:rsid w:val="00DA6E55"/>
    <w:rsid w:val="00DA7106"/>
    <w:rsid w:val="00DA733A"/>
    <w:rsid w:val="00DA7C1D"/>
    <w:rsid w:val="00DB022C"/>
    <w:rsid w:val="00DB03B3"/>
    <w:rsid w:val="00DB103F"/>
    <w:rsid w:val="00DB1136"/>
    <w:rsid w:val="00DB15F3"/>
    <w:rsid w:val="00DB1803"/>
    <w:rsid w:val="00DB1DC9"/>
    <w:rsid w:val="00DB23F1"/>
    <w:rsid w:val="00DB2706"/>
    <w:rsid w:val="00DB33B6"/>
    <w:rsid w:val="00DB539B"/>
    <w:rsid w:val="00DB5408"/>
    <w:rsid w:val="00DB5566"/>
    <w:rsid w:val="00DB5F29"/>
    <w:rsid w:val="00DB5FE8"/>
    <w:rsid w:val="00DB6672"/>
    <w:rsid w:val="00DB690F"/>
    <w:rsid w:val="00DB6B26"/>
    <w:rsid w:val="00DB6C37"/>
    <w:rsid w:val="00DB6C9B"/>
    <w:rsid w:val="00DC025E"/>
    <w:rsid w:val="00DC0318"/>
    <w:rsid w:val="00DC06F9"/>
    <w:rsid w:val="00DC103C"/>
    <w:rsid w:val="00DC15AA"/>
    <w:rsid w:val="00DC1D6E"/>
    <w:rsid w:val="00DC2188"/>
    <w:rsid w:val="00DC2668"/>
    <w:rsid w:val="00DC2E9A"/>
    <w:rsid w:val="00DC319C"/>
    <w:rsid w:val="00DC34A6"/>
    <w:rsid w:val="00DC404F"/>
    <w:rsid w:val="00DC4906"/>
    <w:rsid w:val="00DC55D8"/>
    <w:rsid w:val="00DC6067"/>
    <w:rsid w:val="00DD0F25"/>
    <w:rsid w:val="00DD228A"/>
    <w:rsid w:val="00DD3372"/>
    <w:rsid w:val="00DD37AA"/>
    <w:rsid w:val="00DD3BFA"/>
    <w:rsid w:val="00DD475A"/>
    <w:rsid w:val="00DD500F"/>
    <w:rsid w:val="00DD569A"/>
    <w:rsid w:val="00DD5C2B"/>
    <w:rsid w:val="00DD5EAB"/>
    <w:rsid w:val="00DD7DEA"/>
    <w:rsid w:val="00DE0E2F"/>
    <w:rsid w:val="00DE0F80"/>
    <w:rsid w:val="00DE1A43"/>
    <w:rsid w:val="00DE2EEC"/>
    <w:rsid w:val="00DE3419"/>
    <w:rsid w:val="00DE3997"/>
    <w:rsid w:val="00DE3A78"/>
    <w:rsid w:val="00DE4094"/>
    <w:rsid w:val="00DE416F"/>
    <w:rsid w:val="00DE50F1"/>
    <w:rsid w:val="00DE588A"/>
    <w:rsid w:val="00DE6014"/>
    <w:rsid w:val="00DE658B"/>
    <w:rsid w:val="00DE699E"/>
    <w:rsid w:val="00DE6FFE"/>
    <w:rsid w:val="00DF0458"/>
    <w:rsid w:val="00DF093B"/>
    <w:rsid w:val="00DF0DB7"/>
    <w:rsid w:val="00DF18E7"/>
    <w:rsid w:val="00DF19E7"/>
    <w:rsid w:val="00DF1C45"/>
    <w:rsid w:val="00DF245B"/>
    <w:rsid w:val="00DF2C0E"/>
    <w:rsid w:val="00DF330C"/>
    <w:rsid w:val="00DF37E2"/>
    <w:rsid w:val="00DF420D"/>
    <w:rsid w:val="00DF4571"/>
    <w:rsid w:val="00DF522A"/>
    <w:rsid w:val="00DF60C0"/>
    <w:rsid w:val="00DF6D4C"/>
    <w:rsid w:val="00DF6F29"/>
    <w:rsid w:val="00DF70CB"/>
    <w:rsid w:val="00DF7602"/>
    <w:rsid w:val="00DF7615"/>
    <w:rsid w:val="00DF7770"/>
    <w:rsid w:val="00DF7AAF"/>
    <w:rsid w:val="00DF7D98"/>
    <w:rsid w:val="00E00D81"/>
    <w:rsid w:val="00E00D82"/>
    <w:rsid w:val="00E01EE8"/>
    <w:rsid w:val="00E02152"/>
    <w:rsid w:val="00E02277"/>
    <w:rsid w:val="00E02DA1"/>
    <w:rsid w:val="00E04A0A"/>
    <w:rsid w:val="00E04A5C"/>
    <w:rsid w:val="00E0604B"/>
    <w:rsid w:val="00E06121"/>
    <w:rsid w:val="00E06E12"/>
    <w:rsid w:val="00E07CF2"/>
    <w:rsid w:val="00E10B1C"/>
    <w:rsid w:val="00E10CFF"/>
    <w:rsid w:val="00E10F2D"/>
    <w:rsid w:val="00E11597"/>
    <w:rsid w:val="00E116B5"/>
    <w:rsid w:val="00E123A7"/>
    <w:rsid w:val="00E128AD"/>
    <w:rsid w:val="00E132FD"/>
    <w:rsid w:val="00E13AE5"/>
    <w:rsid w:val="00E14540"/>
    <w:rsid w:val="00E14D9E"/>
    <w:rsid w:val="00E14DC0"/>
    <w:rsid w:val="00E14FAA"/>
    <w:rsid w:val="00E153E7"/>
    <w:rsid w:val="00E15A96"/>
    <w:rsid w:val="00E15F5C"/>
    <w:rsid w:val="00E16652"/>
    <w:rsid w:val="00E16847"/>
    <w:rsid w:val="00E20640"/>
    <w:rsid w:val="00E206E7"/>
    <w:rsid w:val="00E20B39"/>
    <w:rsid w:val="00E20BA0"/>
    <w:rsid w:val="00E213F8"/>
    <w:rsid w:val="00E2168C"/>
    <w:rsid w:val="00E22D12"/>
    <w:rsid w:val="00E22DA0"/>
    <w:rsid w:val="00E22F56"/>
    <w:rsid w:val="00E2321B"/>
    <w:rsid w:val="00E23D24"/>
    <w:rsid w:val="00E24217"/>
    <w:rsid w:val="00E242B0"/>
    <w:rsid w:val="00E24318"/>
    <w:rsid w:val="00E24415"/>
    <w:rsid w:val="00E248B0"/>
    <w:rsid w:val="00E25691"/>
    <w:rsid w:val="00E2593C"/>
    <w:rsid w:val="00E259A5"/>
    <w:rsid w:val="00E259D5"/>
    <w:rsid w:val="00E25AD0"/>
    <w:rsid w:val="00E25C1A"/>
    <w:rsid w:val="00E262E1"/>
    <w:rsid w:val="00E26533"/>
    <w:rsid w:val="00E27A1C"/>
    <w:rsid w:val="00E30791"/>
    <w:rsid w:val="00E30AA1"/>
    <w:rsid w:val="00E313B0"/>
    <w:rsid w:val="00E3157E"/>
    <w:rsid w:val="00E31BFD"/>
    <w:rsid w:val="00E31DE7"/>
    <w:rsid w:val="00E3267E"/>
    <w:rsid w:val="00E33A90"/>
    <w:rsid w:val="00E33AE8"/>
    <w:rsid w:val="00E34454"/>
    <w:rsid w:val="00E3467C"/>
    <w:rsid w:val="00E3475A"/>
    <w:rsid w:val="00E34B03"/>
    <w:rsid w:val="00E35591"/>
    <w:rsid w:val="00E35743"/>
    <w:rsid w:val="00E35745"/>
    <w:rsid w:val="00E35E0F"/>
    <w:rsid w:val="00E36401"/>
    <w:rsid w:val="00E36629"/>
    <w:rsid w:val="00E36DB9"/>
    <w:rsid w:val="00E370DD"/>
    <w:rsid w:val="00E37C73"/>
    <w:rsid w:val="00E4057E"/>
    <w:rsid w:val="00E40C37"/>
    <w:rsid w:val="00E40EDB"/>
    <w:rsid w:val="00E41C37"/>
    <w:rsid w:val="00E432E7"/>
    <w:rsid w:val="00E43389"/>
    <w:rsid w:val="00E43C33"/>
    <w:rsid w:val="00E45261"/>
    <w:rsid w:val="00E458AE"/>
    <w:rsid w:val="00E46783"/>
    <w:rsid w:val="00E46926"/>
    <w:rsid w:val="00E50631"/>
    <w:rsid w:val="00E50B5D"/>
    <w:rsid w:val="00E50F10"/>
    <w:rsid w:val="00E51174"/>
    <w:rsid w:val="00E52D5D"/>
    <w:rsid w:val="00E530BB"/>
    <w:rsid w:val="00E53D44"/>
    <w:rsid w:val="00E548F0"/>
    <w:rsid w:val="00E54FAA"/>
    <w:rsid w:val="00E55868"/>
    <w:rsid w:val="00E55FC4"/>
    <w:rsid w:val="00E574E3"/>
    <w:rsid w:val="00E5761F"/>
    <w:rsid w:val="00E579AD"/>
    <w:rsid w:val="00E57E94"/>
    <w:rsid w:val="00E6029F"/>
    <w:rsid w:val="00E60496"/>
    <w:rsid w:val="00E60B9A"/>
    <w:rsid w:val="00E61746"/>
    <w:rsid w:val="00E617B8"/>
    <w:rsid w:val="00E6289A"/>
    <w:rsid w:val="00E6308C"/>
    <w:rsid w:val="00E64219"/>
    <w:rsid w:val="00E6451C"/>
    <w:rsid w:val="00E6501D"/>
    <w:rsid w:val="00E659F7"/>
    <w:rsid w:val="00E666ED"/>
    <w:rsid w:val="00E6683C"/>
    <w:rsid w:val="00E6736F"/>
    <w:rsid w:val="00E70159"/>
    <w:rsid w:val="00E709D1"/>
    <w:rsid w:val="00E70D08"/>
    <w:rsid w:val="00E71607"/>
    <w:rsid w:val="00E71AD8"/>
    <w:rsid w:val="00E72915"/>
    <w:rsid w:val="00E72FDF"/>
    <w:rsid w:val="00E7307C"/>
    <w:rsid w:val="00E730BC"/>
    <w:rsid w:val="00E73C0A"/>
    <w:rsid w:val="00E747CF"/>
    <w:rsid w:val="00E74AE8"/>
    <w:rsid w:val="00E753D9"/>
    <w:rsid w:val="00E7545D"/>
    <w:rsid w:val="00E75A03"/>
    <w:rsid w:val="00E75C97"/>
    <w:rsid w:val="00E75CE1"/>
    <w:rsid w:val="00E75D4A"/>
    <w:rsid w:val="00E75F7C"/>
    <w:rsid w:val="00E760AC"/>
    <w:rsid w:val="00E7641F"/>
    <w:rsid w:val="00E800BE"/>
    <w:rsid w:val="00E801C2"/>
    <w:rsid w:val="00E803F4"/>
    <w:rsid w:val="00E80C1F"/>
    <w:rsid w:val="00E80CCD"/>
    <w:rsid w:val="00E823B8"/>
    <w:rsid w:val="00E83286"/>
    <w:rsid w:val="00E83302"/>
    <w:rsid w:val="00E83518"/>
    <w:rsid w:val="00E8351D"/>
    <w:rsid w:val="00E83BAA"/>
    <w:rsid w:val="00E83C30"/>
    <w:rsid w:val="00E84485"/>
    <w:rsid w:val="00E8575C"/>
    <w:rsid w:val="00E86502"/>
    <w:rsid w:val="00E8678B"/>
    <w:rsid w:val="00E875CF"/>
    <w:rsid w:val="00E90044"/>
    <w:rsid w:val="00E90999"/>
    <w:rsid w:val="00E90BB3"/>
    <w:rsid w:val="00E9261A"/>
    <w:rsid w:val="00E92827"/>
    <w:rsid w:val="00E9296F"/>
    <w:rsid w:val="00E92CA1"/>
    <w:rsid w:val="00E93A81"/>
    <w:rsid w:val="00E9447F"/>
    <w:rsid w:val="00E9470A"/>
    <w:rsid w:val="00E96B62"/>
    <w:rsid w:val="00E96B7F"/>
    <w:rsid w:val="00E96F38"/>
    <w:rsid w:val="00E97683"/>
    <w:rsid w:val="00EA0061"/>
    <w:rsid w:val="00EA007C"/>
    <w:rsid w:val="00EA0378"/>
    <w:rsid w:val="00EA0951"/>
    <w:rsid w:val="00EA0A85"/>
    <w:rsid w:val="00EA1521"/>
    <w:rsid w:val="00EA176C"/>
    <w:rsid w:val="00EA38E2"/>
    <w:rsid w:val="00EA3D17"/>
    <w:rsid w:val="00EA4238"/>
    <w:rsid w:val="00EA4468"/>
    <w:rsid w:val="00EA6603"/>
    <w:rsid w:val="00EA6663"/>
    <w:rsid w:val="00EA6818"/>
    <w:rsid w:val="00EA691C"/>
    <w:rsid w:val="00EA720F"/>
    <w:rsid w:val="00EB083B"/>
    <w:rsid w:val="00EB0FB9"/>
    <w:rsid w:val="00EB11BD"/>
    <w:rsid w:val="00EB2371"/>
    <w:rsid w:val="00EB3D53"/>
    <w:rsid w:val="00EB476C"/>
    <w:rsid w:val="00EB4ABF"/>
    <w:rsid w:val="00EB5361"/>
    <w:rsid w:val="00EB5CDC"/>
    <w:rsid w:val="00EB6184"/>
    <w:rsid w:val="00EB7180"/>
    <w:rsid w:val="00EB77B0"/>
    <w:rsid w:val="00EB7CB5"/>
    <w:rsid w:val="00EC0201"/>
    <w:rsid w:val="00EC18C8"/>
    <w:rsid w:val="00EC2105"/>
    <w:rsid w:val="00EC2542"/>
    <w:rsid w:val="00EC2A68"/>
    <w:rsid w:val="00EC30AB"/>
    <w:rsid w:val="00EC3838"/>
    <w:rsid w:val="00EC3B27"/>
    <w:rsid w:val="00EC47B9"/>
    <w:rsid w:val="00EC6C07"/>
    <w:rsid w:val="00EC73C4"/>
    <w:rsid w:val="00ED06DB"/>
    <w:rsid w:val="00ED1208"/>
    <w:rsid w:val="00ED1B08"/>
    <w:rsid w:val="00ED2491"/>
    <w:rsid w:val="00ED38C6"/>
    <w:rsid w:val="00ED3960"/>
    <w:rsid w:val="00ED39E5"/>
    <w:rsid w:val="00ED3A4E"/>
    <w:rsid w:val="00ED3F5B"/>
    <w:rsid w:val="00ED512F"/>
    <w:rsid w:val="00ED5241"/>
    <w:rsid w:val="00ED598D"/>
    <w:rsid w:val="00ED6111"/>
    <w:rsid w:val="00ED68C6"/>
    <w:rsid w:val="00ED69DA"/>
    <w:rsid w:val="00ED6BD6"/>
    <w:rsid w:val="00EE0922"/>
    <w:rsid w:val="00EE0FC8"/>
    <w:rsid w:val="00EE12CE"/>
    <w:rsid w:val="00EE170B"/>
    <w:rsid w:val="00EE3338"/>
    <w:rsid w:val="00EE37C9"/>
    <w:rsid w:val="00EE3BF8"/>
    <w:rsid w:val="00EE491B"/>
    <w:rsid w:val="00EE5189"/>
    <w:rsid w:val="00EE559D"/>
    <w:rsid w:val="00EE60AA"/>
    <w:rsid w:val="00EE631A"/>
    <w:rsid w:val="00EE6957"/>
    <w:rsid w:val="00EE6AC4"/>
    <w:rsid w:val="00EE7B60"/>
    <w:rsid w:val="00EF1247"/>
    <w:rsid w:val="00EF1452"/>
    <w:rsid w:val="00EF1859"/>
    <w:rsid w:val="00EF2F02"/>
    <w:rsid w:val="00EF3B28"/>
    <w:rsid w:val="00EF3D43"/>
    <w:rsid w:val="00EF59A2"/>
    <w:rsid w:val="00EF59A8"/>
    <w:rsid w:val="00EF5D64"/>
    <w:rsid w:val="00EF6C8A"/>
    <w:rsid w:val="00F00065"/>
    <w:rsid w:val="00F00E81"/>
    <w:rsid w:val="00F026B7"/>
    <w:rsid w:val="00F0273B"/>
    <w:rsid w:val="00F030FE"/>
    <w:rsid w:val="00F0340C"/>
    <w:rsid w:val="00F03EC0"/>
    <w:rsid w:val="00F04452"/>
    <w:rsid w:val="00F05F5E"/>
    <w:rsid w:val="00F06406"/>
    <w:rsid w:val="00F072ED"/>
    <w:rsid w:val="00F103EC"/>
    <w:rsid w:val="00F11428"/>
    <w:rsid w:val="00F116A3"/>
    <w:rsid w:val="00F11ACC"/>
    <w:rsid w:val="00F13131"/>
    <w:rsid w:val="00F145EF"/>
    <w:rsid w:val="00F1460E"/>
    <w:rsid w:val="00F150A4"/>
    <w:rsid w:val="00F153C6"/>
    <w:rsid w:val="00F16CD1"/>
    <w:rsid w:val="00F17F3A"/>
    <w:rsid w:val="00F2004F"/>
    <w:rsid w:val="00F20AFC"/>
    <w:rsid w:val="00F20E7F"/>
    <w:rsid w:val="00F21E21"/>
    <w:rsid w:val="00F22AA3"/>
    <w:rsid w:val="00F22CB3"/>
    <w:rsid w:val="00F22FF6"/>
    <w:rsid w:val="00F23044"/>
    <w:rsid w:val="00F23BAA"/>
    <w:rsid w:val="00F245A5"/>
    <w:rsid w:val="00F248B5"/>
    <w:rsid w:val="00F2493D"/>
    <w:rsid w:val="00F24A4D"/>
    <w:rsid w:val="00F25225"/>
    <w:rsid w:val="00F25E60"/>
    <w:rsid w:val="00F267FC"/>
    <w:rsid w:val="00F269D9"/>
    <w:rsid w:val="00F27D1C"/>
    <w:rsid w:val="00F27E30"/>
    <w:rsid w:val="00F27E91"/>
    <w:rsid w:val="00F27FFB"/>
    <w:rsid w:val="00F30201"/>
    <w:rsid w:val="00F305A1"/>
    <w:rsid w:val="00F30B2C"/>
    <w:rsid w:val="00F30E16"/>
    <w:rsid w:val="00F30F96"/>
    <w:rsid w:val="00F31DC5"/>
    <w:rsid w:val="00F328A7"/>
    <w:rsid w:val="00F3340C"/>
    <w:rsid w:val="00F33E43"/>
    <w:rsid w:val="00F346EE"/>
    <w:rsid w:val="00F34901"/>
    <w:rsid w:val="00F353FC"/>
    <w:rsid w:val="00F359B0"/>
    <w:rsid w:val="00F3600F"/>
    <w:rsid w:val="00F36472"/>
    <w:rsid w:val="00F40CEE"/>
    <w:rsid w:val="00F4158D"/>
    <w:rsid w:val="00F42546"/>
    <w:rsid w:val="00F42A8B"/>
    <w:rsid w:val="00F435DF"/>
    <w:rsid w:val="00F457BC"/>
    <w:rsid w:val="00F459A6"/>
    <w:rsid w:val="00F472E3"/>
    <w:rsid w:val="00F47A1F"/>
    <w:rsid w:val="00F510DB"/>
    <w:rsid w:val="00F522D8"/>
    <w:rsid w:val="00F523E2"/>
    <w:rsid w:val="00F529FF"/>
    <w:rsid w:val="00F53026"/>
    <w:rsid w:val="00F536E4"/>
    <w:rsid w:val="00F53F8D"/>
    <w:rsid w:val="00F541D2"/>
    <w:rsid w:val="00F553C9"/>
    <w:rsid w:val="00F5541C"/>
    <w:rsid w:val="00F557BB"/>
    <w:rsid w:val="00F55AB4"/>
    <w:rsid w:val="00F55B1E"/>
    <w:rsid w:val="00F55B9C"/>
    <w:rsid w:val="00F561F6"/>
    <w:rsid w:val="00F56361"/>
    <w:rsid w:val="00F56632"/>
    <w:rsid w:val="00F56E20"/>
    <w:rsid w:val="00F56F01"/>
    <w:rsid w:val="00F56F94"/>
    <w:rsid w:val="00F57CAC"/>
    <w:rsid w:val="00F57CF8"/>
    <w:rsid w:val="00F57D73"/>
    <w:rsid w:val="00F609A1"/>
    <w:rsid w:val="00F61927"/>
    <w:rsid w:val="00F625C8"/>
    <w:rsid w:val="00F62D0A"/>
    <w:rsid w:val="00F63479"/>
    <w:rsid w:val="00F63662"/>
    <w:rsid w:val="00F63D88"/>
    <w:rsid w:val="00F64295"/>
    <w:rsid w:val="00F655B8"/>
    <w:rsid w:val="00F65A4F"/>
    <w:rsid w:val="00F6649F"/>
    <w:rsid w:val="00F66B91"/>
    <w:rsid w:val="00F6727B"/>
    <w:rsid w:val="00F67895"/>
    <w:rsid w:val="00F67FC9"/>
    <w:rsid w:val="00F700CA"/>
    <w:rsid w:val="00F70151"/>
    <w:rsid w:val="00F70C8B"/>
    <w:rsid w:val="00F71BA8"/>
    <w:rsid w:val="00F726BD"/>
    <w:rsid w:val="00F7274C"/>
    <w:rsid w:val="00F72806"/>
    <w:rsid w:val="00F73020"/>
    <w:rsid w:val="00F730F6"/>
    <w:rsid w:val="00F73235"/>
    <w:rsid w:val="00F733D4"/>
    <w:rsid w:val="00F734D4"/>
    <w:rsid w:val="00F73B23"/>
    <w:rsid w:val="00F73DA8"/>
    <w:rsid w:val="00F741AE"/>
    <w:rsid w:val="00F74522"/>
    <w:rsid w:val="00F75175"/>
    <w:rsid w:val="00F75982"/>
    <w:rsid w:val="00F75C64"/>
    <w:rsid w:val="00F76D8F"/>
    <w:rsid w:val="00F76E86"/>
    <w:rsid w:val="00F76E9F"/>
    <w:rsid w:val="00F773F7"/>
    <w:rsid w:val="00F77E8C"/>
    <w:rsid w:val="00F81E83"/>
    <w:rsid w:val="00F82C79"/>
    <w:rsid w:val="00F82E6D"/>
    <w:rsid w:val="00F83010"/>
    <w:rsid w:val="00F836C2"/>
    <w:rsid w:val="00F83D6D"/>
    <w:rsid w:val="00F848A8"/>
    <w:rsid w:val="00F84AEF"/>
    <w:rsid w:val="00F857EB"/>
    <w:rsid w:val="00F8598C"/>
    <w:rsid w:val="00F85A8B"/>
    <w:rsid w:val="00F8622B"/>
    <w:rsid w:val="00F863FD"/>
    <w:rsid w:val="00F86A80"/>
    <w:rsid w:val="00F87DE4"/>
    <w:rsid w:val="00F87F0A"/>
    <w:rsid w:val="00F90049"/>
    <w:rsid w:val="00F901D7"/>
    <w:rsid w:val="00F911D4"/>
    <w:rsid w:val="00F9188A"/>
    <w:rsid w:val="00F91974"/>
    <w:rsid w:val="00F91A95"/>
    <w:rsid w:val="00F91F7F"/>
    <w:rsid w:val="00F92679"/>
    <w:rsid w:val="00F92771"/>
    <w:rsid w:val="00F92CD3"/>
    <w:rsid w:val="00F93354"/>
    <w:rsid w:val="00F93BCA"/>
    <w:rsid w:val="00F93F5D"/>
    <w:rsid w:val="00F94132"/>
    <w:rsid w:val="00F95011"/>
    <w:rsid w:val="00F954DB"/>
    <w:rsid w:val="00F95983"/>
    <w:rsid w:val="00F95BEA"/>
    <w:rsid w:val="00F960B8"/>
    <w:rsid w:val="00F96330"/>
    <w:rsid w:val="00F96BB2"/>
    <w:rsid w:val="00F96EA9"/>
    <w:rsid w:val="00F974C3"/>
    <w:rsid w:val="00F97503"/>
    <w:rsid w:val="00FA010E"/>
    <w:rsid w:val="00FA0F99"/>
    <w:rsid w:val="00FA13A3"/>
    <w:rsid w:val="00FA1B51"/>
    <w:rsid w:val="00FA27F1"/>
    <w:rsid w:val="00FA30DD"/>
    <w:rsid w:val="00FA3CB9"/>
    <w:rsid w:val="00FA3FC8"/>
    <w:rsid w:val="00FA4017"/>
    <w:rsid w:val="00FA402F"/>
    <w:rsid w:val="00FA4186"/>
    <w:rsid w:val="00FA5206"/>
    <w:rsid w:val="00FA5260"/>
    <w:rsid w:val="00FA6B70"/>
    <w:rsid w:val="00FA6EFA"/>
    <w:rsid w:val="00FA753B"/>
    <w:rsid w:val="00FB05CF"/>
    <w:rsid w:val="00FB0611"/>
    <w:rsid w:val="00FB1780"/>
    <w:rsid w:val="00FB1C50"/>
    <w:rsid w:val="00FB2066"/>
    <w:rsid w:val="00FB3142"/>
    <w:rsid w:val="00FB33E2"/>
    <w:rsid w:val="00FB345C"/>
    <w:rsid w:val="00FB36B9"/>
    <w:rsid w:val="00FB3991"/>
    <w:rsid w:val="00FB4564"/>
    <w:rsid w:val="00FB4685"/>
    <w:rsid w:val="00FB46DC"/>
    <w:rsid w:val="00FB4CBD"/>
    <w:rsid w:val="00FB4DE4"/>
    <w:rsid w:val="00FB5298"/>
    <w:rsid w:val="00FB5594"/>
    <w:rsid w:val="00FB5CC6"/>
    <w:rsid w:val="00FB70D4"/>
    <w:rsid w:val="00FB7507"/>
    <w:rsid w:val="00FB769D"/>
    <w:rsid w:val="00FB7E22"/>
    <w:rsid w:val="00FC072E"/>
    <w:rsid w:val="00FC1048"/>
    <w:rsid w:val="00FC146C"/>
    <w:rsid w:val="00FC14E1"/>
    <w:rsid w:val="00FC1671"/>
    <w:rsid w:val="00FC1843"/>
    <w:rsid w:val="00FC1880"/>
    <w:rsid w:val="00FC279F"/>
    <w:rsid w:val="00FC28C0"/>
    <w:rsid w:val="00FC3F4E"/>
    <w:rsid w:val="00FC45AA"/>
    <w:rsid w:val="00FC46C4"/>
    <w:rsid w:val="00FC46D3"/>
    <w:rsid w:val="00FC519B"/>
    <w:rsid w:val="00FC57D2"/>
    <w:rsid w:val="00FC625A"/>
    <w:rsid w:val="00FC6828"/>
    <w:rsid w:val="00FC75A3"/>
    <w:rsid w:val="00FC76A3"/>
    <w:rsid w:val="00FC7A23"/>
    <w:rsid w:val="00FC7DFF"/>
    <w:rsid w:val="00FC7EAF"/>
    <w:rsid w:val="00FD0792"/>
    <w:rsid w:val="00FD085F"/>
    <w:rsid w:val="00FD0FEB"/>
    <w:rsid w:val="00FD18C3"/>
    <w:rsid w:val="00FD1B28"/>
    <w:rsid w:val="00FD2546"/>
    <w:rsid w:val="00FD2672"/>
    <w:rsid w:val="00FD2B64"/>
    <w:rsid w:val="00FD2E72"/>
    <w:rsid w:val="00FD391D"/>
    <w:rsid w:val="00FD3BD8"/>
    <w:rsid w:val="00FD3DF2"/>
    <w:rsid w:val="00FD41A0"/>
    <w:rsid w:val="00FD4555"/>
    <w:rsid w:val="00FD501C"/>
    <w:rsid w:val="00FD5BAD"/>
    <w:rsid w:val="00FD5BBB"/>
    <w:rsid w:val="00FD68F6"/>
    <w:rsid w:val="00FD691F"/>
    <w:rsid w:val="00FD718B"/>
    <w:rsid w:val="00FD7AA0"/>
    <w:rsid w:val="00FE0218"/>
    <w:rsid w:val="00FE04C2"/>
    <w:rsid w:val="00FE0A1C"/>
    <w:rsid w:val="00FE1F2A"/>
    <w:rsid w:val="00FE21AA"/>
    <w:rsid w:val="00FE2A3B"/>
    <w:rsid w:val="00FE3D6A"/>
    <w:rsid w:val="00FE40B3"/>
    <w:rsid w:val="00FE4956"/>
    <w:rsid w:val="00FE4B8D"/>
    <w:rsid w:val="00FE4E2E"/>
    <w:rsid w:val="00FE4F02"/>
    <w:rsid w:val="00FE5DAF"/>
    <w:rsid w:val="00FE709C"/>
    <w:rsid w:val="00FE73EE"/>
    <w:rsid w:val="00FE7E21"/>
    <w:rsid w:val="00FF024C"/>
    <w:rsid w:val="00FF05E0"/>
    <w:rsid w:val="00FF06A9"/>
    <w:rsid w:val="00FF098C"/>
    <w:rsid w:val="00FF09D6"/>
    <w:rsid w:val="00FF2186"/>
    <w:rsid w:val="00FF21B0"/>
    <w:rsid w:val="00FF22EB"/>
    <w:rsid w:val="00FF30FC"/>
    <w:rsid w:val="00FF3141"/>
    <w:rsid w:val="00FF31BC"/>
    <w:rsid w:val="00FF3521"/>
    <w:rsid w:val="00FF3EF5"/>
    <w:rsid w:val="00FF3FE3"/>
    <w:rsid w:val="00FF46CA"/>
    <w:rsid w:val="00FF4FC2"/>
    <w:rsid w:val="00FF577F"/>
    <w:rsid w:val="00FF5B34"/>
    <w:rsid w:val="00FF5C8E"/>
    <w:rsid w:val="00FF5C9A"/>
    <w:rsid w:val="00FF6C20"/>
    <w:rsid w:val="00FF7AAF"/>
    <w:rsid w:val="00FF7F1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7105"/>
    <o:shapelayout v:ext="edit">
      <o:idmap v:ext="edit" data="1"/>
    </o:shapelayout>
  </w:shapeDefaults>
  <w:decimalSymbol w:val="."/>
  <w:listSeparator w:val=";"/>
  <w14:docId w14:val="1D6F8BDB"/>
  <w15:docId w15:val="{794C82F1-0233-41A5-A5B1-7E910BADB6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iPriority="99"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747F93"/>
    <w:pPr>
      <w:spacing w:line="360" w:lineRule="auto"/>
    </w:pPr>
    <w:rPr>
      <w:rFonts w:ascii="Arial" w:hAnsi="Arial"/>
      <w:szCs w:val="24"/>
    </w:rPr>
  </w:style>
  <w:style w:type="paragraph" w:styleId="Nagwek1">
    <w:name w:val="heading 1"/>
    <w:basedOn w:val="Normalny"/>
    <w:next w:val="Nagwek2"/>
    <w:link w:val="Nagwek1Znak"/>
    <w:qFormat/>
    <w:rsid w:val="008A1C59"/>
    <w:pPr>
      <w:keepNext/>
      <w:outlineLvl w:val="0"/>
    </w:pPr>
    <w:rPr>
      <w:b/>
      <w:bCs/>
    </w:rPr>
  </w:style>
  <w:style w:type="paragraph" w:styleId="Nagwek2">
    <w:name w:val="heading 2"/>
    <w:basedOn w:val="Normalny"/>
    <w:next w:val="Normalny"/>
    <w:link w:val="Nagwek2Znak"/>
    <w:qFormat/>
    <w:rsid w:val="008A1C59"/>
    <w:pPr>
      <w:keepNext/>
      <w:outlineLvl w:val="1"/>
    </w:pPr>
    <w:rPr>
      <w:b/>
      <w:bCs/>
    </w:rPr>
  </w:style>
  <w:style w:type="paragraph" w:styleId="Nagwek3">
    <w:name w:val="heading 3"/>
    <w:basedOn w:val="Normalny"/>
    <w:next w:val="Normalny"/>
    <w:link w:val="Nagwek3Znak"/>
    <w:qFormat/>
    <w:rsid w:val="008A1C59"/>
    <w:pPr>
      <w:keepNext/>
      <w:outlineLvl w:val="2"/>
    </w:pPr>
    <w:rPr>
      <w:rFonts w:cs="Arial"/>
      <w:b/>
    </w:rPr>
  </w:style>
  <w:style w:type="paragraph" w:styleId="Nagwek4">
    <w:name w:val="heading 4"/>
    <w:basedOn w:val="Normalny"/>
    <w:next w:val="Normalny"/>
    <w:link w:val="Nagwek4Znak"/>
    <w:qFormat/>
    <w:rsid w:val="00244EDC"/>
    <w:pPr>
      <w:keepNext/>
      <w:outlineLvl w:val="3"/>
    </w:pPr>
    <w:rPr>
      <w:b/>
      <w:bCs/>
    </w:rPr>
  </w:style>
  <w:style w:type="paragraph" w:styleId="Nagwek5">
    <w:name w:val="heading 5"/>
    <w:basedOn w:val="Normalny"/>
    <w:next w:val="Normalny"/>
    <w:link w:val="Nagwek5Znak"/>
    <w:unhideWhenUsed/>
    <w:qFormat/>
    <w:rsid w:val="00FD2546"/>
    <w:pPr>
      <w:keepNext/>
      <w:keepLines/>
      <w:spacing w:before="200"/>
      <w:outlineLvl w:val="4"/>
    </w:pPr>
    <w:rPr>
      <w:rFonts w:eastAsiaTheme="majorEastAsia" w:cstheme="majorBidi"/>
      <w:b/>
    </w:rPr>
  </w:style>
  <w:style w:type="paragraph" w:styleId="Nagwek6">
    <w:name w:val="heading 6"/>
    <w:basedOn w:val="Normalny"/>
    <w:next w:val="Normalny"/>
    <w:link w:val="Nagwek6Znak"/>
    <w:unhideWhenUsed/>
    <w:qFormat/>
    <w:rsid w:val="006B6869"/>
    <w:pPr>
      <w:keepNext/>
      <w:keepLines/>
      <w:spacing w:before="20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qFormat/>
    <w:rsid w:val="00FD2546"/>
    <w:pPr>
      <w:spacing w:before="240" w:after="60"/>
      <w:outlineLvl w:val="6"/>
    </w:pPr>
    <w:rPr>
      <w:b/>
    </w:rPr>
  </w:style>
  <w:style w:type="paragraph" w:styleId="Nagwek9">
    <w:name w:val="heading 9"/>
    <w:basedOn w:val="Normalny"/>
    <w:next w:val="Normalny"/>
    <w:link w:val="Nagwek9Znak"/>
    <w:uiPriority w:val="9"/>
    <w:qFormat/>
    <w:rsid w:val="00FD2546"/>
    <w:pPr>
      <w:spacing w:before="240" w:after="60"/>
      <w:outlineLvl w:val="8"/>
    </w:pPr>
    <w:rPr>
      <w:rFonts w:cs="Arial"/>
      <w:b/>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basedOn w:val="Normalny"/>
    <w:link w:val="TekstpodstawowywcityZnak"/>
    <w:rsid w:val="00244EDC"/>
    <w:pPr>
      <w:tabs>
        <w:tab w:val="left" w:pos="540"/>
        <w:tab w:val="left" w:pos="720"/>
      </w:tabs>
      <w:ind w:firstLine="540"/>
    </w:pPr>
    <w:rPr>
      <w:sz w:val="22"/>
    </w:rPr>
  </w:style>
  <w:style w:type="paragraph" w:styleId="Tekstpodstawowy">
    <w:name w:val="Body Text"/>
    <w:basedOn w:val="Normalny"/>
    <w:link w:val="TekstpodstawowyZnak"/>
    <w:rsid w:val="00244EDC"/>
    <w:pPr>
      <w:tabs>
        <w:tab w:val="left" w:pos="360"/>
      </w:tabs>
    </w:pPr>
    <w:rPr>
      <w:sz w:val="22"/>
    </w:rPr>
  </w:style>
  <w:style w:type="paragraph" w:styleId="Tekstpodstawowy2">
    <w:name w:val="Body Text 2"/>
    <w:basedOn w:val="Normalny"/>
    <w:link w:val="Tekstpodstawowy2Znak"/>
    <w:qFormat/>
    <w:rsid w:val="00244EDC"/>
    <w:pPr>
      <w:tabs>
        <w:tab w:val="left" w:pos="540"/>
        <w:tab w:val="left" w:pos="720"/>
        <w:tab w:val="left" w:pos="900"/>
      </w:tabs>
    </w:pPr>
    <w:rPr>
      <w:b/>
      <w:bCs/>
      <w:sz w:val="22"/>
    </w:rPr>
  </w:style>
  <w:style w:type="paragraph" w:styleId="Nagwek">
    <w:name w:val="header"/>
    <w:basedOn w:val="Normalny"/>
    <w:link w:val="NagwekZnak"/>
    <w:rsid w:val="00244EDC"/>
    <w:pPr>
      <w:tabs>
        <w:tab w:val="center" w:pos="4536"/>
        <w:tab w:val="right" w:pos="9072"/>
      </w:tabs>
    </w:pPr>
  </w:style>
  <w:style w:type="paragraph" w:styleId="Stopka">
    <w:name w:val="footer"/>
    <w:basedOn w:val="Normalny"/>
    <w:link w:val="StopkaZnak"/>
    <w:rsid w:val="00244EDC"/>
    <w:pPr>
      <w:tabs>
        <w:tab w:val="center" w:pos="4536"/>
        <w:tab w:val="right" w:pos="9072"/>
      </w:tabs>
    </w:pPr>
  </w:style>
  <w:style w:type="paragraph" w:styleId="Tekstpodstawowywcity3">
    <w:name w:val="Body Text Indent 3"/>
    <w:basedOn w:val="Normalny"/>
    <w:link w:val="Tekstpodstawowywcity3Znak"/>
    <w:qFormat/>
    <w:rsid w:val="00244EDC"/>
    <w:pPr>
      <w:widowControl w:val="0"/>
      <w:tabs>
        <w:tab w:val="left" w:pos="426"/>
        <w:tab w:val="left" w:pos="720"/>
        <w:tab w:val="left" w:pos="900"/>
        <w:tab w:val="left" w:pos="1080"/>
      </w:tabs>
      <w:ind w:left="426"/>
      <w:jc w:val="both"/>
    </w:pPr>
    <w:rPr>
      <w:rFonts w:cs="Arial"/>
      <w:snapToGrid w:val="0"/>
      <w:szCs w:val="20"/>
    </w:rPr>
  </w:style>
  <w:style w:type="paragraph" w:styleId="Tekstpodstawowy3">
    <w:name w:val="Body Text 3"/>
    <w:basedOn w:val="Normalny"/>
    <w:link w:val="Tekstpodstawowy3Znak"/>
    <w:qFormat/>
    <w:rsid w:val="00244EDC"/>
    <w:pPr>
      <w:tabs>
        <w:tab w:val="left" w:pos="900"/>
        <w:tab w:val="left" w:pos="1080"/>
      </w:tabs>
    </w:pPr>
    <w:rPr>
      <w:rFonts w:cs="Arial"/>
    </w:rPr>
  </w:style>
  <w:style w:type="paragraph" w:styleId="Tekstpodstawowywcity2">
    <w:name w:val="Body Text Indent 2"/>
    <w:basedOn w:val="Normalny"/>
    <w:link w:val="Tekstpodstawowywcity2Znak"/>
    <w:qFormat/>
    <w:rsid w:val="00244EDC"/>
    <w:pPr>
      <w:tabs>
        <w:tab w:val="left" w:pos="5760"/>
      </w:tabs>
      <w:ind w:firstLine="720"/>
      <w:jc w:val="both"/>
    </w:pPr>
    <w:rPr>
      <w:rFonts w:cs="Arial"/>
    </w:rPr>
  </w:style>
  <w:style w:type="character" w:styleId="Numerstrony">
    <w:name w:val="page number"/>
    <w:basedOn w:val="Domylnaczcionkaakapitu"/>
    <w:qFormat/>
    <w:rsid w:val="00244EDC"/>
  </w:style>
  <w:style w:type="paragraph" w:customStyle="1" w:styleId="FR1">
    <w:name w:val="FR1"/>
    <w:rsid w:val="00244EDC"/>
    <w:pPr>
      <w:widowControl w:val="0"/>
      <w:spacing w:line="380" w:lineRule="auto"/>
      <w:ind w:left="640" w:right="600"/>
      <w:jc w:val="center"/>
    </w:pPr>
    <w:rPr>
      <w:rFonts w:ascii="Arial" w:hAnsi="Arial"/>
      <w:b/>
      <w:snapToGrid w:val="0"/>
      <w:sz w:val="44"/>
    </w:rPr>
  </w:style>
  <w:style w:type="paragraph" w:customStyle="1" w:styleId="FR4">
    <w:name w:val="FR4"/>
    <w:rsid w:val="00244EDC"/>
    <w:pPr>
      <w:widowControl w:val="0"/>
      <w:spacing w:before="640"/>
    </w:pPr>
    <w:rPr>
      <w:snapToGrid w:val="0"/>
      <w:sz w:val="24"/>
    </w:rPr>
  </w:style>
  <w:style w:type="paragraph" w:styleId="Listapunktowana">
    <w:name w:val="List Bullet"/>
    <w:basedOn w:val="Normalny"/>
    <w:autoRedefine/>
    <w:qFormat/>
    <w:rsid w:val="00244EDC"/>
    <w:pPr>
      <w:numPr>
        <w:numId w:val="1"/>
      </w:numPr>
    </w:pPr>
    <w:rPr>
      <w:szCs w:val="20"/>
    </w:rPr>
  </w:style>
  <w:style w:type="character" w:customStyle="1" w:styleId="Tekstpodstawowywcity2Znak">
    <w:name w:val="Tekst podstawowy wcięty 2 Znak"/>
    <w:basedOn w:val="Domylnaczcionkaakapitu"/>
    <w:link w:val="Tekstpodstawowywcity2"/>
    <w:qFormat/>
    <w:rsid w:val="00096299"/>
    <w:rPr>
      <w:rFonts w:ascii="Arial" w:hAnsi="Arial" w:cs="Arial"/>
      <w:szCs w:val="24"/>
    </w:rPr>
  </w:style>
  <w:style w:type="character" w:customStyle="1" w:styleId="TekstpodstawowyZnak">
    <w:name w:val="Tekst podstawowy Znak"/>
    <w:basedOn w:val="Domylnaczcionkaakapitu"/>
    <w:link w:val="Tekstpodstawowy"/>
    <w:qFormat/>
    <w:rsid w:val="000E3810"/>
    <w:rPr>
      <w:sz w:val="22"/>
      <w:szCs w:val="24"/>
    </w:rPr>
  </w:style>
  <w:style w:type="character" w:customStyle="1" w:styleId="Tekstpodstawowy2Znak">
    <w:name w:val="Tekst podstawowy 2 Znak"/>
    <w:basedOn w:val="Domylnaczcionkaakapitu"/>
    <w:link w:val="Tekstpodstawowy2"/>
    <w:qFormat/>
    <w:rsid w:val="000E3810"/>
    <w:rPr>
      <w:b/>
      <w:bCs/>
      <w:sz w:val="22"/>
      <w:szCs w:val="24"/>
    </w:rPr>
  </w:style>
  <w:style w:type="character" w:customStyle="1" w:styleId="Tekstpodstawowywcity3Znak">
    <w:name w:val="Tekst podstawowy wcięty 3 Znak"/>
    <w:basedOn w:val="Domylnaczcionkaakapitu"/>
    <w:link w:val="Tekstpodstawowywcity3"/>
    <w:qFormat/>
    <w:rsid w:val="000E3810"/>
    <w:rPr>
      <w:rFonts w:ascii="Arial" w:hAnsi="Arial" w:cs="Arial"/>
      <w:snapToGrid w:val="0"/>
    </w:rPr>
  </w:style>
  <w:style w:type="character" w:customStyle="1" w:styleId="StopkaZnak">
    <w:name w:val="Stopka Znak"/>
    <w:basedOn w:val="Domylnaczcionkaakapitu"/>
    <w:link w:val="Stopka"/>
    <w:qFormat/>
    <w:rsid w:val="00733063"/>
    <w:rPr>
      <w:sz w:val="24"/>
      <w:szCs w:val="24"/>
    </w:rPr>
  </w:style>
  <w:style w:type="character" w:customStyle="1" w:styleId="Nagwek2Znak">
    <w:name w:val="Nagłówek 2 Znak"/>
    <w:basedOn w:val="Domylnaczcionkaakapitu"/>
    <w:link w:val="Nagwek2"/>
    <w:qFormat/>
    <w:rsid w:val="008A1C59"/>
    <w:rPr>
      <w:rFonts w:ascii="Arial" w:hAnsi="Arial"/>
      <w:b/>
      <w:bCs/>
      <w:szCs w:val="24"/>
    </w:rPr>
  </w:style>
  <w:style w:type="character" w:customStyle="1" w:styleId="Nagwek1Znak">
    <w:name w:val="Nagłówek 1 Znak"/>
    <w:basedOn w:val="Domylnaczcionkaakapitu"/>
    <w:link w:val="Nagwek1"/>
    <w:qFormat/>
    <w:rsid w:val="008A1C59"/>
    <w:rPr>
      <w:rFonts w:ascii="Arial" w:hAnsi="Arial"/>
      <w:b/>
      <w:bCs/>
      <w:szCs w:val="24"/>
    </w:rPr>
  </w:style>
  <w:style w:type="character" w:customStyle="1" w:styleId="Nagwek3Znak">
    <w:name w:val="Nagłówek 3 Znak"/>
    <w:basedOn w:val="Domylnaczcionkaakapitu"/>
    <w:link w:val="Nagwek3"/>
    <w:qFormat/>
    <w:rsid w:val="008A1C59"/>
    <w:rPr>
      <w:rFonts w:ascii="Arial" w:hAnsi="Arial" w:cs="Arial"/>
      <w:b/>
      <w:szCs w:val="24"/>
    </w:rPr>
  </w:style>
  <w:style w:type="character" w:customStyle="1" w:styleId="Nagwek4Znak">
    <w:name w:val="Nagłówek 4 Znak"/>
    <w:basedOn w:val="Domylnaczcionkaakapitu"/>
    <w:link w:val="Nagwek4"/>
    <w:qFormat/>
    <w:rsid w:val="00AC36CE"/>
    <w:rPr>
      <w:b/>
      <w:bCs/>
      <w:sz w:val="24"/>
      <w:szCs w:val="24"/>
    </w:rPr>
  </w:style>
  <w:style w:type="paragraph" w:styleId="Nagwekspisutreci">
    <w:name w:val="TOC Heading"/>
    <w:basedOn w:val="Nagwek1"/>
    <w:next w:val="Normalny"/>
    <w:uiPriority w:val="39"/>
    <w:unhideWhenUsed/>
    <w:qFormat/>
    <w:rsid w:val="00C13D99"/>
    <w:pPr>
      <w:keepLines/>
      <w:spacing w:before="480" w:line="276" w:lineRule="auto"/>
      <w:outlineLvl w:val="9"/>
    </w:pPr>
    <w:rPr>
      <w:rFonts w:ascii="Cambria" w:hAnsi="Cambria"/>
      <w:color w:val="365F91"/>
      <w:sz w:val="28"/>
      <w:szCs w:val="28"/>
      <w:lang w:eastAsia="en-US"/>
    </w:rPr>
  </w:style>
  <w:style w:type="paragraph" w:styleId="Spistreci1">
    <w:name w:val="toc 1"/>
    <w:basedOn w:val="Normalny"/>
    <w:next w:val="Normalny"/>
    <w:autoRedefine/>
    <w:uiPriority w:val="39"/>
    <w:qFormat/>
    <w:rsid w:val="00DD5EAB"/>
    <w:pPr>
      <w:tabs>
        <w:tab w:val="left" w:pos="480"/>
        <w:tab w:val="right" w:leader="dot" w:pos="10915"/>
      </w:tabs>
    </w:pPr>
    <w:rPr>
      <w:b/>
      <w:noProof/>
    </w:rPr>
  </w:style>
  <w:style w:type="paragraph" w:styleId="Spistreci2">
    <w:name w:val="toc 2"/>
    <w:basedOn w:val="Normalny"/>
    <w:next w:val="Normalny"/>
    <w:autoRedefine/>
    <w:qFormat/>
    <w:rsid w:val="00C13D99"/>
    <w:pPr>
      <w:ind w:left="240"/>
    </w:pPr>
  </w:style>
  <w:style w:type="paragraph" w:styleId="Spistreci3">
    <w:name w:val="toc 3"/>
    <w:basedOn w:val="Normalny"/>
    <w:next w:val="Normalny"/>
    <w:autoRedefine/>
    <w:qFormat/>
    <w:rsid w:val="00C13D99"/>
    <w:pPr>
      <w:ind w:left="480"/>
    </w:pPr>
  </w:style>
  <w:style w:type="character" w:styleId="Hipercze">
    <w:name w:val="Hyperlink"/>
    <w:basedOn w:val="Domylnaczcionkaakapitu"/>
    <w:uiPriority w:val="99"/>
    <w:unhideWhenUsed/>
    <w:rsid w:val="00C13D99"/>
    <w:rPr>
      <w:color w:val="0000FF"/>
      <w:u w:val="single"/>
    </w:rPr>
  </w:style>
  <w:style w:type="paragraph" w:styleId="Tekstdymka">
    <w:name w:val="Balloon Text"/>
    <w:basedOn w:val="Normalny"/>
    <w:link w:val="TekstdymkaZnak"/>
    <w:qFormat/>
    <w:rsid w:val="00C13D99"/>
    <w:rPr>
      <w:rFonts w:ascii="Tahoma" w:hAnsi="Tahoma" w:cs="Tahoma"/>
      <w:sz w:val="16"/>
      <w:szCs w:val="16"/>
    </w:rPr>
  </w:style>
  <w:style w:type="character" w:customStyle="1" w:styleId="TekstdymkaZnak">
    <w:name w:val="Tekst dymka Znak"/>
    <w:basedOn w:val="Domylnaczcionkaakapitu"/>
    <w:link w:val="Tekstdymka"/>
    <w:qFormat/>
    <w:rsid w:val="00C13D99"/>
    <w:rPr>
      <w:rFonts w:ascii="Tahoma" w:hAnsi="Tahoma" w:cs="Tahoma"/>
      <w:sz w:val="16"/>
      <w:szCs w:val="16"/>
    </w:rPr>
  </w:style>
  <w:style w:type="paragraph" w:styleId="Tytu">
    <w:name w:val="Title"/>
    <w:basedOn w:val="Normalny"/>
    <w:next w:val="Normalny"/>
    <w:link w:val="TytuZnak"/>
    <w:qFormat/>
    <w:rsid w:val="00C13D99"/>
    <w:pPr>
      <w:spacing w:before="240" w:after="60"/>
      <w:jc w:val="center"/>
      <w:outlineLvl w:val="0"/>
    </w:pPr>
    <w:rPr>
      <w:rFonts w:ascii="Cambria" w:hAnsi="Cambria"/>
      <w:b/>
      <w:bCs/>
      <w:kern w:val="28"/>
      <w:sz w:val="32"/>
      <w:szCs w:val="32"/>
    </w:rPr>
  </w:style>
  <w:style w:type="character" w:customStyle="1" w:styleId="TytuZnak">
    <w:name w:val="Tytuł Znak"/>
    <w:basedOn w:val="Domylnaczcionkaakapitu"/>
    <w:link w:val="Tytu"/>
    <w:rsid w:val="00C13D99"/>
    <w:rPr>
      <w:rFonts w:ascii="Cambria" w:eastAsia="Times New Roman" w:hAnsi="Cambria" w:cs="Times New Roman"/>
      <w:b/>
      <w:bCs/>
      <w:kern w:val="28"/>
      <w:sz w:val="32"/>
      <w:szCs w:val="32"/>
    </w:rPr>
  </w:style>
  <w:style w:type="paragraph" w:styleId="Cytat">
    <w:name w:val="Quote"/>
    <w:basedOn w:val="Normalny"/>
    <w:next w:val="Normalny"/>
    <w:link w:val="CytatZnak"/>
    <w:uiPriority w:val="29"/>
    <w:qFormat/>
    <w:rsid w:val="00FB5594"/>
    <w:rPr>
      <w:i/>
      <w:iCs/>
      <w:color w:val="000000"/>
    </w:rPr>
  </w:style>
  <w:style w:type="character" w:customStyle="1" w:styleId="CytatZnak">
    <w:name w:val="Cytat Znak"/>
    <w:basedOn w:val="Domylnaczcionkaakapitu"/>
    <w:link w:val="Cytat"/>
    <w:uiPriority w:val="29"/>
    <w:rsid w:val="00FB5594"/>
    <w:rPr>
      <w:rFonts w:ascii="Arial" w:hAnsi="Arial"/>
      <w:i/>
      <w:iCs/>
      <w:color w:val="000000"/>
      <w:szCs w:val="24"/>
    </w:rPr>
  </w:style>
  <w:style w:type="character" w:styleId="Wyrnienieintensywne">
    <w:name w:val="Intense Emphasis"/>
    <w:basedOn w:val="Domylnaczcionkaakapitu"/>
    <w:uiPriority w:val="21"/>
    <w:qFormat/>
    <w:rsid w:val="00FB5594"/>
    <w:rPr>
      <w:rFonts w:ascii="Arial" w:hAnsi="Arial"/>
      <w:bCs/>
      <w:iCs/>
      <w:color w:val="auto"/>
      <w:sz w:val="20"/>
    </w:rPr>
  </w:style>
  <w:style w:type="paragraph" w:styleId="Bezodstpw">
    <w:name w:val="No Spacing"/>
    <w:link w:val="BezodstpwZnak"/>
    <w:qFormat/>
    <w:rsid w:val="00FB5594"/>
    <w:rPr>
      <w:rFonts w:ascii="Arial" w:hAnsi="Arial"/>
      <w:szCs w:val="24"/>
    </w:rPr>
  </w:style>
  <w:style w:type="paragraph" w:customStyle="1" w:styleId="Tabelka">
    <w:name w:val="Tabelka"/>
    <w:basedOn w:val="Normalny"/>
    <w:next w:val="Normalny"/>
    <w:qFormat/>
    <w:rsid w:val="00C97165"/>
    <w:pPr>
      <w:spacing w:line="240" w:lineRule="auto"/>
    </w:pPr>
    <w:rPr>
      <w:rFonts w:ascii="Times New Roman" w:hAnsi="Times New Roman"/>
      <w:b/>
      <w:sz w:val="24"/>
    </w:rPr>
  </w:style>
  <w:style w:type="numbering" w:customStyle="1" w:styleId="ula">
    <w:name w:val="ula"/>
    <w:rsid w:val="002A0CBD"/>
    <w:pPr>
      <w:numPr>
        <w:numId w:val="2"/>
      </w:numPr>
    </w:pPr>
  </w:style>
  <w:style w:type="character" w:styleId="Pogrubienie">
    <w:name w:val="Strong"/>
    <w:basedOn w:val="Domylnaczcionkaakapitu"/>
    <w:uiPriority w:val="22"/>
    <w:qFormat/>
    <w:rsid w:val="006E3278"/>
    <w:rPr>
      <w:b/>
      <w:bCs/>
    </w:rPr>
  </w:style>
  <w:style w:type="paragraph" w:styleId="Tekstprzypisudolnego">
    <w:name w:val="footnote text"/>
    <w:basedOn w:val="Normalny"/>
    <w:link w:val="TekstprzypisudolnegoZnak"/>
    <w:rsid w:val="00403DE4"/>
    <w:rPr>
      <w:szCs w:val="20"/>
    </w:rPr>
  </w:style>
  <w:style w:type="character" w:customStyle="1" w:styleId="TekstprzypisudolnegoZnak">
    <w:name w:val="Tekst przypisu dolnego Znak"/>
    <w:basedOn w:val="Domylnaczcionkaakapitu"/>
    <w:link w:val="Tekstprzypisudolnego"/>
    <w:qFormat/>
    <w:rsid w:val="00403DE4"/>
    <w:rPr>
      <w:rFonts w:ascii="Arial" w:hAnsi="Arial"/>
    </w:rPr>
  </w:style>
  <w:style w:type="character" w:styleId="Odwoanieprzypisudolnego">
    <w:name w:val="footnote reference"/>
    <w:basedOn w:val="Domylnaczcionkaakapitu"/>
    <w:rsid w:val="00403DE4"/>
    <w:rPr>
      <w:vertAlign w:val="superscript"/>
    </w:rPr>
  </w:style>
  <w:style w:type="paragraph" w:customStyle="1" w:styleId="podstawowy">
    <w:name w:val="podstawowy"/>
    <w:basedOn w:val="Normalny"/>
    <w:rsid w:val="00EC0201"/>
    <w:pPr>
      <w:spacing w:before="100" w:beforeAutospacing="1" w:after="100" w:afterAutospacing="1" w:line="240" w:lineRule="auto"/>
    </w:pPr>
    <w:rPr>
      <w:rFonts w:ascii="Times New Roman" w:hAnsi="Times New Roman"/>
      <w:sz w:val="24"/>
    </w:rPr>
  </w:style>
  <w:style w:type="paragraph" w:customStyle="1" w:styleId="t4akapit">
    <w:name w:val="t4akapit"/>
    <w:basedOn w:val="Normalny"/>
    <w:rsid w:val="00EC0201"/>
    <w:pPr>
      <w:spacing w:before="100" w:beforeAutospacing="1" w:after="100" w:afterAutospacing="1" w:line="240" w:lineRule="auto"/>
    </w:pPr>
    <w:rPr>
      <w:rFonts w:ascii="Times New Roman" w:hAnsi="Times New Roman"/>
      <w:sz w:val="24"/>
    </w:rPr>
  </w:style>
  <w:style w:type="paragraph" w:customStyle="1" w:styleId="Normal-Ardanuy">
    <w:name w:val="Normal-Ardanuy"/>
    <w:basedOn w:val="Normalny"/>
    <w:rsid w:val="00982A1E"/>
    <w:pPr>
      <w:suppressAutoHyphens/>
      <w:spacing w:before="120" w:after="120" w:line="240" w:lineRule="auto"/>
      <w:jc w:val="both"/>
    </w:pPr>
    <w:rPr>
      <w:rFonts w:ascii="CG Omega" w:hAnsi="CG Omega"/>
      <w:sz w:val="22"/>
      <w:szCs w:val="22"/>
      <w:lang w:val="en-GB" w:eastAsia="ar-SA"/>
    </w:rPr>
  </w:style>
  <w:style w:type="paragraph" w:styleId="Akapitzlist">
    <w:name w:val="List Paragraph"/>
    <w:basedOn w:val="Normalny"/>
    <w:uiPriority w:val="34"/>
    <w:qFormat/>
    <w:rsid w:val="00222F6D"/>
    <w:pPr>
      <w:ind w:left="720"/>
      <w:contextualSpacing/>
    </w:pPr>
  </w:style>
  <w:style w:type="paragraph" w:styleId="Spistreci4">
    <w:name w:val="toc 4"/>
    <w:basedOn w:val="Normalny"/>
    <w:next w:val="Normalny"/>
    <w:autoRedefine/>
    <w:rsid w:val="00977114"/>
    <w:pPr>
      <w:spacing w:after="100"/>
      <w:ind w:left="600"/>
    </w:pPr>
  </w:style>
  <w:style w:type="paragraph" w:styleId="Spistreci5">
    <w:name w:val="toc 5"/>
    <w:basedOn w:val="Normalny"/>
    <w:next w:val="Normalny"/>
    <w:autoRedefine/>
    <w:unhideWhenUsed/>
    <w:rsid w:val="00977114"/>
    <w:pPr>
      <w:spacing w:after="100" w:line="276" w:lineRule="auto"/>
      <w:ind w:left="880"/>
    </w:pPr>
    <w:rPr>
      <w:rFonts w:asciiTheme="minorHAnsi" w:eastAsiaTheme="minorEastAsia" w:hAnsiTheme="minorHAnsi" w:cstheme="minorBidi"/>
      <w:sz w:val="22"/>
      <w:szCs w:val="22"/>
    </w:rPr>
  </w:style>
  <w:style w:type="paragraph" w:styleId="Spistreci6">
    <w:name w:val="toc 6"/>
    <w:basedOn w:val="Normalny"/>
    <w:next w:val="Normalny"/>
    <w:autoRedefine/>
    <w:unhideWhenUsed/>
    <w:rsid w:val="00977114"/>
    <w:pPr>
      <w:spacing w:after="100" w:line="276" w:lineRule="auto"/>
      <w:ind w:left="1100"/>
    </w:pPr>
    <w:rPr>
      <w:rFonts w:asciiTheme="minorHAnsi" w:eastAsiaTheme="minorEastAsia" w:hAnsiTheme="minorHAnsi" w:cstheme="minorBidi"/>
      <w:sz w:val="22"/>
      <w:szCs w:val="22"/>
    </w:rPr>
  </w:style>
  <w:style w:type="paragraph" w:styleId="Spistreci7">
    <w:name w:val="toc 7"/>
    <w:basedOn w:val="Normalny"/>
    <w:next w:val="Normalny"/>
    <w:autoRedefine/>
    <w:unhideWhenUsed/>
    <w:rsid w:val="00977114"/>
    <w:pPr>
      <w:spacing w:after="100" w:line="276" w:lineRule="auto"/>
      <w:ind w:left="1320"/>
    </w:pPr>
    <w:rPr>
      <w:rFonts w:asciiTheme="minorHAnsi" w:eastAsiaTheme="minorEastAsia" w:hAnsiTheme="minorHAnsi" w:cstheme="minorBidi"/>
      <w:sz w:val="22"/>
      <w:szCs w:val="22"/>
    </w:rPr>
  </w:style>
  <w:style w:type="paragraph" w:styleId="Spistreci8">
    <w:name w:val="toc 8"/>
    <w:basedOn w:val="Normalny"/>
    <w:next w:val="Normalny"/>
    <w:autoRedefine/>
    <w:unhideWhenUsed/>
    <w:rsid w:val="00977114"/>
    <w:pPr>
      <w:spacing w:after="100" w:line="276" w:lineRule="auto"/>
      <w:ind w:left="1540"/>
    </w:pPr>
    <w:rPr>
      <w:rFonts w:asciiTheme="minorHAnsi" w:eastAsiaTheme="minorEastAsia" w:hAnsiTheme="minorHAnsi" w:cstheme="minorBidi"/>
      <w:sz w:val="22"/>
      <w:szCs w:val="22"/>
    </w:rPr>
  </w:style>
  <w:style w:type="paragraph" w:styleId="Spistreci9">
    <w:name w:val="toc 9"/>
    <w:basedOn w:val="Normalny"/>
    <w:next w:val="Normalny"/>
    <w:autoRedefine/>
    <w:unhideWhenUsed/>
    <w:rsid w:val="00977114"/>
    <w:pPr>
      <w:spacing w:after="100" w:line="276" w:lineRule="auto"/>
      <w:ind w:left="1760"/>
    </w:pPr>
    <w:rPr>
      <w:rFonts w:asciiTheme="minorHAnsi" w:eastAsiaTheme="minorEastAsia" w:hAnsiTheme="minorHAnsi" w:cstheme="minorBidi"/>
      <w:sz w:val="22"/>
      <w:szCs w:val="22"/>
    </w:rPr>
  </w:style>
  <w:style w:type="paragraph" w:customStyle="1" w:styleId="podpkta">
    <w:name w:val="pod_pkt_a"/>
    <w:basedOn w:val="Normalny"/>
    <w:qFormat/>
    <w:rsid w:val="00EA3D17"/>
    <w:pPr>
      <w:keepNext/>
      <w:spacing w:line="240" w:lineRule="auto"/>
      <w:ind w:left="426" w:hanging="425"/>
      <w:jc w:val="both"/>
    </w:pPr>
    <w:rPr>
      <w:rFonts w:ascii="Times New Roman" w:hAnsi="Times New Roman"/>
      <w:sz w:val="22"/>
      <w:szCs w:val="20"/>
    </w:rPr>
  </w:style>
  <w:style w:type="paragraph" w:customStyle="1" w:styleId="celp">
    <w:name w:val="cel_p"/>
    <w:basedOn w:val="Normalny"/>
    <w:rsid w:val="00405244"/>
    <w:pPr>
      <w:spacing w:before="100" w:beforeAutospacing="1" w:after="100" w:afterAutospacing="1" w:line="240" w:lineRule="auto"/>
    </w:pPr>
    <w:rPr>
      <w:rFonts w:ascii="Times New Roman" w:hAnsi="Times New Roman"/>
      <w:sz w:val="24"/>
    </w:rPr>
  </w:style>
  <w:style w:type="paragraph" w:styleId="Tekstprzypisukocowego">
    <w:name w:val="endnote text"/>
    <w:basedOn w:val="Normalny"/>
    <w:link w:val="TekstprzypisukocowegoZnak"/>
    <w:rsid w:val="006030DF"/>
    <w:pPr>
      <w:spacing w:line="240" w:lineRule="auto"/>
    </w:pPr>
    <w:rPr>
      <w:szCs w:val="20"/>
    </w:rPr>
  </w:style>
  <w:style w:type="character" w:customStyle="1" w:styleId="TekstprzypisukocowegoZnak">
    <w:name w:val="Tekst przypisu końcowego Znak"/>
    <w:basedOn w:val="Domylnaczcionkaakapitu"/>
    <w:link w:val="Tekstprzypisukocowego"/>
    <w:rsid w:val="006030DF"/>
    <w:rPr>
      <w:rFonts w:ascii="Arial" w:hAnsi="Arial"/>
    </w:rPr>
  </w:style>
  <w:style w:type="character" w:styleId="Odwoanieprzypisukocowego">
    <w:name w:val="endnote reference"/>
    <w:basedOn w:val="Domylnaczcionkaakapitu"/>
    <w:rsid w:val="006030DF"/>
    <w:rPr>
      <w:vertAlign w:val="superscript"/>
    </w:rPr>
  </w:style>
  <w:style w:type="paragraph" w:styleId="HTML-wstpniesformatowany">
    <w:name w:val="HTML Preformatted"/>
    <w:basedOn w:val="Normalny"/>
    <w:link w:val="HTML-wstpniesformatowanyZnak"/>
    <w:uiPriority w:val="99"/>
    <w:unhideWhenUsed/>
    <w:rsid w:val="00951E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uiPriority w:val="99"/>
    <w:rsid w:val="00951E42"/>
    <w:rPr>
      <w:rFonts w:ascii="Courier New" w:hAnsi="Courier New" w:cs="Courier New"/>
    </w:rPr>
  </w:style>
  <w:style w:type="paragraph" w:customStyle="1" w:styleId="tekstost">
    <w:name w:val="tekst ost"/>
    <w:basedOn w:val="Normalny"/>
    <w:qFormat/>
    <w:rsid w:val="008A1C59"/>
    <w:pPr>
      <w:overflowPunct w:val="0"/>
      <w:autoSpaceDE w:val="0"/>
      <w:autoSpaceDN w:val="0"/>
      <w:adjustRightInd w:val="0"/>
      <w:spacing w:line="240" w:lineRule="auto"/>
      <w:jc w:val="both"/>
      <w:textAlignment w:val="baseline"/>
    </w:pPr>
    <w:rPr>
      <w:rFonts w:ascii="Times New Roman" w:hAnsi="Times New Roman"/>
      <w:szCs w:val="20"/>
    </w:rPr>
  </w:style>
  <w:style w:type="paragraph" w:customStyle="1" w:styleId="StylIwony">
    <w:name w:val="Styl Iwony"/>
    <w:basedOn w:val="Normalny"/>
    <w:qFormat/>
    <w:rsid w:val="00D402EF"/>
    <w:pPr>
      <w:overflowPunct w:val="0"/>
      <w:autoSpaceDE w:val="0"/>
      <w:autoSpaceDN w:val="0"/>
      <w:adjustRightInd w:val="0"/>
      <w:spacing w:before="120" w:after="120" w:line="240" w:lineRule="auto"/>
      <w:jc w:val="both"/>
      <w:textAlignment w:val="baseline"/>
    </w:pPr>
    <w:rPr>
      <w:rFonts w:ascii="Bookman Old Style" w:hAnsi="Bookman Old Style"/>
      <w:sz w:val="24"/>
      <w:szCs w:val="20"/>
    </w:rPr>
  </w:style>
  <w:style w:type="paragraph" w:customStyle="1" w:styleId="Standardowytekst">
    <w:name w:val="Standardowy.tekst"/>
    <w:link w:val="StandardowytekstZnak"/>
    <w:qFormat/>
    <w:rsid w:val="00D402EF"/>
    <w:pPr>
      <w:overflowPunct w:val="0"/>
      <w:autoSpaceDE w:val="0"/>
      <w:autoSpaceDN w:val="0"/>
      <w:adjustRightInd w:val="0"/>
      <w:jc w:val="both"/>
      <w:textAlignment w:val="baseline"/>
    </w:pPr>
  </w:style>
  <w:style w:type="paragraph" w:customStyle="1" w:styleId="Tekstpodstawowy21">
    <w:name w:val="Tekst podstawowy 21"/>
    <w:basedOn w:val="Normalny"/>
    <w:rsid w:val="00D402EF"/>
    <w:pPr>
      <w:overflowPunct w:val="0"/>
      <w:autoSpaceDE w:val="0"/>
      <w:autoSpaceDN w:val="0"/>
      <w:adjustRightInd w:val="0"/>
      <w:spacing w:line="240" w:lineRule="auto"/>
      <w:ind w:left="360"/>
      <w:jc w:val="both"/>
      <w:textAlignment w:val="baseline"/>
    </w:pPr>
    <w:rPr>
      <w:rFonts w:ascii="Times New Roman" w:hAnsi="Times New Roman"/>
      <w:szCs w:val="20"/>
    </w:rPr>
  </w:style>
  <w:style w:type="character" w:customStyle="1" w:styleId="NagwekZnak">
    <w:name w:val="Nagłówek Znak"/>
    <w:basedOn w:val="Domylnaczcionkaakapitu"/>
    <w:link w:val="Nagwek"/>
    <w:qFormat/>
    <w:rsid w:val="00B724FE"/>
    <w:rPr>
      <w:rFonts w:ascii="Arial" w:hAnsi="Arial"/>
      <w:szCs w:val="24"/>
    </w:rPr>
  </w:style>
  <w:style w:type="paragraph" w:customStyle="1" w:styleId="10">
    <w:name w:val="_10"/>
    <w:basedOn w:val="Normalny"/>
    <w:qFormat/>
    <w:rsid w:val="00B724FE"/>
    <w:pPr>
      <w:spacing w:line="240" w:lineRule="auto"/>
      <w:jc w:val="both"/>
    </w:pPr>
    <w:rPr>
      <w:rFonts w:ascii="Times New Roman" w:hAnsi="Times New Roman"/>
      <w:szCs w:val="20"/>
    </w:rPr>
  </w:style>
  <w:style w:type="paragraph" w:customStyle="1" w:styleId="Styl12ptWyjustowany">
    <w:name w:val="Styl 12 pt Wyjustowany"/>
    <w:basedOn w:val="Normalny"/>
    <w:qFormat/>
    <w:rsid w:val="00B724FE"/>
    <w:pPr>
      <w:spacing w:line="240" w:lineRule="auto"/>
      <w:jc w:val="both"/>
    </w:pPr>
    <w:rPr>
      <w:rFonts w:ascii="Times New Roman" w:hAnsi="Times New Roman"/>
      <w:szCs w:val="20"/>
    </w:rPr>
  </w:style>
  <w:style w:type="table" w:styleId="Tabela-Siatka">
    <w:name w:val="Table Grid"/>
    <w:basedOn w:val="Standardowy"/>
    <w:rsid w:val="00B724F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ekstpodstawowywcityZnak">
    <w:name w:val="Tekst podstawowy wcięty Znak"/>
    <w:basedOn w:val="Domylnaczcionkaakapitu"/>
    <w:link w:val="Tekstpodstawowywcity"/>
    <w:qFormat/>
    <w:rsid w:val="006B6869"/>
    <w:rPr>
      <w:rFonts w:ascii="Arial" w:hAnsi="Arial"/>
      <w:sz w:val="22"/>
      <w:szCs w:val="24"/>
    </w:rPr>
  </w:style>
  <w:style w:type="character" w:customStyle="1" w:styleId="Tekstpodstawowy3Znak">
    <w:name w:val="Tekst podstawowy 3 Znak"/>
    <w:basedOn w:val="Domylnaczcionkaakapitu"/>
    <w:link w:val="Tekstpodstawowy3"/>
    <w:qFormat/>
    <w:rsid w:val="006B6869"/>
    <w:rPr>
      <w:rFonts w:ascii="Arial" w:hAnsi="Arial" w:cs="Arial"/>
      <w:szCs w:val="24"/>
    </w:rPr>
  </w:style>
  <w:style w:type="character" w:customStyle="1" w:styleId="Nagwek6Znak">
    <w:name w:val="Nagłówek 6 Znak"/>
    <w:basedOn w:val="Domylnaczcionkaakapitu"/>
    <w:link w:val="Nagwek6"/>
    <w:qFormat/>
    <w:rsid w:val="006B6869"/>
    <w:rPr>
      <w:rFonts w:asciiTheme="majorHAnsi" w:eastAsiaTheme="majorEastAsia" w:hAnsiTheme="majorHAnsi" w:cstheme="majorBidi"/>
      <w:i/>
      <w:iCs/>
      <w:color w:val="243F60" w:themeColor="accent1" w:themeShade="7F"/>
      <w:szCs w:val="24"/>
    </w:rPr>
  </w:style>
  <w:style w:type="paragraph" w:customStyle="1" w:styleId="Tekstpodstawowy31">
    <w:name w:val="Tekst podstawowy 31"/>
    <w:basedOn w:val="Normalny"/>
    <w:rsid w:val="006B6869"/>
    <w:pPr>
      <w:widowControl w:val="0"/>
      <w:overflowPunct w:val="0"/>
      <w:autoSpaceDE w:val="0"/>
      <w:autoSpaceDN w:val="0"/>
      <w:adjustRightInd w:val="0"/>
      <w:spacing w:line="240" w:lineRule="auto"/>
      <w:jc w:val="both"/>
      <w:textAlignment w:val="baseline"/>
    </w:pPr>
    <w:rPr>
      <w:rFonts w:ascii="Times New Roman" w:hAnsi="Times New Roman"/>
      <w:sz w:val="24"/>
      <w:szCs w:val="20"/>
    </w:rPr>
  </w:style>
  <w:style w:type="paragraph" w:customStyle="1" w:styleId="Wypunktowanie">
    <w:name w:val="Wypunktowanie"/>
    <w:basedOn w:val="Normalny"/>
    <w:rsid w:val="006B6869"/>
    <w:pPr>
      <w:widowControl w:val="0"/>
      <w:tabs>
        <w:tab w:val="left" w:pos="708"/>
      </w:tabs>
      <w:overflowPunct w:val="0"/>
      <w:autoSpaceDE w:val="0"/>
      <w:autoSpaceDN w:val="0"/>
      <w:adjustRightInd w:val="0"/>
      <w:spacing w:line="240" w:lineRule="auto"/>
      <w:ind w:left="708" w:hanging="708"/>
      <w:textAlignment w:val="baseline"/>
    </w:pPr>
    <w:rPr>
      <w:rFonts w:ascii="Times New Roman" w:hAnsi="Times New Roman"/>
      <w:sz w:val="24"/>
      <w:szCs w:val="20"/>
    </w:rPr>
  </w:style>
  <w:style w:type="paragraph" w:customStyle="1" w:styleId="Tekstpodstawowywcity31">
    <w:name w:val="Tekst podstawowy wcięty 31"/>
    <w:basedOn w:val="Normalny"/>
    <w:qFormat/>
    <w:rsid w:val="006B6869"/>
    <w:pPr>
      <w:widowControl w:val="0"/>
      <w:overflowPunct w:val="0"/>
      <w:autoSpaceDE w:val="0"/>
      <w:autoSpaceDN w:val="0"/>
      <w:adjustRightInd w:val="0"/>
      <w:spacing w:line="240" w:lineRule="auto"/>
      <w:ind w:left="709"/>
      <w:jc w:val="both"/>
      <w:textAlignment w:val="baseline"/>
    </w:pPr>
    <w:rPr>
      <w:sz w:val="24"/>
      <w:szCs w:val="20"/>
    </w:rPr>
  </w:style>
  <w:style w:type="paragraph" w:customStyle="1" w:styleId="Numerowanie">
    <w:name w:val="Numerowanie"/>
    <w:basedOn w:val="Tekstpodstawowy"/>
    <w:rsid w:val="006B6869"/>
    <w:pPr>
      <w:widowControl w:val="0"/>
      <w:tabs>
        <w:tab w:val="clear" w:pos="360"/>
      </w:tabs>
      <w:overflowPunct w:val="0"/>
      <w:autoSpaceDE w:val="0"/>
      <w:autoSpaceDN w:val="0"/>
      <w:adjustRightInd w:val="0"/>
      <w:spacing w:line="240" w:lineRule="auto"/>
      <w:jc w:val="center"/>
      <w:textAlignment w:val="baseline"/>
    </w:pPr>
    <w:rPr>
      <w:rFonts w:ascii="Times New Roman" w:hAnsi="Times New Roman"/>
      <w:sz w:val="24"/>
      <w:szCs w:val="20"/>
      <w:lang w:val="fr-FR"/>
    </w:rPr>
  </w:style>
  <w:style w:type="paragraph" w:customStyle="1" w:styleId="Tablica">
    <w:name w:val="Tablica"/>
    <w:basedOn w:val="Normalny"/>
    <w:next w:val="Normalny"/>
    <w:rsid w:val="006B6869"/>
    <w:pPr>
      <w:keepNext/>
      <w:keepLines/>
      <w:tabs>
        <w:tab w:val="left" w:pos="-720"/>
      </w:tabs>
      <w:suppressAutoHyphens/>
      <w:overflowPunct w:val="0"/>
      <w:autoSpaceDE w:val="0"/>
      <w:autoSpaceDN w:val="0"/>
      <w:adjustRightInd w:val="0"/>
      <w:spacing w:before="120"/>
      <w:jc w:val="center"/>
      <w:textAlignment w:val="baseline"/>
    </w:pPr>
    <w:rPr>
      <w:rFonts w:ascii="Times New Roman" w:hAnsi="Times New Roman"/>
      <w:b/>
      <w:sz w:val="24"/>
      <w:szCs w:val="20"/>
    </w:rPr>
  </w:style>
  <w:style w:type="paragraph" w:customStyle="1" w:styleId="Teksttablicy">
    <w:name w:val="Tekst tablicy"/>
    <w:basedOn w:val="Tekstpodstawowy"/>
    <w:next w:val="Tekstpodstawowy"/>
    <w:rsid w:val="006B6869"/>
    <w:pPr>
      <w:keepLines/>
      <w:tabs>
        <w:tab w:val="clear" w:pos="360"/>
      </w:tabs>
      <w:spacing w:line="240" w:lineRule="auto"/>
      <w:jc w:val="center"/>
    </w:pPr>
    <w:rPr>
      <w:rFonts w:cs="Arial"/>
      <w:bCs/>
      <w:sz w:val="24"/>
      <w:szCs w:val="20"/>
      <w:lang w:val="fr-FR"/>
    </w:rPr>
  </w:style>
  <w:style w:type="character" w:customStyle="1" w:styleId="StandardowytekstZnak">
    <w:name w:val="Standardowy.tekst Znak"/>
    <w:basedOn w:val="Domylnaczcionkaakapitu"/>
    <w:link w:val="Standardowytekst"/>
    <w:rsid w:val="006B6869"/>
  </w:style>
  <w:style w:type="paragraph" w:customStyle="1" w:styleId="rozdzia3">
    <w:name w:val="rozdzia3"/>
    <w:rsid w:val="00A17C85"/>
    <w:pPr>
      <w:overflowPunct w:val="0"/>
      <w:autoSpaceDE w:val="0"/>
      <w:autoSpaceDN w:val="0"/>
      <w:adjustRightInd w:val="0"/>
      <w:jc w:val="both"/>
      <w:textAlignment w:val="baseline"/>
    </w:pPr>
    <w:rPr>
      <w:b/>
      <w:color w:val="000000"/>
      <w:sz w:val="28"/>
      <w:lang w:val="cs-CZ"/>
    </w:rPr>
  </w:style>
  <w:style w:type="paragraph" w:customStyle="1" w:styleId="rozdzia31">
    <w:name w:val="rozdzia31"/>
    <w:rsid w:val="00A17C85"/>
    <w:pPr>
      <w:overflowPunct w:val="0"/>
      <w:autoSpaceDE w:val="0"/>
      <w:autoSpaceDN w:val="0"/>
      <w:adjustRightInd w:val="0"/>
      <w:jc w:val="both"/>
      <w:textAlignment w:val="baseline"/>
    </w:pPr>
    <w:rPr>
      <w:b/>
      <w:color w:val="000000"/>
      <w:sz w:val="24"/>
      <w:lang w:val="cs-CZ"/>
    </w:rPr>
  </w:style>
  <w:style w:type="character" w:customStyle="1" w:styleId="Nagwek5Znak">
    <w:name w:val="Nagłówek 5 Znak"/>
    <w:basedOn w:val="Domylnaczcionkaakapitu"/>
    <w:link w:val="Nagwek5"/>
    <w:qFormat/>
    <w:rsid w:val="00FD2546"/>
    <w:rPr>
      <w:rFonts w:ascii="Arial" w:eastAsiaTheme="majorEastAsia" w:hAnsi="Arial" w:cstheme="majorBidi"/>
      <w:b/>
      <w:szCs w:val="24"/>
    </w:rPr>
  </w:style>
  <w:style w:type="paragraph" w:customStyle="1" w:styleId="StylSpistreci1Przed0ptPo0pt">
    <w:name w:val="Styl Spis treści 1 + Przed:  0 pt Po:  0 pt"/>
    <w:basedOn w:val="Spistreci1"/>
    <w:qFormat/>
    <w:rsid w:val="00A17C85"/>
    <w:pPr>
      <w:tabs>
        <w:tab w:val="clear" w:pos="480"/>
        <w:tab w:val="right" w:leader="dot" w:pos="7371"/>
      </w:tabs>
      <w:overflowPunct w:val="0"/>
      <w:autoSpaceDE w:val="0"/>
      <w:autoSpaceDN w:val="0"/>
      <w:adjustRightInd w:val="0"/>
      <w:spacing w:line="240" w:lineRule="auto"/>
      <w:textAlignment w:val="baseline"/>
    </w:pPr>
    <w:rPr>
      <w:rFonts w:ascii="Times New Roman" w:hAnsi="Times New Roman"/>
      <w:b w:val="0"/>
      <w:bCs/>
      <w:caps/>
      <w:noProof w:val="0"/>
      <w:szCs w:val="20"/>
    </w:rPr>
  </w:style>
  <w:style w:type="paragraph" w:customStyle="1" w:styleId="Bullet1points">
    <w:name w:val="Bullet 1 points"/>
    <w:basedOn w:val="Normalny"/>
    <w:qFormat/>
    <w:rsid w:val="00A17C85"/>
    <w:pPr>
      <w:numPr>
        <w:numId w:val="35"/>
      </w:numPr>
      <w:spacing w:before="60" w:after="60" w:line="240" w:lineRule="auto"/>
      <w:jc w:val="both"/>
    </w:pPr>
    <w:rPr>
      <w:rFonts w:ascii="Times New Roman" w:hAnsi="Times New Roman"/>
      <w:szCs w:val="20"/>
    </w:rPr>
  </w:style>
  <w:style w:type="paragraph" w:styleId="Legenda">
    <w:name w:val="caption"/>
    <w:basedOn w:val="Normalny"/>
    <w:next w:val="Normalny"/>
    <w:qFormat/>
    <w:rsid w:val="00A17C85"/>
    <w:pPr>
      <w:spacing w:line="240" w:lineRule="auto"/>
    </w:pPr>
    <w:rPr>
      <w:rFonts w:ascii="Times New Roman" w:hAnsi="Times New Roman"/>
      <w:sz w:val="24"/>
      <w:szCs w:val="20"/>
    </w:rPr>
  </w:style>
  <w:style w:type="paragraph" w:customStyle="1" w:styleId="podpkt11">
    <w:name w:val="pod_pkt1.1"/>
    <w:basedOn w:val="Normalny"/>
    <w:qFormat/>
    <w:rsid w:val="00F848A8"/>
    <w:pPr>
      <w:keepNext/>
      <w:spacing w:after="120" w:line="240" w:lineRule="auto"/>
      <w:ind w:left="425" w:hanging="425"/>
    </w:pPr>
    <w:rPr>
      <w:rFonts w:ascii="Times New Roman" w:hAnsi="Times New Roman"/>
      <w:sz w:val="24"/>
      <w:szCs w:val="20"/>
    </w:rPr>
  </w:style>
  <w:style w:type="character" w:customStyle="1" w:styleId="10Znak">
    <w:name w:val="_10 Znak"/>
    <w:basedOn w:val="Domylnaczcionkaakapitu"/>
    <w:qFormat/>
    <w:rsid w:val="00F848A8"/>
    <w:rPr>
      <w:color w:val="000000"/>
      <w:lang w:val="pl-PL" w:eastAsia="pl-PL"/>
    </w:rPr>
  </w:style>
  <w:style w:type="paragraph" w:styleId="Wcicienormalne">
    <w:name w:val="Normal Indent"/>
    <w:basedOn w:val="Normalny"/>
    <w:uiPriority w:val="99"/>
    <w:rsid w:val="00F848A8"/>
    <w:pPr>
      <w:overflowPunct w:val="0"/>
      <w:autoSpaceDE w:val="0"/>
      <w:autoSpaceDN w:val="0"/>
      <w:adjustRightInd w:val="0"/>
      <w:spacing w:line="240" w:lineRule="auto"/>
      <w:ind w:left="720"/>
      <w:textAlignment w:val="baseline"/>
    </w:pPr>
    <w:rPr>
      <w:rFonts w:ascii="Times New Roman" w:hAnsi="Times New Roman"/>
      <w:szCs w:val="20"/>
    </w:rPr>
  </w:style>
  <w:style w:type="paragraph" w:customStyle="1" w:styleId="StylNagwek1DoprawejInterliniapojedyncze">
    <w:name w:val="Styl Nagłówek 1 + Do prawej Interlinia:  pojedyncze"/>
    <w:basedOn w:val="Nagwek1"/>
    <w:rsid w:val="00FD2546"/>
    <w:pPr>
      <w:spacing w:line="240" w:lineRule="auto"/>
      <w:jc w:val="right"/>
    </w:pPr>
    <w:rPr>
      <w:szCs w:val="20"/>
    </w:rPr>
  </w:style>
  <w:style w:type="paragraph" w:customStyle="1" w:styleId="StylNagwek6aciskiArialPogrubieniePrzed0ptInt">
    <w:name w:val="Styl Nagłówek 6 + (Łaciński) Arial Pogrubienie Przed:  0 pt Int..."/>
    <w:basedOn w:val="Nagwek6"/>
    <w:rsid w:val="00FD2546"/>
    <w:pPr>
      <w:spacing w:before="0" w:line="240" w:lineRule="auto"/>
    </w:pPr>
    <w:rPr>
      <w:rFonts w:ascii="Arial" w:eastAsia="Times New Roman" w:hAnsi="Arial" w:cs="Times New Roman"/>
      <w:b/>
      <w:bCs/>
      <w:i w:val="0"/>
      <w:color w:val="auto"/>
      <w:szCs w:val="20"/>
    </w:rPr>
  </w:style>
  <w:style w:type="paragraph" w:styleId="Tekstblokowy">
    <w:name w:val="Block Text"/>
    <w:basedOn w:val="Normalny"/>
    <w:qFormat/>
    <w:rsid w:val="00EF1859"/>
    <w:pPr>
      <w:spacing w:line="240" w:lineRule="auto"/>
      <w:ind w:left="426" w:right="-58"/>
      <w:jc w:val="both"/>
    </w:pPr>
    <w:rPr>
      <w:rFonts w:ascii="Times New Roman" w:hAnsi="Times New Roman"/>
      <w:sz w:val="24"/>
      <w:szCs w:val="20"/>
    </w:rPr>
  </w:style>
  <w:style w:type="paragraph" w:styleId="Poprawka">
    <w:name w:val="Revision"/>
    <w:hidden/>
    <w:uiPriority w:val="99"/>
    <w:semiHidden/>
    <w:rsid w:val="00645F92"/>
    <w:rPr>
      <w:rFonts w:ascii="Arial" w:hAnsi="Arial"/>
      <w:szCs w:val="24"/>
    </w:rPr>
  </w:style>
  <w:style w:type="character" w:styleId="Odwoaniedokomentarza">
    <w:name w:val="annotation reference"/>
    <w:basedOn w:val="Domylnaczcionkaakapitu"/>
    <w:uiPriority w:val="99"/>
    <w:unhideWhenUsed/>
    <w:rsid w:val="00D22A09"/>
    <w:rPr>
      <w:sz w:val="16"/>
      <w:szCs w:val="16"/>
    </w:rPr>
  </w:style>
  <w:style w:type="paragraph" w:styleId="Tekstkomentarza">
    <w:name w:val="annotation text"/>
    <w:basedOn w:val="Normalny"/>
    <w:link w:val="TekstkomentarzaZnak"/>
    <w:unhideWhenUsed/>
    <w:qFormat/>
    <w:rsid w:val="00D22A09"/>
    <w:pPr>
      <w:spacing w:line="240" w:lineRule="auto"/>
    </w:pPr>
    <w:rPr>
      <w:rFonts w:ascii="Times New Roman" w:hAnsi="Times New Roman"/>
      <w:szCs w:val="20"/>
    </w:rPr>
  </w:style>
  <w:style w:type="character" w:customStyle="1" w:styleId="TekstkomentarzaZnak">
    <w:name w:val="Tekst komentarza Znak"/>
    <w:basedOn w:val="Domylnaczcionkaakapitu"/>
    <w:link w:val="Tekstkomentarza"/>
    <w:qFormat/>
    <w:rsid w:val="00D22A09"/>
  </w:style>
  <w:style w:type="paragraph" w:styleId="Podtytu">
    <w:name w:val="Subtitle"/>
    <w:basedOn w:val="Normalny"/>
    <w:next w:val="Normalny"/>
    <w:link w:val="PodtytuZnak"/>
    <w:qFormat/>
    <w:rsid w:val="00D22A09"/>
    <w:pPr>
      <w:overflowPunct w:val="0"/>
      <w:autoSpaceDE w:val="0"/>
      <w:autoSpaceDN w:val="0"/>
      <w:adjustRightInd w:val="0"/>
      <w:spacing w:after="60" w:line="240" w:lineRule="auto"/>
      <w:jc w:val="center"/>
      <w:textAlignment w:val="baseline"/>
      <w:outlineLvl w:val="1"/>
    </w:pPr>
    <w:rPr>
      <w:rFonts w:ascii="Cambria" w:hAnsi="Cambria"/>
      <w:sz w:val="24"/>
    </w:rPr>
  </w:style>
  <w:style w:type="character" w:customStyle="1" w:styleId="PodtytuZnak">
    <w:name w:val="Podtytuł Znak"/>
    <w:basedOn w:val="Domylnaczcionkaakapitu"/>
    <w:link w:val="Podtytu"/>
    <w:rsid w:val="00D22A09"/>
    <w:rPr>
      <w:rFonts w:ascii="Cambria" w:hAnsi="Cambria"/>
      <w:sz w:val="24"/>
      <w:szCs w:val="24"/>
    </w:rPr>
  </w:style>
  <w:style w:type="character" w:styleId="UyteHipercze">
    <w:name w:val="FollowedHyperlink"/>
    <w:basedOn w:val="Domylnaczcionkaakapitu"/>
    <w:uiPriority w:val="99"/>
    <w:unhideWhenUsed/>
    <w:rsid w:val="00E11597"/>
    <w:rPr>
      <w:color w:val="800080"/>
      <w:u w:val="single"/>
    </w:rPr>
  </w:style>
  <w:style w:type="character" w:customStyle="1" w:styleId="Styl12pt">
    <w:name w:val="Styl 12 pt"/>
    <w:basedOn w:val="Domylnaczcionkaakapitu"/>
    <w:rsid w:val="00D42AD4"/>
    <w:rPr>
      <w:rFonts w:ascii="Times New Roman" w:hAnsi="Times New Roman"/>
      <w:sz w:val="20"/>
    </w:rPr>
  </w:style>
  <w:style w:type="paragraph" w:customStyle="1" w:styleId="Styl12ptPierwszywiersz05">
    <w:name w:val="Styl 12 pt Pierwszy wiersz:  05&quot;"/>
    <w:basedOn w:val="Normalny"/>
    <w:rsid w:val="00D42AD4"/>
    <w:pPr>
      <w:spacing w:after="120" w:line="240" w:lineRule="auto"/>
      <w:jc w:val="both"/>
    </w:pPr>
    <w:rPr>
      <w:noProof/>
      <w:szCs w:val="20"/>
    </w:rPr>
  </w:style>
  <w:style w:type="paragraph" w:customStyle="1" w:styleId="Znak">
    <w:name w:val="Znak"/>
    <w:basedOn w:val="Normalny"/>
    <w:rsid w:val="00CA5BBF"/>
    <w:pPr>
      <w:spacing w:line="240" w:lineRule="auto"/>
    </w:pPr>
    <w:rPr>
      <w:rFonts w:ascii="Times New Roman" w:hAnsi="Times New Roman"/>
      <w:sz w:val="24"/>
    </w:rPr>
  </w:style>
  <w:style w:type="paragraph" w:customStyle="1" w:styleId="Tekstpodstawowy22">
    <w:name w:val="Tekst podstawowy 22"/>
    <w:basedOn w:val="Normalny"/>
    <w:rsid w:val="0010218E"/>
    <w:pPr>
      <w:overflowPunct w:val="0"/>
      <w:autoSpaceDE w:val="0"/>
      <w:autoSpaceDN w:val="0"/>
      <w:adjustRightInd w:val="0"/>
      <w:spacing w:line="240" w:lineRule="auto"/>
      <w:ind w:left="708"/>
      <w:textAlignment w:val="baseline"/>
    </w:pPr>
    <w:rPr>
      <w:sz w:val="24"/>
      <w:szCs w:val="20"/>
    </w:rPr>
  </w:style>
  <w:style w:type="paragraph" w:customStyle="1" w:styleId="Rysunek">
    <w:name w:val="Rysunek"/>
    <w:basedOn w:val="Normalny"/>
    <w:next w:val="Tekstpodstawowy"/>
    <w:rsid w:val="0010218E"/>
    <w:pPr>
      <w:keepLines/>
      <w:tabs>
        <w:tab w:val="left" w:pos="-720"/>
      </w:tabs>
      <w:suppressAutoHyphens/>
      <w:overflowPunct w:val="0"/>
      <w:autoSpaceDE w:val="0"/>
      <w:autoSpaceDN w:val="0"/>
      <w:adjustRightInd w:val="0"/>
      <w:spacing w:before="260" w:line="240" w:lineRule="auto"/>
      <w:jc w:val="center"/>
      <w:textAlignment w:val="baseline"/>
    </w:pPr>
    <w:rPr>
      <w:rFonts w:ascii="Times New Roman" w:hAnsi="Times New Roman"/>
      <w:b/>
      <w:noProof/>
      <w:sz w:val="24"/>
      <w:szCs w:val="20"/>
    </w:rPr>
  </w:style>
  <w:style w:type="paragraph" w:customStyle="1" w:styleId="Tekstpodstawowywcity32">
    <w:name w:val="Tekst podstawowy wcięty 32"/>
    <w:basedOn w:val="Normalny"/>
    <w:rsid w:val="003760FB"/>
    <w:pPr>
      <w:overflowPunct w:val="0"/>
      <w:autoSpaceDE w:val="0"/>
      <w:autoSpaceDN w:val="0"/>
      <w:adjustRightInd w:val="0"/>
      <w:spacing w:line="240" w:lineRule="auto"/>
      <w:ind w:firstLine="709"/>
      <w:jc w:val="both"/>
      <w:textAlignment w:val="baseline"/>
    </w:pPr>
    <w:rPr>
      <w:rFonts w:ascii="Times New Roman" w:hAnsi="Times New Roman"/>
      <w:szCs w:val="20"/>
    </w:rPr>
  </w:style>
  <w:style w:type="character" w:styleId="Tekstzastpczy">
    <w:name w:val="Placeholder Text"/>
    <w:basedOn w:val="Domylnaczcionkaakapitu"/>
    <w:uiPriority w:val="99"/>
    <w:semiHidden/>
    <w:rsid w:val="00F21E21"/>
    <w:rPr>
      <w:color w:val="808080"/>
    </w:rPr>
  </w:style>
  <w:style w:type="paragraph" w:styleId="Lista">
    <w:name w:val="List"/>
    <w:basedOn w:val="Normalny"/>
    <w:rsid w:val="003D79DE"/>
    <w:pPr>
      <w:ind w:left="283" w:hanging="283"/>
      <w:contextualSpacing/>
    </w:pPr>
  </w:style>
  <w:style w:type="paragraph" w:styleId="Lista2">
    <w:name w:val="List 2"/>
    <w:basedOn w:val="Normalny"/>
    <w:rsid w:val="003D79DE"/>
    <w:pPr>
      <w:ind w:left="566" w:hanging="283"/>
      <w:contextualSpacing/>
    </w:pPr>
  </w:style>
  <w:style w:type="paragraph" w:styleId="Lista3">
    <w:name w:val="List 3"/>
    <w:basedOn w:val="Normalny"/>
    <w:rsid w:val="003D79DE"/>
    <w:pPr>
      <w:ind w:left="849" w:hanging="283"/>
      <w:contextualSpacing/>
    </w:pPr>
  </w:style>
  <w:style w:type="paragraph" w:styleId="Lista4">
    <w:name w:val="List 4"/>
    <w:basedOn w:val="Normalny"/>
    <w:rsid w:val="003D79DE"/>
    <w:pPr>
      <w:ind w:left="1132" w:hanging="283"/>
      <w:contextualSpacing/>
    </w:pPr>
  </w:style>
  <w:style w:type="paragraph" w:styleId="Lista5">
    <w:name w:val="List 5"/>
    <w:basedOn w:val="Normalny"/>
    <w:rsid w:val="003D79DE"/>
    <w:pPr>
      <w:ind w:left="1415" w:hanging="283"/>
      <w:contextualSpacing/>
    </w:pPr>
  </w:style>
  <w:style w:type="paragraph" w:styleId="Listapunktowana2">
    <w:name w:val="List Bullet 2"/>
    <w:basedOn w:val="Normalny"/>
    <w:qFormat/>
    <w:rsid w:val="003D79DE"/>
    <w:pPr>
      <w:numPr>
        <w:numId w:val="43"/>
      </w:numPr>
      <w:contextualSpacing/>
    </w:pPr>
  </w:style>
  <w:style w:type="paragraph" w:styleId="Listapunktowana3">
    <w:name w:val="List Bullet 3"/>
    <w:basedOn w:val="Normalny"/>
    <w:qFormat/>
    <w:rsid w:val="003D79DE"/>
    <w:pPr>
      <w:numPr>
        <w:numId w:val="44"/>
      </w:numPr>
      <w:contextualSpacing/>
    </w:pPr>
  </w:style>
  <w:style w:type="paragraph" w:styleId="Listapunktowana4">
    <w:name w:val="List Bullet 4"/>
    <w:basedOn w:val="Normalny"/>
    <w:rsid w:val="003D79DE"/>
    <w:pPr>
      <w:numPr>
        <w:numId w:val="45"/>
      </w:numPr>
      <w:contextualSpacing/>
    </w:pPr>
  </w:style>
  <w:style w:type="paragraph" w:styleId="Listapunktowana5">
    <w:name w:val="List Bullet 5"/>
    <w:basedOn w:val="Normalny"/>
    <w:rsid w:val="003D79DE"/>
    <w:pPr>
      <w:numPr>
        <w:numId w:val="46"/>
      </w:numPr>
      <w:contextualSpacing/>
    </w:pPr>
  </w:style>
  <w:style w:type="paragraph" w:styleId="Lista-kontynuacja">
    <w:name w:val="List Continue"/>
    <w:basedOn w:val="Normalny"/>
    <w:rsid w:val="003D79DE"/>
    <w:pPr>
      <w:spacing w:after="120"/>
      <w:ind w:left="283"/>
      <w:contextualSpacing/>
    </w:pPr>
  </w:style>
  <w:style w:type="paragraph" w:styleId="Lista-kontynuacja2">
    <w:name w:val="List Continue 2"/>
    <w:basedOn w:val="Normalny"/>
    <w:rsid w:val="003D79DE"/>
    <w:pPr>
      <w:spacing w:after="120"/>
      <w:ind w:left="566"/>
      <w:contextualSpacing/>
    </w:pPr>
  </w:style>
  <w:style w:type="paragraph" w:styleId="Lista-kontynuacja3">
    <w:name w:val="List Continue 3"/>
    <w:basedOn w:val="Normalny"/>
    <w:rsid w:val="003D79DE"/>
    <w:pPr>
      <w:spacing w:after="120"/>
      <w:ind w:left="849"/>
      <w:contextualSpacing/>
    </w:pPr>
  </w:style>
  <w:style w:type="paragraph" w:styleId="Lista-kontynuacja4">
    <w:name w:val="List Continue 4"/>
    <w:basedOn w:val="Normalny"/>
    <w:rsid w:val="003D79DE"/>
    <w:pPr>
      <w:spacing w:after="120"/>
      <w:ind w:left="1132"/>
      <w:contextualSpacing/>
    </w:pPr>
  </w:style>
  <w:style w:type="paragraph" w:styleId="Lista-kontynuacja5">
    <w:name w:val="List Continue 5"/>
    <w:basedOn w:val="Normalny"/>
    <w:rsid w:val="003D79DE"/>
    <w:pPr>
      <w:spacing w:after="120"/>
      <w:ind w:left="1415"/>
      <w:contextualSpacing/>
    </w:pPr>
  </w:style>
  <w:style w:type="paragraph" w:styleId="Tekstpodstawowyzwciciem">
    <w:name w:val="Body Text First Indent"/>
    <w:basedOn w:val="Tekstpodstawowy"/>
    <w:link w:val="TekstpodstawowyzwciciemZnak"/>
    <w:rsid w:val="003D79DE"/>
    <w:pPr>
      <w:tabs>
        <w:tab w:val="clear" w:pos="360"/>
      </w:tabs>
      <w:ind w:firstLine="360"/>
    </w:pPr>
    <w:rPr>
      <w:sz w:val="20"/>
    </w:rPr>
  </w:style>
  <w:style w:type="character" w:customStyle="1" w:styleId="TekstpodstawowyzwciciemZnak">
    <w:name w:val="Tekst podstawowy z wcięciem Znak"/>
    <w:basedOn w:val="TekstpodstawowyZnak"/>
    <w:link w:val="Tekstpodstawowyzwciciem"/>
    <w:rsid w:val="003D79DE"/>
    <w:rPr>
      <w:rFonts w:ascii="Arial" w:hAnsi="Arial"/>
      <w:sz w:val="22"/>
      <w:szCs w:val="24"/>
    </w:rPr>
  </w:style>
  <w:style w:type="paragraph" w:styleId="Tekstpodstawowyzwciciem2">
    <w:name w:val="Body Text First Indent 2"/>
    <w:basedOn w:val="Tekstpodstawowywcity"/>
    <w:link w:val="Tekstpodstawowyzwciciem2Znak"/>
    <w:rsid w:val="003D79DE"/>
    <w:pPr>
      <w:tabs>
        <w:tab w:val="clear" w:pos="540"/>
        <w:tab w:val="clear" w:pos="720"/>
      </w:tabs>
      <w:ind w:left="360" w:firstLine="360"/>
    </w:pPr>
    <w:rPr>
      <w:sz w:val="20"/>
    </w:rPr>
  </w:style>
  <w:style w:type="character" w:customStyle="1" w:styleId="Tekstpodstawowyzwciciem2Znak">
    <w:name w:val="Tekst podstawowy z wcięciem 2 Znak"/>
    <w:basedOn w:val="TekstpodstawowywcityZnak"/>
    <w:link w:val="Tekstpodstawowyzwciciem2"/>
    <w:rsid w:val="003D79DE"/>
    <w:rPr>
      <w:rFonts w:ascii="Arial" w:hAnsi="Arial"/>
      <w:sz w:val="22"/>
      <w:szCs w:val="24"/>
    </w:rPr>
  </w:style>
  <w:style w:type="paragraph" w:customStyle="1" w:styleId="Obraz">
    <w:name w:val="Obraz"/>
    <w:basedOn w:val="Normalny"/>
    <w:rsid w:val="003D79DE"/>
  </w:style>
  <w:style w:type="paragraph" w:customStyle="1" w:styleId="Tekstpodstawowy23">
    <w:name w:val="Tekst podstawowy 23"/>
    <w:basedOn w:val="Normalny"/>
    <w:rsid w:val="007D2523"/>
    <w:pPr>
      <w:overflowPunct w:val="0"/>
      <w:autoSpaceDE w:val="0"/>
      <w:autoSpaceDN w:val="0"/>
      <w:adjustRightInd w:val="0"/>
      <w:spacing w:line="240" w:lineRule="auto"/>
      <w:ind w:firstLine="283"/>
      <w:jc w:val="both"/>
      <w:textAlignment w:val="baseline"/>
    </w:pPr>
    <w:rPr>
      <w:rFonts w:ascii="Times New Roman" w:hAnsi="Times New Roman"/>
      <w:szCs w:val="20"/>
    </w:rPr>
  </w:style>
  <w:style w:type="paragraph" w:customStyle="1" w:styleId="Tekstpodstawowywcity33">
    <w:name w:val="Tekst podstawowy wcięty 33"/>
    <w:basedOn w:val="Normalny"/>
    <w:rsid w:val="007D2523"/>
    <w:pPr>
      <w:tabs>
        <w:tab w:val="left" w:pos="964"/>
      </w:tabs>
      <w:overflowPunct w:val="0"/>
      <w:autoSpaceDE w:val="0"/>
      <w:autoSpaceDN w:val="0"/>
      <w:adjustRightInd w:val="0"/>
      <w:spacing w:after="120" w:line="240" w:lineRule="auto"/>
      <w:ind w:left="964" w:hanging="964"/>
      <w:jc w:val="both"/>
      <w:textAlignment w:val="baseline"/>
    </w:pPr>
    <w:rPr>
      <w:rFonts w:ascii="Times New Roman" w:hAnsi="Times New Roman"/>
      <w:szCs w:val="20"/>
    </w:rPr>
  </w:style>
  <w:style w:type="paragraph" w:styleId="Indeks1">
    <w:name w:val="index 1"/>
    <w:basedOn w:val="Normalny"/>
    <w:next w:val="Normalny"/>
    <w:rsid w:val="00FF3521"/>
    <w:pPr>
      <w:tabs>
        <w:tab w:val="left" w:leader="dot" w:pos="9000"/>
        <w:tab w:val="right" w:pos="9360"/>
      </w:tabs>
      <w:suppressAutoHyphens/>
      <w:overflowPunct w:val="0"/>
      <w:autoSpaceDE w:val="0"/>
      <w:autoSpaceDN w:val="0"/>
      <w:adjustRightInd w:val="0"/>
      <w:spacing w:line="240" w:lineRule="auto"/>
      <w:ind w:left="1440" w:right="720" w:hanging="1440"/>
      <w:jc w:val="both"/>
      <w:textAlignment w:val="baseline"/>
    </w:pPr>
    <w:rPr>
      <w:rFonts w:ascii="Times New Roman" w:hAnsi="Times New Roman"/>
      <w:sz w:val="24"/>
      <w:szCs w:val="20"/>
      <w:lang w:val="en-US"/>
    </w:rPr>
  </w:style>
  <w:style w:type="paragraph" w:styleId="Indeks2">
    <w:name w:val="index 2"/>
    <w:basedOn w:val="Normalny"/>
    <w:next w:val="Normalny"/>
    <w:rsid w:val="00FF3521"/>
    <w:pPr>
      <w:tabs>
        <w:tab w:val="left" w:leader="dot" w:pos="9000"/>
        <w:tab w:val="right" w:pos="9360"/>
      </w:tabs>
      <w:suppressAutoHyphens/>
      <w:overflowPunct w:val="0"/>
      <w:autoSpaceDE w:val="0"/>
      <w:autoSpaceDN w:val="0"/>
      <w:adjustRightInd w:val="0"/>
      <w:spacing w:line="240" w:lineRule="auto"/>
      <w:ind w:left="1440" w:right="720" w:hanging="720"/>
      <w:jc w:val="both"/>
      <w:textAlignment w:val="baseline"/>
    </w:pPr>
    <w:rPr>
      <w:rFonts w:ascii="Times New Roman" w:hAnsi="Times New Roman"/>
      <w:sz w:val="24"/>
      <w:szCs w:val="20"/>
      <w:lang w:val="en-US"/>
    </w:rPr>
  </w:style>
  <w:style w:type="paragraph" w:customStyle="1" w:styleId="a">
    <w:basedOn w:val="Normalny"/>
    <w:next w:val="Mapadokumentu"/>
    <w:rsid w:val="00FF3521"/>
    <w:pPr>
      <w:shd w:val="clear" w:color="auto" w:fill="000080"/>
      <w:overflowPunct w:val="0"/>
      <w:autoSpaceDE w:val="0"/>
      <w:autoSpaceDN w:val="0"/>
      <w:adjustRightInd w:val="0"/>
      <w:spacing w:line="240" w:lineRule="auto"/>
      <w:jc w:val="both"/>
      <w:textAlignment w:val="baseline"/>
    </w:pPr>
    <w:rPr>
      <w:rFonts w:ascii="Tahoma" w:hAnsi="Tahoma" w:cs="Tahoma"/>
      <w:sz w:val="24"/>
      <w:szCs w:val="20"/>
    </w:rPr>
  </w:style>
  <w:style w:type="paragraph" w:styleId="Tematkomentarza">
    <w:name w:val="annotation subject"/>
    <w:basedOn w:val="Tekstkomentarza"/>
    <w:next w:val="Tekstkomentarza"/>
    <w:link w:val="TematkomentarzaZnak"/>
    <w:uiPriority w:val="99"/>
    <w:rsid w:val="00FF3521"/>
    <w:pPr>
      <w:overflowPunct w:val="0"/>
      <w:autoSpaceDE w:val="0"/>
      <w:autoSpaceDN w:val="0"/>
      <w:adjustRightInd w:val="0"/>
      <w:jc w:val="both"/>
      <w:textAlignment w:val="baseline"/>
    </w:pPr>
    <w:rPr>
      <w:b/>
      <w:bCs/>
    </w:rPr>
  </w:style>
  <w:style w:type="character" w:customStyle="1" w:styleId="TematkomentarzaZnak">
    <w:name w:val="Temat komentarza Znak"/>
    <w:basedOn w:val="TekstkomentarzaZnak"/>
    <w:link w:val="Tematkomentarza"/>
    <w:uiPriority w:val="99"/>
    <w:rsid w:val="00FF3521"/>
    <w:rPr>
      <w:b/>
      <w:bCs/>
    </w:rPr>
  </w:style>
  <w:style w:type="paragraph" w:styleId="Mapadokumentu">
    <w:name w:val="Document Map"/>
    <w:basedOn w:val="Normalny"/>
    <w:link w:val="MapadokumentuZnak"/>
    <w:rsid w:val="00FF3521"/>
    <w:pPr>
      <w:spacing w:line="240" w:lineRule="auto"/>
    </w:pPr>
    <w:rPr>
      <w:rFonts w:ascii="Tahoma" w:hAnsi="Tahoma" w:cs="Tahoma"/>
      <w:sz w:val="16"/>
      <w:szCs w:val="16"/>
    </w:rPr>
  </w:style>
  <w:style w:type="character" w:customStyle="1" w:styleId="MapadokumentuZnak">
    <w:name w:val="Mapa dokumentu Znak"/>
    <w:basedOn w:val="Domylnaczcionkaakapitu"/>
    <w:link w:val="Mapadokumentu"/>
    <w:rsid w:val="00FF3521"/>
    <w:rPr>
      <w:rFonts w:ascii="Tahoma" w:hAnsi="Tahoma" w:cs="Tahoma"/>
      <w:sz w:val="16"/>
      <w:szCs w:val="16"/>
    </w:rPr>
  </w:style>
  <w:style w:type="paragraph" w:customStyle="1" w:styleId="styliwony0">
    <w:name w:val="styliwony"/>
    <w:basedOn w:val="Normalny"/>
    <w:rsid w:val="00D929C6"/>
    <w:pPr>
      <w:spacing w:before="100" w:beforeAutospacing="1" w:after="100" w:afterAutospacing="1" w:line="240" w:lineRule="auto"/>
    </w:pPr>
    <w:rPr>
      <w:rFonts w:ascii="Times New Roman" w:hAnsi="Times New Roman"/>
      <w:sz w:val="24"/>
    </w:rPr>
  </w:style>
  <w:style w:type="character" w:customStyle="1" w:styleId="spelle">
    <w:name w:val="spelle"/>
    <w:basedOn w:val="Domylnaczcionkaakapitu"/>
    <w:rsid w:val="00D929C6"/>
  </w:style>
  <w:style w:type="paragraph" w:customStyle="1" w:styleId="bodytextindent3">
    <w:name w:val="bodytextindent3"/>
    <w:basedOn w:val="Normalny"/>
    <w:rsid w:val="007C37F5"/>
    <w:pPr>
      <w:spacing w:before="100" w:beforeAutospacing="1" w:after="100" w:afterAutospacing="1" w:line="240" w:lineRule="auto"/>
    </w:pPr>
    <w:rPr>
      <w:rFonts w:ascii="Times New Roman" w:hAnsi="Times New Roman"/>
      <w:sz w:val="24"/>
    </w:rPr>
  </w:style>
  <w:style w:type="character" w:customStyle="1" w:styleId="apple-converted-space">
    <w:name w:val="apple-converted-space"/>
    <w:basedOn w:val="Domylnaczcionkaakapitu"/>
    <w:rsid w:val="00455137"/>
  </w:style>
  <w:style w:type="character" w:customStyle="1" w:styleId="value">
    <w:name w:val="value"/>
    <w:basedOn w:val="Domylnaczcionkaakapitu"/>
    <w:rsid w:val="00455137"/>
  </w:style>
  <w:style w:type="character" w:customStyle="1" w:styleId="BezodstpwZnak">
    <w:name w:val="Bez odstępów Znak"/>
    <w:basedOn w:val="Domylnaczcionkaakapitu"/>
    <w:link w:val="Bezodstpw"/>
    <w:rsid w:val="00BD6714"/>
    <w:rPr>
      <w:rFonts w:ascii="Arial" w:hAnsi="Arial"/>
      <w:szCs w:val="24"/>
    </w:rPr>
  </w:style>
  <w:style w:type="numbering" w:customStyle="1" w:styleId="Bezlisty1">
    <w:name w:val="Bez listy1"/>
    <w:next w:val="Bezlisty"/>
    <w:semiHidden/>
    <w:rsid w:val="00CF11BE"/>
  </w:style>
  <w:style w:type="paragraph" w:customStyle="1" w:styleId="Tekstpodstawowy24">
    <w:name w:val="Tekst podstawowy 24"/>
    <w:basedOn w:val="Normalny"/>
    <w:rsid w:val="00CF11BE"/>
    <w:pPr>
      <w:pBdr>
        <w:top w:val="single" w:sz="6" w:space="1" w:color="auto"/>
        <w:bottom w:val="single" w:sz="6" w:space="1" w:color="auto"/>
      </w:pBdr>
      <w:overflowPunct w:val="0"/>
      <w:autoSpaceDE w:val="0"/>
      <w:autoSpaceDN w:val="0"/>
      <w:adjustRightInd w:val="0"/>
      <w:spacing w:line="180" w:lineRule="exact"/>
      <w:textAlignment w:val="baseline"/>
    </w:pPr>
    <w:rPr>
      <w:rFonts w:ascii="Times New Roman" w:hAnsi="Times New Roman"/>
      <w:sz w:val="16"/>
      <w:szCs w:val="20"/>
    </w:rPr>
  </w:style>
  <w:style w:type="paragraph" w:styleId="Spisilustracji">
    <w:name w:val="table of figures"/>
    <w:basedOn w:val="Normalny"/>
    <w:next w:val="Normalny"/>
    <w:uiPriority w:val="99"/>
    <w:rsid w:val="00CF11BE"/>
    <w:pPr>
      <w:overflowPunct w:val="0"/>
      <w:autoSpaceDE w:val="0"/>
      <w:autoSpaceDN w:val="0"/>
      <w:adjustRightInd w:val="0"/>
      <w:spacing w:line="240" w:lineRule="auto"/>
      <w:jc w:val="both"/>
      <w:textAlignment w:val="baseline"/>
    </w:pPr>
    <w:rPr>
      <w:rFonts w:ascii="Times New Roman" w:hAnsi="Times New Roman"/>
      <w:sz w:val="24"/>
      <w:szCs w:val="20"/>
    </w:rPr>
  </w:style>
  <w:style w:type="numbering" w:customStyle="1" w:styleId="Bezlisty2">
    <w:name w:val="Bez listy2"/>
    <w:next w:val="Bezlisty"/>
    <w:semiHidden/>
    <w:rsid w:val="00CF11BE"/>
  </w:style>
  <w:style w:type="table" w:customStyle="1" w:styleId="Tabela-Siatka1">
    <w:name w:val="Tabela - Siatka1"/>
    <w:basedOn w:val="Standardowy"/>
    <w:next w:val="Tabela-Siatka"/>
    <w:rsid w:val="00CF11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rsid w:val="00284C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semiHidden/>
    <w:rsid w:val="00284CBE"/>
  </w:style>
  <w:style w:type="table" w:customStyle="1" w:styleId="Tabela-Siatka3">
    <w:name w:val="Tabela - Siatka3"/>
    <w:basedOn w:val="Standardowy"/>
    <w:next w:val="Tabela-Siatka"/>
    <w:rsid w:val="003A75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3A7545"/>
  </w:style>
  <w:style w:type="table" w:customStyle="1" w:styleId="Tabela-Siatka4">
    <w:name w:val="Tabela - Siatka4"/>
    <w:basedOn w:val="Standardowy"/>
    <w:next w:val="Tabela-Siatka"/>
    <w:rsid w:val="00413F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5">
    <w:name w:val="Bez listy5"/>
    <w:next w:val="Bezlisty"/>
    <w:uiPriority w:val="99"/>
    <w:semiHidden/>
    <w:unhideWhenUsed/>
    <w:rsid w:val="00413F29"/>
  </w:style>
  <w:style w:type="paragraph" w:customStyle="1" w:styleId="PNTekstpodstawowy">
    <w:name w:val="PN Tekst podstawowy"/>
    <w:uiPriority w:val="99"/>
    <w:rsid w:val="00413F29"/>
    <w:pPr>
      <w:spacing w:before="240"/>
    </w:pPr>
    <w:rPr>
      <w:rFonts w:ascii="Arial" w:hAnsi="Arial" w:cs="Arial"/>
      <w:color w:val="000000"/>
    </w:rPr>
  </w:style>
  <w:style w:type="table" w:customStyle="1" w:styleId="Tabela-Siatka5">
    <w:name w:val="Tabela - Siatka5"/>
    <w:basedOn w:val="Standardowy"/>
    <w:next w:val="Tabela-Siatka"/>
    <w:rsid w:val="00F557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kastrtytuowaZnak">
    <w:name w:val="Tabelka_str_tytułowa Znak"/>
    <w:basedOn w:val="Domylnaczcionkaakapitu"/>
    <w:link w:val="Tabelkastrtytuowa"/>
    <w:qFormat/>
    <w:locked/>
    <w:rsid w:val="00B32822"/>
    <w:rPr>
      <w:rFonts w:ascii="Arial" w:hAnsi="Arial" w:cs="Arial"/>
      <w:b/>
      <w:sz w:val="18"/>
      <w:szCs w:val="18"/>
    </w:rPr>
  </w:style>
  <w:style w:type="paragraph" w:customStyle="1" w:styleId="Tabelkastrtytuowa">
    <w:name w:val="Tabelka_str_tytułowa"/>
    <w:basedOn w:val="Normalny"/>
    <w:link w:val="TabelkastrtytuowaZnak"/>
    <w:qFormat/>
    <w:rsid w:val="00B32822"/>
    <w:pPr>
      <w:spacing w:line="240" w:lineRule="auto"/>
      <w:jc w:val="center"/>
    </w:pPr>
    <w:rPr>
      <w:rFonts w:cs="Arial"/>
      <w:b/>
      <w:sz w:val="18"/>
      <w:szCs w:val="18"/>
    </w:rPr>
  </w:style>
  <w:style w:type="paragraph" w:customStyle="1" w:styleId="standardowytekst0">
    <w:name w:val="standardowytekst"/>
    <w:basedOn w:val="Normalny"/>
    <w:rsid w:val="000E22DA"/>
    <w:pPr>
      <w:spacing w:before="100" w:beforeAutospacing="1" w:after="100" w:afterAutospacing="1" w:line="240" w:lineRule="auto"/>
    </w:pPr>
    <w:rPr>
      <w:rFonts w:ascii="Times New Roman" w:hAnsi="Times New Roman"/>
      <w:sz w:val="24"/>
    </w:rPr>
  </w:style>
  <w:style w:type="paragraph" w:customStyle="1" w:styleId="style182">
    <w:name w:val="style182"/>
    <w:basedOn w:val="Normalny"/>
    <w:rsid w:val="008C139F"/>
    <w:pPr>
      <w:spacing w:before="100" w:beforeAutospacing="1" w:after="100" w:afterAutospacing="1" w:line="240" w:lineRule="auto"/>
    </w:pPr>
    <w:rPr>
      <w:rFonts w:ascii="Times New Roman" w:hAnsi="Times New Roman"/>
      <w:sz w:val="24"/>
    </w:rPr>
  </w:style>
  <w:style w:type="character" w:customStyle="1" w:styleId="fontstyle218">
    <w:name w:val="fontstyle218"/>
    <w:basedOn w:val="Domylnaczcionkaakapitu"/>
    <w:rsid w:val="008C139F"/>
  </w:style>
  <w:style w:type="character" w:customStyle="1" w:styleId="fontstyle234">
    <w:name w:val="fontstyle234"/>
    <w:basedOn w:val="Domylnaczcionkaakapitu"/>
    <w:rsid w:val="008C139F"/>
  </w:style>
  <w:style w:type="character" w:customStyle="1" w:styleId="fontstyle25">
    <w:name w:val="fontstyle25"/>
    <w:basedOn w:val="Domylnaczcionkaakapitu"/>
    <w:rsid w:val="008C139F"/>
  </w:style>
  <w:style w:type="paragraph" w:styleId="Zwykytekst">
    <w:name w:val="Plain Text"/>
    <w:basedOn w:val="Normalny"/>
    <w:link w:val="ZwykytekstZnak"/>
    <w:qFormat/>
    <w:rsid w:val="00E6029F"/>
    <w:pPr>
      <w:spacing w:line="240" w:lineRule="auto"/>
    </w:pPr>
    <w:rPr>
      <w:rFonts w:ascii="Courier New" w:hAnsi="Courier New"/>
      <w:sz w:val="24"/>
    </w:rPr>
  </w:style>
  <w:style w:type="character" w:customStyle="1" w:styleId="ZwykytekstZnak">
    <w:name w:val="Zwykły tekst Znak"/>
    <w:basedOn w:val="Domylnaczcionkaakapitu"/>
    <w:link w:val="Zwykytekst"/>
    <w:qFormat/>
    <w:rsid w:val="00E6029F"/>
    <w:rPr>
      <w:rFonts w:ascii="Courier New" w:hAnsi="Courier New"/>
      <w:sz w:val="24"/>
      <w:szCs w:val="24"/>
    </w:rPr>
  </w:style>
  <w:style w:type="paragraph" w:styleId="NormalnyWeb">
    <w:name w:val="Normal (Web)"/>
    <w:basedOn w:val="Normalny"/>
    <w:uiPriority w:val="99"/>
    <w:semiHidden/>
    <w:unhideWhenUsed/>
    <w:rsid w:val="00E6029F"/>
    <w:pPr>
      <w:spacing w:line="240" w:lineRule="auto"/>
    </w:pPr>
    <w:rPr>
      <w:rFonts w:ascii="Times New Roman" w:hAnsi="Times New Roman"/>
      <w:sz w:val="24"/>
    </w:rPr>
  </w:style>
  <w:style w:type="table" w:customStyle="1" w:styleId="TableNormal">
    <w:name w:val="Table Normal"/>
    <w:uiPriority w:val="2"/>
    <w:semiHidden/>
    <w:unhideWhenUsed/>
    <w:qFormat/>
    <w:rsid w:val="009515B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9515B6"/>
    <w:pPr>
      <w:widowControl w:val="0"/>
      <w:autoSpaceDE w:val="0"/>
      <w:autoSpaceDN w:val="0"/>
      <w:spacing w:line="240" w:lineRule="auto"/>
    </w:pPr>
    <w:rPr>
      <w:rFonts w:eastAsia="Arial" w:cs="Arial"/>
      <w:sz w:val="22"/>
      <w:szCs w:val="22"/>
      <w:lang w:eastAsia="en-US"/>
    </w:rPr>
  </w:style>
  <w:style w:type="character" w:customStyle="1" w:styleId="Nagwek9Znak">
    <w:name w:val="Nagłówek 9 Znak"/>
    <w:basedOn w:val="Domylnaczcionkaakapitu"/>
    <w:link w:val="Nagwek9"/>
    <w:uiPriority w:val="9"/>
    <w:rsid w:val="002F4459"/>
    <w:rPr>
      <w:rFonts w:ascii="Arial" w:hAnsi="Arial" w:cs="Arial"/>
      <w:b/>
      <w:szCs w:val="22"/>
    </w:rPr>
  </w:style>
  <w:style w:type="character" w:customStyle="1" w:styleId="Zakotwiczenieprzypisudolnego">
    <w:name w:val="Zakotwiczenie przypisu dolnego"/>
    <w:rsid w:val="002F4459"/>
    <w:rPr>
      <w:vertAlign w:val="superscript"/>
    </w:rPr>
  </w:style>
  <w:style w:type="character" w:customStyle="1" w:styleId="FootnoteCharacters">
    <w:name w:val="Footnote Characters"/>
    <w:semiHidden/>
    <w:qFormat/>
    <w:rsid w:val="002F4459"/>
    <w:rPr>
      <w:vertAlign w:val="superscript"/>
    </w:rPr>
  </w:style>
  <w:style w:type="character" w:customStyle="1" w:styleId="czeinternetowe">
    <w:name w:val="Łącze internetowe"/>
    <w:uiPriority w:val="99"/>
    <w:rsid w:val="002F4459"/>
    <w:rPr>
      <w:color w:val="0000FF"/>
      <w:u w:val="single"/>
    </w:rPr>
  </w:style>
  <w:style w:type="character" w:customStyle="1" w:styleId="EquationCaption">
    <w:name w:val="_Equation Caption"/>
    <w:qFormat/>
    <w:rsid w:val="002F4459"/>
  </w:style>
  <w:style w:type="character" w:customStyle="1" w:styleId="ListLabel1">
    <w:name w:val="ListLabel 1"/>
    <w:qFormat/>
    <w:rsid w:val="002F4459"/>
    <w:rPr>
      <w:rFonts w:cs="Courier New"/>
    </w:rPr>
  </w:style>
  <w:style w:type="character" w:customStyle="1" w:styleId="ListLabel2">
    <w:name w:val="ListLabel 2"/>
    <w:qFormat/>
    <w:rsid w:val="002F4459"/>
    <w:rPr>
      <w:rFonts w:cs="Courier New"/>
    </w:rPr>
  </w:style>
  <w:style w:type="character" w:customStyle="1" w:styleId="ListLabel3">
    <w:name w:val="ListLabel 3"/>
    <w:qFormat/>
    <w:rsid w:val="002F4459"/>
    <w:rPr>
      <w:rFonts w:cs="Courier New"/>
    </w:rPr>
  </w:style>
  <w:style w:type="character" w:customStyle="1" w:styleId="ListLabel4">
    <w:name w:val="ListLabel 4"/>
    <w:qFormat/>
    <w:rsid w:val="002F4459"/>
    <w:rPr>
      <w:rFonts w:cs="Courier New"/>
    </w:rPr>
  </w:style>
  <w:style w:type="character" w:customStyle="1" w:styleId="ListLabel5">
    <w:name w:val="ListLabel 5"/>
    <w:qFormat/>
    <w:rsid w:val="002F4459"/>
    <w:rPr>
      <w:rFonts w:cs="Courier New"/>
    </w:rPr>
  </w:style>
  <w:style w:type="character" w:customStyle="1" w:styleId="ListLabel6">
    <w:name w:val="ListLabel 6"/>
    <w:qFormat/>
    <w:rsid w:val="002F4459"/>
    <w:rPr>
      <w:rFonts w:cs="Times New Roman"/>
    </w:rPr>
  </w:style>
  <w:style w:type="character" w:customStyle="1" w:styleId="ListLabel7">
    <w:name w:val="ListLabel 7"/>
    <w:qFormat/>
    <w:rsid w:val="002F4459"/>
    <w:rPr>
      <w:rFonts w:cs="Courier New"/>
    </w:rPr>
  </w:style>
  <w:style w:type="character" w:customStyle="1" w:styleId="ListLabel8">
    <w:name w:val="ListLabel 8"/>
    <w:qFormat/>
    <w:rsid w:val="002F4459"/>
    <w:rPr>
      <w:rFonts w:cs="Courier New"/>
    </w:rPr>
  </w:style>
  <w:style w:type="character" w:customStyle="1" w:styleId="ListLabel9">
    <w:name w:val="ListLabel 9"/>
    <w:qFormat/>
    <w:rsid w:val="002F4459"/>
    <w:rPr>
      <w:rFonts w:cs="Courier New"/>
    </w:rPr>
  </w:style>
  <w:style w:type="character" w:customStyle="1" w:styleId="ListLabel10">
    <w:name w:val="ListLabel 10"/>
    <w:qFormat/>
    <w:rsid w:val="002F4459"/>
    <w:rPr>
      <w:rFonts w:cs="Times New Roman"/>
    </w:rPr>
  </w:style>
  <w:style w:type="character" w:customStyle="1" w:styleId="ListLabel11">
    <w:name w:val="ListLabel 11"/>
    <w:qFormat/>
    <w:rsid w:val="002F4459"/>
    <w:rPr>
      <w:rFonts w:cs="Courier New"/>
    </w:rPr>
  </w:style>
  <w:style w:type="character" w:customStyle="1" w:styleId="ListLabel12">
    <w:name w:val="ListLabel 12"/>
    <w:qFormat/>
    <w:rsid w:val="002F4459"/>
    <w:rPr>
      <w:rFonts w:cs="Courier New"/>
    </w:rPr>
  </w:style>
  <w:style w:type="character" w:customStyle="1" w:styleId="ListLabel13">
    <w:name w:val="ListLabel 13"/>
    <w:qFormat/>
    <w:rsid w:val="002F4459"/>
    <w:rPr>
      <w:rFonts w:cs="Courier New"/>
    </w:rPr>
  </w:style>
  <w:style w:type="character" w:customStyle="1" w:styleId="ListLabel14">
    <w:name w:val="ListLabel 14"/>
    <w:qFormat/>
    <w:rsid w:val="002F4459"/>
    <w:rPr>
      <w:rFonts w:cs="Times New Roman"/>
    </w:rPr>
  </w:style>
  <w:style w:type="character" w:customStyle="1" w:styleId="ListLabel15">
    <w:name w:val="ListLabel 15"/>
    <w:qFormat/>
    <w:rsid w:val="002F4459"/>
    <w:rPr>
      <w:rFonts w:cs="Times New Roman"/>
    </w:rPr>
  </w:style>
  <w:style w:type="character" w:customStyle="1" w:styleId="ListLabel16">
    <w:name w:val="ListLabel 16"/>
    <w:qFormat/>
    <w:rsid w:val="002F4459"/>
    <w:rPr>
      <w:rFonts w:cs="Courier New"/>
    </w:rPr>
  </w:style>
  <w:style w:type="character" w:customStyle="1" w:styleId="ListLabel17">
    <w:name w:val="ListLabel 17"/>
    <w:qFormat/>
    <w:rsid w:val="002F4459"/>
    <w:rPr>
      <w:rFonts w:cs="Courier New"/>
    </w:rPr>
  </w:style>
  <w:style w:type="character" w:customStyle="1" w:styleId="ListLabel18">
    <w:name w:val="ListLabel 18"/>
    <w:qFormat/>
    <w:rsid w:val="002F4459"/>
    <w:rPr>
      <w:rFonts w:cs="Courier New"/>
    </w:rPr>
  </w:style>
  <w:style w:type="character" w:customStyle="1" w:styleId="ListLabel19">
    <w:name w:val="ListLabel 19"/>
    <w:qFormat/>
    <w:rsid w:val="002F4459"/>
    <w:rPr>
      <w:rFonts w:cs="Times New Roman"/>
    </w:rPr>
  </w:style>
  <w:style w:type="character" w:customStyle="1" w:styleId="ListLabel20">
    <w:name w:val="ListLabel 20"/>
    <w:qFormat/>
    <w:rsid w:val="002F4459"/>
    <w:rPr>
      <w:rFonts w:cs="Courier New"/>
    </w:rPr>
  </w:style>
  <w:style w:type="character" w:customStyle="1" w:styleId="ListLabel21">
    <w:name w:val="ListLabel 21"/>
    <w:qFormat/>
    <w:rsid w:val="002F4459"/>
    <w:rPr>
      <w:rFonts w:cs="Courier New"/>
    </w:rPr>
  </w:style>
  <w:style w:type="character" w:customStyle="1" w:styleId="ListLabel22">
    <w:name w:val="ListLabel 22"/>
    <w:qFormat/>
    <w:rsid w:val="002F4459"/>
    <w:rPr>
      <w:rFonts w:cs="Courier New"/>
    </w:rPr>
  </w:style>
  <w:style w:type="character" w:customStyle="1" w:styleId="ListLabel23">
    <w:name w:val="ListLabel 23"/>
    <w:qFormat/>
    <w:rsid w:val="002F4459"/>
    <w:rPr>
      <w:rFonts w:cs="Times New Roman"/>
    </w:rPr>
  </w:style>
  <w:style w:type="character" w:customStyle="1" w:styleId="ListLabel24">
    <w:name w:val="ListLabel 24"/>
    <w:qFormat/>
    <w:rsid w:val="002F4459"/>
    <w:rPr>
      <w:rFonts w:cs="Courier New"/>
    </w:rPr>
  </w:style>
  <w:style w:type="character" w:customStyle="1" w:styleId="ListLabel25">
    <w:name w:val="ListLabel 25"/>
    <w:qFormat/>
    <w:rsid w:val="002F4459"/>
    <w:rPr>
      <w:rFonts w:cs="Courier New"/>
    </w:rPr>
  </w:style>
  <w:style w:type="character" w:customStyle="1" w:styleId="ListLabel26">
    <w:name w:val="ListLabel 26"/>
    <w:qFormat/>
    <w:rsid w:val="002F4459"/>
    <w:rPr>
      <w:rFonts w:cs="Courier New"/>
    </w:rPr>
  </w:style>
  <w:style w:type="character" w:customStyle="1" w:styleId="ListLabel27">
    <w:name w:val="ListLabel 27"/>
    <w:qFormat/>
    <w:rsid w:val="002F4459"/>
    <w:rPr>
      <w:rFonts w:cs="Times New Roman"/>
    </w:rPr>
  </w:style>
  <w:style w:type="character" w:customStyle="1" w:styleId="ListLabel28">
    <w:name w:val="ListLabel 28"/>
    <w:qFormat/>
    <w:rsid w:val="002F4459"/>
    <w:rPr>
      <w:rFonts w:cs="Courier New"/>
    </w:rPr>
  </w:style>
  <w:style w:type="character" w:customStyle="1" w:styleId="ListLabel29">
    <w:name w:val="ListLabel 29"/>
    <w:qFormat/>
    <w:rsid w:val="002F4459"/>
    <w:rPr>
      <w:rFonts w:cs="Courier New"/>
    </w:rPr>
  </w:style>
  <w:style w:type="character" w:customStyle="1" w:styleId="ListLabel30">
    <w:name w:val="ListLabel 30"/>
    <w:qFormat/>
    <w:rsid w:val="002F4459"/>
    <w:rPr>
      <w:rFonts w:cs="Courier New"/>
    </w:rPr>
  </w:style>
  <w:style w:type="character" w:customStyle="1" w:styleId="ListLabel31">
    <w:name w:val="ListLabel 31"/>
    <w:qFormat/>
    <w:rsid w:val="002F4459"/>
    <w:rPr>
      <w:rFonts w:cs="Times New Roman"/>
    </w:rPr>
  </w:style>
  <w:style w:type="character" w:customStyle="1" w:styleId="ListLabel32">
    <w:name w:val="ListLabel 32"/>
    <w:qFormat/>
    <w:rsid w:val="002F4459"/>
    <w:rPr>
      <w:rFonts w:cs="Courier New"/>
    </w:rPr>
  </w:style>
  <w:style w:type="character" w:customStyle="1" w:styleId="ListLabel33">
    <w:name w:val="ListLabel 33"/>
    <w:qFormat/>
    <w:rsid w:val="002F4459"/>
    <w:rPr>
      <w:rFonts w:cs="Courier New"/>
    </w:rPr>
  </w:style>
  <w:style w:type="character" w:customStyle="1" w:styleId="ListLabel34">
    <w:name w:val="ListLabel 34"/>
    <w:qFormat/>
    <w:rsid w:val="002F4459"/>
    <w:rPr>
      <w:rFonts w:cs="Courier New"/>
    </w:rPr>
  </w:style>
  <w:style w:type="character" w:customStyle="1" w:styleId="ListLabel35">
    <w:name w:val="ListLabel 35"/>
    <w:qFormat/>
    <w:rsid w:val="002F4459"/>
    <w:rPr>
      <w:rFonts w:cs="Times New Roman"/>
    </w:rPr>
  </w:style>
  <w:style w:type="character" w:customStyle="1" w:styleId="ListLabel36">
    <w:name w:val="ListLabel 36"/>
    <w:qFormat/>
    <w:rsid w:val="002F4459"/>
    <w:rPr>
      <w:rFonts w:cs="Courier New"/>
    </w:rPr>
  </w:style>
  <w:style w:type="character" w:customStyle="1" w:styleId="ListLabel37">
    <w:name w:val="ListLabel 37"/>
    <w:qFormat/>
    <w:rsid w:val="002F4459"/>
    <w:rPr>
      <w:rFonts w:cs="Courier New"/>
    </w:rPr>
  </w:style>
  <w:style w:type="character" w:customStyle="1" w:styleId="ListLabel38">
    <w:name w:val="ListLabel 38"/>
    <w:qFormat/>
    <w:rsid w:val="002F4459"/>
    <w:rPr>
      <w:rFonts w:cs="Courier New"/>
    </w:rPr>
  </w:style>
  <w:style w:type="character" w:customStyle="1" w:styleId="ListLabel39">
    <w:name w:val="ListLabel 39"/>
    <w:qFormat/>
    <w:rsid w:val="002F4459"/>
    <w:rPr>
      <w:rFonts w:cs="Times New Roman"/>
    </w:rPr>
  </w:style>
  <w:style w:type="character" w:customStyle="1" w:styleId="ListLabel40">
    <w:name w:val="ListLabel 40"/>
    <w:qFormat/>
    <w:rsid w:val="002F4459"/>
    <w:rPr>
      <w:rFonts w:cs="Courier New"/>
    </w:rPr>
  </w:style>
  <w:style w:type="character" w:customStyle="1" w:styleId="ListLabel41">
    <w:name w:val="ListLabel 41"/>
    <w:qFormat/>
    <w:rsid w:val="002F4459"/>
    <w:rPr>
      <w:rFonts w:cs="Courier New"/>
    </w:rPr>
  </w:style>
  <w:style w:type="character" w:customStyle="1" w:styleId="ListLabel42">
    <w:name w:val="ListLabel 42"/>
    <w:qFormat/>
    <w:rsid w:val="002F4459"/>
    <w:rPr>
      <w:rFonts w:cs="Courier New"/>
    </w:rPr>
  </w:style>
  <w:style w:type="character" w:customStyle="1" w:styleId="ListLabel43">
    <w:name w:val="ListLabel 43"/>
    <w:qFormat/>
    <w:rsid w:val="002F4459"/>
    <w:rPr>
      <w:rFonts w:cs="Times New Roman"/>
    </w:rPr>
  </w:style>
  <w:style w:type="character" w:customStyle="1" w:styleId="ListLabel44">
    <w:name w:val="ListLabel 44"/>
    <w:qFormat/>
    <w:rsid w:val="002F4459"/>
    <w:rPr>
      <w:rFonts w:cs="Courier New"/>
    </w:rPr>
  </w:style>
  <w:style w:type="character" w:customStyle="1" w:styleId="ListLabel45">
    <w:name w:val="ListLabel 45"/>
    <w:qFormat/>
    <w:rsid w:val="002F4459"/>
    <w:rPr>
      <w:rFonts w:cs="Courier New"/>
    </w:rPr>
  </w:style>
  <w:style w:type="character" w:customStyle="1" w:styleId="ListLabel46">
    <w:name w:val="ListLabel 46"/>
    <w:qFormat/>
    <w:rsid w:val="002F4459"/>
    <w:rPr>
      <w:rFonts w:cs="Courier New"/>
    </w:rPr>
  </w:style>
  <w:style w:type="character" w:customStyle="1" w:styleId="ListLabel47">
    <w:name w:val="ListLabel 47"/>
    <w:qFormat/>
    <w:rsid w:val="002F4459"/>
    <w:rPr>
      <w:rFonts w:cs="Times New Roman"/>
    </w:rPr>
  </w:style>
  <w:style w:type="character" w:customStyle="1" w:styleId="ListLabel48">
    <w:name w:val="ListLabel 48"/>
    <w:qFormat/>
    <w:rsid w:val="002F4459"/>
    <w:rPr>
      <w:rFonts w:cs="Courier New"/>
    </w:rPr>
  </w:style>
  <w:style w:type="character" w:customStyle="1" w:styleId="ListLabel49">
    <w:name w:val="ListLabel 49"/>
    <w:qFormat/>
    <w:rsid w:val="002F4459"/>
    <w:rPr>
      <w:rFonts w:cs="Courier New"/>
    </w:rPr>
  </w:style>
  <w:style w:type="character" w:customStyle="1" w:styleId="ListLabel50">
    <w:name w:val="ListLabel 50"/>
    <w:qFormat/>
    <w:rsid w:val="002F4459"/>
    <w:rPr>
      <w:rFonts w:cs="Courier New"/>
    </w:rPr>
  </w:style>
  <w:style w:type="character" w:customStyle="1" w:styleId="ListLabel51">
    <w:name w:val="ListLabel 51"/>
    <w:qFormat/>
    <w:rsid w:val="002F4459"/>
    <w:rPr>
      <w:rFonts w:cs="Times New Roman"/>
    </w:rPr>
  </w:style>
  <w:style w:type="character" w:customStyle="1" w:styleId="ListLabel52">
    <w:name w:val="ListLabel 52"/>
    <w:qFormat/>
    <w:rsid w:val="002F4459"/>
    <w:rPr>
      <w:rFonts w:cs="Courier New"/>
    </w:rPr>
  </w:style>
  <w:style w:type="character" w:customStyle="1" w:styleId="ListLabel53">
    <w:name w:val="ListLabel 53"/>
    <w:qFormat/>
    <w:rsid w:val="002F4459"/>
    <w:rPr>
      <w:rFonts w:cs="Courier New"/>
    </w:rPr>
  </w:style>
  <w:style w:type="character" w:customStyle="1" w:styleId="ListLabel54">
    <w:name w:val="ListLabel 54"/>
    <w:qFormat/>
    <w:rsid w:val="002F4459"/>
    <w:rPr>
      <w:rFonts w:cs="Courier New"/>
    </w:rPr>
  </w:style>
  <w:style w:type="character" w:customStyle="1" w:styleId="ListLabel55">
    <w:name w:val="ListLabel 55"/>
    <w:qFormat/>
    <w:rsid w:val="002F4459"/>
    <w:rPr>
      <w:rFonts w:cs="Times New Roman"/>
    </w:rPr>
  </w:style>
  <w:style w:type="character" w:customStyle="1" w:styleId="ListLabel56">
    <w:name w:val="ListLabel 56"/>
    <w:qFormat/>
    <w:rsid w:val="002F4459"/>
    <w:rPr>
      <w:rFonts w:cs="Courier New"/>
    </w:rPr>
  </w:style>
  <w:style w:type="character" w:customStyle="1" w:styleId="ListLabel57">
    <w:name w:val="ListLabel 57"/>
    <w:qFormat/>
    <w:rsid w:val="002F4459"/>
    <w:rPr>
      <w:rFonts w:cs="Courier New"/>
    </w:rPr>
  </w:style>
  <w:style w:type="character" w:customStyle="1" w:styleId="ListLabel58">
    <w:name w:val="ListLabel 58"/>
    <w:qFormat/>
    <w:rsid w:val="002F4459"/>
    <w:rPr>
      <w:rFonts w:cs="Courier New"/>
    </w:rPr>
  </w:style>
  <w:style w:type="character" w:customStyle="1" w:styleId="ListLabel59">
    <w:name w:val="ListLabel 59"/>
    <w:qFormat/>
    <w:rsid w:val="002F4459"/>
    <w:rPr>
      <w:rFonts w:cs="Times New Roman"/>
    </w:rPr>
  </w:style>
  <w:style w:type="character" w:customStyle="1" w:styleId="ListLabel60">
    <w:name w:val="ListLabel 60"/>
    <w:qFormat/>
    <w:rsid w:val="002F4459"/>
    <w:rPr>
      <w:rFonts w:cs="Courier New"/>
    </w:rPr>
  </w:style>
  <w:style w:type="character" w:customStyle="1" w:styleId="ListLabel61">
    <w:name w:val="ListLabel 61"/>
    <w:qFormat/>
    <w:rsid w:val="002F4459"/>
    <w:rPr>
      <w:rFonts w:cs="Courier New"/>
    </w:rPr>
  </w:style>
  <w:style w:type="character" w:customStyle="1" w:styleId="ListLabel62">
    <w:name w:val="ListLabel 62"/>
    <w:qFormat/>
    <w:rsid w:val="002F4459"/>
    <w:rPr>
      <w:rFonts w:cs="Courier New"/>
    </w:rPr>
  </w:style>
  <w:style w:type="character" w:customStyle="1" w:styleId="ListLabel63">
    <w:name w:val="ListLabel 63"/>
    <w:qFormat/>
    <w:rsid w:val="002F4459"/>
    <w:rPr>
      <w:rFonts w:cs="Times New Roman"/>
    </w:rPr>
  </w:style>
  <w:style w:type="character" w:customStyle="1" w:styleId="ListLabel64">
    <w:name w:val="ListLabel 64"/>
    <w:qFormat/>
    <w:rsid w:val="002F4459"/>
    <w:rPr>
      <w:rFonts w:cs="Courier New"/>
    </w:rPr>
  </w:style>
  <w:style w:type="character" w:customStyle="1" w:styleId="ListLabel65">
    <w:name w:val="ListLabel 65"/>
    <w:qFormat/>
    <w:rsid w:val="002F4459"/>
    <w:rPr>
      <w:rFonts w:cs="Courier New"/>
    </w:rPr>
  </w:style>
  <w:style w:type="character" w:customStyle="1" w:styleId="ListLabel66">
    <w:name w:val="ListLabel 66"/>
    <w:qFormat/>
    <w:rsid w:val="002F4459"/>
    <w:rPr>
      <w:rFonts w:cs="Courier New"/>
    </w:rPr>
  </w:style>
  <w:style w:type="character" w:customStyle="1" w:styleId="ListLabel67">
    <w:name w:val="ListLabel 67"/>
    <w:qFormat/>
    <w:rsid w:val="002F4459"/>
    <w:rPr>
      <w:rFonts w:cs="Times New Roman"/>
    </w:rPr>
  </w:style>
  <w:style w:type="character" w:customStyle="1" w:styleId="ListLabel68">
    <w:name w:val="ListLabel 68"/>
    <w:qFormat/>
    <w:rsid w:val="002F4459"/>
    <w:rPr>
      <w:rFonts w:cs="Courier New"/>
    </w:rPr>
  </w:style>
  <w:style w:type="character" w:customStyle="1" w:styleId="ListLabel69">
    <w:name w:val="ListLabel 69"/>
    <w:qFormat/>
    <w:rsid w:val="002F4459"/>
    <w:rPr>
      <w:rFonts w:cs="Courier New"/>
    </w:rPr>
  </w:style>
  <w:style w:type="character" w:customStyle="1" w:styleId="ListLabel70">
    <w:name w:val="ListLabel 70"/>
    <w:qFormat/>
    <w:rsid w:val="002F4459"/>
    <w:rPr>
      <w:rFonts w:cs="Courier New"/>
    </w:rPr>
  </w:style>
  <w:style w:type="character" w:customStyle="1" w:styleId="ListLabel71">
    <w:name w:val="ListLabel 71"/>
    <w:qFormat/>
    <w:rsid w:val="002F4459"/>
    <w:rPr>
      <w:rFonts w:cs="Times New Roman"/>
      <w:b/>
    </w:rPr>
  </w:style>
  <w:style w:type="character" w:customStyle="1" w:styleId="ListLabel72">
    <w:name w:val="ListLabel 72"/>
    <w:qFormat/>
    <w:rsid w:val="002F4459"/>
    <w:rPr>
      <w:rFonts w:cs="Courier New"/>
    </w:rPr>
  </w:style>
  <w:style w:type="character" w:customStyle="1" w:styleId="ListLabel73">
    <w:name w:val="ListLabel 73"/>
    <w:qFormat/>
    <w:rsid w:val="002F4459"/>
    <w:rPr>
      <w:rFonts w:cs="Courier New"/>
    </w:rPr>
  </w:style>
  <w:style w:type="character" w:customStyle="1" w:styleId="ListLabel74">
    <w:name w:val="ListLabel 74"/>
    <w:qFormat/>
    <w:rsid w:val="002F4459"/>
    <w:rPr>
      <w:rFonts w:cs="Courier New"/>
    </w:rPr>
  </w:style>
  <w:style w:type="character" w:customStyle="1" w:styleId="ListLabel75">
    <w:name w:val="ListLabel 75"/>
    <w:qFormat/>
    <w:rsid w:val="002F4459"/>
    <w:rPr>
      <w:rFonts w:cs="Times New Roman"/>
    </w:rPr>
  </w:style>
  <w:style w:type="character" w:customStyle="1" w:styleId="ListLabel76">
    <w:name w:val="ListLabel 76"/>
    <w:qFormat/>
    <w:rsid w:val="002F4459"/>
    <w:rPr>
      <w:rFonts w:cs="Courier New"/>
    </w:rPr>
  </w:style>
  <w:style w:type="character" w:customStyle="1" w:styleId="ListLabel77">
    <w:name w:val="ListLabel 77"/>
    <w:qFormat/>
    <w:rsid w:val="002F4459"/>
    <w:rPr>
      <w:rFonts w:cs="Courier New"/>
    </w:rPr>
  </w:style>
  <w:style w:type="character" w:customStyle="1" w:styleId="ListLabel78">
    <w:name w:val="ListLabel 78"/>
    <w:qFormat/>
    <w:rsid w:val="002F4459"/>
    <w:rPr>
      <w:rFonts w:cs="Courier New"/>
    </w:rPr>
  </w:style>
  <w:style w:type="character" w:customStyle="1" w:styleId="ListLabel79">
    <w:name w:val="ListLabel 79"/>
    <w:qFormat/>
    <w:rsid w:val="002F4459"/>
    <w:rPr>
      <w:rFonts w:cs="Times New Roman"/>
    </w:rPr>
  </w:style>
  <w:style w:type="character" w:customStyle="1" w:styleId="ListLabel80">
    <w:name w:val="ListLabel 80"/>
    <w:qFormat/>
    <w:rsid w:val="002F4459"/>
    <w:rPr>
      <w:rFonts w:cs="Courier New"/>
    </w:rPr>
  </w:style>
  <w:style w:type="character" w:customStyle="1" w:styleId="ListLabel81">
    <w:name w:val="ListLabel 81"/>
    <w:qFormat/>
    <w:rsid w:val="002F4459"/>
    <w:rPr>
      <w:rFonts w:cs="Courier New"/>
    </w:rPr>
  </w:style>
  <w:style w:type="character" w:customStyle="1" w:styleId="ListLabel82">
    <w:name w:val="ListLabel 82"/>
    <w:qFormat/>
    <w:rsid w:val="002F4459"/>
    <w:rPr>
      <w:rFonts w:cs="Courier New"/>
    </w:rPr>
  </w:style>
  <w:style w:type="character" w:customStyle="1" w:styleId="ListLabel83">
    <w:name w:val="ListLabel 83"/>
    <w:qFormat/>
    <w:rsid w:val="002F4459"/>
    <w:rPr>
      <w:rFonts w:cs="Times New Roman"/>
    </w:rPr>
  </w:style>
  <w:style w:type="character" w:customStyle="1" w:styleId="ListLabel84">
    <w:name w:val="ListLabel 84"/>
    <w:qFormat/>
    <w:rsid w:val="002F4459"/>
    <w:rPr>
      <w:rFonts w:cs="Courier New"/>
    </w:rPr>
  </w:style>
  <w:style w:type="character" w:customStyle="1" w:styleId="ListLabel85">
    <w:name w:val="ListLabel 85"/>
    <w:qFormat/>
    <w:rsid w:val="002F4459"/>
    <w:rPr>
      <w:rFonts w:cs="Courier New"/>
    </w:rPr>
  </w:style>
  <w:style w:type="character" w:customStyle="1" w:styleId="ListLabel86">
    <w:name w:val="ListLabel 86"/>
    <w:qFormat/>
    <w:rsid w:val="002F4459"/>
    <w:rPr>
      <w:rFonts w:cs="Courier New"/>
    </w:rPr>
  </w:style>
  <w:style w:type="character" w:customStyle="1" w:styleId="ListLabel87">
    <w:name w:val="ListLabel 87"/>
    <w:qFormat/>
    <w:rsid w:val="002F4459"/>
    <w:rPr>
      <w:rFonts w:eastAsia="Times New Roman" w:cs="Times New Roman"/>
    </w:rPr>
  </w:style>
  <w:style w:type="character" w:customStyle="1" w:styleId="ListLabel88">
    <w:name w:val="ListLabel 88"/>
    <w:qFormat/>
    <w:rsid w:val="002F4459"/>
    <w:rPr>
      <w:color w:val="auto"/>
    </w:rPr>
  </w:style>
  <w:style w:type="character" w:customStyle="1" w:styleId="ListLabel89">
    <w:name w:val="ListLabel 89"/>
    <w:qFormat/>
    <w:rsid w:val="002F4459"/>
    <w:rPr>
      <w:effect w:val="none"/>
    </w:rPr>
  </w:style>
  <w:style w:type="character" w:customStyle="1" w:styleId="ListLabel90">
    <w:name w:val="ListLabel 90"/>
    <w:qFormat/>
    <w:rsid w:val="002F4459"/>
    <w:rPr>
      <w:rFonts w:cs="Times New Roman"/>
      <w:b/>
    </w:rPr>
  </w:style>
  <w:style w:type="character" w:customStyle="1" w:styleId="ListLabel91">
    <w:name w:val="ListLabel 91"/>
    <w:qFormat/>
    <w:rsid w:val="002F4459"/>
    <w:rPr>
      <w:rFonts w:cs="Times New Roman"/>
    </w:rPr>
  </w:style>
  <w:style w:type="character" w:customStyle="1" w:styleId="ListLabel92">
    <w:name w:val="ListLabel 92"/>
    <w:qFormat/>
    <w:rsid w:val="002F4459"/>
    <w:rPr>
      <w:rFonts w:cs="Times New Roman"/>
    </w:rPr>
  </w:style>
  <w:style w:type="character" w:customStyle="1" w:styleId="ListLabel93">
    <w:name w:val="ListLabel 93"/>
    <w:qFormat/>
    <w:rsid w:val="002F4459"/>
    <w:rPr>
      <w:rFonts w:cs="Courier New"/>
    </w:rPr>
  </w:style>
  <w:style w:type="character" w:customStyle="1" w:styleId="ListLabel94">
    <w:name w:val="ListLabel 94"/>
    <w:qFormat/>
    <w:rsid w:val="002F4459"/>
    <w:rPr>
      <w:rFonts w:cs="Courier New"/>
    </w:rPr>
  </w:style>
  <w:style w:type="character" w:customStyle="1" w:styleId="ListLabel95">
    <w:name w:val="ListLabel 95"/>
    <w:qFormat/>
    <w:rsid w:val="002F4459"/>
    <w:rPr>
      <w:rFonts w:cs="Courier New"/>
    </w:rPr>
  </w:style>
  <w:style w:type="character" w:customStyle="1" w:styleId="ListLabel96">
    <w:name w:val="ListLabel 96"/>
    <w:qFormat/>
    <w:rsid w:val="002F4459"/>
    <w:rPr>
      <w:rFonts w:cs="Times New Roman"/>
    </w:rPr>
  </w:style>
  <w:style w:type="character" w:customStyle="1" w:styleId="ListLabel97">
    <w:name w:val="ListLabel 97"/>
    <w:qFormat/>
    <w:rsid w:val="002F4459"/>
    <w:rPr>
      <w:rFonts w:cs="Courier New"/>
    </w:rPr>
  </w:style>
  <w:style w:type="character" w:customStyle="1" w:styleId="ListLabel98">
    <w:name w:val="ListLabel 98"/>
    <w:qFormat/>
    <w:rsid w:val="002F4459"/>
    <w:rPr>
      <w:rFonts w:cs="Courier New"/>
    </w:rPr>
  </w:style>
  <w:style w:type="character" w:customStyle="1" w:styleId="ListLabel99">
    <w:name w:val="ListLabel 99"/>
    <w:qFormat/>
    <w:rsid w:val="002F4459"/>
    <w:rPr>
      <w:rFonts w:cs="Courier New"/>
    </w:rPr>
  </w:style>
  <w:style w:type="character" w:customStyle="1" w:styleId="ListLabel100">
    <w:name w:val="ListLabel 100"/>
    <w:qFormat/>
    <w:rsid w:val="002F4459"/>
    <w:rPr>
      <w:rFonts w:cs="Times New Roman"/>
    </w:rPr>
  </w:style>
  <w:style w:type="character" w:customStyle="1" w:styleId="ListLabel101">
    <w:name w:val="ListLabel 101"/>
    <w:qFormat/>
    <w:rsid w:val="002F4459"/>
    <w:rPr>
      <w:rFonts w:cs="Courier New"/>
    </w:rPr>
  </w:style>
  <w:style w:type="character" w:customStyle="1" w:styleId="ListLabel102">
    <w:name w:val="ListLabel 102"/>
    <w:qFormat/>
    <w:rsid w:val="002F4459"/>
    <w:rPr>
      <w:rFonts w:cs="Courier New"/>
    </w:rPr>
  </w:style>
  <w:style w:type="character" w:customStyle="1" w:styleId="ListLabel103">
    <w:name w:val="ListLabel 103"/>
    <w:qFormat/>
    <w:rsid w:val="002F4459"/>
    <w:rPr>
      <w:rFonts w:cs="Courier New"/>
    </w:rPr>
  </w:style>
  <w:style w:type="character" w:customStyle="1" w:styleId="ListLabel104">
    <w:name w:val="ListLabel 104"/>
    <w:qFormat/>
    <w:rsid w:val="002F4459"/>
    <w:rPr>
      <w:rFonts w:cs="Times New Roman"/>
    </w:rPr>
  </w:style>
  <w:style w:type="character" w:customStyle="1" w:styleId="ListLabel105">
    <w:name w:val="ListLabel 105"/>
    <w:qFormat/>
    <w:rsid w:val="002F4459"/>
    <w:rPr>
      <w:rFonts w:cs="Times New Roman"/>
    </w:rPr>
  </w:style>
  <w:style w:type="character" w:customStyle="1" w:styleId="ListLabel106">
    <w:name w:val="ListLabel 106"/>
    <w:qFormat/>
    <w:rsid w:val="002F4459"/>
    <w:rPr>
      <w:rFonts w:cs="Courier New"/>
    </w:rPr>
  </w:style>
  <w:style w:type="character" w:customStyle="1" w:styleId="ListLabel107">
    <w:name w:val="ListLabel 107"/>
    <w:qFormat/>
    <w:rsid w:val="002F4459"/>
    <w:rPr>
      <w:rFonts w:cs="Courier New"/>
    </w:rPr>
  </w:style>
  <w:style w:type="character" w:customStyle="1" w:styleId="ListLabel108">
    <w:name w:val="ListLabel 108"/>
    <w:qFormat/>
    <w:rsid w:val="002F4459"/>
    <w:rPr>
      <w:rFonts w:cs="Times New Roman"/>
    </w:rPr>
  </w:style>
  <w:style w:type="character" w:customStyle="1" w:styleId="ListLabel109">
    <w:name w:val="ListLabel 109"/>
    <w:qFormat/>
    <w:rsid w:val="002F4459"/>
    <w:rPr>
      <w:rFonts w:cs="Courier New"/>
    </w:rPr>
  </w:style>
  <w:style w:type="character" w:customStyle="1" w:styleId="ListLabel110">
    <w:name w:val="ListLabel 110"/>
    <w:qFormat/>
    <w:rsid w:val="002F4459"/>
    <w:rPr>
      <w:rFonts w:cs="Courier New"/>
    </w:rPr>
  </w:style>
  <w:style w:type="character" w:customStyle="1" w:styleId="ListLabel111">
    <w:name w:val="ListLabel 111"/>
    <w:qFormat/>
    <w:rsid w:val="002F4459"/>
    <w:rPr>
      <w:rFonts w:cs="Courier New"/>
    </w:rPr>
  </w:style>
  <w:style w:type="character" w:customStyle="1" w:styleId="ListLabel112">
    <w:name w:val="ListLabel 112"/>
    <w:qFormat/>
    <w:rsid w:val="002F4459"/>
    <w:rPr>
      <w:rFonts w:cs="Times New Roman"/>
    </w:rPr>
  </w:style>
  <w:style w:type="character" w:customStyle="1" w:styleId="ListLabel113">
    <w:name w:val="ListLabel 113"/>
    <w:qFormat/>
    <w:rsid w:val="002F4459"/>
    <w:rPr>
      <w:rFonts w:cs="Courier New"/>
    </w:rPr>
  </w:style>
  <w:style w:type="character" w:customStyle="1" w:styleId="ListLabel114">
    <w:name w:val="ListLabel 114"/>
    <w:qFormat/>
    <w:rsid w:val="002F4459"/>
    <w:rPr>
      <w:rFonts w:cs="Courier New"/>
    </w:rPr>
  </w:style>
  <w:style w:type="character" w:customStyle="1" w:styleId="ListLabel115">
    <w:name w:val="ListLabel 115"/>
    <w:qFormat/>
    <w:rsid w:val="002F4459"/>
    <w:rPr>
      <w:rFonts w:cs="Courier New"/>
    </w:rPr>
  </w:style>
  <w:style w:type="character" w:customStyle="1" w:styleId="ListLabel116">
    <w:name w:val="ListLabel 116"/>
    <w:qFormat/>
    <w:rsid w:val="002F4459"/>
    <w:rPr>
      <w:rFonts w:cs="Times New Roman"/>
    </w:rPr>
  </w:style>
  <w:style w:type="character" w:customStyle="1" w:styleId="ListLabel117">
    <w:name w:val="ListLabel 117"/>
    <w:qFormat/>
    <w:rsid w:val="002F4459"/>
    <w:rPr>
      <w:rFonts w:cs="Courier New"/>
    </w:rPr>
  </w:style>
  <w:style w:type="character" w:customStyle="1" w:styleId="ListLabel118">
    <w:name w:val="ListLabel 118"/>
    <w:qFormat/>
    <w:rsid w:val="002F4459"/>
    <w:rPr>
      <w:rFonts w:cs="Courier New"/>
    </w:rPr>
  </w:style>
  <w:style w:type="character" w:customStyle="1" w:styleId="ListLabel119">
    <w:name w:val="ListLabel 119"/>
    <w:qFormat/>
    <w:rsid w:val="002F4459"/>
    <w:rPr>
      <w:rFonts w:cs="Courier New"/>
    </w:rPr>
  </w:style>
  <w:style w:type="character" w:customStyle="1" w:styleId="ListLabel120">
    <w:name w:val="ListLabel 120"/>
    <w:qFormat/>
    <w:rsid w:val="002F4459"/>
    <w:rPr>
      <w:rFonts w:cs="Times New Roman"/>
    </w:rPr>
  </w:style>
  <w:style w:type="character" w:customStyle="1" w:styleId="ListLabel121">
    <w:name w:val="ListLabel 121"/>
    <w:qFormat/>
    <w:rsid w:val="002F4459"/>
    <w:rPr>
      <w:rFonts w:cs="Courier New"/>
    </w:rPr>
  </w:style>
  <w:style w:type="character" w:customStyle="1" w:styleId="ListLabel122">
    <w:name w:val="ListLabel 122"/>
    <w:qFormat/>
    <w:rsid w:val="002F4459"/>
    <w:rPr>
      <w:rFonts w:cs="Courier New"/>
    </w:rPr>
  </w:style>
  <w:style w:type="character" w:customStyle="1" w:styleId="ListLabel123">
    <w:name w:val="ListLabel 123"/>
    <w:qFormat/>
    <w:rsid w:val="002F4459"/>
    <w:rPr>
      <w:rFonts w:cs="Courier New"/>
    </w:rPr>
  </w:style>
  <w:style w:type="character" w:customStyle="1" w:styleId="ListLabel124">
    <w:name w:val="ListLabel 124"/>
    <w:qFormat/>
    <w:rsid w:val="002F4459"/>
    <w:rPr>
      <w:rFonts w:cs="Times New Roman"/>
      <w:sz w:val="16"/>
    </w:rPr>
  </w:style>
  <w:style w:type="character" w:customStyle="1" w:styleId="ListLabel125">
    <w:name w:val="ListLabel 125"/>
    <w:qFormat/>
    <w:rsid w:val="002F4459"/>
    <w:rPr>
      <w:rFonts w:cs="Courier New"/>
    </w:rPr>
  </w:style>
  <w:style w:type="character" w:customStyle="1" w:styleId="ListLabel126">
    <w:name w:val="ListLabel 126"/>
    <w:qFormat/>
    <w:rsid w:val="002F4459"/>
    <w:rPr>
      <w:rFonts w:cs="Courier New"/>
    </w:rPr>
  </w:style>
  <w:style w:type="character" w:customStyle="1" w:styleId="ListLabel127">
    <w:name w:val="ListLabel 127"/>
    <w:qFormat/>
    <w:rsid w:val="002F4459"/>
    <w:rPr>
      <w:rFonts w:cs="Courier New"/>
    </w:rPr>
  </w:style>
  <w:style w:type="character" w:customStyle="1" w:styleId="ListLabel128">
    <w:name w:val="ListLabel 128"/>
    <w:qFormat/>
    <w:rsid w:val="002F4459"/>
    <w:rPr>
      <w:rFonts w:cs="Times New Roman"/>
    </w:rPr>
  </w:style>
  <w:style w:type="character" w:customStyle="1" w:styleId="ListLabel129">
    <w:name w:val="ListLabel 129"/>
    <w:qFormat/>
    <w:rsid w:val="002F4459"/>
    <w:rPr>
      <w:rFonts w:cs="Courier New"/>
    </w:rPr>
  </w:style>
  <w:style w:type="character" w:customStyle="1" w:styleId="ListLabel130">
    <w:name w:val="ListLabel 130"/>
    <w:qFormat/>
    <w:rsid w:val="002F4459"/>
    <w:rPr>
      <w:rFonts w:cs="Courier New"/>
    </w:rPr>
  </w:style>
  <w:style w:type="character" w:customStyle="1" w:styleId="ListLabel131">
    <w:name w:val="ListLabel 131"/>
    <w:qFormat/>
    <w:rsid w:val="002F4459"/>
    <w:rPr>
      <w:rFonts w:cs="Courier New"/>
    </w:rPr>
  </w:style>
  <w:style w:type="character" w:customStyle="1" w:styleId="ListLabel132">
    <w:name w:val="ListLabel 132"/>
    <w:qFormat/>
    <w:rsid w:val="002F4459"/>
    <w:rPr>
      <w:rFonts w:cs="Times New Roman"/>
    </w:rPr>
  </w:style>
  <w:style w:type="character" w:customStyle="1" w:styleId="ListLabel133">
    <w:name w:val="ListLabel 133"/>
    <w:qFormat/>
    <w:rsid w:val="002F4459"/>
    <w:rPr>
      <w:rFonts w:cs="Courier New"/>
    </w:rPr>
  </w:style>
  <w:style w:type="character" w:customStyle="1" w:styleId="ListLabel134">
    <w:name w:val="ListLabel 134"/>
    <w:qFormat/>
    <w:rsid w:val="002F4459"/>
    <w:rPr>
      <w:rFonts w:cs="Courier New"/>
    </w:rPr>
  </w:style>
  <w:style w:type="character" w:customStyle="1" w:styleId="ListLabel135">
    <w:name w:val="ListLabel 135"/>
    <w:qFormat/>
    <w:rsid w:val="002F4459"/>
    <w:rPr>
      <w:rFonts w:cs="Courier New"/>
    </w:rPr>
  </w:style>
  <w:style w:type="character" w:customStyle="1" w:styleId="ListLabel136">
    <w:name w:val="ListLabel 136"/>
    <w:qFormat/>
    <w:rsid w:val="002F4459"/>
    <w:rPr>
      <w:rFonts w:cs="Times New Roman"/>
    </w:rPr>
  </w:style>
  <w:style w:type="character" w:customStyle="1" w:styleId="ListLabel137">
    <w:name w:val="ListLabel 137"/>
    <w:qFormat/>
    <w:rsid w:val="002F4459"/>
    <w:rPr>
      <w:rFonts w:cs="Courier New"/>
    </w:rPr>
  </w:style>
  <w:style w:type="character" w:customStyle="1" w:styleId="ListLabel138">
    <w:name w:val="ListLabel 138"/>
    <w:qFormat/>
    <w:rsid w:val="002F4459"/>
    <w:rPr>
      <w:rFonts w:cs="Courier New"/>
    </w:rPr>
  </w:style>
  <w:style w:type="character" w:customStyle="1" w:styleId="ListLabel139">
    <w:name w:val="ListLabel 139"/>
    <w:qFormat/>
    <w:rsid w:val="002F4459"/>
    <w:rPr>
      <w:rFonts w:cs="Courier New"/>
    </w:rPr>
  </w:style>
  <w:style w:type="character" w:customStyle="1" w:styleId="ListLabel140">
    <w:name w:val="ListLabel 140"/>
    <w:qFormat/>
    <w:rsid w:val="002F4459"/>
    <w:rPr>
      <w:rFonts w:cs="Times New Roman"/>
    </w:rPr>
  </w:style>
  <w:style w:type="character" w:customStyle="1" w:styleId="ListLabel141">
    <w:name w:val="ListLabel 141"/>
    <w:qFormat/>
    <w:rsid w:val="002F4459"/>
    <w:rPr>
      <w:rFonts w:cs="Courier New"/>
    </w:rPr>
  </w:style>
  <w:style w:type="character" w:customStyle="1" w:styleId="ListLabel142">
    <w:name w:val="ListLabel 142"/>
    <w:qFormat/>
    <w:rsid w:val="002F4459"/>
    <w:rPr>
      <w:rFonts w:cs="Courier New"/>
    </w:rPr>
  </w:style>
  <w:style w:type="character" w:customStyle="1" w:styleId="ListLabel143">
    <w:name w:val="ListLabel 143"/>
    <w:qFormat/>
    <w:rsid w:val="002F4459"/>
    <w:rPr>
      <w:rFonts w:cs="Courier New"/>
    </w:rPr>
  </w:style>
  <w:style w:type="character" w:customStyle="1" w:styleId="ListLabel144">
    <w:name w:val="ListLabel 144"/>
    <w:qFormat/>
    <w:rsid w:val="002F4459"/>
    <w:rPr>
      <w:sz w:val="20"/>
    </w:rPr>
  </w:style>
  <w:style w:type="character" w:customStyle="1" w:styleId="ListLabel145">
    <w:name w:val="ListLabel 145"/>
    <w:qFormat/>
    <w:rsid w:val="002F4459"/>
    <w:rPr>
      <w:rFonts w:cs="Courier New"/>
    </w:rPr>
  </w:style>
  <w:style w:type="character" w:customStyle="1" w:styleId="ListLabel146">
    <w:name w:val="ListLabel 146"/>
    <w:qFormat/>
    <w:rsid w:val="002F4459"/>
    <w:rPr>
      <w:rFonts w:cs="Courier New"/>
    </w:rPr>
  </w:style>
  <w:style w:type="character" w:customStyle="1" w:styleId="ListLabel147">
    <w:name w:val="ListLabel 147"/>
    <w:qFormat/>
    <w:rsid w:val="002F4459"/>
    <w:rPr>
      <w:rFonts w:cs="Courier New"/>
    </w:rPr>
  </w:style>
  <w:style w:type="character" w:customStyle="1" w:styleId="ListLabel148">
    <w:name w:val="ListLabel 148"/>
    <w:qFormat/>
    <w:rsid w:val="002F4459"/>
    <w:rPr>
      <w:rFonts w:cs="Courier New"/>
    </w:rPr>
  </w:style>
  <w:style w:type="character" w:customStyle="1" w:styleId="ListLabel149">
    <w:name w:val="ListLabel 149"/>
    <w:qFormat/>
    <w:rsid w:val="002F4459"/>
    <w:rPr>
      <w:rFonts w:cs="Courier New"/>
    </w:rPr>
  </w:style>
  <w:style w:type="character" w:customStyle="1" w:styleId="ListLabel150">
    <w:name w:val="ListLabel 150"/>
    <w:qFormat/>
    <w:rsid w:val="002F4459"/>
    <w:rPr>
      <w:rFonts w:cs="Courier New"/>
    </w:rPr>
  </w:style>
  <w:style w:type="character" w:customStyle="1" w:styleId="ListLabel151">
    <w:name w:val="ListLabel 151"/>
    <w:qFormat/>
    <w:rsid w:val="002F4459"/>
    <w:rPr>
      <w:rFonts w:cs="Times New Roman"/>
      <w:b w:val="0"/>
      <w:i w:val="0"/>
      <w:sz w:val="20"/>
      <w:u w:val="none"/>
    </w:rPr>
  </w:style>
  <w:style w:type="character" w:customStyle="1" w:styleId="ListLabel152">
    <w:name w:val="ListLabel 152"/>
    <w:qFormat/>
    <w:rsid w:val="002F4459"/>
    <w:rPr>
      <w:b w:val="0"/>
      <w:i w:val="0"/>
      <w:sz w:val="20"/>
      <w:u w:val="none"/>
    </w:rPr>
  </w:style>
  <w:style w:type="character" w:customStyle="1" w:styleId="ListLabel153">
    <w:name w:val="ListLabel 153"/>
    <w:qFormat/>
    <w:rsid w:val="002F4459"/>
    <w:rPr>
      <w:rFonts w:cs="Times New Roman"/>
      <w:sz w:val="16"/>
    </w:rPr>
  </w:style>
  <w:style w:type="character" w:customStyle="1" w:styleId="ListLabel154">
    <w:name w:val="ListLabel 154"/>
    <w:qFormat/>
    <w:rsid w:val="002F4459"/>
    <w:rPr>
      <w:rFonts w:cs="Courier New"/>
    </w:rPr>
  </w:style>
  <w:style w:type="character" w:customStyle="1" w:styleId="ListLabel155">
    <w:name w:val="ListLabel 155"/>
    <w:qFormat/>
    <w:rsid w:val="002F4459"/>
    <w:rPr>
      <w:rFonts w:cs="Courier New"/>
    </w:rPr>
  </w:style>
  <w:style w:type="character" w:customStyle="1" w:styleId="ListLabel156">
    <w:name w:val="ListLabel 156"/>
    <w:qFormat/>
    <w:rsid w:val="002F4459"/>
    <w:rPr>
      <w:rFonts w:cs="Courier New"/>
    </w:rPr>
  </w:style>
  <w:style w:type="character" w:customStyle="1" w:styleId="ListLabel157">
    <w:name w:val="ListLabel 157"/>
    <w:qFormat/>
    <w:rsid w:val="002F4459"/>
    <w:rPr>
      <w:rFonts w:cs="Times New Roman"/>
      <w:sz w:val="16"/>
    </w:rPr>
  </w:style>
  <w:style w:type="character" w:customStyle="1" w:styleId="ListLabel158">
    <w:name w:val="ListLabel 158"/>
    <w:qFormat/>
    <w:rsid w:val="002F4459"/>
    <w:rPr>
      <w:rFonts w:cs="Courier New"/>
    </w:rPr>
  </w:style>
  <w:style w:type="character" w:customStyle="1" w:styleId="ListLabel159">
    <w:name w:val="ListLabel 159"/>
    <w:qFormat/>
    <w:rsid w:val="002F4459"/>
    <w:rPr>
      <w:rFonts w:cs="Courier New"/>
    </w:rPr>
  </w:style>
  <w:style w:type="character" w:customStyle="1" w:styleId="ListLabel160">
    <w:name w:val="ListLabel 160"/>
    <w:qFormat/>
    <w:rsid w:val="002F4459"/>
    <w:rPr>
      <w:rFonts w:cs="Courier New"/>
    </w:rPr>
  </w:style>
  <w:style w:type="character" w:customStyle="1" w:styleId="ListLabel161">
    <w:name w:val="ListLabel 161"/>
    <w:qFormat/>
    <w:rsid w:val="002F4459"/>
    <w:rPr>
      <w:rFonts w:cs="Times New Roman"/>
      <w:sz w:val="16"/>
    </w:rPr>
  </w:style>
  <w:style w:type="character" w:customStyle="1" w:styleId="ListLabel162">
    <w:name w:val="ListLabel 162"/>
    <w:qFormat/>
    <w:rsid w:val="002F4459"/>
    <w:rPr>
      <w:rFonts w:cs="Courier New"/>
    </w:rPr>
  </w:style>
  <w:style w:type="character" w:customStyle="1" w:styleId="ListLabel163">
    <w:name w:val="ListLabel 163"/>
    <w:qFormat/>
    <w:rsid w:val="002F4459"/>
    <w:rPr>
      <w:rFonts w:cs="Courier New"/>
    </w:rPr>
  </w:style>
  <w:style w:type="character" w:customStyle="1" w:styleId="ListLabel164">
    <w:name w:val="ListLabel 164"/>
    <w:qFormat/>
    <w:rsid w:val="002F4459"/>
    <w:rPr>
      <w:rFonts w:cs="Courier New"/>
    </w:rPr>
  </w:style>
  <w:style w:type="character" w:customStyle="1" w:styleId="ListLabel165">
    <w:name w:val="ListLabel 165"/>
    <w:qFormat/>
    <w:rsid w:val="002F4459"/>
    <w:rPr>
      <w:rFonts w:cs="Times New Roman"/>
      <w:sz w:val="16"/>
    </w:rPr>
  </w:style>
  <w:style w:type="character" w:customStyle="1" w:styleId="ListLabel166">
    <w:name w:val="ListLabel 166"/>
    <w:qFormat/>
    <w:rsid w:val="002F4459"/>
    <w:rPr>
      <w:rFonts w:cs="Courier New"/>
    </w:rPr>
  </w:style>
  <w:style w:type="character" w:customStyle="1" w:styleId="ListLabel167">
    <w:name w:val="ListLabel 167"/>
    <w:qFormat/>
    <w:rsid w:val="002F4459"/>
    <w:rPr>
      <w:rFonts w:cs="Courier New"/>
    </w:rPr>
  </w:style>
  <w:style w:type="character" w:customStyle="1" w:styleId="ListLabel168">
    <w:name w:val="ListLabel 168"/>
    <w:qFormat/>
    <w:rsid w:val="002F4459"/>
    <w:rPr>
      <w:rFonts w:cs="Courier New"/>
    </w:rPr>
  </w:style>
  <w:style w:type="character" w:customStyle="1" w:styleId="ListLabel169">
    <w:name w:val="ListLabel 169"/>
    <w:qFormat/>
    <w:rsid w:val="002F4459"/>
    <w:rPr>
      <w:rFonts w:cs="Times New Roman"/>
      <w:sz w:val="16"/>
    </w:rPr>
  </w:style>
  <w:style w:type="character" w:customStyle="1" w:styleId="ListLabel170">
    <w:name w:val="ListLabel 170"/>
    <w:qFormat/>
    <w:rsid w:val="002F4459"/>
    <w:rPr>
      <w:rFonts w:cs="Courier New"/>
    </w:rPr>
  </w:style>
  <w:style w:type="character" w:customStyle="1" w:styleId="ListLabel171">
    <w:name w:val="ListLabel 171"/>
    <w:qFormat/>
    <w:rsid w:val="002F4459"/>
    <w:rPr>
      <w:rFonts w:cs="Courier New"/>
    </w:rPr>
  </w:style>
  <w:style w:type="character" w:customStyle="1" w:styleId="ListLabel172">
    <w:name w:val="ListLabel 172"/>
    <w:qFormat/>
    <w:rsid w:val="002F4459"/>
    <w:rPr>
      <w:rFonts w:cs="Courier New"/>
    </w:rPr>
  </w:style>
  <w:style w:type="character" w:customStyle="1" w:styleId="ListLabel173">
    <w:name w:val="ListLabel 173"/>
    <w:qFormat/>
    <w:rsid w:val="002F4459"/>
    <w:rPr>
      <w:rFonts w:cs="Times New Roman"/>
      <w:sz w:val="16"/>
    </w:rPr>
  </w:style>
  <w:style w:type="character" w:customStyle="1" w:styleId="ListLabel174">
    <w:name w:val="ListLabel 174"/>
    <w:qFormat/>
    <w:rsid w:val="002F4459"/>
    <w:rPr>
      <w:rFonts w:cs="Courier New"/>
    </w:rPr>
  </w:style>
  <w:style w:type="character" w:customStyle="1" w:styleId="ListLabel175">
    <w:name w:val="ListLabel 175"/>
    <w:qFormat/>
    <w:rsid w:val="002F4459"/>
    <w:rPr>
      <w:rFonts w:cs="Courier New"/>
    </w:rPr>
  </w:style>
  <w:style w:type="character" w:customStyle="1" w:styleId="ListLabel176">
    <w:name w:val="ListLabel 176"/>
    <w:qFormat/>
    <w:rsid w:val="002F4459"/>
    <w:rPr>
      <w:rFonts w:cs="Courier New"/>
    </w:rPr>
  </w:style>
  <w:style w:type="character" w:customStyle="1" w:styleId="ListLabel177">
    <w:name w:val="ListLabel 177"/>
    <w:qFormat/>
    <w:rsid w:val="002F4459"/>
    <w:rPr>
      <w:rFonts w:cs="Times New Roman"/>
      <w:sz w:val="16"/>
    </w:rPr>
  </w:style>
  <w:style w:type="character" w:customStyle="1" w:styleId="ListLabel178">
    <w:name w:val="ListLabel 178"/>
    <w:qFormat/>
    <w:rsid w:val="002F4459"/>
    <w:rPr>
      <w:rFonts w:cs="Courier New"/>
    </w:rPr>
  </w:style>
  <w:style w:type="character" w:customStyle="1" w:styleId="ListLabel179">
    <w:name w:val="ListLabel 179"/>
    <w:qFormat/>
    <w:rsid w:val="002F4459"/>
    <w:rPr>
      <w:rFonts w:cs="Courier New"/>
    </w:rPr>
  </w:style>
  <w:style w:type="character" w:customStyle="1" w:styleId="ListLabel180">
    <w:name w:val="ListLabel 180"/>
    <w:qFormat/>
    <w:rsid w:val="002F4459"/>
    <w:rPr>
      <w:rFonts w:cs="Courier New"/>
    </w:rPr>
  </w:style>
  <w:style w:type="character" w:customStyle="1" w:styleId="ListLabel181">
    <w:name w:val="ListLabel 181"/>
    <w:qFormat/>
    <w:rsid w:val="002F4459"/>
    <w:rPr>
      <w:rFonts w:cs="Times New Roman"/>
      <w:sz w:val="16"/>
    </w:rPr>
  </w:style>
  <w:style w:type="character" w:customStyle="1" w:styleId="ListLabel182">
    <w:name w:val="ListLabel 182"/>
    <w:qFormat/>
    <w:rsid w:val="002F4459"/>
    <w:rPr>
      <w:rFonts w:cs="Courier New"/>
    </w:rPr>
  </w:style>
  <w:style w:type="character" w:customStyle="1" w:styleId="ListLabel183">
    <w:name w:val="ListLabel 183"/>
    <w:qFormat/>
    <w:rsid w:val="002F4459"/>
    <w:rPr>
      <w:rFonts w:cs="Courier New"/>
    </w:rPr>
  </w:style>
  <w:style w:type="character" w:customStyle="1" w:styleId="ListLabel184">
    <w:name w:val="ListLabel 184"/>
    <w:qFormat/>
    <w:rsid w:val="002F4459"/>
    <w:rPr>
      <w:rFonts w:cs="Courier New"/>
    </w:rPr>
  </w:style>
  <w:style w:type="character" w:customStyle="1" w:styleId="ListLabel185">
    <w:name w:val="ListLabel 185"/>
    <w:qFormat/>
    <w:rsid w:val="002F4459"/>
    <w:rPr>
      <w:rFonts w:cs="Times New Roman"/>
      <w:sz w:val="16"/>
    </w:rPr>
  </w:style>
  <w:style w:type="character" w:customStyle="1" w:styleId="ListLabel186">
    <w:name w:val="ListLabel 186"/>
    <w:qFormat/>
    <w:rsid w:val="002F4459"/>
    <w:rPr>
      <w:rFonts w:cs="Courier New"/>
    </w:rPr>
  </w:style>
  <w:style w:type="character" w:customStyle="1" w:styleId="ListLabel187">
    <w:name w:val="ListLabel 187"/>
    <w:qFormat/>
    <w:rsid w:val="002F4459"/>
    <w:rPr>
      <w:rFonts w:cs="Courier New"/>
    </w:rPr>
  </w:style>
  <w:style w:type="character" w:customStyle="1" w:styleId="ListLabel188">
    <w:name w:val="ListLabel 188"/>
    <w:qFormat/>
    <w:rsid w:val="002F4459"/>
    <w:rPr>
      <w:rFonts w:cs="Courier New"/>
    </w:rPr>
  </w:style>
  <w:style w:type="character" w:customStyle="1" w:styleId="ListLabel189">
    <w:name w:val="ListLabel 189"/>
    <w:qFormat/>
    <w:rsid w:val="002F4459"/>
    <w:rPr>
      <w:rFonts w:cs="Times New Roman"/>
    </w:rPr>
  </w:style>
  <w:style w:type="character" w:customStyle="1" w:styleId="ListLabel190">
    <w:name w:val="ListLabel 190"/>
    <w:qFormat/>
    <w:rsid w:val="002F4459"/>
    <w:rPr>
      <w:rFonts w:cs="Courier New"/>
    </w:rPr>
  </w:style>
  <w:style w:type="character" w:customStyle="1" w:styleId="ListLabel191">
    <w:name w:val="ListLabel 191"/>
    <w:qFormat/>
    <w:rsid w:val="002F4459"/>
    <w:rPr>
      <w:rFonts w:cs="Courier New"/>
    </w:rPr>
  </w:style>
  <w:style w:type="character" w:customStyle="1" w:styleId="ListLabel192">
    <w:name w:val="ListLabel 192"/>
    <w:qFormat/>
    <w:rsid w:val="002F4459"/>
    <w:rPr>
      <w:rFonts w:cs="Courier New"/>
    </w:rPr>
  </w:style>
  <w:style w:type="character" w:customStyle="1" w:styleId="ListLabel193">
    <w:name w:val="ListLabel 193"/>
    <w:qFormat/>
    <w:rsid w:val="002F4459"/>
    <w:rPr>
      <w:rFonts w:cs="Times New Roman"/>
      <w:sz w:val="16"/>
    </w:rPr>
  </w:style>
  <w:style w:type="character" w:customStyle="1" w:styleId="ListLabel194">
    <w:name w:val="ListLabel 194"/>
    <w:qFormat/>
    <w:rsid w:val="002F4459"/>
    <w:rPr>
      <w:rFonts w:cs="Courier New"/>
    </w:rPr>
  </w:style>
  <w:style w:type="character" w:customStyle="1" w:styleId="ListLabel195">
    <w:name w:val="ListLabel 195"/>
    <w:qFormat/>
    <w:rsid w:val="002F4459"/>
    <w:rPr>
      <w:rFonts w:cs="Courier New"/>
    </w:rPr>
  </w:style>
  <w:style w:type="character" w:customStyle="1" w:styleId="ListLabel196">
    <w:name w:val="ListLabel 196"/>
    <w:qFormat/>
    <w:rsid w:val="002F4459"/>
    <w:rPr>
      <w:rFonts w:cs="Courier New"/>
    </w:rPr>
  </w:style>
  <w:style w:type="character" w:customStyle="1" w:styleId="ListLabel197">
    <w:name w:val="ListLabel 197"/>
    <w:qFormat/>
    <w:rsid w:val="002F4459"/>
    <w:rPr>
      <w:rFonts w:cs="Times New Roman"/>
      <w:sz w:val="16"/>
    </w:rPr>
  </w:style>
  <w:style w:type="character" w:customStyle="1" w:styleId="ListLabel198">
    <w:name w:val="ListLabel 198"/>
    <w:qFormat/>
    <w:rsid w:val="002F4459"/>
    <w:rPr>
      <w:rFonts w:cs="Times New Roman"/>
      <w:sz w:val="16"/>
    </w:rPr>
  </w:style>
  <w:style w:type="character" w:customStyle="1" w:styleId="ListLabel199">
    <w:name w:val="ListLabel 199"/>
    <w:qFormat/>
    <w:rsid w:val="002F4459"/>
    <w:rPr>
      <w:rFonts w:cs="Courier New"/>
    </w:rPr>
  </w:style>
  <w:style w:type="character" w:customStyle="1" w:styleId="ListLabel200">
    <w:name w:val="ListLabel 200"/>
    <w:qFormat/>
    <w:rsid w:val="002F4459"/>
    <w:rPr>
      <w:rFonts w:cs="Courier New"/>
    </w:rPr>
  </w:style>
  <w:style w:type="character" w:customStyle="1" w:styleId="ListLabel201">
    <w:name w:val="ListLabel 201"/>
    <w:qFormat/>
    <w:rsid w:val="002F4459"/>
    <w:rPr>
      <w:rFonts w:cs="Courier New"/>
    </w:rPr>
  </w:style>
  <w:style w:type="character" w:customStyle="1" w:styleId="ListLabel202">
    <w:name w:val="ListLabel 202"/>
    <w:qFormat/>
    <w:rsid w:val="002F4459"/>
    <w:rPr>
      <w:rFonts w:cs="Times New Roman"/>
      <w:sz w:val="16"/>
    </w:rPr>
  </w:style>
  <w:style w:type="character" w:customStyle="1" w:styleId="ListLabel203">
    <w:name w:val="ListLabel 203"/>
    <w:qFormat/>
    <w:rsid w:val="002F4459"/>
    <w:rPr>
      <w:rFonts w:cs="Courier New"/>
    </w:rPr>
  </w:style>
  <w:style w:type="character" w:customStyle="1" w:styleId="ListLabel204">
    <w:name w:val="ListLabel 204"/>
    <w:qFormat/>
    <w:rsid w:val="002F4459"/>
    <w:rPr>
      <w:rFonts w:cs="Courier New"/>
    </w:rPr>
  </w:style>
  <w:style w:type="character" w:customStyle="1" w:styleId="ListLabel205">
    <w:name w:val="ListLabel 205"/>
    <w:qFormat/>
    <w:rsid w:val="002F4459"/>
    <w:rPr>
      <w:rFonts w:cs="Courier New"/>
    </w:rPr>
  </w:style>
  <w:style w:type="character" w:customStyle="1" w:styleId="ListLabel206">
    <w:name w:val="ListLabel 206"/>
    <w:qFormat/>
    <w:rsid w:val="002F4459"/>
    <w:rPr>
      <w:rFonts w:cs="Times New Roman"/>
    </w:rPr>
  </w:style>
  <w:style w:type="character" w:customStyle="1" w:styleId="ListLabel207">
    <w:name w:val="ListLabel 207"/>
    <w:qFormat/>
    <w:rsid w:val="002F4459"/>
    <w:rPr>
      <w:rFonts w:cs="Courier New"/>
    </w:rPr>
  </w:style>
  <w:style w:type="character" w:customStyle="1" w:styleId="ListLabel208">
    <w:name w:val="ListLabel 208"/>
    <w:qFormat/>
    <w:rsid w:val="002F4459"/>
    <w:rPr>
      <w:rFonts w:cs="Courier New"/>
    </w:rPr>
  </w:style>
  <w:style w:type="character" w:customStyle="1" w:styleId="ListLabel209">
    <w:name w:val="ListLabel 209"/>
    <w:qFormat/>
    <w:rsid w:val="002F4459"/>
    <w:rPr>
      <w:rFonts w:cs="Courier New"/>
    </w:rPr>
  </w:style>
  <w:style w:type="character" w:customStyle="1" w:styleId="ListLabel210">
    <w:name w:val="ListLabel 210"/>
    <w:qFormat/>
    <w:rsid w:val="002F4459"/>
    <w:rPr>
      <w:rFonts w:cs="Times New Roman"/>
      <w:b/>
      <w:sz w:val="16"/>
    </w:rPr>
  </w:style>
  <w:style w:type="character" w:customStyle="1" w:styleId="ListLabel211">
    <w:name w:val="ListLabel 211"/>
    <w:qFormat/>
    <w:rsid w:val="002F4459"/>
    <w:rPr>
      <w:rFonts w:cs="Courier New"/>
    </w:rPr>
  </w:style>
  <w:style w:type="character" w:customStyle="1" w:styleId="ListLabel212">
    <w:name w:val="ListLabel 212"/>
    <w:qFormat/>
    <w:rsid w:val="002F4459"/>
    <w:rPr>
      <w:rFonts w:cs="Courier New"/>
    </w:rPr>
  </w:style>
  <w:style w:type="character" w:customStyle="1" w:styleId="ListLabel213">
    <w:name w:val="ListLabel 213"/>
    <w:qFormat/>
    <w:rsid w:val="002F4459"/>
    <w:rPr>
      <w:rFonts w:cs="Courier New"/>
    </w:rPr>
  </w:style>
  <w:style w:type="character" w:customStyle="1" w:styleId="ListLabel214">
    <w:name w:val="ListLabel 214"/>
    <w:qFormat/>
    <w:rsid w:val="002F4459"/>
    <w:rPr>
      <w:rFonts w:cs="Times New Roman"/>
    </w:rPr>
  </w:style>
  <w:style w:type="character" w:customStyle="1" w:styleId="ListLabel215">
    <w:name w:val="ListLabel 215"/>
    <w:qFormat/>
    <w:rsid w:val="002F4459"/>
    <w:rPr>
      <w:rFonts w:cs="Courier New"/>
    </w:rPr>
  </w:style>
  <w:style w:type="character" w:customStyle="1" w:styleId="ListLabel216">
    <w:name w:val="ListLabel 216"/>
    <w:qFormat/>
    <w:rsid w:val="002F4459"/>
    <w:rPr>
      <w:rFonts w:cs="Courier New"/>
    </w:rPr>
  </w:style>
  <w:style w:type="character" w:customStyle="1" w:styleId="ListLabel217">
    <w:name w:val="ListLabel 217"/>
    <w:qFormat/>
    <w:rsid w:val="002F4459"/>
    <w:rPr>
      <w:rFonts w:cs="Courier New"/>
    </w:rPr>
  </w:style>
  <w:style w:type="character" w:customStyle="1" w:styleId="ListLabel218">
    <w:name w:val="ListLabel 218"/>
    <w:qFormat/>
    <w:rsid w:val="002F4459"/>
    <w:rPr>
      <w:rFonts w:cs="Times New Roman"/>
    </w:rPr>
  </w:style>
  <w:style w:type="character" w:customStyle="1" w:styleId="ListLabel219">
    <w:name w:val="ListLabel 219"/>
    <w:qFormat/>
    <w:rsid w:val="002F4459"/>
    <w:rPr>
      <w:rFonts w:cs="Courier New"/>
    </w:rPr>
  </w:style>
  <w:style w:type="character" w:customStyle="1" w:styleId="ListLabel220">
    <w:name w:val="ListLabel 220"/>
    <w:qFormat/>
    <w:rsid w:val="002F4459"/>
    <w:rPr>
      <w:rFonts w:cs="Courier New"/>
    </w:rPr>
  </w:style>
  <w:style w:type="character" w:customStyle="1" w:styleId="ListLabel221">
    <w:name w:val="ListLabel 221"/>
    <w:qFormat/>
    <w:rsid w:val="002F4459"/>
    <w:rPr>
      <w:rFonts w:cs="Courier New"/>
    </w:rPr>
  </w:style>
  <w:style w:type="character" w:customStyle="1" w:styleId="ListLabel222">
    <w:name w:val="ListLabel 222"/>
    <w:qFormat/>
    <w:rsid w:val="002F4459"/>
    <w:rPr>
      <w:rFonts w:cs="Times New Roman"/>
    </w:rPr>
  </w:style>
  <w:style w:type="character" w:customStyle="1" w:styleId="ListLabel223">
    <w:name w:val="ListLabel 223"/>
    <w:qFormat/>
    <w:rsid w:val="002F4459"/>
    <w:rPr>
      <w:rFonts w:cs="Courier New"/>
    </w:rPr>
  </w:style>
  <w:style w:type="character" w:customStyle="1" w:styleId="ListLabel224">
    <w:name w:val="ListLabel 224"/>
    <w:qFormat/>
    <w:rsid w:val="002F4459"/>
    <w:rPr>
      <w:rFonts w:cs="Courier New"/>
    </w:rPr>
  </w:style>
  <w:style w:type="character" w:customStyle="1" w:styleId="ListLabel225">
    <w:name w:val="ListLabel 225"/>
    <w:qFormat/>
    <w:rsid w:val="002F4459"/>
    <w:rPr>
      <w:rFonts w:cs="Courier New"/>
    </w:rPr>
  </w:style>
  <w:style w:type="character" w:customStyle="1" w:styleId="ListLabel226">
    <w:name w:val="ListLabel 226"/>
    <w:qFormat/>
    <w:rsid w:val="002F4459"/>
    <w:rPr>
      <w:rFonts w:cs="Times New Roman"/>
    </w:rPr>
  </w:style>
  <w:style w:type="character" w:customStyle="1" w:styleId="ListLabel227">
    <w:name w:val="ListLabel 227"/>
    <w:qFormat/>
    <w:rsid w:val="002F4459"/>
    <w:rPr>
      <w:rFonts w:cs="Courier New"/>
    </w:rPr>
  </w:style>
  <w:style w:type="character" w:customStyle="1" w:styleId="ListLabel228">
    <w:name w:val="ListLabel 228"/>
    <w:qFormat/>
    <w:rsid w:val="002F4459"/>
    <w:rPr>
      <w:rFonts w:cs="Courier New"/>
    </w:rPr>
  </w:style>
  <w:style w:type="character" w:customStyle="1" w:styleId="ListLabel229">
    <w:name w:val="ListLabel 229"/>
    <w:qFormat/>
    <w:rsid w:val="002F4459"/>
    <w:rPr>
      <w:rFonts w:cs="Courier New"/>
    </w:rPr>
  </w:style>
  <w:style w:type="character" w:customStyle="1" w:styleId="ListLabel230">
    <w:name w:val="ListLabel 230"/>
    <w:qFormat/>
    <w:rsid w:val="002F4459"/>
    <w:rPr>
      <w:rFonts w:cs="Times New Roman"/>
    </w:rPr>
  </w:style>
  <w:style w:type="character" w:customStyle="1" w:styleId="ListLabel231">
    <w:name w:val="ListLabel 231"/>
    <w:qFormat/>
    <w:rsid w:val="002F4459"/>
    <w:rPr>
      <w:rFonts w:cs="Courier New"/>
    </w:rPr>
  </w:style>
  <w:style w:type="character" w:customStyle="1" w:styleId="ListLabel232">
    <w:name w:val="ListLabel 232"/>
    <w:qFormat/>
    <w:rsid w:val="002F4459"/>
    <w:rPr>
      <w:rFonts w:cs="Courier New"/>
    </w:rPr>
  </w:style>
  <w:style w:type="character" w:customStyle="1" w:styleId="ListLabel233">
    <w:name w:val="ListLabel 233"/>
    <w:qFormat/>
    <w:rsid w:val="002F4459"/>
    <w:rPr>
      <w:rFonts w:cs="Courier New"/>
    </w:rPr>
  </w:style>
  <w:style w:type="character" w:customStyle="1" w:styleId="ListLabel234">
    <w:name w:val="ListLabel 234"/>
    <w:qFormat/>
    <w:rsid w:val="002F4459"/>
    <w:rPr>
      <w:rFonts w:cs="Times New Roman"/>
    </w:rPr>
  </w:style>
  <w:style w:type="character" w:customStyle="1" w:styleId="ListLabel235">
    <w:name w:val="ListLabel 235"/>
    <w:qFormat/>
    <w:rsid w:val="002F4459"/>
    <w:rPr>
      <w:rFonts w:cs="Courier New"/>
    </w:rPr>
  </w:style>
  <w:style w:type="character" w:customStyle="1" w:styleId="ListLabel236">
    <w:name w:val="ListLabel 236"/>
    <w:qFormat/>
    <w:rsid w:val="002F4459"/>
    <w:rPr>
      <w:rFonts w:cs="Courier New"/>
    </w:rPr>
  </w:style>
  <w:style w:type="character" w:customStyle="1" w:styleId="ListLabel237">
    <w:name w:val="ListLabel 237"/>
    <w:qFormat/>
    <w:rsid w:val="002F4459"/>
    <w:rPr>
      <w:rFonts w:cs="Courier New"/>
    </w:rPr>
  </w:style>
  <w:style w:type="character" w:customStyle="1" w:styleId="ListLabel238">
    <w:name w:val="ListLabel 238"/>
    <w:qFormat/>
    <w:rsid w:val="002F4459"/>
    <w:rPr>
      <w:rFonts w:cs="Times New Roman"/>
    </w:rPr>
  </w:style>
  <w:style w:type="character" w:customStyle="1" w:styleId="ListLabel239">
    <w:name w:val="ListLabel 239"/>
    <w:qFormat/>
    <w:rsid w:val="002F4459"/>
    <w:rPr>
      <w:rFonts w:cs="Courier New"/>
    </w:rPr>
  </w:style>
  <w:style w:type="character" w:customStyle="1" w:styleId="ListLabel240">
    <w:name w:val="ListLabel 240"/>
    <w:qFormat/>
    <w:rsid w:val="002F4459"/>
    <w:rPr>
      <w:rFonts w:cs="Courier New"/>
    </w:rPr>
  </w:style>
  <w:style w:type="character" w:customStyle="1" w:styleId="ListLabel241">
    <w:name w:val="ListLabel 241"/>
    <w:qFormat/>
    <w:rsid w:val="002F4459"/>
    <w:rPr>
      <w:rFonts w:cs="Courier New"/>
    </w:rPr>
  </w:style>
  <w:style w:type="character" w:customStyle="1" w:styleId="ListLabel242">
    <w:name w:val="ListLabel 242"/>
    <w:qFormat/>
    <w:rsid w:val="002F4459"/>
    <w:rPr>
      <w:rFonts w:cs="Times New Roman"/>
    </w:rPr>
  </w:style>
  <w:style w:type="character" w:customStyle="1" w:styleId="ListLabel243">
    <w:name w:val="ListLabel 243"/>
    <w:qFormat/>
    <w:rsid w:val="002F4459"/>
    <w:rPr>
      <w:rFonts w:cs="Courier New"/>
    </w:rPr>
  </w:style>
  <w:style w:type="character" w:customStyle="1" w:styleId="ListLabel244">
    <w:name w:val="ListLabel 244"/>
    <w:qFormat/>
    <w:rsid w:val="002F4459"/>
    <w:rPr>
      <w:rFonts w:cs="Courier New"/>
    </w:rPr>
  </w:style>
  <w:style w:type="character" w:customStyle="1" w:styleId="ListLabel245">
    <w:name w:val="ListLabel 245"/>
    <w:qFormat/>
    <w:rsid w:val="002F4459"/>
    <w:rPr>
      <w:rFonts w:cs="Courier New"/>
    </w:rPr>
  </w:style>
  <w:style w:type="character" w:customStyle="1" w:styleId="ListLabel246">
    <w:name w:val="ListLabel 246"/>
    <w:qFormat/>
    <w:rsid w:val="002F4459"/>
    <w:rPr>
      <w:rFonts w:cs="Times New Roman"/>
    </w:rPr>
  </w:style>
  <w:style w:type="character" w:customStyle="1" w:styleId="ListLabel247">
    <w:name w:val="ListLabel 247"/>
    <w:qFormat/>
    <w:rsid w:val="002F4459"/>
    <w:rPr>
      <w:rFonts w:cs="Courier New"/>
    </w:rPr>
  </w:style>
  <w:style w:type="character" w:customStyle="1" w:styleId="ListLabel248">
    <w:name w:val="ListLabel 248"/>
    <w:qFormat/>
    <w:rsid w:val="002F4459"/>
    <w:rPr>
      <w:rFonts w:cs="Courier New"/>
    </w:rPr>
  </w:style>
  <w:style w:type="character" w:customStyle="1" w:styleId="ListLabel249">
    <w:name w:val="ListLabel 249"/>
    <w:qFormat/>
    <w:rsid w:val="002F4459"/>
    <w:rPr>
      <w:rFonts w:cs="Courier New"/>
    </w:rPr>
  </w:style>
  <w:style w:type="character" w:customStyle="1" w:styleId="ListLabel250">
    <w:name w:val="ListLabel 250"/>
    <w:qFormat/>
    <w:rsid w:val="002F4459"/>
    <w:rPr>
      <w:rFonts w:cs="Times New Roman"/>
      <w:sz w:val="16"/>
    </w:rPr>
  </w:style>
  <w:style w:type="character" w:customStyle="1" w:styleId="ListLabel251">
    <w:name w:val="ListLabel 251"/>
    <w:qFormat/>
    <w:rsid w:val="002F4459"/>
    <w:rPr>
      <w:rFonts w:cs="Courier New"/>
    </w:rPr>
  </w:style>
  <w:style w:type="character" w:customStyle="1" w:styleId="ListLabel252">
    <w:name w:val="ListLabel 252"/>
    <w:qFormat/>
    <w:rsid w:val="002F4459"/>
    <w:rPr>
      <w:rFonts w:cs="Courier New"/>
    </w:rPr>
  </w:style>
  <w:style w:type="character" w:customStyle="1" w:styleId="ListLabel253">
    <w:name w:val="ListLabel 253"/>
    <w:qFormat/>
    <w:rsid w:val="002F4459"/>
    <w:rPr>
      <w:rFonts w:cs="Courier New"/>
    </w:rPr>
  </w:style>
  <w:style w:type="character" w:customStyle="1" w:styleId="ListLabel254">
    <w:name w:val="ListLabel 254"/>
    <w:qFormat/>
    <w:rsid w:val="002F4459"/>
    <w:rPr>
      <w:rFonts w:cs="Times New Roman"/>
    </w:rPr>
  </w:style>
  <w:style w:type="character" w:customStyle="1" w:styleId="ListLabel255">
    <w:name w:val="ListLabel 255"/>
    <w:qFormat/>
    <w:rsid w:val="002F4459"/>
    <w:rPr>
      <w:rFonts w:cs="Courier New"/>
    </w:rPr>
  </w:style>
  <w:style w:type="character" w:customStyle="1" w:styleId="ListLabel256">
    <w:name w:val="ListLabel 256"/>
    <w:qFormat/>
    <w:rsid w:val="002F4459"/>
    <w:rPr>
      <w:rFonts w:cs="Courier New"/>
    </w:rPr>
  </w:style>
  <w:style w:type="character" w:customStyle="1" w:styleId="ListLabel257">
    <w:name w:val="ListLabel 257"/>
    <w:qFormat/>
    <w:rsid w:val="002F4459"/>
    <w:rPr>
      <w:rFonts w:cs="Courier New"/>
    </w:rPr>
  </w:style>
  <w:style w:type="character" w:customStyle="1" w:styleId="ListLabel258">
    <w:name w:val="ListLabel 258"/>
    <w:qFormat/>
    <w:rsid w:val="002F4459"/>
    <w:rPr>
      <w:sz w:val="20"/>
    </w:rPr>
  </w:style>
  <w:style w:type="character" w:customStyle="1" w:styleId="ListLabel259">
    <w:name w:val="ListLabel 259"/>
    <w:qFormat/>
    <w:rsid w:val="002F4459"/>
    <w:rPr>
      <w:rFonts w:cs="Courier New"/>
    </w:rPr>
  </w:style>
  <w:style w:type="character" w:customStyle="1" w:styleId="ListLabel260">
    <w:name w:val="ListLabel 260"/>
    <w:qFormat/>
    <w:rsid w:val="002F4459"/>
    <w:rPr>
      <w:rFonts w:cs="Courier New"/>
    </w:rPr>
  </w:style>
  <w:style w:type="character" w:customStyle="1" w:styleId="ListLabel261">
    <w:name w:val="ListLabel 261"/>
    <w:qFormat/>
    <w:rsid w:val="002F4459"/>
    <w:rPr>
      <w:rFonts w:cs="Courier New"/>
    </w:rPr>
  </w:style>
  <w:style w:type="character" w:customStyle="1" w:styleId="ListLabel262">
    <w:name w:val="ListLabel 262"/>
    <w:qFormat/>
    <w:rsid w:val="002F4459"/>
    <w:rPr>
      <w:rFonts w:cs="Courier New"/>
    </w:rPr>
  </w:style>
  <w:style w:type="character" w:customStyle="1" w:styleId="ListLabel263">
    <w:name w:val="ListLabel 263"/>
    <w:qFormat/>
    <w:rsid w:val="002F4459"/>
    <w:rPr>
      <w:rFonts w:cs="Courier New"/>
    </w:rPr>
  </w:style>
  <w:style w:type="character" w:customStyle="1" w:styleId="ListLabel264">
    <w:name w:val="ListLabel 264"/>
    <w:qFormat/>
    <w:rsid w:val="002F4459"/>
    <w:rPr>
      <w:rFonts w:cs="Courier New"/>
    </w:rPr>
  </w:style>
  <w:style w:type="character" w:customStyle="1" w:styleId="ListLabel265">
    <w:name w:val="ListLabel 265"/>
    <w:qFormat/>
    <w:rsid w:val="002F4459"/>
    <w:rPr>
      <w:rFonts w:cs="Courier New"/>
    </w:rPr>
  </w:style>
  <w:style w:type="character" w:customStyle="1" w:styleId="ListLabel266">
    <w:name w:val="ListLabel 266"/>
    <w:qFormat/>
    <w:rsid w:val="002F4459"/>
    <w:rPr>
      <w:rFonts w:cs="Courier New"/>
    </w:rPr>
  </w:style>
  <w:style w:type="character" w:customStyle="1" w:styleId="ListLabel267">
    <w:name w:val="ListLabel 267"/>
    <w:qFormat/>
    <w:rsid w:val="002F4459"/>
    <w:rPr>
      <w:rFonts w:cs="Courier New"/>
    </w:rPr>
  </w:style>
  <w:style w:type="character" w:customStyle="1" w:styleId="ListLabel268">
    <w:name w:val="ListLabel 268"/>
    <w:qFormat/>
    <w:rsid w:val="002F4459"/>
    <w:rPr>
      <w:rFonts w:cs="Times New Roman"/>
    </w:rPr>
  </w:style>
  <w:style w:type="character" w:customStyle="1" w:styleId="ListLabel269">
    <w:name w:val="ListLabel 269"/>
    <w:qFormat/>
    <w:rsid w:val="002F4459"/>
    <w:rPr>
      <w:rFonts w:cs="Courier New"/>
    </w:rPr>
  </w:style>
  <w:style w:type="character" w:customStyle="1" w:styleId="ListLabel270">
    <w:name w:val="ListLabel 270"/>
    <w:qFormat/>
    <w:rsid w:val="002F4459"/>
    <w:rPr>
      <w:rFonts w:cs="Courier New"/>
    </w:rPr>
  </w:style>
  <w:style w:type="character" w:customStyle="1" w:styleId="ListLabel271">
    <w:name w:val="ListLabel 271"/>
    <w:qFormat/>
    <w:rsid w:val="002F4459"/>
    <w:rPr>
      <w:rFonts w:cs="Times New Roman"/>
    </w:rPr>
  </w:style>
  <w:style w:type="character" w:customStyle="1" w:styleId="ListLabel272">
    <w:name w:val="ListLabel 272"/>
    <w:qFormat/>
    <w:rsid w:val="002F4459"/>
    <w:rPr>
      <w:rFonts w:cs="Courier New"/>
    </w:rPr>
  </w:style>
  <w:style w:type="character" w:customStyle="1" w:styleId="ListLabel273">
    <w:name w:val="ListLabel 273"/>
    <w:qFormat/>
    <w:rsid w:val="002F4459"/>
    <w:rPr>
      <w:rFonts w:cs="Courier New"/>
    </w:rPr>
  </w:style>
  <w:style w:type="character" w:customStyle="1" w:styleId="ListLabel274">
    <w:name w:val="ListLabel 274"/>
    <w:qFormat/>
    <w:rsid w:val="002F4459"/>
    <w:rPr>
      <w:rFonts w:cs="Courier New"/>
    </w:rPr>
  </w:style>
  <w:style w:type="character" w:customStyle="1" w:styleId="ListLabel275">
    <w:name w:val="ListLabel 275"/>
    <w:qFormat/>
    <w:rsid w:val="002F4459"/>
    <w:rPr>
      <w:rFonts w:cs="Times New Roman"/>
    </w:rPr>
  </w:style>
  <w:style w:type="character" w:customStyle="1" w:styleId="ListLabel276">
    <w:name w:val="ListLabel 276"/>
    <w:qFormat/>
    <w:rsid w:val="002F4459"/>
    <w:rPr>
      <w:rFonts w:cs="Courier New"/>
    </w:rPr>
  </w:style>
  <w:style w:type="character" w:customStyle="1" w:styleId="ListLabel277">
    <w:name w:val="ListLabel 277"/>
    <w:qFormat/>
    <w:rsid w:val="002F4459"/>
    <w:rPr>
      <w:rFonts w:cs="Courier New"/>
    </w:rPr>
  </w:style>
  <w:style w:type="character" w:customStyle="1" w:styleId="ListLabel278">
    <w:name w:val="ListLabel 278"/>
    <w:qFormat/>
    <w:rsid w:val="002F4459"/>
    <w:rPr>
      <w:rFonts w:cs="Courier New"/>
    </w:rPr>
  </w:style>
  <w:style w:type="character" w:customStyle="1" w:styleId="ListLabel279">
    <w:name w:val="ListLabel 279"/>
    <w:qFormat/>
    <w:rsid w:val="002F4459"/>
    <w:rPr>
      <w:rFonts w:cs="Times New Roman"/>
    </w:rPr>
  </w:style>
  <w:style w:type="character" w:customStyle="1" w:styleId="ListLabel280">
    <w:name w:val="ListLabel 280"/>
    <w:qFormat/>
    <w:rsid w:val="002F4459"/>
    <w:rPr>
      <w:rFonts w:cs="Courier New"/>
    </w:rPr>
  </w:style>
  <w:style w:type="character" w:customStyle="1" w:styleId="ListLabel281">
    <w:name w:val="ListLabel 281"/>
    <w:qFormat/>
    <w:rsid w:val="002F4459"/>
    <w:rPr>
      <w:rFonts w:cs="Courier New"/>
    </w:rPr>
  </w:style>
  <w:style w:type="character" w:customStyle="1" w:styleId="ListLabel282">
    <w:name w:val="ListLabel 282"/>
    <w:qFormat/>
    <w:rsid w:val="002F4459"/>
    <w:rPr>
      <w:rFonts w:cs="Courier New"/>
    </w:rPr>
  </w:style>
  <w:style w:type="character" w:customStyle="1" w:styleId="ListLabel283">
    <w:name w:val="ListLabel 283"/>
    <w:qFormat/>
    <w:rsid w:val="002F4459"/>
    <w:rPr>
      <w:rFonts w:cs="Times New Roman"/>
    </w:rPr>
  </w:style>
  <w:style w:type="character" w:customStyle="1" w:styleId="ListLabel284">
    <w:name w:val="ListLabel 284"/>
    <w:qFormat/>
    <w:rsid w:val="002F4459"/>
    <w:rPr>
      <w:rFonts w:cs="Courier New"/>
    </w:rPr>
  </w:style>
  <w:style w:type="character" w:customStyle="1" w:styleId="ListLabel285">
    <w:name w:val="ListLabel 285"/>
    <w:qFormat/>
    <w:rsid w:val="002F4459"/>
    <w:rPr>
      <w:rFonts w:cs="Courier New"/>
    </w:rPr>
  </w:style>
  <w:style w:type="character" w:customStyle="1" w:styleId="ListLabel286">
    <w:name w:val="ListLabel 286"/>
    <w:qFormat/>
    <w:rsid w:val="002F4459"/>
    <w:rPr>
      <w:rFonts w:cs="Times New Roman"/>
    </w:rPr>
  </w:style>
  <w:style w:type="character" w:customStyle="1" w:styleId="ListLabel287">
    <w:name w:val="ListLabel 287"/>
    <w:qFormat/>
    <w:rsid w:val="002F4459"/>
    <w:rPr>
      <w:rFonts w:cs="Courier New"/>
    </w:rPr>
  </w:style>
  <w:style w:type="character" w:customStyle="1" w:styleId="ListLabel288">
    <w:name w:val="ListLabel 288"/>
    <w:qFormat/>
    <w:rsid w:val="002F4459"/>
    <w:rPr>
      <w:rFonts w:cs="Courier New"/>
    </w:rPr>
  </w:style>
  <w:style w:type="character" w:customStyle="1" w:styleId="ListLabel289">
    <w:name w:val="ListLabel 289"/>
    <w:qFormat/>
    <w:rsid w:val="002F4459"/>
    <w:rPr>
      <w:rFonts w:cs="Courier New"/>
    </w:rPr>
  </w:style>
  <w:style w:type="character" w:customStyle="1" w:styleId="ListLabel290">
    <w:name w:val="ListLabel 290"/>
    <w:qFormat/>
    <w:rsid w:val="002F4459"/>
    <w:rPr>
      <w:rFonts w:cs="Times New Roman"/>
    </w:rPr>
  </w:style>
  <w:style w:type="character" w:customStyle="1" w:styleId="ListLabel291">
    <w:name w:val="ListLabel 291"/>
    <w:qFormat/>
    <w:rsid w:val="002F4459"/>
    <w:rPr>
      <w:rFonts w:cs="Courier New"/>
    </w:rPr>
  </w:style>
  <w:style w:type="character" w:customStyle="1" w:styleId="ListLabel292">
    <w:name w:val="ListLabel 292"/>
    <w:qFormat/>
    <w:rsid w:val="002F4459"/>
    <w:rPr>
      <w:rFonts w:cs="Courier New"/>
    </w:rPr>
  </w:style>
  <w:style w:type="character" w:customStyle="1" w:styleId="ListLabel293">
    <w:name w:val="ListLabel 293"/>
    <w:qFormat/>
    <w:rsid w:val="002F4459"/>
    <w:rPr>
      <w:rFonts w:cs="Courier New"/>
    </w:rPr>
  </w:style>
  <w:style w:type="character" w:customStyle="1" w:styleId="ListLabel294">
    <w:name w:val="ListLabel 294"/>
    <w:qFormat/>
    <w:rsid w:val="002F4459"/>
    <w:rPr>
      <w:rFonts w:cs="Times New Roman"/>
    </w:rPr>
  </w:style>
  <w:style w:type="character" w:customStyle="1" w:styleId="ListLabel295">
    <w:name w:val="ListLabel 295"/>
    <w:qFormat/>
    <w:rsid w:val="002F4459"/>
    <w:rPr>
      <w:rFonts w:cs="Courier New"/>
    </w:rPr>
  </w:style>
  <w:style w:type="character" w:customStyle="1" w:styleId="ListLabel296">
    <w:name w:val="ListLabel 296"/>
    <w:qFormat/>
    <w:rsid w:val="002F4459"/>
    <w:rPr>
      <w:rFonts w:cs="Courier New"/>
    </w:rPr>
  </w:style>
  <w:style w:type="character" w:customStyle="1" w:styleId="ListLabel297">
    <w:name w:val="ListLabel 297"/>
    <w:qFormat/>
    <w:rsid w:val="002F4459"/>
    <w:rPr>
      <w:rFonts w:cs="Courier New"/>
    </w:rPr>
  </w:style>
  <w:style w:type="character" w:customStyle="1" w:styleId="ListLabel298">
    <w:name w:val="ListLabel 298"/>
    <w:qFormat/>
    <w:rsid w:val="002F4459"/>
    <w:rPr>
      <w:rFonts w:cs="Times New Roman"/>
    </w:rPr>
  </w:style>
  <w:style w:type="character" w:customStyle="1" w:styleId="ListLabel299">
    <w:name w:val="ListLabel 299"/>
    <w:qFormat/>
    <w:rsid w:val="002F4459"/>
    <w:rPr>
      <w:rFonts w:cs="Courier New"/>
    </w:rPr>
  </w:style>
  <w:style w:type="character" w:customStyle="1" w:styleId="ListLabel300">
    <w:name w:val="ListLabel 300"/>
    <w:qFormat/>
    <w:rsid w:val="002F4459"/>
    <w:rPr>
      <w:rFonts w:cs="Courier New"/>
    </w:rPr>
  </w:style>
  <w:style w:type="character" w:customStyle="1" w:styleId="ListLabel301">
    <w:name w:val="ListLabel 301"/>
    <w:qFormat/>
    <w:rsid w:val="002F4459"/>
    <w:rPr>
      <w:rFonts w:cs="Courier New"/>
    </w:rPr>
  </w:style>
  <w:style w:type="character" w:customStyle="1" w:styleId="ListLabel302">
    <w:name w:val="ListLabel 302"/>
    <w:qFormat/>
    <w:rsid w:val="002F4459"/>
    <w:rPr>
      <w:rFonts w:cs="Times New Roman"/>
    </w:rPr>
  </w:style>
  <w:style w:type="character" w:customStyle="1" w:styleId="ListLabel303">
    <w:name w:val="ListLabel 303"/>
    <w:qFormat/>
    <w:rsid w:val="002F4459"/>
    <w:rPr>
      <w:rFonts w:cs="Courier New"/>
    </w:rPr>
  </w:style>
  <w:style w:type="character" w:customStyle="1" w:styleId="ListLabel304">
    <w:name w:val="ListLabel 304"/>
    <w:qFormat/>
    <w:rsid w:val="002F4459"/>
    <w:rPr>
      <w:rFonts w:cs="Courier New"/>
    </w:rPr>
  </w:style>
  <w:style w:type="character" w:customStyle="1" w:styleId="ListLabel305">
    <w:name w:val="ListLabel 305"/>
    <w:qFormat/>
    <w:rsid w:val="002F4459"/>
    <w:rPr>
      <w:rFonts w:cs="Courier New"/>
    </w:rPr>
  </w:style>
  <w:style w:type="character" w:customStyle="1" w:styleId="ListLabel306">
    <w:name w:val="ListLabel 306"/>
    <w:qFormat/>
    <w:rsid w:val="002F4459"/>
    <w:rPr>
      <w:rFonts w:cs="Times New Roman"/>
    </w:rPr>
  </w:style>
  <w:style w:type="character" w:customStyle="1" w:styleId="ListLabel307">
    <w:name w:val="ListLabel 307"/>
    <w:qFormat/>
    <w:rsid w:val="002F4459"/>
    <w:rPr>
      <w:rFonts w:cs="Courier New"/>
    </w:rPr>
  </w:style>
  <w:style w:type="character" w:customStyle="1" w:styleId="ListLabel308">
    <w:name w:val="ListLabel 308"/>
    <w:qFormat/>
    <w:rsid w:val="002F4459"/>
    <w:rPr>
      <w:rFonts w:cs="Courier New"/>
    </w:rPr>
  </w:style>
  <w:style w:type="character" w:customStyle="1" w:styleId="ListLabel309">
    <w:name w:val="ListLabel 309"/>
    <w:qFormat/>
    <w:rsid w:val="002F4459"/>
    <w:rPr>
      <w:rFonts w:cs="Courier New"/>
    </w:rPr>
  </w:style>
  <w:style w:type="character" w:customStyle="1" w:styleId="ListLabel310">
    <w:name w:val="ListLabel 310"/>
    <w:qFormat/>
    <w:rsid w:val="002F4459"/>
    <w:rPr>
      <w:rFonts w:cs="Times New Roman"/>
    </w:rPr>
  </w:style>
  <w:style w:type="character" w:customStyle="1" w:styleId="ListLabel311">
    <w:name w:val="ListLabel 311"/>
    <w:qFormat/>
    <w:rsid w:val="002F4459"/>
    <w:rPr>
      <w:rFonts w:cs="Courier New"/>
    </w:rPr>
  </w:style>
  <w:style w:type="character" w:customStyle="1" w:styleId="ListLabel312">
    <w:name w:val="ListLabel 312"/>
    <w:qFormat/>
    <w:rsid w:val="002F4459"/>
    <w:rPr>
      <w:rFonts w:cs="Courier New"/>
    </w:rPr>
  </w:style>
  <w:style w:type="character" w:customStyle="1" w:styleId="ListLabel313">
    <w:name w:val="ListLabel 313"/>
    <w:qFormat/>
    <w:rsid w:val="002F4459"/>
    <w:rPr>
      <w:rFonts w:cs="Courier New"/>
    </w:rPr>
  </w:style>
  <w:style w:type="character" w:customStyle="1" w:styleId="ListLabel314">
    <w:name w:val="ListLabel 314"/>
    <w:qFormat/>
    <w:rsid w:val="002F4459"/>
    <w:rPr>
      <w:rFonts w:cs="Times New Roman"/>
    </w:rPr>
  </w:style>
  <w:style w:type="character" w:customStyle="1" w:styleId="ListLabel315">
    <w:name w:val="ListLabel 315"/>
    <w:qFormat/>
    <w:rsid w:val="002F4459"/>
    <w:rPr>
      <w:rFonts w:cs="Courier New"/>
    </w:rPr>
  </w:style>
  <w:style w:type="character" w:customStyle="1" w:styleId="ListLabel316">
    <w:name w:val="ListLabel 316"/>
    <w:qFormat/>
    <w:rsid w:val="002F4459"/>
    <w:rPr>
      <w:rFonts w:cs="Courier New"/>
    </w:rPr>
  </w:style>
  <w:style w:type="character" w:customStyle="1" w:styleId="ListLabel317">
    <w:name w:val="ListLabel 317"/>
    <w:qFormat/>
    <w:rsid w:val="002F4459"/>
    <w:rPr>
      <w:rFonts w:cs="Courier New"/>
    </w:rPr>
  </w:style>
  <w:style w:type="character" w:customStyle="1" w:styleId="ListLabel318">
    <w:name w:val="ListLabel 318"/>
    <w:qFormat/>
    <w:rsid w:val="002F4459"/>
    <w:rPr>
      <w:rFonts w:cs="Times New Roman"/>
    </w:rPr>
  </w:style>
  <w:style w:type="character" w:customStyle="1" w:styleId="ListLabel319">
    <w:name w:val="ListLabel 319"/>
    <w:qFormat/>
    <w:rsid w:val="002F4459"/>
    <w:rPr>
      <w:rFonts w:cs="Courier New"/>
    </w:rPr>
  </w:style>
  <w:style w:type="character" w:customStyle="1" w:styleId="ListLabel320">
    <w:name w:val="ListLabel 320"/>
    <w:qFormat/>
    <w:rsid w:val="002F4459"/>
    <w:rPr>
      <w:rFonts w:cs="Courier New"/>
    </w:rPr>
  </w:style>
  <w:style w:type="character" w:customStyle="1" w:styleId="ListLabel321">
    <w:name w:val="ListLabel 321"/>
    <w:qFormat/>
    <w:rsid w:val="002F4459"/>
    <w:rPr>
      <w:rFonts w:cs="Courier New"/>
    </w:rPr>
  </w:style>
  <w:style w:type="character" w:customStyle="1" w:styleId="ListLabel322">
    <w:name w:val="ListLabel 322"/>
    <w:qFormat/>
    <w:rsid w:val="002F4459"/>
    <w:rPr>
      <w:rFonts w:cs="Times New Roman"/>
    </w:rPr>
  </w:style>
  <w:style w:type="character" w:customStyle="1" w:styleId="ListLabel323">
    <w:name w:val="ListLabel 323"/>
    <w:qFormat/>
    <w:rsid w:val="002F4459"/>
    <w:rPr>
      <w:rFonts w:cs="Courier New"/>
    </w:rPr>
  </w:style>
  <w:style w:type="character" w:customStyle="1" w:styleId="ListLabel324">
    <w:name w:val="ListLabel 324"/>
    <w:qFormat/>
    <w:rsid w:val="002F4459"/>
    <w:rPr>
      <w:rFonts w:cs="Courier New"/>
    </w:rPr>
  </w:style>
  <w:style w:type="character" w:customStyle="1" w:styleId="ListLabel325">
    <w:name w:val="ListLabel 325"/>
    <w:qFormat/>
    <w:rsid w:val="002F4459"/>
    <w:rPr>
      <w:rFonts w:cs="Courier New"/>
    </w:rPr>
  </w:style>
  <w:style w:type="character" w:customStyle="1" w:styleId="ListLabel326">
    <w:name w:val="ListLabel 326"/>
    <w:qFormat/>
    <w:rsid w:val="002F4459"/>
    <w:rPr>
      <w:rFonts w:cs="Times New Roman"/>
    </w:rPr>
  </w:style>
  <w:style w:type="character" w:customStyle="1" w:styleId="ListLabel327">
    <w:name w:val="ListLabel 327"/>
    <w:qFormat/>
    <w:rsid w:val="002F4459"/>
    <w:rPr>
      <w:rFonts w:cs="Courier New"/>
    </w:rPr>
  </w:style>
  <w:style w:type="character" w:customStyle="1" w:styleId="ListLabel328">
    <w:name w:val="ListLabel 328"/>
    <w:qFormat/>
    <w:rsid w:val="002F4459"/>
    <w:rPr>
      <w:rFonts w:cs="Courier New"/>
    </w:rPr>
  </w:style>
  <w:style w:type="character" w:customStyle="1" w:styleId="ListLabel329">
    <w:name w:val="ListLabel 329"/>
    <w:qFormat/>
    <w:rsid w:val="002F4459"/>
    <w:rPr>
      <w:rFonts w:cs="Courier New"/>
    </w:rPr>
  </w:style>
  <w:style w:type="character" w:customStyle="1" w:styleId="ListLabel330">
    <w:name w:val="ListLabel 330"/>
    <w:qFormat/>
    <w:rsid w:val="002F4459"/>
    <w:rPr>
      <w:rFonts w:cs="Symbol"/>
    </w:rPr>
  </w:style>
  <w:style w:type="character" w:customStyle="1" w:styleId="ListLabel331">
    <w:name w:val="ListLabel 331"/>
    <w:qFormat/>
    <w:rsid w:val="002F4459"/>
    <w:rPr>
      <w:rFonts w:cs="Courier New"/>
    </w:rPr>
  </w:style>
  <w:style w:type="character" w:customStyle="1" w:styleId="ListLabel332">
    <w:name w:val="ListLabel 332"/>
    <w:qFormat/>
    <w:rsid w:val="002F4459"/>
    <w:rPr>
      <w:rFonts w:cs="Wingdings"/>
    </w:rPr>
  </w:style>
  <w:style w:type="character" w:customStyle="1" w:styleId="ListLabel333">
    <w:name w:val="ListLabel 333"/>
    <w:qFormat/>
    <w:rsid w:val="002F4459"/>
    <w:rPr>
      <w:rFonts w:cs="Symbol"/>
    </w:rPr>
  </w:style>
  <w:style w:type="character" w:customStyle="1" w:styleId="ListLabel334">
    <w:name w:val="ListLabel 334"/>
    <w:qFormat/>
    <w:rsid w:val="002F4459"/>
    <w:rPr>
      <w:rFonts w:cs="Courier New"/>
    </w:rPr>
  </w:style>
  <w:style w:type="character" w:customStyle="1" w:styleId="ListLabel335">
    <w:name w:val="ListLabel 335"/>
    <w:qFormat/>
    <w:rsid w:val="002F4459"/>
    <w:rPr>
      <w:rFonts w:cs="Wingdings"/>
    </w:rPr>
  </w:style>
  <w:style w:type="character" w:customStyle="1" w:styleId="ListLabel336">
    <w:name w:val="ListLabel 336"/>
    <w:qFormat/>
    <w:rsid w:val="002F4459"/>
    <w:rPr>
      <w:rFonts w:cs="Symbol"/>
    </w:rPr>
  </w:style>
  <w:style w:type="character" w:customStyle="1" w:styleId="ListLabel337">
    <w:name w:val="ListLabel 337"/>
    <w:qFormat/>
    <w:rsid w:val="002F4459"/>
    <w:rPr>
      <w:rFonts w:cs="Courier New"/>
    </w:rPr>
  </w:style>
  <w:style w:type="character" w:customStyle="1" w:styleId="ListLabel338">
    <w:name w:val="ListLabel 338"/>
    <w:qFormat/>
    <w:rsid w:val="002F4459"/>
    <w:rPr>
      <w:rFonts w:cs="Wingdings"/>
    </w:rPr>
  </w:style>
  <w:style w:type="character" w:customStyle="1" w:styleId="ListLabel339">
    <w:name w:val="ListLabel 339"/>
    <w:qFormat/>
    <w:rsid w:val="002F4459"/>
    <w:rPr>
      <w:rFonts w:cs="Courier New"/>
    </w:rPr>
  </w:style>
  <w:style w:type="character" w:customStyle="1" w:styleId="ListLabel340">
    <w:name w:val="ListLabel 340"/>
    <w:qFormat/>
    <w:rsid w:val="002F4459"/>
    <w:rPr>
      <w:rFonts w:cs="Courier New"/>
    </w:rPr>
  </w:style>
  <w:style w:type="character" w:customStyle="1" w:styleId="ListLabel341">
    <w:name w:val="ListLabel 341"/>
    <w:qFormat/>
    <w:rsid w:val="002F4459"/>
    <w:rPr>
      <w:rFonts w:cs="Times New Roman"/>
    </w:rPr>
  </w:style>
  <w:style w:type="character" w:customStyle="1" w:styleId="ListLabel342">
    <w:name w:val="ListLabel 342"/>
    <w:qFormat/>
    <w:rsid w:val="002F4459"/>
    <w:rPr>
      <w:rFonts w:cs="Courier New"/>
    </w:rPr>
  </w:style>
  <w:style w:type="character" w:customStyle="1" w:styleId="ListLabel343">
    <w:name w:val="ListLabel 343"/>
    <w:qFormat/>
    <w:rsid w:val="002F4459"/>
    <w:rPr>
      <w:rFonts w:cs="Courier New"/>
    </w:rPr>
  </w:style>
  <w:style w:type="character" w:customStyle="1" w:styleId="ListLabel344">
    <w:name w:val="ListLabel 344"/>
    <w:qFormat/>
    <w:rsid w:val="002F4459"/>
    <w:rPr>
      <w:rFonts w:cs="Courier New"/>
    </w:rPr>
  </w:style>
  <w:style w:type="character" w:customStyle="1" w:styleId="ListLabel345">
    <w:name w:val="ListLabel 345"/>
    <w:qFormat/>
    <w:rsid w:val="002F4459"/>
    <w:rPr>
      <w:rFonts w:cs="Times New Roman"/>
    </w:rPr>
  </w:style>
  <w:style w:type="character" w:customStyle="1" w:styleId="ListLabel346">
    <w:name w:val="ListLabel 346"/>
    <w:qFormat/>
    <w:rsid w:val="002F4459"/>
    <w:rPr>
      <w:rFonts w:cs="Courier New"/>
    </w:rPr>
  </w:style>
  <w:style w:type="character" w:customStyle="1" w:styleId="ListLabel347">
    <w:name w:val="ListLabel 347"/>
    <w:qFormat/>
    <w:rsid w:val="002F4459"/>
    <w:rPr>
      <w:rFonts w:cs="Courier New"/>
    </w:rPr>
  </w:style>
  <w:style w:type="character" w:customStyle="1" w:styleId="ListLabel348">
    <w:name w:val="ListLabel 348"/>
    <w:qFormat/>
    <w:rsid w:val="002F4459"/>
    <w:rPr>
      <w:rFonts w:cs="Courier New"/>
    </w:rPr>
  </w:style>
  <w:style w:type="character" w:customStyle="1" w:styleId="ListLabel349">
    <w:name w:val="ListLabel 349"/>
    <w:qFormat/>
    <w:rsid w:val="002F4459"/>
    <w:rPr>
      <w:rFonts w:cs="Times New Roman"/>
    </w:rPr>
  </w:style>
  <w:style w:type="character" w:customStyle="1" w:styleId="ListLabel350">
    <w:name w:val="ListLabel 350"/>
    <w:qFormat/>
    <w:rsid w:val="002F4459"/>
    <w:rPr>
      <w:rFonts w:cs="Courier New"/>
    </w:rPr>
  </w:style>
  <w:style w:type="character" w:customStyle="1" w:styleId="ListLabel351">
    <w:name w:val="ListLabel 351"/>
    <w:qFormat/>
    <w:rsid w:val="002F4459"/>
    <w:rPr>
      <w:rFonts w:cs="Courier New"/>
    </w:rPr>
  </w:style>
  <w:style w:type="character" w:customStyle="1" w:styleId="ListLabel352">
    <w:name w:val="ListLabel 352"/>
    <w:qFormat/>
    <w:rsid w:val="002F4459"/>
    <w:rPr>
      <w:rFonts w:cs="Courier New"/>
    </w:rPr>
  </w:style>
  <w:style w:type="character" w:customStyle="1" w:styleId="ListLabel353">
    <w:name w:val="ListLabel 353"/>
    <w:qFormat/>
    <w:rsid w:val="002F4459"/>
    <w:rPr>
      <w:rFonts w:cs="Times New Roman"/>
      <w:sz w:val="16"/>
    </w:rPr>
  </w:style>
  <w:style w:type="character" w:customStyle="1" w:styleId="ListLabel354">
    <w:name w:val="ListLabel 354"/>
    <w:qFormat/>
    <w:rsid w:val="002F4459"/>
    <w:rPr>
      <w:rFonts w:cs="Courier New"/>
    </w:rPr>
  </w:style>
  <w:style w:type="character" w:customStyle="1" w:styleId="ListLabel355">
    <w:name w:val="ListLabel 355"/>
    <w:qFormat/>
    <w:rsid w:val="002F4459"/>
    <w:rPr>
      <w:rFonts w:cs="Courier New"/>
    </w:rPr>
  </w:style>
  <w:style w:type="character" w:customStyle="1" w:styleId="ListLabel356">
    <w:name w:val="ListLabel 356"/>
    <w:qFormat/>
    <w:rsid w:val="002F4459"/>
    <w:rPr>
      <w:rFonts w:cs="Courier New"/>
    </w:rPr>
  </w:style>
  <w:style w:type="character" w:customStyle="1" w:styleId="ListLabel357">
    <w:name w:val="ListLabel 357"/>
    <w:qFormat/>
    <w:rsid w:val="002F4459"/>
    <w:rPr>
      <w:rFonts w:cs="Times New Roman"/>
    </w:rPr>
  </w:style>
  <w:style w:type="character" w:customStyle="1" w:styleId="ListLabel358">
    <w:name w:val="ListLabel 358"/>
    <w:qFormat/>
    <w:rsid w:val="002F4459"/>
    <w:rPr>
      <w:rFonts w:cs="Courier New"/>
    </w:rPr>
  </w:style>
  <w:style w:type="character" w:customStyle="1" w:styleId="ListLabel359">
    <w:name w:val="ListLabel 359"/>
    <w:qFormat/>
    <w:rsid w:val="002F4459"/>
    <w:rPr>
      <w:rFonts w:cs="Courier New"/>
    </w:rPr>
  </w:style>
  <w:style w:type="character" w:customStyle="1" w:styleId="ListLabel360">
    <w:name w:val="ListLabel 360"/>
    <w:qFormat/>
    <w:rsid w:val="002F4459"/>
    <w:rPr>
      <w:rFonts w:cs="Courier New"/>
    </w:rPr>
  </w:style>
  <w:style w:type="character" w:customStyle="1" w:styleId="ListLabel361">
    <w:name w:val="ListLabel 361"/>
    <w:qFormat/>
    <w:rsid w:val="002F4459"/>
    <w:rPr>
      <w:rFonts w:cs="Times New Roman"/>
    </w:rPr>
  </w:style>
  <w:style w:type="character" w:customStyle="1" w:styleId="ListLabel362">
    <w:name w:val="ListLabel 362"/>
    <w:qFormat/>
    <w:rsid w:val="002F4459"/>
    <w:rPr>
      <w:rFonts w:cs="Courier New"/>
    </w:rPr>
  </w:style>
  <w:style w:type="character" w:customStyle="1" w:styleId="ListLabel363">
    <w:name w:val="ListLabel 363"/>
    <w:qFormat/>
    <w:rsid w:val="002F4459"/>
    <w:rPr>
      <w:rFonts w:cs="Courier New"/>
    </w:rPr>
  </w:style>
  <w:style w:type="character" w:customStyle="1" w:styleId="ListLabel364">
    <w:name w:val="ListLabel 364"/>
    <w:qFormat/>
    <w:rsid w:val="002F4459"/>
    <w:rPr>
      <w:rFonts w:cs="Courier New"/>
    </w:rPr>
  </w:style>
  <w:style w:type="character" w:customStyle="1" w:styleId="ListLabel365">
    <w:name w:val="ListLabel 365"/>
    <w:qFormat/>
    <w:rsid w:val="002F4459"/>
    <w:rPr>
      <w:rFonts w:cs="Times New Roman"/>
    </w:rPr>
  </w:style>
  <w:style w:type="character" w:customStyle="1" w:styleId="ListLabel366">
    <w:name w:val="ListLabel 366"/>
    <w:qFormat/>
    <w:rsid w:val="002F4459"/>
    <w:rPr>
      <w:rFonts w:cs="Courier New"/>
    </w:rPr>
  </w:style>
  <w:style w:type="character" w:customStyle="1" w:styleId="ListLabel367">
    <w:name w:val="ListLabel 367"/>
    <w:qFormat/>
    <w:rsid w:val="002F4459"/>
    <w:rPr>
      <w:rFonts w:cs="Courier New"/>
    </w:rPr>
  </w:style>
  <w:style w:type="character" w:customStyle="1" w:styleId="ListLabel368">
    <w:name w:val="ListLabel 368"/>
    <w:qFormat/>
    <w:rsid w:val="002F4459"/>
    <w:rPr>
      <w:rFonts w:cs="Courier New"/>
    </w:rPr>
  </w:style>
  <w:style w:type="character" w:customStyle="1" w:styleId="ListLabel369">
    <w:name w:val="ListLabel 369"/>
    <w:qFormat/>
    <w:rsid w:val="002F4459"/>
    <w:rPr>
      <w:rFonts w:cs="Times New Roman"/>
    </w:rPr>
  </w:style>
  <w:style w:type="character" w:customStyle="1" w:styleId="ListLabel370">
    <w:name w:val="ListLabel 370"/>
    <w:qFormat/>
    <w:rsid w:val="002F4459"/>
    <w:rPr>
      <w:rFonts w:cs="Courier New"/>
    </w:rPr>
  </w:style>
  <w:style w:type="character" w:customStyle="1" w:styleId="ListLabel371">
    <w:name w:val="ListLabel 371"/>
    <w:qFormat/>
    <w:rsid w:val="002F4459"/>
    <w:rPr>
      <w:rFonts w:cs="Courier New"/>
    </w:rPr>
  </w:style>
  <w:style w:type="character" w:customStyle="1" w:styleId="ListLabel372">
    <w:name w:val="ListLabel 372"/>
    <w:qFormat/>
    <w:rsid w:val="002F4459"/>
    <w:rPr>
      <w:rFonts w:cs="Courier New"/>
    </w:rPr>
  </w:style>
  <w:style w:type="character" w:customStyle="1" w:styleId="ListLabel373">
    <w:name w:val="ListLabel 373"/>
    <w:qFormat/>
    <w:rsid w:val="002F4459"/>
    <w:rPr>
      <w:rFonts w:cs="Times New Roman"/>
    </w:rPr>
  </w:style>
  <w:style w:type="character" w:customStyle="1" w:styleId="ListLabel374">
    <w:name w:val="ListLabel 374"/>
    <w:qFormat/>
    <w:rsid w:val="002F4459"/>
    <w:rPr>
      <w:rFonts w:cs="Courier New"/>
    </w:rPr>
  </w:style>
  <w:style w:type="character" w:customStyle="1" w:styleId="ListLabel375">
    <w:name w:val="ListLabel 375"/>
    <w:qFormat/>
    <w:rsid w:val="002F4459"/>
    <w:rPr>
      <w:rFonts w:cs="Courier New"/>
    </w:rPr>
  </w:style>
  <w:style w:type="character" w:customStyle="1" w:styleId="ListLabel376">
    <w:name w:val="ListLabel 376"/>
    <w:qFormat/>
    <w:rsid w:val="002F4459"/>
    <w:rPr>
      <w:rFonts w:cs="Courier New"/>
    </w:rPr>
  </w:style>
  <w:style w:type="character" w:customStyle="1" w:styleId="ListLabel377">
    <w:name w:val="ListLabel 377"/>
    <w:qFormat/>
    <w:rsid w:val="002F4459"/>
    <w:rPr>
      <w:rFonts w:eastAsia="Times New Roman" w:cs="Times New Roman"/>
    </w:rPr>
  </w:style>
  <w:style w:type="character" w:customStyle="1" w:styleId="ListLabel378">
    <w:name w:val="ListLabel 378"/>
    <w:qFormat/>
    <w:rsid w:val="002F4459"/>
    <w:rPr>
      <w:rFonts w:cs="Times New Roman"/>
    </w:rPr>
  </w:style>
  <w:style w:type="character" w:customStyle="1" w:styleId="ListLabel379">
    <w:name w:val="ListLabel 379"/>
    <w:qFormat/>
    <w:rsid w:val="002F4459"/>
    <w:rPr>
      <w:rFonts w:cs="Courier New"/>
    </w:rPr>
  </w:style>
  <w:style w:type="character" w:customStyle="1" w:styleId="ListLabel380">
    <w:name w:val="ListLabel 380"/>
    <w:qFormat/>
    <w:rsid w:val="002F4459"/>
    <w:rPr>
      <w:rFonts w:cs="Courier New"/>
    </w:rPr>
  </w:style>
  <w:style w:type="character" w:customStyle="1" w:styleId="ListLabel381">
    <w:name w:val="ListLabel 381"/>
    <w:qFormat/>
    <w:rsid w:val="002F4459"/>
    <w:rPr>
      <w:rFonts w:cs="Courier New"/>
    </w:rPr>
  </w:style>
  <w:style w:type="character" w:customStyle="1" w:styleId="ListLabel382">
    <w:name w:val="ListLabel 382"/>
    <w:qFormat/>
    <w:rsid w:val="002F4459"/>
    <w:rPr>
      <w:rFonts w:cs="Times New Roman"/>
    </w:rPr>
  </w:style>
  <w:style w:type="character" w:customStyle="1" w:styleId="ListLabel383">
    <w:name w:val="ListLabel 383"/>
    <w:qFormat/>
    <w:rsid w:val="002F4459"/>
    <w:rPr>
      <w:rFonts w:cs="Courier New"/>
    </w:rPr>
  </w:style>
  <w:style w:type="character" w:customStyle="1" w:styleId="ListLabel384">
    <w:name w:val="ListLabel 384"/>
    <w:qFormat/>
    <w:rsid w:val="002F4459"/>
    <w:rPr>
      <w:rFonts w:cs="Courier New"/>
    </w:rPr>
  </w:style>
  <w:style w:type="character" w:customStyle="1" w:styleId="ListLabel385">
    <w:name w:val="ListLabel 385"/>
    <w:qFormat/>
    <w:rsid w:val="002F4459"/>
    <w:rPr>
      <w:rFonts w:cs="Courier New"/>
    </w:rPr>
  </w:style>
  <w:style w:type="character" w:customStyle="1" w:styleId="ListLabel386">
    <w:name w:val="ListLabel 386"/>
    <w:qFormat/>
    <w:rsid w:val="002F4459"/>
    <w:rPr>
      <w:rFonts w:cs="Times New Roman"/>
    </w:rPr>
  </w:style>
  <w:style w:type="character" w:customStyle="1" w:styleId="ListLabel387">
    <w:name w:val="ListLabel 387"/>
    <w:qFormat/>
    <w:rsid w:val="002F4459"/>
    <w:rPr>
      <w:rFonts w:cs="Courier New"/>
    </w:rPr>
  </w:style>
  <w:style w:type="character" w:customStyle="1" w:styleId="ListLabel388">
    <w:name w:val="ListLabel 388"/>
    <w:qFormat/>
    <w:rsid w:val="002F4459"/>
    <w:rPr>
      <w:rFonts w:cs="Courier New"/>
    </w:rPr>
  </w:style>
  <w:style w:type="character" w:customStyle="1" w:styleId="ListLabel389">
    <w:name w:val="ListLabel 389"/>
    <w:qFormat/>
    <w:rsid w:val="002F4459"/>
    <w:rPr>
      <w:rFonts w:cs="Courier New"/>
    </w:rPr>
  </w:style>
  <w:style w:type="character" w:customStyle="1" w:styleId="ListLabel390">
    <w:name w:val="ListLabel 390"/>
    <w:qFormat/>
    <w:rsid w:val="002F4459"/>
    <w:rPr>
      <w:rFonts w:cs="Times New Roman"/>
    </w:rPr>
  </w:style>
  <w:style w:type="character" w:customStyle="1" w:styleId="ListLabel391">
    <w:name w:val="ListLabel 391"/>
    <w:qFormat/>
    <w:rsid w:val="002F4459"/>
    <w:rPr>
      <w:rFonts w:cs="Courier New"/>
    </w:rPr>
  </w:style>
  <w:style w:type="character" w:customStyle="1" w:styleId="ListLabel392">
    <w:name w:val="ListLabel 392"/>
    <w:qFormat/>
    <w:rsid w:val="002F4459"/>
    <w:rPr>
      <w:rFonts w:cs="Courier New"/>
    </w:rPr>
  </w:style>
  <w:style w:type="character" w:customStyle="1" w:styleId="ListLabel393">
    <w:name w:val="ListLabel 393"/>
    <w:qFormat/>
    <w:rsid w:val="002F4459"/>
    <w:rPr>
      <w:rFonts w:cs="Courier New"/>
    </w:rPr>
  </w:style>
  <w:style w:type="character" w:customStyle="1" w:styleId="ListLabel394">
    <w:name w:val="ListLabel 394"/>
    <w:qFormat/>
    <w:rsid w:val="002F4459"/>
    <w:rPr>
      <w:rFonts w:cs="Times New Roman"/>
    </w:rPr>
  </w:style>
  <w:style w:type="character" w:customStyle="1" w:styleId="ListLabel395">
    <w:name w:val="ListLabel 395"/>
    <w:qFormat/>
    <w:rsid w:val="002F4459"/>
    <w:rPr>
      <w:rFonts w:cs="Courier New"/>
    </w:rPr>
  </w:style>
  <w:style w:type="character" w:customStyle="1" w:styleId="ListLabel396">
    <w:name w:val="ListLabel 396"/>
    <w:qFormat/>
    <w:rsid w:val="002F4459"/>
    <w:rPr>
      <w:rFonts w:cs="Courier New"/>
    </w:rPr>
  </w:style>
  <w:style w:type="character" w:customStyle="1" w:styleId="ListLabel397">
    <w:name w:val="ListLabel 397"/>
    <w:qFormat/>
    <w:rsid w:val="002F4459"/>
    <w:rPr>
      <w:rFonts w:cs="Courier New"/>
    </w:rPr>
  </w:style>
  <w:style w:type="character" w:customStyle="1" w:styleId="ListLabel398">
    <w:name w:val="ListLabel 398"/>
    <w:qFormat/>
    <w:rsid w:val="002F4459"/>
    <w:rPr>
      <w:rFonts w:cs="Times New Roman"/>
      <w:b/>
    </w:rPr>
  </w:style>
  <w:style w:type="character" w:customStyle="1" w:styleId="ListLabel399">
    <w:name w:val="ListLabel 399"/>
    <w:qFormat/>
    <w:rsid w:val="002F4459"/>
    <w:rPr>
      <w:rFonts w:cs="Courier New"/>
    </w:rPr>
  </w:style>
  <w:style w:type="character" w:customStyle="1" w:styleId="ListLabel400">
    <w:name w:val="ListLabel 400"/>
    <w:qFormat/>
    <w:rsid w:val="002F4459"/>
    <w:rPr>
      <w:rFonts w:cs="Courier New"/>
    </w:rPr>
  </w:style>
  <w:style w:type="character" w:customStyle="1" w:styleId="ListLabel401">
    <w:name w:val="ListLabel 401"/>
    <w:qFormat/>
    <w:rsid w:val="002F4459"/>
    <w:rPr>
      <w:rFonts w:cs="Courier New"/>
    </w:rPr>
  </w:style>
  <w:style w:type="character" w:customStyle="1" w:styleId="ListLabel402">
    <w:name w:val="ListLabel 402"/>
    <w:qFormat/>
    <w:rsid w:val="002F4459"/>
    <w:rPr>
      <w:rFonts w:cs="Times New Roman"/>
    </w:rPr>
  </w:style>
  <w:style w:type="character" w:customStyle="1" w:styleId="ListLabel403">
    <w:name w:val="ListLabel 403"/>
    <w:qFormat/>
    <w:rsid w:val="002F4459"/>
    <w:rPr>
      <w:rFonts w:cs="Courier New"/>
    </w:rPr>
  </w:style>
  <w:style w:type="character" w:customStyle="1" w:styleId="ListLabel404">
    <w:name w:val="ListLabel 404"/>
    <w:qFormat/>
    <w:rsid w:val="002F4459"/>
    <w:rPr>
      <w:rFonts w:cs="Courier New"/>
    </w:rPr>
  </w:style>
  <w:style w:type="character" w:customStyle="1" w:styleId="ListLabel405">
    <w:name w:val="ListLabel 405"/>
    <w:qFormat/>
    <w:rsid w:val="002F4459"/>
    <w:rPr>
      <w:rFonts w:cs="Courier New"/>
    </w:rPr>
  </w:style>
  <w:style w:type="character" w:customStyle="1" w:styleId="ListLabel406">
    <w:name w:val="ListLabel 406"/>
    <w:qFormat/>
    <w:rsid w:val="002F4459"/>
    <w:rPr>
      <w:rFonts w:cs="Times New Roman"/>
    </w:rPr>
  </w:style>
  <w:style w:type="character" w:customStyle="1" w:styleId="ListLabel407">
    <w:name w:val="ListLabel 407"/>
    <w:qFormat/>
    <w:rsid w:val="002F4459"/>
    <w:rPr>
      <w:rFonts w:cs="Courier New"/>
    </w:rPr>
  </w:style>
  <w:style w:type="character" w:customStyle="1" w:styleId="ListLabel408">
    <w:name w:val="ListLabel 408"/>
    <w:qFormat/>
    <w:rsid w:val="002F4459"/>
    <w:rPr>
      <w:rFonts w:cs="Courier New"/>
    </w:rPr>
  </w:style>
  <w:style w:type="character" w:customStyle="1" w:styleId="ListLabel409">
    <w:name w:val="ListLabel 409"/>
    <w:qFormat/>
    <w:rsid w:val="002F4459"/>
    <w:rPr>
      <w:rFonts w:cs="Courier New"/>
    </w:rPr>
  </w:style>
  <w:style w:type="character" w:customStyle="1" w:styleId="ListLabel410">
    <w:name w:val="ListLabel 410"/>
    <w:qFormat/>
    <w:rsid w:val="002F4459"/>
    <w:rPr>
      <w:rFonts w:cs="Times New Roman"/>
    </w:rPr>
  </w:style>
  <w:style w:type="character" w:customStyle="1" w:styleId="ListLabel411">
    <w:name w:val="ListLabel 411"/>
    <w:qFormat/>
    <w:rsid w:val="002F4459"/>
    <w:rPr>
      <w:rFonts w:cs="Courier New"/>
    </w:rPr>
  </w:style>
  <w:style w:type="character" w:customStyle="1" w:styleId="ListLabel412">
    <w:name w:val="ListLabel 412"/>
    <w:qFormat/>
    <w:rsid w:val="002F4459"/>
    <w:rPr>
      <w:rFonts w:cs="Courier New"/>
    </w:rPr>
  </w:style>
  <w:style w:type="character" w:customStyle="1" w:styleId="ListLabel413">
    <w:name w:val="ListLabel 413"/>
    <w:qFormat/>
    <w:rsid w:val="002F4459"/>
    <w:rPr>
      <w:rFonts w:cs="Courier New"/>
    </w:rPr>
  </w:style>
  <w:style w:type="character" w:customStyle="1" w:styleId="ListLabel414">
    <w:name w:val="ListLabel 414"/>
    <w:qFormat/>
    <w:rsid w:val="002F4459"/>
    <w:rPr>
      <w:rFonts w:cs="Times New Roman"/>
    </w:rPr>
  </w:style>
  <w:style w:type="character" w:customStyle="1" w:styleId="ListLabel415">
    <w:name w:val="ListLabel 415"/>
    <w:qFormat/>
    <w:rsid w:val="002F4459"/>
    <w:rPr>
      <w:rFonts w:cs="Courier New"/>
    </w:rPr>
  </w:style>
  <w:style w:type="character" w:customStyle="1" w:styleId="ListLabel416">
    <w:name w:val="ListLabel 416"/>
    <w:qFormat/>
    <w:rsid w:val="002F4459"/>
    <w:rPr>
      <w:rFonts w:cs="Courier New"/>
    </w:rPr>
  </w:style>
  <w:style w:type="character" w:customStyle="1" w:styleId="ListLabel417">
    <w:name w:val="ListLabel 417"/>
    <w:qFormat/>
    <w:rsid w:val="002F4459"/>
    <w:rPr>
      <w:rFonts w:cs="Courier New"/>
    </w:rPr>
  </w:style>
  <w:style w:type="character" w:customStyle="1" w:styleId="ListLabel418">
    <w:name w:val="ListLabel 418"/>
    <w:qFormat/>
    <w:rsid w:val="002F4459"/>
    <w:rPr>
      <w:rFonts w:cs="Times New Roman"/>
    </w:rPr>
  </w:style>
  <w:style w:type="character" w:customStyle="1" w:styleId="ListLabel419">
    <w:name w:val="ListLabel 419"/>
    <w:qFormat/>
    <w:rsid w:val="002F4459"/>
    <w:rPr>
      <w:rFonts w:cs="Courier New"/>
    </w:rPr>
  </w:style>
  <w:style w:type="character" w:customStyle="1" w:styleId="ListLabel420">
    <w:name w:val="ListLabel 420"/>
    <w:qFormat/>
    <w:rsid w:val="002F4459"/>
    <w:rPr>
      <w:rFonts w:cs="Courier New"/>
    </w:rPr>
  </w:style>
  <w:style w:type="character" w:customStyle="1" w:styleId="ListLabel421">
    <w:name w:val="ListLabel 421"/>
    <w:qFormat/>
    <w:rsid w:val="002F4459"/>
    <w:rPr>
      <w:rFonts w:cs="Courier New"/>
    </w:rPr>
  </w:style>
  <w:style w:type="character" w:customStyle="1" w:styleId="ListLabel422">
    <w:name w:val="ListLabel 422"/>
    <w:qFormat/>
    <w:rsid w:val="002F4459"/>
    <w:rPr>
      <w:rFonts w:cs="Times New Roman"/>
    </w:rPr>
  </w:style>
  <w:style w:type="character" w:customStyle="1" w:styleId="ListLabel423">
    <w:name w:val="ListLabel 423"/>
    <w:qFormat/>
    <w:rsid w:val="002F4459"/>
    <w:rPr>
      <w:rFonts w:cs="Courier New"/>
    </w:rPr>
  </w:style>
  <w:style w:type="character" w:customStyle="1" w:styleId="ListLabel424">
    <w:name w:val="ListLabel 424"/>
    <w:qFormat/>
    <w:rsid w:val="002F4459"/>
    <w:rPr>
      <w:rFonts w:cs="Courier New"/>
    </w:rPr>
  </w:style>
  <w:style w:type="character" w:customStyle="1" w:styleId="ListLabel425">
    <w:name w:val="ListLabel 425"/>
    <w:qFormat/>
    <w:rsid w:val="002F4459"/>
    <w:rPr>
      <w:rFonts w:cs="Courier New"/>
    </w:rPr>
  </w:style>
  <w:style w:type="character" w:customStyle="1" w:styleId="ListLabel426">
    <w:name w:val="ListLabel 426"/>
    <w:qFormat/>
    <w:rsid w:val="002F4459"/>
    <w:rPr>
      <w:rFonts w:cs="Times New Roman"/>
    </w:rPr>
  </w:style>
  <w:style w:type="character" w:customStyle="1" w:styleId="ListLabel427">
    <w:name w:val="ListLabel 427"/>
    <w:qFormat/>
    <w:rsid w:val="002F4459"/>
    <w:rPr>
      <w:rFonts w:cs="Courier New"/>
    </w:rPr>
  </w:style>
  <w:style w:type="character" w:customStyle="1" w:styleId="ListLabel428">
    <w:name w:val="ListLabel 428"/>
    <w:qFormat/>
    <w:rsid w:val="002F4459"/>
    <w:rPr>
      <w:rFonts w:cs="Courier New"/>
    </w:rPr>
  </w:style>
  <w:style w:type="character" w:customStyle="1" w:styleId="ListLabel429">
    <w:name w:val="ListLabel 429"/>
    <w:qFormat/>
    <w:rsid w:val="002F4459"/>
    <w:rPr>
      <w:rFonts w:cs="Courier New"/>
    </w:rPr>
  </w:style>
  <w:style w:type="character" w:customStyle="1" w:styleId="ListLabel430">
    <w:name w:val="ListLabel 430"/>
    <w:qFormat/>
    <w:rsid w:val="002F4459"/>
    <w:rPr>
      <w:rFonts w:cs="Times New Roman"/>
    </w:rPr>
  </w:style>
  <w:style w:type="character" w:customStyle="1" w:styleId="ListLabel431">
    <w:name w:val="ListLabel 431"/>
    <w:qFormat/>
    <w:rsid w:val="002F4459"/>
    <w:rPr>
      <w:rFonts w:cs="Courier New"/>
    </w:rPr>
  </w:style>
  <w:style w:type="character" w:customStyle="1" w:styleId="ListLabel432">
    <w:name w:val="ListLabel 432"/>
    <w:qFormat/>
    <w:rsid w:val="002F4459"/>
    <w:rPr>
      <w:rFonts w:cs="Courier New"/>
    </w:rPr>
  </w:style>
  <w:style w:type="character" w:customStyle="1" w:styleId="ListLabel433">
    <w:name w:val="ListLabel 433"/>
    <w:qFormat/>
    <w:rsid w:val="002F4459"/>
    <w:rPr>
      <w:rFonts w:cs="Courier New"/>
    </w:rPr>
  </w:style>
  <w:style w:type="character" w:customStyle="1" w:styleId="ListLabel434">
    <w:name w:val="ListLabel 434"/>
    <w:qFormat/>
    <w:rsid w:val="002F4459"/>
    <w:rPr>
      <w:rFonts w:cs="Times New Roman"/>
    </w:rPr>
  </w:style>
  <w:style w:type="character" w:customStyle="1" w:styleId="ListLabel435">
    <w:name w:val="ListLabel 435"/>
    <w:qFormat/>
    <w:rsid w:val="002F4459"/>
    <w:rPr>
      <w:rFonts w:cs="Courier New"/>
    </w:rPr>
  </w:style>
  <w:style w:type="character" w:customStyle="1" w:styleId="ListLabel436">
    <w:name w:val="ListLabel 436"/>
    <w:qFormat/>
    <w:rsid w:val="002F4459"/>
    <w:rPr>
      <w:rFonts w:cs="Courier New"/>
    </w:rPr>
  </w:style>
  <w:style w:type="character" w:customStyle="1" w:styleId="ListLabel437">
    <w:name w:val="ListLabel 437"/>
    <w:qFormat/>
    <w:rsid w:val="002F4459"/>
    <w:rPr>
      <w:rFonts w:cs="Courier New"/>
    </w:rPr>
  </w:style>
  <w:style w:type="character" w:customStyle="1" w:styleId="ListLabel438">
    <w:name w:val="ListLabel 438"/>
    <w:qFormat/>
    <w:rsid w:val="002F4459"/>
    <w:rPr>
      <w:rFonts w:cs="Times New Roman"/>
    </w:rPr>
  </w:style>
  <w:style w:type="character" w:customStyle="1" w:styleId="ListLabel439">
    <w:name w:val="ListLabel 439"/>
    <w:qFormat/>
    <w:rsid w:val="002F4459"/>
    <w:rPr>
      <w:rFonts w:cs="Courier New"/>
    </w:rPr>
  </w:style>
  <w:style w:type="character" w:customStyle="1" w:styleId="ListLabel440">
    <w:name w:val="ListLabel 440"/>
    <w:qFormat/>
    <w:rsid w:val="002F4459"/>
    <w:rPr>
      <w:rFonts w:cs="Courier New"/>
    </w:rPr>
  </w:style>
  <w:style w:type="character" w:customStyle="1" w:styleId="ListLabel441">
    <w:name w:val="ListLabel 441"/>
    <w:qFormat/>
    <w:rsid w:val="002F4459"/>
    <w:rPr>
      <w:rFonts w:cs="Courier New"/>
    </w:rPr>
  </w:style>
  <w:style w:type="character" w:customStyle="1" w:styleId="ListLabel442">
    <w:name w:val="ListLabel 442"/>
    <w:qFormat/>
    <w:rsid w:val="002F4459"/>
    <w:rPr>
      <w:rFonts w:cs="Times New Roman"/>
    </w:rPr>
  </w:style>
  <w:style w:type="character" w:customStyle="1" w:styleId="ListLabel443">
    <w:name w:val="ListLabel 443"/>
    <w:qFormat/>
    <w:rsid w:val="002F4459"/>
    <w:rPr>
      <w:rFonts w:cs="Courier New"/>
    </w:rPr>
  </w:style>
  <w:style w:type="character" w:customStyle="1" w:styleId="ListLabel444">
    <w:name w:val="ListLabel 444"/>
    <w:qFormat/>
    <w:rsid w:val="002F4459"/>
    <w:rPr>
      <w:rFonts w:cs="Courier New"/>
    </w:rPr>
  </w:style>
  <w:style w:type="character" w:customStyle="1" w:styleId="ListLabel445">
    <w:name w:val="ListLabel 445"/>
    <w:qFormat/>
    <w:rsid w:val="002F4459"/>
    <w:rPr>
      <w:rFonts w:cs="Courier New"/>
    </w:rPr>
  </w:style>
  <w:style w:type="character" w:customStyle="1" w:styleId="ListLabel446">
    <w:name w:val="ListLabel 446"/>
    <w:qFormat/>
    <w:rsid w:val="002F4459"/>
    <w:rPr>
      <w:rFonts w:cs="Times New Roman"/>
    </w:rPr>
  </w:style>
  <w:style w:type="character" w:customStyle="1" w:styleId="ListLabel447">
    <w:name w:val="ListLabel 447"/>
    <w:qFormat/>
    <w:rsid w:val="002F4459"/>
    <w:rPr>
      <w:rFonts w:cs="Courier New"/>
    </w:rPr>
  </w:style>
  <w:style w:type="character" w:customStyle="1" w:styleId="ListLabel448">
    <w:name w:val="ListLabel 448"/>
    <w:qFormat/>
    <w:rsid w:val="002F4459"/>
    <w:rPr>
      <w:rFonts w:cs="Courier New"/>
    </w:rPr>
  </w:style>
  <w:style w:type="character" w:customStyle="1" w:styleId="ListLabel449">
    <w:name w:val="ListLabel 449"/>
    <w:qFormat/>
    <w:rsid w:val="002F4459"/>
    <w:rPr>
      <w:rFonts w:cs="Courier New"/>
    </w:rPr>
  </w:style>
  <w:style w:type="character" w:customStyle="1" w:styleId="ListLabel450">
    <w:name w:val="ListLabel 450"/>
    <w:qFormat/>
    <w:rsid w:val="002F4459"/>
    <w:rPr>
      <w:rFonts w:cs="Times New Roman"/>
    </w:rPr>
  </w:style>
  <w:style w:type="character" w:customStyle="1" w:styleId="ListLabel451">
    <w:name w:val="ListLabel 451"/>
    <w:qFormat/>
    <w:rsid w:val="002F4459"/>
    <w:rPr>
      <w:rFonts w:cs="Courier New"/>
    </w:rPr>
  </w:style>
  <w:style w:type="character" w:customStyle="1" w:styleId="ListLabel452">
    <w:name w:val="ListLabel 452"/>
    <w:qFormat/>
    <w:rsid w:val="002F4459"/>
    <w:rPr>
      <w:rFonts w:cs="Courier New"/>
    </w:rPr>
  </w:style>
  <w:style w:type="character" w:customStyle="1" w:styleId="ListLabel453">
    <w:name w:val="ListLabel 453"/>
    <w:qFormat/>
    <w:rsid w:val="002F4459"/>
    <w:rPr>
      <w:rFonts w:cs="Courier New"/>
    </w:rPr>
  </w:style>
  <w:style w:type="character" w:customStyle="1" w:styleId="ListLabel454">
    <w:name w:val="ListLabel 454"/>
    <w:qFormat/>
    <w:rsid w:val="002F4459"/>
    <w:rPr>
      <w:rFonts w:cs="Times New Roman"/>
    </w:rPr>
  </w:style>
  <w:style w:type="character" w:customStyle="1" w:styleId="ListLabel455">
    <w:name w:val="ListLabel 455"/>
    <w:qFormat/>
    <w:rsid w:val="002F4459"/>
    <w:rPr>
      <w:rFonts w:cs="Courier New"/>
    </w:rPr>
  </w:style>
  <w:style w:type="character" w:customStyle="1" w:styleId="ListLabel456">
    <w:name w:val="ListLabel 456"/>
    <w:qFormat/>
    <w:rsid w:val="002F4459"/>
    <w:rPr>
      <w:rFonts w:cs="Courier New"/>
    </w:rPr>
  </w:style>
  <w:style w:type="character" w:customStyle="1" w:styleId="ListLabel457">
    <w:name w:val="ListLabel 457"/>
    <w:qFormat/>
    <w:rsid w:val="002F4459"/>
    <w:rPr>
      <w:rFonts w:cs="Courier New"/>
    </w:rPr>
  </w:style>
  <w:style w:type="character" w:customStyle="1" w:styleId="ListLabel458">
    <w:name w:val="ListLabel 458"/>
    <w:qFormat/>
    <w:rsid w:val="002F4459"/>
    <w:rPr>
      <w:rFonts w:cs="Times New Roman"/>
      <w:sz w:val="16"/>
    </w:rPr>
  </w:style>
  <w:style w:type="character" w:customStyle="1" w:styleId="ListLabel459">
    <w:name w:val="ListLabel 459"/>
    <w:qFormat/>
    <w:rsid w:val="002F4459"/>
    <w:rPr>
      <w:rFonts w:cs="Courier New"/>
    </w:rPr>
  </w:style>
  <w:style w:type="character" w:customStyle="1" w:styleId="ListLabel460">
    <w:name w:val="ListLabel 460"/>
    <w:qFormat/>
    <w:rsid w:val="002F4459"/>
    <w:rPr>
      <w:rFonts w:cs="Wingdings"/>
    </w:rPr>
  </w:style>
  <w:style w:type="character" w:customStyle="1" w:styleId="ListLabel461">
    <w:name w:val="ListLabel 461"/>
    <w:qFormat/>
    <w:rsid w:val="002F4459"/>
    <w:rPr>
      <w:rFonts w:cs="Symbol"/>
    </w:rPr>
  </w:style>
  <w:style w:type="character" w:customStyle="1" w:styleId="ListLabel462">
    <w:name w:val="ListLabel 462"/>
    <w:qFormat/>
    <w:rsid w:val="002F4459"/>
    <w:rPr>
      <w:rFonts w:cs="Courier New"/>
    </w:rPr>
  </w:style>
  <w:style w:type="character" w:customStyle="1" w:styleId="ListLabel463">
    <w:name w:val="ListLabel 463"/>
    <w:qFormat/>
    <w:rsid w:val="002F4459"/>
    <w:rPr>
      <w:rFonts w:cs="Wingdings"/>
    </w:rPr>
  </w:style>
  <w:style w:type="character" w:customStyle="1" w:styleId="ListLabel464">
    <w:name w:val="ListLabel 464"/>
    <w:qFormat/>
    <w:rsid w:val="002F4459"/>
    <w:rPr>
      <w:rFonts w:cs="Symbol"/>
    </w:rPr>
  </w:style>
  <w:style w:type="character" w:customStyle="1" w:styleId="ListLabel465">
    <w:name w:val="ListLabel 465"/>
    <w:qFormat/>
    <w:rsid w:val="002F4459"/>
    <w:rPr>
      <w:rFonts w:cs="Courier New"/>
    </w:rPr>
  </w:style>
  <w:style w:type="character" w:customStyle="1" w:styleId="ListLabel466">
    <w:name w:val="ListLabel 466"/>
    <w:qFormat/>
    <w:rsid w:val="002F4459"/>
    <w:rPr>
      <w:rFonts w:cs="Wingdings"/>
    </w:rPr>
  </w:style>
  <w:style w:type="character" w:customStyle="1" w:styleId="ListLabel467">
    <w:name w:val="ListLabel 467"/>
    <w:qFormat/>
    <w:rsid w:val="002F4459"/>
    <w:rPr>
      <w:rFonts w:cs="Times New Roman"/>
    </w:rPr>
  </w:style>
  <w:style w:type="character" w:customStyle="1" w:styleId="ListLabel468">
    <w:name w:val="ListLabel 468"/>
    <w:qFormat/>
    <w:rsid w:val="002F4459"/>
    <w:rPr>
      <w:rFonts w:cs="Courier New"/>
    </w:rPr>
  </w:style>
  <w:style w:type="character" w:customStyle="1" w:styleId="ListLabel469">
    <w:name w:val="ListLabel 469"/>
    <w:qFormat/>
    <w:rsid w:val="002F4459"/>
    <w:rPr>
      <w:rFonts w:cs="Wingdings"/>
    </w:rPr>
  </w:style>
  <w:style w:type="character" w:customStyle="1" w:styleId="ListLabel470">
    <w:name w:val="ListLabel 470"/>
    <w:qFormat/>
    <w:rsid w:val="002F4459"/>
    <w:rPr>
      <w:rFonts w:cs="Symbol"/>
    </w:rPr>
  </w:style>
  <w:style w:type="character" w:customStyle="1" w:styleId="ListLabel471">
    <w:name w:val="ListLabel 471"/>
    <w:qFormat/>
    <w:rsid w:val="002F4459"/>
    <w:rPr>
      <w:rFonts w:cs="Courier New"/>
    </w:rPr>
  </w:style>
  <w:style w:type="character" w:customStyle="1" w:styleId="ListLabel472">
    <w:name w:val="ListLabel 472"/>
    <w:qFormat/>
    <w:rsid w:val="002F4459"/>
    <w:rPr>
      <w:rFonts w:cs="Wingdings"/>
    </w:rPr>
  </w:style>
  <w:style w:type="character" w:customStyle="1" w:styleId="ListLabel473">
    <w:name w:val="ListLabel 473"/>
    <w:qFormat/>
    <w:rsid w:val="002F4459"/>
    <w:rPr>
      <w:rFonts w:cs="Symbol"/>
    </w:rPr>
  </w:style>
  <w:style w:type="character" w:customStyle="1" w:styleId="ListLabel474">
    <w:name w:val="ListLabel 474"/>
    <w:qFormat/>
    <w:rsid w:val="002F4459"/>
    <w:rPr>
      <w:rFonts w:cs="Courier New"/>
    </w:rPr>
  </w:style>
  <w:style w:type="character" w:customStyle="1" w:styleId="ListLabel475">
    <w:name w:val="ListLabel 475"/>
    <w:qFormat/>
    <w:rsid w:val="002F4459"/>
    <w:rPr>
      <w:rFonts w:cs="Wingdings"/>
    </w:rPr>
  </w:style>
  <w:style w:type="character" w:customStyle="1" w:styleId="ListLabel476">
    <w:name w:val="ListLabel 476"/>
    <w:qFormat/>
    <w:rsid w:val="002F4459"/>
    <w:rPr>
      <w:rFonts w:cs="Times New Roman"/>
      <w:sz w:val="16"/>
    </w:rPr>
  </w:style>
  <w:style w:type="character" w:customStyle="1" w:styleId="ListLabel477">
    <w:name w:val="ListLabel 477"/>
    <w:qFormat/>
    <w:rsid w:val="002F4459"/>
    <w:rPr>
      <w:rFonts w:cs="Courier New"/>
    </w:rPr>
  </w:style>
  <w:style w:type="character" w:customStyle="1" w:styleId="ListLabel478">
    <w:name w:val="ListLabel 478"/>
    <w:qFormat/>
    <w:rsid w:val="002F4459"/>
    <w:rPr>
      <w:rFonts w:cs="Wingdings"/>
    </w:rPr>
  </w:style>
  <w:style w:type="character" w:customStyle="1" w:styleId="ListLabel479">
    <w:name w:val="ListLabel 479"/>
    <w:qFormat/>
    <w:rsid w:val="002F4459"/>
    <w:rPr>
      <w:rFonts w:cs="Symbol"/>
    </w:rPr>
  </w:style>
  <w:style w:type="character" w:customStyle="1" w:styleId="ListLabel480">
    <w:name w:val="ListLabel 480"/>
    <w:qFormat/>
    <w:rsid w:val="002F4459"/>
    <w:rPr>
      <w:rFonts w:cs="Courier New"/>
    </w:rPr>
  </w:style>
  <w:style w:type="character" w:customStyle="1" w:styleId="ListLabel481">
    <w:name w:val="ListLabel 481"/>
    <w:qFormat/>
    <w:rsid w:val="002F4459"/>
    <w:rPr>
      <w:rFonts w:cs="Wingdings"/>
    </w:rPr>
  </w:style>
  <w:style w:type="character" w:customStyle="1" w:styleId="ListLabel482">
    <w:name w:val="ListLabel 482"/>
    <w:qFormat/>
    <w:rsid w:val="002F4459"/>
    <w:rPr>
      <w:rFonts w:cs="Symbol"/>
    </w:rPr>
  </w:style>
  <w:style w:type="character" w:customStyle="1" w:styleId="ListLabel483">
    <w:name w:val="ListLabel 483"/>
    <w:qFormat/>
    <w:rsid w:val="002F4459"/>
    <w:rPr>
      <w:rFonts w:cs="Courier New"/>
    </w:rPr>
  </w:style>
  <w:style w:type="character" w:customStyle="1" w:styleId="ListLabel484">
    <w:name w:val="ListLabel 484"/>
    <w:qFormat/>
    <w:rsid w:val="002F4459"/>
    <w:rPr>
      <w:rFonts w:cs="Wingdings"/>
    </w:rPr>
  </w:style>
  <w:style w:type="character" w:customStyle="1" w:styleId="ListLabel485">
    <w:name w:val="ListLabel 485"/>
    <w:qFormat/>
    <w:rsid w:val="002F4459"/>
    <w:rPr>
      <w:rFonts w:cs="Times New Roman"/>
      <w:sz w:val="16"/>
    </w:rPr>
  </w:style>
  <w:style w:type="character" w:customStyle="1" w:styleId="ListLabel486">
    <w:name w:val="ListLabel 486"/>
    <w:qFormat/>
    <w:rsid w:val="002F4459"/>
    <w:rPr>
      <w:rFonts w:cs="Courier New"/>
    </w:rPr>
  </w:style>
  <w:style w:type="character" w:customStyle="1" w:styleId="ListLabel487">
    <w:name w:val="ListLabel 487"/>
    <w:qFormat/>
    <w:rsid w:val="002F4459"/>
    <w:rPr>
      <w:rFonts w:cs="Wingdings"/>
    </w:rPr>
  </w:style>
  <w:style w:type="character" w:customStyle="1" w:styleId="ListLabel488">
    <w:name w:val="ListLabel 488"/>
    <w:qFormat/>
    <w:rsid w:val="002F4459"/>
    <w:rPr>
      <w:rFonts w:cs="Symbol"/>
    </w:rPr>
  </w:style>
  <w:style w:type="character" w:customStyle="1" w:styleId="ListLabel489">
    <w:name w:val="ListLabel 489"/>
    <w:qFormat/>
    <w:rsid w:val="002F4459"/>
    <w:rPr>
      <w:rFonts w:cs="Courier New"/>
    </w:rPr>
  </w:style>
  <w:style w:type="character" w:customStyle="1" w:styleId="ListLabel490">
    <w:name w:val="ListLabel 490"/>
    <w:qFormat/>
    <w:rsid w:val="002F4459"/>
    <w:rPr>
      <w:rFonts w:cs="Wingdings"/>
    </w:rPr>
  </w:style>
  <w:style w:type="character" w:customStyle="1" w:styleId="ListLabel491">
    <w:name w:val="ListLabel 491"/>
    <w:qFormat/>
    <w:rsid w:val="002F4459"/>
    <w:rPr>
      <w:rFonts w:cs="Symbol"/>
    </w:rPr>
  </w:style>
  <w:style w:type="character" w:customStyle="1" w:styleId="ListLabel492">
    <w:name w:val="ListLabel 492"/>
    <w:qFormat/>
    <w:rsid w:val="002F4459"/>
    <w:rPr>
      <w:rFonts w:cs="Courier New"/>
    </w:rPr>
  </w:style>
  <w:style w:type="character" w:customStyle="1" w:styleId="ListLabel493">
    <w:name w:val="ListLabel 493"/>
    <w:qFormat/>
    <w:rsid w:val="002F4459"/>
    <w:rPr>
      <w:rFonts w:cs="Wingdings"/>
    </w:rPr>
  </w:style>
  <w:style w:type="character" w:customStyle="1" w:styleId="ListLabel494">
    <w:name w:val="ListLabel 494"/>
    <w:qFormat/>
    <w:rsid w:val="002F4459"/>
    <w:rPr>
      <w:rFonts w:cs="Times New Roman"/>
    </w:rPr>
  </w:style>
  <w:style w:type="character" w:customStyle="1" w:styleId="ListLabel495">
    <w:name w:val="ListLabel 495"/>
    <w:qFormat/>
    <w:rsid w:val="002F4459"/>
    <w:rPr>
      <w:rFonts w:cs="Times New Roman"/>
    </w:rPr>
  </w:style>
  <w:style w:type="character" w:customStyle="1" w:styleId="ListLabel496">
    <w:name w:val="ListLabel 496"/>
    <w:qFormat/>
    <w:rsid w:val="002F4459"/>
    <w:rPr>
      <w:rFonts w:cs="Wingdings"/>
    </w:rPr>
  </w:style>
  <w:style w:type="character" w:customStyle="1" w:styleId="ListLabel497">
    <w:name w:val="ListLabel 497"/>
    <w:qFormat/>
    <w:rsid w:val="002F4459"/>
    <w:rPr>
      <w:rFonts w:cs="Symbol"/>
    </w:rPr>
  </w:style>
  <w:style w:type="character" w:customStyle="1" w:styleId="ListLabel498">
    <w:name w:val="ListLabel 498"/>
    <w:qFormat/>
    <w:rsid w:val="002F4459"/>
    <w:rPr>
      <w:rFonts w:cs="Courier New"/>
    </w:rPr>
  </w:style>
  <w:style w:type="character" w:customStyle="1" w:styleId="ListLabel499">
    <w:name w:val="ListLabel 499"/>
    <w:qFormat/>
    <w:rsid w:val="002F4459"/>
    <w:rPr>
      <w:rFonts w:cs="Wingdings"/>
    </w:rPr>
  </w:style>
  <w:style w:type="character" w:customStyle="1" w:styleId="ListLabel500">
    <w:name w:val="ListLabel 500"/>
    <w:qFormat/>
    <w:rsid w:val="002F4459"/>
    <w:rPr>
      <w:rFonts w:cs="Symbol"/>
    </w:rPr>
  </w:style>
  <w:style w:type="character" w:customStyle="1" w:styleId="ListLabel501">
    <w:name w:val="ListLabel 501"/>
    <w:qFormat/>
    <w:rsid w:val="002F4459"/>
    <w:rPr>
      <w:rFonts w:cs="Courier New"/>
    </w:rPr>
  </w:style>
  <w:style w:type="character" w:customStyle="1" w:styleId="ListLabel502">
    <w:name w:val="ListLabel 502"/>
    <w:qFormat/>
    <w:rsid w:val="002F4459"/>
    <w:rPr>
      <w:rFonts w:cs="Wingdings"/>
    </w:rPr>
  </w:style>
  <w:style w:type="character" w:customStyle="1" w:styleId="ListLabel503">
    <w:name w:val="ListLabel 503"/>
    <w:qFormat/>
    <w:rsid w:val="002F4459"/>
    <w:rPr>
      <w:rFonts w:cs="Times New Roman"/>
    </w:rPr>
  </w:style>
  <w:style w:type="character" w:customStyle="1" w:styleId="ListLabel504">
    <w:name w:val="ListLabel 504"/>
    <w:qFormat/>
    <w:rsid w:val="002F4459"/>
    <w:rPr>
      <w:rFonts w:cs="Courier New"/>
    </w:rPr>
  </w:style>
  <w:style w:type="character" w:customStyle="1" w:styleId="ListLabel505">
    <w:name w:val="ListLabel 505"/>
    <w:qFormat/>
    <w:rsid w:val="002F4459"/>
    <w:rPr>
      <w:rFonts w:cs="Wingdings"/>
    </w:rPr>
  </w:style>
  <w:style w:type="character" w:customStyle="1" w:styleId="ListLabel506">
    <w:name w:val="ListLabel 506"/>
    <w:qFormat/>
    <w:rsid w:val="002F4459"/>
    <w:rPr>
      <w:rFonts w:cs="Symbol"/>
    </w:rPr>
  </w:style>
  <w:style w:type="character" w:customStyle="1" w:styleId="ListLabel507">
    <w:name w:val="ListLabel 507"/>
    <w:qFormat/>
    <w:rsid w:val="002F4459"/>
    <w:rPr>
      <w:rFonts w:cs="Courier New"/>
    </w:rPr>
  </w:style>
  <w:style w:type="character" w:customStyle="1" w:styleId="ListLabel508">
    <w:name w:val="ListLabel 508"/>
    <w:qFormat/>
    <w:rsid w:val="002F4459"/>
    <w:rPr>
      <w:rFonts w:cs="Wingdings"/>
    </w:rPr>
  </w:style>
  <w:style w:type="character" w:customStyle="1" w:styleId="ListLabel509">
    <w:name w:val="ListLabel 509"/>
    <w:qFormat/>
    <w:rsid w:val="002F4459"/>
    <w:rPr>
      <w:rFonts w:cs="Symbol"/>
    </w:rPr>
  </w:style>
  <w:style w:type="character" w:customStyle="1" w:styleId="ListLabel510">
    <w:name w:val="ListLabel 510"/>
    <w:qFormat/>
    <w:rsid w:val="002F4459"/>
    <w:rPr>
      <w:rFonts w:cs="Courier New"/>
    </w:rPr>
  </w:style>
  <w:style w:type="character" w:customStyle="1" w:styleId="ListLabel511">
    <w:name w:val="ListLabel 511"/>
    <w:qFormat/>
    <w:rsid w:val="002F4459"/>
    <w:rPr>
      <w:rFonts w:cs="Wingdings"/>
    </w:rPr>
  </w:style>
  <w:style w:type="character" w:customStyle="1" w:styleId="ListLabel512">
    <w:name w:val="ListLabel 512"/>
    <w:qFormat/>
    <w:rsid w:val="002F4459"/>
    <w:rPr>
      <w:rFonts w:cs="Times New Roman"/>
    </w:rPr>
  </w:style>
  <w:style w:type="character" w:customStyle="1" w:styleId="ListLabel513">
    <w:name w:val="ListLabel 513"/>
    <w:qFormat/>
    <w:rsid w:val="002F4459"/>
    <w:rPr>
      <w:rFonts w:cs="Courier New"/>
    </w:rPr>
  </w:style>
  <w:style w:type="character" w:customStyle="1" w:styleId="ListLabel514">
    <w:name w:val="ListLabel 514"/>
    <w:qFormat/>
    <w:rsid w:val="002F4459"/>
    <w:rPr>
      <w:rFonts w:cs="Wingdings"/>
    </w:rPr>
  </w:style>
  <w:style w:type="character" w:customStyle="1" w:styleId="ListLabel515">
    <w:name w:val="ListLabel 515"/>
    <w:qFormat/>
    <w:rsid w:val="002F4459"/>
    <w:rPr>
      <w:rFonts w:cs="Symbol"/>
    </w:rPr>
  </w:style>
  <w:style w:type="character" w:customStyle="1" w:styleId="ListLabel516">
    <w:name w:val="ListLabel 516"/>
    <w:qFormat/>
    <w:rsid w:val="002F4459"/>
    <w:rPr>
      <w:rFonts w:cs="Courier New"/>
    </w:rPr>
  </w:style>
  <w:style w:type="character" w:customStyle="1" w:styleId="ListLabel517">
    <w:name w:val="ListLabel 517"/>
    <w:qFormat/>
    <w:rsid w:val="002F4459"/>
    <w:rPr>
      <w:rFonts w:cs="Wingdings"/>
    </w:rPr>
  </w:style>
  <w:style w:type="character" w:customStyle="1" w:styleId="ListLabel518">
    <w:name w:val="ListLabel 518"/>
    <w:qFormat/>
    <w:rsid w:val="002F4459"/>
    <w:rPr>
      <w:rFonts w:cs="Symbol"/>
    </w:rPr>
  </w:style>
  <w:style w:type="character" w:customStyle="1" w:styleId="ListLabel519">
    <w:name w:val="ListLabel 519"/>
    <w:qFormat/>
    <w:rsid w:val="002F4459"/>
    <w:rPr>
      <w:rFonts w:cs="Courier New"/>
    </w:rPr>
  </w:style>
  <w:style w:type="character" w:customStyle="1" w:styleId="ListLabel520">
    <w:name w:val="ListLabel 520"/>
    <w:qFormat/>
    <w:rsid w:val="002F4459"/>
    <w:rPr>
      <w:rFonts w:cs="Wingdings"/>
    </w:rPr>
  </w:style>
  <w:style w:type="character" w:customStyle="1" w:styleId="ListLabel521">
    <w:name w:val="ListLabel 521"/>
    <w:qFormat/>
    <w:rsid w:val="002F4459"/>
    <w:rPr>
      <w:rFonts w:cs="Times New Roman"/>
    </w:rPr>
  </w:style>
  <w:style w:type="character" w:customStyle="1" w:styleId="ListLabel522">
    <w:name w:val="ListLabel 522"/>
    <w:qFormat/>
    <w:rsid w:val="002F4459"/>
    <w:rPr>
      <w:rFonts w:cs="Courier New"/>
    </w:rPr>
  </w:style>
  <w:style w:type="character" w:customStyle="1" w:styleId="ListLabel523">
    <w:name w:val="ListLabel 523"/>
    <w:qFormat/>
    <w:rsid w:val="002F4459"/>
    <w:rPr>
      <w:rFonts w:cs="Wingdings"/>
    </w:rPr>
  </w:style>
  <w:style w:type="character" w:customStyle="1" w:styleId="ListLabel524">
    <w:name w:val="ListLabel 524"/>
    <w:qFormat/>
    <w:rsid w:val="002F4459"/>
    <w:rPr>
      <w:rFonts w:cs="Symbol"/>
    </w:rPr>
  </w:style>
  <w:style w:type="character" w:customStyle="1" w:styleId="ListLabel525">
    <w:name w:val="ListLabel 525"/>
    <w:qFormat/>
    <w:rsid w:val="002F4459"/>
    <w:rPr>
      <w:rFonts w:cs="Courier New"/>
    </w:rPr>
  </w:style>
  <w:style w:type="character" w:customStyle="1" w:styleId="ListLabel526">
    <w:name w:val="ListLabel 526"/>
    <w:qFormat/>
    <w:rsid w:val="002F4459"/>
    <w:rPr>
      <w:rFonts w:cs="Wingdings"/>
    </w:rPr>
  </w:style>
  <w:style w:type="character" w:customStyle="1" w:styleId="ListLabel527">
    <w:name w:val="ListLabel 527"/>
    <w:qFormat/>
    <w:rsid w:val="002F4459"/>
    <w:rPr>
      <w:rFonts w:cs="Symbol"/>
    </w:rPr>
  </w:style>
  <w:style w:type="character" w:customStyle="1" w:styleId="ListLabel528">
    <w:name w:val="ListLabel 528"/>
    <w:qFormat/>
    <w:rsid w:val="002F4459"/>
    <w:rPr>
      <w:rFonts w:cs="Courier New"/>
    </w:rPr>
  </w:style>
  <w:style w:type="character" w:customStyle="1" w:styleId="ListLabel529">
    <w:name w:val="ListLabel 529"/>
    <w:qFormat/>
    <w:rsid w:val="002F4459"/>
    <w:rPr>
      <w:rFonts w:cs="Wingdings"/>
    </w:rPr>
  </w:style>
  <w:style w:type="character" w:customStyle="1" w:styleId="ListLabel530">
    <w:name w:val="ListLabel 530"/>
    <w:qFormat/>
    <w:rsid w:val="002F4459"/>
    <w:rPr>
      <w:rFonts w:cs="Times New Roman"/>
    </w:rPr>
  </w:style>
  <w:style w:type="character" w:customStyle="1" w:styleId="ListLabel531">
    <w:name w:val="ListLabel 531"/>
    <w:qFormat/>
    <w:rsid w:val="002F4459"/>
    <w:rPr>
      <w:rFonts w:cs="Courier New"/>
    </w:rPr>
  </w:style>
  <w:style w:type="character" w:customStyle="1" w:styleId="ListLabel532">
    <w:name w:val="ListLabel 532"/>
    <w:qFormat/>
    <w:rsid w:val="002F4459"/>
    <w:rPr>
      <w:rFonts w:cs="Wingdings"/>
    </w:rPr>
  </w:style>
  <w:style w:type="character" w:customStyle="1" w:styleId="ListLabel533">
    <w:name w:val="ListLabel 533"/>
    <w:qFormat/>
    <w:rsid w:val="002F4459"/>
    <w:rPr>
      <w:rFonts w:cs="Symbol"/>
    </w:rPr>
  </w:style>
  <w:style w:type="character" w:customStyle="1" w:styleId="ListLabel534">
    <w:name w:val="ListLabel 534"/>
    <w:qFormat/>
    <w:rsid w:val="002F4459"/>
    <w:rPr>
      <w:rFonts w:cs="Courier New"/>
    </w:rPr>
  </w:style>
  <w:style w:type="character" w:customStyle="1" w:styleId="ListLabel535">
    <w:name w:val="ListLabel 535"/>
    <w:qFormat/>
    <w:rsid w:val="002F4459"/>
    <w:rPr>
      <w:rFonts w:cs="Wingdings"/>
    </w:rPr>
  </w:style>
  <w:style w:type="character" w:customStyle="1" w:styleId="ListLabel536">
    <w:name w:val="ListLabel 536"/>
    <w:qFormat/>
    <w:rsid w:val="002F4459"/>
    <w:rPr>
      <w:rFonts w:cs="Symbol"/>
    </w:rPr>
  </w:style>
  <w:style w:type="character" w:customStyle="1" w:styleId="ListLabel537">
    <w:name w:val="ListLabel 537"/>
    <w:qFormat/>
    <w:rsid w:val="002F4459"/>
    <w:rPr>
      <w:rFonts w:cs="Courier New"/>
    </w:rPr>
  </w:style>
  <w:style w:type="character" w:customStyle="1" w:styleId="ListLabel538">
    <w:name w:val="ListLabel 538"/>
    <w:qFormat/>
    <w:rsid w:val="002F4459"/>
    <w:rPr>
      <w:rFonts w:cs="Wingdings"/>
    </w:rPr>
  </w:style>
  <w:style w:type="character" w:customStyle="1" w:styleId="ListLabel539">
    <w:name w:val="ListLabel 539"/>
    <w:qFormat/>
    <w:rsid w:val="002F4459"/>
    <w:rPr>
      <w:rFonts w:cs="Times New Roman"/>
    </w:rPr>
  </w:style>
  <w:style w:type="character" w:customStyle="1" w:styleId="ListLabel540">
    <w:name w:val="ListLabel 540"/>
    <w:qFormat/>
    <w:rsid w:val="002F4459"/>
    <w:rPr>
      <w:rFonts w:cs="Courier New"/>
    </w:rPr>
  </w:style>
  <w:style w:type="character" w:customStyle="1" w:styleId="ListLabel541">
    <w:name w:val="ListLabel 541"/>
    <w:qFormat/>
    <w:rsid w:val="002F4459"/>
    <w:rPr>
      <w:rFonts w:cs="Wingdings"/>
    </w:rPr>
  </w:style>
  <w:style w:type="character" w:customStyle="1" w:styleId="ListLabel542">
    <w:name w:val="ListLabel 542"/>
    <w:qFormat/>
    <w:rsid w:val="002F4459"/>
    <w:rPr>
      <w:rFonts w:cs="Symbol"/>
    </w:rPr>
  </w:style>
  <w:style w:type="character" w:customStyle="1" w:styleId="ListLabel543">
    <w:name w:val="ListLabel 543"/>
    <w:qFormat/>
    <w:rsid w:val="002F4459"/>
    <w:rPr>
      <w:rFonts w:cs="Courier New"/>
    </w:rPr>
  </w:style>
  <w:style w:type="character" w:customStyle="1" w:styleId="ListLabel544">
    <w:name w:val="ListLabel 544"/>
    <w:qFormat/>
    <w:rsid w:val="002F4459"/>
    <w:rPr>
      <w:rFonts w:cs="Wingdings"/>
    </w:rPr>
  </w:style>
  <w:style w:type="character" w:customStyle="1" w:styleId="ListLabel545">
    <w:name w:val="ListLabel 545"/>
    <w:qFormat/>
    <w:rsid w:val="002F4459"/>
    <w:rPr>
      <w:rFonts w:cs="Symbol"/>
    </w:rPr>
  </w:style>
  <w:style w:type="character" w:customStyle="1" w:styleId="ListLabel546">
    <w:name w:val="ListLabel 546"/>
    <w:qFormat/>
    <w:rsid w:val="002F4459"/>
    <w:rPr>
      <w:rFonts w:cs="Courier New"/>
    </w:rPr>
  </w:style>
  <w:style w:type="character" w:customStyle="1" w:styleId="ListLabel547">
    <w:name w:val="ListLabel 547"/>
    <w:qFormat/>
    <w:rsid w:val="002F4459"/>
    <w:rPr>
      <w:rFonts w:cs="Wingdings"/>
    </w:rPr>
  </w:style>
  <w:style w:type="character" w:customStyle="1" w:styleId="ListLabel548">
    <w:name w:val="ListLabel 548"/>
    <w:qFormat/>
    <w:rsid w:val="002F4459"/>
    <w:rPr>
      <w:rFonts w:cs="Times New Roman"/>
      <w:sz w:val="16"/>
    </w:rPr>
  </w:style>
  <w:style w:type="character" w:customStyle="1" w:styleId="ListLabel549">
    <w:name w:val="ListLabel 549"/>
    <w:qFormat/>
    <w:rsid w:val="002F4459"/>
    <w:rPr>
      <w:rFonts w:cs="Courier New"/>
    </w:rPr>
  </w:style>
  <w:style w:type="character" w:customStyle="1" w:styleId="ListLabel550">
    <w:name w:val="ListLabel 550"/>
    <w:qFormat/>
    <w:rsid w:val="002F4459"/>
    <w:rPr>
      <w:rFonts w:cs="Wingdings"/>
    </w:rPr>
  </w:style>
  <w:style w:type="character" w:customStyle="1" w:styleId="ListLabel551">
    <w:name w:val="ListLabel 551"/>
    <w:qFormat/>
    <w:rsid w:val="002F4459"/>
    <w:rPr>
      <w:rFonts w:cs="Symbol"/>
    </w:rPr>
  </w:style>
  <w:style w:type="character" w:customStyle="1" w:styleId="ListLabel552">
    <w:name w:val="ListLabel 552"/>
    <w:qFormat/>
    <w:rsid w:val="002F4459"/>
    <w:rPr>
      <w:rFonts w:cs="Courier New"/>
    </w:rPr>
  </w:style>
  <w:style w:type="character" w:customStyle="1" w:styleId="ListLabel553">
    <w:name w:val="ListLabel 553"/>
    <w:qFormat/>
    <w:rsid w:val="002F4459"/>
    <w:rPr>
      <w:rFonts w:cs="Wingdings"/>
    </w:rPr>
  </w:style>
  <w:style w:type="character" w:customStyle="1" w:styleId="ListLabel554">
    <w:name w:val="ListLabel 554"/>
    <w:qFormat/>
    <w:rsid w:val="002F4459"/>
    <w:rPr>
      <w:rFonts w:cs="Symbol"/>
    </w:rPr>
  </w:style>
  <w:style w:type="character" w:customStyle="1" w:styleId="ListLabel555">
    <w:name w:val="ListLabel 555"/>
    <w:qFormat/>
    <w:rsid w:val="002F4459"/>
    <w:rPr>
      <w:rFonts w:cs="Courier New"/>
    </w:rPr>
  </w:style>
  <w:style w:type="character" w:customStyle="1" w:styleId="ListLabel556">
    <w:name w:val="ListLabel 556"/>
    <w:qFormat/>
    <w:rsid w:val="002F4459"/>
    <w:rPr>
      <w:rFonts w:cs="Wingdings"/>
    </w:rPr>
  </w:style>
  <w:style w:type="character" w:customStyle="1" w:styleId="ListLabel557">
    <w:name w:val="ListLabel 557"/>
    <w:qFormat/>
    <w:rsid w:val="002F4459"/>
    <w:rPr>
      <w:rFonts w:cs="Times New Roman"/>
      <w:sz w:val="16"/>
    </w:rPr>
  </w:style>
  <w:style w:type="character" w:customStyle="1" w:styleId="ListLabel558">
    <w:name w:val="ListLabel 558"/>
    <w:qFormat/>
    <w:rsid w:val="002F4459"/>
    <w:rPr>
      <w:rFonts w:cs="Courier New"/>
    </w:rPr>
  </w:style>
  <w:style w:type="character" w:customStyle="1" w:styleId="ListLabel559">
    <w:name w:val="ListLabel 559"/>
    <w:qFormat/>
    <w:rsid w:val="002F4459"/>
    <w:rPr>
      <w:rFonts w:cs="Wingdings"/>
    </w:rPr>
  </w:style>
  <w:style w:type="character" w:customStyle="1" w:styleId="ListLabel560">
    <w:name w:val="ListLabel 560"/>
    <w:qFormat/>
    <w:rsid w:val="002F4459"/>
    <w:rPr>
      <w:rFonts w:cs="Symbol"/>
    </w:rPr>
  </w:style>
  <w:style w:type="character" w:customStyle="1" w:styleId="ListLabel561">
    <w:name w:val="ListLabel 561"/>
    <w:qFormat/>
    <w:rsid w:val="002F4459"/>
    <w:rPr>
      <w:rFonts w:cs="Courier New"/>
    </w:rPr>
  </w:style>
  <w:style w:type="character" w:customStyle="1" w:styleId="ListLabel562">
    <w:name w:val="ListLabel 562"/>
    <w:qFormat/>
    <w:rsid w:val="002F4459"/>
    <w:rPr>
      <w:rFonts w:cs="Wingdings"/>
    </w:rPr>
  </w:style>
  <w:style w:type="character" w:customStyle="1" w:styleId="ListLabel563">
    <w:name w:val="ListLabel 563"/>
    <w:qFormat/>
    <w:rsid w:val="002F4459"/>
    <w:rPr>
      <w:rFonts w:cs="Symbol"/>
    </w:rPr>
  </w:style>
  <w:style w:type="character" w:customStyle="1" w:styleId="ListLabel564">
    <w:name w:val="ListLabel 564"/>
    <w:qFormat/>
    <w:rsid w:val="002F4459"/>
    <w:rPr>
      <w:rFonts w:cs="Courier New"/>
    </w:rPr>
  </w:style>
  <w:style w:type="character" w:customStyle="1" w:styleId="ListLabel565">
    <w:name w:val="ListLabel 565"/>
    <w:qFormat/>
    <w:rsid w:val="002F4459"/>
    <w:rPr>
      <w:rFonts w:cs="Wingdings"/>
    </w:rPr>
  </w:style>
  <w:style w:type="character" w:customStyle="1" w:styleId="ListLabel566">
    <w:name w:val="ListLabel 566"/>
    <w:qFormat/>
    <w:rsid w:val="002F4459"/>
    <w:rPr>
      <w:rFonts w:cs="Symbol"/>
      <w:sz w:val="16"/>
    </w:rPr>
  </w:style>
  <w:style w:type="character" w:customStyle="1" w:styleId="ListLabel567">
    <w:name w:val="ListLabel 567"/>
    <w:qFormat/>
    <w:rsid w:val="002F4459"/>
    <w:rPr>
      <w:rFonts w:cs="Courier New"/>
    </w:rPr>
  </w:style>
  <w:style w:type="character" w:customStyle="1" w:styleId="ListLabel568">
    <w:name w:val="ListLabel 568"/>
    <w:qFormat/>
    <w:rsid w:val="002F4459"/>
    <w:rPr>
      <w:rFonts w:cs="Wingdings"/>
    </w:rPr>
  </w:style>
  <w:style w:type="character" w:customStyle="1" w:styleId="ListLabel569">
    <w:name w:val="ListLabel 569"/>
    <w:qFormat/>
    <w:rsid w:val="002F4459"/>
    <w:rPr>
      <w:rFonts w:cs="Symbol"/>
    </w:rPr>
  </w:style>
  <w:style w:type="character" w:customStyle="1" w:styleId="ListLabel570">
    <w:name w:val="ListLabel 570"/>
    <w:qFormat/>
    <w:rsid w:val="002F4459"/>
    <w:rPr>
      <w:rFonts w:cs="Courier New"/>
    </w:rPr>
  </w:style>
  <w:style w:type="character" w:customStyle="1" w:styleId="ListLabel571">
    <w:name w:val="ListLabel 571"/>
    <w:qFormat/>
    <w:rsid w:val="002F4459"/>
    <w:rPr>
      <w:rFonts w:cs="Wingdings"/>
    </w:rPr>
  </w:style>
  <w:style w:type="character" w:customStyle="1" w:styleId="ListLabel572">
    <w:name w:val="ListLabel 572"/>
    <w:qFormat/>
    <w:rsid w:val="002F4459"/>
    <w:rPr>
      <w:rFonts w:cs="Symbol"/>
    </w:rPr>
  </w:style>
  <w:style w:type="character" w:customStyle="1" w:styleId="ListLabel573">
    <w:name w:val="ListLabel 573"/>
    <w:qFormat/>
    <w:rsid w:val="002F4459"/>
    <w:rPr>
      <w:rFonts w:cs="Courier New"/>
    </w:rPr>
  </w:style>
  <w:style w:type="character" w:customStyle="1" w:styleId="ListLabel574">
    <w:name w:val="ListLabel 574"/>
    <w:qFormat/>
    <w:rsid w:val="002F4459"/>
    <w:rPr>
      <w:rFonts w:cs="Wingdings"/>
    </w:rPr>
  </w:style>
  <w:style w:type="character" w:customStyle="1" w:styleId="ListLabel575">
    <w:name w:val="ListLabel 575"/>
    <w:qFormat/>
    <w:rsid w:val="002F4459"/>
    <w:rPr>
      <w:rFonts w:cs="Times New Roman"/>
      <w:sz w:val="16"/>
    </w:rPr>
  </w:style>
  <w:style w:type="character" w:customStyle="1" w:styleId="ListLabel576">
    <w:name w:val="ListLabel 576"/>
    <w:qFormat/>
    <w:rsid w:val="002F4459"/>
    <w:rPr>
      <w:rFonts w:cs="Courier New"/>
    </w:rPr>
  </w:style>
  <w:style w:type="character" w:customStyle="1" w:styleId="ListLabel577">
    <w:name w:val="ListLabel 577"/>
    <w:qFormat/>
    <w:rsid w:val="002F4459"/>
    <w:rPr>
      <w:rFonts w:cs="Wingdings"/>
    </w:rPr>
  </w:style>
  <w:style w:type="character" w:customStyle="1" w:styleId="ListLabel578">
    <w:name w:val="ListLabel 578"/>
    <w:qFormat/>
    <w:rsid w:val="002F4459"/>
    <w:rPr>
      <w:rFonts w:cs="Symbol"/>
    </w:rPr>
  </w:style>
  <w:style w:type="character" w:customStyle="1" w:styleId="ListLabel579">
    <w:name w:val="ListLabel 579"/>
    <w:qFormat/>
    <w:rsid w:val="002F4459"/>
    <w:rPr>
      <w:rFonts w:cs="Courier New"/>
    </w:rPr>
  </w:style>
  <w:style w:type="character" w:customStyle="1" w:styleId="ListLabel580">
    <w:name w:val="ListLabel 580"/>
    <w:qFormat/>
    <w:rsid w:val="002F4459"/>
    <w:rPr>
      <w:rFonts w:cs="Wingdings"/>
    </w:rPr>
  </w:style>
  <w:style w:type="character" w:customStyle="1" w:styleId="ListLabel581">
    <w:name w:val="ListLabel 581"/>
    <w:qFormat/>
    <w:rsid w:val="002F4459"/>
    <w:rPr>
      <w:rFonts w:cs="Symbol"/>
    </w:rPr>
  </w:style>
  <w:style w:type="character" w:customStyle="1" w:styleId="ListLabel582">
    <w:name w:val="ListLabel 582"/>
    <w:qFormat/>
    <w:rsid w:val="002F4459"/>
    <w:rPr>
      <w:rFonts w:cs="Courier New"/>
    </w:rPr>
  </w:style>
  <w:style w:type="character" w:customStyle="1" w:styleId="ListLabel583">
    <w:name w:val="ListLabel 583"/>
    <w:qFormat/>
    <w:rsid w:val="002F4459"/>
    <w:rPr>
      <w:rFonts w:cs="Wingdings"/>
    </w:rPr>
  </w:style>
  <w:style w:type="character" w:customStyle="1" w:styleId="ListLabel584">
    <w:name w:val="ListLabel 584"/>
    <w:qFormat/>
    <w:rsid w:val="002F4459"/>
    <w:rPr>
      <w:rFonts w:cs="Times New Roman"/>
    </w:rPr>
  </w:style>
  <w:style w:type="character" w:customStyle="1" w:styleId="ListLabel585">
    <w:name w:val="ListLabel 585"/>
    <w:qFormat/>
    <w:rsid w:val="002F4459"/>
    <w:rPr>
      <w:rFonts w:cs="Courier New"/>
    </w:rPr>
  </w:style>
  <w:style w:type="character" w:customStyle="1" w:styleId="ListLabel586">
    <w:name w:val="ListLabel 586"/>
    <w:qFormat/>
    <w:rsid w:val="002F4459"/>
    <w:rPr>
      <w:rFonts w:cs="Wingdings"/>
    </w:rPr>
  </w:style>
  <w:style w:type="character" w:customStyle="1" w:styleId="ListLabel587">
    <w:name w:val="ListLabel 587"/>
    <w:qFormat/>
    <w:rsid w:val="002F4459"/>
    <w:rPr>
      <w:rFonts w:cs="Symbol"/>
    </w:rPr>
  </w:style>
  <w:style w:type="character" w:customStyle="1" w:styleId="ListLabel588">
    <w:name w:val="ListLabel 588"/>
    <w:qFormat/>
    <w:rsid w:val="002F4459"/>
    <w:rPr>
      <w:rFonts w:cs="Courier New"/>
    </w:rPr>
  </w:style>
  <w:style w:type="character" w:customStyle="1" w:styleId="ListLabel589">
    <w:name w:val="ListLabel 589"/>
    <w:qFormat/>
    <w:rsid w:val="002F4459"/>
    <w:rPr>
      <w:rFonts w:cs="Wingdings"/>
    </w:rPr>
  </w:style>
  <w:style w:type="character" w:customStyle="1" w:styleId="ListLabel590">
    <w:name w:val="ListLabel 590"/>
    <w:qFormat/>
    <w:rsid w:val="002F4459"/>
    <w:rPr>
      <w:rFonts w:cs="Symbol"/>
    </w:rPr>
  </w:style>
  <w:style w:type="character" w:customStyle="1" w:styleId="ListLabel591">
    <w:name w:val="ListLabel 591"/>
    <w:qFormat/>
    <w:rsid w:val="002F4459"/>
    <w:rPr>
      <w:rFonts w:cs="Courier New"/>
    </w:rPr>
  </w:style>
  <w:style w:type="character" w:customStyle="1" w:styleId="ListLabel592">
    <w:name w:val="ListLabel 592"/>
    <w:qFormat/>
    <w:rsid w:val="002F4459"/>
    <w:rPr>
      <w:rFonts w:cs="Wingdings"/>
    </w:rPr>
  </w:style>
  <w:style w:type="character" w:customStyle="1" w:styleId="ListLabel593">
    <w:name w:val="ListLabel 593"/>
    <w:qFormat/>
    <w:rsid w:val="002F4459"/>
    <w:rPr>
      <w:rFonts w:cs="Symbol"/>
      <w:sz w:val="16"/>
    </w:rPr>
  </w:style>
  <w:style w:type="character" w:customStyle="1" w:styleId="ListLabel594">
    <w:name w:val="ListLabel 594"/>
    <w:qFormat/>
    <w:rsid w:val="002F4459"/>
    <w:rPr>
      <w:rFonts w:cs="Courier New"/>
    </w:rPr>
  </w:style>
  <w:style w:type="character" w:customStyle="1" w:styleId="ListLabel595">
    <w:name w:val="ListLabel 595"/>
    <w:qFormat/>
    <w:rsid w:val="002F4459"/>
    <w:rPr>
      <w:rFonts w:cs="Wingdings"/>
    </w:rPr>
  </w:style>
  <w:style w:type="character" w:customStyle="1" w:styleId="ListLabel596">
    <w:name w:val="ListLabel 596"/>
    <w:qFormat/>
    <w:rsid w:val="002F4459"/>
    <w:rPr>
      <w:rFonts w:cs="Symbol"/>
    </w:rPr>
  </w:style>
  <w:style w:type="character" w:customStyle="1" w:styleId="ListLabel597">
    <w:name w:val="ListLabel 597"/>
    <w:qFormat/>
    <w:rsid w:val="002F4459"/>
    <w:rPr>
      <w:rFonts w:cs="Courier New"/>
    </w:rPr>
  </w:style>
  <w:style w:type="character" w:customStyle="1" w:styleId="ListLabel598">
    <w:name w:val="ListLabel 598"/>
    <w:qFormat/>
    <w:rsid w:val="002F4459"/>
    <w:rPr>
      <w:rFonts w:cs="Wingdings"/>
    </w:rPr>
  </w:style>
  <w:style w:type="character" w:customStyle="1" w:styleId="ListLabel599">
    <w:name w:val="ListLabel 599"/>
    <w:qFormat/>
    <w:rsid w:val="002F4459"/>
    <w:rPr>
      <w:rFonts w:cs="Symbol"/>
    </w:rPr>
  </w:style>
  <w:style w:type="character" w:customStyle="1" w:styleId="ListLabel600">
    <w:name w:val="ListLabel 600"/>
    <w:qFormat/>
    <w:rsid w:val="002F4459"/>
    <w:rPr>
      <w:rFonts w:cs="Courier New"/>
    </w:rPr>
  </w:style>
  <w:style w:type="character" w:customStyle="1" w:styleId="ListLabel601">
    <w:name w:val="ListLabel 601"/>
    <w:qFormat/>
    <w:rsid w:val="002F4459"/>
    <w:rPr>
      <w:rFonts w:cs="Wingdings"/>
    </w:rPr>
  </w:style>
  <w:style w:type="character" w:customStyle="1" w:styleId="ListLabel602">
    <w:name w:val="ListLabel 602"/>
    <w:qFormat/>
    <w:rsid w:val="002F4459"/>
    <w:rPr>
      <w:rFonts w:cs="Times New Roman"/>
      <w:sz w:val="16"/>
    </w:rPr>
  </w:style>
  <w:style w:type="character" w:customStyle="1" w:styleId="ListLabel603">
    <w:name w:val="ListLabel 603"/>
    <w:qFormat/>
    <w:rsid w:val="002F4459"/>
    <w:rPr>
      <w:rFonts w:cs="Courier New"/>
    </w:rPr>
  </w:style>
  <w:style w:type="character" w:customStyle="1" w:styleId="ListLabel604">
    <w:name w:val="ListLabel 604"/>
    <w:qFormat/>
    <w:rsid w:val="002F4459"/>
    <w:rPr>
      <w:rFonts w:cs="Wingdings"/>
    </w:rPr>
  </w:style>
  <w:style w:type="character" w:customStyle="1" w:styleId="ListLabel605">
    <w:name w:val="ListLabel 605"/>
    <w:qFormat/>
    <w:rsid w:val="002F4459"/>
    <w:rPr>
      <w:rFonts w:cs="Symbol"/>
    </w:rPr>
  </w:style>
  <w:style w:type="character" w:customStyle="1" w:styleId="ListLabel606">
    <w:name w:val="ListLabel 606"/>
    <w:qFormat/>
    <w:rsid w:val="002F4459"/>
    <w:rPr>
      <w:rFonts w:cs="Courier New"/>
    </w:rPr>
  </w:style>
  <w:style w:type="character" w:customStyle="1" w:styleId="ListLabel607">
    <w:name w:val="ListLabel 607"/>
    <w:qFormat/>
    <w:rsid w:val="002F4459"/>
    <w:rPr>
      <w:rFonts w:cs="Wingdings"/>
    </w:rPr>
  </w:style>
  <w:style w:type="character" w:customStyle="1" w:styleId="ListLabel608">
    <w:name w:val="ListLabel 608"/>
    <w:qFormat/>
    <w:rsid w:val="002F4459"/>
    <w:rPr>
      <w:rFonts w:cs="Symbol"/>
    </w:rPr>
  </w:style>
  <w:style w:type="character" w:customStyle="1" w:styleId="ListLabel609">
    <w:name w:val="ListLabel 609"/>
    <w:qFormat/>
    <w:rsid w:val="002F4459"/>
    <w:rPr>
      <w:rFonts w:cs="Courier New"/>
    </w:rPr>
  </w:style>
  <w:style w:type="character" w:customStyle="1" w:styleId="ListLabel610">
    <w:name w:val="ListLabel 610"/>
    <w:qFormat/>
    <w:rsid w:val="002F4459"/>
    <w:rPr>
      <w:rFonts w:cs="Wingdings"/>
    </w:rPr>
  </w:style>
  <w:style w:type="character" w:customStyle="1" w:styleId="ListLabel611">
    <w:name w:val="ListLabel 611"/>
    <w:qFormat/>
    <w:rsid w:val="002F4459"/>
    <w:rPr>
      <w:rFonts w:cs="Times New Roman"/>
      <w:sz w:val="16"/>
    </w:rPr>
  </w:style>
  <w:style w:type="character" w:customStyle="1" w:styleId="ListLabel612">
    <w:name w:val="ListLabel 612"/>
    <w:qFormat/>
    <w:rsid w:val="002F4459"/>
    <w:rPr>
      <w:rFonts w:cs="Courier New"/>
    </w:rPr>
  </w:style>
  <w:style w:type="character" w:customStyle="1" w:styleId="ListLabel613">
    <w:name w:val="ListLabel 613"/>
    <w:qFormat/>
    <w:rsid w:val="002F4459"/>
    <w:rPr>
      <w:rFonts w:cs="Wingdings"/>
    </w:rPr>
  </w:style>
  <w:style w:type="character" w:customStyle="1" w:styleId="ListLabel614">
    <w:name w:val="ListLabel 614"/>
    <w:qFormat/>
    <w:rsid w:val="002F4459"/>
    <w:rPr>
      <w:rFonts w:cs="Symbol"/>
    </w:rPr>
  </w:style>
  <w:style w:type="character" w:customStyle="1" w:styleId="ListLabel615">
    <w:name w:val="ListLabel 615"/>
    <w:qFormat/>
    <w:rsid w:val="002F4459"/>
    <w:rPr>
      <w:rFonts w:cs="Courier New"/>
    </w:rPr>
  </w:style>
  <w:style w:type="character" w:customStyle="1" w:styleId="ListLabel616">
    <w:name w:val="ListLabel 616"/>
    <w:qFormat/>
    <w:rsid w:val="002F4459"/>
    <w:rPr>
      <w:rFonts w:cs="Wingdings"/>
    </w:rPr>
  </w:style>
  <w:style w:type="character" w:customStyle="1" w:styleId="ListLabel617">
    <w:name w:val="ListLabel 617"/>
    <w:qFormat/>
    <w:rsid w:val="002F4459"/>
    <w:rPr>
      <w:rFonts w:cs="Symbol"/>
    </w:rPr>
  </w:style>
  <w:style w:type="character" w:customStyle="1" w:styleId="ListLabel618">
    <w:name w:val="ListLabel 618"/>
    <w:qFormat/>
    <w:rsid w:val="002F4459"/>
    <w:rPr>
      <w:rFonts w:cs="Courier New"/>
    </w:rPr>
  </w:style>
  <w:style w:type="character" w:customStyle="1" w:styleId="ListLabel619">
    <w:name w:val="ListLabel 619"/>
    <w:qFormat/>
    <w:rsid w:val="002F4459"/>
    <w:rPr>
      <w:rFonts w:cs="Wingdings"/>
    </w:rPr>
  </w:style>
  <w:style w:type="character" w:customStyle="1" w:styleId="ListLabel620">
    <w:name w:val="ListLabel 620"/>
    <w:qFormat/>
    <w:rsid w:val="002F4459"/>
    <w:rPr>
      <w:rFonts w:cs="Times New Roman"/>
      <w:sz w:val="16"/>
    </w:rPr>
  </w:style>
  <w:style w:type="character" w:customStyle="1" w:styleId="ListLabel621">
    <w:name w:val="ListLabel 621"/>
    <w:qFormat/>
    <w:rsid w:val="002F4459"/>
    <w:rPr>
      <w:rFonts w:cs="Times New Roman"/>
      <w:sz w:val="16"/>
    </w:rPr>
  </w:style>
  <w:style w:type="character" w:customStyle="1" w:styleId="ListLabel622">
    <w:name w:val="ListLabel 622"/>
    <w:qFormat/>
    <w:rsid w:val="002F4459"/>
    <w:rPr>
      <w:rFonts w:cs="Courier New"/>
    </w:rPr>
  </w:style>
  <w:style w:type="character" w:customStyle="1" w:styleId="ListLabel623">
    <w:name w:val="ListLabel 623"/>
    <w:qFormat/>
    <w:rsid w:val="002F4459"/>
    <w:rPr>
      <w:rFonts w:cs="Wingdings"/>
    </w:rPr>
  </w:style>
  <w:style w:type="character" w:customStyle="1" w:styleId="ListLabel624">
    <w:name w:val="ListLabel 624"/>
    <w:qFormat/>
    <w:rsid w:val="002F4459"/>
    <w:rPr>
      <w:rFonts w:cs="Symbol"/>
    </w:rPr>
  </w:style>
  <w:style w:type="character" w:customStyle="1" w:styleId="ListLabel625">
    <w:name w:val="ListLabel 625"/>
    <w:qFormat/>
    <w:rsid w:val="002F4459"/>
    <w:rPr>
      <w:rFonts w:cs="Courier New"/>
    </w:rPr>
  </w:style>
  <w:style w:type="character" w:customStyle="1" w:styleId="ListLabel626">
    <w:name w:val="ListLabel 626"/>
    <w:qFormat/>
    <w:rsid w:val="002F4459"/>
    <w:rPr>
      <w:rFonts w:cs="Wingdings"/>
    </w:rPr>
  </w:style>
  <w:style w:type="character" w:customStyle="1" w:styleId="ListLabel627">
    <w:name w:val="ListLabel 627"/>
    <w:qFormat/>
    <w:rsid w:val="002F4459"/>
    <w:rPr>
      <w:rFonts w:cs="Symbol"/>
    </w:rPr>
  </w:style>
  <w:style w:type="character" w:customStyle="1" w:styleId="ListLabel628">
    <w:name w:val="ListLabel 628"/>
    <w:qFormat/>
    <w:rsid w:val="002F4459"/>
    <w:rPr>
      <w:rFonts w:cs="Courier New"/>
    </w:rPr>
  </w:style>
  <w:style w:type="character" w:customStyle="1" w:styleId="ListLabel629">
    <w:name w:val="ListLabel 629"/>
    <w:qFormat/>
    <w:rsid w:val="002F4459"/>
    <w:rPr>
      <w:rFonts w:cs="Wingdings"/>
    </w:rPr>
  </w:style>
  <w:style w:type="character" w:customStyle="1" w:styleId="ListLabel630">
    <w:name w:val="ListLabel 630"/>
    <w:qFormat/>
    <w:rsid w:val="002F4459"/>
    <w:rPr>
      <w:rFonts w:cs="Times New Roman"/>
      <w:sz w:val="16"/>
    </w:rPr>
  </w:style>
  <w:style w:type="character" w:customStyle="1" w:styleId="ListLabel631">
    <w:name w:val="ListLabel 631"/>
    <w:qFormat/>
    <w:rsid w:val="002F4459"/>
    <w:rPr>
      <w:rFonts w:cs="Courier New"/>
    </w:rPr>
  </w:style>
  <w:style w:type="character" w:customStyle="1" w:styleId="ListLabel632">
    <w:name w:val="ListLabel 632"/>
    <w:qFormat/>
    <w:rsid w:val="002F4459"/>
    <w:rPr>
      <w:rFonts w:cs="Wingdings"/>
    </w:rPr>
  </w:style>
  <w:style w:type="character" w:customStyle="1" w:styleId="ListLabel633">
    <w:name w:val="ListLabel 633"/>
    <w:qFormat/>
    <w:rsid w:val="002F4459"/>
    <w:rPr>
      <w:rFonts w:cs="Symbol"/>
    </w:rPr>
  </w:style>
  <w:style w:type="character" w:customStyle="1" w:styleId="ListLabel634">
    <w:name w:val="ListLabel 634"/>
    <w:qFormat/>
    <w:rsid w:val="002F4459"/>
    <w:rPr>
      <w:rFonts w:cs="Courier New"/>
    </w:rPr>
  </w:style>
  <w:style w:type="character" w:customStyle="1" w:styleId="ListLabel635">
    <w:name w:val="ListLabel 635"/>
    <w:qFormat/>
    <w:rsid w:val="002F4459"/>
    <w:rPr>
      <w:rFonts w:cs="Wingdings"/>
    </w:rPr>
  </w:style>
  <w:style w:type="character" w:customStyle="1" w:styleId="ListLabel636">
    <w:name w:val="ListLabel 636"/>
    <w:qFormat/>
    <w:rsid w:val="002F4459"/>
    <w:rPr>
      <w:rFonts w:cs="Symbol"/>
    </w:rPr>
  </w:style>
  <w:style w:type="character" w:customStyle="1" w:styleId="ListLabel637">
    <w:name w:val="ListLabel 637"/>
    <w:qFormat/>
    <w:rsid w:val="002F4459"/>
    <w:rPr>
      <w:rFonts w:cs="Courier New"/>
    </w:rPr>
  </w:style>
  <w:style w:type="character" w:customStyle="1" w:styleId="ListLabel638">
    <w:name w:val="ListLabel 638"/>
    <w:qFormat/>
    <w:rsid w:val="002F4459"/>
    <w:rPr>
      <w:rFonts w:cs="Wingdings"/>
    </w:rPr>
  </w:style>
  <w:style w:type="character" w:customStyle="1" w:styleId="ListLabel639">
    <w:name w:val="ListLabel 639"/>
    <w:qFormat/>
    <w:rsid w:val="002F4459"/>
    <w:rPr>
      <w:rFonts w:cs="Times New Roman"/>
      <w:sz w:val="16"/>
    </w:rPr>
  </w:style>
  <w:style w:type="character" w:customStyle="1" w:styleId="ListLabel640">
    <w:name w:val="ListLabel 640"/>
    <w:qFormat/>
    <w:rsid w:val="002F4459"/>
    <w:rPr>
      <w:rFonts w:cs="Courier New"/>
    </w:rPr>
  </w:style>
  <w:style w:type="character" w:customStyle="1" w:styleId="ListLabel641">
    <w:name w:val="ListLabel 641"/>
    <w:qFormat/>
    <w:rsid w:val="002F4459"/>
    <w:rPr>
      <w:rFonts w:cs="Wingdings"/>
    </w:rPr>
  </w:style>
  <w:style w:type="character" w:customStyle="1" w:styleId="ListLabel642">
    <w:name w:val="ListLabel 642"/>
    <w:qFormat/>
    <w:rsid w:val="002F4459"/>
    <w:rPr>
      <w:rFonts w:cs="Symbol"/>
    </w:rPr>
  </w:style>
  <w:style w:type="character" w:customStyle="1" w:styleId="ListLabel643">
    <w:name w:val="ListLabel 643"/>
    <w:qFormat/>
    <w:rsid w:val="002F4459"/>
    <w:rPr>
      <w:rFonts w:cs="Courier New"/>
    </w:rPr>
  </w:style>
  <w:style w:type="character" w:customStyle="1" w:styleId="ListLabel644">
    <w:name w:val="ListLabel 644"/>
    <w:qFormat/>
    <w:rsid w:val="002F4459"/>
    <w:rPr>
      <w:rFonts w:cs="Wingdings"/>
    </w:rPr>
  </w:style>
  <w:style w:type="character" w:customStyle="1" w:styleId="ListLabel645">
    <w:name w:val="ListLabel 645"/>
    <w:qFormat/>
    <w:rsid w:val="002F4459"/>
    <w:rPr>
      <w:rFonts w:cs="Symbol"/>
    </w:rPr>
  </w:style>
  <w:style w:type="character" w:customStyle="1" w:styleId="ListLabel646">
    <w:name w:val="ListLabel 646"/>
    <w:qFormat/>
    <w:rsid w:val="002F4459"/>
    <w:rPr>
      <w:rFonts w:cs="Courier New"/>
    </w:rPr>
  </w:style>
  <w:style w:type="character" w:customStyle="1" w:styleId="ListLabel647">
    <w:name w:val="ListLabel 647"/>
    <w:qFormat/>
    <w:rsid w:val="002F4459"/>
    <w:rPr>
      <w:rFonts w:cs="Wingdings"/>
    </w:rPr>
  </w:style>
  <w:style w:type="character" w:customStyle="1" w:styleId="ListLabel648">
    <w:name w:val="ListLabel 648"/>
    <w:qFormat/>
    <w:rsid w:val="002F4459"/>
    <w:rPr>
      <w:rFonts w:cs="Times New Roman"/>
      <w:sz w:val="16"/>
    </w:rPr>
  </w:style>
  <w:style w:type="character" w:customStyle="1" w:styleId="ListLabel649">
    <w:name w:val="ListLabel 649"/>
    <w:qFormat/>
    <w:rsid w:val="002F4459"/>
    <w:rPr>
      <w:rFonts w:cs="Courier New"/>
    </w:rPr>
  </w:style>
  <w:style w:type="character" w:customStyle="1" w:styleId="ListLabel650">
    <w:name w:val="ListLabel 650"/>
    <w:qFormat/>
    <w:rsid w:val="002F4459"/>
    <w:rPr>
      <w:rFonts w:cs="Wingdings"/>
    </w:rPr>
  </w:style>
  <w:style w:type="character" w:customStyle="1" w:styleId="ListLabel651">
    <w:name w:val="ListLabel 651"/>
    <w:qFormat/>
    <w:rsid w:val="002F4459"/>
    <w:rPr>
      <w:rFonts w:cs="Symbol"/>
    </w:rPr>
  </w:style>
  <w:style w:type="character" w:customStyle="1" w:styleId="ListLabel652">
    <w:name w:val="ListLabel 652"/>
    <w:qFormat/>
    <w:rsid w:val="002F4459"/>
    <w:rPr>
      <w:rFonts w:cs="Courier New"/>
    </w:rPr>
  </w:style>
  <w:style w:type="character" w:customStyle="1" w:styleId="ListLabel653">
    <w:name w:val="ListLabel 653"/>
    <w:qFormat/>
    <w:rsid w:val="002F4459"/>
    <w:rPr>
      <w:rFonts w:cs="Wingdings"/>
    </w:rPr>
  </w:style>
  <w:style w:type="character" w:customStyle="1" w:styleId="ListLabel654">
    <w:name w:val="ListLabel 654"/>
    <w:qFormat/>
    <w:rsid w:val="002F4459"/>
    <w:rPr>
      <w:rFonts w:cs="Symbol"/>
    </w:rPr>
  </w:style>
  <w:style w:type="character" w:customStyle="1" w:styleId="ListLabel655">
    <w:name w:val="ListLabel 655"/>
    <w:qFormat/>
    <w:rsid w:val="002F4459"/>
    <w:rPr>
      <w:rFonts w:cs="Courier New"/>
    </w:rPr>
  </w:style>
  <w:style w:type="character" w:customStyle="1" w:styleId="ListLabel656">
    <w:name w:val="ListLabel 656"/>
    <w:qFormat/>
    <w:rsid w:val="002F4459"/>
    <w:rPr>
      <w:rFonts w:cs="Wingdings"/>
    </w:rPr>
  </w:style>
  <w:style w:type="character" w:customStyle="1" w:styleId="ListLabel657">
    <w:name w:val="ListLabel 657"/>
    <w:qFormat/>
    <w:rsid w:val="002F4459"/>
    <w:rPr>
      <w:rFonts w:cs="Times New Roman"/>
      <w:sz w:val="16"/>
    </w:rPr>
  </w:style>
  <w:style w:type="character" w:customStyle="1" w:styleId="ListLabel658">
    <w:name w:val="ListLabel 658"/>
    <w:qFormat/>
    <w:rsid w:val="002F4459"/>
    <w:rPr>
      <w:rFonts w:cs="Courier New"/>
    </w:rPr>
  </w:style>
  <w:style w:type="character" w:customStyle="1" w:styleId="ListLabel659">
    <w:name w:val="ListLabel 659"/>
    <w:qFormat/>
    <w:rsid w:val="002F4459"/>
    <w:rPr>
      <w:rFonts w:cs="Wingdings"/>
    </w:rPr>
  </w:style>
  <w:style w:type="character" w:customStyle="1" w:styleId="ListLabel660">
    <w:name w:val="ListLabel 660"/>
    <w:qFormat/>
    <w:rsid w:val="002F4459"/>
    <w:rPr>
      <w:rFonts w:cs="Symbol"/>
    </w:rPr>
  </w:style>
  <w:style w:type="character" w:customStyle="1" w:styleId="ListLabel661">
    <w:name w:val="ListLabel 661"/>
    <w:qFormat/>
    <w:rsid w:val="002F4459"/>
    <w:rPr>
      <w:rFonts w:cs="Courier New"/>
    </w:rPr>
  </w:style>
  <w:style w:type="character" w:customStyle="1" w:styleId="ListLabel662">
    <w:name w:val="ListLabel 662"/>
    <w:qFormat/>
    <w:rsid w:val="002F4459"/>
    <w:rPr>
      <w:rFonts w:cs="Wingdings"/>
    </w:rPr>
  </w:style>
  <w:style w:type="character" w:customStyle="1" w:styleId="ListLabel663">
    <w:name w:val="ListLabel 663"/>
    <w:qFormat/>
    <w:rsid w:val="002F4459"/>
    <w:rPr>
      <w:rFonts w:cs="Symbol"/>
    </w:rPr>
  </w:style>
  <w:style w:type="character" w:customStyle="1" w:styleId="ListLabel664">
    <w:name w:val="ListLabel 664"/>
    <w:qFormat/>
    <w:rsid w:val="002F4459"/>
    <w:rPr>
      <w:rFonts w:cs="Courier New"/>
    </w:rPr>
  </w:style>
  <w:style w:type="character" w:customStyle="1" w:styleId="ListLabel665">
    <w:name w:val="ListLabel 665"/>
    <w:qFormat/>
    <w:rsid w:val="002F4459"/>
    <w:rPr>
      <w:rFonts w:cs="Wingdings"/>
    </w:rPr>
  </w:style>
  <w:style w:type="character" w:customStyle="1" w:styleId="ListLabel666">
    <w:name w:val="ListLabel 666"/>
    <w:qFormat/>
    <w:rsid w:val="002F4459"/>
    <w:rPr>
      <w:rFonts w:cs="Times New Roman"/>
      <w:sz w:val="16"/>
    </w:rPr>
  </w:style>
  <w:style w:type="character" w:customStyle="1" w:styleId="ListLabel667">
    <w:name w:val="ListLabel 667"/>
    <w:qFormat/>
    <w:rsid w:val="002F4459"/>
    <w:rPr>
      <w:rFonts w:cs="Courier New"/>
    </w:rPr>
  </w:style>
  <w:style w:type="character" w:customStyle="1" w:styleId="ListLabel668">
    <w:name w:val="ListLabel 668"/>
    <w:qFormat/>
    <w:rsid w:val="002F4459"/>
    <w:rPr>
      <w:rFonts w:cs="Wingdings"/>
    </w:rPr>
  </w:style>
  <w:style w:type="character" w:customStyle="1" w:styleId="ListLabel669">
    <w:name w:val="ListLabel 669"/>
    <w:qFormat/>
    <w:rsid w:val="002F4459"/>
    <w:rPr>
      <w:rFonts w:cs="Symbol"/>
    </w:rPr>
  </w:style>
  <w:style w:type="character" w:customStyle="1" w:styleId="ListLabel670">
    <w:name w:val="ListLabel 670"/>
    <w:qFormat/>
    <w:rsid w:val="002F4459"/>
    <w:rPr>
      <w:rFonts w:cs="Courier New"/>
    </w:rPr>
  </w:style>
  <w:style w:type="character" w:customStyle="1" w:styleId="ListLabel671">
    <w:name w:val="ListLabel 671"/>
    <w:qFormat/>
    <w:rsid w:val="002F4459"/>
    <w:rPr>
      <w:rFonts w:cs="Wingdings"/>
    </w:rPr>
  </w:style>
  <w:style w:type="character" w:customStyle="1" w:styleId="ListLabel672">
    <w:name w:val="ListLabel 672"/>
    <w:qFormat/>
    <w:rsid w:val="002F4459"/>
    <w:rPr>
      <w:rFonts w:cs="Symbol"/>
    </w:rPr>
  </w:style>
  <w:style w:type="character" w:customStyle="1" w:styleId="ListLabel673">
    <w:name w:val="ListLabel 673"/>
    <w:qFormat/>
    <w:rsid w:val="002F4459"/>
    <w:rPr>
      <w:rFonts w:cs="Courier New"/>
    </w:rPr>
  </w:style>
  <w:style w:type="character" w:customStyle="1" w:styleId="ListLabel674">
    <w:name w:val="ListLabel 674"/>
    <w:qFormat/>
    <w:rsid w:val="002F4459"/>
    <w:rPr>
      <w:rFonts w:cs="Wingdings"/>
    </w:rPr>
  </w:style>
  <w:style w:type="character" w:customStyle="1" w:styleId="ListLabel675">
    <w:name w:val="ListLabel 675"/>
    <w:qFormat/>
    <w:rsid w:val="002F4459"/>
    <w:rPr>
      <w:rFonts w:cs="Times New Roman"/>
      <w:sz w:val="16"/>
    </w:rPr>
  </w:style>
  <w:style w:type="character" w:customStyle="1" w:styleId="ListLabel676">
    <w:name w:val="ListLabel 676"/>
    <w:qFormat/>
    <w:rsid w:val="002F4459"/>
    <w:rPr>
      <w:rFonts w:cs="Courier New"/>
    </w:rPr>
  </w:style>
  <w:style w:type="character" w:customStyle="1" w:styleId="ListLabel677">
    <w:name w:val="ListLabel 677"/>
    <w:qFormat/>
    <w:rsid w:val="002F4459"/>
    <w:rPr>
      <w:rFonts w:cs="Wingdings"/>
    </w:rPr>
  </w:style>
  <w:style w:type="character" w:customStyle="1" w:styleId="ListLabel678">
    <w:name w:val="ListLabel 678"/>
    <w:qFormat/>
    <w:rsid w:val="002F4459"/>
    <w:rPr>
      <w:rFonts w:cs="Symbol"/>
    </w:rPr>
  </w:style>
  <w:style w:type="character" w:customStyle="1" w:styleId="ListLabel679">
    <w:name w:val="ListLabel 679"/>
    <w:qFormat/>
    <w:rsid w:val="002F4459"/>
    <w:rPr>
      <w:rFonts w:cs="Courier New"/>
    </w:rPr>
  </w:style>
  <w:style w:type="character" w:customStyle="1" w:styleId="ListLabel680">
    <w:name w:val="ListLabel 680"/>
    <w:qFormat/>
    <w:rsid w:val="002F4459"/>
    <w:rPr>
      <w:rFonts w:cs="Wingdings"/>
    </w:rPr>
  </w:style>
  <w:style w:type="character" w:customStyle="1" w:styleId="ListLabel681">
    <w:name w:val="ListLabel 681"/>
    <w:qFormat/>
    <w:rsid w:val="002F4459"/>
    <w:rPr>
      <w:rFonts w:cs="Symbol"/>
    </w:rPr>
  </w:style>
  <w:style w:type="character" w:customStyle="1" w:styleId="ListLabel682">
    <w:name w:val="ListLabel 682"/>
    <w:qFormat/>
    <w:rsid w:val="002F4459"/>
    <w:rPr>
      <w:rFonts w:cs="Courier New"/>
    </w:rPr>
  </w:style>
  <w:style w:type="character" w:customStyle="1" w:styleId="ListLabel683">
    <w:name w:val="ListLabel 683"/>
    <w:qFormat/>
    <w:rsid w:val="002F4459"/>
    <w:rPr>
      <w:rFonts w:cs="Wingdings"/>
    </w:rPr>
  </w:style>
  <w:style w:type="character" w:customStyle="1" w:styleId="ListLabel684">
    <w:name w:val="ListLabel 684"/>
    <w:qFormat/>
    <w:rsid w:val="002F4459"/>
    <w:rPr>
      <w:rFonts w:cs="Times New Roman"/>
      <w:sz w:val="16"/>
    </w:rPr>
  </w:style>
  <w:style w:type="character" w:customStyle="1" w:styleId="ListLabel685">
    <w:name w:val="ListLabel 685"/>
    <w:qFormat/>
    <w:rsid w:val="002F4459"/>
    <w:rPr>
      <w:rFonts w:cs="Times New Roman"/>
    </w:rPr>
  </w:style>
  <w:style w:type="character" w:customStyle="1" w:styleId="ListLabel686">
    <w:name w:val="ListLabel 686"/>
    <w:qFormat/>
    <w:rsid w:val="002F4459"/>
    <w:rPr>
      <w:rFonts w:cs="Courier New"/>
    </w:rPr>
  </w:style>
  <w:style w:type="character" w:customStyle="1" w:styleId="ListLabel687">
    <w:name w:val="ListLabel 687"/>
    <w:qFormat/>
    <w:rsid w:val="002F4459"/>
    <w:rPr>
      <w:rFonts w:cs="Wingdings"/>
    </w:rPr>
  </w:style>
  <w:style w:type="character" w:customStyle="1" w:styleId="ListLabel688">
    <w:name w:val="ListLabel 688"/>
    <w:qFormat/>
    <w:rsid w:val="002F4459"/>
    <w:rPr>
      <w:rFonts w:cs="Symbol"/>
    </w:rPr>
  </w:style>
  <w:style w:type="character" w:customStyle="1" w:styleId="ListLabel689">
    <w:name w:val="ListLabel 689"/>
    <w:qFormat/>
    <w:rsid w:val="002F4459"/>
    <w:rPr>
      <w:rFonts w:cs="Courier New"/>
    </w:rPr>
  </w:style>
  <w:style w:type="character" w:customStyle="1" w:styleId="ListLabel690">
    <w:name w:val="ListLabel 690"/>
    <w:qFormat/>
    <w:rsid w:val="002F4459"/>
    <w:rPr>
      <w:rFonts w:cs="Wingdings"/>
    </w:rPr>
  </w:style>
  <w:style w:type="character" w:customStyle="1" w:styleId="ListLabel691">
    <w:name w:val="ListLabel 691"/>
    <w:qFormat/>
    <w:rsid w:val="002F4459"/>
    <w:rPr>
      <w:rFonts w:cs="Symbol"/>
    </w:rPr>
  </w:style>
  <w:style w:type="character" w:customStyle="1" w:styleId="ListLabel692">
    <w:name w:val="ListLabel 692"/>
    <w:qFormat/>
    <w:rsid w:val="002F4459"/>
    <w:rPr>
      <w:rFonts w:cs="Courier New"/>
    </w:rPr>
  </w:style>
  <w:style w:type="character" w:customStyle="1" w:styleId="ListLabel693">
    <w:name w:val="ListLabel 693"/>
    <w:qFormat/>
    <w:rsid w:val="002F4459"/>
    <w:rPr>
      <w:rFonts w:cs="Wingdings"/>
    </w:rPr>
  </w:style>
  <w:style w:type="character" w:customStyle="1" w:styleId="ListLabel694">
    <w:name w:val="ListLabel 694"/>
    <w:qFormat/>
    <w:rsid w:val="002F4459"/>
    <w:rPr>
      <w:rFonts w:cs="Times New Roman"/>
    </w:rPr>
  </w:style>
  <w:style w:type="character" w:customStyle="1" w:styleId="ListLabel695">
    <w:name w:val="ListLabel 695"/>
    <w:qFormat/>
    <w:rsid w:val="002F4459"/>
    <w:rPr>
      <w:rFonts w:cs="Courier New"/>
    </w:rPr>
  </w:style>
  <w:style w:type="character" w:customStyle="1" w:styleId="ListLabel696">
    <w:name w:val="ListLabel 696"/>
    <w:qFormat/>
    <w:rsid w:val="002F4459"/>
    <w:rPr>
      <w:rFonts w:cs="Wingdings"/>
    </w:rPr>
  </w:style>
  <w:style w:type="character" w:customStyle="1" w:styleId="ListLabel697">
    <w:name w:val="ListLabel 697"/>
    <w:qFormat/>
    <w:rsid w:val="002F4459"/>
    <w:rPr>
      <w:rFonts w:cs="Symbol"/>
    </w:rPr>
  </w:style>
  <w:style w:type="character" w:customStyle="1" w:styleId="ListLabel698">
    <w:name w:val="ListLabel 698"/>
    <w:qFormat/>
    <w:rsid w:val="002F4459"/>
    <w:rPr>
      <w:rFonts w:cs="Courier New"/>
    </w:rPr>
  </w:style>
  <w:style w:type="character" w:customStyle="1" w:styleId="ListLabel699">
    <w:name w:val="ListLabel 699"/>
    <w:qFormat/>
    <w:rsid w:val="002F4459"/>
    <w:rPr>
      <w:rFonts w:cs="Wingdings"/>
    </w:rPr>
  </w:style>
  <w:style w:type="character" w:customStyle="1" w:styleId="ListLabel700">
    <w:name w:val="ListLabel 700"/>
    <w:qFormat/>
    <w:rsid w:val="002F4459"/>
    <w:rPr>
      <w:rFonts w:cs="Symbol"/>
    </w:rPr>
  </w:style>
  <w:style w:type="character" w:customStyle="1" w:styleId="ListLabel701">
    <w:name w:val="ListLabel 701"/>
    <w:qFormat/>
    <w:rsid w:val="002F4459"/>
    <w:rPr>
      <w:rFonts w:cs="Courier New"/>
    </w:rPr>
  </w:style>
  <w:style w:type="character" w:customStyle="1" w:styleId="ListLabel702">
    <w:name w:val="ListLabel 702"/>
    <w:qFormat/>
    <w:rsid w:val="002F4459"/>
    <w:rPr>
      <w:rFonts w:cs="Wingdings"/>
    </w:rPr>
  </w:style>
  <w:style w:type="character" w:customStyle="1" w:styleId="ListLabel703">
    <w:name w:val="ListLabel 703"/>
    <w:qFormat/>
    <w:rsid w:val="002F4459"/>
    <w:rPr>
      <w:rFonts w:cs="Times New Roman"/>
      <w:sz w:val="16"/>
    </w:rPr>
  </w:style>
  <w:style w:type="character" w:customStyle="1" w:styleId="ListLabel704">
    <w:name w:val="ListLabel 704"/>
    <w:qFormat/>
    <w:rsid w:val="002F4459"/>
    <w:rPr>
      <w:rFonts w:cs="Courier New"/>
    </w:rPr>
  </w:style>
  <w:style w:type="character" w:customStyle="1" w:styleId="ListLabel705">
    <w:name w:val="ListLabel 705"/>
    <w:qFormat/>
    <w:rsid w:val="002F4459"/>
    <w:rPr>
      <w:rFonts w:cs="Wingdings"/>
    </w:rPr>
  </w:style>
  <w:style w:type="character" w:customStyle="1" w:styleId="ListLabel706">
    <w:name w:val="ListLabel 706"/>
    <w:qFormat/>
    <w:rsid w:val="002F4459"/>
    <w:rPr>
      <w:rFonts w:cs="Symbol"/>
    </w:rPr>
  </w:style>
  <w:style w:type="character" w:customStyle="1" w:styleId="ListLabel707">
    <w:name w:val="ListLabel 707"/>
    <w:qFormat/>
    <w:rsid w:val="002F4459"/>
    <w:rPr>
      <w:rFonts w:cs="Courier New"/>
    </w:rPr>
  </w:style>
  <w:style w:type="character" w:customStyle="1" w:styleId="ListLabel708">
    <w:name w:val="ListLabel 708"/>
    <w:qFormat/>
    <w:rsid w:val="002F4459"/>
    <w:rPr>
      <w:rFonts w:cs="Wingdings"/>
    </w:rPr>
  </w:style>
  <w:style w:type="character" w:customStyle="1" w:styleId="ListLabel709">
    <w:name w:val="ListLabel 709"/>
    <w:qFormat/>
    <w:rsid w:val="002F4459"/>
    <w:rPr>
      <w:rFonts w:cs="Symbol"/>
    </w:rPr>
  </w:style>
  <w:style w:type="character" w:customStyle="1" w:styleId="ListLabel710">
    <w:name w:val="ListLabel 710"/>
    <w:qFormat/>
    <w:rsid w:val="002F4459"/>
    <w:rPr>
      <w:rFonts w:cs="Courier New"/>
    </w:rPr>
  </w:style>
  <w:style w:type="character" w:customStyle="1" w:styleId="ListLabel711">
    <w:name w:val="ListLabel 711"/>
    <w:qFormat/>
    <w:rsid w:val="002F4459"/>
    <w:rPr>
      <w:rFonts w:cs="Wingdings"/>
    </w:rPr>
  </w:style>
  <w:style w:type="character" w:customStyle="1" w:styleId="ListLabel712">
    <w:name w:val="ListLabel 712"/>
    <w:qFormat/>
    <w:rsid w:val="002F4459"/>
    <w:rPr>
      <w:rFonts w:cs="Times New Roman"/>
      <w:sz w:val="16"/>
    </w:rPr>
  </w:style>
  <w:style w:type="character" w:customStyle="1" w:styleId="ListLabel713">
    <w:name w:val="ListLabel 713"/>
    <w:qFormat/>
    <w:rsid w:val="002F4459"/>
    <w:rPr>
      <w:rFonts w:cs="Times New Roman"/>
      <w:sz w:val="16"/>
    </w:rPr>
  </w:style>
  <w:style w:type="character" w:customStyle="1" w:styleId="ListLabel714">
    <w:name w:val="ListLabel 714"/>
    <w:qFormat/>
    <w:rsid w:val="002F4459"/>
    <w:rPr>
      <w:rFonts w:cs="Times New Roman"/>
      <w:sz w:val="16"/>
    </w:rPr>
  </w:style>
  <w:style w:type="character" w:customStyle="1" w:styleId="ListLabel715">
    <w:name w:val="ListLabel 715"/>
    <w:qFormat/>
    <w:rsid w:val="002F4459"/>
    <w:rPr>
      <w:rFonts w:cs="Times New Roman"/>
      <w:sz w:val="16"/>
    </w:rPr>
  </w:style>
  <w:style w:type="character" w:customStyle="1" w:styleId="ListLabel716">
    <w:name w:val="ListLabel 716"/>
    <w:qFormat/>
    <w:rsid w:val="002F4459"/>
    <w:rPr>
      <w:rFonts w:cs="Times New Roman"/>
      <w:sz w:val="16"/>
    </w:rPr>
  </w:style>
  <w:style w:type="character" w:customStyle="1" w:styleId="ListLabel717">
    <w:name w:val="ListLabel 717"/>
    <w:qFormat/>
    <w:rsid w:val="002F4459"/>
    <w:rPr>
      <w:rFonts w:cs="Times New Roman"/>
      <w:sz w:val="16"/>
    </w:rPr>
  </w:style>
  <w:style w:type="character" w:customStyle="1" w:styleId="ListLabel718">
    <w:name w:val="ListLabel 718"/>
    <w:qFormat/>
    <w:rsid w:val="002F4459"/>
    <w:rPr>
      <w:rFonts w:cs="Times New Roman"/>
      <w:sz w:val="16"/>
    </w:rPr>
  </w:style>
  <w:style w:type="character" w:customStyle="1" w:styleId="ListLabel719">
    <w:name w:val="ListLabel 719"/>
    <w:qFormat/>
    <w:rsid w:val="002F4459"/>
    <w:rPr>
      <w:rFonts w:cs="Times New Roman"/>
      <w:sz w:val="16"/>
    </w:rPr>
  </w:style>
  <w:style w:type="character" w:customStyle="1" w:styleId="ListLabel720">
    <w:name w:val="ListLabel 720"/>
    <w:qFormat/>
    <w:rsid w:val="002F4459"/>
    <w:rPr>
      <w:rFonts w:cs="Times New Roman"/>
      <w:sz w:val="16"/>
    </w:rPr>
  </w:style>
  <w:style w:type="character" w:customStyle="1" w:styleId="ListLabel721">
    <w:name w:val="ListLabel 721"/>
    <w:qFormat/>
    <w:rsid w:val="002F4459"/>
    <w:rPr>
      <w:rFonts w:cs="Times New Roman"/>
      <w:sz w:val="16"/>
    </w:rPr>
  </w:style>
  <w:style w:type="character" w:customStyle="1" w:styleId="ListLabel722">
    <w:name w:val="ListLabel 722"/>
    <w:qFormat/>
    <w:rsid w:val="002F4459"/>
    <w:rPr>
      <w:rFonts w:cs="Times New Roman"/>
      <w:sz w:val="16"/>
    </w:rPr>
  </w:style>
  <w:style w:type="character" w:customStyle="1" w:styleId="ListLabel723">
    <w:name w:val="ListLabel 723"/>
    <w:qFormat/>
    <w:rsid w:val="002F4459"/>
    <w:rPr>
      <w:rFonts w:cs="Courier New"/>
    </w:rPr>
  </w:style>
  <w:style w:type="character" w:customStyle="1" w:styleId="ListLabel724">
    <w:name w:val="ListLabel 724"/>
    <w:qFormat/>
    <w:rsid w:val="002F4459"/>
    <w:rPr>
      <w:rFonts w:cs="Courier New"/>
    </w:rPr>
  </w:style>
  <w:style w:type="character" w:customStyle="1" w:styleId="ListLabel725">
    <w:name w:val="ListLabel 725"/>
    <w:qFormat/>
    <w:rsid w:val="002F4459"/>
    <w:rPr>
      <w:rFonts w:cs="Courier New"/>
    </w:rPr>
  </w:style>
  <w:style w:type="character" w:customStyle="1" w:styleId="ListLabel726">
    <w:name w:val="ListLabel 726"/>
    <w:qFormat/>
    <w:rsid w:val="002F4459"/>
    <w:rPr>
      <w:rFonts w:cs="Times New Roman"/>
      <w:sz w:val="16"/>
    </w:rPr>
  </w:style>
  <w:style w:type="character" w:customStyle="1" w:styleId="ListLabel727">
    <w:name w:val="ListLabel 727"/>
    <w:qFormat/>
    <w:rsid w:val="002F4459"/>
    <w:rPr>
      <w:rFonts w:cs="Courier New"/>
    </w:rPr>
  </w:style>
  <w:style w:type="character" w:customStyle="1" w:styleId="ListLabel728">
    <w:name w:val="ListLabel 728"/>
    <w:qFormat/>
    <w:rsid w:val="002F4459"/>
    <w:rPr>
      <w:rFonts w:cs="Courier New"/>
    </w:rPr>
  </w:style>
  <w:style w:type="character" w:customStyle="1" w:styleId="ListLabel729">
    <w:name w:val="ListLabel 729"/>
    <w:qFormat/>
    <w:rsid w:val="002F4459"/>
    <w:rPr>
      <w:rFonts w:cs="Courier New"/>
    </w:rPr>
  </w:style>
  <w:style w:type="character" w:customStyle="1" w:styleId="ListLabel730">
    <w:name w:val="ListLabel 730"/>
    <w:qFormat/>
    <w:rsid w:val="002F4459"/>
    <w:rPr>
      <w:rFonts w:cs="Times New Roman"/>
      <w:sz w:val="16"/>
    </w:rPr>
  </w:style>
  <w:style w:type="character" w:customStyle="1" w:styleId="ListLabel731">
    <w:name w:val="ListLabel 731"/>
    <w:qFormat/>
    <w:rsid w:val="002F4459"/>
    <w:rPr>
      <w:rFonts w:cs="Courier New"/>
    </w:rPr>
  </w:style>
  <w:style w:type="character" w:customStyle="1" w:styleId="ListLabel732">
    <w:name w:val="ListLabel 732"/>
    <w:qFormat/>
    <w:rsid w:val="002F4459"/>
    <w:rPr>
      <w:rFonts w:cs="Courier New"/>
    </w:rPr>
  </w:style>
  <w:style w:type="character" w:customStyle="1" w:styleId="ListLabel733">
    <w:name w:val="ListLabel 733"/>
    <w:qFormat/>
    <w:rsid w:val="002F4459"/>
    <w:rPr>
      <w:rFonts w:cs="Courier New"/>
    </w:rPr>
  </w:style>
  <w:style w:type="character" w:customStyle="1" w:styleId="ListLabel734">
    <w:name w:val="ListLabel 734"/>
    <w:qFormat/>
    <w:rsid w:val="002F4459"/>
    <w:rPr>
      <w:b/>
      <w:i w:val="0"/>
    </w:rPr>
  </w:style>
  <w:style w:type="character" w:customStyle="1" w:styleId="ListLabel735">
    <w:name w:val="ListLabel 735"/>
    <w:qFormat/>
    <w:rsid w:val="002F4459"/>
    <w:rPr>
      <w:b/>
      <w:i w:val="0"/>
    </w:rPr>
  </w:style>
  <w:style w:type="character" w:customStyle="1" w:styleId="ListLabel736">
    <w:name w:val="ListLabel 736"/>
    <w:qFormat/>
    <w:rsid w:val="002F4459"/>
    <w:rPr>
      <w:b/>
      <w:i w:val="0"/>
    </w:rPr>
  </w:style>
  <w:style w:type="character" w:customStyle="1" w:styleId="ListLabel737">
    <w:name w:val="ListLabel 737"/>
    <w:qFormat/>
    <w:rsid w:val="002F4459"/>
    <w:rPr>
      <w:b w:val="0"/>
      <w:i w:val="0"/>
    </w:rPr>
  </w:style>
  <w:style w:type="character" w:customStyle="1" w:styleId="ListLabel738">
    <w:name w:val="ListLabel 738"/>
    <w:qFormat/>
    <w:rsid w:val="002F4459"/>
    <w:rPr>
      <w:b/>
      <w:i w:val="0"/>
    </w:rPr>
  </w:style>
  <w:style w:type="character" w:customStyle="1" w:styleId="ListLabel739">
    <w:name w:val="ListLabel 739"/>
    <w:qFormat/>
    <w:rsid w:val="002F4459"/>
    <w:rPr>
      <w:b w:val="0"/>
      <w:i w:val="0"/>
    </w:rPr>
  </w:style>
  <w:style w:type="character" w:customStyle="1" w:styleId="ListLabel740">
    <w:name w:val="ListLabel 740"/>
    <w:qFormat/>
    <w:rsid w:val="002F4459"/>
    <w:rPr>
      <w:rFonts w:cs="Courier New"/>
    </w:rPr>
  </w:style>
  <w:style w:type="character" w:customStyle="1" w:styleId="ListLabel741">
    <w:name w:val="ListLabel 741"/>
    <w:qFormat/>
    <w:rsid w:val="002F4459"/>
    <w:rPr>
      <w:rFonts w:cs="Courier New"/>
    </w:rPr>
  </w:style>
  <w:style w:type="character" w:customStyle="1" w:styleId="ListLabel742">
    <w:name w:val="ListLabel 742"/>
    <w:qFormat/>
    <w:rsid w:val="002F4459"/>
    <w:rPr>
      <w:rFonts w:cs="Courier New"/>
    </w:rPr>
  </w:style>
  <w:style w:type="character" w:customStyle="1" w:styleId="ListLabel743">
    <w:name w:val="ListLabel 743"/>
    <w:qFormat/>
    <w:rsid w:val="002F4459"/>
    <w:rPr>
      <w:b w:val="0"/>
      <w:i w:val="0"/>
    </w:rPr>
  </w:style>
  <w:style w:type="character" w:customStyle="1" w:styleId="ListLabel744">
    <w:name w:val="ListLabel 744"/>
    <w:qFormat/>
    <w:rsid w:val="002F4459"/>
    <w:rPr>
      <w:rFonts w:cs="Courier New"/>
    </w:rPr>
  </w:style>
  <w:style w:type="character" w:customStyle="1" w:styleId="ListLabel745">
    <w:name w:val="ListLabel 745"/>
    <w:qFormat/>
    <w:rsid w:val="002F4459"/>
    <w:rPr>
      <w:rFonts w:cs="Courier New"/>
    </w:rPr>
  </w:style>
  <w:style w:type="character" w:customStyle="1" w:styleId="ListLabel746">
    <w:name w:val="ListLabel 746"/>
    <w:qFormat/>
    <w:rsid w:val="002F4459"/>
    <w:rPr>
      <w:rFonts w:cs="Courier New"/>
    </w:rPr>
  </w:style>
  <w:style w:type="character" w:customStyle="1" w:styleId="ListLabel747">
    <w:name w:val="ListLabel 747"/>
    <w:qFormat/>
    <w:rsid w:val="002F4459"/>
    <w:rPr>
      <w:rFonts w:cs="Times New Roman"/>
    </w:rPr>
  </w:style>
  <w:style w:type="character" w:customStyle="1" w:styleId="ListLabel748">
    <w:name w:val="ListLabel 748"/>
    <w:qFormat/>
    <w:rsid w:val="002F4459"/>
    <w:rPr>
      <w:rFonts w:cs="Courier New"/>
    </w:rPr>
  </w:style>
  <w:style w:type="character" w:customStyle="1" w:styleId="ListLabel749">
    <w:name w:val="ListLabel 749"/>
    <w:qFormat/>
    <w:rsid w:val="002F4459"/>
    <w:rPr>
      <w:rFonts w:cs="Courier New"/>
    </w:rPr>
  </w:style>
  <w:style w:type="character" w:customStyle="1" w:styleId="ListLabel750">
    <w:name w:val="ListLabel 750"/>
    <w:qFormat/>
    <w:rsid w:val="002F4459"/>
    <w:rPr>
      <w:rFonts w:cs="Courier New"/>
    </w:rPr>
  </w:style>
  <w:style w:type="character" w:customStyle="1" w:styleId="ListLabel751">
    <w:name w:val="ListLabel 751"/>
    <w:qFormat/>
    <w:rsid w:val="002F4459"/>
    <w:rPr>
      <w:rFonts w:cs="Times New Roman"/>
    </w:rPr>
  </w:style>
  <w:style w:type="character" w:customStyle="1" w:styleId="ListLabel752">
    <w:name w:val="ListLabel 752"/>
    <w:qFormat/>
    <w:rsid w:val="002F4459"/>
    <w:rPr>
      <w:rFonts w:cs="Courier New"/>
    </w:rPr>
  </w:style>
  <w:style w:type="character" w:customStyle="1" w:styleId="ListLabel753">
    <w:name w:val="ListLabel 753"/>
    <w:qFormat/>
    <w:rsid w:val="002F4459"/>
    <w:rPr>
      <w:rFonts w:cs="Courier New"/>
    </w:rPr>
  </w:style>
  <w:style w:type="character" w:customStyle="1" w:styleId="ListLabel754">
    <w:name w:val="ListLabel 754"/>
    <w:qFormat/>
    <w:rsid w:val="002F4459"/>
    <w:rPr>
      <w:rFonts w:cs="Courier New"/>
    </w:rPr>
  </w:style>
  <w:style w:type="character" w:customStyle="1" w:styleId="ListLabel755">
    <w:name w:val="ListLabel 755"/>
    <w:qFormat/>
    <w:rsid w:val="002F4459"/>
    <w:rPr>
      <w:rFonts w:cs="Times New Roman"/>
    </w:rPr>
  </w:style>
  <w:style w:type="character" w:customStyle="1" w:styleId="ListLabel756">
    <w:name w:val="ListLabel 756"/>
    <w:qFormat/>
    <w:rsid w:val="002F4459"/>
    <w:rPr>
      <w:rFonts w:cs="Courier New"/>
    </w:rPr>
  </w:style>
  <w:style w:type="character" w:customStyle="1" w:styleId="ListLabel757">
    <w:name w:val="ListLabel 757"/>
    <w:qFormat/>
    <w:rsid w:val="002F4459"/>
    <w:rPr>
      <w:rFonts w:cs="Courier New"/>
    </w:rPr>
  </w:style>
  <w:style w:type="character" w:customStyle="1" w:styleId="ListLabel758">
    <w:name w:val="ListLabel 758"/>
    <w:qFormat/>
    <w:rsid w:val="002F4459"/>
    <w:rPr>
      <w:rFonts w:cs="Courier New"/>
    </w:rPr>
  </w:style>
  <w:style w:type="character" w:customStyle="1" w:styleId="ListLabel759">
    <w:name w:val="ListLabel 759"/>
    <w:qFormat/>
    <w:rsid w:val="002F4459"/>
    <w:rPr>
      <w:rFonts w:cs="Times New Roman"/>
    </w:rPr>
  </w:style>
  <w:style w:type="character" w:customStyle="1" w:styleId="ListLabel760">
    <w:name w:val="ListLabel 760"/>
    <w:qFormat/>
    <w:rsid w:val="002F4459"/>
    <w:rPr>
      <w:rFonts w:cs="Courier New"/>
    </w:rPr>
  </w:style>
  <w:style w:type="character" w:customStyle="1" w:styleId="ListLabel761">
    <w:name w:val="ListLabel 761"/>
    <w:qFormat/>
    <w:rsid w:val="002F4459"/>
    <w:rPr>
      <w:rFonts w:cs="Courier New"/>
    </w:rPr>
  </w:style>
  <w:style w:type="character" w:customStyle="1" w:styleId="ListLabel762">
    <w:name w:val="ListLabel 762"/>
    <w:qFormat/>
    <w:rsid w:val="002F4459"/>
    <w:rPr>
      <w:rFonts w:cs="Courier New"/>
    </w:rPr>
  </w:style>
  <w:style w:type="character" w:customStyle="1" w:styleId="ListLabel763">
    <w:name w:val="ListLabel 763"/>
    <w:qFormat/>
    <w:rsid w:val="002F4459"/>
    <w:rPr>
      <w:rFonts w:cs="Times New Roman"/>
    </w:rPr>
  </w:style>
  <w:style w:type="character" w:customStyle="1" w:styleId="ListLabel764">
    <w:name w:val="ListLabel 764"/>
    <w:qFormat/>
    <w:rsid w:val="002F4459"/>
    <w:rPr>
      <w:rFonts w:cs="Courier New"/>
    </w:rPr>
  </w:style>
  <w:style w:type="character" w:customStyle="1" w:styleId="ListLabel765">
    <w:name w:val="ListLabel 765"/>
    <w:qFormat/>
    <w:rsid w:val="002F4459"/>
    <w:rPr>
      <w:rFonts w:cs="Courier New"/>
    </w:rPr>
  </w:style>
  <w:style w:type="character" w:customStyle="1" w:styleId="ListLabel766">
    <w:name w:val="ListLabel 766"/>
    <w:qFormat/>
    <w:rsid w:val="002F4459"/>
    <w:rPr>
      <w:rFonts w:cs="Courier New"/>
    </w:rPr>
  </w:style>
  <w:style w:type="character" w:customStyle="1" w:styleId="ListLabel767">
    <w:name w:val="ListLabel 767"/>
    <w:qFormat/>
    <w:rsid w:val="002F4459"/>
    <w:rPr>
      <w:rFonts w:cs="Times New Roman"/>
    </w:rPr>
  </w:style>
  <w:style w:type="character" w:customStyle="1" w:styleId="ListLabel768">
    <w:name w:val="ListLabel 768"/>
    <w:qFormat/>
    <w:rsid w:val="002F4459"/>
    <w:rPr>
      <w:rFonts w:cs="Courier New"/>
    </w:rPr>
  </w:style>
  <w:style w:type="character" w:customStyle="1" w:styleId="ListLabel769">
    <w:name w:val="ListLabel 769"/>
    <w:qFormat/>
    <w:rsid w:val="002F4459"/>
    <w:rPr>
      <w:rFonts w:cs="Courier New"/>
    </w:rPr>
  </w:style>
  <w:style w:type="character" w:customStyle="1" w:styleId="ListLabel770">
    <w:name w:val="ListLabel 770"/>
    <w:qFormat/>
    <w:rsid w:val="002F4459"/>
    <w:rPr>
      <w:rFonts w:cs="Courier New"/>
    </w:rPr>
  </w:style>
  <w:style w:type="character" w:customStyle="1" w:styleId="ListLabel771">
    <w:name w:val="ListLabel 771"/>
    <w:qFormat/>
    <w:rsid w:val="002F4459"/>
    <w:rPr>
      <w:b w:val="0"/>
      <w:i w:val="0"/>
    </w:rPr>
  </w:style>
  <w:style w:type="character" w:customStyle="1" w:styleId="czeindeksu">
    <w:name w:val="Łącze indeksu"/>
    <w:qFormat/>
    <w:rsid w:val="002F4459"/>
  </w:style>
  <w:style w:type="paragraph" w:customStyle="1" w:styleId="Indeks">
    <w:name w:val="Indeks"/>
    <w:basedOn w:val="Normalny"/>
    <w:qFormat/>
    <w:rsid w:val="002F4459"/>
    <w:pPr>
      <w:suppressLineNumbers/>
      <w:spacing w:line="240" w:lineRule="auto"/>
    </w:pPr>
    <w:rPr>
      <w:rFonts w:ascii="Times New Roman" w:eastAsiaTheme="minorHAnsi" w:hAnsi="Times New Roman" w:cs="Lucida Sans"/>
      <w:sz w:val="16"/>
      <w:szCs w:val="22"/>
      <w:lang w:eastAsia="en-US"/>
    </w:rPr>
  </w:style>
  <w:style w:type="paragraph" w:customStyle="1" w:styleId="wstp1">
    <w:name w:val="wstęp1"/>
    <w:basedOn w:val="Normalny"/>
    <w:qFormat/>
    <w:rsid w:val="002F4459"/>
    <w:pPr>
      <w:keepNext/>
      <w:widowControl w:val="0"/>
      <w:spacing w:before="360" w:after="120"/>
    </w:pPr>
    <w:rPr>
      <w:rFonts w:ascii="Times New Roman" w:hAnsi="Times New Roman"/>
      <w:b/>
      <w:sz w:val="24"/>
      <w:szCs w:val="20"/>
    </w:rPr>
  </w:style>
  <w:style w:type="paragraph" w:customStyle="1" w:styleId="11">
    <w:name w:val="1.1."/>
    <w:basedOn w:val="Normalny"/>
    <w:next w:val="Normalny"/>
    <w:qFormat/>
    <w:rsid w:val="002F4459"/>
    <w:pPr>
      <w:keepNext/>
      <w:widowControl w:val="0"/>
      <w:spacing w:before="240" w:after="120"/>
    </w:pPr>
    <w:rPr>
      <w:rFonts w:ascii="Times New Roman" w:hAnsi="Times New Roman"/>
      <w:sz w:val="24"/>
      <w:szCs w:val="20"/>
    </w:rPr>
  </w:style>
  <w:style w:type="paragraph" w:customStyle="1" w:styleId="1">
    <w:name w:val="1"/>
    <w:basedOn w:val="Normalny"/>
    <w:qFormat/>
    <w:rsid w:val="002F4459"/>
    <w:pPr>
      <w:suppressAutoHyphens/>
      <w:spacing w:line="240" w:lineRule="auto"/>
      <w:ind w:left="709" w:hanging="709"/>
      <w:jc w:val="both"/>
    </w:pPr>
    <w:rPr>
      <w:rFonts w:ascii="Times New Roman" w:hAnsi="Times New Roman"/>
      <w:spacing w:val="-3"/>
      <w:kern w:val="2"/>
      <w:szCs w:val="20"/>
      <w:lang w:val="en-GB"/>
    </w:rPr>
  </w:style>
  <w:style w:type="paragraph" w:customStyle="1" w:styleId="NA">
    <w:name w:val="N/A"/>
    <w:basedOn w:val="Normalny"/>
    <w:qFormat/>
    <w:rsid w:val="002F4459"/>
    <w:pPr>
      <w:tabs>
        <w:tab w:val="left" w:pos="9000"/>
        <w:tab w:val="right" w:pos="9360"/>
      </w:tabs>
      <w:suppressAutoHyphens/>
      <w:spacing w:line="240" w:lineRule="auto"/>
    </w:pPr>
    <w:rPr>
      <w:rFonts w:ascii="CG Times" w:hAnsi="CG Times"/>
      <w:sz w:val="24"/>
      <w:szCs w:val="20"/>
      <w:lang w:val="en-US"/>
    </w:rPr>
  </w:style>
  <w:style w:type="paragraph" w:customStyle="1" w:styleId="wyliczenie1">
    <w:name w:val="wyliczenie 1"/>
    <w:basedOn w:val="Listapunktowana"/>
    <w:qFormat/>
    <w:rsid w:val="002F4459"/>
    <w:pPr>
      <w:numPr>
        <w:numId w:val="0"/>
      </w:numPr>
      <w:ind w:left="283" w:hanging="283"/>
      <w:jc w:val="both"/>
    </w:pPr>
    <w:rPr>
      <w:rFonts w:ascii="Times New Roman" w:hAnsi="Times New Roman"/>
      <w:sz w:val="24"/>
    </w:rPr>
  </w:style>
  <w:style w:type="paragraph" w:customStyle="1" w:styleId="Nagwek-SST-nieparzysty">
    <w:name w:val="Nagłówek - SST - nieparzysty"/>
    <w:basedOn w:val="Normalny"/>
    <w:autoRedefine/>
    <w:qFormat/>
    <w:rsid w:val="002F4459"/>
    <w:pPr>
      <w:tabs>
        <w:tab w:val="left" w:pos="0"/>
      </w:tabs>
      <w:spacing w:line="240" w:lineRule="auto"/>
    </w:pPr>
    <w:rPr>
      <w:rFonts w:ascii="Times New Roman" w:hAnsi="Times New Roman"/>
      <w:bCs/>
      <w:lang w:val="en-GB"/>
    </w:rPr>
  </w:style>
  <w:style w:type="paragraph" w:customStyle="1" w:styleId="Nagwek-SST-parzysty">
    <w:name w:val="Nagłówek - SST - parzysty"/>
    <w:basedOn w:val="Nagwek-SST-nieparzysty"/>
    <w:qFormat/>
    <w:rsid w:val="002F4459"/>
    <w:pPr>
      <w:jc w:val="right"/>
    </w:pPr>
  </w:style>
  <w:style w:type="paragraph" w:customStyle="1" w:styleId="BodyText21">
    <w:name w:val="Body Text 21"/>
    <w:basedOn w:val="Normalny"/>
    <w:qFormat/>
    <w:rsid w:val="002F4459"/>
    <w:pPr>
      <w:ind w:right="85"/>
      <w:jc w:val="both"/>
    </w:pPr>
    <w:rPr>
      <w:rFonts w:ascii="Times New Roman" w:hAnsi="Times New Roman"/>
      <w:sz w:val="24"/>
      <w:szCs w:val="20"/>
    </w:rPr>
  </w:style>
  <w:style w:type="paragraph" w:customStyle="1" w:styleId="BlockText1">
    <w:name w:val="Block Text1"/>
    <w:basedOn w:val="Normalny"/>
    <w:qFormat/>
    <w:rsid w:val="002F4459"/>
    <w:pPr>
      <w:spacing w:before="240" w:after="120" w:line="300" w:lineRule="atLeast"/>
      <w:ind w:left="1276" w:right="85" w:hanging="1276"/>
    </w:pPr>
    <w:rPr>
      <w:rFonts w:ascii="Times New Roman" w:hAnsi="Times New Roman"/>
      <w:b/>
      <w:sz w:val="24"/>
      <w:szCs w:val="20"/>
    </w:rPr>
  </w:style>
  <w:style w:type="paragraph" w:customStyle="1" w:styleId="Zawartoramki">
    <w:name w:val="Zawartość ramki"/>
    <w:basedOn w:val="Normalny"/>
    <w:qFormat/>
    <w:rsid w:val="002F4459"/>
    <w:pPr>
      <w:spacing w:line="240" w:lineRule="auto"/>
    </w:pPr>
    <w:rPr>
      <w:rFonts w:ascii="Times New Roman" w:eastAsiaTheme="minorHAnsi" w:hAnsi="Times New Roman" w:cstheme="minorBidi"/>
      <w:sz w:val="16"/>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10707">
      <w:bodyDiv w:val="1"/>
      <w:marLeft w:val="0"/>
      <w:marRight w:val="0"/>
      <w:marTop w:val="0"/>
      <w:marBottom w:val="0"/>
      <w:divBdr>
        <w:top w:val="none" w:sz="0" w:space="0" w:color="auto"/>
        <w:left w:val="none" w:sz="0" w:space="0" w:color="auto"/>
        <w:bottom w:val="none" w:sz="0" w:space="0" w:color="auto"/>
        <w:right w:val="none" w:sz="0" w:space="0" w:color="auto"/>
      </w:divBdr>
    </w:div>
    <w:div w:id="22942398">
      <w:bodyDiv w:val="1"/>
      <w:marLeft w:val="0"/>
      <w:marRight w:val="0"/>
      <w:marTop w:val="0"/>
      <w:marBottom w:val="0"/>
      <w:divBdr>
        <w:top w:val="none" w:sz="0" w:space="0" w:color="auto"/>
        <w:left w:val="none" w:sz="0" w:space="0" w:color="auto"/>
        <w:bottom w:val="none" w:sz="0" w:space="0" w:color="auto"/>
        <w:right w:val="none" w:sz="0" w:space="0" w:color="auto"/>
      </w:divBdr>
    </w:div>
    <w:div w:id="41029985">
      <w:bodyDiv w:val="1"/>
      <w:marLeft w:val="0"/>
      <w:marRight w:val="0"/>
      <w:marTop w:val="0"/>
      <w:marBottom w:val="0"/>
      <w:divBdr>
        <w:top w:val="none" w:sz="0" w:space="0" w:color="auto"/>
        <w:left w:val="none" w:sz="0" w:space="0" w:color="auto"/>
        <w:bottom w:val="none" w:sz="0" w:space="0" w:color="auto"/>
        <w:right w:val="none" w:sz="0" w:space="0" w:color="auto"/>
      </w:divBdr>
    </w:div>
    <w:div w:id="63257457">
      <w:bodyDiv w:val="1"/>
      <w:marLeft w:val="0"/>
      <w:marRight w:val="0"/>
      <w:marTop w:val="0"/>
      <w:marBottom w:val="0"/>
      <w:divBdr>
        <w:top w:val="none" w:sz="0" w:space="0" w:color="auto"/>
        <w:left w:val="none" w:sz="0" w:space="0" w:color="auto"/>
        <w:bottom w:val="none" w:sz="0" w:space="0" w:color="auto"/>
        <w:right w:val="none" w:sz="0" w:space="0" w:color="auto"/>
      </w:divBdr>
    </w:div>
    <w:div w:id="71045684">
      <w:bodyDiv w:val="1"/>
      <w:marLeft w:val="0"/>
      <w:marRight w:val="0"/>
      <w:marTop w:val="0"/>
      <w:marBottom w:val="0"/>
      <w:divBdr>
        <w:top w:val="none" w:sz="0" w:space="0" w:color="auto"/>
        <w:left w:val="none" w:sz="0" w:space="0" w:color="auto"/>
        <w:bottom w:val="none" w:sz="0" w:space="0" w:color="auto"/>
        <w:right w:val="none" w:sz="0" w:space="0" w:color="auto"/>
      </w:divBdr>
    </w:div>
    <w:div w:id="103354958">
      <w:bodyDiv w:val="1"/>
      <w:marLeft w:val="0"/>
      <w:marRight w:val="0"/>
      <w:marTop w:val="0"/>
      <w:marBottom w:val="0"/>
      <w:divBdr>
        <w:top w:val="none" w:sz="0" w:space="0" w:color="auto"/>
        <w:left w:val="none" w:sz="0" w:space="0" w:color="auto"/>
        <w:bottom w:val="none" w:sz="0" w:space="0" w:color="auto"/>
        <w:right w:val="none" w:sz="0" w:space="0" w:color="auto"/>
      </w:divBdr>
    </w:div>
    <w:div w:id="170072344">
      <w:bodyDiv w:val="1"/>
      <w:marLeft w:val="0"/>
      <w:marRight w:val="0"/>
      <w:marTop w:val="0"/>
      <w:marBottom w:val="0"/>
      <w:divBdr>
        <w:top w:val="none" w:sz="0" w:space="0" w:color="auto"/>
        <w:left w:val="none" w:sz="0" w:space="0" w:color="auto"/>
        <w:bottom w:val="none" w:sz="0" w:space="0" w:color="auto"/>
        <w:right w:val="none" w:sz="0" w:space="0" w:color="auto"/>
      </w:divBdr>
    </w:div>
    <w:div w:id="206529785">
      <w:bodyDiv w:val="1"/>
      <w:marLeft w:val="0"/>
      <w:marRight w:val="0"/>
      <w:marTop w:val="0"/>
      <w:marBottom w:val="0"/>
      <w:divBdr>
        <w:top w:val="none" w:sz="0" w:space="0" w:color="auto"/>
        <w:left w:val="none" w:sz="0" w:space="0" w:color="auto"/>
        <w:bottom w:val="none" w:sz="0" w:space="0" w:color="auto"/>
        <w:right w:val="none" w:sz="0" w:space="0" w:color="auto"/>
      </w:divBdr>
    </w:div>
    <w:div w:id="208611145">
      <w:bodyDiv w:val="1"/>
      <w:marLeft w:val="0"/>
      <w:marRight w:val="0"/>
      <w:marTop w:val="0"/>
      <w:marBottom w:val="0"/>
      <w:divBdr>
        <w:top w:val="none" w:sz="0" w:space="0" w:color="auto"/>
        <w:left w:val="none" w:sz="0" w:space="0" w:color="auto"/>
        <w:bottom w:val="none" w:sz="0" w:space="0" w:color="auto"/>
        <w:right w:val="none" w:sz="0" w:space="0" w:color="auto"/>
      </w:divBdr>
    </w:div>
    <w:div w:id="229581880">
      <w:bodyDiv w:val="1"/>
      <w:marLeft w:val="0"/>
      <w:marRight w:val="0"/>
      <w:marTop w:val="0"/>
      <w:marBottom w:val="0"/>
      <w:divBdr>
        <w:top w:val="none" w:sz="0" w:space="0" w:color="auto"/>
        <w:left w:val="none" w:sz="0" w:space="0" w:color="auto"/>
        <w:bottom w:val="none" w:sz="0" w:space="0" w:color="auto"/>
        <w:right w:val="none" w:sz="0" w:space="0" w:color="auto"/>
      </w:divBdr>
    </w:div>
    <w:div w:id="250089699">
      <w:bodyDiv w:val="1"/>
      <w:marLeft w:val="0"/>
      <w:marRight w:val="0"/>
      <w:marTop w:val="0"/>
      <w:marBottom w:val="0"/>
      <w:divBdr>
        <w:top w:val="none" w:sz="0" w:space="0" w:color="auto"/>
        <w:left w:val="none" w:sz="0" w:space="0" w:color="auto"/>
        <w:bottom w:val="none" w:sz="0" w:space="0" w:color="auto"/>
        <w:right w:val="none" w:sz="0" w:space="0" w:color="auto"/>
      </w:divBdr>
    </w:div>
    <w:div w:id="251745054">
      <w:bodyDiv w:val="1"/>
      <w:marLeft w:val="0"/>
      <w:marRight w:val="0"/>
      <w:marTop w:val="0"/>
      <w:marBottom w:val="0"/>
      <w:divBdr>
        <w:top w:val="none" w:sz="0" w:space="0" w:color="auto"/>
        <w:left w:val="none" w:sz="0" w:space="0" w:color="auto"/>
        <w:bottom w:val="none" w:sz="0" w:space="0" w:color="auto"/>
        <w:right w:val="none" w:sz="0" w:space="0" w:color="auto"/>
      </w:divBdr>
    </w:div>
    <w:div w:id="315113102">
      <w:bodyDiv w:val="1"/>
      <w:marLeft w:val="0"/>
      <w:marRight w:val="0"/>
      <w:marTop w:val="0"/>
      <w:marBottom w:val="0"/>
      <w:divBdr>
        <w:top w:val="none" w:sz="0" w:space="0" w:color="auto"/>
        <w:left w:val="none" w:sz="0" w:space="0" w:color="auto"/>
        <w:bottom w:val="none" w:sz="0" w:space="0" w:color="auto"/>
        <w:right w:val="none" w:sz="0" w:space="0" w:color="auto"/>
      </w:divBdr>
    </w:div>
    <w:div w:id="346252997">
      <w:bodyDiv w:val="1"/>
      <w:marLeft w:val="0"/>
      <w:marRight w:val="0"/>
      <w:marTop w:val="0"/>
      <w:marBottom w:val="0"/>
      <w:divBdr>
        <w:top w:val="none" w:sz="0" w:space="0" w:color="auto"/>
        <w:left w:val="none" w:sz="0" w:space="0" w:color="auto"/>
        <w:bottom w:val="none" w:sz="0" w:space="0" w:color="auto"/>
        <w:right w:val="none" w:sz="0" w:space="0" w:color="auto"/>
      </w:divBdr>
    </w:div>
    <w:div w:id="362168437">
      <w:bodyDiv w:val="1"/>
      <w:marLeft w:val="0"/>
      <w:marRight w:val="0"/>
      <w:marTop w:val="0"/>
      <w:marBottom w:val="0"/>
      <w:divBdr>
        <w:top w:val="none" w:sz="0" w:space="0" w:color="auto"/>
        <w:left w:val="none" w:sz="0" w:space="0" w:color="auto"/>
        <w:bottom w:val="none" w:sz="0" w:space="0" w:color="auto"/>
        <w:right w:val="none" w:sz="0" w:space="0" w:color="auto"/>
      </w:divBdr>
    </w:div>
    <w:div w:id="371615439">
      <w:bodyDiv w:val="1"/>
      <w:marLeft w:val="0"/>
      <w:marRight w:val="0"/>
      <w:marTop w:val="0"/>
      <w:marBottom w:val="0"/>
      <w:divBdr>
        <w:top w:val="none" w:sz="0" w:space="0" w:color="auto"/>
        <w:left w:val="none" w:sz="0" w:space="0" w:color="auto"/>
        <w:bottom w:val="none" w:sz="0" w:space="0" w:color="auto"/>
        <w:right w:val="none" w:sz="0" w:space="0" w:color="auto"/>
      </w:divBdr>
    </w:div>
    <w:div w:id="407777036">
      <w:bodyDiv w:val="1"/>
      <w:marLeft w:val="0"/>
      <w:marRight w:val="0"/>
      <w:marTop w:val="0"/>
      <w:marBottom w:val="0"/>
      <w:divBdr>
        <w:top w:val="none" w:sz="0" w:space="0" w:color="auto"/>
        <w:left w:val="none" w:sz="0" w:space="0" w:color="auto"/>
        <w:bottom w:val="none" w:sz="0" w:space="0" w:color="auto"/>
        <w:right w:val="none" w:sz="0" w:space="0" w:color="auto"/>
      </w:divBdr>
    </w:div>
    <w:div w:id="409427074">
      <w:bodyDiv w:val="1"/>
      <w:marLeft w:val="0"/>
      <w:marRight w:val="0"/>
      <w:marTop w:val="0"/>
      <w:marBottom w:val="0"/>
      <w:divBdr>
        <w:top w:val="none" w:sz="0" w:space="0" w:color="auto"/>
        <w:left w:val="none" w:sz="0" w:space="0" w:color="auto"/>
        <w:bottom w:val="none" w:sz="0" w:space="0" w:color="auto"/>
        <w:right w:val="none" w:sz="0" w:space="0" w:color="auto"/>
      </w:divBdr>
    </w:div>
    <w:div w:id="419376528">
      <w:bodyDiv w:val="1"/>
      <w:marLeft w:val="0"/>
      <w:marRight w:val="0"/>
      <w:marTop w:val="0"/>
      <w:marBottom w:val="0"/>
      <w:divBdr>
        <w:top w:val="none" w:sz="0" w:space="0" w:color="auto"/>
        <w:left w:val="none" w:sz="0" w:space="0" w:color="auto"/>
        <w:bottom w:val="none" w:sz="0" w:space="0" w:color="auto"/>
        <w:right w:val="none" w:sz="0" w:space="0" w:color="auto"/>
      </w:divBdr>
    </w:div>
    <w:div w:id="486673919">
      <w:bodyDiv w:val="1"/>
      <w:marLeft w:val="0"/>
      <w:marRight w:val="0"/>
      <w:marTop w:val="0"/>
      <w:marBottom w:val="0"/>
      <w:divBdr>
        <w:top w:val="none" w:sz="0" w:space="0" w:color="auto"/>
        <w:left w:val="none" w:sz="0" w:space="0" w:color="auto"/>
        <w:bottom w:val="none" w:sz="0" w:space="0" w:color="auto"/>
        <w:right w:val="none" w:sz="0" w:space="0" w:color="auto"/>
      </w:divBdr>
    </w:div>
    <w:div w:id="499778180">
      <w:bodyDiv w:val="1"/>
      <w:marLeft w:val="0"/>
      <w:marRight w:val="0"/>
      <w:marTop w:val="0"/>
      <w:marBottom w:val="0"/>
      <w:divBdr>
        <w:top w:val="none" w:sz="0" w:space="0" w:color="auto"/>
        <w:left w:val="none" w:sz="0" w:space="0" w:color="auto"/>
        <w:bottom w:val="none" w:sz="0" w:space="0" w:color="auto"/>
        <w:right w:val="none" w:sz="0" w:space="0" w:color="auto"/>
      </w:divBdr>
    </w:div>
    <w:div w:id="501169103">
      <w:bodyDiv w:val="1"/>
      <w:marLeft w:val="0"/>
      <w:marRight w:val="0"/>
      <w:marTop w:val="0"/>
      <w:marBottom w:val="0"/>
      <w:divBdr>
        <w:top w:val="none" w:sz="0" w:space="0" w:color="auto"/>
        <w:left w:val="none" w:sz="0" w:space="0" w:color="auto"/>
        <w:bottom w:val="none" w:sz="0" w:space="0" w:color="auto"/>
        <w:right w:val="none" w:sz="0" w:space="0" w:color="auto"/>
      </w:divBdr>
    </w:div>
    <w:div w:id="509374798">
      <w:bodyDiv w:val="1"/>
      <w:marLeft w:val="0"/>
      <w:marRight w:val="0"/>
      <w:marTop w:val="0"/>
      <w:marBottom w:val="0"/>
      <w:divBdr>
        <w:top w:val="none" w:sz="0" w:space="0" w:color="auto"/>
        <w:left w:val="none" w:sz="0" w:space="0" w:color="auto"/>
        <w:bottom w:val="none" w:sz="0" w:space="0" w:color="auto"/>
        <w:right w:val="none" w:sz="0" w:space="0" w:color="auto"/>
      </w:divBdr>
    </w:div>
    <w:div w:id="524447667">
      <w:bodyDiv w:val="1"/>
      <w:marLeft w:val="0"/>
      <w:marRight w:val="0"/>
      <w:marTop w:val="0"/>
      <w:marBottom w:val="0"/>
      <w:divBdr>
        <w:top w:val="none" w:sz="0" w:space="0" w:color="auto"/>
        <w:left w:val="none" w:sz="0" w:space="0" w:color="auto"/>
        <w:bottom w:val="none" w:sz="0" w:space="0" w:color="auto"/>
        <w:right w:val="none" w:sz="0" w:space="0" w:color="auto"/>
      </w:divBdr>
    </w:div>
    <w:div w:id="551617507">
      <w:bodyDiv w:val="1"/>
      <w:marLeft w:val="0"/>
      <w:marRight w:val="0"/>
      <w:marTop w:val="0"/>
      <w:marBottom w:val="0"/>
      <w:divBdr>
        <w:top w:val="none" w:sz="0" w:space="0" w:color="auto"/>
        <w:left w:val="none" w:sz="0" w:space="0" w:color="auto"/>
        <w:bottom w:val="none" w:sz="0" w:space="0" w:color="auto"/>
        <w:right w:val="none" w:sz="0" w:space="0" w:color="auto"/>
      </w:divBdr>
    </w:div>
    <w:div w:id="597099420">
      <w:bodyDiv w:val="1"/>
      <w:marLeft w:val="0"/>
      <w:marRight w:val="0"/>
      <w:marTop w:val="0"/>
      <w:marBottom w:val="0"/>
      <w:divBdr>
        <w:top w:val="none" w:sz="0" w:space="0" w:color="auto"/>
        <w:left w:val="none" w:sz="0" w:space="0" w:color="auto"/>
        <w:bottom w:val="none" w:sz="0" w:space="0" w:color="auto"/>
        <w:right w:val="none" w:sz="0" w:space="0" w:color="auto"/>
      </w:divBdr>
    </w:div>
    <w:div w:id="601181519">
      <w:bodyDiv w:val="1"/>
      <w:marLeft w:val="0"/>
      <w:marRight w:val="0"/>
      <w:marTop w:val="0"/>
      <w:marBottom w:val="0"/>
      <w:divBdr>
        <w:top w:val="none" w:sz="0" w:space="0" w:color="auto"/>
        <w:left w:val="none" w:sz="0" w:space="0" w:color="auto"/>
        <w:bottom w:val="none" w:sz="0" w:space="0" w:color="auto"/>
        <w:right w:val="none" w:sz="0" w:space="0" w:color="auto"/>
      </w:divBdr>
    </w:div>
    <w:div w:id="610823625">
      <w:bodyDiv w:val="1"/>
      <w:marLeft w:val="0"/>
      <w:marRight w:val="0"/>
      <w:marTop w:val="0"/>
      <w:marBottom w:val="0"/>
      <w:divBdr>
        <w:top w:val="none" w:sz="0" w:space="0" w:color="auto"/>
        <w:left w:val="none" w:sz="0" w:space="0" w:color="auto"/>
        <w:bottom w:val="none" w:sz="0" w:space="0" w:color="auto"/>
        <w:right w:val="none" w:sz="0" w:space="0" w:color="auto"/>
      </w:divBdr>
    </w:div>
    <w:div w:id="627859639">
      <w:bodyDiv w:val="1"/>
      <w:marLeft w:val="0"/>
      <w:marRight w:val="0"/>
      <w:marTop w:val="0"/>
      <w:marBottom w:val="0"/>
      <w:divBdr>
        <w:top w:val="none" w:sz="0" w:space="0" w:color="auto"/>
        <w:left w:val="none" w:sz="0" w:space="0" w:color="auto"/>
        <w:bottom w:val="none" w:sz="0" w:space="0" w:color="auto"/>
        <w:right w:val="none" w:sz="0" w:space="0" w:color="auto"/>
      </w:divBdr>
    </w:div>
    <w:div w:id="651325205">
      <w:bodyDiv w:val="1"/>
      <w:marLeft w:val="0"/>
      <w:marRight w:val="0"/>
      <w:marTop w:val="0"/>
      <w:marBottom w:val="0"/>
      <w:divBdr>
        <w:top w:val="none" w:sz="0" w:space="0" w:color="auto"/>
        <w:left w:val="none" w:sz="0" w:space="0" w:color="auto"/>
        <w:bottom w:val="none" w:sz="0" w:space="0" w:color="auto"/>
        <w:right w:val="none" w:sz="0" w:space="0" w:color="auto"/>
      </w:divBdr>
    </w:div>
    <w:div w:id="673410782">
      <w:bodyDiv w:val="1"/>
      <w:marLeft w:val="0"/>
      <w:marRight w:val="0"/>
      <w:marTop w:val="0"/>
      <w:marBottom w:val="0"/>
      <w:divBdr>
        <w:top w:val="none" w:sz="0" w:space="0" w:color="auto"/>
        <w:left w:val="none" w:sz="0" w:space="0" w:color="auto"/>
        <w:bottom w:val="none" w:sz="0" w:space="0" w:color="auto"/>
        <w:right w:val="none" w:sz="0" w:space="0" w:color="auto"/>
      </w:divBdr>
    </w:div>
    <w:div w:id="711270728">
      <w:bodyDiv w:val="1"/>
      <w:marLeft w:val="0"/>
      <w:marRight w:val="0"/>
      <w:marTop w:val="0"/>
      <w:marBottom w:val="0"/>
      <w:divBdr>
        <w:top w:val="none" w:sz="0" w:space="0" w:color="auto"/>
        <w:left w:val="none" w:sz="0" w:space="0" w:color="auto"/>
        <w:bottom w:val="none" w:sz="0" w:space="0" w:color="auto"/>
        <w:right w:val="none" w:sz="0" w:space="0" w:color="auto"/>
      </w:divBdr>
    </w:div>
    <w:div w:id="731848580">
      <w:bodyDiv w:val="1"/>
      <w:marLeft w:val="0"/>
      <w:marRight w:val="0"/>
      <w:marTop w:val="0"/>
      <w:marBottom w:val="0"/>
      <w:divBdr>
        <w:top w:val="none" w:sz="0" w:space="0" w:color="auto"/>
        <w:left w:val="none" w:sz="0" w:space="0" w:color="auto"/>
        <w:bottom w:val="none" w:sz="0" w:space="0" w:color="auto"/>
        <w:right w:val="none" w:sz="0" w:space="0" w:color="auto"/>
      </w:divBdr>
    </w:div>
    <w:div w:id="734861466">
      <w:bodyDiv w:val="1"/>
      <w:marLeft w:val="0"/>
      <w:marRight w:val="0"/>
      <w:marTop w:val="0"/>
      <w:marBottom w:val="0"/>
      <w:divBdr>
        <w:top w:val="none" w:sz="0" w:space="0" w:color="auto"/>
        <w:left w:val="none" w:sz="0" w:space="0" w:color="auto"/>
        <w:bottom w:val="none" w:sz="0" w:space="0" w:color="auto"/>
        <w:right w:val="none" w:sz="0" w:space="0" w:color="auto"/>
      </w:divBdr>
    </w:div>
    <w:div w:id="828912309">
      <w:bodyDiv w:val="1"/>
      <w:marLeft w:val="0"/>
      <w:marRight w:val="0"/>
      <w:marTop w:val="0"/>
      <w:marBottom w:val="0"/>
      <w:divBdr>
        <w:top w:val="none" w:sz="0" w:space="0" w:color="auto"/>
        <w:left w:val="none" w:sz="0" w:space="0" w:color="auto"/>
        <w:bottom w:val="none" w:sz="0" w:space="0" w:color="auto"/>
        <w:right w:val="none" w:sz="0" w:space="0" w:color="auto"/>
      </w:divBdr>
    </w:div>
    <w:div w:id="942690305">
      <w:bodyDiv w:val="1"/>
      <w:marLeft w:val="0"/>
      <w:marRight w:val="0"/>
      <w:marTop w:val="0"/>
      <w:marBottom w:val="0"/>
      <w:divBdr>
        <w:top w:val="none" w:sz="0" w:space="0" w:color="auto"/>
        <w:left w:val="none" w:sz="0" w:space="0" w:color="auto"/>
        <w:bottom w:val="none" w:sz="0" w:space="0" w:color="auto"/>
        <w:right w:val="none" w:sz="0" w:space="0" w:color="auto"/>
      </w:divBdr>
    </w:div>
    <w:div w:id="1008823120">
      <w:bodyDiv w:val="1"/>
      <w:marLeft w:val="0"/>
      <w:marRight w:val="0"/>
      <w:marTop w:val="0"/>
      <w:marBottom w:val="0"/>
      <w:divBdr>
        <w:top w:val="none" w:sz="0" w:space="0" w:color="auto"/>
        <w:left w:val="none" w:sz="0" w:space="0" w:color="auto"/>
        <w:bottom w:val="none" w:sz="0" w:space="0" w:color="auto"/>
        <w:right w:val="none" w:sz="0" w:space="0" w:color="auto"/>
      </w:divBdr>
    </w:div>
    <w:div w:id="1009020459">
      <w:bodyDiv w:val="1"/>
      <w:marLeft w:val="0"/>
      <w:marRight w:val="0"/>
      <w:marTop w:val="0"/>
      <w:marBottom w:val="0"/>
      <w:divBdr>
        <w:top w:val="none" w:sz="0" w:space="0" w:color="auto"/>
        <w:left w:val="none" w:sz="0" w:space="0" w:color="auto"/>
        <w:bottom w:val="none" w:sz="0" w:space="0" w:color="auto"/>
        <w:right w:val="none" w:sz="0" w:space="0" w:color="auto"/>
      </w:divBdr>
    </w:div>
    <w:div w:id="1108618886">
      <w:bodyDiv w:val="1"/>
      <w:marLeft w:val="0"/>
      <w:marRight w:val="0"/>
      <w:marTop w:val="0"/>
      <w:marBottom w:val="0"/>
      <w:divBdr>
        <w:top w:val="none" w:sz="0" w:space="0" w:color="auto"/>
        <w:left w:val="none" w:sz="0" w:space="0" w:color="auto"/>
        <w:bottom w:val="none" w:sz="0" w:space="0" w:color="auto"/>
        <w:right w:val="none" w:sz="0" w:space="0" w:color="auto"/>
      </w:divBdr>
    </w:div>
    <w:div w:id="1116757942">
      <w:bodyDiv w:val="1"/>
      <w:marLeft w:val="0"/>
      <w:marRight w:val="0"/>
      <w:marTop w:val="0"/>
      <w:marBottom w:val="0"/>
      <w:divBdr>
        <w:top w:val="none" w:sz="0" w:space="0" w:color="auto"/>
        <w:left w:val="none" w:sz="0" w:space="0" w:color="auto"/>
        <w:bottom w:val="none" w:sz="0" w:space="0" w:color="auto"/>
        <w:right w:val="none" w:sz="0" w:space="0" w:color="auto"/>
      </w:divBdr>
    </w:div>
    <w:div w:id="1144809409">
      <w:bodyDiv w:val="1"/>
      <w:marLeft w:val="0"/>
      <w:marRight w:val="0"/>
      <w:marTop w:val="0"/>
      <w:marBottom w:val="0"/>
      <w:divBdr>
        <w:top w:val="none" w:sz="0" w:space="0" w:color="auto"/>
        <w:left w:val="none" w:sz="0" w:space="0" w:color="auto"/>
        <w:bottom w:val="none" w:sz="0" w:space="0" w:color="auto"/>
        <w:right w:val="none" w:sz="0" w:space="0" w:color="auto"/>
      </w:divBdr>
    </w:div>
    <w:div w:id="1257204124">
      <w:bodyDiv w:val="1"/>
      <w:marLeft w:val="0"/>
      <w:marRight w:val="0"/>
      <w:marTop w:val="0"/>
      <w:marBottom w:val="0"/>
      <w:divBdr>
        <w:top w:val="none" w:sz="0" w:space="0" w:color="auto"/>
        <w:left w:val="none" w:sz="0" w:space="0" w:color="auto"/>
        <w:bottom w:val="none" w:sz="0" w:space="0" w:color="auto"/>
        <w:right w:val="none" w:sz="0" w:space="0" w:color="auto"/>
      </w:divBdr>
    </w:div>
    <w:div w:id="1266426949">
      <w:bodyDiv w:val="1"/>
      <w:marLeft w:val="0"/>
      <w:marRight w:val="0"/>
      <w:marTop w:val="0"/>
      <w:marBottom w:val="0"/>
      <w:divBdr>
        <w:top w:val="none" w:sz="0" w:space="0" w:color="auto"/>
        <w:left w:val="none" w:sz="0" w:space="0" w:color="auto"/>
        <w:bottom w:val="none" w:sz="0" w:space="0" w:color="auto"/>
        <w:right w:val="none" w:sz="0" w:space="0" w:color="auto"/>
      </w:divBdr>
    </w:div>
    <w:div w:id="1299605124">
      <w:bodyDiv w:val="1"/>
      <w:marLeft w:val="0"/>
      <w:marRight w:val="0"/>
      <w:marTop w:val="0"/>
      <w:marBottom w:val="0"/>
      <w:divBdr>
        <w:top w:val="none" w:sz="0" w:space="0" w:color="auto"/>
        <w:left w:val="none" w:sz="0" w:space="0" w:color="auto"/>
        <w:bottom w:val="none" w:sz="0" w:space="0" w:color="auto"/>
        <w:right w:val="none" w:sz="0" w:space="0" w:color="auto"/>
      </w:divBdr>
    </w:div>
    <w:div w:id="1314796230">
      <w:bodyDiv w:val="1"/>
      <w:marLeft w:val="0"/>
      <w:marRight w:val="0"/>
      <w:marTop w:val="0"/>
      <w:marBottom w:val="0"/>
      <w:divBdr>
        <w:top w:val="none" w:sz="0" w:space="0" w:color="auto"/>
        <w:left w:val="none" w:sz="0" w:space="0" w:color="auto"/>
        <w:bottom w:val="none" w:sz="0" w:space="0" w:color="auto"/>
        <w:right w:val="none" w:sz="0" w:space="0" w:color="auto"/>
      </w:divBdr>
    </w:div>
    <w:div w:id="1333799059">
      <w:bodyDiv w:val="1"/>
      <w:marLeft w:val="0"/>
      <w:marRight w:val="0"/>
      <w:marTop w:val="0"/>
      <w:marBottom w:val="0"/>
      <w:divBdr>
        <w:top w:val="none" w:sz="0" w:space="0" w:color="auto"/>
        <w:left w:val="none" w:sz="0" w:space="0" w:color="auto"/>
        <w:bottom w:val="none" w:sz="0" w:space="0" w:color="auto"/>
        <w:right w:val="none" w:sz="0" w:space="0" w:color="auto"/>
      </w:divBdr>
    </w:div>
    <w:div w:id="1352805259">
      <w:bodyDiv w:val="1"/>
      <w:marLeft w:val="0"/>
      <w:marRight w:val="0"/>
      <w:marTop w:val="0"/>
      <w:marBottom w:val="0"/>
      <w:divBdr>
        <w:top w:val="none" w:sz="0" w:space="0" w:color="auto"/>
        <w:left w:val="none" w:sz="0" w:space="0" w:color="auto"/>
        <w:bottom w:val="none" w:sz="0" w:space="0" w:color="auto"/>
        <w:right w:val="none" w:sz="0" w:space="0" w:color="auto"/>
      </w:divBdr>
    </w:div>
    <w:div w:id="1359429372">
      <w:bodyDiv w:val="1"/>
      <w:marLeft w:val="0"/>
      <w:marRight w:val="0"/>
      <w:marTop w:val="0"/>
      <w:marBottom w:val="0"/>
      <w:divBdr>
        <w:top w:val="none" w:sz="0" w:space="0" w:color="auto"/>
        <w:left w:val="none" w:sz="0" w:space="0" w:color="auto"/>
        <w:bottom w:val="none" w:sz="0" w:space="0" w:color="auto"/>
        <w:right w:val="none" w:sz="0" w:space="0" w:color="auto"/>
      </w:divBdr>
    </w:div>
    <w:div w:id="1404986312">
      <w:bodyDiv w:val="1"/>
      <w:marLeft w:val="0"/>
      <w:marRight w:val="0"/>
      <w:marTop w:val="0"/>
      <w:marBottom w:val="0"/>
      <w:divBdr>
        <w:top w:val="none" w:sz="0" w:space="0" w:color="auto"/>
        <w:left w:val="none" w:sz="0" w:space="0" w:color="auto"/>
        <w:bottom w:val="none" w:sz="0" w:space="0" w:color="auto"/>
        <w:right w:val="none" w:sz="0" w:space="0" w:color="auto"/>
      </w:divBdr>
    </w:div>
    <w:div w:id="1415007108">
      <w:bodyDiv w:val="1"/>
      <w:marLeft w:val="0"/>
      <w:marRight w:val="0"/>
      <w:marTop w:val="0"/>
      <w:marBottom w:val="0"/>
      <w:divBdr>
        <w:top w:val="none" w:sz="0" w:space="0" w:color="auto"/>
        <w:left w:val="none" w:sz="0" w:space="0" w:color="auto"/>
        <w:bottom w:val="none" w:sz="0" w:space="0" w:color="auto"/>
        <w:right w:val="none" w:sz="0" w:space="0" w:color="auto"/>
      </w:divBdr>
    </w:div>
    <w:div w:id="1426917787">
      <w:bodyDiv w:val="1"/>
      <w:marLeft w:val="0"/>
      <w:marRight w:val="0"/>
      <w:marTop w:val="0"/>
      <w:marBottom w:val="0"/>
      <w:divBdr>
        <w:top w:val="none" w:sz="0" w:space="0" w:color="auto"/>
        <w:left w:val="none" w:sz="0" w:space="0" w:color="auto"/>
        <w:bottom w:val="none" w:sz="0" w:space="0" w:color="auto"/>
        <w:right w:val="none" w:sz="0" w:space="0" w:color="auto"/>
      </w:divBdr>
    </w:div>
    <w:div w:id="1437865013">
      <w:bodyDiv w:val="1"/>
      <w:marLeft w:val="0"/>
      <w:marRight w:val="0"/>
      <w:marTop w:val="0"/>
      <w:marBottom w:val="0"/>
      <w:divBdr>
        <w:top w:val="none" w:sz="0" w:space="0" w:color="auto"/>
        <w:left w:val="none" w:sz="0" w:space="0" w:color="auto"/>
        <w:bottom w:val="none" w:sz="0" w:space="0" w:color="auto"/>
        <w:right w:val="none" w:sz="0" w:space="0" w:color="auto"/>
      </w:divBdr>
    </w:div>
    <w:div w:id="1463764010">
      <w:bodyDiv w:val="1"/>
      <w:marLeft w:val="0"/>
      <w:marRight w:val="0"/>
      <w:marTop w:val="0"/>
      <w:marBottom w:val="0"/>
      <w:divBdr>
        <w:top w:val="none" w:sz="0" w:space="0" w:color="auto"/>
        <w:left w:val="none" w:sz="0" w:space="0" w:color="auto"/>
        <w:bottom w:val="none" w:sz="0" w:space="0" w:color="auto"/>
        <w:right w:val="none" w:sz="0" w:space="0" w:color="auto"/>
      </w:divBdr>
    </w:div>
    <w:div w:id="1465003894">
      <w:bodyDiv w:val="1"/>
      <w:marLeft w:val="0"/>
      <w:marRight w:val="0"/>
      <w:marTop w:val="0"/>
      <w:marBottom w:val="0"/>
      <w:divBdr>
        <w:top w:val="none" w:sz="0" w:space="0" w:color="auto"/>
        <w:left w:val="none" w:sz="0" w:space="0" w:color="auto"/>
        <w:bottom w:val="none" w:sz="0" w:space="0" w:color="auto"/>
        <w:right w:val="none" w:sz="0" w:space="0" w:color="auto"/>
      </w:divBdr>
    </w:div>
    <w:div w:id="1489512591">
      <w:bodyDiv w:val="1"/>
      <w:marLeft w:val="0"/>
      <w:marRight w:val="0"/>
      <w:marTop w:val="0"/>
      <w:marBottom w:val="0"/>
      <w:divBdr>
        <w:top w:val="none" w:sz="0" w:space="0" w:color="auto"/>
        <w:left w:val="none" w:sz="0" w:space="0" w:color="auto"/>
        <w:bottom w:val="none" w:sz="0" w:space="0" w:color="auto"/>
        <w:right w:val="none" w:sz="0" w:space="0" w:color="auto"/>
      </w:divBdr>
    </w:div>
    <w:div w:id="1494376957">
      <w:bodyDiv w:val="1"/>
      <w:marLeft w:val="0"/>
      <w:marRight w:val="0"/>
      <w:marTop w:val="0"/>
      <w:marBottom w:val="0"/>
      <w:divBdr>
        <w:top w:val="none" w:sz="0" w:space="0" w:color="auto"/>
        <w:left w:val="none" w:sz="0" w:space="0" w:color="auto"/>
        <w:bottom w:val="none" w:sz="0" w:space="0" w:color="auto"/>
        <w:right w:val="none" w:sz="0" w:space="0" w:color="auto"/>
      </w:divBdr>
    </w:div>
    <w:div w:id="1503737392">
      <w:bodyDiv w:val="1"/>
      <w:marLeft w:val="0"/>
      <w:marRight w:val="0"/>
      <w:marTop w:val="0"/>
      <w:marBottom w:val="0"/>
      <w:divBdr>
        <w:top w:val="none" w:sz="0" w:space="0" w:color="auto"/>
        <w:left w:val="none" w:sz="0" w:space="0" w:color="auto"/>
        <w:bottom w:val="none" w:sz="0" w:space="0" w:color="auto"/>
        <w:right w:val="none" w:sz="0" w:space="0" w:color="auto"/>
      </w:divBdr>
    </w:div>
    <w:div w:id="1511873677">
      <w:bodyDiv w:val="1"/>
      <w:marLeft w:val="0"/>
      <w:marRight w:val="0"/>
      <w:marTop w:val="0"/>
      <w:marBottom w:val="0"/>
      <w:divBdr>
        <w:top w:val="none" w:sz="0" w:space="0" w:color="auto"/>
        <w:left w:val="none" w:sz="0" w:space="0" w:color="auto"/>
        <w:bottom w:val="none" w:sz="0" w:space="0" w:color="auto"/>
        <w:right w:val="none" w:sz="0" w:space="0" w:color="auto"/>
      </w:divBdr>
    </w:div>
    <w:div w:id="1539515406">
      <w:bodyDiv w:val="1"/>
      <w:marLeft w:val="0"/>
      <w:marRight w:val="0"/>
      <w:marTop w:val="0"/>
      <w:marBottom w:val="0"/>
      <w:divBdr>
        <w:top w:val="none" w:sz="0" w:space="0" w:color="auto"/>
        <w:left w:val="none" w:sz="0" w:space="0" w:color="auto"/>
        <w:bottom w:val="none" w:sz="0" w:space="0" w:color="auto"/>
        <w:right w:val="none" w:sz="0" w:space="0" w:color="auto"/>
      </w:divBdr>
    </w:div>
    <w:div w:id="1561134813">
      <w:bodyDiv w:val="1"/>
      <w:marLeft w:val="0"/>
      <w:marRight w:val="0"/>
      <w:marTop w:val="0"/>
      <w:marBottom w:val="0"/>
      <w:divBdr>
        <w:top w:val="none" w:sz="0" w:space="0" w:color="auto"/>
        <w:left w:val="none" w:sz="0" w:space="0" w:color="auto"/>
        <w:bottom w:val="none" w:sz="0" w:space="0" w:color="auto"/>
        <w:right w:val="none" w:sz="0" w:space="0" w:color="auto"/>
      </w:divBdr>
    </w:div>
    <w:div w:id="1602299996">
      <w:bodyDiv w:val="1"/>
      <w:marLeft w:val="0"/>
      <w:marRight w:val="0"/>
      <w:marTop w:val="0"/>
      <w:marBottom w:val="0"/>
      <w:divBdr>
        <w:top w:val="none" w:sz="0" w:space="0" w:color="auto"/>
        <w:left w:val="none" w:sz="0" w:space="0" w:color="auto"/>
        <w:bottom w:val="none" w:sz="0" w:space="0" w:color="auto"/>
        <w:right w:val="none" w:sz="0" w:space="0" w:color="auto"/>
      </w:divBdr>
    </w:div>
    <w:div w:id="1603148891">
      <w:bodyDiv w:val="1"/>
      <w:marLeft w:val="0"/>
      <w:marRight w:val="0"/>
      <w:marTop w:val="0"/>
      <w:marBottom w:val="0"/>
      <w:divBdr>
        <w:top w:val="none" w:sz="0" w:space="0" w:color="auto"/>
        <w:left w:val="none" w:sz="0" w:space="0" w:color="auto"/>
        <w:bottom w:val="none" w:sz="0" w:space="0" w:color="auto"/>
        <w:right w:val="none" w:sz="0" w:space="0" w:color="auto"/>
      </w:divBdr>
    </w:div>
    <w:div w:id="1656689032">
      <w:bodyDiv w:val="1"/>
      <w:marLeft w:val="0"/>
      <w:marRight w:val="0"/>
      <w:marTop w:val="0"/>
      <w:marBottom w:val="0"/>
      <w:divBdr>
        <w:top w:val="none" w:sz="0" w:space="0" w:color="auto"/>
        <w:left w:val="none" w:sz="0" w:space="0" w:color="auto"/>
        <w:bottom w:val="none" w:sz="0" w:space="0" w:color="auto"/>
        <w:right w:val="none" w:sz="0" w:space="0" w:color="auto"/>
      </w:divBdr>
    </w:div>
    <w:div w:id="1668511665">
      <w:bodyDiv w:val="1"/>
      <w:marLeft w:val="0"/>
      <w:marRight w:val="0"/>
      <w:marTop w:val="0"/>
      <w:marBottom w:val="0"/>
      <w:divBdr>
        <w:top w:val="none" w:sz="0" w:space="0" w:color="auto"/>
        <w:left w:val="none" w:sz="0" w:space="0" w:color="auto"/>
        <w:bottom w:val="none" w:sz="0" w:space="0" w:color="auto"/>
        <w:right w:val="none" w:sz="0" w:space="0" w:color="auto"/>
      </w:divBdr>
    </w:div>
    <w:div w:id="1669212569">
      <w:bodyDiv w:val="1"/>
      <w:marLeft w:val="0"/>
      <w:marRight w:val="0"/>
      <w:marTop w:val="0"/>
      <w:marBottom w:val="0"/>
      <w:divBdr>
        <w:top w:val="none" w:sz="0" w:space="0" w:color="auto"/>
        <w:left w:val="none" w:sz="0" w:space="0" w:color="auto"/>
        <w:bottom w:val="none" w:sz="0" w:space="0" w:color="auto"/>
        <w:right w:val="none" w:sz="0" w:space="0" w:color="auto"/>
      </w:divBdr>
    </w:div>
    <w:div w:id="1716546246">
      <w:bodyDiv w:val="1"/>
      <w:marLeft w:val="0"/>
      <w:marRight w:val="0"/>
      <w:marTop w:val="0"/>
      <w:marBottom w:val="0"/>
      <w:divBdr>
        <w:top w:val="none" w:sz="0" w:space="0" w:color="auto"/>
        <w:left w:val="none" w:sz="0" w:space="0" w:color="auto"/>
        <w:bottom w:val="none" w:sz="0" w:space="0" w:color="auto"/>
        <w:right w:val="none" w:sz="0" w:space="0" w:color="auto"/>
      </w:divBdr>
    </w:div>
    <w:div w:id="1757165903">
      <w:bodyDiv w:val="1"/>
      <w:marLeft w:val="0"/>
      <w:marRight w:val="0"/>
      <w:marTop w:val="0"/>
      <w:marBottom w:val="0"/>
      <w:divBdr>
        <w:top w:val="none" w:sz="0" w:space="0" w:color="auto"/>
        <w:left w:val="none" w:sz="0" w:space="0" w:color="auto"/>
        <w:bottom w:val="none" w:sz="0" w:space="0" w:color="auto"/>
        <w:right w:val="none" w:sz="0" w:space="0" w:color="auto"/>
      </w:divBdr>
    </w:div>
    <w:div w:id="1769689616">
      <w:bodyDiv w:val="1"/>
      <w:marLeft w:val="0"/>
      <w:marRight w:val="0"/>
      <w:marTop w:val="0"/>
      <w:marBottom w:val="0"/>
      <w:divBdr>
        <w:top w:val="none" w:sz="0" w:space="0" w:color="auto"/>
        <w:left w:val="none" w:sz="0" w:space="0" w:color="auto"/>
        <w:bottom w:val="none" w:sz="0" w:space="0" w:color="auto"/>
        <w:right w:val="none" w:sz="0" w:space="0" w:color="auto"/>
      </w:divBdr>
    </w:div>
    <w:div w:id="1769806613">
      <w:bodyDiv w:val="1"/>
      <w:marLeft w:val="0"/>
      <w:marRight w:val="0"/>
      <w:marTop w:val="0"/>
      <w:marBottom w:val="0"/>
      <w:divBdr>
        <w:top w:val="none" w:sz="0" w:space="0" w:color="auto"/>
        <w:left w:val="none" w:sz="0" w:space="0" w:color="auto"/>
        <w:bottom w:val="none" w:sz="0" w:space="0" w:color="auto"/>
        <w:right w:val="none" w:sz="0" w:space="0" w:color="auto"/>
      </w:divBdr>
    </w:div>
    <w:div w:id="1779137832">
      <w:bodyDiv w:val="1"/>
      <w:marLeft w:val="0"/>
      <w:marRight w:val="0"/>
      <w:marTop w:val="0"/>
      <w:marBottom w:val="0"/>
      <w:divBdr>
        <w:top w:val="none" w:sz="0" w:space="0" w:color="auto"/>
        <w:left w:val="none" w:sz="0" w:space="0" w:color="auto"/>
        <w:bottom w:val="none" w:sz="0" w:space="0" w:color="auto"/>
        <w:right w:val="none" w:sz="0" w:space="0" w:color="auto"/>
      </w:divBdr>
    </w:div>
    <w:div w:id="1781336103">
      <w:bodyDiv w:val="1"/>
      <w:marLeft w:val="0"/>
      <w:marRight w:val="0"/>
      <w:marTop w:val="0"/>
      <w:marBottom w:val="0"/>
      <w:divBdr>
        <w:top w:val="none" w:sz="0" w:space="0" w:color="auto"/>
        <w:left w:val="none" w:sz="0" w:space="0" w:color="auto"/>
        <w:bottom w:val="none" w:sz="0" w:space="0" w:color="auto"/>
        <w:right w:val="none" w:sz="0" w:space="0" w:color="auto"/>
      </w:divBdr>
    </w:div>
    <w:div w:id="1788967949">
      <w:bodyDiv w:val="1"/>
      <w:marLeft w:val="0"/>
      <w:marRight w:val="0"/>
      <w:marTop w:val="0"/>
      <w:marBottom w:val="0"/>
      <w:divBdr>
        <w:top w:val="none" w:sz="0" w:space="0" w:color="auto"/>
        <w:left w:val="none" w:sz="0" w:space="0" w:color="auto"/>
        <w:bottom w:val="none" w:sz="0" w:space="0" w:color="auto"/>
        <w:right w:val="none" w:sz="0" w:space="0" w:color="auto"/>
      </w:divBdr>
    </w:div>
    <w:div w:id="1789591707">
      <w:bodyDiv w:val="1"/>
      <w:marLeft w:val="0"/>
      <w:marRight w:val="0"/>
      <w:marTop w:val="0"/>
      <w:marBottom w:val="0"/>
      <w:divBdr>
        <w:top w:val="none" w:sz="0" w:space="0" w:color="auto"/>
        <w:left w:val="none" w:sz="0" w:space="0" w:color="auto"/>
        <w:bottom w:val="none" w:sz="0" w:space="0" w:color="auto"/>
        <w:right w:val="none" w:sz="0" w:space="0" w:color="auto"/>
      </w:divBdr>
    </w:div>
    <w:div w:id="1798647099">
      <w:bodyDiv w:val="1"/>
      <w:marLeft w:val="0"/>
      <w:marRight w:val="0"/>
      <w:marTop w:val="0"/>
      <w:marBottom w:val="0"/>
      <w:divBdr>
        <w:top w:val="none" w:sz="0" w:space="0" w:color="auto"/>
        <w:left w:val="none" w:sz="0" w:space="0" w:color="auto"/>
        <w:bottom w:val="none" w:sz="0" w:space="0" w:color="auto"/>
        <w:right w:val="none" w:sz="0" w:space="0" w:color="auto"/>
      </w:divBdr>
    </w:div>
    <w:div w:id="1810856292">
      <w:bodyDiv w:val="1"/>
      <w:marLeft w:val="0"/>
      <w:marRight w:val="0"/>
      <w:marTop w:val="0"/>
      <w:marBottom w:val="0"/>
      <w:divBdr>
        <w:top w:val="none" w:sz="0" w:space="0" w:color="auto"/>
        <w:left w:val="none" w:sz="0" w:space="0" w:color="auto"/>
        <w:bottom w:val="none" w:sz="0" w:space="0" w:color="auto"/>
        <w:right w:val="none" w:sz="0" w:space="0" w:color="auto"/>
      </w:divBdr>
    </w:div>
    <w:div w:id="1829204336">
      <w:bodyDiv w:val="1"/>
      <w:marLeft w:val="0"/>
      <w:marRight w:val="0"/>
      <w:marTop w:val="0"/>
      <w:marBottom w:val="0"/>
      <w:divBdr>
        <w:top w:val="none" w:sz="0" w:space="0" w:color="auto"/>
        <w:left w:val="none" w:sz="0" w:space="0" w:color="auto"/>
        <w:bottom w:val="none" w:sz="0" w:space="0" w:color="auto"/>
        <w:right w:val="none" w:sz="0" w:space="0" w:color="auto"/>
      </w:divBdr>
    </w:div>
    <w:div w:id="1849563977">
      <w:bodyDiv w:val="1"/>
      <w:marLeft w:val="0"/>
      <w:marRight w:val="0"/>
      <w:marTop w:val="0"/>
      <w:marBottom w:val="0"/>
      <w:divBdr>
        <w:top w:val="none" w:sz="0" w:space="0" w:color="auto"/>
        <w:left w:val="none" w:sz="0" w:space="0" w:color="auto"/>
        <w:bottom w:val="none" w:sz="0" w:space="0" w:color="auto"/>
        <w:right w:val="none" w:sz="0" w:space="0" w:color="auto"/>
      </w:divBdr>
    </w:div>
    <w:div w:id="1882015302">
      <w:bodyDiv w:val="1"/>
      <w:marLeft w:val="0"/>
      <w:marRight w:val="0"/>
      <w:marTop w:val="0"/>
      <w:marBottom w:val="0"/>
      <w:divBdr>
        <w:top w:val="none" w:sz="0" w:space="0" w:color="auto"/>
        <w:left w:val="none" w:sz="0" w:space="0" w:color="auto"/>
        <w:bottom w:val="none" w:sz="0" w:space="0" w:color="auto"/>
        <w:right w:val="none" w:sz="0" w:space="0" w:color="auto"/>
      </w:divBdr>
    </w:div>
    <w:div w:id="1888183037">
      <w:bodyDiv w:val="1"/>
      <w:marLeft w:val="0"/>
      <w:marRight w:val="0"/>
      <w:marTop w:val="0"/>
      <w:marBottom w:val="0"/>
      <w:divBdr>
        <w:top w:val="none" w:sz="0" w:space="0" w:color="auto"/>
        <w:left w:val="none" w:sz="0" w:space="0" w:color="auto"/>
        <w:bottom w:val="none" w:sz="0" w:space="0" w:color="auto"/>
        <w:right w:val="none" w:sz="0" w:space="0" w:color="auto"/>
      </w:divBdr>
    </w:div>
    <w:div w:id="1964653873">
      <w:bodyDiv w:val="1"/>
      <w:marLeft w:val="0"/>
      <w:marRight w:val="0"/>
      <w:marTop w:val="0"/>
      <w:marBottom w:val="0"/>
      <w:divBdr>
        <w:top w:val="none" w:sz="0" w:space="0" w:color="auto"/>
        <w:left w:val="none" w:sz="0" w:space="0" w:color="auto"/>
        <w:bottom w:val="none" w:sz="0" w:space="0" w:color="auto"/>
        <w:right w:val="none" w:sz="0" w:space="0" w:color="auto"/>
      </w:divBdr>
    </w:div>
    <w:div w:id="2004552124">
      <w:bodyDiv w:val="1"/>
      <w:marLeft w:val="0"/>
      <w:marRight w:val="0"/>
      <w:marTop w:val="0"/>
      <w:marBottom w:val="0"/>
      <w:divBdr>
        <w:top w:val="none" w:sz="0" w:space="0" w:color="auto"/>
        <w:left w:val="none" w:sz="0" w:space="0" w:color="auto"/>
        <w:bottom w:val="none" w:sz="0" w:space="0" w:color="auto"/>
        <w:right w:val="none" w:sz="0" w:space="0" w:color="auto"/>
      </w:divBdr>
    </w:div>
    <w:div w:id="2028099356">
      <w:bodyDiv w:val="1"/>
      <w:marLeft w:val="0"/>
      <w:marRight w:val="0"/>
      <w:marTop w:val="0"/>
      <w:marBottom w:val="0"/>
      <w:divBdr>
        <w:top w:val="none" w:sz="0" w:space="0" w:color="auto"/>
        <w:left w:val="none" w:sz="0" w:space="0" w:color="auto"/>
        <w:bottom w:val="none" w:sz="0" w:space="0" w:color="auto"/>
        <w:right w:val="none" w:sz="0" w:space="0" w:color="auto"/>
      </w:divBdr>
    </w:div>
    <w:div w:id="2035568208">
      <w:bodyDiv w:val="1"/>
      <w:marLeft w:val="0"/>
      <w:marRight w:val="0"/>
      <w:marTop w:val="0"/>
      <w:marBottom w:val="0"/>
      <w:divBdr>
        <w:top w:val="none" w:sz="0" w:space="0" w:color="auto"/>
        <w:left w:val="none" w:sz="0" w:space="0" w:color="auto"/>
        <w:bottom w:val="none" w:sz="0" w:space="0" w:color="auto"/>
        <w:right w:val="none" w:sz="0" w:space="0" w:color="auto"/>
      </w:divBdr>
    </w:div>
    <w:div w:id="2079283222">
      <w:bodyDiv w:val="1"/>
      <w:marLeft w:val="0"/>
      <w:marRight w:val="0"/>
      <w:marTop w:val="0"/>
      <w:marBottom w:val="0"/>
      <w:divBdr>
        <w:top w:val="none" w:sz="0" w:space="0" w:color="auto"/>
        <w:left w:val="none" w:sz="0" w:space="0" w:color="auto"/>
        <w:bottom w:val="none" w:sz="0" w:space="0" w:color="auto"/>
        <w:right w:val="none" w:sz="0" w:space="0" w:color="auto"/>
      </w:divBdr>
    </w:div>
    <w:div w:id="2084526972">
      <w:bodyDiv w:val="1"/>
      <w:marLeft w:val="0"/>
      <w:marRight w:val="0"/>
      <w:marTop w:val="0"/>
      <w:marBottom w:val="0"/>
      <w:divBdr>
        <w:top w:val="none" w:sz="0" w:space="0" w:color="auto"/>
        <w:left w:val="none" w:sz="0" w:space="0" w:color="auto"/>
        <w:bottom w:val="none" w:sz="0" w:space="0" w:color="auto"/>
        <w:right w:val="none" w:sz="0" w:space="0" w:color="auto"/>
      </w:divBdr>
    </w:div>
    <w:div w:id="2096196747">
      <w:bodyDiv w:val="1"/>
      <w:marLeft w:val="0"/>
      <w:marRight w:val="0"/>
      <w:marTop w:val="0"/>
      <w:marBottom w:val="0"/>
      <w:divBdr>
        <w:top w:val="none" w:sz="0" w:space="0" w:color="auto"/>
        <w:left w:val="none" w:sz="0" w:space="0" w:color="auto"/>
        <w:bottom w:val="none" w:sz="0" w:space="0" w:color="auto"/>
        <w:right w:val="none" w:sz="0" w:space="0" w:color="auto"/>
      </w:divBdr>
    </w:div>
    <w:div w:id="2112235406">
      <w:bodyDiv w:val="1"/>
      <w:marLeft w:val="0"/>
      <w:marRight w:val="0"/>
      <w:marTop w:val="0"/>
      <w:marBottom w:val="0"/>
      <w:divBdr>
        <w:top w:val="none" w:sz="0" w:space="0" w:color="auto"/>
        <w:left w:val="none" w:sz="0" w:space="0" w:color="auto"/>
        <w:bottom w:val="none" w:sz="0" w:space="0" w:color="auto"/>
        <w:right w:val="none" w:sz="0" w:space="0" w:color="auto"/>
      </w:divBdr>
    </w:div>
    <w:div w:id="2121290061">
      <w:bodyDiv w:val="1"/>
      <w:marLeft w:val="0"/>
      <w:marRight w:val="0"/>
      <w:marTop w:val="0"/>
      <w:marBottom w:val="0"/>
      <w:divBdr>
        <w:top w:val="none" w:sz="0" w:space="0" w:color="auto"/>
        <w:left w:val="none" w:sz="0" w:space="0" w:color="auto"/>
        <w:bottom w:val="none" w:sz="0" w:space="0" w:color="auto"/>
        <w:right w:val="none" w:sz="0" w:space="0" w:color="auto"/>
      </w:divBdr>
    </w:div>
    <w:div w:id="2122801134">
      <w:bodyDiv w:val="1"/>
      <w:marLeft w:val="0"/>
      <w:marRight w:val="0"/>
      <w:marTop w:val="0"/>
      <w:marBottom w:val="0"/>
      <w:divBdr>
        <w:top w:val="none" w:sz="0" w:space="0" w:color="auto"/>
        <w:left w:val="none" w:sz="0" w:space="0" w:color="auto"/>
        <w:bottom w:val="none" w:sz="0" w:space="0" w:color="auto"/>
        <w:right w:val="none" w:sz="0" w:space="0" w:color="auto"/>
      </w:divBdr>
    </w:div>
    <w:div w:id="21295409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image" Target="media/image10.png"/><Relationship Id="rId42" Type="http://schemas.openxmlformats.org/officeDocument/2006/relationships/image" Target="media/image26.png"/><Relationship Id="rId47" Type="http://schemas.openxmlformats.org/officeDocument/2006/relationships/image" Target="media/image31.png"/><Relationship Id="rId63" Type="http://schemas.openxmlformats.org/officeDocument/2006/relationships/image" Target="media/image43.png"/><Relationship Id="rId68" Type="http://schemas.openxmlformats.org/officeDocument/2006/relationships/image" Target="media/image48.jpeg"/><Relationship Id="rId84" Type="http://schemas.openxmlformats.org/officeDocument/2006/relationships/image" Target="media/image64.png"/><Relationship Id="rId89" Type="http://schemas.openxmlformats.org/officeDocument/2006/relationships/image" Target="media/image69.png"/><Relationship Id="rId11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5.wmf"/><Relationship Id="rId107" Type="http://schemas.openxmlformats.org/officeDocument/2006/relationships/hyperlink" Target="https://zszp.pl/wp-content/uploads/2018/10/zalecenia2018.pdf" TargetMode="External"/><Relationship Id="rId11" Type="http://schemas.openxmlformats.org/officeDocument/2006/relationships/footer" Target="footer2.xml"/><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jpeg"/><Relationship Id="rId58" Type="http://schemas.openxmlformats.org/officeDocument/2006/relationships/image" Target="media/image41.wmf"/><Relationship Id="rId66" Type="http://schemas.openxmlformats.org/officeDocument/2006/relationships/image" Target="media/image46.jpeg"/><Relationship Id="rId74" Type="http://schemas.openxmlformats.org/officeDocument/2006/relationships/image" Target="media/image54.jpeg"/><Relationship Id="rId79" Type="http://schemas.openxmlformats.org/officeDocument/2006/relationships/image" Target="media/image59.jpeg"/><Relationship Id="rId87" Type="http://schemas.openxmlformats.org/officeDocument/2006/relationships/image" Target="media/image67.png"/><Relationship Id="rId102" Type="http://schemas.openxmlformats.org/officeDocument/2006/relationships/image" Target="media/image82.png"/><Relationship Id="rId110"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oleObject" Target="embeddings/oleObject8.bin"/><Relationship Id="rId82" Type="http://schemas.openxmlformats.org/officeDocument/2006/relationships/image" Target="media/image62.png"/><Relationship Id="rId90" Type="http://schemas.openxmlformats.org/officeDocument/2006/relationships/image" Target="media/image70.png"/><Relationship Id="rId95" Type="http://schemas.openxmlformats.org/officeDocument/2006/relationships/image" Target="media/image75.png"/><Relationship Id="rId19" Type="http://schemas.openxmlformats.org/officeDocument/2006/relationships/image" Target="media/image8.png"/><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4.wmf"/><Relationship Id="rId30" Type="http://schemas.openxmlformats.org/officeDocument/2006/relationships/oleObject" Target="embeddings/oleObject4.bin"/><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wmf"/><Relationship Id="rId64" Type="http://schemas.openxmlformats.org/officeDocument/2006/relationships/image" Target="media/image44.png"/><Relationship Id="rId69" Type="http://schemas.openxmlformats.org/officeDocument/2006/relationships/image" Target="media/image49.jpeg"/><Relationship Id="rId77" Type="http://schemas.openxmlformats.org/officeDocument/2006/relationships/image" Target="media/image57.jpeg"/><Relationship Id="rId100" Type="http://schemas.openxmlformats.org/officeDocument/2006/relationships/image" Target="media/image80.png"/><Relationship Id="rId105" Type="http://schemas.openxmlformats.org/officeDocument/2006/relationships/image" Target="media/image85.png"/><Relationship Id="rId8" Type="http://schemas.openxmlformats.org/officeDocument/2006/relationships/image" Target="media/image1.png"/><Relationship Id="rId51" Type="http://schemas.openxmlformats.org/officeDocument/2006/relationships/image" Target="media/image35.png"/><Relationship Id="rId72" Type="http://schemas.openxmlformats.org/officeDocument/2006/relationships/image" Target="media/image52.jpeg"/><Relationship Id="rId80" Type="http://schemas.openxmlformats.org/officeDocument/2006/relationships/image" Target="media/image60.jpeg"/><Relationship Id="rId85" Type="http://schemas.openxmlformats.org/officeDocument/2006/relationships/image" Target="media/image65.png"/><Relationship Id="rId93" Type="http://schemas.openxmlformats.org/officeDocument/2006/relationships/image" Target="media/image73.png"/><Relationship Id="rId98" Type="http://schemas.openxmlformats.org/officeDocument/2006/relationships/image" Target="media/image78.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image" Target="media/image13.wmf"/><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oleObject" Target="embeddings/oleObject7.bin"/><Relationship Id="rId67" Type="http://schemas.openxmlformats.org/officeDocument/2006/relationships/image" Target="media/image47.jpeg"/><Relationship Id="rId103" Type="http://schemas.openxmlformats.org/officeDocument/2006/relationships/image" Target="media/image83.png"/><Relationship Id="rId108" Type="http://schemas.openxmlformats.org/officeDocument/2006/relationships/header" Target="header2.xml"/><Relationship Id="rId20" Type="http://schemas.openxmlformats.org/officeDocument/2006/relationships/image" Target="media/image9.png"/><Relationship Id="rId41" Type="http://schemas.openxmlformats.org/officeDocument/2006/relationships/image" Target="media/image25.png"/><Relationship Id="rId54" Type="http://schemas.openxmlformats.org/officeDocument/2006/relationships/image" Target="media/image38.gif"/><Relationship Id="rId62" Type="http://schemas.openxmlformats.org/officeDocument/2006/relationships/oleObject" Target="embeddings/oleObject9.bin"/><Relationship Id="rId70" Type="http://schemas.openxmlformats.org/officeDocument/2006/relationships/image" Target="media/image50.jpeg"/><Relationship Id="rId75" Type="http://schemas.openxmlformats.org/officeDocument/2006/relationships/image" Target="media/image55.jpeg"/><Relationship Id="rId83" Type="http://schemas.openxmlformats.org/officeDocument/2006/relationships/image" Target="media/image63.png"/><Relationship Id="rId88" Type="http://schemas.openxmlformats.org/officeDocument/2006/relationships/image" Target="media/image68.png"/><Relationship Id="rId91" Type="http://schemas.openxmlformats.org/officeDocument/2006/relationships/image" Target="media/image71.png"/><Relationship Id="rId96" Type="http://schemas.openxmlformats.org/officeDocument/2006/relationships/image" Target="media/image76.png"/><Relationship Id="rId11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wmf"/><Relationship Id="rId28" Type="http://schemas.openxmlformats.org/officeDocument/2006/relationships/oleObject" Target="embeddings/oleObject3.bin"/><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oleObject" Target="embeddings/oleObject6.bin"/><Relationship Id="rId106" Type="http://schemas.openxmlformats.org/officeDocument/2006/relationships/image" Target="media/image86.png"/><Relationship Id="rId10" Type="http://schemas.openxmlformats.org/officeDocument/2006/relationships/footer" Target="footer1.xml"/><Relationship Id="rId31" Type="http://schemas.openxmlformats.org/officeDocument/2006/relationships/image" Target="media/image16.wmf"/><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2.png"/><Relationship Id="rId65" Type="http://schemas.openxmlformats.org/officeDocument/2006/relationships/image" Target="media/image45.jpeg"/><Relationship Id="rId73" Type="http://schemas.openxmlformats.org/officeDocument/2006/relationships/image" Target="media/image53.jpeg"/><Relationship Id="rId78" Type="http://schemas.openxmlformats.org/officeDocument/2006/relationships/image" Target="media/image58.jpeg"/><Relationship Id="rId81" Type="http://schemas.openxmlformats.org/officeDocument/2006/relationships/image" Target="media/image61.png"/><Relationship Id="rId86" Type="http://schemas.openxmlformats.org/officeDocument/2006/relationships/image" Target="media/image66.png"/><Relationship Id="rId94" Type="http://schemas.openxmlformats.org/officeDocument/2006/relationships/image" Target="media/image74.png"/><Relationship Id="rId99" Type="http://schemas.openxmlformats.org/officeDocument/2006/relationships/image" Target="media/image79.png"/><Relationship Id="rId101" Type="http://schemas.openxmlformats.org/officeDocument/2006/relationships/image" Target="media/image81.pn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2.gif"/><Relationship Id="rId18" Type="http://schemas.openxmlformats.org/officeDocument/2006/relationships/image" Target="media/image7.png"/><Relationship Id="rId39" Type="http://schemas.openxmlformats.org/officeDocument/2006/relationships/image" Target="media/image23.png"/><Relationship Id="rId109" Type="http://schemas.openxmlformats.org/officeDocument/2006/relationships/footer" Target="footer4.xml"/><Relationship Id="rId34" Type="http://schemas.openxmlformats.org/officeDocument/2006/relationships/image" Target="media/image18.png"/><Relationship Id="rId50" Type="http://schemas.openxmlformats.org/officeDocument/2006/relationships/image" Target="media/image34.png"/><Relationship Id="rId55" Type="http://schemas.openxmlformats.org/officeDocument/2006/relationships/image" Target="media/image39.gif"/><Relationship Id="rId76" Type="http://schemas.openxmlformats.org/officeDocument/2006/relationships/image" Target="media/image56.jpeg"/><Relationship Id="rId97" Type="http://schemas.openxmlformats.org/officeDocument/2006/relationships/image" Target="media/image77.png"/><Relationship Id="rId104" Type="http://schemas.openxmlformats.org/officeDocument/2006/relationships/image" Target="media/image84.png"/><Relationship Id="rId7" Type="http://schemas.openxmlformats.org/officeDocument/2006/relationships/endnotes" Target="endnotes.xml"/><Relationship Id="rId71" Type="http://schemas.openxmlformats.org/officeDocument/2006/relationships/image" Target="media/image51.jpeg"/><Relationship Id="rId92" Type="http://schemas.openxmlformats.org/officeDocument/2006/relationships/image" Target="media/image7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FE1343052DB49F485FAEA2BAD905FBC"/>
        <w:category>
          <w:name w:val="Ogólne"/>
          <w:gallery w:val="placeholder"/>
        </w:category>
        <w:types>
          <w:type w:val="bbPlcHdr"/>
        </w:types>
        <w:behaviors>
          <w:behavior w:val="content"/>
        </w:behaviors>
        <w:guid w:val="{E745E9B0-423E-4AC9-9527-A21C1018DDB0}"/>
      </w:docPartPr>
      <w:docPartBody>
        <w:p w:rsidR="00013B99" w:rsidRDefault="009A58D8">
          <w:r w:rsidRPr="00BC6021">
            <w:rPr>
              <w:rStyle w:val="Tekstzastpczy"/>
            </w:rPr>
            <w:t>[Temat]</w:t>
          </w:r>
        </w:p>
      </w:docPartBody>
    </w:docPart>
    <w:docPart>
      <w:docPartPr>
        <w:name w:val="62BC91E94EDA40E3A9A0C26A64100C1E"/>
        <w:category>
          <w:name w:val="Ogólne"/>
          <w:gallery w:val="placeholder"/>
        </w:category>
        <w:types>
          <w:type w:val="bbPlcHdr"/>
        </w:types>
        <w:behaviors>
          <w:behavior w:val="content"/>
        </w:behaviors>
        <w:guid w:val="{54630542-760A-4F90-8F57-E804A38A0191}"/>
      </w:docPartPr>
      <w:docPartBody>
        <w:p w:rsidR="00013B99" w:rsidRDefault="009A58D8" w:rsidP="009A58D8">
          <w:pPr>
            <w:pStyle w:val="62BC91E94EDA40E3A9A0C26A64100C1E"/>
          </w:pPr>
          <w:r w:rsidRPr="00BC6021">
            <w:rPr>
              <w:rStyle w:val="Tekstzastpczy"/>
            </w:rPr>
            <w:t>[Temat]</w:t>
          </w:r>
        </w:p>
      </w:docPartBody>
    </w:docPart>
    <w:docPart>
      <w:docPartPr>
        <w:name w:val="4900184D8347412986A32913F300CBAB"/>
        <w:category>
          <w:name w:val="Ogólne"/>
          <w:gallery w:val="placeholder"/>
        </w:category>
        <w:types>
          <w:type w:val="bbPlcHdr"/>
        </w:types>
        <w:behaviors>
          <w:behavior w:val="content"/>
        </w:behaviors>
        <w:guid w:val="{71117246-F39F-4855-A874-E333E41262C4}"/>
      </w:docPartPr>
      <w:docPartBody>
        <w:p w:rsidR="00013B99" w:rsidRDefault="009A58D8" w:rsidP="009A58D8">
          <w:pPr>
            <w:pStyle w:val="4900184D8347412986A32913F300CBAB"/>
          </w:pPr>
          <w:r w:rsidRPr="00BC6021">
            <w:rPr>
              <w:rStyle w:val="Tekstzastpczy"/>
            </w:rPr>
            <w:t>[Temat]</w:t>
          </w:r>
        </w:p>
      </w:docPartBody>
    </w:docPart>
    <w:docPart>
      <w:docPartPr>
        <w:name w:val="567DF1D7A3D8424BA86974063F91C1EC"/>
        <w:category>
          <w:name w:val="Ogólne"/>
          <w:gallery w:val="placeholder"/>
        </w:category>
        <w:types>
          <w:type w:val="bbPlcHdr"/>
        </w:types>
        <w:behaviors>
          <w:behavior w:val="content"/>
        </w:behaviors>
        <w:guid w:val="{C51E1D3D-24A1-4172-9E54-7A358189BCF2}"/>
      </w:docPartPr>
      <w:docPartBody>
        <w:p w:rsidR="00013B99" w:rsidRDefault="009A58D8" w:rsidP="009A58D8">
          <w:pPr>
            <w:pStyle w:val="567DF1D7A3D8424BA86974063F91C1EC"/>
          </w:pPr>
          <w:r w:rsidRPr="00BC6021">
            <w:rPr>
              <w:rStyle w:val="Tekstzastpczy"/>
            </w:rPr>
            <w:t>[Temat]</w:t>
          </w:r>
        </w:p>
      </w:docPartBody>
    </w:docPart>
    <w:docPart>
      <w:docPartPr>
        <w:name w:val="A33B24ACF40C40068915E399BFAA2B83"/>
        <w:category>
          <w:name w:val="Ogólne"/>
          <w:gallery w:val="placeholder"/>
        </w:category>
        <w:types>
          <w:type w:val="bbPlcHdr"/>
        </w:types>
        <w:behaviors>
          <w:behavior w:val="content"/>
        </w:behaviors>
        <w:guid w:val="{AEBC784B-F21B-4645-B20C-DE902163E2FB}"/>
      </w:docPartPr>
      <w:docPartBody>
        <w:p w:rsidR="00013B99" w:rsidRDefault="009A58D8" w:rsidP="009A58D8">
          <w:pPr>
            <w:pStyle w:val="A33B24ACF40C40068915E399BFAA2B83"/>
          </w:pPr>
          <w:r w:rsidRPr="00BC6021">
            <w:rPr>
              <w:rStyle w:val="Tekstzastpczy"/>
            </w:rPr>
            <w:t>[Temat]</w:t>
          </w:r>
        </w:p>
      </w:docPartBody>
    </w:docPart>
    <w:docPart>
      <w:docPartPr>
        <w:name w:val="FA4991C7BCE94709BBD5BD1F6D89BF5E"/>
        <w:category>
          <w:name w:val="Ogólne"/>
          <w:gallery w:val="placeholder"/>
        </w:category>
        <w:types>
          <w:type w:val="bbPlcHdr"/>
        </w:types>
        <w:behaviors>
          <w:behavior w:val="content"/>
        </w:behaviors>
        <w:guid w:val="{50E8756F-DC2F-40E6-9560-B4215586DEF3}"/>
      </w:docPartPr>
      <w:docPartBody>
        <w:p w:rsidR="00013B99" w:rsidRDefault="009A58D8" w:rsidP="009A58D8">
          <w:pPr>
            <w:pStyle w:val="FA4991C7BCE94709BBD5BD1F6D89BF5E"/>
          </w:pPr>
          <w:r w:rsidRPr="00BC6021">
            <w:rPr>
              <w:rStyle w:val="Tekstzastpczy"/>
            </w:rPr>
            <w:t>[Temat]</w:t>
          </w:r>
        </w:p>
      </w:docPartBody>
    </w:docPart>
    <w:docPart>
      <w:docPartPr>
        <w:name w:val="CE4F1FE44AA14529BB383D2CF5A2C28A"/>
        <w:category>
          <w:name w:val="Ogólne"/>
          <w:gallery w:val="placeholder"/>
        </w:category>
        <w:types>
          <w:type w:val="bbPlcHdr"/>
        </w:types>
        <w:behaviors>
          <w:behavior w:val="content"/>
        </w:behaviors>
        <w:guid w:val="{2BF10050-374C-47F4-9E85-AA6411B95F7F}"/>
      </w:docPartPr>
      <w:docPartBody>
        <w:p w:rsidR="0061322C" w:rsidRDefault="0061322C" w:rsidP="0061322C">
          <w:pPr>
            <w:pStyle w:val="CE4F1FE44AA14529BB383D2CF5A2C28A"/>
          </w:pPr>
          <w:r w:rsidRPr="00BC6021">
            <w:rPr>
              <w:rStyle w:val="Tekstzastpczy"/>
            </w:rPr>
            <w:t>[Temat]</w:t>
          </w:r>
        </w:p>
      </w:docPartBody>
    </w:docPart>
    <w:docPart>
      <w:docPartPr>
        <w:name w:val="AE0C35CA19D249608EBFB0D2A2E16AA4"/>
        <w:category>
          <w:name w:val="Ogólne"/>
          <w:gallery w:val="placeholder"/>
        </w:category>
        <w:types>
          <w:type w:val="bbPlcHdr"/>
        </w:types>
        <w:behaviors>
          <w:behavior w:val="content"/>
        </w:behaviors>
        <w:guid w:val="{350F141A-186F-4887-B2F9-AC7F2502D347}"/>
      </w:docPartPr>
      <w:docPartBody>
        <w:p w:rsidR="00827FDC" w:rsidRDefault="00DE06B9" w:rsidP="00DE06B9">
          <w:pPr>
            <w:pStyle w:val="AE0C35CA19D249608EBFB0D2A2E16AA4"/>
          </w:pPr>
          <w:r w:rsidRPr="00BC6021">
            <w:rPr>
              <w:rStyle w:val="Tekstzastpczy"/>
            </w:rPr>
            <w:t>[Temat]</w:t>
          </w:r>
        </w:p>
      </w:docPartBody>
    </w:docPart>
    <w:docPart>
      <w:docPartPr>
        <w:name w:val="8255F0DDE9EB4EB4B33D041ADE198D9E"/>
        <w:category>
          <w:name w:val="Ogólne"/>
          <w:gallery w:val="placeholder"/>
        </w:category>
        <w:types>
          <w:type w:val="bbPlcHdr"/>
        </w:types>
        <w:behaviors>
          <w:behavior w:val="content"/>
        </w:behaviors>
        <w:guid w:val="{6578D414-C1EF-4D2C-A883-51AEC8AF9780}"/>
      </w:docPartPr>
      <w:docPartBody>
        <w:p w:rsidR="00827FDC" w:rsidRDefault="00DE06B9" w:rsidP="00DE06B9">
          <w:pPr>
            <w:pStyle w:val="8255F0DDE9EB4EB4B33D041ADE198D9E"/>
          </w:pPr>
          <w:r w:rsidRPr="00BC6021">
            <w:rPr>
              <w:rStyle w:val="Tekstzastpczy"/>
            </w:rPr>
            <w:t>[Temat]</w:t>
          </w:r>
        </w:p>
      </w:docPartBody>
    </w:docPart>
    <w:docPart>
      <w:docPartPr>
        <w:name w:val="27C16B53F83B49D9AD10192E57CA23C1"/>
        <w:category>
          <w:name w:val="Ogólne"/>
          <w:gallery w:val="placeholder"/>
        </w:category>
        <w:types>
          <w:type w:val="bbPlcHdr"/>
        </w:types>
        <w:behaviors>
          <w:behavior w:val="content"/>
        </w:behaviors>
        <w:guid w:val="{0FCFAEC6-E10D-42ED-A2AF-72AF8A67042E}"/>
      </w:docPartPr>
      <w:docPartBody>
        <w:p w:rsidR="00917DA4" w:rsidRDefault="00917DA4" w:rsidP="00917DA4">
          <w:pPr>
            <w:pStyle w:val="27C16B53F83B49D9AD10192E57CA23C1"/>
          </w:pPr>
          <w:r w:rsidRPr="00BC6021">
            <w:rPr>
              <w:rStyle w:val="Tekstzastpczy"/>
            </w:rPr>
            <w:t>[Temat]</w:t>
          </w:r>
        </w:p>
      </w:docPartBody>
    </w:docPart>
    <w:docPart>
      <w:docPartPr>
        <w:name w:val="6371F167CDA84610BEE71BBDB593C041"/>
        <w:category>
          <w:name w:val="Ogólne"/>
          <w:gallery w:val="placeholder"/>
        </w:category>
        <w:types>
          <w:type w:val="bbPlcHdr"/>
        </w:types>
        <w:behaviors>
          <w:behavior w:val="content"/>
        </w:behaviors>
        <w:guid w:val="{4964152C-A417-49C1-8D14-403DDBD81FE9}"/>
      </w:docPartPr>
      <w:docPartBody>
        <w:p w:rsidR="0070226B" w:rsidRDefault="001A22BF" w:rsidP="001A22BF">
          <w:pPr>
            <w:pStyle w:val="6371F167CDA84610BEE71BBDB593C041"/>
          </w:pPr>
          <w:r w:rsidRPr="00BC6021">
            <w:rPr>
              <w:rStyle w:val="Tekstzastpczy"/>
            </w:rPr>
            <w:t>[Temat]</w:t>
          </w:r>
        </w:p>
      </w:docPartBody>
    </w:docPart>
    <w:docPart>
      <w:docPartPr>
        <w:name w:val="9CB5B90054CE4B059FDE9C39370E66D3"/>
        <w:category>
          <w:name w:val="Ogólne"/>
          <w:gallery w:val="placeholder"/>
        </w:category>
        <w:types>
          <w:type w:val="bbPlcHdr"/>
        </w:types>
        <w:behaviors>
          <w:behavior w:val="content"/>
        </w:behaviors>
        <w:guid w:val="{CF152B4D-C4AB-437A-8EEA-0877555B9CE1}"/>
      </w:docPartPr>
      <w:docPartBody>
        <w:p w:rsidR="00CA4DA9" w:rsidRDefault="00CA4DA9" w:rsidP="00CA4DA9">
          <w:pPr>
            <w:pStyle w:val="9CB5B90054CE4B059FDE9C39370E66D3"/>
          </w:pPr>
          <w:r w:rsidRPr="00BC6021">
            <w:rPr>
              <w:rStyle w:val="Tekstzastpczy"/>
            </w:rPr>
            <w:t>[Temat]</w:t>
          </w:r>
        </w:p>
      </w:docPartBody>
    </w:docPart>
    <w:docPart>
      <w:docPartPr>
        <w:name w:val="4F759273A71A45BEBABCB86C5276BDED"/>
        <w:category>
          <w:name w:val="Ogólne"/>
          <w:gallery w:val="placeholder"/>
        </w:category>
        <w:types>
          <w:type w:val="bbPlcHdr"/>
        </w:types>
        <w:behaviors>
          <w:behavior w:val="content"/>
        </w:behaviors>
        <w:guid w:val="{F226DAA3-35AA-47BF-948A-FA738DE356CF}"/>
      </w:docPartPr>
      <w:docPartBody>
        <w:p w:rsidR="00BA704B" w:rsidRDefault="00CA4DA9" w:rsidP="00CA4DA9">
          <w:pPr>
            <w:pStyle w:val="4F759273A71A45BEBABCB86C5276BDED"/>
          </w:pPr>
          <w:r w:rsidRPr="00BC6021">
            <w:rPr>
              <w:rStyle w:val="Tekstzastpczy"/>
            </w:rPr>
            <w:t>[Temat]</w:t>
          </w:r>
        </w:p>
      </w:docPartBody>
    </w:docPart>
    <w:docPart>
      <w:docPartPr>
        <w:name w:val="70D6A397E119408C882F398C3B546AFE"/>
        <w:category>
          <w:name w:val="Ogólne"/>
          <w:gallery w:val="placeholder"/>
        </w:category>
        <w:types>
          <w:type w:val="bbPlcHdr"/>
        </w:types>
        <w:behaviors>
          <w:behavior w:val="content"/>
        </w:behaviors>
        <w:guid w:val="{80655E5E-AB29-48AE-8C7A-B725313D1123}"/>
      </w:docPartPr>
      <w:docPartBody>
        <w:p w:rsidR="00BA704B" w:rsidRDefault="00CA4DA9" w:rsidP="00CA4DA9">
          <w:pPr>
            <w:pStyle w:val="70D6A397E119408C882F398C3B546AFE"/>
          </w:pPr>
          <w:r w:rsidRPr="00BC6021">
            <w:rPr>
              <w:rStyle w:val="Tekstzastpczy"/>
            </w:rPr>
            <w:t>[Temat]</w:t>
          </w:r>
        </w:p>
      </w:docPartBody>
    </w:docPart>
    <w:docPart>
      <w:docPartPr>
        <w:name w:val="3BD0FA41306540FF8BEB0A4963713BE1"/>
        <w:category>
          <w:name w:val="Ogólne"/>
          <w:gallery w:val="placeholder"/>
        </w:category>
        <w:types>
          <w:type w:val="bbPlcHdr"/>
        </w:types>
        <w:behaviors>
          <w:behavior w:val="content"/>
        </w:behaviors>
        <w:guid w:val="{25A7789C-5489-46FB-877A-7FB35A6A6A94}"/>
      </w:docPartPr>
      <w:docPartBody>
        <w:p w:rsidR="00355504" w:rsidRDefault="00355504" w:rsidP="00355504">
          <w:pPr>
            <w:pStyle w:val="3BD0FA41306540FF8BEB0A4963713BE1"/>
          </w:pPr>
          <w:r w:rsidRPr="00BC6021">
            <w:rPr>
              <w:rStyle w:val="Tekstzastpczy"/>
            </w:rPr>
            <w:t>[Temat]</w:t>
          </w:r>
        </w:p>
      </w:docPartBody>
    </w:docPart>
    <w:docPart>
      <w:docPartPr>
        <w:name w:val="FD094102444F43FA80F72F12B233B52A"/>
        <w:category>
          <w:name w:val="Ogólne"/>
          <w:gallery w:val="placeholder"/>
        </w:category>
        <w:types>
          <w:type w:val="bbPlcHdr"/>
        </w:types>
        <w:behaviors>
          <w:behavior w:val="content"/>
        </w:behaviors>
        <w:guid w:val="{1C111145-BBFA-4C35-A77D-49399C6B67F5}"/>
      </w:docPartPr>
      <w:docPartBody>
        <w:p w:rsidR="002D02E0" w:rsidRDefault="002D02E0" w:rsidP="002D02E0">
          <w:pPr>
            <w:pStyle w:val="FD094102444F43FA80F72F12B233B52A"/>
          </w:pPr>
          <w:r w:rsidRPr="00BC6021">
            <w:rPr>
              <w:rStyle w:val="Tekstzastpczy"/>
            </w:rPr>
            <w:t>[Temat]</w:t>
          </w:r>
        </w:p>
      </w:docPartBody>
    </w:docPart>
    <w:docPart>
      <w:docPartPr>
        <w:name w:val="BB5F5E7632C648C38AE316D8B5593933"/>
        <w:category>
          <w:name w:val="Ogólne"/>
          <w:gallery w:val="placeholder"/>
        </w:category>
        <w:types>
          <w:type w:val="bbPlcHdr"/>
        </w:types>
        <w:behaviors>
          <w:behavior w:val="content"/>
        </w:behaviors>
        <w:guid w:val="{3F7E2B21-776E-4E70-ADB1-8C346732C6F1}"/>
      </w:docPartPr>
      <w:docPartBody>
        <w:p w:rsidR="002D02E0" w:rsidRDefault="002D02E0" w:rsidP="002D02E0">
          <w:pPr>
            <w:pStyle w:val="BB5F5E7632C648C38AE316D8B5593933"/>
          </w:pPr>
          <w:r w:rsidRPr="00BC6021">
            <w:rPr>
              <w:rStyle w:val="Tekstzastpczy"/>
            </w:rPr>
            <w:t>[Temat]</w:t>
          </w:r>
        </w:p>
      </w:docPartBody>
    </w:docPart>
    <w:docPart>
      <w:docPartPr>
        <w:name w:val="DC663B3074BC4FA7B65D5629CE2BD320"/>
        <w:category>
          <w:name w:val="Ogólne"/>
          <w:gallery w:val="placeholder"/>
        </w:category>
        <w:types>
          <w:type w:val="bbPlcHdr"/>
        </w:types>
        <w:behaviors>
          <w:behavior w:val="content"/>
        </w:behaviors>
        <w:guid w:val="{2B2143A9-512C-4A7E-8AE1-3F4844B3DC36}"/>
      </w:docPartPr>
      <w:docPartBody>
        <w:p w:rsidR="00534CFE" w:rsidRDefault="00534CFE" w:rsidP="00534CFE">
          <w:pPr>
            <w:pStyle w:val="DC663B3074BC4FA7B65D5629CE2BD320"/>
          </w:pPr>
          <w:r w:rsidRPr="00BC6021">
            <w:rPr>
              <w:rStyle w:val="Tekstzastpczy"/>
            </w:rPr>
            <w:t>[Temat]</w:t>
          </w:r>
        </w:p>
      </w:docPartBody>
    </w:docPart>
    <w:docPart>
      <w:docPartPr>
        <w:name w:val="C5DC506E75E04876BC7BF628FCCF4CDD"/>
        <w:category>
          <w:name w:val="Ogólne"/>
          <w:gallery w:val="placeholder"/>
        </w:category>
        <w:types>
          <w:type w:val="bbPlcHdr"/>
        </w:types>
        <w:behaviors>
          <w:behavior w:val="content"/>
        </w:behaviors>
        <w:guid w:val="{66D796BE-D82B-4A66-BBDC-C0FF97000181}"/>
      </w:docPartPr>
      <w:docPartBody>
        <w:p w:rsidR="00BD1A3E" w:rsidRDefault="00534CFE" w:rsidP="00534CFE">
          <w:pPr>
            <w:pStyle w:val="C5DC506E75E04876BC7BF628FCCF4CDD"/>
          </w:pPr>
          <w:r w:rsidRPr="00BC6021">
            <w:rPr>
              <w:rStyle w:val="Tekstzastpczy"/>
            </w:rPr>
            <w:t>[Temat]</w:t>
          </w:r>
        </w:p>
      </w:docPartBody>
    </w:docPart>
    <w:docPart>
      <w:docPartPr>
        <w:name w:val="EEEB50E1F61945B8B0290033A37BA45E"/>
        <w:category>
          <w:name w:val="Ogólne"/>
          <w:gallery w:val="placeholder"/>
        </w:category>
        <w:types>
          <w:type w:val="bbPlcHdr"/>
        </w:types>
        <w:behaviors>
          <w:behavior w:val="content"/>
        </w:behaviors>
        <w:guid w:val="{1AF74DFF-3A59-4756-9089-275CAE87E1F7}"/>
      </w:docPartPr>
      <w:docPartBody>
        <w:p w:rsidR="008F6FDD" w:rsidRDefault="008F6FDD" w:rsidP="008F6FDD">
          <w:pPr>
            <w:pStyle w:val="EEEB50E1F61945B8B0290033A37BA45E"/>
          </w:pPr>
          <w:r w:rsidRPr="00BC6021">
            <w:rPr>
              <w:rStyle w:val="Tekstzastpczy"/>
            </w:rPr>
            <w:t>[Temat]</w:t>
          </w:r>
        </w:p>
      </w:docPartBody>
    </w:docPart>
    <w:docPart>
      <w:docPartPr>
        <w:name w:val="6D4C36B0F107466DA2ACB2B36F9550A0"/>
        <w:category>
          <w:name w:val="Ogólne"/>
          <w:gallery w:val="placeholder"/>
        </w:category>
        <w:types>
          <w:type w:val="bbPlcHdr"/>
        </w:types>
        <w:behaviors>
          <w:behavior w:val="content"/>
        </w:behaviors>
        <w:guid w:val="{9B56A5FD-9ADF-408B-9167-2575B7CEEB9C}"/>
      </w:docPartPr>
      <w:docPartBody>
        <w:p w:rsidR="00487F69" w:rsidRDefault="00AE0C89" w:rsidP="00AE0C89">
          <w:pPr>
            <w:pStyle w:val="6D4C36B0F107466DA2ACB2B36F9550A0"/>
          </w:pPr>
          <w:r w:rsidRPr="00BC6021">
            <w:rPr>
              <w:rStyle w:val="Tekstzastpczy"/>
            </w:rPr>
            <w:t>[Temat]</w:t>
          </w:r>
        </w:p>
      </w:docPartBody>
    </w:docPart>
    <w:docPart>
      <w:docPartPr>
        <w:name w:val="5FB4974F35C44262B52AA7BE2BAC538F"/>
        <w:category>
          <w:name w:val="Ogólne"/>
          <w:gallery w:val="placeholder"/>
        </w:category>
        <w:types>
          <w:type w:val="bbPlcHdr"/>
        </w:types>
        <w:behaviors>
          <w:behavior w:val="content"/>
        </w:behaviors>
        <w:guid w:val="{CBF2651F-485A-4F4F-A343-401EE2B2AC5D}"/>
      </w:docPartPr>
      <w:docPartBody>
        <w:p w:rsidR="00487F69" w:rsidRDefault="00AE0C89" w:rsidP="00AE0C89">
          <w:pPr>
            <w:pStyle w:val="5FB4974F35C44262B52AA7BE2BAC538F"/>
          </w:pPr>
          <w:r w:rsidRPr="00BC6021">
            <w:rPr>
              <w:rStyle w:val="Tekstzastpczy"/>
            </w:rPr>
            <w:t>[Temat]</w:t>
          </w:r>
        </w:p>
      </w:docPartBody>
    </w:docPart>
    <w:docPart>
      <w:docPartPr>
        <w:name w:val="E512AE4E0A4846E48B8F8C120F328341"/>
        <w:category>
          <w:name w:val="Ogólne"/>
          <w:gallery w:val="placeholder"/>
        </w:category>
        <w:types>
          <w:type w:val="bbPlcHdr"/>
        </w:types>
        <w:behaviors>
          <w:behavior w:val="content"/>
        </w:behaviors>
        <w:guid w:val="{BA599728-88C7-41B0-9E7C-11E87C74AF50}"/>
      </w:docPartPr>
      <w:docPartBody>
        <w:p w:rsidR="00487F69" w:rsidRDefault="00AE0C89" w:rsidP="00AE0C89">
          <w:pPr>
            <w:pStyle w:val="E512AE4E0A4846E48B8F8C120F328341"/>
          </w:pPr>
          <w:r w:rsidRPr="00BC6021">
            <w:rPr>
              <w:rStyle w:val="Tekstzastpczy"/>
            </w:rPr>
            <w:t>[Temat]</w:t>
          </w:r>
        </w:p>
      </w:docPartBody>
    </w:docPart>
    <w:docPart>
      <w:docPartPr>
        <w:name w:val="B03CB96B7D95487DBFCFA2DAD942A5F7"/>
        <w:category>
          <w:name w:val="Ogólne"/>
          <w:gallery w:val="placeholder"/>
        </w:category>
        <w:types>
          <w:type w:val="bbPlcHdr"/>
        </w:types>
        <w:behaviors>
          <w:behavior w:val="content"/>
        </w:behaviors>
        <w:guid w:val="{C7AEC623-C577-4F40-AD79-F3ED565D9D91}"/>
      </w:docPartPr>
      <w:docPartBody>
        <w:p w:rsidR="00487F69" w:rsidRDefault="00AE0C89" w:rsidP="00AE0C89">
          <w:pPr>
            <w:pStyle w:val="B03CB96B7D95487DBFCFA2DAD942A5F7"/>
          </w:pPr>
          <w:r w:rsidRPr="00BC6021">
            <w:rPr>
              <w:rStyle w:val="Tekstzastpczy"/>
            </w:rPr>
            <w:t>[Temat]</w:t>
          </w:r>
        </w:p>
      </w:docPartBody>
    </w:docPart>
    <w:docPart>
      <w:docPartPr>
        <w:name w:val="E5294303935B41D195FBC12902DF6E9E"/>
        <w:category>
          <w:name w:val="Ogólne"/>
          <w:gallery w:val="placeholder"/>
        </w:category>
        <w:types>
          <w:type w:val="bbPlcHdr"/>
        </w:types>
        <w:behaviors>
          <w:behavior w:val="content"/>
        </w:behaviors>
        <w:guid w:val="{267A0B1B-E766-4AE4-971E-430DB00786B9}"/>
      </w:docPartPr>
      <w:docPartBody>
        <w:p w:rsidR="00487F69" w:rsidRDefault="00AE0C89" w:rsidP="00AE0C89">
          <w:pPr>
            <w:pStyle w:val="E5294303935B41D195FBC12902DF6E9E"/>
          </w:pPr>
          <w:r w:rsidRPr="00BC6021">
            <w:rPr>
              <w:rStyle w:val="Tekstzastpczy"/>
            </w:rPr>
            <w:t>[Temat]</w:t>
          </w:r>
        </w:p>
      </w:docPartBody>
    </w:docPart>
    <w:docPart>
      <w:docPartPr>
        <w:name w:val="78E544DC7F784D72B3C528A780967FE9"/>
        <w:category>
          <w:name w:val="Ogólne"/>
          <w:gallery w:val="placeholder"/>
        </w:category>
        <w:types>
          <w:type w:val="bbPlcHdr"/>
        </w:types>
        <w:behaviors>
          <w:behavior w:val="content"/>
        </w:behaviors>
        <w:guid w:val="{7EFFC40D-D1F6-4E8B-9BA5-86B5F21F6323}"/>
      </w:docPartPr>
      <w:docPartBody>
        <w:p w:rsidR="00487F69" w:rsidRDefault="00AE0C89" w:rsidP="00AE0C89">
          <w:pPr>
            <w:pStyle w:val="78E544DC7F784D72B3C528A780967FE9"/>
          </w:pPr>
          <w:r w:rsidRPr="00BC6021">
            <w:rPr>
              <w:rStyle w:val="Tekstzastpczy"/>
            </w:rPr>
            <w:t>[Temat]</w:t>
          </w:r>
        </w:p>
      </w:docPartBody>
    </w:docPart>
    <w:docPart>
      <w:docPartPr>
        <w:name w:val="3EC2626229444E359D48CB645AB4118F"/>
        <w:category>
          <w:name w:val="Ogólne"/>
          <w:gallery w:val="placeholder"/>
        </w:category>
        <w:types>
          <w:type w:val="bbPlcHdr"/>
        </w:types>
        <w:behaviors>
          <w:behavior w:val="content"/>
        </w:behaviors>
        <w:guid w:val="{B3D7EB16-F6F9-484A-B1C8-9A0C5C8420CD}"/>
      </w:docPartPr>
      <w:docPartBody>
        <w:p w:rsidR="002440D8" w:rsidRDefault="002440D8" w:rsidP="002440D8">
          <w:pPr>
            <w:pStyle w:val="3EC2626229444E359D48CB645AB4118F"/>
          </w:pPr>
          <w:r w:rsidRPr="00EC5A54">
            <w:rPr>
              <w:rStyle w:val="Tekstzastpczy"/>
            </w:rPr>
            <w:t>[Tytuł]</w:t>
          </w:r>
        </w:p>
      </w:docPartBody>
    </w:docPart>
    <w:docPart>
      <w:docPartPr>
        <w:name w:val="D566568369674997BA74D4CDBE0BDC1C"/>
        <w:category>
          <w:name w:val="Ogólne"/>
          <w:gallery w:val="placeholder"/>
        </w:category>
        <w:types>
          <w:type w:val="bbPlcHdr"/>
        </w:types>
        <w:behaviors>
          <w:behavior w:val="content"/>
        </w:behaviors>
        <w:guid w:val="{1D8F8D8A-AFAA-45B4-8BA0-8EBED06A6DAA}"/>
      </w:docPartPr>
      <w:docPartBody>
        <w:p w:rsidR="00477FF2" w:rsidRDefault="00313387" w:rsidP="00313387">
          <w:pPr>
            <w:pStyle w:val="D566568369674997BA74D4CDBE0BDC1C"/>
          </w:pPr>
          <w:r w:rsidRPr="00BC6021">
            <w:rPr>
              <w:rStyle w:val="Tekstzastpczy"/>
            </w:rPr>
            <w:t>[Temat]</w:t>
          </w:r>
        </w:p>
      </w:docPartBody>
    </w:docPart>
    <w:docPart>
      <w:docPartPr>
        <w:name w:val="C4D9E02A8BA2449183DBCBBAE1C881A9"/>
        <w:category>
          <w:name w:val="Ogólne"/>
          <w:gallery w:val="placeholder"/>
        </w:category>
        <w:types>
          <w:type w:val="bbPlcHdr"/>
        </w:types>
        <w:behaviors>
          <w:behavior w:val="content"/>
        </w:behaviors>
        <w:guid w:val="{C43EF5EC-BB8A-4D63-A75E-2B4F843D1538}"/>
      </w:docPartPr>
      <w:docPartBody>
        <w:p w:rsidR="00477FF2" w:rsidRDefault="00313387" w:rsidP="00313387">
          <w:pPr>
            <w:pStyle w:val="C4D9E02A8BA2449183DBCBBAE1C881A9"/>
          </w:pPr>
          <w:r w:rsidRPr="00BC6021">
            <w:rPr>
              <w:rStyle w:val="Tekstzastpczy"/>
            </w:rPr>
            <w:t>[Temat]</w:t>
          </w:r>
        </w:p>
      </w:docPartBody>
    </w:docPart>
    <w:docPart>
      <w:docPartPr>
        <w:name w:val="BF0126405B4744CAB5A602047A2656CD"/>
        <w:category>
          <w:name w:val="Ogólne"/>
          <w:gallery w:val="placeholder"/>
        </w:category>
        <w:types>
          <w:type w:val="bbPlcHdr"/>
        </w:types>
        <w:behaviors>
          <w:behavior w:val="content"/>
        </w:behaviors>
        <w:guid w:val="{61229646-E0E2-4E4B-93C6-21FB1EF135B8}"/>
      </w:docPartPr>
      <w:docPartBody>
        <w:p w:rsidR="00477FF2" w:rsidRDefault="00313387" w:rsidP="00313387">
          <w:pPr>
            <w:pStyle w:val="BF0126405B4744CAB5A602047A2656CD"/>
          </w:pPr>
          <w:r w:rsidRPr="00BC6021">
            <w:rPr>
              <w:rStyle w:val="Tekstzastpczy"/>
            </w:rPr>
            <w:t>[Temat]</w:t>
          </w:r>
        </w:p>
      </w:docPartBody>
    </w:docPart>
    <w:docPart>
      <w:docPartPr>
        <w:name w:val="82B41CA2DBA84E53A688AC7ABEC16448"/>
        <w:category>
          <w:name w:val="Ogólne"/>
          <w:gallery w:val="placeholder"/>
        </w:category>
        <w:types>
          <w:type w:val="bbPlcHdr"/>
        </w:types>
        <w:behaviors>
          <w:behavior w:val="content"/>
        </w:behaviors>
        <w:guid w:val="{33DACF85-68ED-4242-B0FB-7CA688783DAD}"/>
      </w:docPartPr>
      <w:docPartBody>
        <w:p w:rsidR="00477FF2" w:rsidRDefault="00313387" w:rsidP="00313387">
          <w:pPr>
            <w:pStyle w:val="82B41CA2DBA84E53A688AC7ABEC16448"/>
          </w:pPr>
          <w:r w:rsidRPr="00BC6021">
            <w:rPr>
              <w:rStyle w:val="Tekstzastpczy"/>
            </w:rPr>
            <w:t>[Temat]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G Omega">
    <w:altName w:val="Century Gothic"/>
    <w:charset w:val="EE"/>
    <w:family w:val="swiss"/>
    <w:pitch w:val="variable"/>
    <w:sig w:usb0="00000007" w:usb1="00000000" w:usb2="00000000" w:usb3="00000000" w:csb0="00000093" w:csb1="00000000"/>
  </w:font>
  <w:font w:name="Calibri">
    <w:panose1 w:val="020F0502020204030204"/>
    <w:charset w:val="EE"/>
    <w:family w:val="swiss"/>
    <w:pitch w:val="variable"/>
    <w:sig w:usb0="E4002EFF" w:usb1="C000247B" w:usb2="00000009" w:usb3="00000000" w:csb0="000001FF" w:csb1="00000000"/>
  </w:font>
  <w:font w:name="Lucida Sans">
    <w:altName w:val="Calibri"/>
    <w:charset w:val="00"/>
    <w:family w:val="swiss"/>
    <w:pitch w:val="variable"/>
    <w:sig w:usb0="00000003" w:usb1="00000000" w:usb2="00000000" w:usb3="00000000" w:csb0="00000001" w:csb1="00000000"/>
  </w:font>
  <w:font w:name="CG Times">
    <w:altName w:val="Times New Roman"/>
    <w:charset w:val="EE"/>
    <w:family w:val="roman"/>
    <w:pitch w:val="variable"/>
  </w:font>
  <w:font w:name="Batang">
    <w:altName w:val="바탕"/>
    <w:panose1 w:val="02030600000101010101"/>
    <w:charset w:val="81"/>
    <w:family w:val="roman"/>
    <w:pitch w:val="variable"/>
    <w:sig w:usb0="B00002AF" w:usb1="69D77CFB" w:usb2="00000030" w:usb3="00000000" w:csb0="0008009F" w:csb1="00000000"/>
  </w:font>
  <w:font w:name="Arial Black">
    <w:panose1 w:val="020B0A04020102020204"/>
    <w:charset w:val="EE"/>
    <w:family w:val="swiss"/>
    <w:pitch w:val="variable"/>
    <w:sig w:usb0="A00002AF" w:usb1="400078FB"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5" w:usb1="08070000" w:usb2="00000010" w:usb3="00000000" w:csb0="00020002"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A58D8"/>
    <w:rsid w:val="00013B99"/>
    <w:rsid w:val="000F15C7"/>
    <w:rsid w:val="00106E68"/>
    <w:rsid w:val="00166411"/>
    <w:rsid w:val="001A22BF"/>
    <w:rsid w:val="001E6A8D"/>
    <w:rsid w:val="002440D8"/>
    <w:rsid w:val="00286232"/>
    <w:rsid w:val="002D02E0"/>
    <w:rsid w:val="002D46BF"/>
    <w:rsid w:val="002F4C8A"/>
    <w:rsid w:val="00313387"/>
    <w:rsid w:val="00326292"/>
    <w:rsid w:val="0035009C"/>
    <w:rsid w:val="00355504"/>
    <w:rsid w:val="003961A7"/>
    <w:rsid w:val="003D4C91"/>
    <w:rsid w:val="004109D1"/>
    <w:rsid w:val="00477FF2"/>
    <w:rsid w:val="00487F69"/>
    <w:rsid w:val="004965DE"/>
    <w:rsid w:val="00534CFE"/>
    <w:rsid w:val="005C50A4"/>
    <w:rsid w:val="0061322C"/>
    <w:rsid w:val="00627262"/>
    <w:rsid w:val="006B3377"/>
    <w:rsid w:val="006C50ED"/>
    <w:rsid w:val="0070226B"/>
    <w:rsid w:val="00785631"/>
    <w:rsid w:val="007A4FB7"/>
    <w:rsid w:val="007C6994"/>
    <w:rsid w:val="007D1AEF"/>
    <w:rsid w:val="00827FDC"/>
    <w:rsid w:val="008F19AC"/>
    <w:rsid w:val="008F58EC"/>
    <w:rsid w:val="008F6FDD"/>
    <w:rsid w:val="00917DA4"/>
    <w:rsid w:val="009504AC"/>
    <w:rsid w:val="009A58D8"/>
    <w:rsid w:val="009C0888"/>
    <w:rsid w:val="009C121A"/>
    <w:rsid w:val="009E3636"/>
    <w:rsid w:val="00A029E5"/>
    <w:rsid w:val="00A06178"/>
    <w:rsid w:val="00A43BCF"/>
    <w:rsid w:val="00A758C7"/>
    <w:rsid w:val="00AE0C89"/>
    <w:rsid w:val="00AF3337"/>
    <w:rsid w:val="00B03255"/>
    <w:rsid w:val="00B6098E"/>
    <w:rsid w:val="00BA704B"/>
    <w:rsid w:val="00BD1A3E"/>
    <w:rsid w:val="00C22D44"/>
    <w:rsid w:val="00CA4DA9"/>
    <w:rsid w:val="00CF141E"/>
    <w:rsid w:val="00D45132"/>
    <w:rsid w:val="00D53C82"/>
    <w:rsid w:val="00D943A9"/>
    <w:rsid w:val="00DC64D2"/>
    <w:rsid w:val="00DE06B9"/>
    <w:rsid w:val="00EB06DD"/>
    <w:rsid w:val="00ED1D2D"/>
    <w:rsid w:val="00F0266D"/>
    <w:rsid w:val="00F32B94"/>
    <w:rsid w:val="00F80ED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313387"/>
    <w:rPr>
      <w:color w:val="808080"/>
    </w:rPr>
  </w:style>
  <w:style w:type="paragraph" w:customStyle="1" w:styleId="62BC91E94EDA40E3A9A0C26A64100C1E">
    <w:name w:val="62BC91E94EDA40E3A9A0C26A64100C1E"/>
    <w:rsid w:val="009A58D8"/>
  </w:style>
  <w:style w:type="paragraph" w:customStyle="1" w:styleId="4900184D8347412986A32913F300CBAB">
    <w:name w:val="4900184D8347412986A32913F300CBAB"/>
    <w:rsid w:val="009A58D8"/>
  </w:style>
  <w:style w:type="paragraph" w:customStyle="1" w:styleId="567DF1D7A3D8424BA86974063F91C1EC">
    <w:name w:val="567DF1D7A3D8424BA86974063F91C1EC"/>
    <w:rsid w:val="009A58D8"/>
  </w:style>
  <w:style w:type="paragraph" w:customStyle="1" w:styleId="A33B24ACF40C40068915E399BFAA2B83">
    <w:name w:val="A33B24ACF40C40068915E399BFAA2B83"/>
    <w:rsid w:val="009A58D8"/>
  </w:style>
  <w:style w:type="paragraph" w:customStyle="1" w:styleId="FA4991C7BCE94709BBD5BD1F6D89BF5E">
    <w:name w:val="FA4991C7BCE94709BBD5BD1F6D89BF5E"/>
    <w:rsid w:val="009A58D8"/>
  </w:style>
  <w:style w:type="paragraph" w:customStyle="1" w:styleId="CE4F1FE44AA14529BB383D2CF5A2C28A">
    <w:name w:val="CE4F1FE44AA14529BB383D2CF5A2C28A"/>
    <w:rsid w:val="0061322C"/>
  </w:style>
  <w:style w:type="paragraph" w:customStyle="1" w:styleId="AE0C35CA19D249608EBFB0D2A2E16AA4">
    <w:name w:val="AE0C35CA19D249608EBFB0D2A2E16AA4"/>
    <w:rsid w:val="00DE06B9"/>
  </w:style>
  <w:style w:type="paragraph" w:customStyle="1" w:styleId="8255F0DDE9EB4EB4B33D041ADE198D9E">
    <w:name w:val="8255F0DDE9EB4EB4B33D041ADE198D9E"/>
    <w:rsid w:val="00DE06B9"/>
  </w:style>
  <w:style w:type="paragraph" w:customStyle="1" w:styleId="27C16B53F83B49D9AD10192E57CA23C1">
    <w:name w:val="27C16B53F83B49D9AD10192E57CA23C1"/>
    <w:rsid w:val="00917DA4"/>
  </w:style>
  <w:style w:type="paragraph" w:customStyle="1" w:styleId="D566568369674997BA74D4CDBE0BDC1C">
    <w:name w:val="D566568369674997BA74D4CDBE0BDC1C"/>
    <w:rsid w:val="00313387"/>
    <w:pPr>
      <w:spacing w:after="160" w:line="259" w:lineRule="auto"/>
    </w:pPr>
  </w:style>
  <w:style w:type="paragraph" w:customStyle="1" w:styleId="6371F167CDA84610BEE71BBDB593C041">
    <w:name w:val="6371F167CDA84610BEE71BBDB593C041"/>
    <w:rsid w:val="001A22BF"/>
  </w:style>
  <w:style w:type="paragraph" w:customStyle="1" w:styleId="9CB5B90054CE4B059FDE9C39370E66D3">
    <w:name w:val="9CB5B90054CE4B059FDE9C39370E66D3"/>
    <w:rsid w:val="00CA4DA9"/>
  </w:style>
  <w:style w:type="paragraph" w:customStyle="1" w:styleId="4F759273A71A45BEBABCB86C5276BDED">
    <w:name w:val="4F759273A71A45BEBABCB86C5276BDED"/>
    <w:rsid w:val="00CA4DA9"/>
  </w:style>
  <w:style w:type="paragraph" w:customStyle="1" w:styleId="70D6A397E119408C882F398C3B546AFE">
    <w:name w:val="70D6A397E119408C882F398C3B546AFE"/>
    <w:rsid w:val="00CA4DA9"/>
  </w:style>
  <w:style w:type="paragraph" w:customStyle="1" w:styleId="3BD0FA41306540FF8BEB0A4963713BE1">
    <w:name w:val="3BD0FA41306540FF8BEB0A4963713BE1"/>
    <w:rsid w:val="00355504"/>
    <w:pPr>
      <w:spacing w:after="160" w:line="259" w:lineRule="auto"/>
    </w:pPr>
  </w:style>
  <w:style w:type="paragraph" w:customStyle="1" w:styleId="FD094102444F43FA80F72F12B233B52A">
    <w:name w:val="FD094102444F43FA80F72F12B233B52A"/>
    <w:rsid w:val="002D02E0"/>
    <w:pPr>
      <w:spacing w:after="160" w:line="259" w:lineRule="auto"/>
    </w:pPr>
  </w:style>
  <w:style w:type="paragraph" w:customStyle="1" w:styleId="BB5F5E7632C648C38AE316D8B5593933">
    <w:name w:val="BB5F5E7632C648C38AE316D8B5593933"/>
    <w:rsid w:val="002D02E0"/>
    <w:pPr>
      <w:spacing w:after="160" w:line="259" w:lineRule="auto"/>
    </w:pPr>
  </w:style>
  <w:style w:type="paragraph" w:customStyle="1" w:styleId="DC663B3074BC4FA7B65D5629CE2BD320">
    <w:name w:val="DC663B3074BC4FA7B65D5629CE2BD320"/>
    <w:rsid w:val="00534CFE"/>
    <w:pPr>
      <w:spacing w:after="160" w:line="259" w:lineRule="auto"/>
    </w:pPr>
  </w:style>
  <w:style w:type="paragraph" w:customStyle="1" w:styleId="C5DC506E75E04876BC7BF628FCCF4CDD">
    <w:name w:val="C5DC506E75E04876BC7BF628FCCF4CDD"/>
    <w:rsid w:val="00534CFE"/>
    <w:pPr>
      <w:spacing w:after="160" w:line="259" w:lineRule="auto"/>
    </w:pPr>
  </w:style>
  <w:style w:type="paragraph" w:customStyle="1" w:styleId="EEEB50E1F61945B8B0290033A37BA45E">
    <w:name w:val="EEEB50E1F61945B8B0290033A37BA45E"/>
    <w:rsid w:val="008F6FDD"/>
  </w:style>
  <w:style w:type="paragraph" w:customStyle="1" w:styleId="6D4C36B0F107466DA2ACB2B36F9550A0">
    <w:name w:val="6D4C36B0F107466DA2ACB2B36F9550A0"/>
    <w:rsid w:val="00AE0C89"/>
  </w:style>
  <w:style w:type="paragraph" w:customStyle="1" w:styleId="5FB4974F35C44262B52AA7BE2BAC538F">
    <w:name w:val="5FB4974F35C44262B52AA7BE2BAC538F"/>
    <w:rsid w:val="00AE0C89"/>
  </w:style>
  <w:style w:type="paragraph" w:customStyle="1" w:styleId="E512AE4E0A4846E48B8F8C120F328341">
    <w:name w:val="E512AE4E0A4846E48B8F8C120F328341"/>
    <w:rsid w:val="00AE0C89"/>
  </w:style>
  <w:style w:type="paragraph" w:customStyle="1" w:styleId="B03CB96B7D95487DBFCFA2DAD942A5F7">
    <w:name w:val="B03CB96B7D95487DBFCFA2DAD942A5F7"/>
    <w:rsid w:val="00AE0C89"/>
  </w:style>
  <w:style w:type="paragraph" w:customStyle="1" w:styleId="E5294303935B41D195FBC12902DF6E9E">
    <w:name w:val="E5294303935B41D195FBC12902DF6E9E"/>
    <w:rsid w:val="00AE0C89"/>
  </w:style>
  <w:style w:type="paragraph" w:customStyle="1" w:styleId="78E544DC7F784D72B3C528A780967FE9">
    <w:name w:val="78E544DC7F784D72B3C528A780967FE9"/>
    <w:rsid w:val="00AE0C89"/>
  </w:style>
  <w:style w:type="paragraph" w:customStyle="1" w:styleId="3EC2626229444E359D48CB645AB4118F">
    <w:name w:val="3EC2626229444E359D48CB645AB4118F"/>
    <w:rsid w:val="002440D8"/>
  </w:style>
  <w:style w:type="paragraph" w:customStyle="1" w:styleId="C4D9E02A8BA2449183DBCBBAE1C881A9">
    <w:name w:val="C4D9E02A8BA2449183DBCBBAE1C881A9"/>
    <w:rsid w:val="00313387"/>
    <w:pPr>
      <w:spacing w:after="160" w:line="259" w:lineRule="auto"/>
    </w:pPr>
  </w:style>
  <w:style w:type="paragraph" w:customStyle="1" w:styleId="BF0126405B4744CAB5A602047A2656CD">
    <w:name w:val="BF0126405B4744CAB5A602047A2656CD"/>
    <w:rsid w:val="00313387"/>
    <w:pPr>
      <w:spacing w:after="160" w:line="259" w:lineRule="auto"/>
    </w:pPr>
  </w:style>
  <w:style w:type="paragraph" w:customStyle="1" w:styleId="82B41CA2DBA84E53A688AC7ABEC16448">
    <w:name w:val="82B41CA2DBA84E53A688AC7ABEC16448"/>
    <w:rsid w:val="00313387"/>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21792A-40AC-4857-9534-B883AEC29F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914</TotalTime>
  <Pages>301</Pages>
  <Words>155844</Words>
  <Characters>935067</Characters>
  <Application>Microsoft Office Word</Application>
  <DocSecurity>0</DocSecurity>
  <Lines>7792</Lines>
  <Paragraphs>2177</Paragraphs>
  <ScaleCrop>false</ScaleCrop>
  <HeadingPairs>
    <vt:vector size="2" baseType="variant">
      <vt:variant>
        <vt:lpstr>Tytuł</vt:lpstr>
      </vt:variant>
      <vt:variant>
        <vt:i4>1</vt:i4>
      </vt:variant>
    </vt:vector>
  </HeadingPairs>
  <TitlesOfParts>
    <vt:vector size="1" baseType="lpstr">
      <vt:lpstr>„Rozbudowa drogi powiatowej nr 1444K Uszew - Nowy Wiśnicz (ul. Podzamcze, ul. Zamkowa, ul. Olchawska) - Nieznanowice w km 14+421.00 - 15+416.00 wraz z budową chodnika w m. Nieszkowice Wielkie”</vt:lpstr>
    </vt:vector>
  </TitlesOfParts>
  <Company/>
  <LinksUpToDate>false</LinksUpToDate>
  <CharactersWithSpaces>1088734</CharactersWithSpaces>
  <SharedDoc>false</SharedDoc>
  <HLinks>
    <vt:vector size="402" baseType="variant">
      <vt:variant>
        <vt:i4>1966139</vt:i4>
      </vt:variant>
      <vt:variant>
        <vt:i4>398</vt:i4>
      </vt:variant>
      <vt:variant>
        <vt:i4>0</vt:i4>
      </vt:variant>
      <vt:variant>
        <vt:i4>5</vt:i4>
      </vt:variant>
      <vt:variant>
        <vt:lpwstr/>
      </vt:variant>
      <vt:variant>
        <vt:lpwstr>_Toc248642592</vt:lpwstr>
      </vt:variant>
      <vt:variant>
        <vt:i4>1966139</vt:i4>
      </vt:variant>
      <vt:variant>
        <vt:i4>392</vt:i4>
      </vt:variant>
      <vt:variant>
        <vt:i4>0</vt:i4>
      </vt:variant>
      <vt:variant>
        <vt:i4>5</vt:i4>
      </vt:variant>
      <vt:variant>
        <vt:lpwstr/>
      </vt:variant>
      <vt:variant>
        <vt:lpwstr>_Toc248642591</vt:lpwstr>
      </vt:variant>
      <vt:variant>
        <vt:i4>1966139</vt:i4>
      </vt:variant>
      <vt:variant>
        <vt:i4>386</vt:i4>
      </vt:variant>
      <vt:variant>
        <vt:i4>0</vt:i4>
      </vt:variant>
      <vt:variant>
        <vt:i4>5</vt:i4>
      </vt:variant>
      <vt:variant>
        <vt:lpwstr/>
      </vt:variant>
      <vt:variant>
        <vt:lpwstr>_Toc248642590</vt:lpwstr>
      </vt:variant>
      <vt:variant>
        <vt:i4>2031675</vt:i4>
      </vt:variant>
      <vt:variant>
        <vt:i4>380</vt:i4>
      </vt:variant>
      <vt:variant>
        <vt:i4>0</vt:i4>
      </vt:variant>
      <vt:variant>
        <vt:i4>5</vt:i4>
      </vt:variant>
      <vt:variant>
        <vt:lpwstr/>
      </vt:variant>
      <vt:variant>
        <vt:lpwstr>_Toc248642589</vt:lpwstr>
      </vt:variant>
      <vt:variant>
        <vt:i4>2031675</vt:i4>
      </vt:variant>
      <vt:variant>
        <vt:i4>374</vt:i4>
      </vt:variant>
      <vt:variant>
        <vt:i4>0</vt:i4>
      </vt:variant>
      <vt:variant>
        <vt:i4>5</vt:i4>
      </vt:variant>
      <vt:variant>
        <vt:lpwstr/>
      </vt:variant>
      <vt:variant>
        <vt:lpwstr>_Toc248642588</vt:lpwstr>
      </vt:variant>
      <vt:variant>
        <vt:i4>2031675</vt:i4>
      </vt:variant>
      <vt:variant>
        <vt:i4>368</vt:i4>
      </vt:variant>
      <vt:variant>
        <vt:i4>0</vt:i4>
      </vt:variant>
      <vt:variant>
        <vt:i4>5</vt:i4>
      </vt:variant>
      <vt:variant>
        <vt:lpwstr/>
      </vt:variant>
      <vt:variant>
        <vt:lpwstr>_Toc248642587</vt:lpwstr>
      </vt:variant>
      <vt:variant>
        <vt:i4>2031675</vt:i4>
      </vt:variant>
      <vt:variant>
        <vt:i4>362</vt:i4>
      </vt:variant>
      <vt:variant>
        <vt:i4>0</vt:i4>
      </vt:variant>
      <vt:variant>
        <vt:i4>5</vt:i4>
      </vt:variant>
      <vt:variant>
        <vt:lpwstr/>
      </vt:variant>
      <vt:variant>
        <vt:lpwstr>_Toc248642586</vt:lpwstr>
      </vt:variant>
      <vt:variant>
        <vt:i4>2031675</vt:i4>
      </vt:variant>
      <vt:variant>
        <vt:i4>356</vt:i4>
      </vt:variant>
      <vt:variant>
        <vt:i4>0</vt:i4>
      </vt:variant>
      <vt:variant>
        <vt:i4>5</vt:i4>
      </vt:variant>
      <vt:variant>
        <vt:lpwstr/>
      </vt:variant>
      <vt:variant>
        <vt:lpwstr>_Toc248642585</vt:lpwstr>
      </vt:variant>
      <vt:variant>
        <vt:i4>2031675</vt:i4>
      </vt:variant>
      <vt:variant>
        <vt:i4>350</vt:i4>
      </vt:variant>
      <vt:variant>
        <vt:i4>0</vt:i4>
      </vt:variant>
      <vt:variant>
        <vt:i4>5</vt:i4>
      </vt:variant>
      <vt:variant>
        <vt:lpwstr/>
      </vt:variant>
      <vt:variant>
        <vt:lpwstr>_Toc248642584</vt:lpwstr>
      </vt:variant>
      <vt:variant>
        <vt:i4>2031675</vt:i4>
      </vt:variant>
      <vt:variant>
        <vt:i4>344</vt:i4>
      </vt:variant>
      <vt:variant>
        <vt:i4>0</vt:i4>
      </vt:variant>
      <vt:variant>
        <vt:i4>5</vt:i4>
      </vt:variant>
      <vt:variant>
        <vt:lpwstr/>
      </vt:variant>
      <vt:variant>
        <vt:lpwstr>_Toc248642583</vt:lpwstr>
      </vt:variant>
      <vt:variant>
        <vt:i4>2031675</vt:i4>
      </vt:variant>
      <vt:variant>
        <vt:i4>338</vt:i4>
      </vt:variant>
      <vt:variant>
        <vt:i4>0</vt:i4>
      </vt:variant>
      <vt:variant>
        <vt:i4>5</vt:i4>
      </vt:variant>
      <vt:variant>
        <vt:lpwstr/>
      </vt:variant>
      <vt:variant>
        <vt:lpwstr>_Toc248642582</vt:lpwstr>
      </vt:variant>
      <vt:variant>
        <vt:i4>2031675</vt:i4>
      </vt:variant>
      <vt:variant>
        <vt:i4>332</vt:i4>
      </vt:variant>
      <vt:variant>
        <vt:i4>0</vt:i4>
      </vt:variant>
      <vt:variant>
        <vt:i4>5</vt:i4>
      </vt:variant>
      <vt:variant>
        <vt:lpwstr/>
      </vt:variant>
      <vt:variant>
        <vt:lpwstr>_Toc248642581</vt:lpwstr>
      </vt:variant>
      <vt:variant>
        <vt:i4>2031675</vt:i4>
      </vt:variant>
      <vt:variant>
        <vt:i4>326</vt:i4>
      </vt:variant>
      <vt:variant>
        <vt:i4>0</vt:i4>
      </vt:variant>
      <vt:variant>
        <vt:i4>5</vt:i4>
      </vt:variant>
      <vt:variant>
        <vt:lpwstr/>
      </vt:variant>
      <vt:variant>
        <vt:lpwstr>_Toc248642580</vt:lpwstr>
      </vt:variant>
      <vt:variant>
        <vt:i4>1048635</vt:i4>
      </vt:variant>
      <vt:variant>
        <vt:i4>320</vt:i4>
      </vt:variant>
      <vt:variant>
        <vt:i4>0</vt:i4>
      </vt:variant>
      <vt:variant>
        <vt:i4>5</vt:i4>
      </vt:variant>
      <vt:variant>
        <vt:lpwstr/>
      </vt:variant>
      <vt:variant>
        <vt:lpwstr>_Toc248642579</vt:lpwstr>
      </vt:variant>
      <vt:variant>
        <vt:i4>1048635</vt:i4>
      </vt:variant>
      <vt:variant>
        <vt:i4>314</vt:i4>
      </vt:variant>
      <vt:variant>
        <vt:i4>0</vt:i4>
      </vt:variant>
      <vt:variant>
        <vt:i4>5</vt:i4>
      </vt:variant>
      <vt:variant>
        <vt:lpwstr/>
      </vt:variant>
      <vt:variant>
        <vt:lpwstr>_Toc248642578</vt:lpwstr>
      </vt:variant>
      <vt:variant>
        <vt:i4>1048635</vt:i4>
      </vt:variant>
      <vt:variant>
        <vt:i4>308</vt:i4>
      </vt:variant>
      <vt:variant>
        <vt:i4>0</vt:i4>
      </vt:variant>
      <vt:variant>
        <vt:i4>5</vt:i4>
      </vt:variant>
      <vt:variant>
        <vt:lpwstr/>
      </vt:variant>
      <vt:variant>
        <vt:lpwstr>_Toc248642577</vt:lpwstr>
      </vt:variant>
      <vt:variant>
        <vt:i4>1048635</vt:i4>
      </vt:variant>
      <vt:variant>
        <vt:i4>302</vt:i4>
      </vt:variant>
      <vt:variant>
        <vt:i4>0</vt:i4>
      </vt:variant>
      <vt:variant>
        <vt:i4>5</vt:i4>
      </vt:variant>
      <vt:variant>
        <vt:lpwstr/>
      </vt:variant>
      <vt:variant>
        <vt:lpwstr>_Toc248642576</vt:lpwstr>
      </vt:variant>
      <vt:variant>
        <vt:i4>1048635</vt:i4>
      </vt:variant>
      <vt:variant>
        <vt:i4>296</vt:i4>
      </vt:variant>
      <vt:variant>
        <vt:i4>0</vt:i4>
      </vt:variant>
      <vt:variant>
        <vt:i4>5</vt:i4>
      </vt:variant>
      <vt:variant>
        <vt:lpwstr/>
      </vt:variant>
      <vt:variant>
        <vt:lpwstr>_Toc248642575</vt:lpwstr>
      </vt:variant>
      <vt:variant>
        <vt:i4>1048635</vt:i4>
      </vt:variant>
      <vt:variant>
        <vt:i4>290</vt:i4>
      </vt:variant>
      <vt:variant>
        <vt:i4>0</vt:i4>
      </vt:variant>
      <vt:variant>
        <vt:i4>5</vt:i4>
      </vt:variant>
      <vt:variant>
        <vt:lpwstr/>
      </vt:variant>
      <vt:variant>
        <vt:lpwstr>_Toc248642574</vt:lpwstr>
      </vt:variant>
      <vt:variant>
        <vt:i4>1048635</vt:i4>
      </vt:variant>
      <vt:variant>
        <vt:i4>284</vt:i4>
      </vt:variant>
      <vt:variant>
        <vt:i4>0</vt:i4>
      </vt:variant>
      <vt:variant>
        <vt:i4>5</vt:i4>
      </vt:variant>
      <vt:variant>
        <vt:lpwstr/>
      </vt:variant>
      <vt:variant>
        <vt:lpwstr>_Toc248642573</vt:lpwstr>
      </vt:variant>
      <vt:variant>
        <vt:i4>1048635</vt:i4>
      </vt:variant>
      <vt:variant>
        <vt:i4>278</vt:i4>
      </vt:variant>
      <vt:variant>
        <vt:i4>0</vt:i4>
      </vt:variant>
      <vt:variant>
        <vt:i4>5</vt:i4>
      </vt:variant>
      <vt:variant>
        <vt:lpwstr/>
      </vt:variant>
      <vt:variant>
        <vt:lpwstr>_Toc248642572</vt:lpwstr>
      </vt:variant>
      <vt:variant>
        <vt:i4>1048635</vt:i4>
      </vt:variant>
      <vt:variant>
        <vt:i4>272</vt:i4>
      </vt:variant>
      <vt:variant>
        <vt:i4>0</vt:i4>
      </vt:variant>
      <vt:variant>
        <vt:i4>5</vt:i4>
      </vt:variant>
      <vt:variant>
        <vt:lpwstr/>
      </vt:variant>
      <vt:variant>
        <vt:lpwstr>_Toc248642571</vt:lpwstr>
      </vt:variant>
      <vt:variant>
        <vt:i4>1048635</vt:i4>
      </vt:variant>
      <vt:variant>
        <vt:i4>266</vt:i4>
      </vt:variant>
      <vt:variant>
        <vt:i4>0</vt:i4>
      </vt:variant>
      <vt:variant>
        <vt:i4>5</vt:i4>
      </vt:variant>
      <vt:variant>
        <vt:lpwstr/>
      </vt:variant>
      <vt:variant>
        <vt:lpwstr>_Toc248642570</vt:lpwstr>
      </vt:variant>
      <vt:variant>
        <vt:i4>1114171</vt:i4>
      </vt:variant>
      <vt:variant>
        <vt:i4>260</vt:i4>
      </vt:variant>
      <vt:variant>
        <vt:i4>0</vt:i4>
      </vt:variant>
      <vt:variant>
        <vt:i4>5</vt:i4>
      </vt:variant>
      <vt:variant>
        <vt:lpwstr/>
      </vt:variant>
      <vt:variant>
        <vt:lpwstr>_Toc248642569</vt:lpwstr>
      </vt:variant>
      <vt:variant>
        <vt:i4>1114171</vt:i4>
      </vt:variant>
      <vt:variant>
        <vt:i4>254</vt:i4>
      </vt:variant>
      <vt:variant>
        <vt:i4>0</vt:i4>
      </vt:variant>
      <vt:variant>
        <vt:i4>5</vt:i4>
      </vt:variant>
      <vt:variant>
        <vt:lpwstr/>
      </vt:variant>
      <vt:variant>
        <vt:lpwstr>_Toc248642568</vt:lpwstr>
      </vt:variant>
      <vt:variant>
        <vt:i4>1114171</vt:i4>
      </vt:variant>
      <vt:variant>
        <vt:i4>248</vt:i4>
      </vt:variant>
      <vt:variant>
        <vt:i4>0</vt:i4>
      </vt:variant>
      <vt:variant>
        <vt:i4>5</vt:i4>
      </vt:variant>
      <vt:variant>
        <vt:lpwstr/>
      </vt:variant>
      <vt:variant>
        <vt:lpwstr>_Toc248642567</vt:lpwstr>
      </vt:variant>
      <vt:variant>
        <vt:i4>1114171</vt:i4>
      </vt:variant>
      <vt:variant>
        <vt:i4>242</vt:i4>
      </vt:variant>
      <vt:variant>
        <vt:i4>0</vt:i4>
      </vt:variant>
      <vt:variant>
        <vt:i4>5</vt:i4>
      </vt:variant>
      <vt:variant>
        <vt:lpwstr/>
      </vt:variant>
      <vt:variant>
        <vt:lpwstr>_Toc248642566</vt:lpwstr>
      </vt:variant>
      <vt:variant>
        <vt:i4>1114171</vt:i4>
      </vt:variant>
      <vt:variant>
        <vt:i4>236</vt:i4>
      </vt:variant>
      <vt:variant>
        <vt:i4>0</vt:i4>
      </vt:variant>
      <vt:variant>
        <vt:i4>5</vt:i4>
      </vt:variant>
      <vt:variant>
        <vt:lpwstr/>
      </vt:variant>
      <vt:variant>
        <vt:lpwstr>_Toc248642565</vt:lpwstr>
      </vt:variant>
      <vt:variant>
        <vt:i4>1114171</vt:i4>
      </vt:variant>
      <vt:variant>
        <vt:i4>230</vt:i4>
      </vt:variant>
      <vt:variant>
        <vt:i4>0</vt:i4>
      </vt:variant>
      <vt:variant>
        <vt:i4>5</vt:i4>
      </vt:variant>
      <vt:variant>
        <vt:lpwstr/>
      </vt:variant>
      <vt:variant>
        <vt:lpwstr>_Toc248642564</vt:lpwstr>
      </vt:variant>
      <vt:variant>
        <vt:i4>1114171</vt:i4>
      </vt:variant>
      <vt:variant>
        <vt:i4>224</vt:i4>
      </vt:variant>
      <vt:variant>
        <vt:i4>0</vt:i4>
      </vt:variant>
      <vt:variant>
        <vt:i4>5</vt:i4>
      </vt:variant>
      <vt:variant>
        <vt:lpwstr/>
      </vt:variant>
      <vt:variant>
        <vt:lpwstr>_Toc248642563</vt:lpwstr>
      </vt:variant>
      <vt:variant>
        <vt:i4>1114171</vt:i4>
      </vt:variant>
      <vt:variant>
        <vt:i4>218</vt:i4>
      </vt:variant>
      <vt:variant>
        <vt:i4>0</vt:i4>
      </vt:variant>
      <vt:variant>
        <vt:i4>5</vt:i4>
      </vt:variant>
      <vt:variant>
        <vt:lpwstr/>
      </vt:variant>
      <vt:variant>
        <vt:lpwstr>_Toc248642562</vt:lpwstr>
      </vt:variant>
      <vt:variant>
        <vt:i4>1114171</vt:i4>
      </vt:variant>
      <vt:variant>
        <vt:i4>212</vt:i4>
      </vt:variant>
      <vt:variant>
        <vt:i4>0</vt:i4>
      </vt:variant>
      <vt:variant>
        <vt:i4>5</vt:i4>
      </vt:variant>
      <vt:variant>
        <vt:lpwstr/>
      </vt:variant>
      <vt:variant>
        <vt:lpwstr>_Toc248642561</vt:lpwstr>
      </vt:variant>
      <vt:variant>
        <vt:i4>1114171</vt:i4>
      </vt:variant>
      <vt:variant>
        <vt:i4>206</vt:i4>
      </vt:variant>
      <vt:variant>
        <vt:i4>0</vt:i4>
      </vt:variant>
      <vt:variant>
        <vt:i4>5</vt:i4>
      </vt:variant>
      <vt:variant>
        <vt:lpwstr/>
      </vt:variant>
      <vt:variant>
        <vt:lpwstr>_Toc248642560</vt:lpwstr>
      </vt:variant>
      <vt:variant>
        <vt:i4>1179707</vt:i4>
      </vt:variant>
      <vt:variant>
        <vt:i4>200</vt:i4>
      </vt:variant>
      <vt:variant>
        <vt:i4>0</vt:i4>
      </vt:variant>
      <vt:variant>
        <vt:i4>5</vt:i4>
      </vt:variant>
      <vt:variant>
        <vt:lpwstr/>
      </vt:variant>
      <vt:variant>
        <vt:lpwstr>_Toc248642559</vt:lpwstr>
      </vt:variant>
      <vt:variant>
        <vt:i4>1179707</vt:i4>
      </vt:variant>
      <vt:variant>
        <vt:i4>194</vt:i4>
      </vt:variant>
      <vt:variant>
        <vt:i4>0</vt:i4>
      </vt:variant>
      <vt:variant>
        <vt:i4>5</vt:i4>
      </vt:variant>
      <vt:variant>
        <vt:lpwstr/>
      </vt:variant>
      <vt:variant>
        <vt:lpwstr>_Toc248642558</vt:lpwstr>
      </vt:variant>
      <vt:variant>
        <vt:i4>1179707</vt:i4>
      </vt:variant>
      <vt:variant>
        <vt:i4>188</vt:i4>
      </vt:variant>
      <vt:variant>
        <vt:i4>0</vt:i4>
      </vt:variant>
      <vt:variant>
        <vt:i4>5</vt:i4>
      </vt:variant>
      <vt:variant>
        <vt:lpwstr/>
      </vt:variant>
      <vt:variant>
        <vt:lpwstr>_Toc248642557</vt:lpwstr>
      </vt:variant>
      <vt:variant>
        <vt:i4>1179707</vt:i4>
      </vt:variant>
      <vt:variant>
        <vt:i4>182</vt:i4>
      </vt:variant>
      <vt:variant>
        <vt:i4>0</vt:i4>
      </vt:variant>
      <vt:variant>
        <vt:i4>5</vt:i4>
      </vt:variant>
      <vt:variant>
        <vt:lpwstr/>
      </vt:variant>
      <vt:variant>
        <vt:lpwstr>_Toc248642556</vt:lpwstr>
      </vt:variant>
      <vt:variant>
        <vt:i4>1179707</vt:i4>
      </vt:variant>
      <vt:variant>
        <vt:i4>176</vt:i4>
      </vt:variant>
      <vt:variant>
        <vt:i4>0</vt:i4>
      </vt:variant>
      <vt:variant>
        <vt:i4>5</vt:i4>
      </vt:variant>
      <vt:variant>
        <vt:lpwstr/>
      </vt:variant>
      <vt:variant>
        <vt:lpwstr>_Toc248642555</vt:lpwstr>
      </vt:variant>
      <vt:variant>
        <vt:i4>1179707</vt:i4>
      </vt:variant>
      <vt:variant>
        <vt:i4>170</vt:i4>
      </vt:variant>
      <vt:variant>
        <vt:i4>0</vt:i4>
      </vt:variant>
      <vt:variant>
        <vt:i4>5</vt:i4>
      </vt:variant>
      <vt:variant>
        <vt:lpwstr/>
      </vt:variant>
      <vt:variant>
        <vt:lpwstr>_Toc248642554</vt:lpwstr>
      </vt:variant>
      <vt:variant>
        <vt:i4>1179707</vt:i4>
      </vt:variant>
      <vt:variant>
        <vt:i4>164</vt:i4>
      </vt:variant>
      <vt:variant>
        <vt:i4>0</vt:i4>
      </vt:variant>
      <vt:variant>
        <vt:i4>5</vt:i4>
      </vt:variant>
      <vt:variant>
        <vt:lpwstr/>
      </vt:variant>
      <vt:variant>
        <vt:lpwstr>_Toc248642553</vt:lpwstr>
      </vt:variant>
      <vt:variant>
        <vt:i4>1179707</vt:i4>
      </vt:variant>
      <vt:variant>
        <vt:i4>158</vt:i4>
      </vt:variant>
      <vt:variant>
        <vt:i4>0</vt:i4>
      </vt:variant>
      <vt:variant>
        <vt:i4>5</vt:i4>
      </vt:variant>
      <vt:variant>
        <vt:lpwstr/>
      </vt:variant>
      <vt:variant>
        <vt:lpwstr>_Toc248642552</vt:lpwstr>
      </vt:variant>
      <vt:variant>
        <vt:i4>1179707</vt:i4>
      </vt:variant>
      <vt:variant>
        <vt:i4>152</vt:i4>
      </vt:variant>
      <vt:variant>
        <vt:i4>0</vt:i4>
      </vt:variant>
      <vt:variant>
        <vt:i4>5</vt:i4>
      </vt:variant>
      <vt:variant>
        <vt:lpwstr/>
      </vt:variant>
      <vt:variant>
        <vt:lpwstr>_Toc248642551</vt:lpwstr>
      </vt:variant>
      <vt:variant>
        <vt:i4>1179707</vt:i4>
      </vt:variant>
      <vt:variant>
        <vt:i4>146</vt:i4>
      </vt:variant>
      <vt:variant>
        <vt:i4>0</vt:i4>
      </vt:variant>
      <vt:variant>
        <vt:i4>5</vt:i4>
      </vt:variant>
      <vt:variant>
        <vt:lpwstr/>
      </vt:variant>
      <vt:variant>
        <vt:lpwstr>_Toc248642550</vt:lpwstr>
      </vt:variant>
      <vt:variant>
        <vt:i4>1245243</vt:i4>
      </vt:variant>
      <vt:variant>
        <vt:i4>140</vt:i4>
      </vt:variant>
      <vt:variant>
        <vt:i4>0</vt:i4>
      </vt:variant>
      <vt:variant>
        <vt:i4>5</vt:i4>
      </vt:variant>
      <vt:variant>
        <vt:lpwstr/>
      </vt:variant>
      <vt:variant>
        <vt:lpwstr>_Toc248642549</vt:lpwstr>
      </vt:variant>
      <vt:variant>
        <vt:i4>1245243</vt:i4>
      </vt:variant>
      <vt:variant>
        <vt:i4>134</vt:i4>
      </vt:variant>
      <vt:variant>
        <vt:i4>0</vt:i4>
      </vt:variant>
      <vt:variant>
        <vt:i4>5</vt:i4>
      </vt:variant>
      <vt:variant>
        <vt:lpwstr/>
      </vt:variant>
      <vt:variant>
        <vt:lpwstr>_Toc248642548</vt:lpwstr>
      </vt:variant>
      <vt:variant>
        <vt:i4>1245243</vt:i4>
      </vt:variant>
      <vt:variant>
        <vt:i4>128</vt:i4>
      </vt:variant>
      <vt:variant>
        <vt:i4>0</vt:i4>
      </vt:variant>
      <vt:variant>
        <vt:i4>5</vt:i4>
      </vt:variant>
      <vt:variant>
        <vt:lpwstr/>
      </vt:variant>
      <vt:variant>
        <vt:lpwstr>_Toc248642547</vt:lpwstr>
      </vt:variant>
      <vt:variant>
        <vt:i4>1245243</vt:i4>
      </vt:variant>
      <vt:variant>
        <vt:i4>122</vt:i4>
      </vt:variant>
      <vt:variant>
        <vt:i4>0</vt:i4>
      </vt:variant>
      <vt:variant>
        <vt:i4>5</vt:i4>
      </vt:variant>
      <vt:variant>
        <vt:lpwstr/>
      </vt:variant>
      <vt:variant>
        <vt:lpwstr>_Toc248642546</vt:lpwstr>
      </vt:variant>
      <vt:variant>
        <vt:i4>1245243</vt:i4>
      </vt:variant>
      <vt:variant>
        <vt:i4>116</vt:i4>
      </vt:variant>
      <vt:variant>
        <vt:i4>0</vt:i4>
      </vt:variant>
      <vt:variant>
        <vt:i4>5</vt:i4>
      </vt:variant>
      <vt:variant>
        <vt:lpwstr/>
      </vt:variant>
      <vt:variant>
        <vt:lpwstr>_Toc248642545</vt:lpwstr>
      </vt:variant>
      <vt:variant>
        <vt:i4>1245243</vt:i4>
      </vt:variant>
      <vt:variant>
        <vt:i4>110</vt:i4>
      </vt:variant>
      <vt:variant>
        <vt:i4>0</vt:i4>
      </vt:variant>
      <vt:variant>
        <vt:i4>5</vt:i4>
      </vt:variant>
      <vt:variant>
        <vt:lpwstr/>
      </vt:variant>
      <vt:variant>
        <vt:lpwstr>_Toc248642544</vt:lpwstr>
      </vt:variant>
      <vt:variant>
        <vt:i4>1245243</vt:i4>
      </vt:variant>
      <vt:variant>
        <vt:i4>104</vt:i4>
      </vt:variant>
      <vt:variant>
        <vt:i4>0</vt:i4>
      </vt:variant>
      <vt:variant>
        <vt:i4>5</vt:i4>
      </vt:variant>
      <vt:variant>
        <vt:lpwstr/>
      </vt:variant>
      <vt:variant>
        <vt:lpwstr>_Toc248642543</vt:lpwstr>
      </vt:variant>
      <vt:variant>
        <vt:i4>1245243</vt:i4>
      </vt:variant>
      <vt:variant>
        <vt:i4>98</vt:i4>
      </vt:variant>
      <vt:variant>
        <vt:i4>0</vt:i4>
      </vt:variant>
      <vt:variant>
        <vt:i4>5</vt:i4>
      </vt:variant>
      <vt:variant>
        <vt:lpwstr/>
      </vt:variant>
      <vt:variant>
        <vt:lpwstr>_Toc248642542</vt:lpwstr>
      </vt:variant>
      <vt:variant>
        <vt:i4>1245243</vt:i4>
      </vt:variant>
      <vt:variant>
        <vt:i4>92</vt:i4>
      </vt:variant>
      <vt:variant>
        <vt:i4>0</vt:i4>
      </vt:variant>
      <vt:variant>
        <vt:i4>5</vt:i4>
      </vt:variant>
      <vt:variant>
        <vt:lpwstr/>
      </vt:variant>
      <vt:variant>
        <vt:lpwstr>_Toc248642541</vt:lpwstr>
      </vt:variant>
      <vt:variant>
        <vt:i4>1245243</vt:i4>
      </vt:variant>
      <vt:variant>
        <vt:i4>86</vt:i4>
      </vt:variant>
      <vt:variant>
        <vt:i4>0</vt:i4>
      </vt:variant>
      <vt:variant>
        <vt:i4>5</vt:i4>
      </vt:variant>
      <vt:variant>
        <vt:lpwstr/>
      </vt:variant>
      <vt:variant>
        <vt:lpwstr>_Toc248642540</vt:lpwstr>
      </vt:variant>
      <vt:variant>
        <vt:i4>1310779</vt:i4>
      </vt:variant>
      <vt:variant>
        <vt:i4>80</vt:i4>
      </vt:variant>
      <vt:variant>
        <vt:i4>0</vt:i4>
      </vt:variant>
      <vt:variant>
        <vt:i4>5</vt:i4>
      </vt:variant>
      <vt:variant>
        <vt:lpwstr/>
      </vt:variant>
      <vt:variant>
        <vt:lpwstr>_Toc248642539</vt:lpwstr>
      </vt:variant>
      <vt:variant>
        <vt:i4>1310779</vt:i4>
      </vt:variant>
      <vt:variant>
        <vt:i4>74</vt:i4>
      </vt:variant>
      <vt:variant>
        <vt:i4>0</vt:i4>
      </vt:variant>
      <vt:variant>
        <vt:i4>5</vt:i4>
      </vt:variant>
      <vt:variant>
        <vt:lpwstr/>
      </vt:variant>
      <vt:variant>
        <vt:lpwstr>_Toc248642538</vt:lpwstr>
      </vt:variant>
      <vt:variant>
        <vt:i4>1310779</vt:i4>
      </vt:variant>
      <vt:variant>
        <vt:i4>68</vt:i4>
      </vt:variant>
      <vt:variant>
        <vt:i4>0</vt:i4>
      </vt:variant>
      <vt:variant>
        <vt:i4>5</vt:i4>
      </vt:variant>
      <vt:variant>
        <vt:lpwstr/>
      </vt:variant>
      <vt:variant>
        <vt:lpwstr>_Toc248642537</vt:lpwstr>
      </vt:variant>
      <vt:variant>
        <vt:i4>1310779</vt:i4>
      </vt:variant>
      <vt:variant>
        <vt:i4>62</vt:i4>
      </vt:variant>
      <vt:variant>
        <vt:i4>0</vt:i4>
      </vt:variant>
      <vt:variant>
        <vt:i4>5</vt:i4>
      </vt:variant>
      <vt:variant>
        <vt:lpwstr/>
      </vt:variant>
      <vt:variant>
        <vt:lpwstr>_Toc248642536</vt:lpwstr>
      </vt:variant>
      <vt:variant>
        <vt:i4>1310779</vt:i4>
      </vt:variant>
      <vt:variant>
        <vt:i4>56</vt:i4>
      </vt:variant>
      <vt:variant>
        <vt:i4>0</vt:i4>
      </vt:variant>
      <vt:variant>
        <vt:i4>5</vt:i4>
      </vt:variant>
      <vt:variant>
        <vt:lpwstr/>
      </vt:variant>
      <vt:variant>
        <vt:lpwstr>_Toc248642535</vt:lpwstr>
      </vt:variant>
      <vt:variant>
        <vt:i4>1310779</vt:i4>
      </vt:variant>
      <vt:variant>
        <vt:i4>50</vt:i4>
      </vt:variant>
      <vt:variant>
        <vt:i4>0</vt:i4>
      </vt:variant>
      <vt:variant>
        <vt:i4>5</vt:i4>
      </vt:variant>
      <vt:variant>
        <vt:lpwstr/>
      </vt:variant>
      <vt:variant>
        <vt:lpwstr>_Toc248642534</vt:lpwstr>
      </vt:variant>
      <vt:variant>
        <vt:i4>1310779</vt:i4>
      </vt:variant>
      <vt:variant>
        <vt:i4>44</vt:i4>
      </vt:variant>
      <vt:variant>
        <vt:i4>0</vt:i4>
      </vt:variant>
      <vt:variant>
        <vt:i4>5</vt:i4>
      </vt:variant>
      <vt:variant>
        <vt:lpwstr/>
      </vt:variant>
      <vt:variant>
        <vt:lpwstr>_Toc248642533</vt:lpwstr>
      </vt:variant>
      <vt:variant>
        <vt:i4>1310779</vt:i4>
      </vt:variant>
      <vt:variant>
        <vt:i4>38</vt:i4>
      </vt:variant>
      <vt:variant>
        <vt:i4>0</vt:i4>
      </vt:variant>
      <vt:variant>
        <vt:i4>5</vt:i4>
      </vt:variant>
      <vt:variant>
        <vt:lpwstr/>
      </vt:variant>
      <vt:variant>
        <vt:lpwstr>_Toc248642532</vt:lpwstr>
      </vt:variant>
      <vt:variant>
        <vt:i4>1310779</vt:i4>
      </vt:variant>
      <vt:variant>
        <vt:i4>32</vt:i4>
      </vt:variant>
      <vt:variant>
        <vt:i4>0</vt:i4>
      </vt:variant>
      <vt:variant>
        <vt:i4>5</vt:i4>
      </vt:variant>
      <vt:variant>
        <vt:lpwstr/>
      </vt:variant>
      <vt:variant>
        <vt:lpwstr>_Toc248642531</vt:lpwstr>
      </vt:variant>
      <vt:variant>
        <vt:i4>1310779</vt:i4>
      </vt:variant>
      <vt:variant>
        <vt:i4>26</vt:i4>
      </vt:variant>
      <vt:variant>
        <vt:i4>0</vt:i4>
      </vt:variant>
      <vt:variant>
        <vt:i4>5</vt:i4>
      </vt:variant>
      <vt:variant>
        <vt:lpwstr/>
      </vt:variant>
      <vt:variant>
        <vt:lpwstr>_Toc248642530</vt:lpwstr>
      </vt:variant>
      <vt:variant>
        <vt:i4>1376315</vt:i4>
      </vt:variant>
      <vt:variant>
        <vt:i4>20</vt:i4>
      </vt:variant>
      <vt:variant>
        <vt:i4>0</vt:i4>
      </vt:variant>
      <vt:variant>
        <vt:i4>5</vt:i4>
      </vt:variant>
      <vt:variant>
        <vt:lpwstr/>
      </vt:variant>
      <vt:variant>
        <vt:lpwstr>_Toc248642529</vt:lpwstr>
      </vt:variant>
      <vt:variant>
        <vt:i4>1376315</vt:i4>
      </vt:variant>
      <vt:variant>
        <vt:i4>14</vt:i4>
      </vt:variant>
      <vt:variant>
        <vt:i4>0</vt:i4>
      </vt:variant>
      <vt:variant>
        <vt:i4>5</vt:i4>
      </vt:variant>
      <vt:variant>
        <vt:lpwstr/>
      </vt:variant>
      <vt:variant>
        <vt:lpwstr>_Toc248642528</vt:lpwstr>
      </vt:variant>
      <vt:variant>
        <vt:i4>1376315</vt:i4>
      </vt:variant>
      <vt:variant>
        <vt:i4>8</vt:i4>
      </vt:variant>
      <vt:variant>
        <vt:i4>0</vt:i4>
      </vt:variant>
      <vt:variant>
        <vt:i4>5</vt:i4>
      </vt:variant>
      <vt:variant>
        <vt:lpwstr/>
      </vt:variant>
      <vt:variant>
        <vt:lpwstr>_Toc248642527</vt:lpwstr>
      </vt:variant>
      <vt:variant>
        <vt:i4>1376315</vt:i4>
      </vt:variant>
      <vt:variant>
        <vt:i4>2</vt:i4>
      </vt:variant>
      <vt:variant>
        <vt:i4>0</vt:i4>
      </vt:variant>
      <vt:variant>
        <vt:i4>5</vt:i4>
      </vt:variant>
      <vt:variant>
        <vt:lpwstr/>
      </vt:variant>
      <vt:variant>
        <vt:lpwstr>_Toc248642526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„Rozbudowa drogi powiatowej nr 1444K Uszew - Nowy Wiśnicz (ul. Podzamcze, ul. Zamkowa, ul. Olchawska) - Nieznanowice w km 14+421.00 - 15+416.00 wraz z budową chodnika w m. Nieszkowice Wielkie”</dc:title>
  <dc:subject>„Przebudowa drogi wojewódzkiej nr 957 w miejscowości Jabłonka odc. referencyjny 100 w km 9+073.78 - 9+279.58 (budowa chodnika) "</dc:subject>
  <dc:creator>KF</dc:creator>
  <cp:lastModifiedBy>Krzysztof Waniczek</cp:lastModifiedBy>
  <cp:revision>316</cp:revision>
  <cp:lastPrinted>2022-10-10T06:37:00Z</cp:lastPrinted>
  <dcterms:created xsi:type="dcterms:W3CDTF">2020-10-23T06:09:00Z</dcterms:created>
  <dcterms:modified xsi:type="dcterms:W3CDTF">2022-10-10T06:38:00Z</dcterms:modified>
</cp:coreProperties>
</file>